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3BEE0" w14:textId="77777777" w:rsidR="00D12D33" w:rsidRPr="00AC1C46" w:rsidRDefault="00D12D33" w:rsidP="00AC1C46">
      <w:pPr>
        <w:tabs>
          <w:tab w:val="left" w:pos="720"/>
        </w:tabs>
        <w:ind w:firstLine="630"/>
        <w:jc w:val="both"/>
        <w:rPr>
          <w:rFonts w:ascii="Cambria" w:hAnsi="Cambria" w:cs="Univers"/>
          <w:b/>
          <w:bCs/>
          <w:color w:val="000000" w:themeColor="text1"/>
          <w:sz w:val="20"/>
          <w:szCs w:val="20"/>
          <w:lang w:val="uz-Cyrl-UZ"/>
        </w:rPr>
      </w:pPr>
      <w:r w:rsidRPr="00AC1C46">
        <w:rPr>
          <w:rFonts w:ascii="Cambria" w:hAnsi="Cambria"/>
          <w:noProof/>
          <w:color w:val="000000" w:themeColor="text1"/>
          <w:sz w:val="20"/>
          <w:szCs w:val="20"/>
        </w:rPr>
        <mc:AlternateContent>
          <mc:Choice Requires="wps">
            <w:drawing>
              <wp:anchor distT="0" distB="0" distL="114300" distR="114300" simplePos="0" relativeHeight="251644928" behindDoc="0" locked="0" layoutInCell="1" allowOverlap="1" wp14:anchorId="16E6E313" wp14:editId="32A20EE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601DD" id="Rectangle 1" o:spid="_x0000_s1026" style="position:absolute;margin-left:-32.75pt;margin-top:-34.6pt;width:121.5pt;height:716.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AC1C46">
        <w:rPr>
          <w:rFonts w:ascii="Cambria" w:hAnsi="Cambria"/>
          <w:noProof/>
          <w:color w:val="000000" w:themeColor="text1"/>
          <w:sz w:val="20"/>
          <w:szCs w:val="20"/>
        </w:rPr>
        <mc:AlternateContent>
          <mc:Choice Requires="wps">
            <w:drawing>
              <wp:anchor distT="0" distB="0" distL="114300" distR="114300" simplePos="0" relativeHeight="251659264" behindDoc="0" locked="0" layoutInCell="1" allowOverlap="1" wp14:anchorId="0E231DFF" wp14:editId="7442843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46128" w14:textId="77777777" w:rsidR="00E6209A" w:rsidRDefault="00E6209A" w:rsidP="00D12D33">
                            <w:r>
                              <w:rPr>
                                <w:noProof/>
                              </w:rPr>
                              <w:drawing>
                                <wp:inline distT="0" distB="0" distL="0" distR="0" wp14:anchorId="626D0731" wp14:editId="0BB9C12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31DF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4E46128" w14:textId="77777777" w:rsidR="00E6209A" w:rsidRDefault="00E6209A" w:rsidP="00D12D33">
                      <w:r>
                        <w:rPr>
                          <w:noProof/>
                        </w:rPr>
                        <w:drawing>
                          <wp:inline distT="0" distB="0" distL="0" distR="0" wp14:anchorId="626D0731" wp14:editId="0BB9C12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034E568B"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6F5ACAB1"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091ECAFD"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7D5DF87D"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1912D68A"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02BD1AD1"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2BBA7D9F"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2C72115C"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2F10C3AD"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312F81BD"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06910ADA"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055A02D9"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692BF467"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r w:rsidRPr="00AC1C46">
        <w:rPr>
          <w:rFonts w:ascii="Cambria" w:hAnsi="Cambria"/>
          <w:noProof/>
          <w:color w:val="000000" w:themeColor="text1"/>
          <w:sz w:val="20"/>
          <w:szCs w:val="20"/>
        </w:rPr>
        <mc:AlternateContent>
          <mc:Choice Requires="wps">
            <w:drawing>
              <wp:anchor distT="0" distB="0" distL="114300" distR="114300" simplePos="0" relativeHeight="251649024" behindDoc="0" locked="0" layoutInCell="1" allowOverlap="1" wp14:anchorId="36D653B9" wp14:editId="5756A6DD">
                <wp:simplePos x="0" y="0"/>
                <wp:positionH relativeFrom="column">
                  <wp:posOffset>1426254</wp:posOffset>
                </wp:positionH>
                <wp:positionV relativeFrom="paragraph">
                  <wp:posOffset>107315</wp:posOffset>
                </wp:positionV>
                <wp:extent cx="4441190" cy="218122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3A5C3" w14:textId="2E630BF4" w:rsidR="00E6209A" w:rsidRPr="00871E6D" w:rsidRDefault="00E6209A" w:rsidP="00D12D33">
                            <w:pPr>
                              <w:spacing w:line="276" w:lineRule="auto"/>
                              <w:rPr>
                                <w:rFonts w:ascii="Cambria" w:hAnsi="Cambria" w:cs="Arial"/>
                                <w:b/>
                                <w:color w:val="0D0D0D" w:themeColor="text1" w:themeTint="F2"/>
                                <w:sz w:val="36"/>
                                <w:szCs w:val="22"/>
                                <w:lang w:val="es-VE"/>
                              </w:rPr>
                            </w:pPr>
                            <w:r w:rsidRPr="00871E6D">
                              <w:rPr>
                                <w:rFonts w:ascii="Cambria" w:hAnsi="Cambria" w:cs="Arial"/>
                                <w:b/>
                                <w:bCs/>
                                <w:color w:val="0D0D0D" w:themeColor="text1" w:themeTint="F2"/>
                                <w:sz w:val="36"/>
                                <w:szCs w:val="22"/>
                                <w:lang w:val="es-VE"/>
                              </w:rPr>
                              <w:t xml:space="preserve">INFORME </w:t>
                            </w:r>
                            <w:r w:rsidRPr="00871E6D">
                              <w:rPr>
                                <w:rFonts w:ascii="Cambria" w:hAnsi="Cambria" w:cs="Arial"/>
                                <w:b/>
                                <w:bCs/>
                                <w:color w:val="0D0D0D" w:themeColor="text1" w:themeTint="F2"/>
                                <w:sz w:val="36"/>
                                <w:szCs w:val="40"/>
                                <w:lang w:val="es-VE"/>
                              </w:rPr>
                              <w:t>No.</w:t>
                            </w:r>
                            <w:r w:rsidRPr="00871E6D">
                              <w:rPr>
                                <w:rFonts w:ascii="Cambria" w:hAnsi="Cambria" w:cs="Arial"/>
                                <w:b/>
                                <w:bCs/>
                                <w:color w:val="0D0D0D" w:themeColor="text1" w:themeTint="F2"/>
                                <w:sz w:val="36"/>
                                <w:szCs w:val="22"/>
                                <w:lang w:val="es-VE"/>
                              </w:rPr>
                              <w:t xml:space="preserve"> </w:t>
                            </w:r>
                            <w:r w:rsidR="00BA3731">
                              <w:rPr>
                                <w:rFonts w:ascii="Cambria" w:hAnsi="Cambria" w:cs="Arial"/>
                                <w:b/>
                                <w:bCs/>
                                <w:color w:val="0D0D0D" w:themeColor="text1" w:themeTint="F2"/>
                                <w:sz w:val="36"/>
                                <w:szCs w:val="22"/>
                                <w:lang w:val="es-VE"/>
                              </w:rPr>
                              <w:t>74</w:t>
                            </w:r>
                            <w:bookmarkStart w:id="0" w:name="_GoBack"/>
                            <w:bookmarkEnd w:id="0"/>
                            <w:r w:rsidRPr="00871E6D">
                              <w:rPr>
                                <w:rFonts w:ascii="Cambria" w:hAnsi="Cambria" w:cs="Arial"/>
                                <w:b/>
                                <w:bCs/>
                                <w:color w:val="0D0D0D" w:themeColor="text1" w:themeTint="F2"/>
                                <w:sz w:val="36"/>
                                <w:szCs w:val="22"/>
                                <w:lang w:val="es-VE"/>
                              </w:rPr>
                              <w:t>/17</w:t>
                            </w:r>
                          </w:p>
                          <w:p w14:paraId="7A6AE99A" w14:textId="77777777" w:rsidR="00E6209A" w:rsidRPr="00871E6D" w:rsidRDefault="00E6209A" w:rsidP="00D12D33">
                            <w:pPr>
                              <w:spacing w:line="276" w:lineRule="auto"/>
                              <w:rPr>
                                <w:rFonts w:ascii="Cambria" w:hAnsi="Cambria" w:cs="Arial"/>
                                <w:b/>
                                <w:color w:val="0D0D0D" w:themeColor="text1" w:themeTint="F2"/>
                                <w:sz w:val="36"/>
                                <w:szCs w:val="22"/>
                                <w:lang w:val="es-VE"/>
                              </w:rPr>
                            </w:pPr>
                            <w:r w:rsidRPr="00871E6D">
                              <w:rPr>
                                <w:rFonts w:ascii="Cambria" w:hAnsi="Cambria" w:cs="Arial"/>
                                <w:b/>
                                <w:color w:val="0D0D0D" w:themeColor="text1" w:themeTint="F2"/>
                                <w:sz w:val="36"/>
                                <w:szCs w:val="22"/>
                                <w:lang w:val="es-VE"/>
                              </w:rPr>
                              <w:t xml:space="preserve"> CASO 12.656</w:t>
                            </w:r>
                          </w:p>
                          <w:p w14:paraId="7290A8E3" w14:textId="77777777" w:rsidR="00E6209A" w:rsidRPr="00871E6D" w:rsidRDefault="00E6209A" w:rsidP="00D12D33">
                            <w:pPr>
                              <w:spacing w:line="276" w:lineRule="auto"/>
                              <w:rPr>
                                <w:rFonts w:ascii="Cambria" w:hAnsi="Cambria" w:cs="Arial"/>
                                <w:color w:val="0D0D0D" w:themeColor="text1" w:themeTint="F2"/>
                                <w:szCs w:val="22"/>
                                <w:lang w:val="es-ES_tradnl"/>
                              </w:rPr>
                            </w:pPr>
                            <w:r w:rsidRPr="00871E6D">
                              <w:rPr>
                                <w:rFonts w:ascii="Cambria" w:hAnsi="Cambria" w:cs="Arial"/>
                                <w:color w:val="0D0D0D" w:themeColor="text1" w:themeTint="F2"/>
                                <w:szCs w:val="22"/>
                                <w:lang w:val="es-ES_tradnl"/>
                              </w:rPr>
                              <w:t>INFORME DE FONDO</w:t>
                            </w:r>
                          </w:p>
                          <w:p w14:paraId="32ABF4B1" w14:textId="77777777" w:rsidR="00E6209A" w:rsidRPr="00871E6D" w:rsidRDefault="00E6209A" w:rsidP="00D12D33">
                            <w:pPr>
                              <w:spacing w:line="276" w:lineRule="auto"/>
                              <w:rPr>
                                <w:rFonts w:ascii="Cambria" w:hAnsi="Cambria" w:cs="Arial"/>
                                <w:color w:val="0D0D0D" w:themeColor="text1" w:themeTint="F2"/>
                                <w:szCs w:val="22"/>
                                <w:lang w:val="es-ES_tradnl"/>
                              </w:rPr>
                            </w:pPr>
                            <w:bookmarkStart w:id="1" w:name="_ftnref1"/>
                          </w:p>
                          <w:p w14:paraId="09D6F741" w14:textId="77777777" w:rsidR="00E6209A" w:rsidRPr="00871E6D" w:rsidRDefault="00E6209A" w:rsidP="00D12D33">
                            <w:pPr>
                              <w:spacing w:line="276" w:lineRule="auto"/>
                              <w:rPr>
                                <w:rFonts w:ascii="Cambria" w:hAnsi="Cambria" w:cs="Arial"/>
                                <w:color w:val="0D0D0D" w:themeColor="text1" w:themeTint="F2"/>
                                <w:szCs w:val="22"/>
                                <w:lang w:val="es-ES_tradnl"/>
                              </w:rPr>
                            </w:pPr>
                            <w:r w:rsidRPr="00871E6D">
                              <w:rPr>
                                <w:rFonts w:ascii="Cambria" w:hAnsi="Cambria" w:cs="Arial"/>
                                <w:color w:val="0D0D0D" w:themeColor="text1" w:themeTint="F2"/>
                                <w:szCs w:val="22"/>
                                <w:lang w:val="es-ES_tradnl"/>
                              </w:rPr>
                              <w:t>Victorio Spoltore</w:t>
                            </w:r>
                          </w:p>
                          <w:bookmarkEnd w:id="1"/>
                          <w:p w14:paraId="16D840FF" w14:textId="77777777" w:rsidR="00E6209A" w:rsidRPr="00871E6D" w:rsidRDefault="00E6209A" w:rsidP="00D12D33">
                            <w:pPr>
                              <w:spacing w:line="276" w:lineRule="auto"/>
                              <w:rPr>
                                <w:rFonts w:ascii="Cambria" w:hAnsi="Cambria" w:cs="Arial"/>
                                <w:color w:val="0D0D0D" w:themeColor="text1" w:themeTint="F2"/>
                                <w:szCs w:val="22"/>
                                <w:lang w:val="es-ES"/>
                              </w:rPr>
                            </w:pPr>
                            <w:r w:rsidRPr="00871E6D">
                              <w:rPr>
                                <w:rFonts w:ascii="Cambria" w:hAnsi="Cambria" w:cs="Arial"/>
                                <w:color w:val="0D0D0D" w:themeColor="text1" w:themeTint="F2"/>
                                <w:szCs w:val="22"/>
                                <w:lang w:val="es-ES_tradnl"/>
                              </w:rPr>
                              <w:t>ARGENTINA</w:t>
                            </w:r>
                          </w:p>
                          <w:p w14:paraId="01423BF3" w14:textId="77777777" w:rsidR="00E6209A" w:rsidRPr="00871E6D" w:rsidRDefault="00E6209A" w:rsidP="00D12D33">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653B9" id="Text Box 5" o:spid="_x0000_s1027" type="#_x0000_t202" style="position:absolute;left:0;text-align:left;margin-left:112.3pt;margin-top:8.45pt;width:349.7pt;height:17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" filled="f" stroked="f" strokeweight=".5pt">
                <v:textbox>
                  <w:txbxContent>
                    <w:p w14:paraId="0A33A5C3" w14:textId="2E630BF4" w:rsidR="00E6209A" w:rsidRPr="00871E6D" w:rsidRDefault="00E6209A" w:rsidP="00D12D33">
                      <w:pPr>
                        <w:spacing w:line="276" w:lineRule="auto"/>
                        <w:rPr>
                          <w:rFonts w:ascii="Cambria" w:hAnsi="Cambria" w:cs="Arial"/>
                          <w:b/>
                          <w:color w:val="0D0D0D" w:themeColor="text1" w:themeTint="F2"/>
                          <w:sz w:val="36"/>
                          <w:szCs w:val="22"/>
                          <w:lang w:val="es-VE"/>
                        </w:rPr>
                      </w:pPr>
                      <w:r w:rsidRPr="00871E6D">
                        <w:rPr>
                          <w:rFonts w:ascii="Cambria" w:hAnsi="Cambria" w:cs="Arial"/>
                          <w:b/>
                          <w:bCs/>
                          <w:color w:val="0D0D0D" w:themeColor="text1" w:themeTint="F2"/>
                          <w:sz w:val="36"/>
                          <w:szCs w:val="22"/>
                          <w:lang w:val="es-VE"/>
                        </w:rPr>
                        <w:t xml:space="preserve">INFORME </w:t>
                      </w:r>
                      <w:r w:rsidRPr="00871E6D">
                        <w:rPr>
                          <w:rFonts w:ascii="Cambria" w:hAnsi="Cambria" w:cs="Arial"/>
                          <w:b/>
                          <w:bCs/>
                          <w:color w:val="0D0D0D" w:themeColor="text1" w:themeTint="F2"/>
                          <w:sz w:val="36"/>
                          <w:szCs w:val="40"/>
                          <w:lang w:val="es-VE"/>
                        </w:rPr>
                        <w:t>No.</w:t>
                      </w:r>
                      <w:r w:rsidRPr="00871E6D">
                        <w:rPr>
                          <w:rFonts w:ascii="Cambria" w:hAnsi="Cambria" w:cs="Arial"/>
                          <w:b/>
                          <w:bCs/>
                          <w:color w:val="0D0D0D" w:themeColor="text1" w:themeTint="F2"/>
                          <w:sz w:val="36"/>
                          <w:szCs w:val="22"/>
                          <w:lang w:val="es-VE"/>
                        </w:rPr>
                        <w:t xml:space="preserve"> </w:t>
                      </w:r>
                      <w:r w:rsidR="00BA3731">
                        <w:rPr>
                          <w:rFonts w:ascii="Cambria" w:hAnsi="Cambria" w:cs="Arial"/>
                          <w:b/>
                          <w:bCs/>
                          <w:color w:val="0D0D0D" w:themeColor="text1" w:themeTint="F2"/>
                          <w:sz w:val="36"/>
                          <w:szCs w:val="22"/>
                          <w:lang w:val="es-VE"/>
                        </w:rPr>
                        <w:t>74</w:t>
                      </w:r>
                      <w:bookmarkStart w:id="2" w:name="_GoBack"/>
                      <w:bookmarkEnd w:id="2"/>
                      <w:r w:rsidRPr="00871E6D">
                        <w:rPr>
                          <w:rFonts w:ascii="Cambria" w:hAnsi="Cambria" w:cs="Arial"/>
                          <w:b/>
                          <w:bCs/>
                          <w:color w:val="0D0D0D" w:themeColor="text1" w:themeTint="F2"/>
                          <w:sz w:val="36"/>
                          <w:szCs w:val="22"/>
                          <w:lang w:val="es-VE"/>
                        </w:rPr>
                        <w:t>/17</w:t>
                      </w:r>
                    </w:p>
                    <w:p w14:paraId="7A6AE99A" w14:textId="77777777" w:rsidR="00E6209A" w:rsidRPr="00871E6D" w:rsidRDefault="00E6209A" w:rsidP="00D12D33">
                      <w:pPr>
                        <w:spacing w:line="276" w:lineRule="auto"/>
                        <w:rPr>
                          <w:rFonts w:ascii="Cambria" w:hAnsi="Cambria" w:cs="Arial"/>
                          <w:b/>
                          <w:color w:val="0D0D0D" w:themeColor="text1" w:themeTint="F2"/>
                          <w:sz w:val="36"/>
                          <w:szCs w:val="22"/>
                          <w:lang w:val="es-VE"/>
                        </w:rPr>
                      </w:pPr>
                      <w:r w:rsidRPr="00871E6D">
                        <w:rPr>
                          <w:rFonts w:ascii="Cambria" w:hAnsi="Cambria" w:cs="Arial"/>
                          <w:b/>
                          <w:color w:val="0D0D0D" w:themeColor="text1" w:themeTint="F2"/>
                          <w:sz w:val="36"/>
                          <w:szCs w:val="22"/>
                          <w:lang w:val="es-VE"/>
                        </w:rPr>
                        <w:t xml:space="preserve"> CASO 12.656</w:t>
                      </w:r>
                    </w:p>
                    <w:p w14:paraId="7290A8E3" w14:textId="77777777" w:rsidR="00E6209A" w:rsidRPr="00871E6D" w:rsidRDefault="00E6209A" w:rsidP="00D12D33">
                      <w:pPr>
                        <w:spacing w:line="276" w:lineRule="auto"/>
                        <w:rPr>
                          <w:rFonts w:ascii="Cambria" w:hAnsi="Cambria" w:cs="Arial"/>
                          <w:color w:val="0D0D0D" w:themeColor="text1" w:themeTint="F2"/>
                          <w:szCs w:val="22"/>
                          <w:lang w:val="es-ES_tradnl"/>
                        </w:rPr>
                      </w:pPr>
                      <w:r w:rsidRPr="00871E6D">
                        <w:rPr>
                          <w:rFonts w:ascii="Cambria" w:hAnsi="Cambria" w:cs="Arial"/>
                          <w:color w:val="0D0D0D" w:themeColor="text1" w:themeTint="F2"/>
                          <w:szCs w:val="22"/>
                          <w:lang w:val="es-ES_tradnl"/>
                        </w:rPr>
                        <w:t>INFORME DE FONDO</w:t>
                      </w:r>
                    </w:p>
                    <w:p w14:paraId="32ABF4B1" w14:textId="77777777" w:rsidR="00E6209A" w:rsidRPr="00871E6D" w:rsidRDefault="00E6209A" w:rsidP="00D12D33">
                      <w:pPr>
                        <w:spacing w:line="276" w:lineRule="auto"/>
                        <w:rPr>
                          <w:rFonts w:ascii="Cambria" w:hAnsi="Cambria" w:cs="Arial"/>
                          <w:color w:val="0D0D0D" w:themeColor="text1" w:themeTint="F2"/>
                          <w:szCs w:val="22"/>
                          <w:lang w:val="es-ES_tradnl"/>
                        </w:rPr>
                      </w:pPr>
                      <w:bookmarkStart w:id="3" w:name="_ftnref1"/>
                    </w:p>
                    <w:p w14:paraId="09D6F741" w14:textId="77777777" w:rsidR="00E6209A" w:rsidRPr="00871E6D" w:rsidRDefault="00E6209A" w:rsidP="00D12D33">
                      <w:pPr>
                        <w:spacing w:line="276" w:lineRule="auto"/>
                        <w:rPr>
                          <w:rFonts w:ascii="Cambria" w:hAnsi="Cambria" w:cs="Arial"/>
                          <w:color w:val="0D0D0D" w:themeColor="text1" w:themeTint="F2"/>
                          <w:szCs w:val="22"/>
                          <w:lang w:val="es-ES_tradnl"/>
                        </w:rPr>
                      </w:pPr>
                      <w:r w:rsidRPr="00871E6D">
                        <w:rPr>
                          <w:rFonts w:ascii="Cambria" w:hAnsi="Cambria" w:cs="Arial"/>
                          <w:color w:val="0D0D0D" w:themeColor="text1" w:themeTint="F2"/>
                          <w:szCs w:val="22"/>
                          <w:lang w:val="es-ES_tradnl"/>
                        </w:rPr>
                        <w:t>Victorio Spoltore</w:t>
                      </w:r>
                    </w:p>
                    <w:bookmarkEnd w:id="3"/>
                    <w:p w14:paraId="16D840FF" w14:textId="77777777" w:rsidR="00E6209A" w:rsidRPr="00871E6D" w:rsidRDefault="00E6209A" w:rsidP="00D12D33">
                      <w:pPr>
                        <w:spacing w:line="276" w:lineRule="auto"/>
                        <w:rPr>
                          <w:rFonts w:ascii="Cambria" w:hAnsi="Cambria" w:cs="Arial"/>
                          <w:color w:val="0D0D0D" w:themeColor="text1" w:themeTint="F2"/>
                          <w:szCs w:val="22"/>
                          <w:lang w:val="es-ES"/>
                        </w:rPr>
                      </w:pPr>
                      <w:r w:rsidRPr="00871E6D">
                        <w:rPr>
                          <w:rFonts w:ascii="Cambria" w:hAnsi="Cambria" w:cs="Arial"/>
                          <w:color w:val="0D0D0D" w:themeColor="text1" w:themeTint="F2"/>
                          <w:szCs w:val="22"/>
                          <w:lang w:val="es-ES_tradnl"/>
                        </w:rPr>
                        <w:t>ARGENTINA</w:t>
                      </w:r>
                    </w:p>
                    <w:p w14:paraId="01423BF3" w14:textId="77777777" w:rsidR="00E6209A" w:rsidRPr="00871E6D" w:rsidRDefault="00E6209A" w:rsidP="00D12D33">
                      <w:pPr>
                        <w:rPr>
                          <w:rFonts w:ascii="Cambria" w:hAnsi="Cambria"/>
                          <w:color w:val="0D0D0D" w:themeColor="text1" w:themeTint="F2"/>
                          <w:lang w:val="es-ES_tradnl"/>
                        </w:rPr>
                      </w:pPr>
                    </w:p>
                  </w:txbxContent>
                </v:textbox>
              </v:shape>
            </w:pict>
          </mc:Fallback>
        </mc:AlternateContent>
      </w:r>
      <w:r w:rsidRPr="00AC1C46">
        <w:rPr>
          <w:rFonts w:ascii="Cambria" w:hAnsi="Cambria"/>
          <w:noProof/>
          <w:color w:val="000000" w:themeColor="text1"/>
          <w:sz w:val="20"/>
          <w:szCs w:val="20"/>
        </w:rPr>
        <mc:AlternateContent>
          <mc:Choice Requires="wps">
            <w:drawing>
              <wp:anchor distT="0" distB="0" distL="114300" distR="114300" simplePos="0" relativeHeight="251657216" behindDoc="0" locked="0" layoutInCell="1" allowOverlap="1" wp14:anchorId="324C5124" wp14:editId="34D1984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F878A0" w14:textId="77777777" w:rsidR="00E6209A" w:rsidRPr="00B5326A" w:rsidRDefault="00E6209A" w:rsidP="00D12D33">
                            <w:pPr>
                              <w:spacing w:line="276" w:lineRule="auto"/>
                              <w:jc w:val="right"/>
                              <w:rPr>
                                <w:rFonts w:asciiTheme="minorHAnsi" w:hAnsiTheme="minorHAnsi"/>
                                <w:color w:val="FFFFFF" w:themeColor="background1"/>
                                <w:sz w:val="22"/>
                                <w:lang w:val="pt-BR"/>
                              </w:rPr>
                            </w:pPr>
                            <w:r w:rsidRPr="00B5326A">
                              <w:rPr>
                                <w:rFonts w:asciiTheme="minorHAnsi" w:hAnsiTheme="minorHAnsi"/>
                                <w:color w:val="FFFFFF" w:themeColor="background1"/>
                                <w:sz w:val="22"/>
                                <w:lang w:val="pt-BR"/>
                              </w:rPr>
                              <w:t>OEA/Ser.L/V/II.163</w:t>
                            </w:r>
                          </w:p>
                          <w:p w14:paraId="303851E4" w14:textId="77777777" w:rsidR="00E6209A" w:rsidRPr="00B5326A" w:rsidRDefault="00E6209A" w:rsidP="00D12D33">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88</w:t>
                            </w:r>
                          </w:p>
                          <w:p w14:paraId="7BAA6168" w14:textId="77777777" w:rsidR="00E6209A" w:rsidRPr="00B11F32" w:rsidRDefault="00E6209A" w:rsidP="00D12D33">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5 de julio</w:t>
                            </w:r>
                            <w:r w:rsidRPr="00B11F32">
                              <w:rPr>
                                <w:rFonts w:asciiTheme="minorHAnsi" w:hAnsiTheme="minorHAnsi"/>
                                <w:color w:val="FFFFFF" w:themeColor="background1"/>
                                <w:sz w:val="22"/>
                                <w:lang w:val="es-CO"/>
                              </w:rPr>
                              <w:t xml:space="preserve"> 2017</w:t>
                            </w:r>
                          </w:p>
                          <w:p w14:paraId="5267BADB" w14:textId="77777777" w:rsidR="00E6209A" w:rsidRPr="00B11F32" w:rsidRDefault="00E6209A" w:rsidP="00D12D33">
                            <w:pPr>
                              <w:spacing w:line="276" w:lineRule="auto"/>
                              <w:jc w:val="right"/>
                              <w:rPr>
                                <w:rFonts w:asciiTheme="minorHAnsi" w:hAnsiTheme="minorHAnsi"/>
                                <w:color w:val="FFFFFF" w:themeColor="background1"/>
                                <w:sz w:val="22"/>
                                <w:lang w:val="es-CO"/>
                              </w:rPr>
                            </w:pPr>
                            <w:r w:rsidRPr="00B11F32">
                              <w:rPr>
                                <w:rFonts w:asciiTheme="minorHAnsi" w:hAnsiTheme="minorHAnsi"/>
                                <w:color w:val="FFFFFF" w:themeColor="background1"/>
                                <w:sz w:val="22"/>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C5124"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DF878A0" w14:textId="77777777" w:rsidR="00E6209A" w:rsidRPr="00B5326A" w:rsidRDefault="00E6209A" w:rsidP="00D12D33">
                      <w:pPr>
                        <w:spacing w:line="276" w:lineRule="auto"/>
                        <w:jc w:val="right"/>
                        <w:rPr>
                          <w:rFonts w:asciiTheme="minorHAnsi" w:hAnsiTheme="minorHAnsi"/>
                          <w:color w:val="FFFFFF" w:themeColor="background1"/>
                          <w:sz w:val="22"/>
                          <w:lang w:val="pt-BR"/>
                        </w:rPr>
                      </w:pPr>
                      <w:r w:rsidRPr="00B5326A">
                        <w:rPr>
                          <w:rFonts w:asciiTheme="minorHAnsi" w:hAnsiTheme="minorHAnsi"/>
                          <w:color w:val="FFFFFF" w:themeColor="background1"/>
                          <w:sz w:val="22"/>
                          <w:lang w:val="pt-BR"/>
                        </w:rPr>
                        <w:t>OEA/Ser.L/V/II.163</w:t>
                      </w:r>
                    </w:p>
                    <w:p w14:paraId="303851E4" w14:textId="77777777" w:rsidR="00E6209A" w:rsidRPr="00B5326A" w:rsidRDefault="00E6209A" w:rsidP="00D12D33">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88</w:t>
                      </w:r>
                    </w:p>
                    <w:p w14:paraId="7BAA6168" w14:textId="77777777" w:rsidR="00E6209A" w:rsidRPr="00B11F32" w:rsidRDefault="00E6209A" w:rsidP="00D12D33">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5 de julio</w:t>
                      </w:r>
                      <w:r w:rsidRPr="00B11F32">
                        <w:rPr>
                          <w:rFonts w:asciiTheme="minorHAnsi" w:hAnsiTheme="minorHAnsi"/>
                          <w:color w:val="FFFFFF" w:themeColor="background1"/>
                          <w:sz w:val="22"/>
                          <w:lang w:val="es-CO"/>
                        </w:rPr>
                        <w:t xml:space="preserve"> 2017</w:t>
                      </w:r>
                    </w:p>
                    <w:p w14:paraId="5267BADB" w14:textId="77777777" w:rsidR="00E6209A" w:rsidRPr="00B11F32" w:rsidRDefault="00E6209A" w:rsidP="00D12D33">
                      <w:pPr>
                        <w:spacing w:line="276" w:lineRule="auto"/>
                        <w:jc w:val="right"/>
                        <w:rPr>
                          <w:rFonts w:asciiTheme="minorHAnsi" w:hAnsiTheme="minorHAnsi"/>
                          <w:color w:val="FFFFFF" w:themeColor="background1"/>
                          <w:sz w:val="22"/>
                          <w:lang w:val="es-CO"/>
                        </w:rPr>
                      </w:pPr>
                      <w:r w:rsidRPr="00B11F32">
                        <w:rPr>
                          <w:rFonts w:asciiTheme="minorHAnsi" w:hAnsiTheme="minorHAnsi"/>
                          <w:color w:val="FFFFFF" w:themeColor="background1"/>
                          <w:sz w:val="22"/>
                          <w:lang w:val="es-CO"/>
                        </w:rPr>
                        <w:t>Original: español</w:t>
                      </w:r>
                    </w:p>
                  </w:txbxContent>
                </v:textbox>
              </v:shape>
            </w:pict>
          </mc:Fallback>
        </mc:AlternateContent>
      </w:r>
    </w:p>
    <w:p w14:paraId="564C0EC0"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3EDEB4D7"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00CC74D3" w14:textId="77777777" w:rsidR="00D12D33" w:rsidRPr="00AC1C46" w:rsidRDefault="00D12D33" w:rsidP="00AC1C46">
      <w:pPr>
        <w:tabs>
          <w:tab w:val="left" w:pos="720"/>
          <w:tab w:val="center" w:pos="5400"/>
        </w:tabs>
        <w:suppressAutoHyphens/>
        <w:ind w:firstLine="630"/>
        <w:jc w:val="both"/>
        <w:rPr>
          <w:rFonts w:ascii="Cambria" w:hAnsi="Cambria" w:cs="Arial"/>
          <w:color w:val="000000" w:themeColor="text1"/>
          <w:sz w:val="20"/>
          <w:szCs w:val="20"/>
          <w:lang w:val="uz-Cyrl-UZ"/>
        </w:rPr>
      </w:pPr>
    </w:p>
    <w:p w14:paraId="3EAA7887"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2CDE9D86"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734DF1BF"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104024F3"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07D63BCC"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40C0B975"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3C9787C2"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1C3FF78B"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5D084FB5"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22E6C625"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0A4C48CB"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2B9154EF"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01742FB7"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61573F9E"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6B307CD2"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3E316339"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07B860F2"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476BD238"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0E6C91ED"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7626F3EE"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4F68F290"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082E56F5"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74CAA3E8"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1CFEF03F"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7B536930"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49F76181"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r w:rsidRPr="00AC1C46">
        <w:rPr>
          <w:rFonts w:ascii="Cambria" w:hAnsi="Cambria"/>
          <w:noProof/>
          <w:color w:val="000000" w:themeColor="text1"/>
          <w:sz w:val="20"/>
          <w:szCs w:val="20"/>
        </w:rPr>
        <mc:AlternateContent>
          <mc:Choice Requires="wps">
            <w:drawing>
              <wp:anchor distT="0" distB="0" distL="114300" distR="114300" simplePos="0" relativeHeight="251653120" behindDoc="0" locked="0" layoutInCell="1" allowOverlap="1" wp14:anchorId="67CC09ED" wp14:editId="19A5A809">
                <wp:simplePos x="0" y="0"/>
                <wp:positionH relativeFrom="column">
                  <wp:posOffset>1312020</wp:posOffset>
                </wp:positionH>
                <wp:positionV relativeFrom="paragraph">
                  <wp:posOffset>36996</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2EFCF" w14:textId="77777777" w:rsidR="00E6209A" w:rsidRPr="00871E6D" w:rsidRDefault="00E6209A" w:rsidP="00375D89">
                            <w:pPr>
                              <w:tabs>
                                <w:tab w:val="center" w:pos="5400"/>
                              </w:tabs>
                              <w:suppressAutoHyphens/>
                              <w:spacing w:before="60"/>
                              <w:jc w:val="both"/>
                              <w:rPr>
                                <w:rFonts w:ascii="Cambria" w:hAnsi="Cambria" w:cs="Univers"/>
                                <w:color w:val="0D0D0D" w:themeColor="text1" w:themeTint="F2"/>
                                <w:sz w:val="18"/>
                                <w:szCs w:val="20"/>
                                <w:lang w:val="es-ES_tradnl"/>
                              </w:rPr>
                            </w:pPr>
                            <w:r w:rsidRPr="00335796">
                              <w:rPr>
                                <w:rFonts w:ascii="Cambria" w:hAnsi="Cambria"/>
                                <w:color w:val="0D0D0D" w:themeColor="text1" w:themeTint="F2"/>
                                <w:sz w:val="18"/>
                                <w:szCs w:val="20"/>
                                <w:lang w:val="es-ES"/>
                              </w:rPr>
                              <w:t>Aprobado por la Comisión en su sesión No. 2091 celebrada el 5 de julio de 2017</w:t>
                            </w:r>
                            <w:r w:rsidRPr="00335796">
                              <w:rPr>
                                <w:rFonts w:ascii="Cambria" w:hAnsi="Cambria"/>
                                <w:color w:val="0D0D0D" w:themeColor="text1" w:themeTint="F2"/>
                                <w:sz w:val="18"/>
                                <w:szCs w:val="20"/>
                                <w:lang w:val="es-ES"/>
                              </w:rPr>
                              <w:br/>
                            </w:r>
                            <w:r w:rsidRPr="00335796">
                              <w:rPr>
                                <w:rFonts w:ascii="Cambria" w:hAnsi="Cambria" w:cs="Univers"/>
                                <w:color w:val="0D0D0D" w:themeColor="text1" w:themeTint="F2"/>
                                <w:sz w:val="18"/>
                                <w:szCs w:val="20"/>
                                <w:lang w:val="es-ES_tradnl"/>
                              </w:rPr>
                              <w:t>163 período ordinario de sesiones</w:t>
                            </w:r>
                          </w:p>
                          <w:p w14:paraId="0D06C320" w14:textId="77777777" w:rsidR="00E6209A" w:rsidRPr="00871E6D" w:rsidRDefault="00E6209A" w:rsidP="00375D89">
                            <w:pPr>
                              <w:tabs>
                                <w:tab w:val="center" w:pos="5400"/>
                              </w:tabs>
                              <w:suppressAutoHyphens/>
                              <w:spacing w:before="60"/>
                              <w:jc w:val="both"/>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C09ED" id="Text Box 7" o:spid="_x0000_s1029" type="#_x0000_t202" style="position:absolute;left:0;text-align:left;margin-left:103.3pt;margin-top:2.9pt;width:388.5pt;height:5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" filled="f" stroked="f" strokeweight=".5pt">
                <v:textbox>
                  <w:txbxContent>
                    <w:p w14:paraId="5192EFCF" w14:textId="77777777" w:rsidR="00E6209A" w:rsidRPr="00871E6D" w:rsidRDefault="00E6209A" w:rsidP="00375D89">
                      <w:pPr>
                        <w:tabs>
                          <w:tab w:val="center" w:pos="5400"/>
                        </w:tabs>
                        <w:suppressAutoHyphens/>
                        <w:spacing w:before="60"/>
                        <w:jc w:val="both"/>
                        <w:rPr>
                          <w:rFonts w:ascii="Cambria" w:hAnsi="Cambria" w:cs="Univers"/>
                          <w:color w:val="0D0D0D" w:themeColor="text1" w:themeTint="F2"/>
                          <w:sz w:val="18"/>
                          <w:szCs w:val="20"/>
                          <w:lang w:val="es-ES_tradnl"/>
                        </w:rPr>
                      </w:pPr>
                      <w:r w:rsidRPr="00335796">
                        <w:rPr>
                          <w:rFonts w:ascii="Cambria" w:hAnsi="Cambria"/>
                          <w:color w:val="0D0D0D" w:themeColor="text1" w:themeTint="F2"/>
                          <w:sz w:val="18"/>
                          <w:szCs w:val="20"/>
                          <w:lang w:val="es-ES"/>
                        </w:rPr>
                        <w:t>Aprobado por la Comisión en su sesión No. 2091 celebrada el 5 de julio de 2017</w:t>
                      </w:r>
                      <w:r w:rsidRPr="00335796">
                        <w:rPr>
                          <w:rFonts w:ascii="Cambria" w:hAnsi="Cambria"/>
                          <w:color w:val="0D0D0D" w:themeColor="text1" w:themeTint="F2"/>
                          <w:sz w:val="18"/>
                          <w:szCs w:val="20"/>
                          <w:lang w:val="es-ES"/>
                        </w:rPr>
                        <w:br/>
                      </w:r>
                      <w:r w:rsidRPr="00335796">
                        <w:rPr>
                          <w:rFonts w:ascii="Cambria" w:hAnsi="Cambria" w:cs="Univers"/>
                          <w:color w:val="0D0D0D" w:themeColor="text1" w:themeTint="F2"/>
                          <w:sz w:val="18"/>
                          <w:szCs w:val="20"/>
                          <w:lang w:val="es-ES_tradnl"/>
                        </w:rPr>
                        <w:t>163 período ordinario de sesiones</w:t>
                      </w:r>
                    </w:p>
                    <w:p w14:paraId="0D06C320" w14:textId="77777777" w:rsidR="00E6209A" w:rsidRPr="00871E6D" w:rsidRDefault="00E6209A" w:rsidP="00375D89">
                      <w:pPr>
                        <w:tabs>
                          <w:tab w:val="center" w:pos="5400"/>
                        </w:tabs>
                        <w:suppressAutoHyphens/>
                        <w:spacing w:before="60"/>
                        <w:jc w:val="both"/>
                        <w:rPr>
                          <w:rFonts w:ascii="Cambria" w:hAnsi="Cambria"/>
                          <w:color w:val="FFFFFF" w:themeColor="background1"/>
                          <w:spacing w:val="-2"/>
                          <w:sz w:val="16"/>
                          <w:lang w:val="es-ES"/>
                        </w:rPr>
                      </w:pPr>
                    </w:p>
                  </w:txbxContent>
                </v:textbox>
              </v:shape>
            </w:pict>
          </mc:Fallback>
        </mc:AlternateContent>
      </w:r>
    </w:p>
    <w:p w14:paraId="32647080"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523CA1C9"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7B177A33"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4EB80318"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045B8045"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r w:rsidRPr="00AC1C46">
        <w:rPr>
          <w:rFonts w:ascii="Cambria" w:hAnsi="Cambria"/>
          <w:noProof/>
          <w:color w:val="000000" w:themeColor="text1"/>
          <w:sz w:val="20"/>
          <w:szCs w:val="20"/>
        </w:rPr>
        <mc:AlternateContent>
          <mc:Choice Requires="wps">
            <w:drawing>
              <wp:anchor distT="0" distB="0" distL="114300" distR="114300" simplePos="0" relativeHeight="251663360" behindDoc="0" locked="0" layoutInCell="1" allowOverlap="1" wp14:anchorId="032C1A12" wp14:editId="4DF0CBE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407CC" w14:textId="77777777" w:rsidR="00E6209A" w:rsidRPr="00375D89" w:rsidRDefault="00E6209A" w:rsidP="00D12D33">
                            <w:pPr>
                              <w:spacing w:line="276" w:lineRule="auto"/>
                              <w:rPr>
                                <w:rFonts w:ascii="Cambria" w:hAnsi="Cambria"/>
                                <w:color w:val="595959" w:themeColor="text1" w:themeTint="A6"/>
                                <w:sz w:val="18"/>
                                <w:szCs w:val="18"/>
                                <w:lang w:val="es-MX"/>
                              </w:rPr>
                            </w:pPr>
                            <w:r w:rsidRPr="00335796">
                              <w:rPr>
                                <w:rFonts w:ascii="Cambria" w:hAnsi="Cambria"/>
                                <w:b/>
                                <w:color w:val="595959" w:themeColor="text1" w:themeTint="A6"/>
                                <w:sz w:val="18"/>
                                <w:szCs w:val="18"/>
                                <w:lang w:val="pt-BR"/>
                              </w:rPr>
                              <w:t>Citar como:</w:t>
                            </w:r>
                            <w:r w:rsidRPr="00335796">
                              <w:rPr>
                                <w:rFonts w:ascii="Cambria" w:hAnsi="Cambria"/>
                                <w:color w:val="595959" w:themeColor="text1" w:themeTint="A6"/>
                                <w:sz w:val="18"/>
                                <w:szCs w:val="18"/>
                                <w:lang w:val="pt-BR"/>
                              </w:rPr>
                              <w:t xml:space="preserve"> CIDH. Informe No. </w:t>
                            </w:r>
                            <w:r w:rsidRPr="00335796">
                              <w:rPr>
                                <w:rFonts w:ascii="Cambria" w:hAnsi="Cambria"/>
                                <w:color w:val="595959" w:themeColor="text1" w:themeTint="A6"/>
                                <w:sz w:val="18"/>
                                <w:szCs w:val="18"/>
                                <w:lang w:val="es-ES_tradnl"/>
                              </w:rPr>
                              <w:t xml:space="preserve">74/17, Caso 12.656. Fondo.Victorio Spoltore. Argentina. </w:t>
                            </w:r>
                            <w:r w:rsidRPr="00335796">
                              <w:rPr>
                                <w:rFonts w:ascii="Cambria" w:hAnsi="Cambria"/>
                                <w:color w:val="595959" w:themeColor="text1" w:themeTint="A6"/>
                                <w:sz w:val="18"/>
                                <w:szCs w:val="18"/>
                                <w:lang w:val="es-MX"/>
                              </w:rPr>
                              <w:t>5 de julio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C1A12" id="Text Box 10" o:spid="_x0000_s1030" type="#_x0000_t202" style="position:absolute;left:0;text-align:left;margin-left:105pt;margin-top:.45pt;width:389.2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FB407CC" w14:textId="77777777" w:rsidR="00E6209A" w:rsidRPr="00375D89" w:rsidRDefault="00E6209A" w:rsidP="00D12D33">
                      <w:pPr>
                        <w:spacing w:line="276" w:lineRule="auto"/>
                        <w:rPr>
                          <w:rFonts w:ascii="Cambria" w:hAnsi="Cambria"/>
                          <w:color w:val="595959" w:themeColor="text1" w:themeTint="A6"/>
                          <w:sz w:val="18"/>
                          <w:szCs w:val="18"/>
                          <w:lang w:val="es-MX"/>
                        </w:rPr>
                      </w:pPr>
                      <w:r w:rsidRPr="00335796">
                        <w:rPr>
                          <w:rFonts w:ascii="Cambria" w:hAnsi="Cambria"/>
                          <w:b/>
                          <w:color w:val="595959" w:themeColor="text1" w:themeTint="A6"/>
                          <w:sz w:val="18"/>
                          <w:szCs w:val="18"/>
                          <w:lang w:val="pt-BR"/>
                        </w:rPr>
                        <w:t>Citar como:</w:t>
                      </w:r>
                      <w:r w:rsidRPr="00335796">
                        <w:rPr>
                          <w:rFonts w:ascii="Cambria" w:hAnsi="Cambria"/>
                          <w:color w:val="595959" w:themeColor="text1" w:themeTint="A6"/>
                          <w:sz w:val="18"/>
                          <w:szCs w:val="18"/>
                          <w:lang w:val="pt-BR"/>
                        </w:rPr>
                        <w:t xml:space="preserve"> CIDH. Informe No. </w:t>
                      </w:r>
                      <w:r w:rsidRPr="00335796">
                        <w:rPr>
                          <w:rFonts w:ascii="Cambria" w:hAnsi="Cambria"/>
                          <w:color w:val="595959" w:themeColor="text1" w:themeTint="A6"/>
                          <w:sz w:val="18"/>
                          <w:szCs w:val="18"/>
                          <w:lang w:val="es-ES_tradnl"/>
                        </w:rPr>
                        <w:t xml:space="preserve">74/17, Caso 12.656. Fondo.Victorio Spoltore. Argentina. </w:t>
                      </w:r>
                      <w:r w:rsidRPr="00335796">
                        <w:rPr>
                          <w:rFonts w:ascii="Cambria" w:hAnsi="Cambria"/>
                          <w:color w:val="595959" w:themeColor="text1" w:themeTint="A6"/>
                          <w:sz w:val="18"/>
                          <w:szCs w:val="18"/>
                          <w:lang w:val="es-MX"/>
                        </w:rPr>
                        <w:t>5 de julio de 2017.</w:t>
                      </w:r>
                    </w:p>
                  </w:txbxContent>
                </v:textbox>
              </v:shape>
            </w:pict>
          </mc:Fallback>
        </mc:AlternateContent>
      </w:r>
    </w:p>
    <w:p w14:paraId="455494A8"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58D7D6B5" w14:textId="77777777" w:rsidR="00D12D33" w:rsidRPr="00AC1C46" w:rsidRDefault="00D12D33" w:rsidP="00AC1C46">
      <w:pPr>
        <w:tabs>
          <w:tab w:val="left" w:pos="720"/>
          <w:tab w:val="center" w:pos="5400"/>
        </w:tabs>
        <w:suppressAutoHyphens/>
        <w:ind w:firstLine="630"/>
        <w:jc w:val="both"/>
        <w:rPr>
          <w:rFonts w:ascii="Cambria" w:hAnsi="Cambria"/>
          <w:b/>
          <w:color w:val="000000" w:themeColor="text1"/>
          <w:sz w:val="20"/>
          <w:szCs w:val="20"/>
          <w:lang w:val="uz-Cyrl-UZ"/>
        </w:rPr>
      </w:pPr>
      <w:r w:rsidRPr="00AC1C46">
        <w:rPr>
          <w:rFonts w:ascii="Cambria" w:hAnsi="Cambria"/>
          <w:noProof/>
          <w:color w:val="000000" w:themeColor="text1"/>
          <w:sz w:val="20"/>
          <w:szCs w:val="20"/>
        </w:rPr>
        <mc:AlternateContent>
          <mc:Choice Requires="wps">
            <w:drawing>
              <wp:anchor distT="0" distB="0" distL="114300" distR="114300" simplePos="0" relativeHeight="251667456" behindDoc="0" locked="0" layoutInCell="1" allowOverlap="1" wp14:anchorId="29CA3814" wp14:editId="4DD630B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D7EFF" w14:textId="77777777" w:rsidR="00E6209A" w:rsidRPr="00D72DC6" w:rsidRDefault="00E6209A" w:rsidP="00D12D33">
                            <w:pPr>
                              <w:rPr>
                                <w:color w:val="FFFFFF" w:themeColor="background1"/>
                                <w14:textFill>
                                  <w14:noFill/>
                                </w14:textFill>
                              </w:rPr>
                            </w:pPr>
                            <w:r w:rsidRPr="00D72DC6">
                              <w:rPr>
                                <w:noProof/>
                                <w:color w:val="FFFFFF" w:themeColor="background1"/>
                                <w14:textFill>
                                  <w14:noFill/>
                                </w14:textFill>
                              </w:rPr>
                              <w:drawing>
                                <wp:inline distT="0" distB="0" distL="0" distR="0" wp14:anchorId="7033297D" wp14:editId="75CB8F1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A3814" id="Text Box 9" o:spid="_x0000_s1031" type="#_x0000_t202" style="position:absolute;left:0;text-align:left;margin-left:104.7pt;margin-top:50.3pt;width:322.55pt;height:4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1ED7EFF" w14:textId="77777777" w:rsidR="00E6209A" w:rsidRPr="00D72DC6" w:rsidRDefault="00E6209A" w:rsidP="00D12D33">
                      <w:pPr>
                        <w:rPr>
                          <w:color w:val="FFFFFF" w:themeColor="background1"/>
                          <w14:textFill>
                            <w14:noFill/>
                          </w14:textFill>
                        </w:rPr>
                      </w:pPr>
                      <w:r w:rsidRPr="00D72DC6">
                        <w:rPr>
                          <w:noProof/>
                          <w:color w:val="FFFFFF" w:themeColor="background1"/>
                          <w14:textFill>
                            <w14:noFill/>
                          </w14:textFill>
                        </w:rPr>
                        <w:drawing>
                          <wp:inline distT="0" distB="0" distL="0" distR="0" wp14:anchorId="7033297D" wp14:editId="75CB8F14">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C1C46">
        <w:rPr>
          <w:rFonts w:ascii="Cambria" w:hAnsi="Cambria"/>
          <w:noProof/>
          <w:color w:val="000000" w:themeColor="text1"/>
          <w:sz w:val="20"/>
          <w:szCs w:val="20"/>
        </w:rPr>
        <mc:AlternateContent>
          <mc:Choice Requires="wps">
            <w:drawing>
              <wp:anchor distT="0" distB="0" distL="114300" distR="114300" simplePos="0" relativeHeight="251671552" behindDoc="0" locked="0" layoutInCell="1" allowOverlap="1" wp14:anchorId="2D184B21" wp14:editId="1806F89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28E4E" w14:textId="77777777" w:rsidR="00E6209A" w:rsidRPr="004B7EB6" w:rsidRDefault="00E6209A" w:rsidP="00D12D33">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84B21" id="Text Box 4" o:spid="_x0000_s1032" type="#_x0000_t202" style="position:absolute;left:0;text-align:left;margin-left:-21.45pt;margin-top:72.05pt;width:93pt;height:2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7D28E4E" w14:textId="77777777" w:rsidR="00E6209A" w:rsidRPr="004B7EB6" w:rsidRDefault="00E6209A" w:rsidP="00D12D33">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B54CA3F" w14:textId="77777777" w:rsidR="00D12D33" w:rsidRPr="00AC1C46" w:rsidRDefault="00D12D33" w:rsidP="00AC1C46">
      <w:pPr>
        <w:tabs>
          <w:tab w:val="left" w:pos="720"/>
          <w:tab w:val="center" w:pos="5400"/>
        </w:tabs>
        <w:suppressAutoHyphens/>
        <w:ind w:firstLine="630"/>
        <w:jc w:val="both"/>
        <w:rPr>
          <w:rFonts w:ascii="Cambria" w:hAnsi="Cambria"/>
          <w:b/>
          <w:color w:val="000000" w:themeColor="text1"/>
          <w:sz w:val="20"/>
          <w:szCs w:val="20"/>
          <w:lang w:val="uz-Cyrl-UZ"/>
        </w:rPr>
        <w:sectPr w:rsidR="00D12D33" w:rsidRPr="00AC1C46" w:rsidSect="00D12D33">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p>
    <w:p w14:paraId="2EDFD3B1" w14:textId="77777777" w:rsidR="00D12D33" w:rsidRPr="00AC1C46" w:rsidRDefault="00D12D33" w:rsidP="00AC1C46">
      <w:pPr>
        <w:tabs>
          <w:tab w:val="left" w:pos="720"/>
          <w:tab w:val="center" w:pos="5400"/>
        </w:tabs>
        <w:suppressAutoHyphens/>
        <w:ind w:firstLine="630"/>
        <w:jc w:val="center"/>
        <w:rPr>
          <w:rFonts w:ascii="Cambria" w:hAnsi="Cambria"/>
          <w:b/>
          <w:color w:val="000000" w:themeColor="text1"/>
          <w:sz w:val="20"/>
          <w:szCs w:val="20"/>
          <w:lang w:val="uz-Cyrl-UZ"/>
        </w:rPr>
      </w:pPr>
      <w:r w:rsidRPr="00AC1C46">
        <w:rPr>
          <w:rFonts w:ascii="Cambria" w:hAnsi="Cambria"/>
          <w:b/>
          <w:color w:val="000000" w:themeColor="text1"/>
          <w:sz w:val="20"/>
          <w:szCs w:val="20"/>
          <w:lang w:val="uz-Cyrl-UZ"/>
        </w:rPr>
        <w:lastRenderedPageBreak/>
        <w:t xml:space="preserve">INFORME No. </w:t>
      </w:r>
      <w:r w:rsidR="00335796">
        <w:rPr>
          <w:rFonts w:ascii="Cambria" w:hAnsi="Cambria"/>
          <w:b/>
          <w:color w:val="000000" w:themeColor="text1"/>
          <w:sz w:val="20"/>
          <w:szCs w:val="20"/>
          <w:lang w:val="uz-Cyrl-UZ"/>
        </w:rPr>
        <w:t>74</w:t>
      </w:r>
      <w:r w:rsidRPr="00AC1C46">
        <w:rPr>
          <w:rFonts w:ascii="Cambria" w:hAnsi="Cambria"/>
          <w:b/>
          <w:color w:val="000000" w:themeColor="text1"/>
          <w:sz w:val="20"/>
          <w:szCs w:val="20"/>
          <w:lang w:val="uz-Cyrl-UZ"/>
        </w:rPr>
        <w:t>/17</w:t>
      </w:r>
    </w:p>
    <w:p w14:paraId="5BC8EA11" w14:textId="77777777" w:rsidR="00D12D33" w:rsidRPr="00AC1C46" w:rsidRDefault="00D12D33" w:rsidP="00AC1C46">
      <w:pPr>
        <w:tabs>
          <w:tab w:val="left" w:pos="720"/>
          <w:tab w:val="center" w:pos="5400"/>
        </w:tabs>
        <w:suppressAutoHyphens/>
        <w:ind w:firstLine="630"/>
        <w:jc w:val="center"/>
        <w:rPr>
          <w:rFonts w:ascii="Cambria" w:hAnsi="Cambria"/>
          <w:b/>
          <w:color w:val="000000" w:themeColor="text1"/>
          <w:sz w:val="20"/>
          <w:szCs w:val="20"/>
          <w:lang w:val="uz-Cyrl-UZ"/>
        </w:rPr>
      </w:pPr>
      <w:r w:rsidRPr="00AC1C46">
        <w:rPr>
          <w:rFonts w:ascii="Cambria" w:hAnsi="Cambria"/>
          <w:b/>
          <w:color w:val="000000" w:themeColor="text1"/>
          <w:sz w:val="20"/>
          <w:szCs w:val="20"/>
          <w:lang w:val="uz-Cyrl-UZ"/>
        </w:rPr>
        <w:t>CASO 12.656</w:t>
      </w:r>
    </w:p>
    <w:p w14:paraId="45C873EE" w14:textId="77777777" w:rsidR="00D12D33" w:rsidRPr="00AC1C46" w:rsidRDefault="00D12D33" w:rsidP="00AC1C46">
      <w:pPr>
        <w:tabs>
          <w:tab w:val="left" w:pos="720"/>
          <w:tab w:val="center" w:pos="5400"/>
        </w:tabs>
        <w:suppressAutoHyphens/>
        <w:ind w:firstLine="630"/>
        <w:jc w:val="center"/>
        <w:rPr>
          <w:rFonts w:ascii="Cambria" w:hAnsi="Cambria"/>
          <w:color w:val="000000" w:themeColor="text1"/>
          <w:sz w:val="20"/>
          <w:szCs w:val="20"/>
          <w:lang w:val="uz-Cyrl-UZ"/>
        </w:rPr>
      </w:pPr>
      <w:r w:rsidRPr="00AC1C46">
        <w:rPr>
          <w:rFonts w:ascii="Cambria" w:hAnsi="Cambria"/>
          <w:color w:val="000000" w:themeColor="text1"/>
          <w:sz w:val="20"/>
          <w:szCs w:val="20"/>
          <w:lang w:val="uz-Cyrl-UZ"/>
        </w:rPr>
        <w:t>INFORME DE FONDO</w:t>
      </w:r>
    </w:p>
    <w:p w14:paraId="36143E90" w14:textId="77777777" w:rsidR="00D12D33" w:rsidRPr="00AC1C46" w:rsidRDefault="00D12D33" w:rsidP="00AC1C46">
      <w:pPr>
        <w:tabs>
          <w:tab w:val="left" w:pos="720"/>
          <w:tab w:val="center" w:pos="5400"/>
        </w:tabs>
        <w:suppressAutoHyphens/>
        <w:ind w:firstLine="630"/>
        <w:jc w:val="center"/>
        <w:rPr>
          <w:rFonts w:ascii="Cambria" w:hAnsi="Cambria"/>
          <w:color w:val="000000" w:themeColor="text1"/>
          <w:sz w:val="20"/>
          <w:szCs w:val="20"/>
          <w:lang w:val="uz-Cyrl-UZ"/>
        </w:rPr>
      </w:pPr>
      <w:r w:rsidRPr="00AC1C46">
        <w:rPr>
          <w:rFonts w:ascii="Cambria" w:hAnsi="Cambria"/>
          <w:color w:val="000000" w:themeColor="text1"/>
          <w:sz w:val="20"/>
          <w:szCs w:val="20"/>
          <w:lang w:val="uz-Cyrl-UZ"/>
        </w:rPr>
        <w:t>VICTORIO SPOLTORE</w:t>
      </w:r>
    </w:p>
    <w:p w14:paraId="41B0F0A1" w14:textId="77777777" w:rsidR="00D12D33" w:rsidRPr="00AC1C46" w:rsidRDefault="00D12D33" w:rsidP="00AC1C46">
      <w:pPr>
        <w:tabs>
          <w:tab w:val="left" w:pos="720"/>
          <w:tab w:val="center" w:pos="5400"/>
        </w:tabs>
        <w:suppressAutoHyphens/>
        <w:ind w:firstLine="630"/>
        <w:jc w:val="center"/>
        <w:rPr>
          <w:rFonts w:ascii="Cambria" w:hAnsi="Cambria"/>
          <w:color w:val="000000" w:themeColor="text1"/>
          <w:sz w:val="20"/>
          <w:szCs w:val="20"/>
          <w:lang w:val="uz-Cyrl-UZ"/>
        </w:rPr>
      </w:pPr>
      <w:r w:rsidRPr="00AC1C46">
        <w:rPr>
          <w:rFonts w:ascii="Cambria" w:hAnsi="Cambria"/>
          <w:color w:val="000000" w:themeColor="text1"/>
          <w:sz w:val="20"/>
          <w:szCs w:val="20"/>
          <w:lang w:val="uz-Cyrl-UZ"/>
        </w:rPr>
        <w:t>ARGENTINA</w:t>
      </w:r>
    </w:p>
    <w:p w14:paraId="3C0C33EB" w14:textId="77777777" w:rsidR="00D12D33" w:rsidRPr="00AC1C46" w:rsidRDefault="00335796" w:rsidP="00AC1C46">
      <w:pPr>
        <w:tabs>
          <w:tab w:val="left" w:pos="720"/>
          <w:tab w:val="center" w:pos="5400"/>
        </w:tabs>
        <w:suppressAutoHyphens/>
        <w:ind w:firstLine="630"/>
        <w:jc w:val="center"/>
        <w:rPr>
          <w:rFonts w:ascii="Cambria" w:hAnsi="Cambria"/>
          <w:color w:val="000000" w:themeColor="text1"/>
          <w:sz w:val="20"/>
          <w:szCs w:val="20"/>
          <w:lang w:val="uz-Cyrl-UZ"/>
        </w:rPr>
      </w:pPr>
      <w:r>
        <w:rPr>
          <w:rFonts w:ascii="Cambria" w:hAnsi="Cambria"/>
          <w:color w:val="000000" w:themeColor="text1"/>
          <w:sz w:val="20"/>
          <w:szCs w:val="20"/>
          <w:lang w:val="uz-Cyrl-UZ"/>
        </w:rPr>
        <w:t>5</w:t>
      </w:r>
      <w:r w:rsidR="00D12D33" w:rsidRPr="00AC1C46">
        <w:rPr>
          <w:rFonts w:ascii="Cambria" w:hAnsi="Cambria"/>
          <w:color w:val="000000" w:themeColor="text1"/>
          <w:sz w:val="20"/>
          <w:szCs w:val="20"/>
          <w:lang w:val="uz-Cyrl-UZ"/>
        </w:rPr>
        <w:t xml:space="preserve"> DE JULIO DE 2017</w:t>
      </w:r>
    </w:p>
    <w:p w14:paraId="3B3099A2" w14:textId="77777777" w:rsidR="00D12D33" w:rsidRPr="00AC1C46" w:rsidRDefault="00D12D33" w:rsidP="00AC1C46">
      <w:pPr>
        <w:tabs>
          <w:tab w:val="left" w:pos="720"/>
          <w:tab w:val="center" w:pos="5400"/>
        </w:tabs>
        <w:suppressAutoHyphens/>
        <w:ind w:firstLine="630"/>
        <w:jc w:val="both"/>
        <w:rPr>
          <w:rFonts w:ascii="Cambria" w:hAnsi="Cambria"/>
          <w:color w:val="000000" w:themeColor="text1"/>
          <w:sz w:val="20"/>
          <w:szCs w:val="20"/>
          <w:lang w:val="uz-Cyrl-UZ"/>
        </w:rPr>
      </w:pPr>
    </w:p>
    <w:p w14:paraId="5282BED5" w14:textId="77777777" w:rsidR="00D66085" w:rsidRPr="00AC1C46" w:rsidRDefault="004530A0" w:rsidP="00AC1C46">
      <w:pPr>
        <w:tabs>
          <w:tab w:val="left" w:pos="720"/>
          <w:tab w:val="center" w:pos="5400"/>
        </w:tabs>
        <w:suppressAutoHyphens/>
        <w:ind w:firstLine="630"/>
        <w:jc w:val="center"/>
        <w:rPr>
          <w:rFonts w:ascii="Cambria" w:hAnsi="Cambria"/>
          <w:b/>
          <w:color w:val="000000" w:themeColor="text1"/>
          <w:sz w:val="20"/>
          <w:szCs w:val="20"/>
          <w:lang w:val="uz-Cyrl-UZ"/>
        </w:rPr>
      </w:pPr>
      <w:r w:rsidRPr="00AC1C46">
        <w:rPr>
          <w:rFonts w:ascii="Cambria" w:hAnsi="Cambria"/>
          <w:b/>
          <w:color w:val="000000" w:themeColor="text1"/>
          <w:sz w:val="20"/>
          <w:szCs w:val="20"/>
          <w:lang w:val="uz-Cyrl-UZ"/>
        </w:rPr>
        <w:t>ÍNDICE</w:t>
      </w:r>
    </w:p>
    <w:sdt>
      <w:sdtPr>
        <w:rPr>
          <w:rFonts w:ascii="Cambria" w:eastAsia="Arial Unicode MS" w:hAnsi="Cambria" w:cs="Times New Roman"/>
          <w:color w:val="auto"/>
          <w:sz w:val="24"/>
          <w:szCs w:val="24"/>
          <w:bdr w:val="nil"/>
        </w:rPr>
        <w:id w:val="903256419"/>
        <w:docPartObj>
          <w:docPartGallery w:val="Table of Contents"/>
          <w:docPartUnique/>
        </w:docPartObj>
      </w:sdtPr>
      <w:sdtEndPr>
        <w:rPr>
          <w:b/>
          <w:bCs/>
          <w:noProof/>
          <w:sz w:val="20"/>
        </w:rPr>
      </w:sdtEndPr>
      <w:sdtContent>
        <w:p w14:paraId="7CDFC931" w14:textId="77777777" w:rsidR="00D66085" w:rsidRPr="00AC1C46" w:rsidRDefault="00D66085" w:rsidP="00AC1C46">
          <w:pPr>
            <w:pStyle w:val="TOCHeading"/>
            <w:spacing w:before="0" w:line="480" w:lineRule="auto"/>
            <w:jc w:val="both"/>
            <w:rPr>
              <w:rFonts w:ascii="Cambria" w:hAnsi="Cambria"/>
              <w:sz w:val="24"/>
            </w:rPr>
          </w:pPr>
        </w:p>
        <w:p w14:paraId="30365882" w14:textId="77777777" w:rsidR="00D66085" w:rsidRPr="00AC1C46" w:rsidRDefault="00D66085" w:rsidP="00AC1C46">
          <w:pPr>
            <w:pStyle w:val="TOC1"/>
            <w:tabs>
              <w:tab w:val="left" w:pos="480"/>
              <w:tab w:val="right" w:leader="dot" w:pos="8990"/>
            </w:tabs>
            <w:spacing w:after="0" w:line="480" w:lineRule="auto"/>
            <w:jc w:val="both"/>
            <w:rPr>
              <w:rFonts w:ascii="Cambria" w:eastAsiaTheme="minorEastAsia" w:hAnsi="Cambria" w:cstheme="minorBidi"/>
              <w:b/>
              <w:noProof/>
              <w:sz w:val="18"/>
              <w:szCs w:val="22"/>
              <w:bdr w:val="none" w:sz="0" w:space="0" w:color="auto"/>
            </w:rPr>
          </w:pPr>
          <w:r w:rsidRPr="00AC1C46">
            <w:rPr>
              <w:rFonts w:ascii="Cambria" w:hAnsi="Cambria"/>
              <w:sz w:val="20"/>
            </w:rPr>
            <w:fldChar w:fldCharType="begin"/>
          </w:r>
          <w:r w:rsidRPr="00AC1C46">
            <w:rPr>
              <w:rFonts w:ascii="Cambria" w:hAnsi="Cambria"/>
              <w:sz w:val="20"/>
            </w:rPr>
            <w:instrText xml:space="preserve"> TOC \o "1-3" \h \z \u </w:instrText>
          </w:r>
          <w:r w:rsidRPr="00AC1C46">
            <w:rPr>
              <w:rFonts w:ascii="Cambria" w:hAnsi="Cambria"/>
              <w:sz w:val="20"/>
            </w:rPr>
            <w:fldChar w:fldCharType="separate"/>
          </w:r>
          <w:hyperlink w:anchor="_Toc491078729" w:history="1">
            <w:r w:rsidRPr="00AC1C46">
              <w:rPr>
                <w:rStyle w:val="Hyperlink"/>
                <w:rFonts w:ascii="Cambria" w:hAnsi="Cambria"/>
                <w:b/>
                <w:noProof/>
                <w:sz w:val="20"/>
                <w:lang w:val="es-VE"/>
              </w:rPr>
              <w:t>I.</w:t>
            </w:r>
            <w:r w:rsidRPr="00AC1C46">
              <w:rPr>
                <w:rFonts w:ascii="Cambria" w:eastAsiaTheme="minorEastAsia" w:hAnsi="Cambria" w:cstheme="minorBidi"/>
                <w:b/>
                <w:noProof/>
                <w:sz w:val="18"/>
                <w:szCs w:val="22"/>
                <w:bdr w:val="none" w:sz="0" w:space="0" w:color="auto"/>
              </w:rPr>
              <w:tab/>
            </w:r>
            <w:r w:rsidRPr="00AC1C46">
              <w:rPr>
                <w:rStyle w:val="Hyperlink"/>
                <w:rFonts w:ascii="Cambria" w:hAnsi="Cambria"/>
                <w:b/>
                <w:noProof/>
                <w:sz w:val="20"/>
                <w:lang w:val="uz-Cyrl-UZ"/>
              </w:rPr>
              <w:t>RESUMEN</w:t>
            </w:r>
            <w:r w:rsidRPr="00AC1C46">
              <w:rPr>
                <w:rFonts w:ascii="Cambria" w:hAnsi="Cambria"/>
                <w:b/>
                <w:noProof/>
                <w:webHidden/>
                <w:sz w:val="20"/>
              </w:rPr>
              <w:tab/>
            </w:r>
            <w:r w:rsidRPr="00AC1C46">
              <w:rPr>
                <w:rFonts w:ascii="Cambria" w:hAnsi="Cambria"/>
                <w:b/>
                <w:noProof/>
                <w:webHidden/>
                <w:sz w:val="20"/>
              </w:rPr>
              <w:fldChar w:fldCharType="begin"/>
            </w:r>
            <w:r w:rsidRPr="00AC1C46">
              <w:rPr>
                <w:rFonts w:ascii="Cambria" w:hAnsi="Cambria"/>
                <w:b/>
                <w:noProof/>
                <w:webHidden/>
                <w:sz w:val="20"/>
              </w:rPr>
              <w:instrText xml:space="preserve"> PAGEREF _Toc491078729 \h </w:instrText>
            </w:r>
            <w:r w:rsidRPr="00AC1C46">
              <w:rPr>
                <w:rFonts w:ascii="Cambria" w:hAnsi="Cambria"/>
                <w:b/>
                <w:noProof/>
                <w:webHidden/>
                <w:sz w:val="20"/>
              </w:rPr>
            </w:r>
            <w:r w:rsidRPr="00AC1C46">
              <w:rPr>
                <w:rFonts w:ascii="Cambria" w:hAnsi="Cambria"/>
                <w:b/>
                <w:noProof/>
                <w:webHidden/>
                <w:sz w:val="20"/>
              </w:rPr>
              <w:fldChar w:fldCharType="separate"/>
            </w:r>
            <w:r w:rsidR="00A837A4" w:rsidRPr="00AC1C46">
              <w:rPr>
                <w:rFonts w:ascii="Cambria" w:hAnsi="Cambria"/>
                <w:b/>
                <w:noProof/>
                <w:webHidden/>
                <w:sz w:val="20"/>
              </w:rPr>
              <w:t>2</w:t>
            </w:r>
            <w:r w:rsidRPr="00AC1C46">
              <w:rPr>
                <w:rFonts w:ascii="Cambria" w:hAnsi="Cambria"/>
                <w:b/>
                <w:noProof/>
                <w:webHidden/>
                <w:sz w:val="20"/>
              </w:rPr>
              <w:fldChar w:fldCharType="end"/>
            </w:r>
          </w:hyperlink>
        </w:p>
        <w:p w14:paraId="2FEE48DF" w14:textId="77777777" w:rsidR="00D66085" w:rsidRPr="00AC1C46" w:rsidRDefault="00BA3731" w:rsidP="00AC1C46">
          <w:pPr>
            <w:pStyle w:val="TOC1"/>
            <w:tabs>
              <w:tab w:val="left" w:pos="480"/>
              <w:tab w:val="right" w:leader="dot" w:pos="8990"/>
            </w:tabs>
            <w:spacing w:after="0" w:line="480" w:lineRule="auto"/>
            <w:jc w:val="both"/>
            <w:rPr>
              <w:rFonts w:ascii="Cambria" w:eastAsiaTheme="minorEastAsia" w:hAnsi="Cambria" w:cstheme="minorBidi"/>
              <w:b/>
              <w:noProof/>
              <w:sz w:val="18"/>
              <w:szCs w:val="22"/>
              <w:bdr w:val="none" w:sz="0" w:space="0" w:color="auto"/>
            </w:rPr>
          </w:pPr>
          <w:hyperlink w:anchor="_Toc491078730" w:history="1">
            <w:r w:rsidR="00D66085" w:rsidRPr="00AC1C46">
              <w:rPr>
                <w:rStyle w:val="Hyperlink"/>
                <w:rFonts w:ascii="Cambria" w:hAnsi="Cambria" w:cs="Arial"/>
                <w:b/>
                <w:iCs/>
                <w:noProof/>
                <w:sz w:val="20"/>
                <w:lang w:val="es-VE"/>
              </w:rPr>
              <w:t>II.</w:t>
            </w:r>
            <w:r w:rsidR="00D66085" w:rsidRPr="00AC1C46">
              <w:rPr>
                <w:rFonts w:ascii="Cambria" w:eastAsiaTheme="minorEastAsia" w:hAnsi="Cambria" w:cstheme="minorBidi"/>
                <w:b/>
                <w:noProof/>
                <w:sz w:val="18"/>
                <w:szCs w:val="22"/>
                <w:bdr w:val="none" w:sz="0" w:space="0" w:color="auto"/>
              </w:rPr>
              <w:tab/>
            </w:r>
            <w:r w:rsidR="00D66085" w:rsidRPr="00AC1C46">
              <w:rPr>
                <w:rStyle w:val="Hyperlink"/>
                <w:rFonts w:ascii="Cambria" w:hAnsi="Cambria" w:cs="Arial"/>
                <w:b/>
                <w:iCs/>
                <w:noProof/>
                <w:sz w:val="20"/>
                <w:lang w:val="uz-Cyrl-UZ"/>
              </w:rPr>
              <w:t xml:space="preserve">TRÁMITE DEL </w:t>
            </w:r>
            <w:r w:rsidR="00D66085" w:rsidRPr="00AC1C46">
              <w:rPr>
                <w:rStyle w:val="Hyperlink"/>
                <w:rFonts w:ascii="Cambria" w:hAnsi="Cambria"/>
                <w:b/>
                <w:iCs/>
                <w:noProof/>
                <w:sz w:val="20"/>
                <w:lang w:val="uz-Cyrl-UZ"/>
              </w:rPr>
              <w:t>CASO</w:t>
            </w:r>
            <w:r w:rsidR="00D66085" w:rsidRPr="00AC1C46">
              <w:rPr>
                <w:rStyle w:val="Hyperlink"/>
                <w:rFonts w:ascii="Cambria" w:hAnsi="Cambria" w:cs="Arial"/>
                <w:b/>
                <w:iCs/>
                <w:noProof/>
                <w:sz w:val="20"/>
                <w:lang w:val="uz-Cyrl-UZ"/>
              </w:rPr>
              <w:t xml:space="preserve"> DESDE EL INFORME DE ADMISIBILIDAD</w:t>
            </w:r>
            <w:r w:rsidR="00D66085" w:rsidRPr="00AC1C46">
              <w:rPr>
                <w:rFonts w:ascii="Cambria" w:hAnsi="Cambria"/>
                <w:b/>
                <w:noProof/>
                <w:webHidden/>
                <w:sz w:val="20"/>
              </w:rPr>
              <w:tab/>
            </w:r>
            <w:r w:rsidR="00D66085" w:rsidRPr="00AC1C46">
              <w:rPr>
                <w:rFonts w:ascii="Cambria" w:hAnsi="Cambria"/>
                <w:b/>
                <w:noProof/>
                <w:webHidden/>
                <w:sz w:val="20"/>
              </w:rPr>
              <w:fldChar w:fldCharType="begin"/>
            </w:r>
            <w:r w:rsidR="00D66085" w:rsidRPr="00AC1C46">
              <w:rPr>
                <w:rFonts w:ascii="Cambria" w:hAnsi="Cambria"/>
                <w:b/>
                <w:noProof/>
                <w:webHidden/>
                <w:sz w:val="20"/>
              </w:rPr>
              <w:instrText xml:space="preserve"> PAGEREF _Toc491078730 \h </w:instrText>
            </w:r>
            <w:r w:rsidR="00D66085" w:rsidRPr="00AC1C46">
              <w:rPr>
                <w:rFonts w:ascii="Cambria" w:hAnsi="Cambria"/>
                <w:b/>
                <w:noProof/>
                <w:webHidden/>
                <w:sz w:val="20"/>
              </w:rPr>
            </w:r>
            <w:r w:rsidR="00D66085" w:rsidRPr="00AC1C46">
              <w:rPr>
                <w:rFonts w:ascii="Cambria" w:hAnsi="Cambria"/>
                <w:b/>
                <w:noProof/>
                <w:webHidden/>
                <w:sz w:val="20"/>
              </w:rPr>
              <w:fldChar w:fldCharType="separate"/>
            </w:r>
            <w:r w:rsidR="00A837A4" w:rsidRPr="00AC1C46">
              <w:rPr>
                <w:rFonts w:ascii="Cambria" w:hAnsi="Cambria"/>
                <w:b/>
                <w:noProof/>
                <w:webHidden/>
                <w:sz w:val="20"/>
              </w:rPr>
              <w:t>2</w:t>
            </w:r>
            <w:r w:rsidR="00D66085" w:rsidRPr="00AC1C46">
              <w:rPr>
                <w:rFonts w:ascii="Cambria" w:hAnsi="Cambria"/>
                <w:b/>
                <w:noProof/>
                <w:webHidden/>
                <w:sz w:val="20"/>
              </w:rPr>
              <w:fldChar w:fldCharType="end"/>
            </w:r>
          </w:hyperlink>
        </w:p>
        <w:p w14:paraId="636E5E17" w14:textId="77777777" w:rsidR="00D66085" w:rsidRPr="00AC1C46" w:rsidRDefault="00BA3731" w:rsidP="00AC1C46">
          <w:pPr>
            <w:pStyle w:val="TOC1"/>
            <w:tabs>
              <w:tab w:val="left" w:pos="660"/>
              <w:tab w:val="right" w:leader="dot" w:pos="8990"/>
            </w:tabs>
            <w:spacing w:after="0" w:line="480" w:lineRule="auto"/>
            <w:jc w:val="both"/>
            <w:rPr>
              <w:rFonts w:ascii="Cambria" w:eastAsiaTheme="minorEastAsia" w:hAnsi="Cambria" w:cstheme="minorBidi"/>
              <w:b/>
              <w:noProof/>
              <w:sz w:val="18"/>
              <w:szCs w:val="22"/>
              <w:bdr w:val="none" w:sz="0" w:space="0" w:color="auto"/>
            </w:rPr>
          </w:pPr>
          <w:hyperlink w:anchor="_Toc491078731" w:history="1">
            <w:r w:rsidR="00D66085" w:rsidRPr="00AC1C46">
              <w:rPr>
                <w:rStyle w:val="Hyperlink"/>
                <w:rFonts w:ascii="Cambria" w:hAnsi="Cambria"/>
                <w:b/>
                <w:noProof/>
                <w:sz w:val="20"/>
                <w:lang w:val="es-VE"/>
              </w:rPr>
              <w:t>III.</w:t>
            </w:r>
            <w:r w:rsidR="00D66085" w:rsidRPr="00AC1C46">
              <w:rPr>
                <w:rFonts w:ascii="Cambria" w:eastAsiaTheme="minorEastAsia" w:hAnsi="Cambria" w:cstheme="minorBidi"/>
                <w:b/>
                <w:noProof/>
                <w:sz w:val="18"/>
                <w:szCs w:val="22"/>
                <w:bdr w:val="none" w:sz="0" w:space="0" w:color="auto"/>
              </w:rPr>
              <w:tab/>
            </w:r>
            <w:r w:rsidR="00D66085" w:rsidRPr="00AC1C46">
              <w:rPr>
                <w:rStyle w:val="Hyperlink"/>
                <w:rFonts w:ascii="Cambria" w:hAnsi="Cambria"/>
                <w:b/>
                <w:noProof/>
                <w:sz w:val="20"/>
                <w:lang w:val="uz-Cyrl-UZ"/>
              </w:rPr>
              <w:t>POSICIONES DE LAS PARTES</w:t>
            </w:r>
            <w:r w:rsidR="00D66085" w:rsidRPr="00AC1C46">
              <w:rPr>
                <w:rFonts w:ascii="Cambria" w:hAnsi="Cambria"/>
                <w:b/>
                <w:noProof/>
                <w:webHidden/>
                <w:sz w:val="20"/>
              </w:rPr>
              <w:tab/>
            </w:r>
            <w:r w:rsidR="00D66085" w:rsidRPr="00AC1C46">
              <w:rPr>
                <w:rFonts w:ascii="Cambria" w:hAnsi="Cambria"/>
                <w:b/>
                <w:noProof/>
                <w:webHidden/>
                <w:sz w:val="20"/>
              </w:rPr>
              <w:fldChar w:fldCharType="begin"/>
            </w:r>
            <w:r w:rsidR="00D66085" w:rsidRPr="00AC1C46">
              <w:rPr>
                <w:rFonts w:ascii="Cambria" w:hAnsi="Cambria"/>
                <w:b/>
                <w:noProof/>
                <w:webHidden/>
                <w:sz w:val="20"/>
              </w:rPr>
              <w:instrText xml:space="preserve"> PAGEREF _Toc491078731 \h </w:instrText>
            </w:r>
            <w:r w:rsidR="00D66085" w:rsidRPr="00AC1C46">
              <w:rPr>
                <w:rFonts w:ascii="Cambria" w:hAnsi="Cambria"/>
                <w:b/>
                <w:noProof/>
                <w:webHidden/>
                <w:sz w:val="20"/>
              </w:rPr>
            </w:r>
            <w:r w:rsidR="00D66085" w:rsidRPr="00AC1C46">
              <w:rPr>
                <w:rFonts w:ascii="Cambria" w:hAnsi="Cambria"/>
                <w:b/>
                <w:noProof/>
                <w:webHidden/>
                <w:sz w:val="20"/>
              </w:rPr>
              <w:fldChar w:fldCharType="separate"/>
            </w:r>
            <w:r w:rsidR="00A837A4" w:rsidRPr="00AC1C46">
              <w:rPr>
                <w:rFonts w:ascii="Cambria" w:hAnsi="Cambria"/>
                <w:b/>
                <w:noProof/>
                <w:webHidden/>
                <w:sz w:val="20"/>
              </w:rPr>
              <w:t>3</w:t>
            </w:r>
            <w:r w:rsidR="00D66085" w:rsidRPr="00AC1C46">
              <w:rPr>
                <w:rFonts w:ascii="Cambria" w:hAnsi="Cambria"/>
                <w:b/>
                <w:noProof/>
                <w:webHidden/>
                <w:sz w:val="20"/>
              </w:rPr>
              <w:fldChar w:fldCharType="end"/>
            </w:r>
          </w:hyperlink>
        </w:p>
        <w:p w14:paraId="1C1C7259" w14:textId="77777777" w:rsidR="00D66085" w:rsidRPr="00AC1C46" w:rsidRDefault="00BA3731" w:rsidP="00AC1C46">
          <w:pPr>
            <w:pStyle w:val="TOC2"/>
            <w:tabs>
              <w:tab w:val="left" w:pos="660"/>
              <w:tab w:val="right" w:leader="dot" w:pos="8990"/>
            </w:tabs>
            <w:spacing w:after="0" w:line="480" w:lineRule="auto"/>
            <w:jc w:val="both"/>
            <w:rPr>
              <w:rFonts w:ascii="Cambria" w:eastAsiaTheme="minorEastAsia" w:hAnsi="Cambria" w:cstheme="minorBidi"/>
              <w:noProof/>
              <w:sz w:val="18"/>
              <w:szCs w:val="22"/>
              <w:bdr w:val="none" w:sz="0" w:space="0" w:color="auto"/>
            </w:rPr>
          </w:pPr>
          <w:hyperlink w:anchor="_Toc491078732" w:history="1">
            <w:r w:rsidR="00D66085" w:rsidRPr="00AC1C46">
              <w:rPr>
                <w:rStyle w:val="Hyperlink"/>
                <w:rFonts w:ascii="Cambria" w:hAnsi="Cambria"/>
                <w:noProof/>
                <w:sz w:val="20"/>
                <w:lang w:val="uz-Cyrl-UZ"/>
              </w:rPr>
              <w:t>A.</w:t>
            </w:r>
            <w:r w:rsidR="00D66085" w:rsidRPr="00AC1C46">
              <w:rPr>
                <w:rFonts w:ascii="Cambria" w:eastAsiaTheme="minorEastAsia" w:hAnsi="Cambria" w:cstheme="minorBidi"/>
                <w:noProof/>
                <w:sz w:val="18"/>
                <w:szCs w:val="22"/>
                <w:bdr w:val="none" w:sz="0" w:space="0" w:color="auto"/>
              </w:rPr>
              <w:tab/>
            </w:r>
            <w:r w:rsidR="00D66085" w:rsidRPr="00AC1C46">
              <w:rPr>
                <w:rStyle w:val="Hyperlink"/>
                <w:rFonts w:ascii="Cambria" w:hAnsi="Cambria"/>
                <w:noProof/>
                <w:sz w:val="20"/>
                <w:lang w:val="uz-Cyrl-UZ"/>
              </w:rPr>
              <w:t>Posición del peticionario</w:t>
            </w:r>
            <w:r w:rsidR="00D66085" w:rsidRPr="00AC1C46">
              <w:rPr>
                <w:rFonts w:ascii="Cambria" w:hAnsi="Cambria"/>
                <w:noProof/>
                <w:webHidden/>
                <w:sz w:val="20"/>
              </w:rPr>
              <w:tab/>
            </w:r>
            <w:r w:rsidR="00D66085" w:rsidRPr="00AC1C46">
              <w:rPr>
                <w:rFonts w:ascii="Cambria" w:hAnsi="Cambria"/>
                <w:noProof/>
                <w:webHidden/>
                <w:sz w:val="20"/>
              </w:rPr>
              <w:fldChar w:fldCharType="begin"/>
            </w:r>
            <w:r w:rsidR="00D66085" w:rsidRPr="00AC1C46">
              <w:rPr>
                <w:rFonts w:ascii="Cambria" w:hAnsi="Cambria"/>
                <w:noProof/>
                <w:webHidden/>
                <w:sz w:val="20"/>
              </w:rPr>
              <w:instrText xml:space="preserve"> PAGEREF _Toc491078732 \h </w:instrText>
            </w:r>
            <w:r w:rsidR="00D66085" w:rsidRPr="00AC1C46">
              <w:rPr>
                <w:rFonts w:ascii="Cambria" w:hAnsi="Cambria"/>
                <w:noProof/>
                <w:webHidden/>
                <w:sz w:val="20"/>
              </w:rPr>
            </w:r>
            <w:r w:rsidR="00D66085" w:rsidRPr="00AC1C46">
              <w:rPr>
                <w:rFonts w:ascii="Cambria" w:hAnsi="Cambria"/>
                <w:noProof/>
                <w:webHidden/>
                <w:sz w:val="20"/>
              </w:rPr>
              <w:fldChar w:fldCharType="separate"/>
            </w:r>
            <w:r w:rsidR="00A837A4" w:rsidRPr="00AC1C46">
              <w:rPr>
                <w:rFonts w:ascii="Cambria" w:hAnsi="Cambria"/>
                <w:noProof/>
                <w:webHidden/>
                <w:sz w:val="20"/>
              </w:rPr>
              <w:t>3</w:t>
            </w:r>
            <w:r w:rsidR="00D66085" w:rsidRPr="00AC1C46">
              <w:rPr>
                <w:rFonts w:ascii="Cambria" w:hAnsi="Cambria"/>
                <w:noProof/>
                <w:webHidden/>
                <w:sz w:val="20"/>
              </w:rPr>
              <w:fldChar w:fldCharType="end"/>
            </w:r>
          </w:hyperlink>
        </w:p>
        <w:p w14:paraId="0A5B7995" w14:textId="77777777" w:rsidR="00D66085" w:rsidRPr="00AC1C46" w:rsidRDefault="00BA3731" w:rsidP="00AC1C46">
          <w:pPr>
            <w:pStyle w:val="TOC2"/>
            <w:tabs>
              <w:tab w:val="left" w:pos="660"/>
              <w:tab w:val="right" w:leader="dot" w:pos="8990"/>
            </w:tabs>
            <w:spacing w:after="0" w:line="480" w:lineRule="auto"/>
            <w:jc w:val="both"/>
            <w:rPr>
              <w:rFonts w:ascii="Cambria" w:eastAsiaTheme="minorEastAsia" w:hAnsi="Cambria" w:cstheme="minorBidi"/>
              <w:noProof/>
              <w:sz w:val="18"/>
              <w:szCs w:val="22"/>
              <w:bdr w:val="none" w:sz="0" w:space="0" w:color="auto"/>
            </w:rPr>
          </w:pPr>
          <w:hyperlink w:anchor="_Toc491078733" w:history="1">
            <w:r w:rsidR="00D66085" w:rsidRPr="00AC1C46">
              <w:rPr>
                <w:rStyle w:val="Hyperlink"/>
                <w:rFonts w:ascii="Cambria" w:hAnsi="Cambria"/>
                <w:noProof/>
                <w:sz w:val="20"/>
                <w:lang w:val="uz-Cyrl-UZ"/>
              </w:rPr>
              <w:t>B.</w:t>
            </w:r>
            <w:r w:rsidR="00D66085" w:rsidRPr="00AC1C46">
              <w:rPr>
                <w:rFonts w:ascii="Cambria" w:eastAsiaTheme="minorEastAsia" w:hAnsi="Cambria" w:cstheme="minorBidi"/>
                <w:noProof/>
                <w:sz w:val="18"/>
                <w:szCs w:val="22"/>
                <w:bdr w:val="none" w:sz="0" w:space="0" w:color="auto"/>
              </w:rPr>
              <w:tab/>
            </w:r>
            <w:r w:rsidR="00D66085" w:rsidRPr="00AC1C46">
              <w:rPr>
                <w:rStyle w:val="Hyperlink"/>
                <w:rFonts w:ascii="Cambria" w:hAnsi="Cambria"/>
                <w:noProof/>
                <w:sz w:val="20"/>
                <w:lang w:val="uz-Cyrl-UZ"/>
              </w:rPr>
              <w:t>Posición del Estado</w:t>
            </w:r>
            <w:r w:rsidR="00D66085" w:rsidRPr="00AC1C46">
              <w:rPr>
                <w:rFonts w:ascii="Cambria" w:hAnsi="Cambria"/>
                <w:noProof/>
                <w:webHidden/>
                <w:sz w:val="20"/>
              </w:rPr>
              <w:tab/>
            </w:r>
            <w:r w:rsidR="00D66085" w:rsidRPr="00AC1C46">
              <w:rPr>
                <w:rFonts w:ascii="Cambria" w:hAnsi="Cambria"/>
                <w:noProof/>
                <w:webHidden/>
                <w:sz w:val="20"/>
              </w:rPr>
              <w:fldChar w:fldCharType="begin"/>
            </w:r>
            <w:r w:rsidR="00D66085" w:rsidRPr="00AC1C46">
              <w:rPr>
                <w:rFonts w:ascii="Cambria" w:hAnsi="Cambria"/>
                <w:noProof/>
                <w:webHidden/>
                <w:sz w:val="20"/>
              </w:rPr>
              <w:instrText xml:space="preserve"> PAGEREF _Toc491078733 \h </w:instrText>
            </w:r>
            <w:r w:rsidR="00D66085" w:rsidRPr="00AC1C46">
              <w:rPr>
                <w:rFonts w:ascii="Cambria" w:hAnsi="Cambria"/>
                <w:noProof/>
                <w:webHidden/>
                <w:sz w:val="20"/>
              </w:rPr>
            </w:r>
            <w:r w:rsidR="00D66085" w:rsidRPr="00AC1C46">
              <w:rPr>
                <w:rFonts w:ascii="Cambria" w:hAnsi="Cambria"/>
                <w:noProof/>
                <w:webHidden/>
                <w:sz w:val="20"/>
              </w:rPr>
              <w:fldChar w:fldCharType="separate"/>
            </w:r>
            <w:r w:rsidR="00A837A4" w:rsidRPr="00AC1C46">
              <w:rPr>
                <w:rFonts w:ascii="Cambria" w:hAnsi="Cambria"/>
                <w:noProof/>
                <w:webHidden/>
                <w:sz w:val="20"/>
              </w:rPr>
              <w:t>3</w:t>
            </w:r>
            <w:r w:rsidR="00D66085" w:rsidRPr="00AC1C46">
              <w:rPr>
                <w:rFonts w:ascii="Cambria" w:hAnsi="Cambria"/>
                <w:noProof/>
                <w:webHidden/>
                <w:sz w:val="20"/>
              </w:rPr>
              <w:fldChar w:fldCharType="end"/>
            </w:r>
          </w:hyperlink>
        </w:p>
        <w:p w14:paraId="7253F3E9" w14:textId="77777777" w:rsidR="00D66085" w:rsidRPr="00AC1C46" w:rsidRDefault="00BA3731" w:rsidP="00AC1C46">
          <w:pPr>
            <w:pStyle w:val="TOC1"/>
            <w:tabs>
              <w:tab w:val="left" w:pos="660"/>
              <w:tab w:val="right" w:leader="dot" w:pos="8990"/>
            </w:tabs>
            <w:spacing w:after="0" w:line="480" w:lineRule="auto"/>
            <w:jc w:val="both"/>
            <w:rPr>
              <w:rFonts w:ascii="Cambria" w:eastAsiaTheme="minorEastAsia" w:hAnsi="Cambria" w:cstheme="minorBidi"/>
              <w:b/>
              <w:noProof/>
              <w:sz w:val="18"/>
              <w:szCs w:val="22"/>
              <w:bdr w:val="none" w:sz="0" w:space="0" w:color="auto"/>
            </w:rPr>
          </w:pPr>
          <w:hyperlink w:anchor="_Toc491078734" w:history="1">
            <w:r w:rsidR="00D66085" w:rsidRPr="00AC1C46">
              <w:rPr>
                <w:rStyle w:val="Hyperlink"/>
                <w:rFonts w:ascii="Cambria" w:hAnsi="Cambria"/>
                <w:b/>
                <w:noProof/>
                <w:sz w:val="20"/>
                <w:lang w:val="es-VE"/>
              </w:rPr>
              <w:t>IV.</w:t>
            </w:r>
            <w:r w:rsidR="00D66085" w:rsidRPr="00AC1C46">
              <w:rPr>
                <w:rFonts w:ascii="Cambria" w:eastAsiaTheme="minorEastAsia" w:hAnsi="Cambria" w:cstheme="minorBidi"/>
                <w:b/>
                <w:noProof/>
                <w:sz w:val="18"/>
                <w:szCs w:val="22"/>
                <w:bdr w:val="none" w:sz="0" w:space="0" w:color="auto"/>
              </w:rPr>
              <w:tab/>
            </w:r>
            <w:r w:rsidR="00D66085" w:rsidRPr="00AC1C46">
              <w:rPr>
                <w:rStyle w:val="Hyperlink"/>
                <w:rFonts w:ascii="Cambria" w:hAnsi="Cambria"/>
                <w:b/>
                <w:noProof/>
                <w:sz w:val="20"/>
                <w:lang w:val="uz-Cyrl-UZ"/>
              </w:rPr>
              <w:t>HECHOS PROBADOS</w:t>
            </w:r>
            <w:r w:rsidR="00D66085" w:rsidRPr="00AC1C46">
              <w:rPr>
                <w:rFonts w:ascii="Cambria" w:hAnsi="Cambria"/>
                <w:b/>
                <w:noProof/>
                <w:webHidden/>
                <w:sz w:val="20"/>
              </w:rPr>
              <w:tab/>
            </w:r>
            <w:r w:rsidR="00D66085" w:rsidRPr="00AC1C46">
              <w:rPr>
                <w:rFonts w:ascii="Cambria" w:hAnsi="Cambria"/>
                <w:b/>
                <w:noProof/>
                <w:webHidden/>
                <w:sz w:val="20"/>
              </w:rPr>
              <w:fldChar w:fldCharType="begin"/>
            </w:r>
            <w:r w:rsidR="00D66085" w:rsidRPr="00AC1C46">
              <w:rPr>
                <w:rFonts w:ascii="Cambria" w:hAnsi="Cambria"/>
                <w:b/>
                <w:noProof/>
                <w:webHidden/>
                <w:sz w:val="20"/>
              </w:rPr>
              <w:instrText xml:space="preserve"> PAGEREF _Toc491078734 \h </w:instrText>
            </w:r>
            <w:r w:rsidR="00D66085" w:rsidRPr="00AC1C46">
              <w:rPr>
                <w:rFonts w:ascii="Cambria" w:hAnsi="Cambria"/>
                <w:b/>
                <w:noProof/>
                <w:webHidden/>
                <w:sz w:val="20"/>
              </w:rPr>
            </w:r>
            <w:r w:rsidR="00D66085" w:rsidRPr="00AC1C46">
              <w:rPr>
                <w:rFonts w:ascii="Cambria" w:hAnsi="Cambria"/>
                <w:b/>
                <w:noProof/>
                <w:webHidden/>
                <w:sz w:val="20"/>
              </w:rPr>
              <w:fldChar w:fldCharType="separate"/>
            </w:r>
            <w:r w:rsidR="00A837A4" w:rsidRPr="00AC1C46">
              <w:rPr>
                <w:rFonts w:ascii="Cambria" w:hAnsi="Cambria"/>
                <w:b/>
                <w:noProof/>
                <w:webHidden/>
                <w:sz w:val="20"/>
              </w:rPr>
              <w:t>5</w:t>
            </w:r>
            <w:r w:rsidR="00D66085" w:rsidRPr="00AC1C46">
              <w:rPr>
                <w:rFonts w:ascii="Cambria" w:hAnsi="Cambria"/>
                <w:b/>
                <w:noProof/>
                <w:webHidden/>
                <w:sz w:val="20"/>
              </w:rPr>
              <w:fldChar w:fldCharType="end"/>
            </w:r>
          </w:hyperlink>
        </w:p>
        <w:p w14:paraId="19C126FC" w14:textId="77777777" w:rsidR="00D66085" w:rsidRPr="00AC1C46" w:rsidRDefault="00BA3731" w:rsidP="00AC1C46">
          <w:pPr>
            <w:pStyle w:val="TOC1"/>
            <w:tabs>
              <w:tab w:val="left" w:pos="480"/>
              <w:tab w:val="right" w:leader="dot" w:pos="8990"/>
            </w:tabs>
            <w:spacing w:after="0" w:line="480" w:lineRule="auto"/>
            <w:jc w:val="both"/>
            <w:rPr>
              <w:rFonts w:ascii="Cambria" w:eastAsiaTheme="minorEastAsia" w:hAnsi="Cambria" w:cstheme="minorBidi"/>
              <w:b/>
              <w:noProof/>
              <w:sz w:val="18"/>
              <w:szCs w:val="22"/>
              <w:bdr w:val="none" w:sz="0" w:space="0" w:color="auto"/>
            </w:rPr>
          </w:pPr>
          <w:hyperlink w:anchor="_Toc491078735" w:history="1">
            <w:r w:rsidR="00D66085" w:rsidRPr="00AC1C46">
              <w:rPr>
                <w:rStyle w:val="Hyperlink"/>
                <w:rFonts w:ascii="Cambria" w:hAnsi="Cambria"/>
                <w:b/>
                <w:noProof/>
                <w:sz w:val="20"/>
                <w:lang w:val="es-VE"/>
              </w:rPr>
              <w:t>V.</w:t>
            </w:r>
            <w:r w:rsidR="00D66085" w:rsidRPr="00AC1C46">
              <w:rPr>
                <w:rFonts w:ascii="Cambria" w:eastAsiaTheme="minorEastAsia" w:hAnsi="Cambria" w:cstheme="minorBidi"/>
                <w:b/>
                <w:noProof/>
                <w:sz w:val="18"/>
                <w:szCs w:val="22"/>
                <w:bdr w:val="none" w:sz="0" w:space="0" w:color="auto"/>
              </w:rPr>
              <w:tab/>
            </w:r>
            <w:r w:rsidR="00D66085" w:rsidRPr="00AC1C46">
              <w:rPr>
                <w:rStyle w:val="Hyperlink"/>
                <w:rFonts w:ascii="Cambria" w:hAnsi="Cambria"/>
                <w:b/>
                <w:noProof/>
                <w:sz w:val="20"/>
                <w:lang w:val="uz-Cyrl-UZ"/>
              </w:rPr>
              <w:t>ANÁLISIS DE DERECHO</w:t>
            </w:r>
            <w:r w:rsidR="00D66085" w:rsidRPr="00AC1C46">
              <w:rPr>
                <w:rFonts w:ascii="Cambria" w:hAnsi="Cambria"/>
                <w:b/>
                <w:noProof/>
                <w:webHidden/>
                <w:sz w:val="20"/>
              </w:rPr>
              <w:tab/>
            </w:r>
            <w:r w:rsidR="00D66085" w:rsidRPr="00AC1C46">
              <w:rPr>
                <w:rFonts w:ascii="Cambria" w:hAnsi="Cambria"/>
                <w:b/>
                <w:noProof/>
                <w:webHidden/>
                <w:sz w:val="20"/>
              </w:rPr>
              <w:fldChar w:fldCharType="begin"/>
            </w:r>
            <w:r w:rsidR="00D66085" w:rsidRPr="00AC1C46">
              <w:rPr>
                <w:rFonts w:ascii="Cambria" w:hAnsi="Cambria"/>
                <w:b/>
                <w:noProof/>
                <w:webHidden/>
                <w:sz w:val="20"/>
              </w:rPr>
              <w:instrText xml:space="preserve"> PAGEREF _Toc491078735 \h </w:instrText>
            </w:r>
            <w:r w:rsidR="00D66085" w:rsidRPr="00AC1C46">
              <w:rPr>
                <w:rFonts w:ascii="Cambria" w:hAnsi="Cambria"/>
                <w:b/>
                <w:noProof/>
                <w:webHidden/>
                <w:sz w:val="20"/>
              </w:rPr>
            </w:r>
            <w:r w:rsidR="00D66085" w:rsidRPr="00AC1C46">
              <w:rPr>
                <w:rFonts w:ascii="Cambria" w:hAnsi="Cambria"/>
                <w:b/>
                <w:noProof/>
                <w:webHidden/>
                <w:sz w:val="20"/>
              </w:rPr>
              <w:fldChar w:fldCharType="separate"/>
            </w:r>
            <w:r w:rsidR="00A837A4" w:rsidRPr="00AC1C46">
              <w:rPr>
                <w:rFonts w:ascii="Cambria" w:hAnsi="Cambria"/>
                <w:b/>
                <w:noProof/>
                <w:webHidden/>
                <w:sz w:val="20"/>
              </w:rPr>
              <w:t>7</w:t>
            </w:r>
            <w:r w:rsidR="00D66085" w:rsidRPr="00AC1C46">
              <w:rPr>
                <w:rFonts w:ascii="Cambria" w:hAnsi="Cambria"/>
                <w:b/>
                <w:noProof/>
                <w:webHidden/>
                <w:sz w:val="20"/>
              </w:rPr>
              <w:fldChar w:fldCharType="end"/>
            </w:r>
          </w:hyperlink>
        </w:p>
        <w:p w14:paraId="22015668" w14:textId="77777777" w:rsidR="00D66085" w:rsidRPr="00AC1C46" w:rsidRDefault="00BA3731" w:rsidP="00AC1C46">
          <w:pPr>
            <w:pStyle w:val="TOC2"/>
            <w:tabs>
              <w:tab w:val="left" w:pos="660"/>
              <w:tab w:val="right" w:leader="dot" w:pos="8990"/>
            </w:tabs>
            <w:spacing w:after="0" w:line="480" w:lineRule="auto"/>
            <w:jc w:val="both"/>
            <w:rPr>
              <w:rFonts w:ascii="Cambria" w:eastAsiaTheme="minorEastAsia" w:hAnsi="Cambria" w:cstheme="minorBidi"/>
              <w:noProof/>
              <w:sz w:val="18"/>
              <w:szCs w:val="22"/>
              <w:bdr w:val="none" w:sz="0" w:space="0" w:color="auto"/>
            </w:rPr>
          </w:pPr>
          <w:hyperlink w:anchor="_Toc491078736" w:history="1">
            <w:r w:rsidR="00D66085" w:rsidRPr="00AC1C46">
              <w:rPr>
                <w:rStyle w:val="Hyperlink"/>
                <w:rFonts w:ascii="Cambria" w:hAnsi="Cambria"/>
                <w:noProof/>
                <w:sz w:val="20"/>
                <w:lang w:val="uz-Cyrl-UZ"/>
              </w:rPr>
              <w:t>A.</w:t>
            </w:r>
            <w:r w:rsidR="00D66085" w:rsidRPr="00AC1C46">
              <w:rPr>
                <w:rFonts w:ascii="Cambria" w:eastAsiaTheme="minorEastAsia" w:hAnsi="Cambria" w:cstheme="minorBidi"/>
                <w:noProof/>
                <w:sz w:val="18"/>
                <w:szCs w:val="22"/>
                <w:bdr w:val="none" w:sz="0" w:space="0" w:color="auto"/>
              </w:rPr>
              <w:tab/>
            </w:r>
            <w:r w:rsidR="00D66085" w:rsidRPr="00AC1C46">
              <w:rPr>
                <w:rStyle w:val="Hyperlink"/>
                <w:rFonts w:ascii="Cambria" w:hAnsi="Cambria"/>
                <w:noProof/>
                <w:sz w:val="20"/>
                <w:lang w:val="uz-Cyrl-UZ"/>
              </w:rPr>
              <w:t>Derechos a las garantías judiciales y protección judicial</w:t>
            </w:r>
            <w:r w:rsidR="00D66085" w:rsidRPr="00AC1C46">
              <w:rPr>
                <w:rFonts w:ascii="Cambria" w:hAnsi="Cambria"/>
                <w:noProof/>
                <w:webHidden/>
                <w:sz w:val="20"/>
              </w:rPr>
              <w:tab/>
            </w:r>
            <w:r w:rsidR="00D66085" w:rsidRPr="00AC1C46">
              <w:rPr>
                <w:rFonts w:ascii="Cambria" w:hAnsi="Cambria"/>
                <w:noProof/>
                <w:webHidden/>
                <w:sz w:val="20"/>
              </w:rPr>
              <w:fldChar w:fldCharType="begin"/>
            </w:r>
            <w:r w:rsidR="00D66085" w:rsidRPr="00AC1C46">
              <w:rPr>
                <w:rFonts w:ascii="Cambria" w:hAnsi="Cambria"/>
                <w:noProof/>
                <w:webHidden/>
                <w:sz w:val="20"/>
              </w:rPr>
              <w:instrText xml:space="preserve"> PAGEREF _Toc491078736 \h </w:instrText>
            </w:r>
            <w:r w:rsidR="00D66085" w:rsidRPr="00AC1C46">
              <w:rPr>
                <w:rFonts w:ascii="Cambria" w:hAnsi="Cambria"/>
                <w:noProof/>
                <w:webHidden/>
                <w:sz w:val="20"/>
              </w:rPr>
            </w:r>
            <w:r w:rsidR="00D66085" w:rsidRPr="00AC1C46">
              <w:rPr>
                <w:rFonts w:ascii="Cambria" w:hAnsi="Cambria"/>
                <w:noProof/>
                <w:webHidden/>
                <w:sz w:val="20"/>
              </w:rPr>
              <w:fldChar w:fldCharType="separate"/>
            </w:r>
            <w:r w:rsidR="00A837A4" w:rsidRPr="00AC1C46">
              <w:rPr>
                <w:rFonts w:ascii="Cambria" w:hAnsi="Cambria"/>
                <w:noProof/>
                <w:webHidden/>
                <w:sz w:val="20"/>
              </w:rPr>
              <w:t>8</w:t>
            </w:r>
            <w:r w:rsidR="00D66085" w:rsidRPr="00AC1C46">
              <w:rPr>
                <w:rFonts w:ascii="Cambria" w:hAnsi="Cambria"/>
                <w:noProof/>
                <w:webHidden/>
                <w:sz w:val="20"/>
              </w:rPr>
              <w:fldChar w:fldCharType="end"/>
            </w:r>
          </w:hyperlink>
        </w:p>
        <w:p w14:paraId="285CAADA" w14:textId="77777777" w:rsidR="00D66085" w:rsidRPr="00AC1C46" w:rsidRDefault="00BA3731" w:rsidP="00AC1C46">
          <w:pPr>
            <w:pStyle w:val="TOC3"/>
            <w:tabs>
              <w:tab w:val="left" w:pos="1100"/>
              <w:tab w:val="right" w:leader="dot" w:pos="8990"/>
            </w:tabs>
            <w:spacing w:after="0" w:line="480" w:lineRule="auto"/>
            <w:jc w:val="both"/>
            <w:rPr>
              <w:rFonts w:ascii="Cambria" w:eastAsiaTheme="minorEastAsia" w:hAnsi="Cambria" w:cstheme="minorBidi"/>
              <w:noProof/>
              <w:sz w:val="18"/>
              <w:szCs w:val="22"/>
              <w:bdr w:val="none" w:sz="0" w:space="0" w:color="auto"/>
            </w:rPr>
          </w:pPr>
          <w:hyperlink w:anchor="_Toc491078737" w:history="1">
            <w:r w:rsidR="00D66085" w:rsidRPr="00AC1C46">
              <w:rPr>
                <w:rStyle w:val="Hyperlink"/>
                <w:rFonts w:ascii="Cambria" w:hAnsi="Cambria"/>
                <w:noProof/>
                <w:sz w:val="20"/>
                <w:lang w:val="uz-Cyrl-UZ"/>
              </w:rPr>
              <w:t>1.</w:t>
            </w:r>
            <w:r w:rsidR="00D66085" w:rsidRPr="00AC1C46">
              <w:rPr>
                <w:rFonts w:ascii="Cambria" w:eastAsiaTheme="minorEastAsia" w:hAnsi="Cambria" w:cstheme="minorBidi"/>
                <w:noProof/>
                <w:sz w:val="18"/>
                <w:szCs w:val="22"/>
                <w:bdr w:val="none" w:sz="0" w:space="0" w:color="auto"/>
              </w:rPr>
              <w:tab/>
            </w:r>
            <w:r w:rsidR="00D66085" w:rsidRPr="00AC1C46">
              <w:rPr>
                <w:rStyle w:val="Hyperlink"/>
                <w:rFonts w:ascii="Cambria" w:hAnsi="Cambria"/>
                <w:noProof/>
                <w:sz w:val="20"/>
                <w:lang w:val="uz-Cyrl-UZ"/>
              </w:rPr>
              <w:t>Consideraciones generales</w:t>
            </w:r>
            <w:r w:rsidR="00D66085" w:rsidRPr="00AC1C46">
              <w:rPr>
                <w:rFonts w:ascii="Cambria" w:hAnsi="Cambria"/>
                <w:noProof/>
                <w:webHidden/>
                <w:sz w:val="20"/>
              </w:rPr>
              <w:tab/>
            </w:r>
            <w:r w:rsidR="00D66085" w:rsidRPr="00AC1C46">
              <w:rPr>
                <w:rFonts w:ascii="Cambria" w:hAnsi="Cambria"/>
                <w:noProof/>
                <w:webHidden/>
                <w:sz w:val="20"/>
              </w:rPr>
              <w:fldChar w:fldCharType="begin"/>
            </w:r>
            <w:r w:rsidR="00D66085" w:rsidRPr="00AC1C46">
              <w:rPr>
                <w:rFonts w:ascii="Cambria" w:hAnsi="Cambria"/>
                <w:noProof/>
                <w:webHidden/>
                <w:sz w:val="20"/>
              </w:rPr>
              <w:instrText xml:space="preserve"> PAGEREF _Toc491078737 \h </w:instrText>
            </w:r>
            <w:r w:rsidR="00D66085" w:rsidRPr="00AC1C46">
              <w:rPr>
                <w:rFonts w:ascii="Cambria" w:hAnsi="Cambria"/>
                <w:noProof/>
                <w:webHidden/>
                <w:sz w:val="20"/>
              </w:rPr>
            </w:r>
            <w:r w:rsidR="00D66085" w:rsidRPr="00AC1C46">
              <w:rPr>
                <w:rFonts w:ascii="Cambria" w:hAnsi="Cambria"/>
                <w:noProof/>
                <w:webHidden/>
                <w:sz w:val="20"/>
              </w:rPr>
              <w:fldChar w:fldCharType="separate"/>
            </w:r>
            <w:r w:rsidR="00A837A4" w:rsidRPr="00AC1C46">
              <w:rPr>
                <w:rFonts w:ascii="Cambria" w:hAnsi="Cambria"/>
                <w:noProof/>
                <w:webHidden/>
                <w:sz w:val="20"/>
              </w:rPr>
              <w:t>8</w:t>
            </w:r>
            <w:r w:rsidR="00D66085" w:rsidRPr="00AC1C46">
              <w:rPr>
                <w:rFonts w:ascii="Cambria" w:hAnsi="Cambria"/>
                <w:noProof/>
                <w:webHidden/>
                <w:sz w:val="20"/>
              </w:rPr>
              <w:fldChar w:fldCharType="end"/>
            </w:r>
          </w:hyperlink>
        </w:p>
        <w:p w14:paraId="06132339" w14:textId="77777777" w:rsidR="00D66085" w:rsidRPr="00AC1C46" w:rsidRDefault="00BA3731" w:rsidP="00AC1C46">
          <w:pPr>
            <w:pStyle w:val="TOC3"/>
            <w:tabs>
              <w:tab w:val="left" w:pos="1100"/>
              <w:tab w:val="right" w:leader="dot" w:pos="8990"/>
            </w:tabs>
            <w:spacing w:after="0" w:line="480" w:lineRule="auto"/>
            <w:jc w:val="both"/>
            <w:rPr>
              <w:rFonts w:ascii="Cambria" w:eastAsiaTheme="minorEastAsia" w:hAnsi="Cambria" w:cstheme="minorBidi"/>
              <w:noProof/>
              <w:sz w:val="18"/>
              <w:szCs w:val="22"/>
              <w:bdr w:val="none" w:sz="0" w:space="0" w:color="auto"/>
            </w:rPr>
          </w:pPr>
          <w:hyperlink w:anchor="_Toc491078738" w:history="1">
            <w:r w:rsidR="00D66085" w:rsidRPr="00AC1C46">
              <w:rPr>
                <w:rStyle w:val="Hyperlink"/>
                <w:rFonts w:ascii="Cambria" w:hAnsi="Cambria"/>
                <w:noProof/>
                <w:spacing w:val="-2"/>
                <w:sz w:val="20"/>
                <w:lang w:val="uz-Cyrl-UZ"/>
              </w:rPr>
              <w:t>2.</w:t>
            </w:r>
            <w:r w:rsidR="00D66085" w:rsidRPr="00AC1C46">
              <w:rPr>
                <w:rFonts w:ascii="Cambria" w:eastAsiaTheme="minorEastAsia" w:hAnsi="Cambria" w:cstheme="minorBidi"/>
                <w:noProof/>
                <w:sz w:val="18"/>
                <w:szCs w:val="22"/>
                <w:bdr w:val="none" w:sz="0" w:space="0" w:color="auto"/>
              </w:rPr>
              <w:tab/>
            </w:r>
            <w:r w:rsidR="00D66085" w:rsidRPr="00AC1C46">
              <w:rPr>
                <w:rStyle w:val="Hyperlink"/>
                <w:rFonts w:ascii="Cambria" w:hAnsi="Cambria"/>
                <w:noProof/>
                <w:sz w:val="20"/>
                <w:lang w:val="uz-Cyrl-UZ"/>
              </w:rPr>
              <w:t>Análisis del caso</w:t>
            </w:r>
            <w:r w:rsidR="00D66085" w:rsidRPr="00AC1C46">
              <w:rPr>
                <w:rFonts w:ascii="Cambria" w:hAnsi="Cambria"/>
                <w:noProof/>
                <w:webHidden/>
                <w:sz w:val="20"/>
              </w:rPr>
              <w:tab/>
            </w:r>
            <w:r w:rsidR="00D66085" w:rsidRPr="00AC1C46">
              <w:rPr>
                <w:rFonts w:ascii="Cambria" w:hAnsi="Cambria"/>
                <w:noProof/>
                <w:webHidden/>
                <w:sz w:val="20"/>
              </w:rPr>
              <w:fldChar w:fldCharType="begin"/>
            </w:r>
            <w:r w:rsidR="00D66085" w:rsidRPr="00AC1C46">
              <w:rPr>
                <w:rFonts w:ascii="Cambria" w:hAnsi="Cambria"/>
                <w:noProof/>
                <w:webHidden/>
                <w:sz w:val="20"/>
              </w:rPr>
              <w:instrText xml:space="preserve"> PAGEREF _Toc491078738 \h </w:instrText>
            </w:r>
            <w:r w:rsidR="00D66085" w:rsidRPr="00AC1C46">
              <w:rPr>
                <w:rFonts w:ascii="Cambria" w:hAnsi="Cambria"/>
                <w:noProof/>
                <w:webHidden/>
                <w:sz w:val="20"/>
              </w:rPr>
            </w:r>
            <w:r w:rsidR="00D66085" w:rsidRPr="00AC1C46">
              <w:rPr>
                <w:rFonts w:ascii="Cambria" w:hAnsi="Cambria"/>
                <w:noProof/>
                <w:webHidden/>
                <w:sz w:val="20"/>
              </w:rPr>
              <w:fldChar w:fldCharType="separate"/>
            </w:r>
            <w:r w:rsidR="00A837A4" w:rsidRPr="00AC1C46">
              <w:rPr>
                <w:rFonts w:ascii="Cambria" w:hAnsi="Cambria"/>
                <w:noProof/>
                <w:webHidden/>
                <w:sz w:val="20"/>
              </w:rPr>
              <w:t>11</w:t>
            </w:r>
            <w:r w:rsidR="00D66085" w:rsidRPr="00AC1C46">
              <w:rPr>
                <w:rFonts w:ascii="Cambria" w:hAnsi="Cambria"/>
                <w:noProof/>
                <w:webHidden/>
                <w:sz w:val="20"/>
              </w:rPr>
              <w:fldChar w:fldCharType="end"/>
            </w:r>
          </w:hyperlink>
        </w:p>
        <w:p w14:paraId="273AF3C3" w14:textId="77777777" w:rsidR="00D66085" w:rsidRPr="00AC1C46" w:rsidRDefault="00BA3731" w:rsidP="00AC1C46">
          <w:pPr>
            <w:pStyle w:val="TOC1"/>
            <w:tabs>
              <w:tab w:val="left" w:pos="660"/>
              <w:tab w:val="right" w:leader="dot" w:pos="8990"/>
            </w:tabs>
            <w:spacing w:after="0" w:line="480" w:lineRule="auto"/>
            <w:jc w:val="both"/>
            <w:rPr>
              <w:rFonts w:ascii="Cambria" w:eastAsiaTheme="minorEastAsia" w:hAnsi="Cambria" w:cstheme="minorBidi"/>
              <w:b/>
              <w:noProof/>
              <w:sz w:val="18"/>
              <w:szCs w:val="22"/>
              <w:bdr w:val="none" w:sz="0" w:space="0" w:color="auto"/>
            </w:rPr>
          </w:pPr>
          <w:hyperlink w:anchor="_Toc491078739" w:history="1">
            <w:r w:rsidR="00D66085" w:rsidRPr="00AC1C46">
              <w:rPr>
                <w:rStyle w:val="Hyperlink"/>
                <w:rFonts w:ascii="Cambria" w:hAnsi="Cambria"/>
                <w:b/>
                <w:noProof/>
                <w:sz w:val="20"/>
                <w:lang w:val="es-VE"/>
              </w:rPr>
              <w:t>VI.</w:t>
            </w:r>
            <w:r w:rsidR="00D66085" w:rsidRPr="00AC1C46">
              <w:rPr>
                <w:rFonts w:ascii="Cambria" w:eastAsiaTheme="minorEastAsia" w:hAnsi="Cambria" w:cstheme="minorBidi"/>
                <w:b/>
                <w:noProof/>
                <w:sz w:val="18"/>
                <w:szCs w:val="22"/>
                <w:bdr w:val="none" w:sz="0" w:space="0" w:color="auto"/>
              </w:rPr>
              <w:tab/>
            </w:r>
            <w:r w:rsidR="00D66085" w:rsidRPr="00AC1C46">
              <w:rPr>
                <w:rStyle w:val="Hyperlink"/>
                <w:rFonts w:ascii="Cambria" w:hAnsi="Cambria"/>
                <w:b/>
                <w:noProof/>
                <w:sz w:val="20"/>
                <w:lang w:val="uz-Cyrl-UZ"/>
              </w:rPr>
              <w:t>CONCLUSIONES</w:t>
            </w:r>
            <w:r w:rsidR="00D66085" w:rsidRPr="00AC1C46">
              <w:rPr>
                <w:rFonts w:ascii="Cambria" w:hAnsi="Cambria"/>
                <w:b/>
                <w:noProof/>
                <w:webHidden/>
                <w:sz w:val="20"/>
              </w:rPr>
              <w:tab/>
            </w:r>
            <w:r w:rsidR="00D66085" w:rsidRPr="00AC1C46">
              <w:rPr>
                <w:rFonts w:ascii="Cambria" w:hAnsi="Cambria"/>
                <w:b/>
                <w:noProof/>
                <w:webHidden/>
                <w:sz w:val="20"/>
              </w:rPr>
              <w:fldChar w:fldCharType="begin"/>
            </w:r>
            <w:r w:rsidR="00D66085" w:rsidRPr="00AC1C46">
              <w:rPr>
                <w:rFonts w:ascii="Cambria" w:hAnsi="Cambria"/>
                <w:b/>
                <w:noProof/>
                <w:webHidden/>
                <w:sz w:val="20"/>
              </w:rPr>
              <w:instrText xml:space="preserve"> PAGEREF _Toc491078739 \h </w:instrText>
            </w:r>
            <w:r w:rsidR="00D66085" w:rsidRPr="00AC1C46">
              <w:rPr>
                <w:rFonts w:ascii="Cambria" w:hAnsi="Cambria"/>
                <w:b/>
                <w:noProof/>
                <w:webHidden/>
                <w:sz w:val="20"/>
              </w:rPr>
            </w:r>
            <w:r w:rsidR="00D66085" w:rsidRPr="00AC1C46">
              <w:rPr>
                <w:rFonts w:ascii="Cambria" w:hAnsi="Cambria"/>
                <w:b/>
                <w:noProof/>
                <w:webHidden/>
                <w:sz w:val="20"/>
              </w:rPr>
              <w:fldChar w:fldCharType="separate"/>
            </w:r>
            <w:r w:rsidR="00A837A4" w:rsidRPr="00AC1C46">
              <w:rPr>
                <w:rFonts w:ascii="Cambria" w:hAnsi="Cambria"/>
                <w:b/>
                <w:noProof/>
                <w:webHidden/>
                <w:sz w:val="20"/>
              </w:rPr>
              <w:t>14</w:t>
            </w:r>
            <w:r w:rsidR="00D66085" w:rsidRPr="00AC1C46">
              <w:rPr>
                <w:rFonts w:ascii="Cambria" w:hAnsi="Cambria"/>
                <w:b/>
                <w:noProof/>
                <w:webHidden/>
                <w:sz w:val="20"/>
              </w:rPr>
              <w:fldChar w:fldCharType="end"/>
            </w:r>
          </w:hyperlink>
        </w:p>
        <w:p w14:paraId="1BA64035" w14:textId="77777777" w:rsidR="00D66085" w:rsidRPr="00AC1C46" w:rsidRDefault="00BA3731" w:rsidP="00AC1C46">
          <w:pPr>
            <w:pStyle w:val="TOC1"/>
            <w:tabs>
              <w:tab w:val="left" w:pos="660"/>
              <w:tab w:val="right" w:leader="dot" w:pos="8990"/>
            </w:tabs>
            <w:spacing w:after="0" w:line="480" w:lineRule="auto"/>
            <w:jc w:val="both"/>
            <w:rPr>
              <w:rFonts w:ascii="Cambria" w:eastAsiaTheme="minorEastAsia" w:hAnsi="Cambria" w:cstheme="minorBidi"/>
              <w:b/>
              <w:noProof/>
              <w:sz w:val="18"/>
              <w:szCs w:val="22"/>
              <w:bdr w:val="none" w:sz="0" w:space="0" w:color="auto"/>
            </w:rPr>
          </w:pPr>
          <w:hyperlink w:anchor="_Toc491078740" w:history="1">
            <w:r w:rsidR="00D66085" w:rsidRPr="00AC1C46">
              <w:rPr>
                <w:rStyle w:val="Hyperlink"/>
                <w:rFonts w:ascii="Cambria" w:hAnsi="Cambria"/>
                <w:b/>
                <w:noProof/>
                <w:sz w:val="20"/>
                <w:lang w:val="es-VE"/>
              </w:rPr>
              <w:t>VII.</w:t>
            </w:r>
            <w:r w:rsidR="00D66085" w:rsidRPr="00AC1C46">
              <w:rPr>
                <w:rFonts w:ascii="Cambria" w:eastAsiaTheme="minorEastAsia" w:hAnsi="Cambria" w:cstheme="minorBidi"/>
                <w:b/>
                <w:noProof/>
                <w:sz w:val="18"/>
                <w:szCs w:val="22"/>
                <w:bdr w:val="none" w:sz="0" w:space="0" w:color="auto"/>
              </w:rPr>
              <w:tab/>
            </w:r>
            <w:r w:rsidR="00D66085" w:rsidRPr="00AC1C46">
              <w:rPr>
                <w:rStyle w:val="Hyperlink"/>
                <w:rFonts w:ascii="Cambria" w:hAnsi="Cambria"/>
                <w:b/>
                <w:noProof/>
                <w:sz w:val="20"/>
                <w:lang w:val="uz-Cyrl-UZ"/>
              </w:rPr>
              <w:t>RECOMENDACIONES</w:t>
            </w:r>
            <w:r w:rsidR="00D66085" w:rsidRPr="00AC1C46">
              <w:rPr>
                <w:rFonts w:ascii="Cambria" w:hAnsi="Cambria"/>
                <w:b/>
                <w:noProof/>
                <w:webHidden/>
                <w:sz w:val="20"/>
              </w:rPr>
              <w:tab/>
            </w:r>
            <w:r w:rsidR="00D66085" w:rsidRPr="00AC1C46">
              <w:rPr>
                <w:rFonts w:ascii="Cambria" w:hAnsi="Cambria"/>
                <w:b/>
                <w:noProof/>
                <w:webHidden/>
                <w:sz w:val="20"/>
              </w:rPr>
              <w:fldChar w:fldCharType="begin"/>
            </w:r>
            <w:r w:rsidR="00D66085" w:rsidRPr="00AC1C46">
              <w:rPr>
                <w:rFonts w:ascii="Cambria" w:hAnsi="Cambria"/>
                <w:b/>
                <w:noProof/>
                <w:webHidden/>
                <w:sz w:val="20"/>
              </w:rPr>
              <w:instrText xml:space="preserve"> PAGEREF _Toc491078740 \h </w:instrText>
            </w:r>
            <w:r w:rsidR="00D66085" w:rsidRPr="00AC1C46">
              <w:rPr>
                <w:rFonts w:ascii="Cambria" w:hAnsi="Cambria"/>
                <w:b/>
                <w:noProof/>
                <w:webHidden/>
                <w:sz w:val="20"/>
              </w:rPr>
            </w:r>
            <w:r w:rsidR="00D66085" w:rsidRPr="00AC1C46">
              <w:rPr>
                <w:rFonts w:ascii="Cambria" w:hAnsi="Cambria"/>
                <w:b/>
                <w:noProof/>
                <w:webHidden/>
                <w:sz w:val="20"/>
              </w:rPr>
              <w:fldChar w:fldCharType="separate"/>
            </w:r>
            <w:r w:rsidR="00A837A4" w:rsidRPr="00AC1C46">
              <w:rPr>
                <w:rFonts w:ascii="Cambria" w:hAnsi="Cambria"/>
                <w:b/>
                <w:noProof/>
                <w:webHidden/>
                <w:sz w:val="20"/>
              </w:rPr>
              <w:t>14</w:t>
            </w:r>
            <w:r w:rsidR="00D66085" w:rsidRPr="00AC1C46">
              <w:rPr>
                <w:rFonts w:ascii="Cambria" w:hAnsi="Cambria"/>
                <w:b/>
                <w:noProof/>
                <w:webHidden/>
                <w:sz w:val="20"/>
              </w:rPr>
              <w:fldChar w:fldCharType="end"/>
            </w:r>
          </w:hyperlink>
        </w:p>
        <w:p w14:paraId="53F9E5DA" w14:textId="77777777" w:rsidR="00D66085" w:rsidRPr="00AC1C46" w:rsidRDefault="00D66085" w:rsidP="00AC1C46">
          <w:pPr>
            <w:spacing w:line="480" w:lineRule="auto"/>
            <w:jc w:val="both"/>
            <w:rPr>
              <w:rFonts w:ascii="Cambria" w:hAnsi="Cambria"/>
              <w:sz w:val="20"/>
            </w:rPr>
          </w:pPr>
          <w:r w:rsidRPr="00AC1C46">
            <w:rPr>
              <w:rFonts w:ascii="Cambria" w:hAnsi="Cambria"/>
              <w:b/>
              <w:bCs/>
              <w:noProof/>
              <w:sz w:val="20"/>
            </w:rPr>
            <w:fldChar w:fldCharType="end"/>
          </w:r>
        </w:p>
      </w:sdtContent>
    </w:sdt>
    <w:p w14:paraId="34F3C9AB" w14:textId="77777777" w:rsidR="00D12D33" w:rsidRPr="00AC1C46" w:rsidRDefault="00D12D33" w:rsidP="00AC1C46">
      <w:pPr>
        <w:tabs>
          <w:tab w:val="left" w:pos="720"/>
        </w:tabs>
        <w:ind w:firstLine="630"/>
        <w:jc w:val="both"/>
        <w:rPr>
          <w:rFonts w:ascii="Cambria" w:hAnsi="Cambria" w:cs="Calibri"/>
          <w:color w:val="000000" w:themeColor="text1"/>
          <w:sz w:val="20"/>
          <w:szCs w:val="20"/>
          <w:lang w:val="uz-Cyrl-UZ"/>
        </w:rPr>
      </w:pPr>
    </w:p>
    <w:p w14:paraId="078C6710" w14:textId="77777777" w:rsidR="004530A0" w:rsidRPr="00AC1C46" w:rsidRDefault="004530A0" w:rsidP="00AC1C46">
      <w:pPr>
        <w:tabs>
          <w:tab w:val="left" w:pos="720"/>
          <w:tab w:val="center" w:pos="5400"/>
        </w:tabs>
        <w:suppressAutoHyphens/>
        <w:ind w:firstLine="630"/>
        <w:jc w:val="center"/>
        <w:rPr>
          <w:rFonts w:ascii="Cambria" w:hAnsi="Cambria"/>
          <w:b/>
          <w:color w:val="000000" w:themeColor="text1"/>
          <w:sz w:val="20"/>
          <w:szCs w:val="20"/>
          <w:lang w:val="uz-Cyrl-UZ"/>
        </w:rPr>
      </w:pPr>
    </w:p>
    <w:p w14:paraId="305A7E4C" w14:textId="77777777" w:rsidR="004530A0" w:rsidRPr="00AC1C46" w:rsidRDefault="004530A0" w:rsidP="00AC1C46">
      <w:pPr>
        <w:tabs>
          <w:tab w:val="left" w:pos="720"/>
          <w:tab w:val="center" w:pos="5400"/>
        </w:tabs>
        <w:suppressAutoHyphens/>
        <w:ind w:firstLine="630"/>
        <w:jc w:val="center"/>
        <w:rPr>
          <w:rFonts w:ascii="Cambria" w:hAnsi="Cambria"/>
          <w:b/>
          <w:color w:val="000000" w:themeColor="text1"/>
          <w:sz w:val="20"/>
          <w:szCs w:val="20"/>
          <w:lang w:val="uz-Cyrl-UZ"/>
        </w:rPr>
      </w:pPr>
    </w:p>
    <w:p w14:paraId="1AABE6E7" w14:textId="77777777" w:rsidR="004530A0" w:rsidRPr="00AC1C46" w:rsidRDefault="004530A0" w:rsidP="00335796">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color w:val="000000" w:themeColor="text1"/>
          <w:sz w:val="20"/>
          <w:szCs w:val="20"/>
          <w:lang w:val="uz-Cyrl-UZ"/>
        </w:rPr>
      </w:pPr>
      <w:r w:rsidRPr="00AC1C46">
        <w:rPr>
          <w:rFonts w:ascii="Cambria" w:hAnsi="Cambria"/>
          <w:b/>
          <w:color w:val="000000" w:themeColor="text1"/>
          <w:sz w:val="20"/>
          <w:szCs w:val="20"/>
          <w:lang w:val="uz-Cyrl-UZ"/>
        </w:rPr>
        <w:br w:type="page"/>
      </w:r>
    </w:p>
    <w:p w14:paraId="4FC5F5B9" w14:textId="77777777" w:rsidR="00D12D33" w:rsidRPr="00AC1C46" w:rsidRDefault="00335796" w:rsidP="00AC1C46">
      <w:pPr>
        <w:tabs>
          <w:tab w:val="left" w:pos="720"/>
          <w:tab w:val="center" w:pos="5400"/>
        </w:tabs>
        <w:suppressAutoHyphens/>
        <w:ind w:firstLine="630"/>
        <w:jc w:val="center"/>
        <w:rPr>
          <w:rFonts w:ascii="Cambria" w:hAnsi="Cambria"/>
          <w:b/>
          <w:color w:val="000000" w:themeColor="text1"/>
          <w:sz w:val="20"/>
          <w:szCs w:val="20"/>
          <w:lang w:val="uz-Cyrl-UZ"/>
        </w:rPr>
      </w:pPr>
      <w:r>
        <w:rPr>
          <w:rFonts w:ascii="Cambria" w:hAnsi="Cambria"/>
          <w:b/>
          <w:color w:val="000000" w:themeColor="text1"/>
          <w:sz w:val="20"/>
          <w:szCs w:val="20"/>
          <w:lang w:val="uz-Cyrl-UZ"/>
        </w:rPr>
        <w:lastRenderedPageBreak/>
        <w:t>INFORME No. 74</w:t>
      </w:r>
      <w:r w:rsidR="00D12D33" w:rsidRPr="00AC1C46">
        <w:rPr>
          <w:rFonts w:ascii="Cambria" w:hAnsi="Cambria"/>
          <w:b/>
          <w:color w:val="000000" w:themeColor="text1"/>
          <w:sz w:val="20"/>
          <w:szCs w:val="20"/>
          <w:lang w:val="uz-Cyrl-UZ"/>
        </w:rPr>
        <w:t>/17</w:t>
      </w:r>
    </w:p>
    <w:p w14:paraId="787090D2" w14:textId="77777777" w:rsidR="00D12D33" w:rsidRPr="00AC1C46" w:rsidRDefault="00D12D33" w:rsidP="00AC1C46">
      <w:pPr>
        <w:tabs>
          <w:tab w:val="left" w:pos="720"/>
          <w:tab w:val="center" w:pos="5400"/>
        </w:tabs>
        <w:suppressAutoHyphens/>
        <w:ind w:firstLine="630"/>
        <w:jc w:val="center"/>
        <w:rPr>
          <w:rFonts w:ascii="Cambria" w:hAnsi="Cambria"/>
          <w:b/>
          <w:color w:val="000000" w:themeColor="text1"/>
          <w:sz w:val="20"/>
          <w:szCs w:val="20"/>
          <w:lang w:val="uz-Cyrl-UZ"/>
        </w:rPr>
      </w:pPr>
      <w:r w:rsidRPr="00AC1C46">
        <w:rPr>
          <w:rFonts w:ascii="Cambria" w:hAnsi="Cambria"/>
          <w:b/>
          <w:color w:val="000000" w:themeColor="text1"/>
          <w:sz w:val="20"/>
          <w:szCs w:val="20"/>
          <w:lang w:val="uz-Cyrl-UZ"/>
        </w:rPr>
        <w:t>CASO 12.656</w:t>
      </w:r>
    </w:p>
    <w:p w14:paraId="1170C798" w14:textId="77777777" w:rsidR="00D12D33" w:rsidRPr="00AC1C46" w:rsidRDefault="00D12D33" w:rsidP="00AC1C46">
      <w:pPr>
        <w:tabs>
          <w:tab w:val="left" w:pos="720"/>
          <w:tab w:val="center" w:pos="5400"/>
        </w:tabs>
        <w:suppressAutoHyphens/>
        <w:ind w:firstLine="630"/>
        <w:jc w:val="center"/>
        <w:rPr>
          <w:rFonts w:ascii="Cambria" w:hAnsi="Cambria"/>
          <w:color w:val="000000" w:themeColor="text1"/>
          <w:sz w:val="20"/>
          <w:szCs w:val="20"/>
          <w:lang w:val="uz-Cyrl-UZ"/>
        </w:rPr>
      </w:pPr>
      <w:r w:rsidRPr="00AC1C46">
        <w:rPr>
          <w:rFonts w:ascii="Cambria" w:hAnsi="Cambria"/>
          <w:color w:val="000000" w:themeColor="text1"/>
          <w:sz w:val="20"/>
          <w:szCs w:val="20"/>
          <w:lang w:val="uz-Cyrl-UZ"/>
        </w:rPr>
        <w:t>INFORME DE FONDO</w:t>
      </w:r>
    </w:p>
    <w:p w14:paraId="2EA5DD13" w14:textId="77777777" w:rsidR="00D12D33" w:rsidRPr="00AC1C46" w:rsidRDefault="00D12D33" w:rsidP="00AC1C46">
      <w:pPr>
        <w:tabs>
          <w:tab w:val="left" w:pos="720"/>
          <w:tab w:val="center" w:pos="5400"/>
        </w:tabs>
        <w:suppressAutoHyphens/>
        <w:ind w:firstLine="630"/>
        <w:jc w:val="center"/>
        <w:rPr>
          <w:rFonts w:ascii="Cambria" w:hAnsi="Cambria"/>
          <w:color w:val="000000" w:themeColor="text1"/>
          <w:sz w:val="20"/>
          <w:szCs w:val="20"/>
          <w:lang w:val="uz-Cyrl-UZ"/>
        </w:rPr>
      </w:pPr>
      <w:r w:rsidRPr="00AC1C46">
        <w:rPr>
          <w:rFonts w:ascii="Cambria" w:hAnsi="Cambria"/>
          <w:color w:val="000000" w:themeColor="text1"/>
          <w:sz w:val="20"/>
          <w:szCs w:val="20"/>
          <w:lang w:val="uz-Cyrl-UZ"/>
        </w:rPr>
        <w:t>VICTORIO SPOLTORE</w:t>
      </w:r>
    </w:p>
    <w:p w14:paraId="2C1EE6FD" w14:textId="77777777" w:rsidR="00D12D33" w:rsidRPr="00AC1C46" w:rsidRDefault="00D12D33" w:rsidP="00AC1C46">
      <w:pPr>
        <w:tabs>
          <w:tab w:val="left" w:pos="720"/>
          <w:tab w:val="center" w:pos="5400"/>
        </w:tabs>
        <w:suppressAutoHyphens/>
        <w:ind w:firstLine="630"/>
        <w:jc w:val="center"/>
        <w:rPr>
          <w:rFonts w:ascii="Cambria" w:hAnsi="Cambria"/>
          <w:color w:val="000000" w:themeColor="text1"/>
          <w:sz w:val="20"/>
          <w:szCs w:val="20"/>
          <w:lang w:val="uz-Cyrl-UZ"/>
        </w:rPr>
      </w:pPr>
      <w:r w:rsidRPr="00AC1C46">
        <w:rPr>
          <w:rFonts w:ascii="Cambria" w:hAnsi="Cambria"/>
          <w:color w:val="000000" w:themeColor="text1"/>
          <w:sz w:val="20"/>
          <w:szCs w:val="20"/>
          <w:lang w:val="uz-Cyrl-UZ"/>
        </w:rPr>
        <w:t>ARGENTINA</w:t>
      </w:r>
    </w:p>
    <w:p w14:paraId="38903D85" w14:textId="77777777" w:rsidR="00D12D33" w:rsidRPr="00AC1C46" w:rsidRDefault="00335796" w:rsidP="00AC1C46">
      <w:pPr>
        <w:tabs>
          <w:tab w:val="left" w:pos="720"/>
          <w:tab w:val="center" w:pos="5400"/>
        </w:tabs>
        <w:suppressAutoHyphens/>
        <w:ind w:firstLine="630"/>
        <w:jc w:val="center"/>
        <w:rPr>
          <w:rFonts w:ascii="Cambria" w:hAnsi="Cambria"/>
          <w:color w:val="000000" w:themeColor="text1"/>
          <w:sz w:val="20"/>
          <w:szCs w:val="20"/>
          <w:lang w:val="uz-Cyrl-UZ"/>
        </w:rPr>
      </w:pPr>
      <w:r>
        <w:rPr>
          <w:rFonts w:ascii="Cambria" w:hAnsi="Cambria"/>
          <w:color w:val="000000" w:themeColor="text1"/>
          <w:sz w:val="20"/>
          <w:szCs w:val="20"/>
          <w:lang w:val="uz-Cyrl-UZ"/>
        </w:rPr>
        <w:t>5</w:t>
      </w:r>
      <w:r w:rsidR="00D12D33" w:rsidRPr="00AC1C46">
        <w:rPr>
          <w:rFonts w:ascii="Cambria" w:hAnsi="Cambria"/>
          <w:color w:val="000000" w:themeColor="text1"/>
          <w:sz w:val="20"/>
          <w:szCs w:val="20"/>
          <w:lang w:val="uz-Cyrl-UZ"/>
        </w:rPr>
        <w:t xml:space="preserve"> DE JULIO DE 2017</w:t>
      </w:r>
    </w:p>
    <w:p w14:paraId="1094E758" w14:textId="77777777" w:rsidR="00E110B7" w:rsidRPr="00AC1C46" w:rsidRDefault="00E110B7" w:rsidP="00AC1C46">
      <w:pPr>
        <w:tabs>
          <w:tab w:val="left" w:pos="720"/>
          <w:tab w:val="center" w:pos="5400"/>
        </w:tabs>
        <w:suppressAutoHyphens/>
        <w:ind w:firstLine="630"/>
        <w:jc w:val="center"/>
        <w:rPr>
          <w:rFonts w:ascii="Cambria" w:hAnsi="Cambria"/>
          <w:color w:val="000000" w:themeColor="text1"/>
          <w:sz w:val="20"/>
          <w:szCs w:val="20"/>
          <w:lang w:val="uz-Cyrl-UZ"/>
        </w:rPr>
      </w:pPr>
    </w:p>
    <w:p w14:paraId="3B7BCE25" w14:textId="77777777" w:rsidR="00D12D33" w:rsidRPr="00AC1C46" w:rsidRDefault="00D12D33" w:rsidP="00AC1C46">
      <w:pPr>
        <w:pStyle w:val="Heading1"/>
        <w:tabs>
          <w:tab w:val="left" w:pos="720"/>
        </w:tabs>
        <w:spacing w:before="0"/>
        <w:ind w:left="0" w:firstLine="630"/>
        <w:jc w:val="both"/>
        <w:rPr>
          <w:rFonts w:ascii="Cambria" w:hAnsi="Cambria"/>
          <w:color w:val="000000" w:themeColor="text1"/>
          <w:sz w:val="20"/>
          <w:szCs w:val="20"/>
          <w:lang w:val="uz-Cyrl-UZ"/>
        </w:rPr>
      </w:pPr>
      <w:bookmarkStart w:id="4" w:name="_Toc370840743"/>
      <w:bookmarkStart w:id="5" w:name="_Toc370840839"/>
      <w:bookmarkStart w:id="6" w:name="_Toc423514405"/>
      <w:bookmarkStart w:id="7" w:name="_Toc441166725"/>
      <w:bookmarkStart w:id="8" w:name="_Toc476142706"/>
      <w:bookmarkStart w:id="9" w:name="_Toc491078729"/>
      <w:r w:rsidRPr="00AC1C46">
        <w:rPr>
          <w:rFonts w:ascii="Cambria" w:hAnsi="Cambria"/>
          <w:color w:val="000000" w:themeColor="text1"/>
          <w:sz w:val="20"/>
          <w:szCs w:val="20"/>
          <w:lang w:val="uz-Cyrl-UZ"/>
        </w:rPr>
        <w:t>RESUMEN</w:t>
      </w:r>
      <w:bookmarkEnd w:id="4"/>
      <w:bookmarkEnd w:id="5"/>
      <w:bookmarkEnd w:id="6"/>
      <w:bookmarkEnd w:id="7"/>
      <w:bookmarkEnd w:id="8"/>
      <w:bookmarkEnd w:id="9"/>
    </w:p>
    <w:p w14:paraId="17A03D9B"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796826D1"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11 de setiembre de 2000 la Comisión Interamericana de Derechos Humanos (en adelante “la CIDH”, “la Comisión” o “la Comisión Interamericana”) recibió una petición presentada por el señor Victorio Spoltore (en adelante “el peticionario” o “la presunta víctima”), en la cual se alega la responsabilidad de la República de Argentina (en adelante “el Estado”, “Argentina” o “el Estado argentino”) por la violación de derechos consagrados en la Convención Americana sobre Derechos Humanos (en adelante “la Convención Americana” o “la Convención”), como consecuencia de la denegación de justicia y demora excesiva en el proceso judicial seguido contra su empleadora Cacique Camping S.A.</w:t>
      </w:r>
    </w:p>
    <w:p w14:paraId="2BA61304" w14:textId="77777777" w:rsidR="00D12D33" w:rsidRPr="00AC1C46" w:rsidRDefault="00D12D33" w:rsidP="00AC1C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630"/>
        <w:jc w:val="both"/>
        <w:rPr>
          <w:rFonts w:ascii="Cambria" w:hAnsi="Cambria"/>
          <w:color w:val="000000" w:themeColor="text1"/>
          <w:sz w:val="20"/>
          <w:szCs w:val="20"/>
          <w:lang w:val="uz-Cyrl-UZ"/>
        </w:rPr>
      </w:pPr>
    </w:p>
    <w:p w14:paraId="1D345A4B"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El peticionario afirmó que el 3 de junio de 1997, después de 9 años de presentada su demanda, se dictó sentencia por parte del Tribunal de Trabajo, el cual llevó a cabo el proceso de manera negligente y violando sus derechos humanos, sin respetar el plazo razonable. Señaló que el 2 de setiembre de 1997 interpuso recursos de inaplicabilidad y nulidad contra la sentencia de primera instancia ante la Suprema Corte de Justicia de Buenos Aires, siendo ambos rechazados el 16 de agosto de 2000, esto es, 3 años después de su presentación, con lo cual la totalidad del proceso tuvo una duración de 12 años. </w:t>
      </w:r>
    </w:p>
    <w:p w14:paraId="7C78C0EA" w14:textId="77777777" w:rsidR="00D12D33" w:rsidRPr="00AC1C46" w:rsidRDefault="00D12D33" w:rsidP="00AC1C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630"/>
        <w:jc w:val="both"/>
        <w:rPr>
          <w:rFonts w:ascii="Cambria" w:hAnsi="Cambria"/>
          <w:color w:val="000000" w:themeColor="text1"/>
          <w:sz w:val="20"/>
          <w:szCs w:val="20"/>
          <w:lang w:val="uz-Cyrl-UZ"/>
        </w:rPr>
      </w:pPr>
    </w:p>
    <w:p w14:paraId="3F8DD0C3"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Estado negó su responsabilidad por la demora en el proceso, indicando que la misma obedeció a la complejidad del caso, a la materia de la cual se trataba, a la multiplicidad de sujetos que participaron en el mismo, al ejercicio normal y regular de las potestades de cada uno de los sujetos procesales y a la atención dispensada por el Tribunal a todos los planteamientos de las partes. Agregó el Estado que el peticionario no impulsó debidamente el proceso y que hubo demoras que no fueron responsabilidad del Estado por lo que no le resultan atribuibles.</w:t>
      </w:r>
    </w:p>
    <w:p w14:paraId="3E8E9724" w14:textId="77777777" w:rsidR="00D12D33" w:rsidRPr="00AC1C46" w:rsidRDefault="00D12D33" w:rsidP="00AC1C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630"/>
        <w:jc w:val="both"/>
        <w:rPr>
          <w:rFonts w:ascii="Cambria" w:hAnsi="Cambria"/>
          <w:color w:val="000000" w:themeColor="text1"/>
          <w:sz w:val="20"/>
          <w:szCs w:val="20"/>
          <w:lang w:val="uz-Cyrl-UZ"/>
        </w:rPr>
      </w:pPr>
    </w:p>
    <w:p w14:paraId="7F4912CC"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Tras analizar las posiciones de las partes, la Comisión Interamericana concluyó que el Estado de Argentina es responsable por la violación de los derechos de garantías judiciales </w:t>
      </w:r>
      <w:bookmarkStart w:id="10" w:name="_Toc370840744"/>
      <w:bookmarkStart w:id="11" w:name="_Toc370840840"/>
      <w:bookmarkStart w:id="12" w:name="_Toc423514406"/>
      <w:bookmarkStart w:id="13" w:name="_Toc441166726"/>
      <w:bookmarkStart w:id="14" w:name="_Toc476142707"/>
      <w:r w:rsidRPr="00AC1C46">
        <w:rPr>
          <w:rFonts w:ascii="Cambria" w:hAnsi="Cambria"/>
          <w:color w:val="000000" w:themeColor="text1"/>
          <w:sz w:val="20"/>
          <w:szCs w:val="20"/>
          <w:lang w:val="uz-Cyrl-UZ"/>
        </w:rPr>
        <w:t>y protección judicial consagrados en los artículos 8.1 y 25</w:t>
      </w:r>
      <w:r w:rsidR="004530A0" w:rsidRPr="00AC1C46">
        <w:rPr>
          <w:rFonts w:ascii="Cambria" w:hAnsi="Cambria"/>
          <w:color w:val="000000" w:themeColor="text1"/>
          <w:sz w:val="20"/>
          <w:szCs w:val="20"/>
          <w:lang w:val="uz-Cyrl-UZ"/>
        </w:rPr>
        <w:t xml:space="preserve">.1 en relación con el artículo </w:t>
      </w:r>
      <w:r w:rsidRPr="00AC1C46">
        <w:rPr>
          <w:rFonts w:ascii="Cambria" w:hAnsi="Cambria"/>
          <w:color w:val="000000" w:themeColor="text1"/>
          <w:sz w:val="20"/>
          <w:szCs w:val="20"/>
          <w:lang w:val="uz-Cyrl-UZ"/>
        </w:rPr>
        <w:t>1.1. del mismo instrumento, en perjuicio del señor Victorio Spoltore</w:t>
      </w:r>
      <w:bookmarkEnd w:id="10"/>
      <w:bookmarkEnd w:id="11"/>
      <w:bookmarkEnd w:id="12"/>
      <w:bookmarkEnd w:id="13"/>
      <w:bookmarkEnd w:id="14"/>
      <w:r w:rsidRPr="00AC1C46">
        <w:rPr>
          <w:rFonts w:ascii="Cambria" w:hAnsi="Cambria"/>
          <w:color w:val="000000" w:themeColor="text1"/>
          <w:sz w:val="20"/>
          <w:szCs w:val="20"/>
          <w:lang w:val="uz-Cyrl-UZ"/>
        </w:rPr>
        <w:t>. Finalmente, la Comisión formuló las recomendaciones respectivas.</w:t>
      </w:r>
    </w:p>
    <w:p w14:paraId="31630A55" w14:textId="77777777" w:rsidR="00D12D33" w:rsidRPr="00AC1C46" w:rsidRDefault="00D12D33" w:rsidP="00AC1C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630"/>
        <w:jc w:val="both"/>
        <w:rPr>
          <w:rFonts w:ascii="Cambria" w:hAnsi="Cambria"/>
          <w:b/>
          <w:color w:val="000000" w:themeColor="text1"/>
          <w:sz w:val="20"/>
          <w:szCs w:val="20"/>
          <w:lang w:val="uz-Cyrl-UZ"/>
        </w:rPr>
      </w:pPr>
    </w:p>
    <w:p w14:paraId="3F9019D9" w14:textId="77777777" w:rsidR="00D12D33" w:rsidRPr="009A6D0C" w:rsidRDefault="00D12D33" w:rsidP="00AC1C46">
      <w:pPr>
        <w:pStyle w:val="Heading1"/>
        <w:tabs>
          <w:tab w:val="left" w:pos="720"/>
        </w:tabs>
        <w:spacing w:before="0"/>
        <w:ind w:left="0" w:firstLine="630"/>
        <w:jc w:val="both"/>
        <w:rPr>
          <w:rFonts w:ascii="Cambria" w:hAnsi="Cambria"/>
          <w:bCs w:val="0"/>
          <w:iCs/>
          <w:color w:val="auto"/>
          <w:sz w:val="20"/>
          <w:szCs w:val="20"/>
          <w:lang w:val="uz-Cyrl-UZ"/>
        </w:rPr>
      </w:pPr>
      <w:bookmarkStart w:id="15" w:name="_Toc476142708"/>
      <w:bookmarkStart w:id="16" w:name="_Toc491078730"/>
      <w:r w:rsidRPr="009A6D0C">
        <w:rPr>
          <w:rFonts w:ascii="Cambria" w:hAnsi="Cambria"/>
          <w:bCs w:val="0"/>
          <w:iCs/>
          <w:color w:val="auto"/>
          <w:sz w:val="20"/>
          <w:szCs w:val="20"/>
          <w:lang w:val="uz-Cyrl-UZ"/>
        </w:rPr>
        <w:t xml:space="preserve">TRÁMITE DEL </w:t>
      </w:r>
      <w:r w:rsidRPr="00AC1C46">
        <w:rPr>
          <w:rFonts w:ascii="Cambria" w:hAnsi="Cambria"/>
          <w:color w:val="auto"/>
          <w:sz w:val="20"/>
          <w:szCs w:val="20"/>
          <w:lang w:val="uz-Cyrl-UZ"/>
        </w:rPr>
        <w:t>CASO</w:t>
      </w:r>
      <w:r w:rsidRPr="009A6D0C">
        <w:rPr>
          <w:rFonts w:ascii="Cambria" w:hAnsi="Cambria"/>
          <w:bCs w:val="0"/>
          <w:iCs/>
          <w:color w:val="auto"/>
          <w:sz w:val="20"/>
          <w:szCs w:val="20"/>
          <w:lang w:val="uz-Cyrl-UZ"/>
        </w:rPr>
        <w:t xml:space="preserve"> DESDE EL INFORME DE ADMISIBILIDAD</w:t>
      </w:r>
      <w:bookmarkEnd w:id="15"/>
      <w:bookmarkEnd w:id="16"/>
    </w:p>
    <w:p w14:paraId="163C71CD" w14:textId="77777777" w:rsidR="00D12D33" w:rsidRPr="00AC1C46" w:rsidRDefault="00D12D33" w:rsidP="00AC1C46">
      <w:pPr>
        <w:tabs>
          <w:tab w:val="left" w:pos="720"/>
        </w:tabs>
        <w:ind w:firstLine="630"/>
        <w:jc w:val="both"/>
        <w:rPr>
          <w:rStyle w:val="Heading2Char"/>
          <w:rFonts w:ascii="Cambria" w:eastAsia="Arial Unicode MS" w:hAnsi="Cambria"/>
          <w:i w:val="0"/>
          <w:color w:val="000000" w:themeColor="text1"/>
          <w:sz w:val="20"/>
          <w:szCs w:val="20"/>
          <w:lang w:val="uz-Cyrl-UZ"/>
        </w:rPr>
      </w:pPr>
    </w:p>
    <w:p w14:paraId="27E68264"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11 de septiembre de 2000 la Comisión recibió la petición y la registró bajo el número 460-00. El trámite hasta la decisión sobre admisibilidad se encuentra explicado en detalle en el Informe No. 65/08 de 25 de julio de 2008</w:t>
      </w:r>
      <w:r w:rsidRPr="00AC1C46">
        <w:rPr>
          <w:rFonts w:ascii="Cambria" w:hAnsi="Cambria"/>
          <w:color w:val="000000" w:themeColor="text1"/>
          <w:sz w:val="20"/>
          <w:szCs w:val="20"/>
          <w:vertAlign w:val="superscript"/>
          <w:lang w:val="uz-Cyrl-UZ"/>
        </w:rPr>
        <w:footnoteReference w:id="1"/>
      </w:r>
      <w:r w:rsidRPr="00AC1C46">
        <w:rPr>
          <w:rFonts w:ascii="Cambria" w:hAnsi="Cambria"/>
          <w:color w:val="000000" w:themeColor="text1"/>
          <w:sz w:val="20"/>
          <w:szCs w:val="20"/>
          <w:lang w:val="uz-Cyrl-UZ"/>
        </w:rPr>
        <w:t xml:space="preserve">. </w:t>
      </w:r>
    </w:p>
    <w:p w14:paraId="512503A7" w14:textId="77777777" w:rsidR="00D12D33" w:rsidRPr="00AC1C46" w:rsidRDefault="00D12D33" w:rsidP="00AC1C46">
      <w:pPr>
        <w:tabs>
          <w:tab w:val="left" w:pos="720"/>
          <w:tab w:val="left" w:pos="1440"/>
        </w:tabs>
        <w:ind w:firstLine="630"/>
        <w:jc w:val="both"/>
        <w:rPr>
          <w:rFonts w:ascii="Cambria" w:hAnsi="Cambria"/>
          <w:color w:val="000000" w:themeColor="text1"/>
          <w:sz w:val="20"/>
          <w:szCs w:val="20"/>
          <w:lang w:val="uz-Cyrl-UZ"/>
        </w:rPr>
      </w:pPr>
    </w:p>
    <w:p w14:paraId="140A08E5"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8 de agosto de 2008 la Comisión notificó a las partes el informe de admisibilidad. Asimismo, conforme a su Reglamento entonces vigente, se puso a disposición de las partes a fin de llegar a una so</w:t>
      </w:r>
      <w:r w:rsidR="005345F2" w:rsidRPr="00AC1C46">
        <w:rPr>
          <w:rFonts w:ascii="Cambria" w:hAnsi="Cambria"/>
          <w:color w:val="000000" w:themeColor="text1"/>
          <w:sz w:val="20"/>
          <w:szCs w:val="20"/>
          <w:lang w:val="uz-Cyrl-UZ"/>
        </w:rPr>
        <w:t>lución amistosa y solicitó al peticionario que presentara</w:t>
      </w:r>
      <w:r w:rsidRPr="00AC1C46">
        <w:rPr>
          <w:rFonts w:ascii="Cambria" w:hAnsi="Cambria"/>
          <w:color w:val="000000" w:themeColor="text1"/>
          <w:sz w:val="20"/>
          <w:szCs w:val="20"/>
          <w:lang w:val="uz-Cyrl-UZ"/>
        </w:rPr>
        <w:t xml:space="preserve"> sus observaciones adicionales sobre el fondo en un plazo de dos mese</w:t>
      </w:r>
      <w:r w:rsidR="005345F2" w:rsidRPr="00AC1C46">
        <w:rPr>
          <w:rFonts w:ascii="Cambria" w:hAnsi="Cambria"/>
          <w:color w:val="000000" w:themeColor="text1"/>
          <w:sz w:val="20"/>
          <w:szCs w:val="20"/>
          <w:lang w:val="uz-Cyrl-UZ"/>
        </w:rPr>
        <w:t>s. El 2 de septiembre de 2008 el peticionario presentó</w:t>
      </w:r>
      <w:r w:rsidRPr="00AC1C46">
        <w:rPr>
          <w:rFonts w:ascii="Cambria" w:hAnsi="Cambria"/>
          <w:color w:val="000000" w:themeColor="text1"/>
          <w:sz w:val="20"/>
          <w:szCs w:val="20"/>
          <w:lang w:val="uz-Cyrl-UZ"/>
        </w:rPr>
        <w:t xml:space="preserve"> sus observaciones adicionales sobre el fondo, las cuales fueron transmitidas al Estado argentino el 17 de marzo de 2009  solicitándole que en el plazo de dos meses presentara sus observaciones adicionales sobre el fondo. El Estado expresó que no tenía observaciones adicionales que formular. Con posterioridad, el peticionario continuó presentando comunicaciones, las cuales fueron debidamente transmitidas al Estado argentino. </w:t>
      </w:r>
    </w:p>
    <w:p w14:paraId="6003E9E5" w14:textId="77777777" w:rsidR="00D12D33" w:rsidRPr="00AC1C46" w:rsidRDefault="00D12D33" w:rsidP="00AC1C46">
      <w:pPr>
        <w:tabs>
          <w:tab w:val="left" w:pos="720"/>
        </w:tabs>
        <w:ind w:firstLine="630"/>
        <w:jc w:val="both"/>
        <w:rPr>
          <w:rStyle w:val="Heading2Char"/>
          <w:rFonts w:ascii="Cambria" w:eastAsia="Arial Unicode MS" w:hAnsi="Cambria"/>
          <w:i w:val="0"/>
          <w:color w:val="000000" w:themeColor="text1"/>
          <w:sz w:val="20"/>
          <w:szCs w:val="20"/>
          <w:lang w:val="uz-Cyrl-UZ"/>
        </w:rPr>
      </w:pPr>
    </w:p>
    <w:p w14:paraId="1130D295" w14:textId="77777777" w:rsidR="00D12D33" w:rsidRPr="00AC1C46" w:rsidRDefault="00D12D33" w:rsidP="00AC1C46">
      <w:pPr>
        <w:pStyle w:val="Heading1"/>
        <w:tabs>
          <w:tab w:val="left" w:pos="720"/>
        </w:tabs>
        <w:spacing w:before="0"/>
        <w:ind w:left="0" w:firstLine="630"/>
        <w:jc w:val="both"/>
        <w:rPr>
          <w:rFonts w:ascii="Cambria" w:hAnsi="Cambria"/>
          <w:bCs w:val="0"/>
          <w:iCs/>
          <w:color w:val="auto"/>
          <w:sz w:val="20"/>
          <w:szCs w:val="20"/>
        </w:rPr>
      </w:pPr>
      <w:bookmarkStart w:id="17" w:name="_Toc476142709"/>
      <w:bookmarkStart w:id="18" w:name="_Toc491078731"/>
      <w:r w:rsidRPr="00AC1C46">
        <w:rPr>
          <w:rFonts w:ascii="Cambria" w:hAnsi="Cambria"/>
          <w:bCs w:val="0"/>
          <w:iCs/>
          <w:color w:val="auto"/>
          <w:sz w:val="20"/>
          <w:szCs w:val="20"/>
        </w:rPr>
        <w:lastRenderedPageBreak/>
        <w:t>POSICIONES DE LAS PARTES</w:t>
      </w:r>
      <w:bookmarkEnd w:id="17"/>
      <w:bookmarkEnd w:id="18"/>
    </w:p>
    <w:p w14:paraId="190B502F" w14:textId="77777777" w:rsidR="00D12D33" w:rsidRPr="00AC1C46" w:rsidRDefault="00D12D33" w:rsidP="00AC1C46">
      <w:pPr>
        <w:tabs>
          <w:tab w:val="left" w:pos="720"/>
          <w:tab w:val="left" w:pos="1440"/>
        </w:tabs>
        <w:ind w:firstLine="630"/>
        <w:jc w:val="both"/>
        <w:rPr>
          <w:rFonts w:ascii="Cambria" w:hAnsi="Cambria"/>
          <w:color w:val="000000" w:themeColor="text1"/>
          <w:sz w:val="20"/>
          <w:szCs w:val="20"/>
          <w:lang w:val="uz-Cyrl-UZ"/>
        </w:rPr>
      </w:pPr>
    </w:p>
    <w:p w14:paraId="620FDB70" w14:textId="77777777" w:rsidR="00D12D33" w:rsidRPr="00AC1C46" w:rsidRDefault="00D12D33" w:rsidP="00AC1C46">
      <w:pPr>
        <w:pStyle w:val="Heading2"/>
        <w:numPr>
          <w:ilvl w:val="0"/>
          <w:numId w:val="3"/>
        </w:numPr>
        <w:tabs>
          <w:tab w:val="left" w:pos="720"/>
        </w:tabs>
        <w:spacing w:before="0" w:after="0"/>
        <w:ind w:left="0" w:firstLine="630"/>
        <w:jc w:val="both"/>
        <w:rPr>
          <w:rFonts w:ascii="Cambria" w:hAnsi="Cambria"/>
          <w:i w:val="0"/>
          <w:color w:val="000000" w:themeColor="text1"/>
          <w:sz w:val="20"/>
          <w:szCs w:val="20"/>
          <w:lang w:val="uz-Cyrl-UZ"/>
        </w:rPr>
      </w:pPr>
      <w:bookmarkStart w:id="19" w:name="_Toc423514408"/>
      <w:bookmarkStart w:id="20" w:name="_Toc441166728"/>
      <w:bookmarkStart w:id="21" w:name="_Toc476142710"/>
      <w:bookmarkStart w:id="22" w:name="_Toc491078732"/>
      <w:r w:rsidRPr="00AC1C46">
        <w:rPr>
          <w:rFonts w:ascii="Cambria" w:hAnsi="Cambria"/>
          <w:i w:val="0"/>
          <w:color w:val="000000" w:themeColor="text1"/>
          <w:sz w:val="20"/>
          <w:szCs w:val="20"/>
          <w:lang w:val="uz-Cyrl-UZ"/>
        </w:rPr>
        <w:t>Posición del peticionario</w:t>
      </w:r>
      <w:bookmarkEnd w:id="19"/>
      <w:bookmarkEnd w:id="20"/>
      <w:bookmarkEnd w:id="21"/>
      <w:bookmarkEnd w:id="22"/>
    </w:p>
    <w:p w14:paraId="156232A7" w14:textId="77777777" w:rsidR="00D12D33" w:rsidRPr="00AC1C46" w:rsidRDefault="00D12D33" w:rsidP="00AC1C46">
      <w:pPr>
        <w:tabs>
          <w:tab w:val="left" w:pos="720"/>
          <w:tab w:val="left" w:pos="1440"/>
        </w:tabs>
        <w:ind w:firstLine="630"/>
        <w:jc w:val="both"/>
        <w:rPr>
          <w:rFonts w:ascii="Cambria" w:hAnsi="Cambria"/>
          <w:color w:val="000000" w:themeColor="text1"/>
          <w:sz w:val="20"/>
          <w:szCs w:val="20"/>
          <w:lang w:val="uz-Cyrl-UZ"/>
        </w:rPr>
      </w:pPr>
    </w:p>
    <w:p w14:paraId="733DF7C6"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peticionario alegó que presentó una demanda laboral el 30 de junio de 1988 contra la empresa Cacique Camping S.A., por enfermedad profesional. Indicó que debido a su trabajo diario, su salud se vio afectada y, por ello, tuvo que jubilarse con una incapacidad del 70%. Agregó que reclamó indemnización por incapacidad laboral y daño moral.</w:t>
      </w:r>
    </w:p>
    <w:p w14:paraId="2B574F3B"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4F875E47"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peticionario afirmó que el 3 de junio de 1997, después de 9 años de presentada su demanda, se dictó sentencia por parte del Tribunal de Trabajo mediante la cual se ind</w:t>
      </w:r>
      <w:r w:rsidR="00B5326A" w:rsidRPr="00AC1C46">
        <w:rPr>
          <w:rFonts w:ascii="Cambria" w:hAnsi="Cambria"/>
          <w:color w:val="000000" w:themeColor="text1"/>
          <w:sz w:val="20"/>
          <w:szCs w:val="20"/>
          <w:lang w:val="uz-Cyrl-UZ"/>
        </w:rPr>
        <w:t>i</w:t>
      </w:r>
      <w:r w:rsidRPr="00AC1C46">
        <w:rPr>
          <w:rFonts w:ascii="Cambria" w:hAnsi="Cambria"/>
          <w:color w:val="000000" w:themeColor="text1"/>
          <w:sz w:val="20"/>
          <w:szCs w:val="20"/>
          <w:lang w:val="uz-Cyrl-UZ"/>
        </w:rPr>
        <w:t>có la ausencia de responsabilidad de la empresa Cacique Camping S.A. por el deterioro en su salud. Agregó que el Tribunal de Trabajo llevó a cabo el proceso de manera negligente y violando sus derechos humanos, sin respetar el plazo razonable. Al respecto, hizo referencia a diversos periodos en los que el Tribunal de Trabajo demoró el proceso.</w:t>
      </w:r>
    </w:p>
    <w:p w14:paraId="1738AD73"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7462DE94"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Señaló además que el 2 de septiembre de 1997 interpuso recursos de inaplicabilidad y nulidad contra la sentencia de primera instancia ante la Suprema Corte de Justicia de Buenos Aires, siendo ambos rechazados el 16 de agosto de 2000, esto es, tres años después de su presentación, culminando el proceso luego de 12 años de interpuesta la demanda. </w:t>
      </w:r>
    </w:p>
    <w:p w14:paraId="1001D0C0"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30B20854"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Por otra parte, el peticionario informó que el 16 de septiembre de 1997 se presentó ante la Inspección General de la Suprema Corte de Justicia de Buenos Aires denunciando la demora y negligencia en el proceso por parte del Tribunal de Trabajo. Indicó que la Suprema Corte tuvo el expediente para resolver por casi 2 años y, en su resolución del 16 de abril de 1999, determinó que aunque existió demora, únicamente cabía un llamado de atención a la secretaria del tribunal en cuestión como consecuencia de la demora en la remisión de la causa a la asesoría pericial y del atraso en la confección y rúbrica de cédulas de notificación.</w:t>
      </w:r>
    </w:p>
    <w:p w14:paraId="38F6494B"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5B66A6B9"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peticionario alegó que de conformidad con la legislación aplicable a los tribunales de trabajo, es obligación de éstos ordenar de oficio las medidas convenientes para el desarrollo del proceso. Agregó que el impulso por parte del Estado es esencial en los juicios de orden laboral.</w:t>
      </w:r>
    </w:p>
    <w:p w14:paraId="0C16F74E"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681A149F"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peticionario señaló que el artículo 12 de la Ley N° 7718, que se aplicó al proceso laboral, establecía que: “(…) el tribunal deberá ordenar de oficio las medidas convenientes para el desarrollo del proceso. Asimismo, podrá disponerse realice cualquier diligencia que fuera necesaria para evitar la nulidad”. Señaló que el proceso laboral es especial y fundado en la protección establecida en el artículo 14 de la Constitución argentina, por lo que su impulso es de oficio.</w:t>
      </w:r>
    </w:p>
    <w:p w14:paraId="4B95F4D3"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52DE0D0E"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Con base en todo lo anterior, el peticionario afirmó que el Estado le violó su derecho a que el asunto fuera resuelto en un plazo razonable y a la protección judicial, conforme a los artículos 8 y 25 de la Convención.</w:t>
      </w:r>
    </w:p>
    <w:p w14:paraId="2BA7BA17" w14:textId="77777777" w:rsidR="00D12D33" w:rsidRPr="00AC1C46" w:rsidRDefault="00D12D33" w:rsidP="00AC1C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630"/>
        <w:jc w:val="both"/>
        <w:rPr>
          <w:rFonts w:ascii="Cambria" w:hAnsi="Cambria"/>
          <w:color w:val="000000" w:themeColor="text1"/>
          <w:sz w:val="20"/>
          <w:szCs w:val="20"/>
          <w:lang w:val="uz-Cyrl-UZ"/>
        </w:rPr>
      </w:pPr>
    </w:p>
    <w:p w14:paraId="5C9ABC53" w14:textId="77777777" w:rsidR="00D12D33" w:rsidRPr="00AC1C46" w:rsidRDefault="00D12D33" w:rsidP="00AC1C46">
      <w:pPr>
        <w:pStyle w:val="Heading2"/>
        <w:numPr>
          <w:ilvl w:val="0"/>
          <w:numId w:val="3"/>
        </w:numPr>
        <w:tabs>
          <w:tab w:val="left" w:pos="720"/>
        </w:tabs>
        <w:spacing w:before="0" w:after="0"/>
        <w:ind w:left="0" w:firstLine="630"/>
        <w:jc w:val="both"/>
        <w:rPr>
          <w:rFonts w:ascii="Cambria" w:hAnsi="Cambria"/>
          <w:i w:val="0"/>
          <w:color w:val="000000" w:themeColor="text1"/>
          <w:sz w:val="20"/>
          <w:szCs w:val="20"/>
          <w:lang w:val="uz-Cyrl-UZ"/>
        </w:rPr>
      </w:pPr>
      <w:bookmarkStart w:id="23" w:name="_Toc476142711"/>
      <w:bookmarkStart w:id="24" w:name="_Toc491078733"/>
      <w:r w:rsidRPr="00AC1C46">
        <w:rPr>
          <w:rFonts w:ascii="Cambria" w:hAnsi="Cambria"/>
          <w:i w:val="0"/>
          <w:color w:val="000000" w:themeColor="text1"/>
          <w:sz w:val="20"/>
          <w:szCs w:val="20"/>
          <w:lang w:val="uz-Cyrl-UZ"/>
        </w:rPr>
        <w:t>Posición del Estado</w:t>
      </w:r>
      <w:bookmarkEnd w:id="23"/>
      <w:bookmarkEnd w:id="24"/>
    </w:p>
    <w:p w14:paraId="3737B04B"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6E72F58D"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El Estado señaló que el señor Victorio Spoltore ingresó el 1 de setiembre de 1963 a trabajar en relación de dependencia para la empresa Cacique Camping S.A y que en el mes de mayo de 1987 cesó sus actividades laborales. Agregó el Estado que durante ese período desempeñó diversas funciones. El Estado indicó que en 1984 el señor Spoltore sufrió una afección cardíaca y a partir de entonces su salud comenzó a tener complicaciones. </w:t>
      </w:r>
    </w:p>
    <w:p w14:paraId="4B4306ED"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656D90BB"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Estado refirió que el señor Spoltore tramitó su jubilación por incapacidad ante la Caja de Previsión para la Industria, Comercio y Actividades Civiles. Dicha prestación previsional le fue otorgada después de que por dictamen de junta médica se determinara que el señor Spoltore presentaba una incapacidad laboral de un 70%.</w:t>
      </w:r>
    </w:p>
    <w:p w14:paraId="37563F95"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02D21551"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El Estado añadió que el 30 de junio de 1988 el señor Spoltore presentó una demanda por indemnización emergente de enfermedad profesional contra la empresa Cacique Camping S.A, que se tramitó ante un Tribunal del Trabajo. Señaló que el peticionario alegó que el desmejoramiento de su estado de salud tenía origen en su actividad laboral en la planta industrial. El Estado afirmó que el Tribunal del Trabajo dictó sentencia el 3 de junio de 1997 rechazando la </w:t>
      </w:r>
      <w:r w:rsidR="00FF1244" w:rsidRPr="00AC1C46">
        <w:rPr>
          <w:rFonts w:ascii="Cambria" w:hAnsi="Cambria"/>
          <w:color w:val="000000" w:themeColor="text1"/>
          <w:sz w:val="20"/>
          <w:szCs w:val="20"/>
          <w:lang w:val="uz-Cyrl-UZ"/>
        </w:rPr>
        <w:t xml:space="preserve">demanda </w:t>
      </w:r>
      <w:r w:rsidRPr="00AC1C46">
        <w:rPr>
          <w:rFonts w:ascii="Cambria" w:hAnsi="Cambria"/>
          <w:color w:val="000000" w:themeColor="text1"/>
          <w:sz w:val="20"/>
          <w:szCs w:val="20"/>
          <w:lang w:val="uz-Cyrl-UZ"/>
        </w:rPr>
        <w:t>por no encontrar un vínculo causal entre la actividad laboral y las afecciones a la salud. Descr</w:t>
      </w:r>
      <w:r w:rsidR="00FF1244" w:rsidRPr="00AC1C46">
        <w:rPr>
          <w:rFonts w:ascii="Cambria" w:hAnsi="Cambria"/>
          <w:color w:val="000000" w:themeColor="text1"/>
          <w:sz w:val="20"/>
          <w:szCs w:val="20"/>
          <w:lang w:val="uz-Cyrl-UZ"/>
        </w:rPr>
        <w:t>ibió que contra dicha sentencia</w:t>
      </w:r>
      <w:r w:rsidRPr="00AC1C46">
        <w:rPr>
          <w:rFonts w:ascii="Cambria" w:hAnsi="Cambria"/>
          <w:color w:val="000000" w:themeColor="text1"/>
          <w:sz w:val="20"/>
          <w:szCs w:val="20"/>
          <w:lang w:val="uz-Cyrl-UZ"/>
        </w:rPr>
        <w:t>, el señor Spoltore interpuso recursos, lo</w:t>
      </w:r>
      <w:r w:rsidR="00FF1244" w:rsidRPr="00AC1C46">
        <w:rPr>
          <w:rFonts w:ascii="Cambria" w:hAnsi="Cambria"/>
          <w:color w:val="000000" w:themeColor="text1"/>
          <w:sz w:val="20"/>
          <w:szCs w:val="20"/>
          <w:lang w:val="uz-Cyrl-UZ"/>
        </w:rPr>
        <w:t>s</w:t>
      </w:r>
      <w:r w:rsidRPr="00AC1C46">
        <w:rPr>
          <w:rFonts w:ascii="Cambria" w:hAnsi="Cambria"/>
          <w:color w:val="000000" w:themeColor="text1"/>
          <w:sz w:val="20"/>
          <w:szCs w:val="20"/>
          <w:lang w:val="uz-Cyrl-UZ"/>
        </w:rPr>
        <w:t xml:space="preserve"> cuales fueron rechazados el 16 de agosto de 2000.</w:t>
      </w:r>
    </w:p>
    <w:p w14:paraId="50888444"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2046F541"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Estado agregó que el 16 de setiembre de 1997, el señor Spoltore presentó una denuncia disciplinaria contra el Tribunal del Trabajo, en el marco de la cual se estableció que por conducta imputable al Tribunal se produjeron demoras injustificadas en dos diligencias concretas, por lo que se decidió hacer un “llamado de atención” a la secretaria del Tribunal.</w:t>
      </w:r>
    </w:p>
    <w:p w14:paraId="5D3B9335"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518B34DD"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Estado alegó que estas determinaciones no implican la configuración de un retardo injustificado en el proceso judicial considerado en su conjunto. Agregó que no es posible hacer extensivo ese reconocimiento a todas las otras diligencias procesales y que los plazos relativos a los demás trámites deben ser considerados a la luz de las particularidades del caso.</w:t>
      </w:r>
    </w:p>
    <w:p w14:paraId="6477EF9B"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682FE7AC"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Estado precisó que además de la empleadora demandada, tuvieron que tomar parte en el pleito tres compañías aseguradoras, en calidad de citadas en garantía, lo que supuso que todas las diligencias procesales debían ser puestas en consideración de todos los codemandados, así como la posibilidad de interponer todos los recursos y excepciones que la ley acordaba a cada uno de ellos. El Estado indicó que las demoras para citar en garantía a la</w:t>
      </w:r>
      <w:r w:rsidR="00FF1244" w:rsidRPr="00AC1C46">
        <w:rPr>
          <w:rFonts w:ascii="Cambria" w:hAnsi="Cambria"/>
          <w:color w:val="000000" w:themeColor="text1"/>
          <w:sz w:val="20"/>
          <w:szCs w:val="20"/>
          <w:lang w:val="uz-Cyrl-UZ"/>
        </w:rPr>
        <w:t>s</w:t>
      </w:r>
      <w:r w:rsidRPr="00AC1C46">
        <w:rPr>
          <w:rFonts w:ascii="Cambria" w:hAnsi="Cambria"/>
          <w:color w:val="000000" w:themeColor="text1"/>
          <w:sz w:val="20"/>
          <w:szCs w:val="20"/>
          <w:lang w:val="uz-Cyrl-UZ"/>
        </w:rPr>
        <w:t xml:space="preserve"> compañía</w:t>
      </w:r>
      <w:r w:rsidR="00FF1244" w:rsidRPr="00AC1C46">
        <w:rPr>
          <w:rFonts w:ascii="Cambria" w:hAnsi="Cambria"/>
          <w:color w:val="000000" w:themeColor="text1"/>
          <w:sz w:val="20"/>
          <w:szCs w:val="20"/>
          <w:lang w:val="uz-Cyrl-UZ"/>
        </w:rPr>
        <w:t>s</w:t>
      </w:r>
      <w:r w:rsidRPr="00AC1C46">
        <w:rPr>
          <w:rFonts w:ascii="Cambria" w:hAnsi="Cambria"/>
          <w:color w:val="000000" w:themeColor="text1"/>
          <w:sz w:val="20"/>
          <w:szCs w:val="20"/>
          <w:lang w:val="uz-Cyrl-UZ"/>
        </w:rPr>
        <w:t xml:space="preserve"> de seguros no le resultan imputables pues se debieron a la conducta procesal de la empresa demandada quien no proporcionó toda la información sobre los seguros con los que contaba. Agregó que una de las aseguradoras citadas en garantía se presentó en concurso preventivo y que la demandada principal se declaró en concurso de acreedores, incluso cambiando de razón social. El Estado alegó que diversas diligencias fueron recurridas, repetidas o encomendadas a oficinas periciales de otra jurisdicción. Con base en lo anterior, señaló que el tiempo de la tramitación de la causa no resultó excesivo ni irrazonable.</w:t>
      </w:r>
    </w:p>
    <w:p w14:paraId="10D78D93"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385EFCF2"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El Estado manifestó que muchas de las diligencias probatorias llevadas a cabo durante el trámite fueron propuestas por el señor Spoltore. Agregó que las demoras habidas durante todo el proceso obedecieron a la complejidad del caso, a la materia que se trataba, a la multiplicidad de sujetos que participaron en el mismo, al ejercicio normal y regular de las potestades de cada uno de los sujetos procesales y a la atención dispensada por el Tribunal a todos los planteamientos de las partes. El Estado alegó además una importante falta de impulso procesal por parte del peticionario. Señaló que en Argentina los procedimientos ante tribunales laborales, como cualquier otro proceso ante un tribunal civil, se rigen por el principio de impulso de las partes. </w:t>
      </w:r>
    </w:p>
    <w:p w14:paraId="2F1AA0C3"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2B96324E"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Estado precisó que lo anterior no lo exime de garantizar que todo proceso judicial sea sustanciados en un plazo razonable, lo que no implica que no deba prestarse especial atención a la actividad procesal del interesado. Alegó que el señor Spoltore podría haber presentado infinidad de escritos solicitando que las demoras reconocidas en el proceso disciplinario fueran resueltas, lo que no fue efectuado por el peticionario. Agregó el Estado que el 11 de noviembre de 1992 el perito médico informó sobre la necesidad de realizar al señor Spoltore una pericia psicológica y que nuevamente el expediente permaneció sin movimiento hasta el 23 de marzo de 1993.</w:t>
      </w:r>
    </w:p>
    <w:p w14:paraId="3C14AF88"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009EBC0B"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El Estado alegó que se fijaron seis audiencias de vista. Indicó que la primera audiencia fue fijada para el 10 de mayo de 1995 y que en el acta no se explicitó el motivo de la suspensión. La segunda audiencia, afirmó el Estado, fue suspendida por el señor Spoltore, por existir prueba pendiente. Señaló que la tercera audiencia fue suspendida en virtud de que ese día la parte demandada hizo saber al Tribunal la apertura de su concurso y peticionó la suspensión de la vista de causa. Indicó el Estado, que la cuarta fue suspendida a raíz de que el juzgado comercial que intervenía en el trámite del concurso no había contestado un oficio que se le había remitido. Señaló que la quinta fue suspendida sin especificar el </w:t>
      </w:r>
      <w:r w:rsidRPr="00AC1C46">
        <w:rPr>
          <w:rFonts w:ascii="Cambria" w:hAnsi="Cambria"/>
          <w:color w:val="000000" w:themeColor="text1"/>
          <w:sz w:val="20"/>
          <w:szCs w:val="20"/>
          <w:lang w:val="uz-Cyrl-UZ"/>
        </w:rPr>
        <w:lastRenderedPageBreak/>
        <w:t>motivo. Finalmente, indicó que el 3 de junio de 1997 se realizó la audiencia de vista de causa. El Estado precisó que desde la primera audiencia hasta la última pasaron 2 años y 23 días. Sin embargo, de las constancias de la causa no surge que el peticionario haya impugnado las fechas en que fueron fijadas las a</w:t>
      </w:r>
      <w:r w:rsidR="00FF1244" w:rsidRPr="00AC1C46">
        <w:rPr>
          <w:rFonts w:ascii="Cambria" w:hAnsi="Cambria"/>
          <w:color w:val="000000" w:themeColor="text1"/>
          <w:sz w:val="20"/>
          <w:szCs w:val="20"/>
          <w:lang w:val="uz-Cyrl-UZ"/>
        </w:rPr>
        <w:t xml:space="preserve">udiencias ni las suspensiones. </w:t>
      </w:r>
    </w:p>
    <w:p w14:paraId="64A097FC"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7FF37BE8" w14:textId="77777777" w:rsidR="00BD649E" w:rsidRPr="00AC1C46" w:rsidRDefault="00D12D33" w:rsidP="00AC1C46">
      <w:pPr>
        <w:pStyle w:val="Heading1"/>
        <w:tabs>
          <w:tab w:val="left" w:pos="720"/>
        </w:tabs>
        <w:spacing w:before="0"/>
        <w:ind w:left="0" w:firstLine="630"/>
        <w:jc w:val="both"/>
        <w:rPr>
          <w:rFonts w:ascii="Cambria" w:hAnsi="Cambria"/>
          <w:bCs w:val="0"/>
          <w:iCs/>
          <w:color w:val="auto"/>
          <w:sz w:val="20"/>
          <w:szCs w:val="20"/>
        </w:rPr>
      </w:pPr>
      <w:bookmarkStart w:id="25" w:name="_Toc475611885"/>
      <w:bookmarkStart w:id="26" w:name="_Toc476142712"/>
      <w:bookmarkStart w:id="27" w:name="_Toc491078734"/>
      <w:r w:rsidRPr="00AC1C46">
        <w:rPr>
          <w:rFonts w:ascii="Cambria" w:hAnsi="Cambria"/>
          <w:bCs w:val="0"/>
          <w:iCs/>
          <w:color w:val="auto"/>
          <w:sz w:val="20"/>
          <w:szCs w:val="20"/>
        </w:rPr>
        <w:t>HECHOS PROBADOS</w:t>
      </w:r>
      <w:bookmarkEnd w:id="25"/>
      <w:bookmarkEnd w:id="26"/>
      <w:bookmarkEnd w:id="27"/>
    </w:p>
    <w:p w14:paraId="3AE56506" w14:textId="77777777" w:rsidR="00D12D33" w:rsidRPr="00AC1C46" w:rsidRDefault="00D12D33" w:rsidP="00AC1C46">
      <w:pPr>
        <w:tabs>
          <w:tab w:val="left" w:pos="720"/>
        </w:tabs>
        <w:ind w:firstLine="630"/>
        <w:jc w:val="both"/>
        <w:rPr>
          <w:rFonts w:ascii="Cambria" w:hAnsi="Cambria"/>
          <w:b/>
          <w:color w:val="000000" w:themeColor="text1"/>
          <w:sz w:val="20"/>
          <w:szCs w:val="20"/>
          <w:lang w:val="uz-Cyrl-UZ"/>
        </w:rPr>
      </w:pPr>
    </w:p>
    <w:p w14:paraId="0D6166D5"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1 de setiembre de 1963 Victorio Spoltore empezó a trabajar para la empresa Cacique Camping S.A hasta mayo de 1987, fecha en la que cesó sus actividades laborales</w:t>
      </w:r>
      <w:r w:rsidRPr="00AC1C46">
        <w:rPr>
          <w:rStyle w:val="FootnoteReference"/>
          <w:rFonts w:ascii="Cambria" w:hAnsi="Cambria"/>
          <w:color w:val="000000" w:themeColor="text1"/>
          <w:sz w:val="20"/>
          <w:szCs w:val="20"/>
          <w:lang w:val="uz-Cyrl-UZ"/>
        </w:rPr>
        <w:footnoteReference w:id="2"/>
      </w:r>
      <w:r w:rsidRPr="00AC1C46">
        <w:rPr>
          <w:rFonts w:ascii="Cambria" w:hAnsi="Cambria"/>
          <w:color w:val="000000" w:themeColor="text1"/>
          <w:sz w:val="20"/>
          <w:szCs w:val="20"/>
          <w:lang w:val="uz-Cyrl-UZ"/>
        </w:rPr>
        <w:t>. Durante ese período se desempeñó en diversos cargos tales como operario, ayudante cortador, cortador, ayudante capataz, jefe de corte y finalmente de capataz</w:t>
      </w:r>
      <w:r w:rsidRPr="00AC1C46">
        <w:rPr>
          <w:rStyle w:val="FootnoteReference"/>
          <w:rFonts w:ascii="Cambria" w:hAnsi="Cambria"/>
          <w:color w:val="000000" w:themeColor="text1"/>
          <w:sz w:val="20"/>
          <w:szCs w:val="20"/>
          <w:lang w:val="uz-Cyrl-UZ"/>
        </w:rPr>
        <w:footnoteReference w:id="3"/>
      </w:r>
      <w:r w:rsidRPr="00AC1C46">
        <w:rPr>
          <w:rFonts w:ascii="Cambria" w:hAnsi="Cambria"/>
          <w:color w:val="000000" w:themeColor="text1"/>
          <w:sz w:val="20"/>
          <w:szCs w:val="20"/>
          <w:lang w:val="uz-Cyrl-UZ"/>
        </w:rPr>
        <w:t>.</w:t>
      </w:r>
    </w:p>
    <w:p w14:paraId="6CB2B013"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1E19B9AC"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En 1984 el señor Spoltore sufrió un infarto</w:t>
      </w:r>
      <w:r w:rsidRPr="00AC1C46">
        <w:rPr>
          <w:rStyle w:val="FootnoteReference"/>
          <w:rFonts w:ascii="Cambria" w:hAnsi="Cambria"/>
          <w:color w:val="000000" w:themeColor="text1"/>
          <w:sz w:val="20"/>
          <w:szCs w:val="20"/>
          <w:lang w:val="uz-Cyrl-UZ"/>
        </w:rPr>
        <w:footnoteReference w:id="4"/>
      </w:r>
      <w:r w:rsidRPr="00AC1C46">
        <w:rPr>
          <w:rFonts w:ascii="Cambria" w:hAnsi="Cambria"/>
          <w:color w:val="000000" w:themeColor="text1"/>
          <w:sz w:val="20"/>
          <w:szCs w:val="20"/>
          <w:lang w:val="uz-Cyrl-UZ"/>
        </w:rPr>
        <w:t xml:space="preserve"> y a partir de ese momento su salud comenzó a tener complicaciones. Ello motivó que tramitara su jubilación por incapacidad ante la Caja de Previsión para la Industria, Comercio y Actividades Civiles. Dicha prestación previsional le fue otorgada después de que por dictamen de junta médica se determinara que el señor Spoltore presentaba una incapacidad laboral de un 70%</w:t>
      </w:r>
      <w:r w:rsidRPr="00AC1C46">
        <w:rPr>
          <w:rStyle w:val="FootnoteReference"/>
          <w:rFonts w:ascii="Cambria" w:hAnsi="Cambria"/>
          <w:color w:val="000000" w:themeColor="text1"/>
          <w:sz w:val="20"/>
          <w:szCs w:val="20"/>
          <w:lang w:val="uz-Cyrl-UZ"/>
        </w:rPr>
        <w:footnoteReference w:id="5"/>
      </w:r>
      <w:r w:rsidRPr="00AC1C46">
        <w:rPr>
          <w:rFonts w:ascii="Cambria" w:hAnsi="Cambria"/>
          <w:color w:val="000000" w:themeColor="text1"/>
          <w:sz w:val="20"/>
          <w:szCs w:val="20"/>
          <w:lang w:val="uz-Cyrl-UZ"/>
        </w:rPr>
        <w:t>.</w:t>
      </w:r>
    </w:p>
    <w:p w14:paraId="5BF4BD32"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570B0C77"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30 de junio de 1988 el señor Victorio Spoltore presentó una demanda por indemnización emergente de enfermedad profesional contra la empresa Cacique Camping S.A, que se tramitó ante el Tribunal del Trabajo N° 3 del Departamento Judicial de San Isidro, Provincia de Buenos Aires (en adelante “el Tribunal del Trabajo”). En dicha demanda, el señor Spoltore argumentó que el desmejoramiento de su estado de salud tenía origen en la actividad laboral por él desempeñada en la planta industrial de la demandada y que a raíz de dicho desmejoramiento comenzó a recibir un trato hostil</w:t>
      </w:r>
      <w:r w:rsidRPr="00AC1C46">
        <w:rPr>
          <w:rStyle w:val="FootnoteReference"/>
          <w:rFonts w:ascii="Cambria" w:hAnsi="Cambria"/>
          <w:color w:val="000000" w:themeColor="text1"/>
          <w:sz w:val="20"/>
          <w:szCs w:val="20"/>
          <w:lang w:val="uz-Cyrl-UZ"/>
        </w:rPr>
        <w:footnoteReference w:id="6"/>
      </w:r>
      <w:r w:rsidRPr="00AC1C46">
        <w:rPr>
          <w:rFonts w:ascii="Cambria" w:hAnsi="Cambria"/>
          <w:color w:val="000000" w:themeColor="text1"/>
          <w:sz w:val="20"/>
          <w:szCs w:val="20"/>
          <w:lang w:val="uz-Cyrl-UZ"/>
        </w:rPr>
        <w:t xml:space="preserve">. </w:t>
      </w:r>
    </w:p>
    <w:p w14:paraId="5DEA213F"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7A0A5CED"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26 de agosto de 1988 la empresa Cacique Camping S.A opuso excepciones de litispendencia y prescripción, contestó la demanda y solicitó la citación en garantía de las compañías de seguros India Cía. de Seguros Generales S.A. y Sud Atlántica Cía de Seguros S.A, en razón de contar con contratos de seguro por riesgos de trabajo con dichas compañías</w:t>
      </w:r>
      <w:r w:rsidRPr="00AC1C46">
        <w:rPr>
          <w:rStyle w:val="FootnoteReference"/>
          <w:rFonts w:ascii="Cambria" w:hAnsi="Cambria"/>
          <w:color w:val="000000" w:themeColor="text1"/>
          <w:sz w:val="20"/>
          <w:szCs w:val="20"/>
          <w:lang w:val="uz-Cyrl-UZ"/>
        </w:rPr>
        <w:footnoteReference w:id="7"/>
      </w:r>
      <w:r w:rsidRPr="00AC1C46">
        <w:rPr>
          <w:rFonts w:ascii="Cambria" w:hAnsi="Cambria"/>
          <w:color w:val="000000" w:themeColor="text1"/>
          <w:sz w:val="20"/>
          <w:szCs w:val="20"/>
          <w:lang w:val="uz-Cyrl-UZ"/>
        </w:rPr>
        <w:t>.</w:t>
      </w:r>
    </w:p>
    <w:p w14:paraId="7A9BF7A4"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4C783F0C"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5 de octubre de 1988 el Tribunal de Trabajo rechazó la excepción de litispendencia y dispuso que la excepción de prescripción sería tenida en cuenta en su oportunidad. El 21 de noviembre de 1988 se cumplieron citaciones en garantía referidas en el párrafo anterior</w:t>
      </w:r>
      <w:r w:rsidRPr="00AC1C46">
        <w:rPr>
          <w:rStyle w:val="FootnoteReference"/>
          <w:rFonts w:ascii="Cambria" w:hAnsi="Cambria"/>
          <w:color w:val="000000" w:themeColor="text1"/>
          <w:sz w:val="20"/>
          <w:szCs w:val="20"/>
          <w:lang w:val="uz-Cyrl-UZ"/>
        </w:rPr>
        <w:footnoteReference w:id="8"/>
      </w:r>
      <w:r w:rsidRPr="00AC1C46">
        <w:rPr>
          <w:rFonts w:ascii="Cambria" w:hAnsi="Cambria"/>
          <w:color w:val="000000" w:themeColor="text1"/>
          <w:sz w:val="20"/>
          <w:szCs w:val="20"/>
          <w:lang w:val="uz-Cyrl-UZ"/>
        </w:rPr>
        <w:t>.</w:t>
      </w:r>
    </w:p>
    <w:p w14:paraId="3C177B90"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6BEC12BC"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18 de abril de 1989 la parte demandada solicitó que se citara a una nueva aseguradora llamada Suizo Arg</w:t>
      </w:r>
      <w:r w:rsidR="00FF1244" w:rsidRPr="00AC1C46">
        <w:rPr>
          <w:rFonts w:ascii="Cambria" w:hAnsi="Cambria"/>
          <w:color w:val="000000" w:themeColor="text1"/>
          <w:sz w:val="20"/>
          <w:szCs w:val="20"/>
          <w:lang w:val="uz-Cyrl-UZ"/>
        </w:rPr>
        <w:t>entina Compañía de Seguros S.A.</w:t>
      </w:r>
      <w:r w:rsidRPr="00AC1C46">
        <w:rPr>
          <w:rFonts w:ascii="Cambria" w:hAnsi="Cambria"/>
          <w:color w:val="000000" w:themeColor="text1"/>
          <w:sz w:val="20"/>
          <w:szCs w:val="20"/>
          <w:lang w:val="uz-Cyrl-UZ"/>
        </w:rPr>
        <w:t xml:space="preserve"> Dicha empresa compareció el 17 de octubre del mismo año</w:t>
      </w:r>
      <w:r w:rsidRPr="00AC1C46">
        <w:rPr>
          <w:rStyle w:val="FootnoteReference"/>
          <w:rFonts w:ascii="Cambria" w:hAnsi="Cambria"/>
          <w:color w:val="000000" w:themeColor="text1"/>
          <w:sz w:val="20"/>
          <w:szCs w:val="20"/>
          <w:lang w:val="uz-Cyrl-UZ"/>
        </w:rPr>
        <w:footnoteReference w:id="9"/>
      </w:r>
      <w:r w:rsidRPr="00AC1C46">
        <w:rPr>
          <w:rFonts w:ascii="Cambria" w:hAnsi="Cambria"/>
          <w:color w:val="000000" w:themeColor="text1"/>
          <w:sz w:val="20"/>
          <w:szCs w:val="20"/>
          <w:lang w:val="uz-Cyrl-UZ"/>
        </w:rPr>
        <w:t>.</w:t>
      </w:r>
    </w:p>
    <w:p w14:paraId="5A97A4D1" w14:textId="77777777" w:rsidR="00D12D33" w:rsidRPr="00AC1C46" w:rsidRDefault="00D12D33" w:rsidP="00AC1C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630"/>
        <w:jc w:val="both"/>
        <w:rPr>
          <w:rFonts w:ascii="Cambria" w:hAnsi="Cambria"/>
          <w:color w:val="000000" w:themeColor="text1"/>
          <w:sz w:val="20"/>
          <w:szCs w:val="20"/>
          <w:lang w:val="uz-Cyrl-UZ"/>
        </w:rPr>
      </w:pPr>
    </w:p>
    <w:p w14:paraId="069ABCC6"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lastRenderedPageBreak/>
        <w:t>El 30 de noviembre de 1989 se abrió la causa a prueba. En esa fecha se designó primera audiencia para el sorteo de un perito contador y un perito ingeniero en seguridad, cuyas designaciones tuvieron lugar el 1 de diciembre de 1989</w:t>
      </w:r>
      <w:r w:rsidRPr="00AC1C46">
        <w:rPr>
          <w:rStyle w:val="FootnoteReference"/>
          <w:rFonts w:ascii="Cambria" w:hAnsi="Cambria"/>
          <w:color w:val="000000" w:themeColor="text1"/>
          <w:sz w:val="20"/>
          <w:szCs w:val="20"/>
          <w:lang w:val="uz-Cyrl-UZ"/>
        </w:rPr>
        <w:footnoteReference w:id="10"/>
      </w:r>
      <w:r w:rsidRPr="00AC1C46">
        <w:rPr>
          <w:rFonts w:ascii="Cambria" w:hAnsi="Cambria"/>
          <w:color w:val="000000" w:themeColor="text1"/>
          <w:sz w:val="20"/>
          <w:szCs w:val="20"/>
          <w:lang w:val="uz-Cyrl-UZ"/>
        </w:rPr>
        <w:t>.</w:t>
      </w:r>
    </w:p>
    <w:p w14:paraId="7948990B" w14:textId="77777777" w:rsidR="00D12D33" w:rsidRPr="00AC1C46" w:rsidRDefault="00D12D33" w:rsidP="00AC1C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630"/>
        <w:jc w:val="both"/>
        <w:rPr>
          <w:rFonts w:ascii="Cambria" w:hAnsi="Cambria"/>
          <w:color w:val="000000" w:themeColor="text1"/>
          <w:sz w:val="20"/>
          <w:szCs w:val="20"/>
          <w:lang w:val="uz-Cyrl-UZ"/>
        </w:rPr>
      </w:pPr>
    </w:p>
    <w:p w14:paraId="71244623"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20 de febrero de 1990 ingresaron los autos a la oficina pericial, a fin de designar un perito médico laborista. El 22 de marzo de 1990 el perito contador solicitó una ampliación de 25 días para realizar su pericia, presentándola finalmente el 17 de mayo de 1990. El 20 de abril de 1990 el perito ingeniero presentó su pericia, la misma que fue observada por el Tribunal, subsanando dicha observación con fecha 30 de abril del mismo año</w:t>
      </w:r>
      <w:r w:rsidRPr="00AC1C46">
        <w:rPr>
          <w:rStyle w:val="FootnoteReference"/>
          <w:rFonts w:ascii="Cambria" w:hAnsi="Cambria"/>
          <w:color w:val="000000" w:themeColor="text1"/>
          <w:sz w:val="20"/>
          <w:szCs w:val="20"/>
          <w:lang w:val="uz-Cyrl-UZ"/>
        </w:rPr>
        <w:footnoteReference w:id="11"/>
      </w:r>
      <w:r w:rsidRPr="00AC1C46">
        <w:rPr>
          <w:rFonts w:ascii="Cambria" w:hAnsi="Cambria"/>
          <w:color w:val="000000" w:themeColor="text1"/>
          <w:sz w:val="20"/>
          <w:szCs w:val="20"/>
          <w:lang w:val="uz-Cyrl-UZ"/>
        </w:rPr>
        <w:t>.</w:t>
      </w:r>
    </w:p>
    <w:p w14:paraId="17A39265"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7933F2E5"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22 de abril de 1991 se citó al señor Spoltore a la oficina pericial para un examen médico. El 8 de mayo de 1991 se realizó el peritaje y el día 13 de mayo de 1991 se presentaron los informes médicos de peritos médicos laboralista y psiquiátrico. El 31 de mayo de 1991 se impugnó la pericia médica realizada al señor Spoltore. El día 5 de julio de 1991 se contestó, por parte de los peritos, la impugnación y se realizó una nueva citación a la oficina pericial a la presunta víctima</w:t>
      </w:r>
      <w:r w:rsidRPr="00AC1C46">
        <w:rPr>
          <w:rStyle w:val="FootnoteReference"/>
          <w:rFonts w:ascii="Cambria" w:hAnsi="Cambria"/>
          <w:color w:val="000000" w:themeColor="text1"/>
          <w:sz w:val="20"/>
          <w:szCs w:val="20"/>
          <w:lang w:val="uz-Cyrl-UZ"/>
        </w:rPr>
        <w:footnoteReference w:id="12"/>
      </w:r>
      <w:r w:rsidRPr="00AC1C46">
        <w:rPr>
          <w:rFonts w:ascii="Cambria" w:hAnsi="Cambria"/>
          <w:color w:val="000000" w:themeColor="text1"/>
          <w:sz w:val="20"/>
          <w:szCs w:val="20"/>
          <w:lang w:val="uz-Cyrl-UZ"/>
        </w:rPr>
        <w:t>.</w:t>
      </w:r>
    </w:p>
    <w:p w14:paraId="58FA42F6"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13E7B64E"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7 de julio de 1991 se hizo la revisión médica al señor Spoltore y con fecha 20 de julio del mismo año se recibió en el Tribunal del Trabajo el informe pericial correspondiente. El 23 de agosto de 1991 los médicos periciales respondieron a una impugnación. El informe nuevo ingresó al Tribunal del Trabajo el 1 de setiembre de 1992. El 30 de marzo de 1993 se ordenó, por solicitud del señor Spoltore, el pase de los autos a la oficina médico pericial. Un año después, el 7 de agosto de 1993, el Tribunal de Trabajo señaló que debían remitirse los obrados a la oficina pericial de San Isidro</w:t>
      </w:r>
      <w:r w:rsidRPr="00AC1C46">
        <w:rPr>
          <w:rStyle w:val="FootnoteReference"/>
          <w:rFonts w:ascii="Cambria" w:hAnsi="Cambria"/>
          <w:color w:val="000000" w:themeColor="text1"/>
          <w:sz w:val="20"/>
          <w:szCs w:val="20"/>
          <w:lang w:val="uz-Cyrl-UZ"/>
        </w:rPr>
        <w:footnoteReference w:id="13"/>
      </w:r>
      <w:r w:rsidRPr="00AC1C46">
        <w:rPr>
          <w:rFonts w:ascii="Cambria" w:hAnsi="Cambria"/>
          <w:color w:val="000000" w:themeColor="text1"/>
          <w:sz w:val="20"/>
          <w:szCs w:val="20"/>
          <w:lang w:val="uz-Cyrl-UZ"/>
        </w:rPr>
        <w:t xml:space="preserve">. </w:t>
      </w:r>
    </w:p>
    <w:p w14:paraId="3B498722"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0ED1F10E"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Los días 5 y 12 de mayo de 1993 se hicieron nuevas citaciones a la oficina pericial, en esta ocasión para realizar la pericia psicológica. El 21 de junio de 1993 se realizó el informe psicológico. El 25 de julio de 1993 se agregó el dictamen de la perita psicóloga y se dispuso el traslado del informe a las partes con fecha 30 de julio de 1993, siendo libradas las cédulas respectivas el 2 de marzo de 1994. Ello motivó que el 23 de marzo de 1994, el señor Spoltore presentara un escrito por demoras y denegación de justicia</w:t>
      </w:r>
      <w:r w:rsidRPr="00AC1C46">
        <w:rPr>
          <w:rStyle w:val="FootnoteReference"/>
          <w:rFonts w:ascii="Cambria" w:hAnsi="Cambria"/>
          <w:color w:val="000000" w:themeColor="text1"/>
          <w:sz w:val="20"/>
          <w:szCs w:val="20"/>
          <w:lang w:val="uz-Cyrl-UZ"/>
        </w:rPr>
        <w:footnoteReference w:id="14"/>
      </w:r>
      <w:r w:rsidRPr="00AC1C46">
        <w:rPr>
          <w:rFonts w:ascii="Cambria" w:hAnsi="Cambria"/>
          <w:color w:val="000000" w:themeColor="text1"/>
          <w:sz w:val="20"/>
          <w:szCs w:val="20"/>
          <w:lang w:val="uz-Cyrl-UZ"/>
        </w:rPr>
        <w:t>.</w:t>
      </w:r>
    </w:p>
    <w:p w14:paraId="2719676D"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14A18310"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10 de mayo de 1995 se realizó la primera audiencia de vista de causa. El 21 de mayo de 1996 se realizó la segunda audiencia de vista de causa. El 21 de agosto de 1996 se realizó la tercera audiencia de vista de causa. El día 15 de octubre de 1996 se realizó la cuarta audiencia de vista de causa, suspendiéndose la misma para el día 3 de junio de 1997. El 3 de marzo de 1997 se realizó la quinta audiencia de vista de causa y finalmente el 3 de junio de 1997 se realizó la sexta audiencia de vista de causa</w:t>
      </w:r>
      <w:r w:rsidRPr="00AC1C46">
        <w:rPr>
          <w:rStyle w:val="FootnoteReference"/>
          <w:rFonts w:ascii="Cambria" w:hAnsi="Cambria"/>
          <w:color w:val="000000" w:themeColor="text1"/>
          <w:sz w:val="20"/>
          <w:szCs w:val="20"/>
          <w:lang w:val="uz-Cyrl-UZ"/>
        </w:rPr>
        <w:footnoteReference w:id="15"/>
      </w:r>
      <w:r w:rsidRPr="00AC1C46">
        <w:rPr>
          <w:rFonts w:ascii="Cambria" w:hAnsi="Cambria"/>
          <w:color w:val="000000" w:themeColor="text1"/>
          <w:sz w:val="20"/>
          <w:szCs w:val="20"/>
          <w:lang w:val="uz-Cyrl-UZ"/>
        </w:rPr>
        <w:t>.</w:t>
      </w:r>
    </w:p>
    <w:p w14:paraId="132DB4B6"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5B7A70EC"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3 de junio de 1997 el Tribunal del Trabajo dio el veredicto y el 30 del mismo mes y año  dictó sentencia rechazando la demanda interpuesta por Victorio Spoltore</w:t>
      </w:r>
      <w:r w:rsidRPr="00AC1C46">
        <w:rPr>
          <w:rStyle w:val="FootnoteReference"/>
          <w:rFonts w:ascii="Cambria" w:hAnsi="Cambria"/>
          <w:color w:val="000000" w:themeColor="text1"/>
          <w:sz w:val="20"/>
          <w:szCs w:val="20"/>
          <w:lang w:val="uz-Cyrl-UZ"/>
        </w:rPr>
        <w:footnoteReference w:id="16"/>
      </w:r>
      <w:r w:rsidRPr="00AC1C46">
        <w:rPr>
          <w:rFonts w:ascii="Cambria" w:hAnsi="Cambria"/>
          <w:color w:val="000000" w:themeColor="text1"/>
          <w:sz w:val="20"/>
          <w:szCs w:val="20"/>
          <w:lang w:val="uz-Cyrl-UZ"/>
        </w:rPr>
        <w:t xml:space="preserve">. Las razones por las que el tribunal rechazó la demanda fueron las siguientes: a) Que la cardiopatía que afectaba a Spoltore no encontraba vinculación con las tareas que desempeñaba; b) Que no probó en el proceso que en la realización de sus tareas, el señor Spoltore, estuviera sometido a presiones de índole física o psíquica, </w:t>
      </w:r>
      <w:r w:rsidRPr="00AC1C46">
        <w:rPr>
          <w:rFonts w:ascii="Cambria" w:hAnsi="Cambria"/>
          <w:color w:val="000000" w:themeColor="text1"/>
          <w:sz w:val="20"/>
          <w:szCs w:val="20"/>
          <w:lang w:val="uz-Cyrl-UZ"/>
        </w:rPr>
        <w:lastRenderedPageBreak/>
        <w:t>ambiente extremadamente ruidoso o de actividad extraordinaria; c) Que no probó que hubiera sido objeto de malos tratos o agresiones de parte de sus superiores o personal directivo; d) Que no se acreditó la peligrosidad o vicio de la labor desempeñada; e) Que las denuncias policiales no resultan idóneas para acreditar el hostigamiento laboral del señor Spoltore; y f) Que no se aprecia dificultad, dedicación o exigencia de celeridad en la labor del señor Spoltore.</w:t>
      </w:r>
    </w:p>
    <w:p w14:paraId="034B0087"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6F5FF902"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El 4 de julio de 1997 se hicieron las cédulas de notificación de la sentencia, notificándose al peticionario el 19 de agosto de 1997. El 2 de setiembre de 1997 el señor Spoltore interpuso contra la sentencia los recursos extraordinarios de inaplicabilidad de ley y de nulidad. La admisibilidad de dichos recursos fue decidida el 4 de febrero de 1998</w:t>
      </w:r>
      <w:r w:rsidRPr="00AC1C46">
        <w:rPr>
          <w:rStyle w:val="FootnoteReference"/>
          <w:rFonts w:ascii="Cambria" w:hAnsi="Cambria"/>
          <w:color w:val="000000" w:themeColor="text1"/>
          <w:sz w:val="20"/>
          <w:szCs w:val="20"/>
          <w:lang w:val="uz-Cyrl-UZ"/>
        </w:rPr>
        <w:footnoteReference w:id="17"/>
      </w:r>
      <w:r w:rsidRPr="00AC1C46">
        <w:rPr>
          <w:rFonts w:ascii="Cambria" w:hAnsi="Cambria"/>
          <w:color w:val="000000" w:themeColor="text1"/>
          <w:sz w:val="20"/>
          <w:szCs w:val="20"/>
          <w:lang w:val="uz-Cyrl-UZ"/>
        </w:rPr>
        <w:t>.</w:t>
      </w:r>
    </w:p>
    <w:p w14:paraId="4FE0A3E2" w14:textId="77777777" w:rsidR="00D12D33" w:rsidRPr="00AC1C46" w:rsidRDefault="00D12D33" w:rsidP="00AC1C46">
      <w:pPr>
        <w:tabs>
          <w:tab w:val="left" w:pos="720"/>
        </w:tabs>
        <w:ind w:firstLine="630"/>
        <w:jc w:val="both"/>
        <w:rPr>
          <w:rFonts w:ascii="Cambria" w:hAnsi="Cambria"/>
          <w:color w:val="000000" w:themeColor="text1"/>
          <w:sz w:val="20"/>
          <w:szCs w:val="20"/>
          <w:lang w:val="uz-Cyrl-UZ"/>
        </w:rPr>
      </w:pPr>
    </w:p>
    <w:p w14:paraId="77FC0411" w14:textId="77777777" w:rsidR="00D12D33"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El 25 de febrero de 1998 se corrió traslado al Procurador General. El 16 de agosto de 2000 la Suprema Corte de Justicia de la Provincia de Buenos </w:t>
      </w:r>
      <w:r w:rsidR="00FF1244" w:rsidRPr="00AC1C46">
        <w:rPr>
          <w:rFonts w:ascii="Cambria" w:hAnsi="Cambria"/>
          <w:color w:val="000000" w:themeColor="text1"/>
          <w:sz w:val="20"/>
          <w:szCs w:val="20"/>
          <w:lang w:val="uz-Cyrl-UZ"/>
        </w:rPr>
        <w:t>A</w:t>
      </w:r>
      <w:r w:rsidRPr="00AC1C46">
        <w:rPr>
          <w:rFonts w:ascii="Cambria" w:hAnsi="Cambria"/>
          <w:color w:val="000000" w:themeColor="text1"/>
          <w:sz w:val="20"/>
          <w:szCs w:val="20"/>
          <w:lang w:val="uz-Cyrl-UZ"/>
        </w:rPr>
        <w:t>ires rechazó los recursos  por considerar que: 1) Lo alegado por el señor Spoltore ya había sido objeto de pronunciamiento por el Tribunal del Trabajo; 2) Que lo que realmente pretendía el señor Spoltore era una nueva revisión de los hechos y el derecho de la sentencia impugnada, propósito que excede el ámbito de aplicación del recurso extraordinario de inaplicabilidad de ley; y 3) Que el recurso interpuesto por el señor Spoltore resulta inadecuado para atribuir menoscabos de garantías constitucionales</w:t>
      </w:r>
      <w:r w:rsidRPr="00AC1C46">
        <w:rPr>
          <w:rStyle w:val="FootnoteReference"/>
          <w:rFonts w:ascii="Cambria" w:hAnsi="Cambria"/>
          <w:color w:val="000000" w:themeColor="text1"/>
          <w:sz w:val="20"/>
          <w:szCs w:val="20"/>
          <w:lang w:val="uz-Cyrl-UZ"/>
        </w:rPr>
        <w:footnoteReference w:id="18"/>
      </w:r>
      <w:r w:rsidRPr="00AC1C46">
        <w:rPr>
          <w:rFonts w:ascii="Cambria" w:hAnsi="Cambria"/>
          <w:color w:val="000000" w:themeColor="text1"/>
          <w:sz w:val="20"/>
          <w:szCs w:val="20"/>
          <w:lang w:val="uz-Cyrl-UZ"/>
        </w:rPr>
        <w:t>.</w:t>
      </w:r>
    </w:p>
    <w:p w14:paraId="1A3500C1" w14:textId="77777777" w:rsidR="00D12D33" w:rsidRPr="00AC1C46" w:rsidRDefault="00D12D33" w:rsidP="00AC1C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630"/>
        <w:jc w:val="both"/>
        <w:rPr>
          <w:rFonts w:ascii="Cambria" w:hAnsi="Cambria"/>
          <w:color w:val="000000" w:themeColor="text1"/>
          <w:sz w:val="20"/>
          <w:szCs w:val="20"/>
          <w:lang w:val="uz-Cyrl-UZ"/>
        </w:rPr>
      </w:pPr>
    </w:p>
    <w:p w14:paraId="7E6ABA43" w14:textId="77777777" w:rsidR="00BD649E" w:rsidRPr="00AC1C46" w:rsidRDefault="00D12D33"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Finalmente, las partes coincidieron en afirmar que el 16 de setiembre de 1997 el señor Spoltore presentó ante la Inspección General de la Suprema Corte de Justicia de Buenos Aires denuncia disciplinaria por la demora y negligencia en el proceso por parte del Tribunal de Trabajo. Esta denuncia fue resuelta casi 2 años después, el 16 de abril de 1999. En esa decisión se determinó que aunque existió demora, únicamente cabía un llamado de atención a la secretaria del tribunal en cuestión como consecuencia de la demora en la remisión de la causa a la asesoría pericial y del atraso en la confección y rúbrica de cédulas de notificació</w:t>
      </w:r>
      <w:r w:rsidR="00BD649E" w:rsidRPr="00AC1C46">
        <w:rPr>
          <w:rFonts w:ascii="Cambria" w:hAnsi="Cambria"/>
          <w:color w:val="000000" w:themeColor="text1"/>
          <w:sz w:val="20"/>
          <w:szCs w:val="20"/>
          <w:lang w:val="uz-Cyrl-UZ"/>
        </w:rPr>
        <w:t>n.</w:t>
      </w:r>
    </w:p>
    <w:p w14:paraId="5F78877C" w14:textId="77777777" w:rsidR="00BD649E" w:rsidRPr="00AC1C46" w:rsidRDefault="00BD649E" w:rsidP="00AC1C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firstLine="630"/>
        <w:jc w:val="both"/>
        <w:rPr>
          <w:rFonts w:ascii="Cambria" w:hAnsi="Cambria"/>
          <w:color w:val="000000" w:themeColor="text1"/>
          <w:sz w:val="20"/>
          <w:szCs w:val="20"/>
          <w:lang w:val="uz-Cyrl-UZ"/>
        </w:rPr>
      </w:pPr>
    </w:p>
    <w:p w14:paraId="2DF296A9" w14:textId="77777777" w:rsidR="00BD649E" w:rsidRPr="00AC1C46" w:rsidRDefault="007413E4" w:rsidP="00AC1C46">
      <w:pPr>
        <w:pStyle w:val="Heading1"/>
        <w:tabs>
          <w:tab w:val="left" w:pos="720"/>
        </w:tabs>
        <w:spacing w:before="0"/>
        <w:ind w:left="0" w:firstLine="630"/>
        <w:jc w:val="both"/>
        <w:rPr>
          <w:rFonts w:ascii="Cambria" w:hAnsi="Cambria"/>
          <w:bCs w:val="0"/>
          <w:iCs/>
          <w:color w:val="auto"/>
          <w:sz w:val="20"/>
          <w:szCs w:val="20"/>
        </w:rPr>
      </w:pPr>
      <w:bookmarkStart w:id="28" w:name="_Toc491078735"/>
      <w:r w:rsidRPr="00AC1C46">
        <w:rPr>
          <w:rFonts w:ascii="Cambria" w:hAnsi="Cambria"/>
          <w:bCs w:val="0"/>
          <w:iCs/>
          <w:color w:val="auto"/>
          <w:sz w:val="20"/>
          <w:szCs w:val="20"/>
        </w:rPr>
        <w:t>ANÁLISIS DE DERECHO</w:t>
      </w:r>
      <w:bookmarkEnd w:id="28"/>
    </w:p>
    <w:p w14:paraId="4E8A997A" w14:textId="77777777" w:rsidR="00BD649E" w:rsidRPr="00AC1C46" w:rsidRDefault="00BD649E" w:rsidP="00AC1C46">
      <w:pPr>
        <w:tabs>
          <w:tab w:val="left" w:pos="720"/>
        </w:tabs>
        <w:ind w:firstLine="630"/>
        <w:jc w:val="both"/>
        <w:rPr>
          <w:rFonts w:ascii="Cambria" w:hAnsi="Cambria"/>
          <w:color w:val="000000" w:themeColor="text1"/>
          <w:sz w:val="20"/>
          <w:szCs w:val="20"/>
          <w:lang w:val="uz-Cyrl-UZ"/>
        </w:rPr>
      </w:pPr>
    </w:p>
    <w:p w14:paraId="362EAD1F" w14:textId="77777777" w:rsidR="00F043A5" w:rsidRPr="00AC1C46" w:rsidRDefault="007B049B"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En su informe de admisibilidad, la Comisión indicó que se pronunciaría en la etapa de fondo sobre la alegada violación del derecho a contar con una decisión en un plazo razonable, así como sobre la alegada denegación de justicia, en el marco de la demanda por </w:t>
      </w:r>
      <w:r w:rsidR="006C70D9" w:rsidRPr="00AC1C46">
        <w:rPr>
          <w:rFonts w:ascii="Cambria" w:hAnsi="Cambria"/>
          <w:color w:val="000000" w:themeColor="text1"/>
          <w:sz w:val="20"/>
          <w:szCs w:val="20"/>
          <w:lang w:val="uz-Cyrl-UZ"/>
        </w:rPr>
        <w:t>indemnización</w:t>
      </w:r>
      <w:r w:rsidRPr="00AC1C46">
        <w:rPr>
          <w:rFonts w:ascii="Cambria" w:hAnsi="Cambria"/>
          <w:color w:val="000000" w:themeColor="text1"/>
          <w:sz w:val="20"/>
          <w:szCs w:val="20"/>
          <w:lang w:val="uz-Cyrl-UZ"/>
        </w:rPr>
        <w:t xml:space="preserve"> emergente de enfermedad profesional presentada por el señor Spoltore contra la empresa Cacique Camping S.A, la cual fue tramitada ante el Tribunal de Trabajo. </w:t>
      </w:r>
      <w:r w:rsidR="00F043A5" w:rsidRPr="00AC1C46">
        <w:rPr>
          <w:rFonts w:ascii="Cambria" w:hAnsi="Cambria"/>
          <w:color w:val="000000" w:themeColor="text1"/>
          <w:sz w:val="20"/>
          <w:szCs w:val="20"/>
          <w:lang w:val="uz-Cyrl-UZ"/>
        </w:rPr>
        <w:t>El presente informe no tiene por objeto establecer si al señor Spoltore le correspondía o no la indemnizació</w:t>
      </w:r>
      <w:r w:rsidR="00AA3A2E" w:rsidRPr="00AC1C46">
        <w:rPr>
          <w:rFonts w:ascii="Cambria" w:hAnsi="Cambria"/>
          <w:color w:val="000000" w:themeColor="text1"/>
          <w:sz w:val="20"/>
          <w:szCs w:val="20"/>
          <w:lang w:val="uz-Cyrl-UZ"/>
        </w:rPr>
        <w:t>n solicitada ni cuestionar el resultado del proceso laboral. En las circunstancias del presente caso,</w:t>
      </w:r>
      <w:r w:rsidR="00F043A5" w:rsidRPr="00AC1C46">
        <w:rPr>
          <w:rFonts w:ascii="Cambria" w:hAnsi="Cambria"/>
          <w:color w:val="000000" w:themeColor="text1"/>
          <w:sz w:val="20"/>
          <w:szCs w:val="20"/>
          <w:lang w:val="uz-Cyrl-UZ"/>
        </w:rPr>
        <w:t xml:space="preserve"> </w:t>
      </w:r>
      <w:r w:rsidR="00AA3A2E" w:rsidRPr="00AC1C46">
        <w:rPr>
          <w:rFonts w:ascii="Cambria" w:hAnsi="Cambria"/>
          <w:color w:val="000000" w:themeColor="text1"/>
          <w:sz w:val="20"/>
          <w:szCs w:val="20"/>
          <w:lang w:val="uz-Cyrl-UZ"/>
        </w:rPr>
        <w:t xml:space="preserve">un pronunciamiento en ese sentido </w:t>
      </w:r>
      <w:r w:rsidR="00F043A5" w:rsidRPr="00AC1C46">
        <w:rPr>
          <w:rFonts w:ascii="Cambria" w:hAnsi="Cambria"/>
          <w:color w:val="000000" w:themeColor="text1"/>
          <w:sz w:val="20"/>
          <w:szCs w:val="20"/>
          <w:lang w:val="uz-Cyrl-UZ"/>
        </w:rPr>
        <w:t xml:space="preserve">excedería la competencia de la Comisión. En consecuencia, el análisis que se efectúa a continuación tiene por objeto determinar si el Estado argentino, a través de sus autoridades judiciales en este caso, proveyó al señor Spoltore de un recurso efectivo sustanciado conforme a las garantías del debido proceso, particularmente, la garantía de plazo razonable sobre la cual el peticionario centró sus alegatos. </w:t>
      </w:r>
    </w:p>
    <w:p w14:paraId="37B442E6" w14:textId="77777777" w:rsidR="00F043A5" w:rsidRPr="00AC1C46" w:rsidRDefault="00F043A5" w:rsidP="00AC1C46">
      <w:pPr>
        <w:tabs>
          <w:tab w:val="left" w:pos="720"/>
        </w:tabs>
        <w:ind w:firstLine="630"/>
        <w:jc w:val="both"/>
        <w:rPr>
          <w:rFonts w:ascii="Cambria" w:hAnsi="Cambria"/>
          <w:color w:val="000000" w:themeColor="text1"/>
          <w:sz w:val="20"/>
          <w:szCs w:val="20"/>
          <w:lang w:val="uz-Cyrl-UZ"/>
        </w:rPr>
      </w:pPr>
    </w:p>
    <w:p w14:paraId="197733B8" w14:textId="77777777" w:rsidR="00F043A5" w:rsidRPr="00AC1C46" w:rsidRDefault="00257C37" w:rsidP="00AC1C46">
      <w:pPr>
        <w:pStyle w:val="Heading2"/>
        <w:numPr>
          <w:ilvl w:val="0"/>
          <w:numId w:val="24"/>
        </w:numPr>
        <w:spacing w:before="0" w:after="0"/>
        <w:ind w:left="0" w:firstLine="630"/>
        <w:jc w:val="both"/>
        <w:rPr>
          <w:rFonts w:ascii="Cambria" w:hAnsi="Cambria"/>
          <w:i w:val="0"/>
          <w:sz w:val="20"/>
          <w:szCs w:val="20"/>
          <w:lang w:val="uz-Cyrl-UZ"/>
        </w:rPr>
      </w:pPr>
      <w:bookmarkStart w:id="29" w:name="_Toc491078736"/>
      <w:r w:rsidRPr="00AC1C46">
        <w:rPr>
          <w:rFonts w:ascii="Cambria" w:hAnsi="Cambria"/>
          <w:i w:val="0"/>
          <w:sz w:val="20"/>
          <w:szCs w:val="20"/>
          <w:lang w:val="uz-Cyrl-UZ"/>
        </w:rPr>
        <w:lastRenderedPageBreak/>
        <w:t>Derechos a las garantías judiciales</w:t>
      </w:r>
      <w:r w:rsidR="00643B4B" w:rsidRPr="00AC1C46">
        <w:rPr>
          <w:rStyle w:val="FootnoteReference"/>
          <w:rFonts w:ascii="Cambria" w:hAnsi="Cambria"/>
          <w:i w:val="0"/>
          <w:color w:val="000000" w:themeColor="text1"/>
          <w:sz w:val="20"/>
          <w:szCs w:val="20"/>
          <w:lang w:val="uz-Cyrl-UZ"/>
        </w:rPr>
        <w:footnoteReference w:id="19"/>
      </w:r>
      <w:r w:rsidRPr="00AC1C46">
        <w:rPr>
          <w:rFonts w:ascii="Cambria" w:hAnsi="Cambria"/>
          <w:i w:val="0"/>
          <w:sz w:val="20"/>
          <w:szCs w:val="20"/>
          <w:lang w:val="uz-Cyrl-UZ"/>
        </w:rPr>
        <w:t xml:space="preserve"> y protección judicial</w:t>
      </w:r>
      <w:r w:rsidR="00643B4B" w:rsidRPr="00AC1C46">
        <w:rPr>
          <w:rStyle w:val="FootnoteReference"/>
          <w:rFonts w:ascii="Cambria" w:hAnsi="Cambria"/>
          <w:i w:val="0"/>
          <w:color w:val="000000" w:themeColor="text1"/>
          <w:sz w:val="20"/>
          <w:szCs w:val="20"/>
          <w:lang w:val="uz-Cyrl-UZ"/>
        </w:rPr>
        <w:footnoteReference w:id="20"/>
      </w:r>
      <w:bookmarkEnd w:id="29"/>
      <w:r w:rsidRPr="00AC1C46">
        <w:rPr>
          <w:rFonts w:ascii="Cambria" w:hAnsi="Cambria"/>
          <w:i w:val="0"/>
          <w:sz w:val="20"/>
          <w:szCs w:val="20"/>
          <w:lang w:val="uz-Cyrl-UZ"/>
        </w:rPr>
        <w:t xml:space="preserve"> </w:t>
      </w:r>
    </w:p>
    <w:p w14:paraId="0D07DC3C" w14:textId="77777777" w:rsidR="00F2366C" w:rsidRPr="00AC1C46" w:rsidRDefault="00F2366C" w:rsidP="00AC1C46">
      <w:pPr>
        <w:tabs>
          <w:tab w:val="left" w:pos="720"/>
        </w:tabs>
        <w:ind w:firstLine="630"/>
        <w:jc w:val="both"/>
        <w:rPr>
          <w:rFonts w:ascii="Cambria" w:hAnsi="Cambria"/>
          <w:color w:val="000000" w:themeColor="text1"/>
          <w:sz w:val="20"/>
          <w:szCs w:val="20"/>
          <w:lang w:val="uz-Cyrl-UZ"/>
        </w:rPr>
      </w:pPr>
    </w:p>
    <w:p w14:paraId="01989ABB" w14:textId="77777777" w:rsidR="000F0598" w:rsidRPr="00AC1C46" w:rsidRDefault="001311B9" w:rsidP="00AC1C46">
      <w:pPr>
        <w:pStyle w:val="Heading3"/>
        <w:numPr>
          <w:ilvl w:val="0"/>
          <w:numId w:val="25"/>
        </w:numPr>
        <w:spacing w:before="0"/>
        <w:ind w:left="0" w:firstLine="630"/>
        <w:rPr>
          <w:rFonts w:ascii="Cambria" w:hAnsi="Cambria"/>
          <w:b/>
          <w:sz w:val="20"/>
          <w:szCs w:val="20"/>
          <w:lang w:val="uz-Cyrl-UZ"/>
        </w:rPr>
      </w:pPr>
      <w:bookmarkStart w:id="30" w:name="_Toc491078737"/>
      <w:r w:rsidRPr="00AC1C46">
        <w:rPr>
          <w:rFonts w:ascii="Cambria" w:hAnsi="Cambria"/>
          <w:b/>
          <w:color w:val="auto"/>
          <w:sz w:val="20"/>
          <w:szCs w:val="20"/>
          <w:lang w:val="uz-Cyrl-UZ"/>
        </w:rPr>
        <w:t>Consideraciones generales</w:t>
      </w:r>
      <w:bookmarkEnd w:id="30"/>
    </w:p>
    <w:p w14:paraId="56749C7F" w14:textId="77777777" w:rsidR="00F2366C" w:rsidRPr="00AC1C46" w:rsidRDefault="00F2366C" w:rsidP="00AC1C46">
      <w:pPr>
        <w:tabs>
          <w:tab w:val="left" w:pos="720"/>
        </w:tabs>
        <w:ind w:firstLine="630"/>
        <w:jc w:val="both"/>
        <w:rPr>
          <w:rFonts w:ascii="Cambria" w:hAnsi="Cambria"/>
          <w:color w:val="000000" w:themeColor="text1"/>
          <w:sz w:val="20"/>
          <w:szCs w:val="20"/>
          <w:lang w:val="uz-Cyrl-UZ"/>
        </w:rPr>
      </w:pPr>
    </w:p>
    <w:p w14:paraId="52A4A68D" w14:textId="77777777" w:rsidR="00E01AEA" w:rsidRPr="00AC1C46" w:rsidRDefault="000D6078"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s="TimesNewRoman"/>
          <w:color w:val="000000" w:themeColor="text1"/>
          <w:sz w:val="20"/>
          <w:szCs w:val="20"/>
          <w:lang w:val="uz-Cyrl-UZ" w:eastAsia="es-ES_tradnl"/>
        </w:rPr>
        <w:t xml:space="preserve">El derecho a </w:t>
      </w:r>
      <w:r w:rsidRPr="00AC1C46">
        <w:rPr>
          <w:rFonts w:ascii="Cambria" w:hAnsi="Cambria"/>
          <w:color w:val="000000" w:themeColor="text1"/>
          <w:sz w:val="20"/>
          <w:szCs w:val="20"/>
          <w:lang w:val="uz-Cyrl-UZ"/>
        </w:rPr>
        <w:t>las garantías judiciales engloba al conjunto de requisitos que deben observarse en las instancias procesales a efectos de que las personas estén en condiciones de defender adecuadamente sus derechos ante cualquier acto del Estado</w:t>
      </w:r>
      <w:r w:rsidRPr="00AC1C46">
        <w:rPr>
          <w:rStyle w:val="FootnoteReference"/>
          <w:rFonts w:ascii="Cambria" w:hAnsi="Cambria"/>
          <w:color w:val="000000" w:themeColor="text1"/>
          <w:sz w:val="20"/>
          <w:szCs w:val="20"/>
          <w:lang w:val="uz-Cyrl-UZ"/>
        </w:rPr>
        <w:footnoteReference w:id="21"/>
      </w:r>
      <w:r w:rsidRPr="00AC1C46">
        <w:rPr>
          <w:rFonts w:ascii="Cambria" w:hAnsi="Cambria"/>
          <w:color w:val="000000" w:themeColor="text1"/>
          <w:sz w:val="20"/>
          <w:szCs w:val="20"/>
          <w:lang w:val="uz-Cyrl-UZ"/>
        </w:rPr>
        <w:t xml:space="preserve">. Tanto la Comisión como la Corte Interamericana </w:t>
      </w:r>
      <w:r w:rsidR="00FF1244" w:rsidRPr="00AC1C46">
        <w:rPr>
          <w:rFonts w:ascii="Cambria" w:hAnsi="Cambria"/>
          <w:color w:val="000000" w:themeColor="text1"/>
          <w:sz w:val="20"/>
          <w:szCs w:val="20"/>
          <w:lang w:val="uz-Cyrl-UZ"/>
        </w:rPr>
        <w:t>de Derechos Humanos</w:t>
      </w:r>
      <w:r w:rsidR="005737A9" w:rsidRPr="00AC1C46">
        <w:rPr>
          <w:rFonts w:ascii="Cambria" w:hAnsi="Cambria"/>
          <w:color w:val="000000" w:themeColor="text1"/>
          <w:sz w:val="20"/>
          <w:szCs w:val="20"/>
          <w:lang w:val="uz-Cyrl-UZ"/>
        </w:rPr>
        <w:t xml:space="preserve"> (en adelante “la Corte IDH”, “la Corte” o “la Corte Interamericana”) </w:t>
      </w:r>
      <w:r w:rsidR="00FF1244" w:rsidRPr="00AC1C46">
        <w:rPr>
          <w:rFonts w:ascii="Cambria" w:hAnsi="Cambria"/>
          <w:color w:val="000000" w:themeColor="text1"/>
          <w:sz w:val="20"/>
          <w:szCs w:val="20"/>
          <w:lang w:val="uz-Cyrl-UZ"/>
        </w:rPr>
        <w:t xml:space="preserve"> </w:t>
      </w:r>
      <w:r w:rsidRPr="00AC1C46">
        <w:rPr>
          <w:rFonts w:ascii="Cambria" w:hAnsi="Cambria"/>
          <w:color w:val="000000" w:themeColor="text1"/>
          <w:sz w:val="20"/>
          <w:szCs w:val="20"/>
          <w:lang w:val="uz-Cyrl-UZ"/>
        </w:rPr>
        <w:t>han señalado reiteradamente que, en general, las garantías establecidas en el artículo 8 de la Convención Americana, no se limitan a procesos penales, sino que aplican a procesos de otra naturaleza</w:t>
      </w:r>
      <w:r w:rsidRPr="00AC1C46">
        <w:rPr>
          <w:rStyle w:val="FootnoteReference"/>
          <w:rFonts w:ascii="Cambria" w:hAnsi="Cambria"/>
          <w:color w:val="000000" w:themeColor="text1"/>
          <w:sz w:val="20"/>
          <w:szCs w:val="20"/>
          <w:lang w:val="uz-Cyrl-UZ"/>
        </w:rPr>
        <w:footnoteReference w:id="22"/>
      </w:r>
      <w:r w:rsidRPr="00AC1C46">
        <w:rPr>
          <w:rFonts w:ascii="Cambria" w:hAnsi="Cambria"/>
          <w:color w:val="000000" w:themeColor="text1"/>
          <w:sz w:val="20"/>
          <w:szCs w:val="20"/>
          <w:lang w:val="uz-Cyrl-UZ"/>
        </w:rPr>
        <w:t>.</w:t>
      </w:r>
      <w:r w:rsidR="00F10078" w:rsidRPr="00AC1C46">
        <w:rPr>
          <w:rFonts w:ascii="Cambria" w:hAnsi="Cambria"/>
          <w:color w:val="000000" w:themeColor="text1"/>
          <w:sz w:val="20"/>
          <w:szCs w:val="20"/>
          <w:lang w:val="uz-Cyrl-UZ"/>
        </w:rPr>
        <w:t xml:space="preserve"> </w:t>
      </w:r>
      <w:r w:rsidR="001F51D3" w:rsidRPr="00AC1C46">
        <w:rPr>
          <w:rFonts w:ascii="Cambria" w:hAnsi="Cambria"/>
          <w:color w:val="000000" w:themeColor="text1"/>
          <w:sz w:val="20"/>
          <w:szCs w:val="20"/>
          <w:lang w:val="uz-Cyrl-UZ"/>
        </w:rPr>
        <w:t xml:space="preserve">Específicamente, en </w:t>
      </w:r>
      <w:r w:rsidR="00F10078" w:rsidRPr="00AC1C46">
        <w:rPr>
          <w:rFonts w:ascii="Cambria" w:hAnsi="Cambria"/>
          <w:color w:val="000000" w:themeColor="text1"/>
          <w:sz w:val="20"/>
          <w:szCs w:val="20"/>
          <w:lang w:val="uz-Cyrl-UZ"/>
        </w:rPr>
        <w:t>procesos en los cuales se vent</w:t>
      </w:r>
      <w:r w:rsidR="001F51D3" w:rsidRPr="00AC1C46">
        <w:rPr>
          <w:rFonts w:ascii="Cambria" w:hAnsi="Cambria"/>
          <w:color w:val="000000" w:themeColor="text1"/>
          <w:sz w:val="20"/>
          <w:szCs w:val="20"/>
          <w:lang w:val="uz-Cyrl-UZ"/>
        </w:rPr>
        <w:t>ilen derechos o intereses de las personas</w:t>
      </w:r>
      <w:r w:rsidR="00F10078" w:rsidRPr="00AC1C46">
        <w:rPr>
          <w:rFonts w:ascii="Cambria" w:hAnsi="Cambria"/>
          <w:color w:val="000000" w:themeColor="text1"/>
          <w:sz w:val="20"/>
          <w:szCs w:val="20"/>
          <w:lang w:val="uz-Cyrl-UZ"/>
        </w:rPr>
        <w:t xml:space="preserve"> resultan aplicables las “debidas garantías” establecidas en el artículo 8.1 de la Convención Americana</w:t>
      </w:r>
      <w:r w:rsidR="00F10078" w:rsidRPr="00AC1C46">
        <w:rPr>
          <w:rStyle w:val="FootnoteReference"/>
          <w:rFonts w:ascii="Cambria" w:hAnsi="Cambria"/>
          <w:color w:val="000000" w:themeColor="text1"/>
          <w:sz w:val="20"/>
          <w:szCs w:val="20"/>
          <w:lang w:val="uz-Cyrl-UZ"/>
        </w:rPr>
        <w:footnoteReference w:id="23"/>
      </w:r>
      <w:r w:rsidR="00EF7B24" w:rsidRPr="00AC1C46">
        <w:rPr>
          <w:rFonts w:ascii="Cambria" w:hAnsi="Cambria"/>
          <w:color w:val="000000" w:themeColor="text1"/>
          <w:sz w:val="20"/>
          <w:szCs w:val="20"/>
          <w:lang w:val="uz-Cyrl-UZ"/>
        </w:rPr>
        <w:t xml:space="preserve">, dentro de las cuales se encuentra la relativa a contar con una decisión en un plazo razonable. </w:t>
      </w:r>
      <w:r w:rsidR="00E01AEA" w:rsidRPr="00AC1C46">
        <w:rPr>
          <w:rFonts w:ascii="Cambria" w:hAnsi="Cambria"/>
          <w:color w:val="000000" w:themeColor="text1"/>
          <w:sz w:val="20"/>
          <w:szCs w:val="20"/>
          <w:lang w:val="uz-Cyrl-UZ"/>
        </w:rPr>
        <w:t>Este plazo debe apreciarse en relación con la duración total del proceso, desde el primer acto procesal, hasta que se dicta sentencia definitiva</w:t>
      </w:r>
      <w:r w:rsidR="000C1134" w:rsidRPr="00AC1C46">
        <w:rPr>
          <w:rStyle w:val="FootnoteReference"/>
          <w:rFonts w:ascii="Cambria" w:hAnsi="Cambria"/>
          <w:color w:val="000000" w:themeColor="text1"/>
          <w:sz w:val="20"/>
          <w:szCs w:val="20"/>
          <w:lang w:val="uz-Cyrl-UZ"/>
        </w:rPr>
        <w:footnoteReference w:id="24"/>
      </w:r>
      <w:r w:rsidR="00E01AEA" w:rsidRPr="00AC1C46">
        <w:rPr>
          <w:rFonts w:ascii="Cambria" w:hAnsi="Cambria"/>
          <w:color w:val="000000" w:themeColor="text1"/>
          <w:sz w:val="20"/>
          <w:szCs w:val="20"/>
          <w:lang w:val="uz-Cyrl-UZ"/>
        </w:rPr>
        <w:t xml:space="preserve">. </w:t>
      </w:r>
    </w:p>
    <w:p w14:paraId="1196628A" w14:textId="77777777" w:rsidR="00C80AF4" w:rsidRPr="00AC1C46" w:rsidRDefault="00C80AF4" w:rsidP="00AC1C46">
      <w:pPr>
        <w:tabs>
          <w:tab w:val="left" w:pos="720"/>
        </w:tabs>
        <w:ind w:firstLine="630"/>
        <w:jc w:val="both"/>
        <w:rPr>
          <w:rFonts w:ascii="Cambria" w:hAnsi="Cambria"/>
          <w:color w:val="000000" w:themeColor="text1"/>
          <w:sz w:val="20"/>
          <w:szCs w:val="20"/>
          <w:lang w:val="uz-Cyrl-UZ"/>
        </w:rPr>
      </w:pPr>
    </w:p>
    <w:p w14:paraId="514F1083" w14:textId="77777777" w:rsidR="006A082A" w:rsidRPr="00AC1C46" w:rsidRDefault="006A082A"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Univers"/>
          <w:color w:val="000000" w:themeColor="text1"/>
          <w:sz w:val="20"/>
          <w:lang w:val="uz-Cyrl-UZ"/>
        </w:rPr>
      </w:pPr>
      <w:r w:rsidRPr="00AC1C46">
        <w:rPr>
          <w:rFonts w:ascii="Cambria" w:hAnsi="Cambria" w:cs="Bookman Old Style"/>
          <w:color w:val="000000" w:themeColor="text1"/>
          <w:sz w:val="20"/>
          <w:szCs w:val="20"/>
          <w:lang w:val="uz-Cyrl-UZ"/>
        </w:rPr>
        <w:t xml:space="preserve">En su </w:t>
      </w:r>
      <w:r w:rsidRPr="00AC1C46">
        <w:rPr>
          <w:rFonts w:ascii="Cambria" w:hAnsi="Cambria" w:cs="Arial"/>
          <w:color w:val="000000" w:themeColor="text1"/>
          <w:sz w:val="20"/>
          <w:szCs w:val="20"/>
          <w:lang w:val="uz-Cyrl-UZ"/>
        </w:rPr>
        <w:t>jurisprudencia</w:t>
      </w:r>
      <w:r w:rsidRPr="00AC1C46">
        <w:rPr>
          <w:rFonts w:ascii="Cambria" w:hAnsi="Cambria" w:cs="Bookman Old Style"/>
          <w:color w:val="000000" w:themeColor="text1"/>
          <w:sz w:val="20"/>
          <w:szCs w:val="20"/>
          <w:lang w:val="uz-Cyrl-UZ"/>
        </w:rPr>
        <w:t xml:space="preserve"> constante, los órganos del sistema interamericano han tomado en consideración tres</w:t>
      </w:r>
      <w:r w:rsidRPr="00AC1C46">
        <w:rPr>
          <w:rFonts w:ascii="Cambria" w:hAnsi="Cambria" w:cs="Univers"/>
          <w:color w:val="000000" w:themeColor="text1"/>
          <w:sz w:val="20"/>
          <w:szCs w:val="20"/>
          <w:lang w:val="uz-Cyrl-UZ"/>
        </w:rPr>
        <w:t xml:space="preserve"> </w:t>
      </w:r>
      <w:r w:rsidR="005737A9" w:rsidRPr="00AC1C46">
        <w:rPr>
          <w:rFonts w:ascii="Cambria" w:hAnsi="Cambria" w:cs="Univers"/>
          <w:color w:val="000000" w:themeColor="text1"/>
          <w:sz w:val="20"/>
          <w:szCs w:val="20"/>
          <w:lang w:val="uz-Cyrl-UZ"/>
        </w:rPr>
        <w:t xml:space="preserve">criterios </w:t>
      </w:r>
      <w:r w:rsidRPr="00AC1C46">
        <w:rPr>
          <w:rFonts w:ascii="Cambria" w:hAnsi="Cambria" w:cs="Univers"/>
          <w:color w:val="000000" w:themeColor="text1"/>
          <w:sz w:val="20"/>
          <w:szCs w:val="20"/>
          <w:lang w:val="uz-Cyrl-UZ"/>
        </w:rPr>
        <w:t xml:space="preserve">que resultan </w:t>
      </w:r>
      <w:r w:rsidRPr="00AC1C46">
        <w:rPr>
          <w:rFonts w:ascii="Cambria" w:hAnsi="Cambria" w:cs="TimesNewRoman"/>
          <w:color w:val="000000" w:themeColor="text1"/>
          <w:sz w:val="20"/>
          <w:szCs w:val="20"/>
          <w:lang w:val="uz-Cyrl-UZ" w:eastAsia="es-ES_tradnl"/>
        </w:rPr>
        <w:t>relevantes</w:t>
      </w:r>
      <w:r w:rsidRPr="00AC1C46">
        <w:rPr>
          <w:rFonts w:ascii="Cambria" w:hAnsi="Cambria" w:cs="Univers"/>
          <w:color w:val="000000" w:themeColor="text1"/>
          <w:sz w:val="20"/>
          <w:szCs w:val="20"/>
          <w:lang w:val="uz-Cyrl-UZ"/>
        </w:rPr>
        <w:t xml:space="preserve"> para el análisis del presente caso, a saber: a) la complejidad del asunto, b) la conducta de las autoridades judiciales y c) la actividad procesal del interesado</w:t>
      </w:r>
      <w:r w:rsidRPr="00AC1C46">
        <w:rPr>
          <w:rStyle w:val="FootnoteReference"/>
          <w:rFonts w:ascii="Cambria" w:hAnsi="Cambria" w:cs="Univers"/>
          <w:color w:val="000000" w:themeColor="text1"/>
          <w:sz w:val="20"/>
          <w:szCs w:val="20"/>
          <w:lang w:val="uz-Cyrl-UZ"/>
        </w:rPr>
        <w:footnoteReference w:id="25"/>
      </w:r>
      <w:r w:rsidRPr="00AC1C46">
        <w:rPr>
          <w:rFonts w:ascii="Cambria" w:hAnsi="Cambria" w:cs="Univers"/>
          <w:color w:val="000000" w:themeColor="text1"/>
          <w:sz w:val="20"/>
          <w:szCs w:val="20"/>
          <w:lang w:val="uz-Cyrl-UZ"/>
        </w:rPr>
        <w:t xml:space="preserve">. </w:t>
      </w:r>
      <w:r w:rsidRPr="00AC1C46">
        <w:rPr>
          <w:rFonts w:ascii="Cambria" w:hAnsi="Cambria" w:cs="Arial"/>
          <w:color w:val="000000" w:themeColor="text1"/>
          <w:sz w:val="20"/>
          <w:szCs w:val="20"/>
          <w:lang w:val="uz-Cyrl-UZ"/>
        </w:rPr>
        <w:t>Asimismo, se ha establecido que</w:t>
      </w:r>
      <w:r w:rsidRPr="00AC1C46">
        <w:rPr>
          <w:rFonts w:ascii="Cambria" w:hAnsi="Cambria" w:cs="Arial"/>
          <w:color w:val="000000" w:themeColor="text1"/>
          <w:sz w:val="20"/>
          <w:lang w:val="uz-Cyrl-UZ"/>
        </w:rPr>
        <w:t xml:space="preserve"> además de estos elementos, se debe tomar en cuenta el interés en juego y la afectación generada por la duración del procedimiento en la situación de la persona involucrada</w:t>
      </w:r>
      <w:r w:rsidR="00457B0C" w:rsidRPr="00AC1C46">
        <w:rPr>
          <w:rStyle w:val="FootnoteReference"/>
          <w:rFonts w:ascii="Cambria" w:hAnsi="Cambria" w:cs="Arial"/>
          <w:color w:val="000000" w:themeColor="text1"/>
          <w:sz w:val="20"/>
          <w:lang w:val="uz-Cyrl-UZ"/>
        </w:rPr>
        <w:footnoteReference w:id="26"/>
      </w:r>
      <w:r w:rsidR="001022A5" w:rsidRPr="00AC1C46">
        <w:rPr>
          <w:rFonts w:ascii="Cambria" w:hAnsi="Cambria" w:cs="Arial"/>
          <w:color w:val="000000" w:themeColor="text1"/>
          <w:sz w:val="20"/>
          <w:lang w:val="uz-Cyrl-UZ"/>
        </w:rPr>
        <w:t>. Sobre este elemento, la Corte ha precisado que:</w:t>
      </w:r>
    </w:p>
    <w:p w14:paraId="61395D43" w14:textId="77777777" w:rsidR="006A082A" w:rsidRPr="00AC1C46" w:rsidRDefault="006A082A" w:rsidP="00AC1C46">
      <w:pPr>
        <w:tabs>
          <w:tab w:val="left" w:pos="720"/>
        </w:tabs>
        <w:ind w:firstLine="630"/>
        <w:jc w:val="both"/>
        <w:rPr>
          <w:rFonts w:ascii="Cambria" w:hAnsi="Cambria" w:cs="Arial"/>
          <w:color w:val="000000" w:themeColor="text1"/>
          <w:sz w:val="20"/>
          <w:lang w:val="uz-Cyrl-UZ"/>
        </w:rPr>
      </w:pPr>
    </w:p>
    <w:p w14:paraId="70BBADDA" w14:textId="77777777" w:rsidR="006A082A" w:rsidRPr="00AC1C46" w:rsidRDefault="001022A5" w:rsidP="00AC1C46">
      <w:pPr>
        <w:tabs>
          <w:tab w:val="left" w:pos="720"/>
        </w:tabs>
        <w:ind w:left="720" w:right="720"/>
        <w:jc w:val="both"/>
        <w:rPr>
          <w:rFonts w:ascii="Cambria" w:hAnsi="Cambria"/>
          <w:color w:val="000000" w:themeColor="text1"/>
          <w:spacing w:val="-2"/>
          <w:sz w:val="20"/>
          <w:szCs w:val="20"/>
          <w:lang w:val="uz-Cyrl-UZ"/>
        </w:rPr>
      </w:pPr>
      <w:r w:rsidRPr="00AC1C46">
        <w:rPr>
          <w:rFonts w:ascii="Cambria" w:hAnsi="Cambria" w:cs="Arial"/>
          <w:color w:val="000000" w:themeColor="text1"/>
          <w:sz w:val="20"/>
          <w:lang w:val="uz-Cyrl-UZ"/>
        </w:rPr>
        <w:t>(…)</w:t>
      </w:r>
      <w:r w:rsidR="006B1BBA" w:rsidRPr="00AC1C46">
        <w:rPr>
          <w:rFonts w:ascii="Cambria" w:hAnsi="Cambria" w:cs="Arial"/>
          <w:color w:val="000000" w:themeColor="text1"/>
          <w:sz w:val="20"/>
          <w:lang w:val="uz-Cyrl-UZ"/>
        </w:rPr>
        <w:t xml:space="preserve"> </w:t>
      </w:r>
      <w:r w:rsidR="006A082A" w:rsidRPr="00AC1C46">
        <w:rPr>
          <w:rFonts w:ascii="Cambria" w:hAnsi="Cambria" w:cs="Arial"/>
          <w:color w:val="000000" w:themeColor="text1"/>
          <w:sz w:val="20"/>
          <w:lang w:val="uz-Cyrl-UZ"/>
        </w:rPr>
        <w:t>en dicho análisis de razonabilidad se debe tomar en cuenta la afectación generada por la duración del procedimiento en la situación jurídica de la persona involucrada en el mismo, considerando, entre otros elementos, la materia objeto de controversia.  Si el paso del tiempo incide de manera relevante en la situación jurídica del individuo, resultará necesario que el procedimiento corra con más diligencia a fin de que el caso se resuelva en un tiempo breve</w:t>
      </w:r>
      <w:r w:rsidR="006A082A" w:rsidRPr="00AC1C46">
        <w:rPr>
          <w:rStyle w:val="FootnoteReference"/>
          <w:rFonts w:ascii="Cambria" w:hAnsi="Cambria" w:cs="Arial"/>
          <w:color w:val="000000" w:themeColor="text1"/>
          <w:sz w:val="20"/>
          <w:lang w:val="uz-Cyrl-UZ"/>
        </w:rPr>
        <w:footnoteReference w:id="27"/>
      </w:r>
      <w:r w:rsidR="006A082A" w:rsidRPr="00AC1C46">
        <w:rPr>
          <w:rFonts w:ascii="Cambria" w:hAnsi="Cambria" w:cs="Arial"/>
          <w:color w:val="000000" w:themeColor="text1"/>
          <w:sz w:val="20"/>
          <w:lang w:val="uz-Cyrl-UZ"/>
        </w:rPr>
        <w:t>.</w:t>
      </w:r>
    </w:p>
    <w:p w14:paraId="6B096E37" w14:textId="77777777" w:rsidR="009B0CE9" w:rsidRPr="00AC1C46" w:rsidRDefault="009B0CE9" w:rsidP="00AC1C46">
      <w:pPr>
        <w:tabs>
          <w:tab w:val="left" w:pos="720"/>
        </w:tabs>
        <w:jc w:val="both"/>
        <w:rPr>
          <w:rFonts w:ascii="Cambria" w:hAnsi="Cambria"/>
          <w:color w:val="000000" w:themeColor="text1"/>
          <w:sz w:val="16"/>
          <w:szCs w:val="16"/>
          <w:lang w:val="uz-Cyrl-UZ"/>
        </w:rPr>
      </w:pPr>
    </w:p>
    <w:p w14:paraId="63D63514" w14:textId="77777777" w:rsidR="00653910" w:rsidRPr="00AC1C46" w:rsidRDefault="00213BE7"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En cuanto a </w:t>
      </w:r>
      <w:r w:rsidRPr="00AC1C46">
        <w:rPr>
          <w:rFonts w:ascii="Cambria" w:hAnsi="Cambria" w:cs="Bookman Old Style"/>
          <w:color w:val="000000" w:themeColor="text1"/>
          <w:sz w:val="20"/>
          <w:szCs w:val="20"/>
          <w:lang w:val="uz-Cyrl-UZ"/>
        </w:rPr>
        <w:t>la</w:t>
      </w:r>
      <w:r w:rsidRPr="00AC1C46">
        <w:rPr>
          <w:rFonts w:ascii="Cambria" w:hAnsi="Cambria"/>
          <w:color w:val="000000" w:themeColor="text1"/>
          <w:sz w:val="20"/>
          <w:szCs w:val="20"/>
          <w:lang w:val="uz-Cyrl-UZ"/>
        </w:rPr>
        <w:t xml:space="preserve"> carga argumentativa y probatoria sobre </w:t>
      </w:r>
      <w:r w:rsidR="00974A46" w:rsidRPr="00AC1C46">
        <w:rPr>
          <w:rFonts w:ascii="Cambria" w:hAnsi="Cambria"/>
          <w:color w:val="000000" w:themeColor="text1"/>
          <w:sz w:val="20"/>
          <w:szCs w:val="20"/>
          <w:lang w:val="uz-Cyrl-UZ"/>
        </w:rPr>
        <w:t xml:space="preserve">la razonabilidad del plazo, la Comisión ha indicado que </w:t>
      </w:r>
      <w:r w:rsidR="00D20803" w:rsidRPr="00AC1C46">
        <w:rPr>
          <w:rFonts w:ascii="Cambria" w:hAnsi="Cambria"/>
          <w:color w:val="000000" w:themeColor="text1"/>
          <w:sz w:val="20"/>
          <w:szCs w:val="20"/>
          <w:lang w:val="uz-Cyrl-UZ"/>
        </w:rPr>
        <w:t>corresponde al Estado exponer y probar la razón por la cual se ha requerido más tiempo del razonable para dictar sentencia definitiva en un caso particular</w:t>
      </w:r>
      <w:r w:rsidR="00D20803" w:rsidRPr="00AC1C46">
        <w:rPr>
          <w:rFonts w:ascii="Cambria" w:hAnsi="Cambria"/>
          <w:color w:val="000000" w:themeColor="text1"/>
          <w:sz w:val="20"/>
          <w:szCs w:val="20"/>
          <w:vertAlign w:val="superscript"/>
          <w:lang w:val="uz-Cyrl-UZ"/>
        </w:rPr>
        <w:footnoteReference w:id="28"/>
      </w:r>
      <w:r w:rsidR="00D20803" w:rsidRPr="00AC1C46">
        <w:rPr>
          <w:rFonts w:ascii="Cambria" w:hAnsi="Cambria"/>
          <w:color w:val="000000" w:themeColor="text1"/>
          <w:sz w:val="20"/>
          <w:szCs w:val="20"/>
          <w:lang w:val="uz-Cyrl-UZ"/>
        </w:rPr>
        <w:t>.</w:t>
      </w:r>
      <w:r w:rsidR="00960D21" w:rsidRPr="00AC1C46">
        <w:rPr>
          <w:rFonts w:ascii="Cambria" w:hAnsi="Cambria"/>
          <w:color w:val="000000" w:themeColor="text1"/>
          <w:sz w:val="20"/>
          <w:szCs w:val="20"/>
          <w:lang w:val="uz-Cyrl-UZ"/>
        </w:rPr>
        <w:t xml:space="preserve"> </w:t>
      </w:r>
      <w:r w:rsidR="00E76FCF" w:rsidRPr="00AC1C46">
        <w:rPr>
          <w:rFonts w:ascii="Cambria" w:hAnsi="Cambria"/>
          <w:color w:val="000000" w:themeColor="text1"/>
          <w:sz w:val="20"/>
          <w:szCs w:val="20"/>
          <w:lang w:val="uz-Cyrl-UZ"/>
        </w:rPr>
        <w:t>En la misma línea, l</w:t>
      </w:r>
      <w:r w:rsidR="00960D21" w:rsidRPr="00AC1C46">
        <w:rPr>
          <w:rFonts w:ascii="Cambria" w:hAnsi="Cambria"/>
          <w:color w:val="000000" w:themeColor="text1"/>
          <w:sz w:val="20"/>
          <w:szCs w:val="20"/>
          <w:lang w:val="uz-Cyrl-UZ"/>
        </w:rPr>
        <w:t xml:space="preserve">a Corte </w:t>
      </w:r>
      <w:r w:rsidR="00E76FCF" w:rsidRPr="00AC1C46">
        <w:rPr>
          <w:rFonts w:ascii="Cambria" w:hAnsi="Cambria"/>
          <w:color w:val="000000" w:themeColor="text1"/>
          <w:sz w:val="20"/>
          <w:szCs w:val="20"/>
          <w:lang w:val="uz-Cyrl-UZ"/>
        </w:rPr>
        <w:t xml:space="preserve">ha indicado que </w:t>
      </w:r>
      <w:r w:rsidR="00960D21" w:rsidRPr="00AC1C46">
        <w:rPr>
          <w:rFonts w:ascii="Cambria" w:hAnsi="Cambria"/>
          <w:color w:val="000000" w:themeColor="text1"/>
          <w:sz w:val="20"/>
          <w:szCs w:val="20"/>
          <w:lang w:val="uz-Cyrl-UZ"/>
        </w:rPr>
        <w:t>corresponde al Estado justificar, con fundamento en los criterios señalados, la razón por la cual ha requerido del tiempo transcurrido para tratar los casos y, en la eventualidad de que éste no lo demuestre, la Corte tiene amplias atribuciones para hacer su propia estimación al respecto</w:t>
      </w:r>
      <w:r w:rsidR="00960D21" w:rsidRPr="00AC1C46">
        <w:rPr>
          <w:rStyle w:val="FootnoteReference"/>
          <w:rFonts w:ascii="Cambria" w:hAnsi="Cambria"/>
          <w:color w:val="000000" w:themeColor="text1"/>
          <w:sz w:val="20"/>
          <w:szCs w:val="20"/>
          <w:lang w:val="uz-Cyrl-UZ"/>
        </w:rPr>
        <w:footnoteReference w:id="29"/>
      </w:r>
      <w:r w:rsidR="00960D21" w:rsidRPr="00AC1C46">
        <w:rPr>
          <w:rFonts w:ascii="Cambria" w:hAnsi="Cambria"/>
          <w:color w:val="000000" w:themeColor="text1"/>
          <w:sz w:val="20"/>
          <w:szCs w:val="20"/>
          <w:lang w:val="uz-Cyrl-UZ"/>
        </w:rPr>
        <w:t>.</w:t>
      </w:r>
    </w:p>
    <w:p w14:paraId="2BBF3F45" w14:textId="77777777" w:rsidR="00653910" w:rsidRPr="00AC1C46" w:rsidRDefault="00653910" w:rsidP="00AC1C46">
      <w:pPr>
        <w:tabs>
          <w:tab w:val="left" w:pos="720"/>
        </w:tabs>
        <w:jc w:val="both"/>
        <w:rPr>
          <w:rFonts w:ascii="Cambria" w:hAnsi="Cambria"/>
          <w:color w:val="000000" w:themeColor="text1"/>
          <w:sz w:val="20"/>
          <w:szCs w:val="20"/>
          <w:lang w:val="uz-Cyrl-UZ"/>
        </w:rPr>
      </w:pPr>
    </w:p>
    <w:p w14:paraId="62EB0F55" w14:textId="77777777" w:rsidR="00AD78EE" w:rsidRPr="00AC1C46" w:rsidRDefault="00653910"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En cuanto a la complejidad del asunto, </w:t>
      </w:r>
      <w:r w:rsidRPr="00AC1C46">
        <w:rPr>
          <w:rFonts w:ascii="Cambria" w:hAnsi="Cambria" w:cs="Helvetica"/>
          <w:color w:val="000000" w:themeColor="text1"/>
          <w:sz w:val="20"/>
          <w:szCs w:val="20"/>
          <w:lang w:val="uz-Cyrl-UZ"/>
        </w:rPr>
        <w:t>la</w:t>
      </w:r>
      <w:r w:rsidR="005737A9" w:rsidRPr="00AC1C46">
        <w:rPr>
          <w:rFonts w:ascii="Cambria" w:hAnsi="Cambria" w:cs="Helvetica"/>
          <w:color w:val="000000" w:themeColor="text1"/>
          <w:sz w:val="20"/>
          <w:szCs w:val="20"/>
          <w:lang w:val="uz-Cyrl-UZ"/>
        </w:rPr>
        <w:t xml:space="preserve"> Corte Interamericana </w:t>
      </w:r>
      <w:r w:rsidRPr="00AC1C46">
        <w:rPr>
          <w:rFonts w:ascii="Cambria" w:hAnsi="Cambria" w:cs="Helvetica"/>
          <w:color w:val="000000" w:themeColor="text1"/>
          <w:sz w:val="20"/>
          <w:szCs w:val="20"/>
          <w:lang w:val="uz-Cyrl-UZ"/>
        </w:rPr>
        <w:t>recapituló recientemente</w:t>
      </w:r>
      <w:r w:rsidR="00274290" w:rsidRPr="00AC1C46">
        <w:rPr>
          <w:rStyle w:val="FootnoteReference"/>
          <w:rFonts w:ascii="Cambria" w:hAnsi="Cambria"/>
          <w:color w:val="000000" w:themeColor="text1"/>
          <w:sz w:val="20"/>
          <w:szCs w:val="20"/>
          <w:lang w:val="uz-Cyrl-UZ"/>
        </w:rPr>
        <w:footnoteReference w:id="30"/>
      </w:r>
      <w:r w:rsidRPr="00AC1C46">
        <w:rPr>
          <w:rFonts w:ascii="Cambria" w:hAnsi="Cambria" w:cs="Helvetica"/>
          <w:color w:val="000000" w:themeColor="text1"/>
          <w:sz w:val="20"/>
          <w:szCs w:val="20"/>
          <w:lang w:val="uz-Cyrl-UZ"/>
        </w:rPr>
        <w:t xml:space="preserve"> que </w:t>
      </w:r>
      <w:r w:rsidR="00A4088A" w:rsidRPr="00AC1C46">
        <w:rPr>
          <w:rFonts w:ascii="Cambria" w:hAnsi="Cambria" w:cs="Helvetica"/>
          <w:color w:val="000000" w:themeColor="text1"/>
          <w:sz w:val="20"/>
          <w:szCs w:val="20"/>
          <w:lang w:val="uz-Cyrl-UZ"/>
        </w:rPr>
        <w:t xml:space="preserve">ha tenido en cuenta </w:t>
      </w:r>
      <w:r w:rsidR="00A4088A" w:rsidRPr="00AC1C46">
        <w:rPr>
          <w:rFonts w:ascii="Cambria" w:hAnsi="Cambria"/>
          <w:color w:val="000000" w:themeColor="text1"/>
          <w:sz w:val="20"/>
          <w:szCs w:val="20"/>
          <w:lang w:val="uz-Cyrl-UZ"/>
        </w:rPr>
        <w:t>diversos</w:t>
      </w:r>
      <w:r w:rsidR="00A4088A" w:rsidRPr="00AC1C46">
        <w:rPr>
          <w:rFonts w:ascii="Cambria" w:hAnsi="Cambria" w:cs="Helvetica"/>
          <w:color w:val="000000" w:themeColor="text1"/>
          <w:sz w:val="20"/>
          <w:szCs w:val="20"/>
          <w:lang w:val="uz-Cyrl-UZ"/>
        </w:rPr>
        <w:t xml:space="preserve"> criterios para </w:t>
      </w:r>
      <w:r w:rsidR="002A6431" w:rsidRPr="00AC1C46">
        <w:rPr>
          <w:rFonts w:ascii="Cambria" w:hAnsi="Cambria" w:cs="Helvetica"/>
          <w:color w:val="000000" w:themeColor="text1"/>
          <w:sz w:val="20"/>
          <w:szCs w:val="20"/>
          <w:lang w:val="uz-Cyrl-UZ"/>
        </w:rPr>
        <w:t>evaluar este elemento</w:t>
      </w:r>
      <w:r w:rsidR="00A4088A" w:rsidRPr="00AC1C46">
        <w:rPr>
          <w:rFonts w:ascii="Cambria" w:hAnsi="Cambria" w:cs="Helvetica"/>
          <w:color w:val="000000" w:themeColor="text1"/>
          <w:sz w:val="20"/>
          <w:szCs w:val="20"/>
          <w:lang w:val="uz-Cyrl-UZ"/>
        </w:rPr>
        <w:t>. Entre ellos se encuentra</w:t>
      </w:r>
      <w:r w:rsidR="000F0051" w:rsidRPr="00AC1C46">
        <w:rPr>
          <w:rFonts w:ascii="Cambria" w:hAnsi="Cambria" w:cs="Helvetica"/>
          <w:color w:val="000000" w:themeColor="text1"/>
          <w:sz w:val="20"/>
          <w:szCs w:val="20"/>
          <w:lang w:val="uz-Cyrl-UZ"/>
        </w:rPr>
        <w:t>n:</w:t>
      </w:r>
      <w:r w:rsidR="00A4088A" w:rsidRPr="00AC1C46">
        <w:rPr>
          <w:rFonts w:ascii="Cambria" w:hAnsi="Cambria" w:cs="Helvetica"/>
          <w:color w:val="000000" w:themeColor="text1"/>
          <w:sz w:val="20"/>
          <w:szCs w:val="20"/>
          <w:lang w:val="uz-Cyrl-UZ"/>
        </w:rPr>
        <w:t xml:space="preserve"> i) la complejidad de la prueba</w:t>
      </w:r>
      <w:r w:rsidR="00A4088A" w:rsidRPr="00AC1C46">
        <w:rPr>
          <w:rStyle w:val="FootnoteReference"/>
          <w:rFonts w:ascii="Cambria" w:hAnsi="Cambria"/>
          <w:color w:val="000000" w:themeColor="text1"/>
          <w:sz w:val="20"/>
          <w:szCs w:val="20"/>
          <w:lang w:val="uz-Cyrl-UZ"/>
        </w:rPr>
        <w:footnoteReference w:id="31"/>
      </w:r>
      <w:r w:rsidR="00A4088A" w:rsidRPr="00AC1C46">
        <w:rPr>
          <w:rFonts w:ascii="Cambria" w:hAnsi="Cambria" w:cs="Helvetica"/>
          <w:color w:val="000000" w:themeColor="text1"/>
          <w:sz w:val="20"/>
          <w:szCs w:val="20"/>
          <w:lang w:val="uz-Cyrl-UZ"/>
        </w:rPr>
        <w:t>; ii) la pluralidad de sujetos procesales</w:t>
      </w:r>
      <w:r w:rsidR="00A4088A" w:rsidRPr="00AC1C46">
        <w:rPr>
          <w:rStyle w:val="FootnoteReference"/>
          <w:rFonts w:ascii="Cambria" w:hAnsi="Cambria"/>
          <w:color w:val="000000" w:themeColor="text1"/>
          <w:sz w:val="20"/>
          <w:szCs w:val="20"/>
          <w:lang w:val="uz-Cyrl-UZ"/>
        </w:rPr>
        <w:footnoteReference w:id="32"/>
      </w:r>
      <w:r w:rsidR="00A4088A" w:rsidRPr="00AC1C46">
        <w:rPr>
          <w:rFonts w:ascii="Cambria" w:hAnsi="Cambria" w:cs="Helvetica"/>
          <w:color w:val="000000" w:themeColor="text1"/>
          <w:sz w:val="20"/>
          <w:szCs w:val="20"/>
          <w:lang w:val="uz-Cyrl-UZ"/>
        </w:rPr>
        <w:t xml:space="preserve"> o la cantidad de víctimas</w:t>
      </w:r>
      <w:r w:rsidR="00A4088A" w:rsidRPr="00AC1C46">
        <w:rPr>
          <w:rStyle w:val="FootnoteReference"/>
          <w:rFonts w:ascii="Cambria" w:hAnsi="Cambria"/>
          <w:color w:val="000000" w:themeColor="text1"/>
          <w:sz w:val="20"/>
          <w:szCs w:val="20"/>
          <w:lang w:val="uz-Cyrl-UZ"/>
        </w:rPr>
        <w:footnoteReference w:id="33"/>
      </w:r>
      <w:r w:rsidR="00A4088A" w:rsidRPr="00AC1C46">
        <w:rPr>
          <w:rFonts w:ascii="Cambria" w:hAnsi="Cambria" w:cs="Helvetica"/>
          <w:color w:val="000000" w:themeColor="text1"/>
          <w:sz w:val="20"/>
          <w:szCs w:val="20"/>
          <w:lang w:val="uz-Cyrl-UZ"/>
        </w:rPr>
        <w:t>; iii) el tiempo transcurrido desde la violación</w:t>
      </w:r>
      <w:r w:rsidR="00A4088A" w:rsidRPr="00AC1C46">
        <w:rPr>
          <w:rStyle w:val="FootnoteReference"/>
          <w:rFonts w:ascii="Cambria" w:hAnsi="Cambria"/>
          <w:color w:val="000000" w:themeColor="text1"/>
          <w:sz w:val="20"/>
          <w:szCs w:val="20"/>
          <w:lang w:val="uz-Cyrl-UZ"/>
        </w:rPr>
        <w:footnoteReference w:id="34"/>
      </w:r>
      <w:r w:rsidR="00A4088A" w:rsidRPr="00AC1C46">
        <w:rPr>
          <w:rFonts w:ascii="Cambria" w:hAnsi="Cambria" w:cs="Helvetica"/>
          <w:color w:val="000000" w:themeColor="text1"/>
          <w:sz w:val="20"/>
          <w:szCs w:val="20"/>
          <w:lang w:val="uz-Cyrl-UZ"/>
        </w:rPr>
        <w:t>; iv) las características del recurso en la legislación interna</w:t>
      </w:r>
      <w:r w:rsidR="00A4088A" w:rsidRPr="00AC1C46">
        <w:rPr>
          <w:rStyle w:val="FootnoteReference"/>
          <w:rFonts w:ascii="Cambria" w:hAnsi="Cambria"/>
          <w:color w:val="000000" w:themeColor="text1"/>
          <w:sz w:val="20"/>
          <w:szCs w:val="20"/>
          <w:lang w:val="uz-Cyrl-UZ"/>
        </w:rPr>
        <w:footnoteReference w:id="35"/>
      </w:r>
      <w:r w:rsidR="00A4088A" w:rsidRPr="00AC1C46">
        <w:rPr>
          <w:rFonts w:ascii="Cambria" w:hAnsi="Cambria" w:cs="Helvetica"/>
          <w:color w:val="000000" w:themeColor="text1"/>
          <w:sz w:val="20"/>
          <w:szCs w:val="20"/>
          <w:lang w:val="uz-Cyrl-UZ"/>
        </w:rPr>
        <w:t>, y v) el contexto en el que ocurrieron los hechos</w:t>
      </w:r>
      <w:r w:rsidR="00A4088A" w:rsidRPr="00AC1C46">
        <w:rPr>
          <w:rStyle w:val="FootnoteReference"/>
          <w:rFonts w:ascii="Cambria" w:hAnsi="Cambria"/>
          <w:color w:val="000000" w:themeColor="text1"/>
          <w:sz w:val="20"/>
          <w:szCs w:val="20"/>
          <w:lang w:val="uz-Cyrl-UZ"/>
        </w:rPr>
        <w:footnoteReference w:id="36"/>
      </w:r>
      <w:r w:rsidR="00A4088A" w:rsidRPr="00AC1C46">
        <w:rPr>
          <w:rFonts w:ascii="Cambria" w:hAnsi="Cambria" w:cs="Helvetica"/>
          <w:color w:val="000000" w:themeColor="text1"/>
          <w:sz w:val="20"/>
          <w:szCs w:val="20"/>
          <w:lang w:val="uz-Cyrl-UZ"/>
        </w:rPr>
        <w:t xml:space="preserve">. </w:t>
      </w:r>
    </w:p>
    <w:p w14:paraId="6EB824D7" w14:textId="77777777" w:rsidR="00AD78EE" w:rsidRPr="00AC1C46" w:rsidRDefault="00AD78EE" w:rsidP="00AC1C46">
      <w:pPr>
        <w:tabs>
          <w:tab w:val="left" w:pos="720"/>
        </w:tabs>
        <w:jc w:val="both"/>
        <w:rPr>
          <w:rFonts w:ascii="Cambria" w:hAnsi="Cambria"/>
          <w:color w:val="000000" w:themeColor="text1"/>
          <w:sz w:val="20"/>
          <w:szCs w:val="20"/>
          <w:lang w:val="uz-Cyrl-UZ"/>
        </w:rPr>
      </w:pPr>
    </w:p>
    <w:p w14:paraId="296A3AB4" w14:textId="77777777" w:rsidR="00653910" w:rsidRPr="00AC1C46" w:rsidRDefault="00AD78EE"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Sin embargo, aún si por una o varias de estas razones un caso se considere complejo, </w:t>
      </w:r>
      <w:r w:rsidR="00280356" w:rsidRPr="00AC1C46">
        <w:rPr>
          <w:rFonts w:ascii="Cambria" w:hAnsi="Cambria"/>
          <w:color w:val="000000" w:themeColor="text1"/>
          <w:sz w:val="20"/>
          <w:szCs w:val="20"/>
          <w:lang w:val="uz-Cyrl-UZ"/>
        </w:rPr>
        <w:t>no basta una argumentación genérica respecto a la complejidad de este tipo de procesos, sino que es necesario desarrollar los argumentos y presentar las pruebas que demuestren que este factor influyó en la duración de los mismos</w:t>
      </w:r>
      <w:r w:rsidRPr="00AC1C46">
        <w:rPr>
          <w:rStyle w:val="FootnoteReference"/>
          <w:rFonts w:ascii="Cambria" w:hAnsi="Cambria"/>
          <w:color w:val="000000" w:themeColor="text1"/>
          <w:sz w:val="20"/>
          <w:szCs w:val="20"/>
          <w:lang w:val="uz-Cyrl-UZ"/>
        </w:rPr>
        <w:footnoteReference w:id="37"/>
      </w:r>
      <w:r w:rsidR="00280356" w:rsidRPr="00AC1C46">
        <w:rPr>
          <w:rFonts w:ascii="Cambria" w:hAnsi="Cambria"/>
          <w:color w:val="000000" w:themeColor="text1"/>
          <w:sz w:val="20"/>
          <w:szCs w:val="20"/>
          <w:lang w:val="uz-Cyrl-UZ"/>
        </w:rPr>
        <w:t>.</w:t>
      </w:r>
      <w:r w:rsidR="00BD2D9B" w:rsidRPr="00AC1C46">
        <w:rPr>
          <w:rFonts w:ascii="Cambria" w:hAnsi="Cambria"/>
          <w:color w:val="000000" w:themeColor="text1"/>
          <w:sz w:val="20"/>
          <w:szCs w:val="20"/>
          <w:lang w:val="uz-Cyrl-UZ"/>
        </w:rPr>
        <w:t xml:space="preserve"> En similar sentido, l</w:t>
      </w:r>
      <w:r w:rsidR="00653910" w:rsidRPr="00AC1C46">
        <w:rPr>
          <w:rFonts w:ascii="Cambria" w:hAnsi="Cambria"/>
          <w:color w:val="000000" w:themeColor="text1"/>
          <w:sz w:val="20"/>
          <w:szCs w:val="20"/>
          <w:lang w:val="uz-Cyrl-UZ"/>
        </w:rPr>
        <w:t>a Comisión</w:t>
      </w:r>
      <w:r w:rsidR="00BD2D9B" w:rsidRPr="00AC1C46">
        <w:rPr>
          <w:rFonts w:ascii="Cambria" w:hAnsi="Cambria"/>
          <w:color w:val="000000" w:themeColor="text1"/>
          <w:sz w:val="20"/>
          <w:szCs w:val="20"/>
          <w:lang w:val="uz-Cyrl-UZ"/>
        </w:rPr>
        <w:t xml:space="preserve"> ha indicado que </w:t>
      </w:r>
      <w:r w:rsidR="00653910" w:rsidRPr="00AC1C46">
        <w:rPr>
          <w:rFonts w:ascii="Cambria" w:hAnsi="Cambria"/>
          <w:color w:val="000000" w:themeColor="text1"/>
          <w:sz w:val="20"/>
          <w:szCs w:val="20"/>
          <w:lang w:val="uz-Cyrl-UZ"/>
        </w:rPr>
        <w:t>aún en casos que puedan considerarse complejos por su propia naturaleza, resulta necesario que el Estado en cuestión argumente específicamente las razones por las cuales la complejidad ha afectado concretamente las investigaciones</w:t>
      </w:r>
      <w:r w:rsidR="00C42773" w:rsidRPr="00AC1C46">
        <w:rPr>
          <w:rFonts w:ascii="Cambria" w:hAnsi="Cambria"/>
          <w:color w:val="000000" w:themeColor="text1"/>
          <w:sz w:val="20"/>
          <w:szCs w:val="20"/>
          <w:vertAlign w:val="superscript"/>
          <w:lang w:val="uz-Cyrl-UZ"/>
        </w:rPr>
        <w:footnoteReference w:id="38"/>
      </w:r>
      <w:r w:rsidR="00653910" w:rsidRPr="00AC1C46">
        <w:rPr>
          <w:rFonts w:ascii="Cambria" w:hAnsi="Cambria"/>
          <w:color w:val="000000" w:themeColor="text1"/>
          <w:sz w:val="20"/>
          <w:szCs w:val="20"/>
          <w:lang w:val="uz-Cyrl-UZ"/>
        </w:rPr>
        <w:t>.</w:t>
      </w:r>
    </w:p>
    <w:p w14:paraId="6B5AC2C3" w14:textId="77777777" w:rsidR="008E7C0F" w:rsidRPr="00AC1C46" w:rsidRDefault="008E7C0F" w:rsidP="00AC1C46">
      <w:pPr>
        <w:tabs>
          <w:tab w:val="left" w:pos="720"/>
        </w:tabs>
        <w:jc w:val="both"/>
        <w:rPr>
          <w:rFonts w:ascii="Cambria" w:hAnsi="Cambria"/>
          <w:color w:val="000000" w:themeColor="text1"/>
          <w:sz w:val="20"/>
          <w:szCs w:val="20"/>
          <w:lang w:val="uz-Cyrl-UZ"/>
        </w:rPr>
      </w:pPr>
    </w:p>
    <w:p w14:paraId="13EE9599" w14:textId="77777777" w:rsidR="00C539BE" w:rsidRPr="00AC1C46" w:rsidRDefault="00C21F3A"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En cuanto al </w:t>
      </w:r>
      <w:r w:rsidR="00266CDB" w:rsidRPr="00AC1C46">
        <w:rPr>
          <w:rFonts w:ascii="Cambria" w:hAnsi="Cambria"/>
          <w:color w:val="000000" w:themeColor="text1"/>
          <w:sz w:val="20"/>
          <w:szCs w:val="20"/>
          <w:lang w:val="uz-Cyrl-UZ"/>
        </w:rPr>
        <w:t xml:space="preserve">segundo </w:t>
      </w:r>
      <w:r w:rsidRPr="00AC1C46">
        <w:rPr>
          <w:rFonts w:ascii="Cambria" w:hAnsi="Cambria"/>
          <w:color w:val="000000" w:themeColor="text1"/>
          <w:sz w:val="20"/>
          <w:szCs w:val="20"/>
          <w:lang w:val="uz-Cyrl-UZ"/>
        </w:rPr>
        <w:t>elemento, es decir la conducta de las autoridades judiciales, la Corte ha entendido que los jueces, como rectores del proceso, tienen el deber de dirigir y encausar el procedimiento judicial con el fin de no sacrificar la justicia y el debido proceso en pro del formalismo</w:t>
      </w:r>
      <w:r w:rsidRPr="00AC1C46">
        <w:rPr>
          <w:rStyle w:val="FootnoteReference"/>
          <w:rFonts w:ascii="Cambria" w:hAnsi="Cambria"/>
          <w:color w:val="000000" w:themeColor="text1"/>
          <w:sz w:val="20"/>
          <w:szCs w:val="20"/>
          <w:lang w:val="uz-Cyrl-UZ"/>
        </w:rPr>
        <w:footnoteReference w:id="39"/>
      </w:r>
      <w:r w:rsidRPr="00AC1C46">
        <w:rPr>
          <w:rFonts w:ascii="Cambria" w:hAnsi="Cambria"/>
          <w:color w:val="000000" w:themeColor="text1"/>
          <w:sz w:val="20"/>
          <w:szCs w:val="20"/>
          <w:lang w:val="uz-Cyrl-UZ"/>
        </w:rPr>
        <w:t>. En cas</w:t>
      </w:r>
      <w:r w:rsidR="00B5381D" w:rsidRPr="00AC1C46">
        <w:rPr>
          <w:rFonts w:ascii="Cambria" w:hAnsi="Cambria"/>
          <w:color w:val="000000" w:themeColor="text1"/>
          <w:sz w:val="20"/>
          <w:szCs w:val="20"/>
          <w:lang w:val="uz-Cyrl-UZ"/>
        </w:rPr>
        <w:t xml:space="preserve">os relativos a procesos civiles </w:t>
      </w:r>
      <w:r w:rsidRPr="00AC1C46">
        <w:rPr>
          <w:rFonts w:ascii="Cambria" w:hAnsi="Cambria"/>
          <w:color w:val="000000" w:themeColor="text1"/>
          <w:sz w:val="20"/>
          <w:szCs w:val="20"/>
          <w:lang w:val="uz-Cyrl-UZ"/>
        </w:rPr>
        <w:t xml:space="preserve">la Corte </w:t>
      </w:r>
      <w:r w:rsidR="00B5381D" w:rsidRPr="00AC1C46">
        <w:rPr>
          <w:rFonts w:ascii="Cambria" w:hAnsi="Cambria"/>
          <w:color w:val="000000" w:themeColor="text1"/>
          <w:sz w:val="20"/>
          <w:szCs w:val="20"/>
          <w:lang w:val="uz-Cyrl-UZ"/>
        </w:rPr>
        <w:t>se ha</w:t>
      </w:r>
      <w:r w:rsidR="00714C04" w:rsidRPr="00AC1C46">
        <w:rPr>
          <w:rFonts w:ascii="Cambria" w:hAnsi="Cambria"/>
          <w:color w:val="000000" w:themeColor="text1"/>
          <w:sz w:val="20"/>
          <w:szCs w:val="20"/>
          <w:lang w:val="uz-Cyrl-UZ"/>
        </w:rPr>
        <w:t xml:space="preserve"> pronunciado en similar sentido</w:t>
      </w:r>
      <w:r w:rsidR="005D5950" w:rsidRPr="00AC1C46">
        <w:rPr>
          <w:rStyle w:val="FootnoteReference"/>
          <w:rFonts w:ascii="Cambria" w:hAnsi="Cambria"/>
          <w:color w:val="000000" w:themeColor="text1"/>
          <w:sz w:val="20"/>
          <w:szCs w:val="20"/>
          <w:lang w:val="uz-Cyrl-UZ"/>
        </w:rPr>
        <w:footnoteReference w:id="40"/>
      </w:r>
      <w:r w:rsidR="00714C04" w:rsidRPr="00AC1C46">
        <w:rPr>
          <w:rFonts w:ascii="Cambria" w:hAnsi="Cambria"/>
          <w:color w:val="000000" w:themeColor="text1"/>
          <w:sz w:val="20"/>
          <w:szCs w:val="20"/>
          <w:lang w:val="uz-Cyrl-UZ"/>
        </w:rPr>
        <w:t>.</w:t>
      </w:r>
      <w:r w:rsidR="00C539BE" w:rsidRPr="00AC1C46">
        <w:rPr>
          <w:rFonts w:ascii="Cambria" w:hAnsi="Cambria"/>
          <w:color w:val="000000" w:themeColor="text1"/>
          <w:sz w:val="20"/>
          <w:szCs w:val="20"/>
          <w:lang w:val="uz-Cyrl-UZ"/>
        </w:rPr>
        <w:t xml:space="preserve"> También respecto de disputas civiles, la Corte Europea ha indicado que corresponde a los Estados partes organizar su sistema </w:t>
      </w:r>
      <w:r w:rsidR="00C539BE" w:rsidRPr="00AC1C46">
        <w:rPr>
          <w:rFonts w:ascii="Cambria" w:hAnsi="Cambria"/>
          <w:color w:val="000000" w:themeColor="text1"/>
          <w:sz w:val="20"/>
          <w:szCs w:val="20"/>
          <w:lang w:val="uz-Cyrl-UZ"/>
        </w:rPr>
        <w:lastRenderedPageBreak/>
        <w:t>legal de tal manera que sus Cortes puedan garantizar el derecho de todas las personas de obtener una decisión final en las disputas relativas a derechos y obligaciones civiles en un plazo razonable</w:t>
      </w:r>
      <w:r w:rsidR="00C539BE" w:rsidRPr="00AC1C46">
        <w:rPr>
          <w:rStyle w:val="FootnoteReference"/>
          <w:rFonts w:ascii="Cambria" w:hAnsi="Cambria"/>
          <w:color w:val="000000" w:themeColor="text1"/>
          <w:sz w:val="20"/>
          <w:szCs w:val="20"/>
          <w:lang w:val="uz-Cyrl-UZ"/>
        </w:rPr>
        <w:footnoteReference w:id="41"/>
      </w:r>
      <w:r w:rsidR="00C539BE" w:rsidRPr="00AC1C46">
        <w:rPr>
          <w:rFonts w:ascii="Cambria" w:hAnsi="Cambria"/>
          <w:color w:val="000000" w:themeColor="text1"/>
          <w:sz w:val="20"/>
          <w:szCs w:val="20"/>
          <w:lang w:val="uz-Cyrl-UZ"/>
        </w:rPr>
        <w:t>.</w:t>
      </w:r>
    </w:p>
    <w:p w14:paraId="42EDD1A5" w14:textId="77777777" w:rsidR="007E35C1" w:rsidRPr="00AC1C46" w:rsidRDefault="007E35C1" w:rsidP="00AC1C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color w:val="000000" w:themeColor="text1"/>
          <w:sz w:val="20"/>
          <w:szCs w:val="20"/>
          <w:lang w:val="uz-Cyrl-UZ"/>
        </w:rPr>
      </w:pPr>
    </w:p>
    <w:p w14:paraId="38907039" w14:textId="77777777" w:rsidR="007E35C1" w:rsidRPr="00AC1C46" w:rsidRDefault="007E35C1"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En relación con el tercer elemento, es decir la actividad procesal del interesado, la Corte ha evaluado si los sujetos realizaron las intervenciones en los procesos que le eran razonablemente exigibles</w:t>
      </w:r>
      <w:r w:rsidRPr="00AC1C46">
        <w:rPr>
          <w:rStyle w:val="FootnoteReference"/>
          <w:rFonts w:ascii="Cambria" w:hAnsi="Cambria"/>
          <w:color w:val="000000" w:themeColor="text1"/>
          <w:sz w:val="20"/>
          <w:szCs w:val="20"/>
          <w:lang w:val="uz-Cyrl-UZ"/>
        </w:rPr>
        <w:footnoteReference w:id="42"/>
      </w:r>
      <w:r w:rsidRPr="00AC1C46">
        <w:rPr>
          <w:rFonts w:ascii="Cambria" w:hAnsi="Cambria"/>
          <w:color w:val="000000" w:themeColor="text1"/>
          <w:sz w:val="20"/>
          <w:szCs w:val="20"/>
          <w:lang w:val="uz-Cyrl-UZ"/>
        </w:rPr>
        <w:t xml:space="preserve">. </w:t>
      </w:r>
    </w:p>
    <w:p w14:paraId="182E06E9" w14:textId="77777777" w:rsidR="00C539BE" w:rsidRPr="00AC1C46" w:rsidRDefault="00C539BE" w:rsidP="00AC1C4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810"/>
        </w:tabs>
        <w:autoSpaceDE w:val="0"/>
        <w:autoSpaceDN w:val="0"/>
        <w:adjustRightInd w:val="0"/>
        <w:jc w:val="both"/>
        <w:rPr>
          <w:rFonts w:ascii="Cambria" w:hAnsi="Cambria" w:cs="Helvetica"/>
          <w:color w:val="000000" w:themeColor="text1"/>
          <w:sz w:val="20"/>
          <w:szCs w:val="20"/>
          <w:lang w:val="uz-Cyrl-UZ"/>
        </w:rPr>
      </w:pPr>
    </w:p>
    <w:p w14:paraId="38CBE812" w14:textId="77777777" w:rsidR="00C539BE" w:rsidRPr="00AC1C46" w:rsidRDefault="00C539BE"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s="Helvetica"/>
          <w:color w:val="000000" w:themeColor="text1"/>
          <w:sz w:val="20"/>
          <w:szCs w:val="20"/>
          <w:lang w:val="uz-Cyrl-UZ"/>
        </w:rPr>
      </w:pPr>
      <w:r w:rsidRPr="00AC1C46">
        <w:rPr>
          <w:rFonts w:ascii="Cambria" w:hAnsi="Cambria" w:cs="Helvetica"/>
          <w:color w:val="000000" w:themeColor="text1"/>
          <w:sz w:val="20"/>
          <w:szCs w:val="20"/>
          <w:lang w:val="uz-Cyrl-UZ"/>
        </w:rPr>
        <w:t>En la misma línea, la Corte Europea ha señalado que aún en sistemas legales que aplican el principio conforme al cual la iniciativa procesal reposa en las partes, la actitud de las mismas no absuelve a los tribunales de su obligación de asegurar un juicio expedito</w:t>
      </w:r>
      <w:r w:rsidRPr="00AC1C46">
        <w:rPr>
          <w:rStyle w:val="FootnoteReference"/>
          <w:rFonts w:ascii="Cambria" w:hAnsi="Cambria" w:cs="Helvetica"/>
          <w:color w:val="000000" w:themeColor="text1"/>
          <w:sz w:val="20"/>
          <w:szCs w:val="20"/>
          <w:lang w:val="uz-Cyrl-UZ"/>
        </w:rPr>
        <w:footnoteReference w:id="43"/>
      </w:r>
      <w:r w:rsidRPr="00AC1C46">
        <w:rPr>
          <w:rFonts w:ascii="Cambria" w:hAnsi="Cambria" w:cs="Helvetica"/>
          <w:color w:val="000000" w:themeColor="text1"/>
          <w:sz w:val="20"/>
          <w:szCs w:val="20"/>
          <w:lang w:val="uz-Cyrl-UZ"/>
        </w:rPr>
        <w:t xml:space="preserve">. De manera similar, la Corte Europea ha indicado que lo mismo aplica a situaciones en las cuales la cooperación de un experto es necesaria. En tales </w:t>
      </w:r>
      <w:r w:rsidR="005737A9" w:rsidRPr="00AC1C46">
        <w:rPr>
          <w:rFonts w:ascii="Cambria" w:hAnsi="Cambria" w:cs="Helvetica"/>
          <w:color w:val="000000" w:themeColor="text1"/>
          <w:sz w:val="20"/>
          <w:szCs w:val="20"/>
          <w:lang w:val="uz-Cyrl-UZ"/>
        </w:rPr>
        <w:t>circunstancias</w:t>
      </w:r>
      <w:r w:rsidRPr="00AC1C46">
        <w:rPr>
          <w:rFonts w:ascii="Cambria" w:hAnsi="Cambria" w:cs="Helvetica"/>
          <w:color w:val="000000" w:themeColor="text1"/>
          <w:sz w:val="20"/>
          <w:szCs w:val="20"/>
          <w:lang w:val="uz-Cyrl-UZ"/>
        </w:rPr>
        <w:t>, la responsabilidad por la preparación del caso y la conducción expedita del proceso reposa sobre la autoridad judicial</w:t>
      </w:r>
      <w:r w:rsidRPr="00AC1C46">
        <w:rPr>
          <w:rStyle w:val="FootnoteReference"/>
          <w:rFonts w:ascii="Cambria" w:hAnsi="Cambria" w:cs="Helvetica"/>
          <w:color w:val="000000" w:themeColor="text1"/>
          <w:sz w:val="20"/>
          <w:szCs w:val="20"/>
          <w:lang w:val="uz-Cyrl-UZ"/>
        </w:rPr>
        <w:footnoteReference w:id="44"/>
      </w:r>
      <w:r w:rsidRPr="00AC1C46">
        <w:rPr>
          <w:rFonts w:ascii="Cambria" w:hAnsi="Cambria" w:cs="Helvetica"/>
          <w:color w:val="000000" w:themeColor="text1"/>
          <w:sz w:val="20"/>
          <w:szCs w:val="20"/>
          <w:lang w:val="uz-Cyrl-UZ"/>
        </w:rPr>
        <w:t xml:space="preserve">. </w:t>
      </w:r>
    </w:p>
    <w:p w14:paraId="0192C2B3" w14:textId="77777777" w:rsidR="00C539BE" w:rsidRPr="00AC1C46" w:rsidRDefault="00C539BE" w:rsidP="00AC1C46">
      <w:pPr>
        <w:tabs>
          <w:tab w:val="left" w:pos="720"/>
        </w:tabs>
        <w:jc w:val="both"/>
        <w:rPr>
          <w:rFonts w:ascii="Cambria" w:hAnsi="Cambria"/>
          <w:color w:val="000000" w:themeColor="text1"/>
          <w:sz w:val="20"/>
          <w:szCs w:val="20"/>
          <w:lang w:val="uz-Cyrl-UZ"/>
        </w:rPr>
      </w:pPr>
    </w:p>
    <w:p w14:paraId="7643FD6E" w14:textId="77777777" w:rsidR="00B15BE0" w:rsidRPr="00AC1C46" w:rsidRDefault="00B15BE0"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s="Helvetica"/>
          <w:color w:val="000000" w:themeColor="text1"/>
          <w:sz w:val="20"/>
          <w:szCs w:val="20"/>
          <w:lang w:val="uz-Cyrl-UZ"/>
        </w:rPr>
        <w:t>La Corte Europea ha señalado que aunque ciertas demoras podrían, en sí mismas, no ser problemáticas, cuando son analizadas conjuntamente y de manera acumulativa, pueden resultar en que el plazo razonable sea excedido</w:t>
      </w:r>
      <w:r w:rsidRPr="00AC1C46">
        <w:rPr>
          <w:rStyle w:val="FootnoteReference"/>
          <w:rFonts w:ascii="Cambria" w:hAnsi="Cambria" w:cs="Helvetica"/>
          <w:color w:val="000000" w:themeColor="text1"/>
          <w:sz w:val="20"/>
          <w:szCs w:val="20"/>
          <w:lang w:val="uz-Cyrl-UZ"/>
        </w:rPr>
        <w:footnoteReference w:id="45"/>
      </w:r>
      <w:r w:rsidRPr="00AC1C46">
        <w:rPr>
          <w:rFonts w:ascii="Cambria" w:hAnsi="Cambria" w:cs="Helvetica"/>
          <w:color w:val="000000" w:themeColor="text1"/>
          <w:sz w:val="20"/>
          <w:szCs w:val="20"/>
          <w:lang w:val="uz-Cyrl-UZ"/>
        </w:rPr>
        <w:t xml:space="preserve">. Asimismo, ha establecido que una demora en una fase particular podría ser permisible, </w:t>
      </w:r>
      <w:r w:rsidR="005737A9" w:rsidRPr="00AC1C46">
        <w:rPr>
          <w:rFonts w:ascii="Cambria" w:hAnsi="Cambria" w:cs="Helvetica"/>
          <w:color w:val="000000" w:themeColor="text1"/>
          <w:sz w:val="20"/>
          <w:szCs w:val="20"/>
          <w:lang w:val="uz-Cyrl-UZ"/>
        </w:rPr>
        <w:t>siempre</w:t>
      </w:r>
      <w:r w:rsidRPr="00AC1C46">
        <w:rPr>
          <w:rFonts w:ascii="Cambria" w:hAnsi="Cambria" w:cs="Helvetica"/>
          <w:color w:val="000000" w:themeColor="text1"/>
          <w:sz w:val="20"/>
          <w:szCs w:val="20"/>
          <w:lang w:val="uz-Cyrl-UZ"/>
        </w:rPr>
        <w:t xml:space="preserve"> y cuando la duración total del proceso no sea excesiva</w:t>
      </w:r>
      <w:r w:rsidRPr="00AC1C46">
        <w:rPr>
          <w:rStyle w:val="FootnoteReference"/>
          <w:rFonts w:ascii="Cambria" w:hAnsi="Cambria" w:cs="Helvetica"/>
          <w:color w:val="000000" w:themeColor="text1"/>
          <w:sz w:val="20"/>
          <w:szCs w:val="20"/>
          <w:lang w:val="uz-Cyrl-UZ"/>
        </w:rPr>
        <w:footnoteReference w:id="46"/>
      </w:r>
      <w:r w:rsidRPr="00AC1C46">
        <w:rPr>
          <w:rFonts w:ascii="Cambria" w:hAnsi="Cambria" w:cs="Helvetica"/>
          <w:color w:val="000000" w:themeColor="text1"/>
          <w:sz w:val="20"/>
          <w:szCs w:val="20"/>
          <w:lang w:val="uz-Cyrl-UZ"/>
        </w:rPr>
        <w:t>. As</w:t>
      </w:r>
      <w:r w:rsidR="00E46B25" w:rsidRPr="00AC1C46">
        <w:rPr>
          <w:rFonts w:ascii="Cambria" w:hAnsi="Cambria" w:cs="Helvetica"/>
          <w:color w:val="000000" w:themeColor="text1"/>
          <w:sz w:val="20"/>
          <w:szCs w:val="20"/>
          <w:lang w:val="uz-Cyrl-UZ"/>
        </w:rPr>
        <w:t>i</w:t>
      </w:r>
      <w:r w:rsidRPr="00AC1C46">
        <w:rPr>
          <w:rFonts w:ascii="Cambria" w:hAnsi="Cambria" w:cs="Helvetica"/>
          <w:color w:val="000000" w:themeColor="text1"/>
          <w:sz w:val="20"/>
          <w:szCs w:val="20"/>
          <w:lang w:val="uz-Cyrl-UZ"/>
        </w:rPr>
        <w:t xml:space="preserve">mismo, ha señalado que </w:t>
      </w:r>
      <w:r w:rsidRPr="00AC1C46">
        <w:rPr>
          <w:rFonts w:ascii="Cambria" w:hAnsi="Cambria"/>
          <w:color w:val="000000" w:themeColor="text1"/>
          <w:sz w:val="20"/>
          <w:szCs w:val="20"/>
          <w:lang w:val="uz-Cyrl-UZ"/>
        </w:rPr>
        <w:t>debe tomarse en cuenta que el Estado es responsable por todas sus autoridades, no sólo sus órganos judiciales pero todas las instituciones públicas</w:t>
      </w:r>
      <w:r w:rsidRPr="00AC1C46">
        <w:rPr>
          <w:rStyle w:val="FootnoteReference"/>
          <w:rFonts w:ascii="Cambria" w:hAnsi="Cambria"/>
          <w:color w:val="000000" w:themeColor="text1"/>
          <w:sz w:val="20"/>
          <w:szCs w:val="20"/>
          <w:lang w:val="uz-Cyrl-UZ"/>
        </w:rPr>
        <w:footnoteReference w:id="47"/>
      </w:r>
      <w:r w:rsidRPr="00AC1C46">
        <w:rPr>
          <w:rFonts w:ascii="Cambria" w:hAnsi="Cambria"/>
          <w:color w:val="000000" w:themeColor="text1"/>
          <w:sz w:val="20"/>
          <w:szCs w:val="20"/>
          <w:lang w:val="uz-Cyrl-UZ"/>
        </w:rPr>
        <w:t>.</w:t>
      </w:r>
    </w:p>
    <w:p w14:paraId="295E4BD7" w14:textId="77777777" w:rsidR="00B15BE0" w:rsidRPr="00AC1C46" w:rsidRDefault="00B15BE0" w:rsidP="00AC1C46">
      <w:pPr>
        <w:tabs>
          <w:tab w:val="left" w:pos="720"/>
        </w:tabs>
        <w:jc w:val="both"/>
        <w:rPr>
          <w:rFonts w:ascii="Cambria" w:hAnsi="Cambria"/>
          <w:color w:val="000000" w:themeColor="text1"/>
          <w:sz w:val="20"/>
          <w:szCs w:val="20"/>
          <w:lang w:val="uz-Cyrl-UZ"/>
        </w:rPr>
      </w:pPr>
    </w:p>
    <w:p w14:paraId="21904542" w14:textId="77777777" w:rsidR="006B3B48" w:rsidRPr="00AC1C46" w:rsidRDefault="0086018B"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Respecto del </w:t>
      </w:r>
      <w:r w:rsidR="00C21F3A" w:rsidRPr="00AC1C46">
        <w:rPr>
          <w:rFonts w:ascii="Cambria" w:hAnsi="Cambria"/>
          <w:color w:val="000000" w:themeColor="text1"/>
          <w:sz w:val="20"/>
          <w:szCs w:val="20"/>
          <w:lang w:val="uz-Cyrl-UZ"/>
        </w:rPr>
        <w:t xml:space="preserve">cuarto elemento, es decir la afectación generada en la situación jurídica de la persona involucrada en el proceso, la Corte ha establecido que las autoridades deben actuar con mayor diligencia en aquellos casos </w:t>
      </w:r>
      <w:r w:rsidR="00C21F3A" w:rsidRPr="00AC1C46">
        <w:rPr>
          <w:rFonts w:ascii="Cambria" w:hAnsi="Cambria" w:cs="Helvetica"/>
          <w:color w:val="000000" w:themeColor="text1"/>
          <w:sz w:val="20"/>
          <w:szCs w:val="20"/>
          <w:lang w:val="uz-Cyrl-UZ"/>
        </w:rPr>
        <w:t>donde</w:t>
      </w:r>
      <w:r w:rsidR="00C21F3A" w:rsidRPr="00AC1C46">
        <w:rPr>
          <w:rFonts w:ascii="Cambria" w:hAnsi="Cambria"/>
          <w:color w:val="000000" w:themeColor="text1"/>
          <w:sz w:val="20"/>
          <w:szCs w:val="20"/>
          <w:lang w:val="uz-Cyrl-UZ"/>
        </w:rPr>
        <w:t xml:space="preserve"> de la duración del proceso depende la protección de otros derechos de los sujetos del proceso</w:t>
      </w:r>
      <w:r w:rsidR="00C21F3A" w:rsidRPr="00AC1C46">
        <w:rPr>
          <w:rStyle w:val="FootnoteReference"/>
          <w:rFonts w:ascii="Cambria" w:hAnsi="Cambria"/>
          <w:color w:val="000000" w:themeColor="text1"/>
          <w:sz w:val="20"/>
          <w:szCs w:val="20"/>
          <w:lang w:val="uz-Cyrl-UZ"/>
        </w:rPr>
        <w:footnoteReference w:id="48"/>
      </w:r>
      <w:r w:rsidR="00C21F3A" w:rsidRPr="00AC1C46">
        <w:rPr>
          <w:rFonts w:ascii="Cambria" w:hAnsi="Cambria"/>
          <w:color w:val="000000" w:themeColor="text1"/>
          <w:sz w:val="20"/>
          <w:szCs w:val="20"/>
          <w:lang w:val="uz-Cyrl-UZ"/>
        </w:rPr>
        <w:t>.</w:t>
      </w:r>
      <w:r w:rsidR="00104E61" w:rsidRPr="00AC1C46">
        <w:rPr>
          <w:rFonts w:ascii="Cambria" w:hAnsi="Cambria"/>
          <w:color w:val="000000" w:themeColor="text1"/>
          <w:sz w:val="20"/>
          <w:szCs w:val="20"/>
          <w:lang w:val="uz-Cyrl-UZ"/>
        </w:rPr>
        <w:t xml:space="preserve"> </w:t>
      </w:r>
      <w:r w:rsidR="00F84928" w:rsidRPr="00AC1C46">
        <w:rPr>
          <w:rFonts w:ascii="Cambria" w:hAnsi="Cambria" w:cs="Helvetica"/>
          <w:color w:val="000000" w:themeColor="text1"/>
          <w:sz w:val="20"/>
          <w:szCs w:val="20"/>
          <w:lang w:val="uz-Cyrl-UZ"/>
        </w:rPr>
        <w:t xml:space="preserve">En este sentido, la Corte Interamericana ha señalado que </w:t>
      </w:r>
      <w:r w:rsidR="00CA128D" w:rsidRPr="00AC1C46">
        <w:rPr>
          <w:rFonts w:ascii="Cambria" w:hAnsi="Cambria" w:cs="Helvetica"/>
          <w:color w:val="000000" w:themeColor="text1"/>
          <w:sz w:val="20"/>
          <w:szCs w:val="20"/>
          <w:lang w:val="uz-Cyrl-UZ"/>
        </w:rPr>
        <w:t>en casos de personas</w:t>
      </w:r>
      <w:r w:rsidR="00F84928" w:rsidRPr="00AC1C46">
        <w:rPr>
          <w:rFonts w:ascii="Cambria" w:hAnsi="Cambria" w:cs="Helvetica"/>
          <w:color w:val="000000" w:themeColor="text1"/>
          <w:sz w:val="20"/>
          <w:szCs w:val="20"/>
          <w:lang w:val="uz-Cyrl-UZ"/>
        </w:rPr>
        <w:t xml:space="preserve"> </w:t>
      </w:r>
      <w:r w:rsidR="00CA128D" w:rsidRPr="00AC1C46">
        <w:rPr>
          <w:rFonts w:ascii="Cambria" w:hAnsi="Cambria" w:cs="Helvetica"/>
          <w:color w:val="000000" w:themeColor="text1"/>
          <w:sz w:val="20"/>
          <w:szCs w:val="20"/>
          <w:lang w:val="uz-Cyrl-UZ"/>
        </w:rPr>
        <w:t xml:space="preserve"> vulnerables, como lo es una persona con discapacidad, es imperante tomar las medidas pertinentes, como por ejemplo la priorización en la atención y resolución del procedimiento por parte de las autoridades a su cargo, con el fin de evitar retrasos en la tramitación de los procesos, de manera que se garantice la pronta resolución y ejecución de los mismos</w:t>
      </w:r>
      <w:r w:rsidR="00CA128D" w:rsidRPr="00AC1C46">
        <w:rPr>
          <w:rStyle w:val="FootnoteReference"/>
          <w:rFonts w:ascii="Cambria" w:hAnsi="Cambria"/>
          <w:color w:val="000000" w:themeColor="text1"/>
          <w:sz w:val="20"/>
          <w:szCs w:val="20"/>
          <w:lang w:val="uz-Cyrl-UZ"/>
        </w:rPr>
        <w:footnoteReference w:id="49"/>
      </w:r>
      <w:r w:rsidR="00CA128D" w:rsidRPr="00AC1C46">
        <w:rPr>
          <w:rFonts w:ascii="Cambria" w:hAnsi="Cambria" w:cs="Helvetica"/>
          <w:color w:val="000000" w:themeColor="text1"/>
          <w:sz w:val="20"/>
          <w:szCs w:val="20"/>
          <w:lang w:val="uz-Cyrl-UZ"/>
        </w:rPr>
        <w:t>.</w:t>
      </w:r>
      <w:r w:rsidR="006B3B48" w:rsidRPr="00AC1C46">
        <w:rPr>
          <w:rFonts w:ascii="Cambria" w:hAnsi="Cambria" w:cs="Helvetica"/>
          <w:color w:val="000000" w:themeColor="text1"/>
          <w:sz w:val="20"/>
          <w:szCs w:val="20"/>
          <w:lang w:val="uz-Cyrl-UZ"/>
        </w:rPr>
        <w:t xml:space="preserve"> </w:t>
      </w:r>
      <w:r w:rsidR="006B3B48" w:rsidRPr="00AC1C46">
        <w:rPr>
          <w:rFonts w:ascii="Cambria" w:hAnsi="Cambria"/>
          <w:color w:val="000000" w:themeColor="text1"/>
          <w:sz w:val="20"/>
          <w:szCs w:val="20"/>
          <w:lang w:val="uz-Cyrl-UZ"/>
        </w:rPr>
        <w:t>También de manera relevante para el presente caso, la Corte Europea ha indicado que las disputas laborales, por su propia naturaleza requieren de una decisión con particular celeridad</w:t>
      </w:r>
      <w:r w:rsidR="006B3B48" w:rsidRPr="00AC1C46">
        <w:rPr>
          <w:rStyle w:val="FootnoteReference"/>
          <w:rFonts w:ascii="Cambria" w:hAnsi="Cambria"/>
          <w:color w:val="000000" w:themeColor="text1"/>
          <w:sz w:val="20"/>
          <w:szCs w:val="20"/>
          <w:lang w:val="uz-Cyrl-UZ"/>
        </w:rPr>
        <w:footnoteReference w:id="50"/>
      </w:r>
      <w:r w:rsidR="006B3B48" w:rsidRPr="00AC1C46">
        <w:rPr>
          <w:rFonts w:ascii="Cambria" w:hAnsi="Cambria"/>
          <w:color w:val="000000" w:themeColor="text1"/>
          <w:sz w:val="20"/>
          <w:szCs w:val="20"/>
          <w:lang w:val="uz-Cyrl-UZ"/>
        </w:rPr>
        <w:t xml:space="preserve">. </w:t>
      </w:r>
    </w:p>
    <w:p w14:paraId="36BDB9C3" w14:textId="77777777" w:rsidR="003B081B" w:rsidRPr="00AC1C46" w:rsidRDefault="008C31C9" w:rsidP="00AC1C46">
      <w:pPr>
        <w:pStyle w:val="NormalWeb"/>
        <w:tabs>
          <w:tab w:val="left" w:pos="720"/>
        </w:tabs>
        <w:spacing w:before="0" w:beforeAutospacing="0" w:after="0" w:afterAutospacing="0"/>
        <w:rPr>
          <w:rFonts w:ascii="Cambria" w:hAnsi="Cambria"/>
          <w:color w:val="000000" w:themeColor="text1"/>
          <w:sz w:val="20"/>
          <w:szCs w:val="20"/>
          <w:lang w:val="uz-Cyrl-UZ"/>
        </w:rPr>
      </w:pPr>
      <w:r w:rsidRPr="00AC1C46">
        <w:rPr>
          <w:rFonts w:ascii="Cambria" w:hAnsi="Cambria"/>
          <w:color w:val="000000" w:themeColor="text1"/>
          <w:sz w:val="20"/>
          <w:szCs w:val="20"/>
          <w:lang w:val="uz-Cyrl-UZ"/>
        </w:rPr>
        <w:tab/>
      </w:r>
    </w:p>
    <w:p w14:paraId="278C3DF1" w14:textId="77777777" w:rsidR="009533CB" w:rsidRPr="00AC1C46" w:rsidRDefault="00994482"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Por su parte, el derecho a la protección judicial implica el deber de los Estados de ofrecer un recurso judicial efectivo contra actos violatorios de los derechos de las personas sometidas a </w:t>
      </w:r>
      <w:r w:rsidRPr="00AC1C46">
        <w:rPr>
          <w:rFonts w:ascii="Cambria" w:hAnsi="Cambria"/>
          <w:color w:val="000000" w:themeColor="text1"/>
          <w:sz w:val="20"/>
          <w:szCs w:val="20"/>
          <w:lang w:val="uz-Cyrl-UZ"/>
        </w:rPr>
        <w:lastRenderedPageBreak/>
        <w:t>su jurisdicción</w:t>
      </w:r>
      <w:r w:rsidRPr="00AC1C46">
        <w:rPr>
          <w:rStyle w:val="FootnoteReference"/>
          <w:rFonts w:ascii="Cambria" w:hAnsi="Cambria"/>
          <w:color w:val="000000" w:themeColor="text1"/>
          <w:sz w:val="20"/>
          <w:szCs w:val="20"/>
          <w:lang w:val="uz-Cyrl-UZ"/>
        </w:rPr>
        <w:footnoteReference w:id="51"/>
      </w:r>
      <w:r w:rsidRPr="00AC1C46">
        <w:rPr>
          <w:rFonts w:ascii="Cambria" w:hAnsi="Cambria"/>
          <w:color w:val="000000" w:themeColor="text1"/>
          <w:sz w:val="20"/>
          <w:szCs w:val="20"/>
          <w:lang w:val="uz-Cyrl-UZ"/>
        </w:rPr>
        <w:t xml:space="preserve">. </w:t>
      </w:r>
      <w:r w:rsidRPr="00AC1C46">
        <w:rPr>
          <w:rFonts w:ascii="Cambria" w:hAnsi="Cambria" w:cs="Calibri"/>
          <w:color w:val="000000" w:themeColor="text1"/>
          <w:sz w:val="20"/>
          <w:szCs w:val="20"/>
          <w:lang w:val="uz-Cyrl-UZ"/>
        </w:rPr>
        <w:t xml:space="preserve">La Corte Interamericana ha resaltado la necesidad de que los procesos internos garanticen un verdadero acceso a la justicia a fin de determinar </w:t>
      </w:r>
      <w:r w:rsidRPr="00AC1C46">
        <w:rPr>
          <w:rFonts w:ascii="Cambria" w:hAnsi="Cambria"/>
          <w:color w:val="000000" w:themeColor="text1"/>
          <w:sz w:val="20"/>
          <w:szCs w:val="20"/>
          <w:lang w:val="uz-Cyrl-UZ"/>
        </w:rPr>
        <w:t>cualquier</w:t>
      </w:r>
      <w:r w:rsidRPr="00AC1C46">
        <w:rPr>
          <w:rFonts w:ascii="Cambria" w:hAnsi="Cambria" w:cs="Calibri"/>
          <w:color w:val="000000" w:themeColor="text1"/>
          <w:sz w:val="20"/>
          <w:szCs w:val="20"/>
          <w:lang w:val="uz-Cyrl-UZ"/>
        </w:rPr>
        <w:t xml:space="preserve"> derecho que esté en controversia</w:t>
      </w:r>
      <w:r w:rsidRPr="00AC1C46">
        <w:rPr>
          <w:rStyle w:val="FootnoteReference"/>
          <w:rFonts w:ascii="Cambria" w:hAnsi="Cambria"/>
          <w:color w:val="000000" w:themeColor="text1"/>
          <w:sz w:val="20"/>
          <w:szCs w:val="20"/>
          <w:lang w:val="uz-Cyrl-UZ"/>
        </w:rPr>
        <w:footnoteReference w:id="52"/>
      </w:r>
      <w:r w:rsidRPr="00AC1C46">
        <w:rPr>
          <w:rFonts w:ascii="Cambria" w:hAnsi="Cambria" w:cs="Calibri"/>
          <w:color w:val="000000" w:themeColor="text1"/>
          <w:sz w:val="20"/>
          <w:szCs w:val="20"/>
          <w:lang w:val="uz-Cyrl-UZ"/>
        </w:rPr>
        <w:t xml:space="preserve">. Asimismo, ha indicado que la efectividad de los mismos </w:t>
      </w:r>
      <w:r w:rsidRPr="00AC1C46">
        <w:rPr>
          <w:rFonts w:ascii="Cambria" w:hAnsi="Cambria"/>
          <w:color w:val="000000" w:themeColor="text1"/>
          <w:sz w:val="20"/>
          <w:szCs w:val="20"/>
          <w:lang w:val="uz-Cyrl-UZ"/>
        </w:rPr>
        <w:t xml:space="preserve">supone que, además de la existencia formal de </w:t>
      </w:r>
      <w:r w:rsidRPr="00AC1C46">
        <w:rPr>
          <w:rFonts w:ascii="Cambria" w:hAnsi="Cambria" w:cs="Arial"/>
          <w:color w:val="000000" w:themeColor="text1"/>
          <w:sz w:val="20"/>
          <w:szCs w:val="20"/>
          <w:lang w:val="uz-Cyrl-UZ"/>
        </w:rPr>
        <w:t>los</w:t>
      </w:r>
      <w:r w:rsidRPr="00AC1C46">
        <w:rPr>
          <w:rFonts w:ascii="Cambria" w:hAnsi="Cambria"/>
          <w:color w:val="000000" w:themeColor="text1"/>
          <w:sz w:val="20"/>
          <w:szCs w:val="20"/>
          <w:lang w:val="uz-Cyrl-UZ"/>
        </w:rPr>
        <w:t xml:space="preserve"> recursos, éstos den resultados o respuestas a las violaciones de derechos contemplados ya sea en la Convención, en la Constitución o en las leyes</w:t>
      </w:r>
      <w:r w:rsidRPr="00AC1C46">
        <w:rPr>
          <w:rStyle w:val="FootnoteReference"/>
          <w:rFonts w:ascii="Cambria" w:hAnsi="Cambria"/>
          <w:color w:val="000000" w:themeColor="text1"/>
          <w:sz w:val="20"/>
          <w:szCs w:val="20"/>
          <w:lang w:val="uz-Cyrl-UZ"/>
        </w:rPr>
        <w:footnoteReference w:id="53"/>
      </w:r>
      <w:r w:rsidRPr="00AC1C46">
        <w:rPr>
          <w:rFonts w:ascii="Cambria" w:hAnsi="Cambria"/>
          <w:color w:val="000000" w:themeColor="text1"/>
          <w:sz w:val="20"/>
          <w:szCs w:val="20"/>
          <w:lang w:val="uz-Cyrl-UZ"/>
        </w:rPr>
        <w:t xml:space="preserve">. </w:t>
      </w:r>
    </w:p>
    <w:p w14:paraId="4A3100B2" w14:textId="77777777" w:rsidR="009533CB" w:rsidRPr="00AC1C46" w:rsidRDefault="009533CB" w:rsidP="00AC1C46">
      <w:pPr>
        <w:pStyle w:val="NormalWeb"/>
        <w:tabs>
          <w:tab w:val="left" w:pos="720"/>
        </w:tabs>
        <w:spacing w:before="0" w:beforeAutospacing="0" w:after="0" w:afterAutospacing="0"/>
        <w:ind w:firstLine="630"/>
        <w:rPr>
          <w:rFonts w:ascii="Cambria" w:hAnsi="Cambria"/>
          <w:color w:val="000000" w:themeColor="text1"/>
          <w:sz w:val="20"/>
          <w:szCs w:val="20"/>
          <w:lang w:val="uz-Cyrl-UZ"/>
        </w:rPr>
      </w:pPr>
    </w:p>
    <w:p w14:paraId="54F484B4" w14:textId="77777777" w:rsidR="00EA6725" w:rsidRPr="00AC1C46" w:rsidRDefault="00453639" w:rsidP="00AC1C46">
      <w:pPr>
        <w:pStyle w:val="Heading3"/>
        <w:numPr>
          <w:ilvl w:val="0"/>
          <w:numId w:val="25"/>
        </w:numPr>
        <w:spacing w:before="0"/>
        <w:ind w:left="0" w:firstLine="630"/>
        <w:jc w:val="both"/>
        <w:rPr>
          <w:rFonts w:ascii="Cambria" w:hAnsi="Cambria"/>
          <w:b/>
          <w:color w:val="auto"/>
          <w:spacing w:val="-2"/>
          <w:sz w:val="20"/>
          <w:szCs w:val="20"/>
          <w:lang w:val="uz-Cyrl-UZ"/>
        </w:rPr>
      </w:pPr>
      <w:bookmarkStart w:id="31" w:name="_Toc491078738"/>
      <w:r w:rsidRPr="00AC1C46">
        <w:rPr>
          <w:rFonts w:ascii="Cambria" w:hAnsi="Cambria"/>
          <w:b/>
          <w:color w:val="auto"/>
          <w:sz w:val="20"/>
          <w:szCs w:val="20"/>
          <w:lang w:val="uz-Cyrl-UZ"/>
        </w:rPr>
        <w:t>Análisis del caso</w:t>
      </w:r>
      <w:bookmarkEnd w:id="31"/>
    </w:p>
    <w:p w14:paraId="4393D7A4" w14:textId="77777777" w:rsidR="00FD4734" w:rsidRPr="00AC1C46" w:rsidRDefault="00FD4734" w:rsidP="00AC1C46">
      <w:pPr>
        <w:pStyle w:val="NormalWeb"/>
        <w:tabs>
          <w:tab w:val="left" w:pos="720"/>
        </w:tabs>
        <w:spacing w:before="0" w:beforeAutospacing="0" w:after="0" w:afterAutospacing="0"/>
        <w:ind w:left="720"/>
        <w:rPr>
          <w:rFonts w:ascii="Cambria" w:hAnsi="Cambria"/>
          <w:b/>
          <w:color w:val="000000" w:themeColor="text1"/>
          <w:sz w:val="20"/>
          <w:szCs w:val="20"/>
          <w:lang w:val="uz-Cyrl-UZ"/>
        </w:rPr>
      </w:pPr>
    </w:p>
    <w:p w14:paraId="19C477C9" w14:textId="77777777" w:rsidR="002E6BBF" w:rsidRPr="00AC1C46" w:rsidRDefault="00FD4734"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Tal como se indicó en los hechos probad</w:t>
      </w:r>
      <w:r w:rsidR="00776765" w:rsidRPr="00AC1C46">
        <w:rPr>
          <w:rFonts w:ascii="Cambria" w:hAnsi="Cambria"/>
          <w:color w:val="000000" w:themeColor="text1"/>
          <w:sz w:val="20"/>
          <w:szCs w:val="20"/>
          <w:lang w:val="uz-Cyrl-UZ"/>
        </w:rPr>
        <w:t xml:space="preserve">os, el proceso laboral derivado de la demanda por indemnización emergente de enfermedad profesional contra la empresa Cacique Camping S.A, que se tramitó ante el Tribunal del Trabajo No. 3, inició el 30 de junio de 1988 y culminó el 16 de agosto de 2000 </w:t>
      </w:r>
      <w:r w:rsidR="00842326" w:rsidRPr="00AC1C46">
        <w:rPr>
          <w:rFonts w:ascii="Cambria" w:hAnsi="Cambria"/>
          <w:color w:val="000000" w:themeColor="text1"/>
          <w:sz w:val="20"/>
          <w:szCs w:val="20"/>
          <w:lang w:val="uz-Cyrl-UZ"/>
        </w:rPr>
        <w:t>cuando la Suprema Corte de Justicia de la Provincia de Bue</w:t>
      </w:r>
      <w:r w:rsidR="003174BA" w:rsidRPr="00AC1C46">
        <w:rPr>
          <w:rFonts w:ascii="Cambria" w:hAnsi="Cambria"/>
          <w:color w:val="000000" w:themeColor="text1"/>
          <w:sz w:val="20"/>
          <w:szCs w:val="20"/>
          <w:lang w:val="uz-Cyrl-UZ"/>
        </w:rPr>
        <w:t>n</w:t>
      </w:r>
      <w:r w:rsidR="00842326" w:rsidRPr="00AC1C46">
        <w:rPr>
          <w:rFonts w:ascii="Cambria" w:hAnsi="Cambria"/>
          <w:color w:val="000000" w:themeColor="text1"/>
          <w:sz w:val="20"/>
          <w:szCs w:val="20"/>
          <w:lang w:val="uz-Cyrl-UZ"/>
        </w:rPr>
        <w:t xml:space="preserve">os Aires rechazó los recursos interpuestos por el señor Spoltore contra la sentencia de primera instancia que también rechazó su </w:t>
      </w:r>
      <w:r w:rsidR="008E6F6C" w:rsidRPr="00AC1C46">
        <w:rPr>
          <w:rFonts w:ascii="Cambria" w:hAnsi="Cambria"/>
          <w:color w:val="000000" w:themeColor="text1"/>
          <w:sz w:val="20"/>
          <w:szCs w:val="20"/>
          <w:lang w:val="uz-Cyrl-UZ"/>
        </w:rPr>
        <w:t>pretensió</w:t>
      </w:r>
      <w:r w:rsidR="00842326" w:rsidRPr="00AC1C46">
        <w:rPr>
          <w:rFonts w:ascii="Cambria" w:hAnsi="Cambria"/>
          <w:color w:val="000000" w:themeColor="text1"/>
          <w:sz w:val="20"/>
          <w:szCs w:val="20"/>
          <w:lang w:val="uz-Cyrl-UZ"/>
        </w:rPr>
        <w:t xml:space="preserve">n indemnizatoria. </w:t>
      </w:r>
      <w:r w:rsidR="003174BA" w:rsidRPr="00AC1C46">
        <w:rPr>
          <w:rFonts w:ascii="Cambria" w:hAnsi="Cambria"/>
          <w:color w:val="000000" w:themeColor="text1"/>
          <w:sz w:val="20"/>
          <w:szCs w:val="20"/>
          <w:lang w:val="uz-Cyrl-UZ"/>
        </w:rPr>
        <w:t xml:space="preserve">Es decir, el proceso en su integridad tuvo una duración de 12 años, 1 mes y 16 días. </w:t>
      </w:r>
    </w:p>
    <w:p w14:paraId="21341F41" w14:textId="77777777" w:rsidR="002E6BBF" w:rsidRPr="00AC1C46" w:rsidRDefault="002E6BBF" w:rsidP="00AC1C46">
      <w:pPr>
        <w:pStyle w:val="NormalWeb"/>
        <w:tabs>
          <w:tab w:val="left" w:pos="0"/>
        </w:tabs>
        <w:spacing w:before="0" w:beforeAutospacing="0" w:after="0" w:afterAutospacing="0"/>
        <w:jc w:val="both"/>
        <w:rPr>
          <w:rFonts w:ascii="Cambria" w:hAnsi="Cambria"/>
          <w:color w:val="000000" w:themeColor="text1"/>
          <w:sz w:val="20"/>
          <w:szCs w:val="20"/>
          <w:lang w:val="uz-Cyrl-UZ"/>
        </w:rPr>
      </w:pPr>
    </w:p>
    <w:p w14:paraId="679FD428" w14:textId="77777777" w:rsidR="002E6BBF" w:rsidRPr="00AC1C46" w:rsidRDefault="002E6BBF"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A continuación, la CIDH analizará este plazo a la luz de los elementos habitualmente utilizados </w:t>
      </w:r>
      <w:r w:rsidR="00061133" w:rsidRPr="00AC1C46">
        <w:rPr>
          <w:rFonts w:ascii="Cambria" w:hAnsi="Cambria"/>
          <w:color w:val="000000" w:themeColor="text1"/>
          <w:sz w:val="20"/>
          <w:szCs w:val="20"/>
          <w:lang w:val="uz-Cyrl-UZ"/>
        </w:rPr>
        <w:t xml:space="preserve">para efectuar esta determinación así como los estándares relevantes citados en la sección anterior. </w:t>
      </w:r>
    </w:p>
    <w:p w14:paraId="799AF0AC" w14:textId="77777777" w:rsidR="00061133" w:rsidRPr="00AC1C46" w:rsidRDefault="00061133" w:rsidP="00AC1C46">
      <w:pPr>
        <w:pStyle w:val="NormalWeb"/>
        <w:tabs>
          <w:tab w:val="left" w:pos="0"/>
        </w:tabs>
        <w:spacing w:before="0" w:beforeAutospacing="0" w:after="0" w:afterAutospacing="0"/>
        <w:jc w:val="both"/>
        <w:rPr>
          <w:rFonts w:ascii="Cambria" w:hAnsi="Cambria"/>
          <w:color w:val="000000" w:themeColor="text1"/>
          <w:sz w:val="20"/>
          <w:szCs w:val="20"/>
          <w:lang w:val="uz-Cyrl-UZ"/>
        </w:rPr>
      </w:pPr>
    </w:p>
    <w:p w14:paraId="480FF723" w14:textId="77777777" w:rsidR="00743BD6" w:rsidRPr="00AC1C46" w:rsidRDefault="00924DB5" w:rsidP="00AC1C46">
      <w:pPr>
        <w:pStyle w:val="Heading4"/>
        <w:numPr>
          <w:ilvl w:val="1"/>
          <w:numId w:val="25"/>
        </w:numPr>
        <w:spacing w:before="0"/>
        <w:ind w:left="0" w:firstLine="630"/>
        <w:jc w:val="both"/>
        <w:rPr>
          <w:rFonts w:ascii="Cambria" w:hAnsi="Cambria"/>
          <w:b/>
          <w:i w:val="0"/>
          <w:color w:val="auto"/>
          <w:sz w:val="20"/>
          <w:szCs w:val="20"/>
          <w:lang w:val="uz-Cyrl-UZ"/>
        </w:rPr>
      </w:pPr>
      <w:r w:rsidRPr="00AC1C46">
        <w:rPr>
          <w:rFonts w:ascii="Cambria" w:hAnsi="Cambria"/>
          <w:b/>
          <w:i w:val="0"/>
          <w:color w:val="auto"/>
          <w:sz w:val="20"/>
          <w:szCs w:val="20"/>
          <w:lang w:val="uz-Cyrl-UZ"/>
        </w:rPr>
        <w:t xml:space="preserve">Complejidad </w:t>
      </w:r>
      <w:r w:rsidR="00CB2D6C" w:rsidRPr="00AC1C46">
        <w:rPr>
          <w:rFonts w:ascii="Cambria" w:hAnsi="Cambria"/>
          <w:b/>
          <w:i w:val="0"/>
          <w:color w:val="auto"/>
          <w:sz w:val="20"/>
          <w:szCs w:val="20"/>
          <w:lang w:val="uz-Cyrl-UZ"/>
        </w:rPr>
        <w:t>del asunto</w:t>
      </w:r>
    </w:p>
    <w:p w14:paraId="2788CEE9" w14:textId="77777777" w:rsidR="00743BD6" w:rsidRPr="00AC1C46" w:rsidRDefault="00743BD6" w:rsidP="00AC1C46">
      <w:pPr>
        <w:pStyle w:val="NormalWeb"/>
        <w:tabs>
          <w:tab w:val="left" w:pos="0"/>
        </w:tabs>
        <w:spacing w:before="0" w:beforeAutospacing="0" w:after="0" w:afterAutospacing="0"/>
        <w:jc w:val="both"/>
        <w:rPr>
          <w:rFonts w:ascii="Cambria" w:hAnsi="Cambria"/>
          <w:color w:val="000000" w:themeColor="text1"/>
          <w:sz w:val="20"/>
          <w:szCs w:val="20"/>
          <w:lang w:val="uz-Cyrl-UZ"/>
        </w:rPr>
      </w:pPr>
    </w:p>
    <w:p w14:paraId="46768847" w14:textId="77777777" w:rsidR="00601B52" w:rsidRPr="00AC1C46" w:rsidRDefault="00601B52"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En cuanto a la complejidad del asunto, la Comisión observa que efectivamente el Estado </w:t>
      </w:r>
      <w:r w:rsidR="009508AC" w:rsidRPr="00AC1C46">
        <w:rPr>
          <w:rFonts w:ascii="Cambria" w:hAnsi="Cambria"/>
          <w:color w:val="000000" w:themeColor="text1"/>
          <w:sz w:val="20"/>
          <w:szCs w:val="20"/>
          <w:lang w:val="uz-Cyrl-UZ"/>
        </w:rPr>
        <w:t>argentino</w:t>
      </w:r>
      <w:r w:rsidRPr="00AC1C46">
        <w:rPr>
          <w:rFonts w:ascii="Cambria" w:hAnsi="Cambria"/>
          <w:color w:val="000000" w:themeColor="text1"/>
          <w:sz w:val="20"/>
          <w:szCs w:val="20"/>
          <w:lang w:val="uz-Cyrl-UZ"/>
        </w:rPr>
        <w:t xml:space="preserve"> invocó la complejidad para justificar la demora. </w:t>
      </w:r>
      <w:r w:rsidR="00F73F09" w:rsidRPr="00AC1C46">
        <w:rPr>
          <w:rFonts w:ascii="Cambria" w:hAnsi="Cambria"/>
          <w:color w:val="000000" w:themeColor="text1"/>
          <w:sz w:val="20"/>
          <w:szCs w:val="20"/>
          <w:lang w:val="uz-Cyrl-UZ"/>
        </w:rPr>
        <w:t xml:space="preserve">Específicamente </w:t>
      </w:r>
      <w:r w:rsidR="00181085" w:rsidRPr="00AC1C46">
        <w:rPr>
          <w:rFonts w:ascii="Cambria" w:hAnsi="Cambria"/>
          <w:color w:val="000000" w:themeColor="text1"/>
          <w:sz w:val="20"/>
          <w:szCs w:val="20"/>
          <w:lang w:val="uz-Cyrl-UZ"/>
        </w:rPr>
        <w:t xml:space="preserve">el Estado se refirió a la materia de que se trataba el proceso. Asimismo, indicó </w:t>
      </w:r>
      <w:r w:rsidR="00F73F09" w:rsidRPr="00AC1C46">
        <w:rPr>
          <w:rFonts w:ascii="Cambria" w:hAnsi="Cambria"/>
          <w:color w:val="000000" w:themeColor="text1"/>
          <w:sz w:val="20"/>
          <w:szCs w:val="20"/>
          <w:lang w:val="uz-Cyrl-UZ"/>
        </w:rPr>
        <w:t>que en el proceso participaron, además de las partes demandante y demandada, tres compañías aseguradoras citadas en calidad de garantí</w:t>
      </w:r>
      <w:r w:rsidR="005753DF" w:rsidRPr="00AC1C46">
        <w:rPr>
          <w:rFonts w:ascii="Cambria" w:hAnsi="Cambria"/>
          <w:color w:val="000000" w:themeColor="text1"/>
          <w:sz w:val="20"/>
          <w:szCs w:val="20"/>
          <w:lang w:val="uz-Cyrl-UZ"/>
        </w:rPr>
        <w:t xml:space="preserve">a – una de las cuales se </w:t>
      </w:r>
      <w:r w:rsidR="00810DE8" w:rsidRPr="00AC1C46">
        <w:rPr>
          <w:rFonts w:ascii="Cambria" w:hAnsi="Cambria"/>
          <w:color w:val="000000" w:themeColor="text1"/>
          <w:sz w:val="20"/>
          <w:szCs w:val="20"/>
          <w:lang w:val="uz-Cyrl-UZ"/>
        </w:rPr>
        <w:t>declaró</w:t>
      </w:r>
      <w:r w:rsidR="005753DF" w:rsidRPr="00AC1C46">
        <w:rPr>
          <w:rFonts w:ascii="Cambria" w:hAnsi="Cambria"/>
          <w:color w:val="000000" w:themeColor="text1"/>
          <w:sz w:val="20"/>
          <w:szCs w:val="20"/>
          <w:lang w:val="uz-Cyrl-UZ"/>
        </w:rPr>
        <w:t xml:space="preserve"> en concurso </w:t>
      </w:r>
      <w:r w:rsidR="002B62EB" w:rsidRPr="00AC1C46">
        <w:rPr>
          <w:rFonts w:ascii="Cambria" w:hAnsi="Cambria"/>
          <w:color w:val="000000" w:themeColor="text1"/>
          <w:sz w:val="20"/>
          <w:szCs w:val="20"/>
          <w:lang w:val="uz-Cyrl-UZ"/>
        </w:rPr>
        <w:t>preventivo</w:t>
      </w:r>
      <w:r w:rsidR="005753DF" w:rsidRPr="00AC1C46">
        <w:rPr>
          <w:rFonts w:ascii="Cambria" w:hAnsi="Cambria"/>
          <w:color w:val="000000" w:themeColor="text1"/>
          <w:sz w:val="20"/>
          <w:szCs w:val="20"/>
          <w:lang w:val="uz-Cyrl-UZ"/>
        </w:rPr>
        <w:t xml:space="preserve"> –</w:t>
      </w:r>
      <w:r w:rsidR="00C2703E" w:rsidRPr="00AC1C46">
        <w:rPr>
          <w:rFonts w:ascii="Cambria" w:hAnsi="Cambria"/>
          <w:color w:val="000000" w:themeColor="text1"/>
          <w:sz w:val="20"/>
          <w:szCs w:val="20"/>
          <w:lang w:val="uz-Cyrl-UZ"/>
        </w:rPr>
        <w:t xml:space="preserve"> </w:t>
      </w:r>
      <w:r w:rsidR="00F73F09" w:rsidRPr="00AC1C46">
        <w:rPr>
          <w:rFonts w:ascii="Cambria" w:hAnsi="Cambria"/>
          <w:color w:val="000000" w:themeColor="text1"/>
          <w:sz w:val="20"/>
          <w:szCs w:val="20"/>
          <w:lang w:val="uz-Cyrl-UZ"/>
        </w:rPr>
        <w:t>por lo que todas las diligencias debían ponerse en conocimiento de todos los sujetos procesales los cuales, a su vez, podrían in</w:t>
      </w:r>
      <w:r w:rsidR="000034CD" w:rsidRPr="00AC1C46">
        <w:rPr>
          <w:rFonts w:ascii="Cambria" w:hAnsi="Cambria"/>
          <w:color w:val="000000" w:themeColor="text1"/>
          <w:sz w:val="20"/>
          <w:szCs w:val="20"/>
          <w:lang w:val="uz-Cyrl-UZ"/>
        </w:rPr>
        <w:t>terponer excepciones y recursos, lo cual hicieron.</w:t>
      </w:r>
      <w:r w:rsidR="00F73F09" w:rsidRPr="00AC1C46">
        <w:rPr>
          <w:rFonts w:ascii="Cambria" w:hAnsi="Cambria"/>
          <w:color w:val="000000" w:themeColor="text1"/>
          <w:sz w:val="20"/>
          <w:szCs w:val="20"/>
          <w:lang w:val="uz-Cyrl-UZ"/>
        </w:rPr>
        <w:t xml:space="preserve"> </w:t>
      </w:r>
      <w:r w:rsidR="005753DF" w:rsidRPr="00AC1C46">
        <w:rPr>
          <w:rFonts w:ascii="Cambria" w:hAnsi="Cambria"/>
          <w:color w:val="000000" w:themeColor="text1"/>
          <w:sz w:val="20"/>
          <w:szCs w:val="20"/>
          <w:lang w:val="uz-Cyrl-UZ"/>
        </w:rPr>
        <w:t>Agregó el E</w:t>
      </w:r>
      <w:r w:rsidR="006F15CA" w:rsidRPr="00AC1C46">
        <w:rPr>
          <w:rFonts w:ascii="Cambria" w:hAnsi="Cambria"/>
          <w:color w:val="000000" w:themeColor="text1"/>
          <w:sz w:val="20"/>
          <w:szCs w:val="20"/>
          <w:lang w:val="uz-Cyrl-UZ"/>
        </w:rPr>
        <w:t xml:space="preserve">stado que diversas diligencias fueron recurridas, repetidas o encomendadas a oficinas periciales de otra jurisdicción. </w:t>
      </w:r>
      <w:r w:rsidR="009077C9" w:rsidRPr="00AC1C46">
        <w:rPr>
          <w:rFonts w:ascii="Cambria" w:hAnsi="Cambria"/>
          <w:color w:val="000000" w:themeColor="text1"/>
          <w:sz w:val="20"/>
          <w:szCs w:val="20"/>
          <w:lang w:val="uz-Cyrl-UZ"/>
        </w:rPr>
        <w:t xml:space="preserve">La Comisión analizará si el proceso laboral de que trata el presente caso puede considerarse complejo tomando en cuenta los </w:t>
      </w:r>
      <w:r w:rsidR="00067B8B" w:rsidRPr="00AC1C46">
        <w:rPr>
          <w:rFonts w:ascii="Cambria" w:hAnsi="Cambria"/>
          <w:color w:val="000000" w:themeColor="text1"/>
          <w:sz w:val="20"/>
          <w:szCs w:val="20"/>
          <w:lang w:val="uz-Cyrl-UZ"/>
        </w:rPr>
        <w:t xml:space="preserve">elementos que han sido evaluados por el sistema interamericano sobre este extremo. </w:t>
      </w:r>
    </w:p>
    <w:p w14:paraId="4C56D825" w14:textId="77777777" w:rsidR="00FD4734" w:rsidRPr="00AC1C46" w:rsidRDefault="00FD4734" w:rsidP="00AC1C46">
      <w:pPr>
        <w:pStyle w:val="NormalWeb"/>
        <w:tabs>
          <w:tab w:val="left" w:pos="0"/>
        </w:tabs>
        <w:spacing w:before="0" w:beforeAutospacing="0" w:after="0" w:afterAutospacing="0"/>
        <w:jc w:val="both"/>
        <w:rPr>
          <w:rFonts w:ascii="Cambria" w:hAnsi="Cambria"/>
          <w:color w:val="000000" w:themeColor="text1"/>
          <w:sz w:val="20"/>
          <w:szCs w:val="20"/>
          <w:lang w:val="uz-Cyrl-UZ"/>
        </w:rPr>
      </w:pPr>
    </w:p>
    <w:p w14:paraId="3AAEE0CD" w14:textId="77777777" w:rsidR="00BB0EA4" w:rsidRPr="00AC1C46" w:rsidRDefault="00067B8B"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pacing w:val="-2"/>
          <w:sz w:val="20"/>
          <w:szCs w:val="20"/>
          <w:lang w:val="uz-Cyrl-UZ"/>
        </w:rPr>
      </w:pPr>
      <w:r w:rsidRPr="00AC1C46">
        <w:rPr>
          <w:rFonts w:ascii="Cambria" w:hAnsi="Cambria"/>
          <w:color w:val="000000" w:themeColor="text1"/>
          <w:sz w:val="20"/>
          <w:szCs w:val="20"/>
          <w:lang w:val="uz-Cyrl-UZ"/>
        </w:rPr>
        <w:t>L</w:t>
      </w:r>
      <w:r w:rsidR="00D52CB9" w:rsidRPr="00AC1C46">
        <w:rPr>
          <w:rFonts w:ascii="Cambria" w:hAnsi="Cambria"/>
          <w:color w:val="000000" w:themeColor="text1"/>
          <w:sz w:val="20"/>
          <w:szCs w:val="20"/>
          <w:lang w:val="uz-Cyrl-UZ"/>
        </w:rPr>
        <w:t>a Comisión observa</w:t>
      </w:r>
      <w:r w:rsidRPr="00AC1C46">
        <w:rPr>
          <w:rFonts w:ascii="Cambria" w:hAnsi="Cambria"/>
          <w:color w:val="000000" w:themeColor="text1"/>
          <w:sz w:val="20"/>
          <w:szCs w:val="20"/>
          <w:lang w:val="uz-Cyrl-UZ"/>
        </w:rPr>
        <w:t xml:space="preserve"> en </w:t>
      </w:r>
      <w:r w:rsidR="00B0026F" w:rsidRPr="00AC1C46">
        <w:rPr>
          <w:rFonts w:ascii="Cambria" w:hAnsi="Cambria"/>
          <w:color w:val="000000" w:themeColor="text1"/>
          <w:sz w:val="20"/>
          <w:szCs w:val="20"/>
          <w:lang w:val="uz-Cyrl-UZ"/>
        </w:rPr>
        <w:t>primer lugar</w:t>
      </w:r>
      <w:r w:rsidR="00B01B74" w:rsidRPr="00AC1C46">
        <w:rPr>
          <w:rFonts w:ascii="Cambria" w:hAnsi="Cambria"/>
          <w:color w:val="000000" w:themeColor="text1"/>
          <w:sz w:val="20"/>
          <w:szCs w:val="20"/>
          <w:lang w:val="uz-Cyrl-UZ"/>
        </w:rPr>
        <w:t xml:space="preserve"> que en cuanto a la naturaleza del proceso, se trató de un</w:t>
      </w:r>
      <w:r w:rsidR="00D52CB9" w:rsidRPr="00AC1C46">
        <w:rPr>
          <w:rFonts w:ascii="Cambria" w:hAnsi="Cambria"/>
          <w:color w:val="000000" w:themeColor="text1"/>
          <w:sz w:val="20"/>
          <w:szCs w:val="20"/>
          <w:lang w:val="uz-Cyrl-UZ"/>
        </w:rPr>
        <w:t xml:space="preserve"> proceso laboral para determinar si correspondía que la empresa otorgara una indemnización al señor Spoltore. Del expediente no surge que ni en su regulación ni en la práctica, este tipo de procesos tuviera</w:t>
      </w:r>
      <w:r w:rsidR="007E170B" w:rsidRPr="00AC1C46">
        <w:rPr>
          <w:rFonts w:ascii="Cambria" w:hAnsi="Cambria"/>
          <w:color w:val="000000" w:themeColor="text1"/>
          <w:sz w:val="20"/>
          <w:szCs w:val="20"/>
          <w:lang w:val="uz-Cyrl-UZ"/>
        </w:rPr>
        <w:t xml:space="preserve">n alguna complejidad </w:t>
      </w:r>
      <w:r w:rsidR="00396815" w:rsidRPr="00AC1C46">
        <w:rPr>
          <w:rFonts w:ascii="Cambria" w:hAnsi="Cambria"/>
          <w:color w:val="000000" w:themeColor="text1"/>
          <w:sz w:val="20"/>
          <w:szCs w:val="20"/>
          <w:lang w:val="uz-Cyrl-UZ"/>
        </w:rPr>
        <w:t>particular</w:t>
      </w:r>
      <w:r w:rsidR="007E170B" w:rsidRPr="00AC1C46">
        <w:rPr>
          <w:rFonts w:ascii="Cambria" w:hAnsi="Cambria"/>
          <w:color w:val="000000" w:themeColor="text1"/>
          <w:sz w:val="20"/>
          <w:szCs w:val="20"/>
          <w:lang w:val="uz-Cyrl-UZ"/>
        </w:rPr>
        <w:t xml:space="preserve">. </w:t>
      </w:r>
      <w:r w:rsidR="000D4A64" w:rsidRPr="00AC1C46">
        <w:rPr>
          <w:rFonts w:ascii="Cambria" w:hAnsi="Cambria"/>
          <w:color w:val="000000" w:themeColor="text1"/>
          <w:sz w:val="20"/>
          <w:szCs w:val="20"/>
          <w:lang w:val="uz-Cyrl-UZ"/>
        </w:rPr>
        <w:t>Por el contrario, en casos anteriores relacionados con acciones civiles de daños y perjuicios entre particulares en Argentina</w:t>
      </w:r>
      <w:r w:rsidR="00363167" w:rsidRPr="00AC1C46">
        <w:rPr>
          <w:rFonts w:ascii="Cambria" w:hAnsi="Cambria"/>
          <w:color w:val="000000" w:themeColor="text1"/>
          <w:sz w:val="20"/>
          <w:szCs w:val="20"/>
          <w:lang w:val="uz-Cyrl-UZ"/>
        </w:rPr>
        <w:t>, la Corte Interamericana indic</w:t>
      </w:r>
      <w:r w:rsidR="000D4A64" w:rsidRPr="00AC1C46">
        <w:rPr>
          <w:rFonts w:ascii="Cambria" w:hAnsi="Cambria"/>
          <w:color w:val="000000" w:themeColor="text1"/>
          <w:sz w:val="20"/>
          <w:szCs w:val="20"/>
          <w:lang w:val="uz-Cyrl-UZ"/>
        </w:rPr>
        <w:t xml:space="preserve">ó que la naturaleza civil del proceso permite entender que </w:t>
      </w:r>
      <w:r w:rsidR="00BB0EA4" w:rsidRPr="00AC1C46">
        <w:rPr>
          <w:rFonts w:ascii="Cambria" w:hAnsi="Cambria"/>
          <w:color w:val="000000" w:themeColor="text1"/>
          <w:spacing w:val="-2"/>
          <w:sz w:val="20"/>
          <w:szCs w:val="20"/>
          <w:lang w:val="uz-Cyrl-UZ"/>
        </w:rPr>
        <w:t xml:space="preserve">no involucra aspectos o debates jurídicos o probatorios que permitan considerar que el mismo es </w:t>
      </w:r>
      <w:r w:rsidR="00BB0EA4" w:rsidRPr="00AC1C46">
        <w:rPr>
          <w:rFonts w:ascii="Cambria" w:hAnsi="Cambria"/>
          <w:i/>
          <w:iCs/>
          <w:color w:val="000000" w:themeColor="text1"/>
          <w:spacing w:val="-2"/>
          <w:sz w:val="20"/>
          <w:szCs w:val="20"/>
          <w:lang w:val="uz-Cyrl-UZ"/>
        </w:rPr>
        <w:t>per se</w:t>
      </w:r>
      <w:r w:rsidR="00BB0EA4" w:rsidRPr="00AC1C46">
        <w:rPr>
          <w:rFonts w:ascii="Cambria" w:hAnsi="Cambria"/>
          <w:color w:val="000000" w:themeColor="text1"/>
          <w:spacing w:val="-2"/>
          <w:sz w:val="20"/>
          <w:szCs w:val="20"/>
          <w:lang w:val="uz-Cyrl-UZ"/>
        </w:rPr>
        <w:t xml:space="preserve"> complejo</w:t>
      </w:r>
      <w:r w:rsidR="00BB0EA4" w:rsidRPr="00AC1C46">
        <w:rPr>
          <w:rStyle w:val="FootnoteReference"/>
          <w:rFonts w:ascii="Cambria" w:hAnsi="Cambria"/>
          <w:color w:val="000000" w:themeColor="text1"/>
          <w:spacing w:val="-2"/>
          <w:sz w:val="20"/>
          <w:szCs w:val="20"/>
          <w:lang w:val="uz-Cyrl-UZ"/>
        </w:rPr>
        <w:footnoteReference w:id="54"/>
      </w:r>
      <w:r w:rsidR="00BB0EA4" w:rsidRPr="00AC1C46">
        <w:rPr>
          <w:rFonts w:ascii="Cambria" w:hAnsi="Cambria"/>
          <w:color w:val="000000" w:themeColor="text1"/>
          <w:spacing w:val="-2"/>
          <w:sz w:val="20"/>
          <w:szCs w:val="20"/>
          <w:lang w:val="uz-Cyrl-UZ"/>
        </w:rPr>
        <w:t>.</w:t>
      </w:r>
      <w:r w:rsidR="007E170B" w:rsidRPr="00AC1C46">
        <w:rPr>
          <w:rFonts w:ascii="Cambria" w:hAnsi="Cambria"/>
          <w:color w:val="000000" w:themeColor="text1"/>
          <w:spacing w:val="-2"/>
          <w:sz w:val="20"/>
          <w:szCs w:val="20"/>
          <w:lang w:val="uz-Cyrl-UZ"/>
        </w:rPr>
        <w:t xml:space="preserve"> </w:t>
      </w:r>
      <w:r w:rsidR="00FF351F" w:rsidRPr="00AC1C46">
        <w:rPr>
          <w:rFonts w:ascii="Cambria" w:hAnsi="Cambria"/>
          <w:color w:val="000000" w:themeColor="text1"/>
          <w:spacing w:val="-2"/>
          <w:sz w:val="20"/>
          <w:szCs w:val="20"/>
          <w:lang w:val="uz-Cyrl-UZ"/>
        </w:rPr>
        <w:t>El Estado de Argentina tampoco explicó</w:t>
      </w:r>
      <w:r w:rsidR="00284E60" w:rsidRPr="00AC1C46">
        <w:rPr>
          <w:rFonts w:ascii="Cambria" w:hAnsi="Cambria"/>
          <w:color w:val="000000" w:themeColor="text1"/>
          <w:spacing w:val="-2"/>
          <w:sz w:val="20"/>
          <w:szCs w:val="20"/>
          <w:lang w:val="uz-Cyrl-UZ"/>
        </w:rPr>
        <w:t xml:space="preserve"> concretamente cuáles características de un proceso laboral de esta naturaleza lo hacían en sí mismo complejo. </w:t>
      </w:r>
      <w:r w:rsidR="007E170B" w:rsidRPr="00AC1C46">
        <w:rPr>
          <w:rFonts w:ascii="Cambria" w:hAnsi="Cambria"/>
          <w:color w:val="000000" w:themeColor="text1"/>
          <w:spacing w:val="-2"/>
          <w:sz w:val="20"/>
          <w:szCs w:val="20"/>
          <w:lang w:val="uz-Cyrl-UZ"/>
        </w:rPr>
        <w:t xml:space="preserve">En ese sentido, la Comisión considera que de su naturaleza misma no se deriva una complejidad del proceso.  </w:t>
      </w:r>
    </w:p>
    <w:p w14:paraId="61F2FEBF" w14:textId="77777777" w:rsidR="00BB0EA4" w:rsidRPr="00AC1C46" w:rsidRDefault="00BB0EA4" w:rsidP="00AC1C46">
      <w:pPr>
        <w:pStyle w:val="NormalWeb"/>
        <w:tabs>
          <w:tab w:val="left" w:pos="720"/>
        </w:tabs>
        <w:spacing w:before="0" w:beforeAutospacing="0" w:after="0" w:afterAutospacing="0"/>
        <w:rPr>
          <w:rFonts w:ascii="Cambria" w:hAnsi="Cambria"/>
          <w:color w:val="000000" w:themeColor="text1"/>
          <w:spacing w:val="-2"/>
          <w:sz w:val="20"/>
          <w:szCs w:val="20"/>
          <w:lang w:val="uz-Cyrl-UZ"/>
        </w:rPr>
      </w:pPr>
    </w:p>
    <w:p w14:paraId="4223E344" w14:textId="77777777" w:rsidR="009077C9" w:rsidRPr="00AC1C46" w:rsidRDefault="00B01B74"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pacing w:val="-2"/>
          <w:sz w:val="20"/>
          <w:szCs w:val="20"/>
          <w:lang w:val="uz-Cyrl-UZ"/>
        </w:rPr>
      </w:pPr>
      <w:r w:rsidRPr="00AC1C46">
        <w:rPr>
          <w:rFonts w:ascii="Cambria" w:hAnsi="Cambria"/>
          <w:color w:val="000000" w:themeColor="text1"/>
          <w:spacing w:val="-2"/>
          <w:sz w:val="20"/>
          <w:szCs w:val="20"/>
          <w:lang w:val="uz-Cyrl-UZ"/>
        </w:rPr>
        <w:t>En segundo lugar, la Comisión nota que el tiempo transcurrido entre</w:t>
      </w:r>
      <w:r w:rsidR="005C59F0" w:rsidRPr="00AC1C46">
        <w:rPr>
          <w:rFonts w:ascii="Cambria" w:hAnsi="Cambria"/>
          <w:color w:val="000000" w:themeColor="text1"/>
          <w:spacing w:val="-2"/>
          <w:sz w:val="20"/>
          <w:szCs w:val="20"/>
          <w:lang w:val="uz-Cyrl-UZ"/>
        </w:rPr>
        <w:t xml:space="preserve"> los hechos alegados por el señor Spoltore en su demanda y la interposición de la misma, fue razonablemente corto, en tan</w:t>
      </w:r>
      <w:r w:rsidR="000635BE" w:rsidRPr="00AC1C46">
        <w:rPr>
          <w:rFonts w:ascii="Cambria" w:hAnsi="Cambria"/>
          <w:color w:val="000000" w:themeColor="text1"/>
          <w:spacing w:val="-2"/>
          <w:sz w:val="20"/>
          <w:szCs w:val="20"/>
          <w:lang w:val="uz-Cyrl-UZ"/>
        </w:rPr>
        <w:t>to su separación de la empresa s</w:t>
      </w:r>
      <w:r w:rsidR="005C59F0" w:rsidRPr="00AC1C46">
        <w:rPr>
          <w:rFonts w:ascii="Cambria" w:hAnsi="Cambria"/>
          <w:color w:val="000000" w:themeColor="text1"/>
          <w:spacing w:val="-2"/>
          <w:sz w:val="20"/>
          <w:szCs w:val="20"/>
          <w:lang w:val="uz-Cyrl-UZ"/>
        </w:rPr>
        <w:t xml:space="preserve">e dio en </w:t>
      </w:r>
      <w:r w:rsidR="005C59F0" w:rsidRPr="00AC1C46">
        <w:rPr>
          <w:rFonts w:ascii="Cambria" w:hAnsi="Cambria"/>
          <w:color w:val="000000" w:themeColor="text1"/>
          <w:sz w:val="20"/>
          <w:szCs w:val="20"/>
          <w:lang w:val="uz-Cyrl-UZ"/>
        </w:rPr>
        <w:t>1987</w:t>
      </w:r>
      <w:r w:rsidR="005C59F0" w:rsidRPr="00AC1C46">
        <w:rPr>
          <w:rFonts w:ascii="Cambria" w:hAnsi="Cambria"/>
          <w:color w:val="000000" w:themeColor="text1"/>
          <w:spacing w:val="-2"/>
          <w:sz w:val="20"/>
          <w:szCs w:val="20"/>
          <w:lang w:val="uz-Cyrl-UZ"/>
        </w:rPr>
        <w:t xml:space="preserve"> y la interposición de la demanda tuvo lugar en el año </w:t>
      </w:r>
      <w:r w:rsidR="005C59F0" w:rsidRPr="00AC1C46">
        <w:rPr>
          <w:rFonts w:ascii="Cambria" w:hAnsi="Cambria"/>
          <w:color w:val="000000" w:themeColor="text1"/>
          <w:spacing w:val="-2"/>
          <w:sz w:val="20"/>
          <w:szCs w:val="20"/>
          <w:lang w:val="uz-Cyrl-UZ"/>
        </w:rPr>
        <w:lastRenderedPageBreak/>
        <w:t>inmediatamente posterior. Además, no surge del expediente que existiera un contexto particular en el que ocurrieron los hechos que requi</w:t>
      </w:r>
      <w:r w:rsidR="000635BE" w:rsidRPr="00AC1C46">
        <w:rPr>
          <w:rFonts w:ascii="Cambria" w:hAnsi="Cambria"/>
          <w:color w:val="000000" w:themeColor="text1"/>
          <w:spacing w:val="-2"/>
          <w:sz w:val="20"/>
          <w:szCs w:val="20"/>
          <w:lang w:val="uz-Cyrl-UZ"/>
        </w:rPr>
        <w:t>r</w:t>
      </w:r>
      <w:r w:rsidR="005C59F0" w:rsidRPr="00AC1C46">
        <w:rPr>
          <w:rFonts w:ascii="Cambria" w:hAnsi="Cambria"/>
          <w:color w:val="000000" w:themeColor="text1"/>
          <w:spacing w:val="-2"/>
          <w:sz w:val="20"/>
          <w:szCs w:val="20"/>
          <w:lang w:val="uz-Cyrl-UZ"/>
        </w:rPr>
        <w:t xml:space="preserve">iera de determinaciones complejas más allá de la existencia o no de causalidad entre la afectación a la salud del señor Spoltore y sus labores en la empresa. </w:t>
      </w:r>
      <w:r w:rsidR="00193AAF" w:rsidRPr="00AC1C46">
        <w:rPr>
          <w:rFonts w:ascii="Cambria" w:hAnsi="Cambria"/>
          <w:color w:val="000000" w:themeColor="text1"/>
          <w:spacing w:val="-2"/>
          <w:sz w:val="20"/>
          <w:szCs w:val="20"/>
          <w:lang w:val="uz-Cyrl-UZ"/>
        </w:rPr>
        <w:t xml:space="preserve">En ese sentido, del tiempo transcurrido entre los hechos y la demanda, así como del contexto en el cual dichos hechos tuvieron lugar, no se desprende tampoco una complejidad del proceso. </w:t>
      </w:r>
    </w:p>
    <w:p w14:paraId="75D28789" w14:textId="77777777" w:rsidR="009077C9" w:rsidRPr="00AC1C46" w:rsidRDefault="009077C9" w:rsidP="00AC1C46">
      <w:pPr>
        <w:pStyle w:val="NormalWeb"/>
        <w:tabs>
          <w:tab w:val="left" w:pos="720"/>
        </w:tabs>
        <w:spacing w:before="0" w:beforeAutospacing="0" w:after="0" w:afterAutospacing="0"/>
        <w:rPr>
          <w:rFonts w:ascii="Cambria" w:hAnsi="Cambria"/>
          <w:color w:val="000000" w:themeColor="text1"/>
          <w:spacing w:val="-2"/>
          <w:sz w:val="20"/>
          <w:szCs w:val="20"/>
          <w:lang w:val="uz-Cyrl-UZ"/>
        </w:rPr>
      </w:pPr>
    </w:p>
    <w:p w14:paraId="28A678D3" w14:textId="77777777" w:rsidR="00C65296" w:rsidRPr="00AC1C46" w:rsidRDefault="00193AAF"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pacing w:val="-2"/>
          <w:sz w:val="20"/>
          <w:szCs w:val="20"/>
          <w:lang w:val="uz-Cyrl-UZ"/>
        </w:rPr>
      </w:pPr>
      <w:r w:rsidRPr="00AC1C46">
        <w:rPr>
          <w:rFonts w:ascii="Cambria" w:hAnsi="Cambria"/>
          <w:color w:val="000000" w:themeColor="text1"/>
          <w:spacing w:val="-2"/>
          <w:sz w:val="20"/>
          <w:szCs w:val="20"/>
          <w:lang w:val="uz-Cyrl-UZ"/>
        </w:rPr>
        <w:t xml:space="preserve">En tercer lugar y en cuanto a </w:t>
      </w:r>
      <w:r w:rsidR="001D7552" w:rsidRPr="00AC1C46">
        <w:rPr>
          <w:rFonts w:ascii="Cambria" w:hAnsi="Cambria"/>
          <w:color w:val="000000" w:themeColor="text1"/>
          <w:spacing w:val="-2"/>
          <w:sz w:val="20"/>
          <w:szCs w:val="20"/>
          <w:lang w:val="uz-Cyrl-UZ"/>
        </w:rPr>
        <w:t xml:space="preserve">los diversos recursos interpuestos por las partes, la Comisión considera que la interposición de los recursos legalmente previstos en un proceso judicial, no puede constituirse en un factor para argumentar la complejidad de dicho proceso. Frente a la interposición de los recursos </w:t>
      </w:r>
      <w:r w:rsidR="009802A9" w:rsidRPr="00AC1C46">
        <w:rPr>
          <w:rFonts w:ascii="Cambria" w:hAnsi="Cambria"/>
          <w:color w:val="000000" w:themeColor="text1"/>
          <w:spacing w:val="-2"/>
          <w:sz w:val="20"/>
          <w:szCs w:val="20"/>
          <w:lang w:val="uz-Cyrl-UZ"/>
        </w:rPr>
        <w:t xml:space="preserve">legalmente previstos, corresponde a las autoridades judiciales tramitarlos y resolverlos en los términos también legalmente previstos. </w:t>
      </w:r>
      <w:r w:rsidR="00C65296" w:rsidRPr="00AC1C46">
        <w:rPr>
          <w:rFonts w:ascii="Cambria" w:hAnsi="Cambria"/>
          <w:color w:val="000000" w:themeColor="text1"/>
          <w:spacing w:val="-2"/>
          <w:sz w:val="20"/>
          <w:szCs w:val="20"/>
          <w:lang w:val="uz-Cyrl-UZ"/>
        </w:rPr>
        <w:t>La Corte Interamericana ha señalado que aún si en ciertas circunstancias los constantes recursos interpuestos por las partes podrían generar cierta confusión en su tramitación, es el juez, como director del proceso, quien debe asegurar la tramitación correcta de los mismos</w:t>
      </w:r>
      <w:r w:rsidR="00C65296" w:rsidRPr="00AC1C46">
        <w:rPr>
          <w:rStyle w:val="FootnoteReference"/>
          <w:rFonts w:ascii="Cambria" w:hAnsi="Cambria"/>
          <w:color w:val="000000" w:themeColor="text1"/>
          <w:spacing w:val="-2"/>
          <w:sz w:val="20"/>
          <w:szCs w:val="20"/>
          <w:lang w:val="uz-Cyrl-UZ"/>
        </w:rPr>
        <w:footnoteReference w:id="55"/>
      </w:r>
      <w:r w:rsidR="00C65296" w:rsidRPr="00AC1C46">
        <w:rPr>
          <w:rFonts w:ascii="Cambria" w:hAnsi="Cambria"/>
          <w:color w:val="000000" w:themeColor="text1"/>
          <w:spacing w:val="-2"/>
          <w:sz w:val="20"/>
          <w:szCs w:val="20"/>
          <w:lang w:val="uz-Cyrl-UZ"/>
        </w:rPr>
        <w:t>.</w:t>
      </w:r>
    </w:p>
    <w:p w14:paraId="1575F96B" w14:textId="77777777" w:rsidR="00193AAF" w:rsidRPr="00AC1C46" w:rsidRDefault="00193AAF" w:rsidP="00AC1C46">
      <w:pPr>
        <w:pStyle w:val="NormalWeb"/>
        <w:tabs>
          <w:tab w:val="left" w:pos="720"/>
        </w:tabs>
        <w:spacing w:before="0" w:beforeAutospacing="0" w:after="0" w:afterAutospacing="0"/>
        <w:jc w:val="both"/>
        <w:rPr>
          <w:rFonts w:ascii="Cambria" w:hAnsi="Cambria"/>
          <w:color w:val="000000" w:themeColor="text1"/>
          <w:spacing w:val="-2"/>
          <w:sz w:val="20"/>
          <w:szCs w:val="20"/>
          <w:lang w:val="uz-Cyrl-UZ"/>
        </w:rPr>
      </w:pPr>
    </w:p>
    <w:p w14:paraId="69EE2B47" w14:textId="77777777" w:rsidR="009077C9" w:rsidRPr="00AC1C46" w:rsidRDefault="00783B87"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pacing w:val="-2"/>
          <w:sz w:val="20"/>
          <w:szCs w:val="20"/>
          <w:lang w:val="uz-Cyrl-UZ"/>
        </w:rPr>
      </w:pPr>
      <w:r w:rsidRPr="00AC1C46">
        <w:rPr>
          <w:rFonts w:ascii="Cambria" w:hAnsi="Cambria"/>
          <w:color w:val="000000" w:themeColor="text1"/>
          <w:spacing w:val="-2"/>
          <w:sz w:val="20"/>
          <w:szCs w:val="20"/>
          <w:lang w:val="uz-Cyrl-UZ"/>
        </w:rPr>
        <w:t xml:space="preserve">En cuarto lugar y respecto de los sujetos procesales, la Comisión </w:t>
      </w:r>
      <w:r w:rsidR="009077C9" w:rsidRPr="00AC1C46">
        <w:rPr>
          <w:rFonts w:ascii="Cambria" w:hAnsi="Cambria"/>
          <w:color w:val="000000" w:themeColor="text1"/>
          <w:spacing w:val="-2"/>
          <w:sz w:val="20"/>
          <w:szCs w:val="20"/>
          <w:lang w:val="uz-Cyrl-UZ"/>
        </w:rPr>
        <w:t>nota que el proceso laboral involucraba a una única</w:t>
      </w:r>
      <w:r w:rsidR="006F6AE1" w:rsidRPr="00AC1C46">
        <w:rPr>
          <w:rFonts w:ascii="Cambria" w:hAnsi="Cambria"/>
          <w:color w:val="000000" w:themeColor="text1"/>
          <w:spacing w:val="-2"/>
          <w:sz w:val="20"/>
          <w:szCs w:val="20"/>
          <w:lang w:val="uz-Cyrl-UZ"/>
        </w:rPr>
        <w:t xml:space="preserve"> parte demandante que alegaba el</w:t>
      </w:r>
      <w:r w:rsidR="009077C9" w:rsidRPr="00AC1C46">
        <w:rPr>
          <w:rFonts w:ascii="Cambria" w:hAnsi="Cambria"/>
          <w:color w:val="000000" w:themeColor="text1"/>
          <w:spacing w:val="-2"/>
          <w:sz w:val="20"/>
          <w:szCs w:val="20"/>
          <w:lang w:val="uz-Cyrl-UZ"/>
        </w:rPr>
        <w:t xml:space="preserve"> derecho a una indemnización en favor de una única persona. </w:t>
      </w:r>
      <w:r w:rsidR="008C1626" w:rsidRPr="00AC1C46">
        <w:rPr>
          <w:rFonts w:ascii="Cambria" w:hAnsi="Cambria"/>
          <w:color w:val="000000" w:themeColor="text1"/>
          <w:spacing w:val="-2"/>
          <w:sz w:val="20"/>
          <w:szCs w:val="20"/>
          <w:lang w:val="uz-Cyrl-UZ"/>
        </w:rPr>
        <w:t>Ahora bien, uno de los principal</w:t>
      </w:r>
      <w:r w:rsidR="00AD25C9" w:rsidRPr="00AC1C46">
        <w:rPr>
          <w:rFonts w:ascii="Cambria" w:hAnsi="Cambria"/>
          <w:color w:val="000000" w:themeColor="text1"/>
          <w:spacing w:val="-2"/>
          <w:sz w:val="20"/>
          <w:szCs w:val="20"/>
          <w:lang w:val="uz-Cyrl-UZ"/>
        </w:rPr>
        <w:t>e</w:t>
      </w:r>
      <w:r w:rsidR="008C1626" w:rsidRPr="00AC1C46">
        <w:rPr>
          <w:rFonts w:ascii="Cambria" w:hAnsi="Cambria"/>
          <w:color w:val="000000" w:themeColor="text1"/>
          <w:spacing w:val="-2"/>
          <w:sz w:val="20"/>
          <w:szCs w:val="20"/>
          <w:lang w:val="uz-Cyrl-UZ"/>
        </w:rPr>
        <w:t>s argumentos del Estado sobre la complej</w:t>
      </w:r>
      <w:r w:rsidR="00AE6F73" w:rsidRPr="00AC1C46">
        <w:rPr>
          <w:rFonts w:ascii="Cambria" w:hAnsi="Cambria"/>
          <w:color w:val="000000" w:themeColor="text1"/>
          <w:spacing w:val="-2"/>
          <w:sz w:val="20"/>
          <w:szCs w:val="20"/>
          <w:lang w:val="uz-Cyrl-UZ"/>
        </w:rPr>
        <w:t xml:space="preserve">idad, se relaciona con la participación de tres empresas aseguradoras en adición al señor Spoltore y la empresa demandada. </w:t>
      </w:r>
      <w:r w:rsidR="00AD25C9" w:rsidRPr="00AC1C46">
        <w:rPr>
          <w:rFonts w:ascii="Cambria" w:hAnsi="Cambria"/>
          <w:color w:val="000000" w:themeColor="text1"/>
          <w:spacing w:val="-2"/>
          <w:sz w:val="20"/>
          <w:szCs w:val="20"/>
          <w:lang w:val="uz-Cyrl-UZ"/>
        </w:rPr>
        <w:t>Al respecto la Comisión considera que si bien en casos anteriores la Corte Interamericana se ha pronunciado en casos anteriores sobre la existencia de múltiples sujetos procesales como un element</w:t>
      </w:r>
      <w:r w:rsidR="00E02CA9" w:rsidRPr="00AC1C46">
        <w:rPr>
          <w:rFonts w:ascii="Cambria" w:hAnsi="Cambria"/>
          <w:color w:val="000000" w:themeColor="text1"/>
          <w:spacing w:val="-2"/>
          <w:sz w:val="20"/>
          <w:szCs w:val="20"/>
          <w:lang w:val="uz-Cyrl-UZ"/>
        </w:rPr>
        <w:t>o</w:t>
      </w:r>
      <w:r w:rsidR="00AD25C9" w:rsidRPr="00AC1C46">
        <w:rPr>
          <w:rFonts w:ascii="Cambria" w:hAnsi="Cambria"/>
          <w:color w:val="000000" w:themeColor="text1"/>
          <w:spacing w:val="-2"/>
          <w:sz w:val="20"/>
          <w:szCs w:val="20"/>
          <w:lang w:val="uz-Cyrl-UZ"/>
        </w:rPr>
        <w:t xml:space="preserve"> de complejidad, tal determinación tuvo lugar en un proceso penal y respecto de un número muy superior de personas intervinientes. En el presente asunto se trata de tres empresas aseguradoras respecto de las cuales el Estado no demostró que fueran sus actuaciones las causantes de la demora. Por el contrario, el Estado se limitó a invocar en términos genéricos la complejidad debido a la multiplicidad de sujetos procesales, sin explicar la relación de causalidad entre las actuaciones de dichas empresas y las diferentes demoras que tuvieron lugar a lo largo del proceso y que serán analizadas a continuación. </w:t>
      </w:r>
    </w:p>
    <w:p w14:paraId="70FF1F7A" w14:textId="77777777" w:rsidR="00AD25C9" w:rsidRPr="00AC1C46" w:rsidRDefault="00AD25C9" w:rsidP="00AC1C46">
      <w:pPr>
        <w:pStyle w:val="NormalWeb"/>
        <w:tabs>
          <w:tab w:val="left" w:pos="720"/>
        </w:tabs>
        <w:spacing w:before="0" w:beforeAutospacing="0" w:after="0" w:afterAutospacing="0"/>
        <w:jc w:val="both"/>
        <w:rPr>
          <w:rFonts w:ascii="Cambria" w:hAnsi="Cambria"/>
          <w:color w:val="000000" w:themeColor="text1"/>
          <w:spacing w:val="-2"/>
          <w:sz w:val="20"/>
          <w:szCs w:val="20"/>
          <w:lang w:val="uz-Cyrl-UZ"/>
        </w:rPr>
      </w:pPr>
    </w:p>
    <w:p w14:paraId="06677F9D" w14:textId="77777777" w:rsidR="00AD25C9" w:rsidRPr="00AC1C46" w:rsidRDefault="00AB1366"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pacing w:val="-2"/>
          <w:sz w:val="20"/>
          <w:szCs w:val="20"/>
          <w:lang w:val="uz-Cyrl-UZ"/>
        </w:rPr>
      </w:pPr>
      <w:r w:rsidRPr="00AC1C46">
        <w:rPr>
          <w:rFonts w:ascii="Cambria" w:hAnsi="Cambria"/>
          <w:color w:val="000000" w:themeColor="text1"/>
          <w:spacing w:val="-2"/>
          <w:sz w:val="20"/>
          <w:szCs w:val="20"/>
          <w:lang w:val="uz-Cyrl-UZ"/>
        </w:rPr>
        <w:t>En virtud de lo anterior, la Comisión</w:t>
      </w:r>
      <w:r w:rsidR="00C30749" w:rsidRPr="00AC1C46">
        <w:rPr>
          <w:rFonts w:ascii="Cambria" w:hAnsi="Cambria"/>
          <w:color w:val="000000" w:themeColor="text1"/>
          <w:spacing w:val="-2"/>
          <w:sz w:val="20"/>
          <w:szCs w:val="20"/>
          <w:lang w:val="uz-Cyrl-UZ"/>
        </w:rPr>
        <w:t xml:space="preserve"> considera que el Estado no logró demostrar que el proceso laboral interpuesto por el señor Spoltore tuviera una complejidad p</w:t>
      </w:r>
      <w:r w:rsidR="00223725" w:rsidRPr="00AC1C46">
        <w:rPr>
          <w:rFonts w:ascii="Cambria" w:hAnsi="Cambria"/>
          <w:color w:val="000000" w:themeColor="text1"/>
          <w:spacing w:val="-2"/>
          <w:sz w:val="20"/>
          <w:szCs w:val="20"/>
          <w:lang w:val="uz-Cyrl-UZ"/>
        </w:rPr>
        <w:t>articular capaz de justificar l</w:t>
      </w:r>
      <w:r w:rsidR="00C30749" w:rsidRPr="00AC1C46">
        <w:rPr>
          <w:rFonts w:ascii="Cambria" w:hAnsi="Cambria"/>
          <w:color w:val="000000" w:themeColor="text1"/>
          <w:spacing w:val="-2"/>
          <w:sz w:val="20"/>
          <w:szCs w:val="20"/>
          <w:lang w:val="uz-Cyrl-UZ"/>
        </w:rPr>
        <w:t xml:space="preserve">a demora de más de 12 años. </w:t>
      </w:r>
    </w:p>
    <w:p w14:paraId="4B9759EA" w14:textId="77777777" w:rsidR="00C30749" w:rsidRPr="00AC1C46" w:rsidRDefault="00C30749" w:rsidP="00AC1C46">
      <w:pPr>
        <w:pStyle w:val="NormalWeb"/>
        <w:tabs>
          <w:tab w:val="left" w:pos="720"/>
        </w:tabs>
        <w:spacing w:before="0" w:beforeAutospacing="0" w:after="0" w:afterAutospacing="0"/>
        <w:jc w:val="both"/>
        <w:rPr>
          <w:rFonts w:ascii="Cambria" w:hAnsi="Cambria"/>
          <w:color w:val="000000" w:themeColor="text1"/>
          <w:spacing w:val="-2"/>
          <w:sz w:val="20"/>
          <w:szCs w:val="20"/>
          <w:lang w:val="uz-Cyrl-UZ"/>
        </w:rPr>
      </w:pPr>
    </w:p>
    <w:p w14:paraId="08614279" w14:textId="77777777" w:rsidR="00CB2D6C" w:rsidRPr="00AC1C46" w:rsidRDefault="00CB2D6C" w:rsidP="00AC1C46">
      <w:pPr>
        <w:pStyle w:val="Heading4"/>
        <w:numPr>
          <w:ilvl w:val="1"/>
          <w:numId w:val="25"/>
        </w:numPr>
        <w:spacing w:before="0"/>
        <w:ind w:left="0" w:firstLine="630"/>
        <w:jc w:val="both"/>
        <w:rPr>
          <w:rFonts w:ascii="Cambria" w:hAnsi="Cambria"/>
          <w:b/>
          <w:i w:val="0"/>
          <w:color w:val="auto"/>
          <w:sz w:val="20"/>
          <w:szCs w:val="20"/>
          <w:lang w:val="uz-Cyrl-UZ"/>
        </w:rPr>
      </w:pPr>
      <w:r w:rsidRPr="00AC1C46">
        <w:rPr>
          <w:rFonts w:ascii="Cambria" w:hAnsi="Cambria"/>
          <w:b/>
          <w:i w:val="0"/>
          <w:color w:val="auto"/>
          <w:sz w:val="20"/>
          <w:szCs w:val="20"/>
          <w:lang w:val="uz-Cyrl-UZ"/>
        </w:rPr>
        <w:t xml:space="preserve">Conducta de las autoridades </w:t>
      </w:r>
    </w:p>
    <w:p w14:paraId="163FD4FB" w14:textId="77777777" w:rsidR="00CB2D6C" w:rsidRPr="00AC1C46" w:rsidRDefault="00CB2D6C" w:rsidP="00AC1C46">
      <w:pPr>
        <w:pStyle w:val="NormalWeb"/>
        <w:tabs>
          <w:tab w:val="left" w:pos="720"/>
        </w:tabs>
        <w:spacing w:before="0" w:beforeAutospacing="0" w:after="0" w:afterAutospacing="0"/>
        <w:jc w:val="both"/>
        <w:rPr>
          <w:rFonts w:ascii="Cambria" w:hAnsi="Cambria"/>
          <w:color w:val="000000" w:themeColor="text1"/>
          <w:spacing w:val="-2"/>
          <w:sz w:val="20"/>
          <w:szCs w:val="20"/>
          <w:lang w:val="uz-Cyrl-UZ"/>
        </w:rPr>
      </w:pPr>
    </w:p>
    <w:p w14:paraId="29DA5D6D" w14:textId="77777777" w:rsidR="00490C1F" w:rsidRPr="00AC1C46" w:rsidRDefault="00B14B64"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pacing w:val="-2"/>
          <w:sz w:val="20"/>
          <w:szCs w:val="20"/>
          <w:lang w:val="uz-Cyrl-UZ"/>
        </w:rPr>
      </w:pPr>
      <w:r w:rsidRPr="00AC1C46">
        <w:rPr>
          <w:rFonts w:ascii="Cambria" w:hAnsi="Cambria"/>
          <w:color w:val="000000" w:themeColor="text1"/>
          <w:spacing w:val="-2"/>
          <w:sz w:val="20"/>
          <w:szCs w:val="20"/>
          <w:lang w:val="uz-Cyrl-UZ"/>
        </w:rPr>
        <w:t xml:space="preserve">En cuanto al segundo elemento, esto es, la actuación de las autoridades judiciales </w:t>
      </w:r>
      <w:r w:rsidR="00E91D55" w:rsidRPr="00AC1C46">
        <w:rPr>
          <w:rFonts w:ascii="Cambria" w:hAnsi="Cambria"/>
          <w:color w:val="000000" w:themeColor="text1"/>
          <w:sz w:val="20"/>
          <w:szCs w:val="20"/>
          <w:lang w:val="uz-Cyrl-UZ"/>
        </w:rPr>
        <w:t>l</w:t>
      </w:r>
      <w:r w:rsidR="00490C1F" w:rsidRPr="00AC1C46">
        <w:rPr>
          <w:rFonts w:ascii="Cambria" w:hAnsi="Cambria"/>
          <w:color w:val="000000" w:themeColor="text1"/>
          <w:sz w:val="20"/>
          <w:szCs w:val="20"/>
          <w:lang w:val="uz-Cyrl-UZ"/>
        </w:rPr>
        <w:t xml:space="preserve">a Comisión observa en primer lugar que la demanda fue interpuesta el 30 de junio de 1988 y que la empresa demandada contestó la demanda dos meses después y solicitó que se citara en garantía a dos aseguradoras. </w:t>
      </w:r>
      <w:r w:rsidR="002D21C8" w:rsidRPr="00AC1C46">
        <w:rPr>
          <w:rFonts w:ascii="Cambria" w:hAnsi="Cambria"/>
          <w:color w:val="000000" w:themeColor="text1"/>
          <w:sz w:val="20"/>
          <w:szCs w:val="20"/>
          <w:lang w:val="uz-Cyrl-UZ"/>
        </w:rPr>
        <w:t xml:space="preserve">En el sólo proceso de citación de las aseguradoras, </w:t>
      </w:r>
      <w:r w:rsidR="00795B0F" w:rsidRPr="00AC1C46">
        <w:rPr>
          <w:rFonts w:ascii="Cambria" w:hAnsi="Cambria"/>
          <w:color w:val="000000" w:themeColor="text1"/>
          <w:sz w:val="20"/>
          <w:szCs w:val="20"/>
          <w:lang w:val="uz-Cyrl-UZ"/>
        </w:rPr>
        <w:t xml:space="preserve">el Tribunal del Trabajo tardó un año y tres meses, de tal forma que la apertura del periodo de prueba tuvo lugar recién un año y cinco meses después de interpuesta la demanda. </w:t>
      </w:r>
    </w:p>
    <w:p w14:paraId="393EF9F0" w14:textId="77777777" w:rsidR="00526C1C" w:rsidRPr="00AC1C46" w:rsidRDefault="00526C1C" w:rsidP="00AC1C46">
      <w:pPr>
        <w:pStyle w:val="NormalWeb"/>
        <w:tabs>
          <w:tab w:val="left" w:pos="0"/>
        </w:tabs>
        <w:spacing w:before="0" w:beforeAutospacing="0" w:after="0" w:afterAutospacing="0"/>
        <w:jc w:val="both"/>
        <w:rPr>
          <w:rFonts w:ascii="Cambria" w:hAnsi="Cambria"/>
          <w:color w:val="000000" w:themeColor="text1"/>
          <w:sz w:val="20"/>
          <w:szCs w:val="20"/>
          <w:lang w:val="uz-Cyrl-UZ"/>
        </w:rPr>
      </w:pPr>
    </w:p>
    <w:p w14:paraId="40072FC6" w14:textId="77777777" w:rsidR="00526C1C" w:rsidRPr="00AC1C46" w:rsidRDefault="00233078"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w:t>
      </w:r>
      <w:r w:rsidR="00513E8C" w:rsidRPr="00AC1C46">
        <w:rPr>
          <w:rFonts w:ascii="Cambria" w:hAnsi="Cambria"/>
          <w:color w:val="000000" w:themeColor="text1"/>
          <w:sz w:val="20"/>
          <w:szCs w:val="20"/>
          <w:lang w:val="uz-Cyrl-UZ"/>
        </w:rPr>
        <w:t xml:space="preserve">l 1 de diciembre de 1989 se designó a dos peritos, cuyas pericias fueron presentadas recién en abril y </w:t>
      </w:r>
      <w:r w:rsidR="00513E8C" w:rsidRPr="00AC1C46">
        <w:rPr>
          <w:rFonts w:ascii="Cambria" w:hAnsi="Cambria"/>
          <w:color w:val="000000" w:themeColor="text1"/>
          <w:spacing w:val="-2"/>
          <w:sz w:val="20"/>
          <w:szCs w:val="20"/>
          <w:lang w:val="uz-Cyrl-UZ"/>
        </w:rPr>
        <w:t>mayo</w:t>
      </w:r>
      <w:r w:rsidR="00513E8C" w:rsidRPr="00AC1C46">
        <w:rPr>
          <w:rFonts w:ascii="Cambria" w:hAnsi="Cambria"/>
          <w:color w:val="000000" w:themeColor="text1"/>
          <w:sz w:val="20"/>
          <w:szCs w:val="20"/>
          <w:lang w:val="uz-Cyrl-UZ"/>
        </w:rPr>
        <w:t xml:space="preserve"> de 1990</w:t>
      </w:r>
      <w:r w:rsidR="00BB2953" w:rsidRPr="00AC1C46">
        <w:rPr>
          <w:rFonts w:ascii="Cambria" w:hAnsi="Cambria"/>
          <w:color w:val="000000" w:themeColor="text1"/>
          <w:sz w:val="20"/>
          <w:szCs w:val="20"/>
          <w:lang w:val="uz-Cyrl-UZ"/>
        </w:rPr>
        <w:t xml:space="preserve">, es decir cuatro y cinco meses después de solicitadas. El Estado no justificó la demora en la realización de dichas pericias, las cuales no revestían mayor complejidad. </w:t>
      </w:r>
      <w:r w:rsidR="006D309F" w:rsidRPr="00AC1C46">
        <w:rPr>
          <w:rFonts w:ascii="Cambria" w:hAnsi="Cambria"/>
          <w:color w:val="000000" w:themeColor="text1"/>
          <w:sz w:val="20"/>
          <w:szCs w:val="20"/>
          <w:lang w:val="uz-Cyrl-UZ"/>
        </w:rPr>
        <w:t>La información disponible indica que la siguiente actuación probatoria – también relacionada con peritajes - tu</w:t>
      </w:r>
      <w:r w:rsidR="006265FA" w:rsidRPr="00AC1C46">
        <w:rPr>
          <w:rFonts w:ascii="Cambria" w:hAnsi="Cambria"/>
          <w:color w:val="000000" w:themeColor="text1"/>
          <w:sz w:val="20"/>
          <w:szCs w:val="20"/>
          <w:lang w:val="uz-Cyrl-UZ"/>
        </w:rPr>
        <w:t>vo lugar aproximadamente un año</w:t>
      </w:r>
      <w:r w:rsidR="006D309F" w:rsidRPr="00AC1C46">
        <w:rPr>
          <w:rFonts w:ascii="Cambria" w:hAnsi="Cambria"/>
          <w:color w:val="000000" w:themeColor="text1"/>
          <w:sz w:val="20"/>
          <w:szCs w:val="20"/>
          <w:lang w:val="uz-Cyrl-UZ"/>
        </w:rPr>
        <w:t xml:space="preserve"> después, cuando en mayo de 1991 se presentaron al expediente peritajes adicionales. </w:t>
      </w:r>
      <w:r w:rsidR="006265FA" w:rsidRPr="00AC1C46">
        <w:rPr>
          <w:rFonts w:ascii="Cambria" w:hAnsi="Cambria"/>
          <w:color w:val="000000" w:themeColor="text1"/>
          <w:sz w:val="20"/>
          <w:szCs w:val="20"/>
          <w:lang w:val="uz-Cyrl-UZ"/>
        </w:rPr>
        <w:t>Por otra parte, sobre la pericia médica recibida en julio de 1991 y tras una impugnación a la misma, el nuevo informe pericia</w:t>
      </w:r>
      <w:r w:rsidR="00147606" w:rsidRPr="00AC1C46">
        <w:rPr>
          <w:rFonts w:ascii="Cambria" w:hAnsi="Cambria"/>
          <w:color w:val="000000" w:themeColor="text1"/>
          <w:sz w:val="20"/>
          <w:szCs w:val="20"/>
          <w:lang w:val="uz-Cyrl-UZ"/>
        </w:rPr>
        <w:t>l</w:t>
      </w:r>
      <w:r w:rsidR="006265FA" w:rsidRPr="00AC1C46">
        <w:rPr>
          <w:rFonts w:ascii="Cambria" w:hAnsi="Cambria"/>
          <w:color w:val="000000" w:themeColor="text1"/>
          <w:sz w:val="20"/>
          <w:szCs w:val="20"/>
          <w:lang w:val="uz-Cyrl-UZ"/>
        </w:rPr>
        <w:t xml:space="preserve"> fue recibida en septiembre de 1992, esto es, más de un año después. Ocho meses después, en mayo de 1993, se dispuso la realización de una nueva pericia, la cual fue rendida en junio de 1993 disponiéndose en julio del mismo año lib</w:t>
      </w:r>
      <w:r w:rsidR="00830962" w:rsidRPr="00AC1C46">
        <w:rPr>
          <w:rFonts w:ascii="Cambria" w:hAnsi="Cambria"/>
          <w:color w:val="000000" w:themeColor="text1"/>
          <w:sz w:val="20"/>
          <w:szCs w:val="20"/>
          <w:lang w:val="uz-Cyrl-UZ"/>
        </w:rPr>
        <w:t>rar</w:t>
      </w:r>
      <w:r w:rsidR="006265FA" w:rsidRPr="00AC1C46">
        <w:rPr>
          <w:rFonts w:ascii="Cambria" w:hAnsi="Cambria"/>
          <w:color w:val="000000" w:themeColor="text1"/>
          <w:sz w:val="20"/>
          <w:szCs w:val="20"/>
          <w:lang w:val="uz-Cyrl-UZ"/>
        </w:rPr>
        <w:t xml:space="preserve"> las cédulas respectivas </w:t>
      </w:r>
      <w:r w:rsidR="00830962" w:rsidRPr="00AC1C46">
        <w:rPr>
          <w:rFonts w:ascii="Cambria" w:hAnsi="Cambria"/>
          <w:color w:val="000000" w:themeColor="text1"/>
          <w:sz w:val="20"/>
          <w:szCs w:val="20"/>
          <w:lang w:val="uz-Cyrl-UZ"/>
        </w:rPr>
        <w:t>de notificación a las partes. Esta simple diligencia</w:t>
      </w:r>
      <w:r w:rsidR="00147606" w:rsidRPr="00AC1C46">
        <w:rPr>
          <w:rFonts w:ascii="Cambria" w:hAnsi="Cambria"/>
          <w:color w:val="000000" w:themeColor="text1"/>
          <w:sz w:val="20"/>
          <w:szCs w:val="20"/>
          <w:lang w:val="uz-Cyrl-UZ"/>
        </w:rPr>
        <w:t xml:space="preserve"> de notificación</w:t>
      </w:r>
      <w:r w:rsidR="00830962" w:rsidRPr="00AC1C46">
        <w:rPr>
          <w:rFonts w:ascii="Cambria" w:hAnsi="Cambria"/>
          <w:color w:val="000000" w:themeColor="text1"/>
          <w:sz w:val="20"/>
          <w:szCs w:val="20"/>
          <w:lang w:val="uz-Cyrl-UZ"/>
        </w:rPr>
        <w:t xml:space="preserve"> fue ejecutada recién ocho meses después, en marzo de 1994. </w:t>
      </w:r>
      <w:r w:rsidR="00955B28" w:rsidRPr="00AC1C46">
        <w:rPr>
          <w:rFonts w:ascii="Cambria" w:hAnsi="Cambria"/>
          <w:color w:val="000000" w:themeColor="text1"/>
          <w:sz w:val="20"/>
          <w:szCs w:val="20"/>
          <w:lang w:val="uz-Cyrl-UZ"/>
        </w:rPr>
        <w:t>Posteriormente, se dio inicio a l</w:t>
      </w:r>
      <w:r w:rsidR="00C4566B" w:rsidRPr="00AC1C46">
        <w:rPr>
          <w:rFonts w:ascii="Cambria" w:hAnsi="Cambria"/>
          <w:color w:val="000000" w:themeColor="text1"/>
          <w:sz w:val="20"/>
          <w:szCs w:val="20"/>
          <w:lang w:val="uz-Cyrl-UZ"/>
        </w:rPr>
        <w:t>as audiencias de vista de causa en mayo de 1995.</w:t>
      </w:r>
      <w:r w:rsidR="000635BE" w:rsidRPr="00AC1C46">
        <w:rPr>
          <w:rFonts w:ascii="Cambria" w:hAnsi="Cambria"/>
          <w:color w:val="000000" w:themeColor="text1"/>
          <w:sz w:val="20"/>
          <w:szCs w:val="20"/>
          <w:lang w:val="uz-Cyrl-UZ"/>
        </w:rPr>
        <w:t xml:space="preserve"> Es</w:t>
      </w:r>
      <w:r w:rsidR="00955B28" w:rsidRPr="00AC1C46">
        <w:rPr>
          <w:rFonts w:ascii="Cambria" w:hAnsi="Cambria"/>
          <w:color w:val="000000" w:themeColor="text1"/>
          <w:sz w:val="20"/>
          <w:szCs w:val="20"/>
          <w:lang w:val="uz-Cyrl-UZ"/>
        </w:rPr>
        <w:t xml:space="preserve"> decir, que el period</w:t>
      </w:r>
      <w:r w:rsidR="00C4566B" w:rsidRPr="00AC1C46">
        <w:rPr>
          <w:rFonts w:ascii="Cambria" w:hAnsi="Cambria"/>
          <w:color w:val="000000" w:themeColor="text1"/>
          <w:sz w:val="20"/>
          <w:szCs w:val="20"/>
          <w:lang w:val="uz-Cyrl-UZ"/>
        </w:rPr>
        <w:t>o</w:t>
      </w:r>
      <w:r w:rsidR="00955B28" w:rsidRPr="00AC1C46">
        <w:rPr>
          <w:rFonts w:ascii="Cambria" w:hAnsi="Cambria"/>
          <w:color w:val="000000" w:themeColor="text1"/>
          <w:sz w:val="20"/>
          <w:szCs w:val="20"/>
          <w:lang w:val="uz-Cyrl-UZ"/>
        </w:rPr>
        <w:t xml:space="preserve"> </w:t>
      </w:r>
      <w:r w:rsidR="00955B28" w:rsidRPr="00AC1C46">
        <w:rPr>
          <w:rFonts w:ascii="Cambria" w:hAnsi="Cambria"/>
          <w:color w:val="000000" w:themeColor="text1"/>
          <w:sz w:val="20"/>
          <w:szCs w:val="20"/>
          <w:lang w:val="uz-Cyrl-UZ"/>
        </w:rPr>
        <w:lastRenderedPageBreak/>
        <w:t xml:space="preserve">probatorio consistente esencialmente en pericias, tuvo </w:t>
      </w:r>
      <w:r w:rsidR="00C4566B" w:rsidRPr="00AC1C46">
        <w:rPr>
          <w:rFonts w:ascii="Cambria" w:hAnsi="Cambria"/>
          <w:color w:val="000000" w:themeColor="text1"/>
          <w:sz w:val="20"/>
          <w:szCs w:val="20"/>
          <w:lang w:val="uz-Cyrl-UZ"/>
        </w:rPr>
        <w:t xml:space="preserve">una duración de cinco años y cinco meses que, de la información disponible, no se explican por la naturaleza de las pericias ni por la actuación de los sujetos procesales. </w:t>
      </w:r>
    </w:p>
    <w:p w14:paraId="6EC0929F" w14:textId="77777777" w:rsidR="00A3770D" w:rsidRPr="00AC1C46" w:rsidRDefault="00A3770D" w:rsidP="00AC1C46">
      <w:pPr>
        <w:pStyle w:val="NormalWeb"/>
        <w:tabs>
          <w:tab w:val="left" w:pos="0"/>
        </w:tabs>
        <w:spacing w:before="0" w:beforeAutospacing="0" w:after="0" w:afterAutospacing="0"/>
        <w:jc w:val="both"/>
        <w:rPr>
          <w:rFonts w:ascii="Cambria" w:hAnsi="Cambria"/>
          <w:color w:val="000000" w:themeColor="text1"/>
          <w:sz w:val="20"/>
          <w:szCs w:val="20"/>
          <w:lang w:val="uz-Cyrl-UZ"/>
        </w:rPr>
      </w:pPr>
    </w:p>
    <w:p w14:paraId="6CC5D9D7" w14:textId="77777777" w:rsidR="00A3770D" w:rsidRPr="00AC1C46" w:rsidRDefault="00A3770D"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En total se realizaron seis audiencias de vista de causa en un periodo de dos años y un mes adicionales, hasta la </w:t>
      </w:r>
      <w:r w:rsidR="00174AB7" w:rsidRPr="00AC1C46">
        <w:rPr>
          <w:rFonts w:ascii="Cambria" w:hAnsi="Cambria"/>
          <w:color w:val="000000" w:themeColor="text1"/>
          <w:sz w:val="20"/>
          <w:szCs w:val="20"/>
          <w:lang w:val="uz-Cyrl-UZ"/>
        </w:rPr>
        <w:t>emisió</w:t>
      </w:r>
      <w:r w:rsidRPr="00AC1C46">
        <w:rPr>
          <w:rFonts w:ascii="Cambria" w:hAnsi="Cambria"/>
          <w:color w:val="000000" w:themeColor="text1"/>
          <w:sz w:val="20"/>
          <w:szCs w:val="20"/>
          <w:lang w:val="uz-Cyrl-UZ"/>
        </w:rPr>
        <w:t xml:space="preserve">n de la sentencia el 3 de junio de 1997. </w:t>
      </w:r>
      <w:r w:rsidR="00553DF6" w:rsidRPr="00AC1C46">
        <w:rPr>
          <w:rFonts w:ascii="Cambria" w:hAnsi="Cambria"/>
          <w:color w:val="000000" w:themeColor="text1"/>
          <w:sz w:val="20"/>
          <w:szCs w:val="20"/>
          <w:lang w:val="uz-Cyrl-UZ"/>
        </w:rPr>
        <w:t xml:space="preserve">El Estado no ha justificado las razones por las cuales fueron necesarias seis audiencias de vista de causa para efectuar las determinaciones a las que estaba llamado el Tribunal del Trabajo ni a la luz de la evidencia </w:t>
      </w:r>
      <w:r w:rsidR="002360F6" w:rsidRPr="00AC1C46">
        <w:rPr>
          <w:rFonts w:ascii="Cambria" w:hAnsi="Cambria"/>
          <w:color w:val="000000" w:themeColor="text1"/>
          <w:sz w:val="20"/>
          <w:szCs w:val="20"/>
          <w:lang w:val="uz-Cyrl-UZ"/>
        </w:rPr>
        <w:t xml:space="preserve">a ser valorada. Además, si bien el Estado se refirió a las razones de la suspensión de las audiencias para indicar que no todas le fueron imputables, no logró justificar las razones por las cuales tras las suspensiones se fijó nueva fecha para varios meses después, lo que configuró que transcurrieran periodos prolongados entre una audiencia y otra. Así por ejemplo, entre la cuarta y la quinta audiencia transcurrieron cinco meses. </w:t>
      </w:r>
    </w:p>
    <w:p w14:paraId="7D430583" w14:textId="77777777" w:rsidR="00174AB7" w:rsidRPr="00AC1C46" w:rsidRDefault="00174AB7" w:rsidP="00AC1C46">
      <w:pPr>
        <w:pStyle w:val="NormalWeb"/>
        <w:tabs>
          <w:tab w:val="left" w:pos="0"/>
        </w:tabs>
        <w:spacing w:before="0" w:beforeAutospacing="0" w:after="0" w:afterAutospacing="0"/>
        <w:jc w:val="both"/>
        <w:rPr>
          <w:rFonts w:ascii="Cambria" w:hAnsi="Cambria"/>
          <w:color w:val="000000" w:themeColor="text1"/>
          <w:sz w:val="20"/>
          <w:szCs w:val="20"/>
          <w:lang w:val="uz-Cyrl-UZ"/>
        </w:rPr>
      </w:pPr>
    </w:p>
    <w:p w14:paraId="0F376EE6" w14:textId="77777777" w:rsidR="00182DFD" w:rsidRPr="00AC1C46" w:rsidRDefault="00174AB7"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Tras la sentencia</w:t>
      </w:r>
      <w:r w:rsidR="005A7CD2" w:rsidRPr="00AC1C46">
        <w:rPr>
          <w:rFonts w:ascii="Cambria" w:hAnsi="Cambria"/>
          <w:color w:val="000000" w:themeColor="text1"/>
          <w:sz w:val="20"/>
          <w:szCs w:val="20"/>
          <w:lang w:val="uz-Cyrl-UZ"/>
        </w:rPr>
        <w:t xml:space="preserve"> del Tribunal del Trabajo</w:t>
      </w:r>
      <w:r w:rsidRPr="00AC1C46">
        <w:rPr>
          <w:rFonts w:ascii="Cambria" w:hAnsi="Cambria"/>
          <w:color w:val="000000" w:themeColor="text1"/>
          <w:sz w:val="20"/>
          <w:szCs w:val="20"/>
          <w:lang w:val="uz-Cyrl-UZ"/>
        </w:rPr>
        <w:t xml:space="preserve">, el señor Spoltore interpuso recursos extraordinarios de inaplicabilidad de la ley y de nulidad el 2 de septiembre de 1997, los cuales fueron </w:t>
      </w:r>
      <w:r w:rsidR="00FD6A7B" w:rsidRPr="00AC1C46">
        <w:rPr>
          <w:rFonts w:ascii="Cambria" w:hAnsi="Cambria"/>
          <w:color w:val="000000" w:themeColor="text1"/>
          <w:sz w:val="20"/>
          <w:szCs w:val="20"/>
          <w:lang w:val="uz-Cyrl-UZ"/>
        </w:rPr>
        <w:t>resueltos casi tres años después, el 16 de agosto de 200</w:t>
      </w:r>
      <w:r w:rsidR="0015611D" w:rsidRPr="00AC1C46">
        <w:rPr>
          <w:rFonts w:ascii="Cambria" w:hAnsi="Cambria"/>
          <w:color w:val="000000" w:themeColor="text1"/>
          <w:sz w:val="20"/>
          <w:szCs w:val="20"/>
          <w:lang w:val="uz-Cyrl-UZ"/>
        </w:rPr>
        <w:t xml:space="preserve">0. </w:t>
      </w:r>
      <w:r w:rsidR="005A7CD2" w:rsidRPr="00AC1C46">
        <w:rPr>
          <w:rFonts w:ascii="Cambria" w:hAnsi="Cambria"/>
          <w:color w:val="000000" w:themeColor="text1"/>
          <w:sz w:val="20"/>
          <w:szCs w:val="20"/>
          <w:lang w:val="uz-Cyrl-UZ"/>
        </w:rPr>
        <w:t xml:space="preserve">El Estado no aportó una debida explicación sobre las razones de la demora de casi tres años en resolver unos recursos que por su propia naturaleza y tal como indicó la propia Suprema Corte de Justicia de la Provincia de Buenos Aires, </w:t>
      </w:r>
      <w:r w:rsidR="00BC0B45" w:rsidRPr="00AC1C46">
        <w:rPr>
          <w:rFonts w:ascii="Cambria" w:hAnsi="Cambria"/>
          <w:color w:val="000000" w:themeColor="text1"/>
          <w:sz w:val="20"/>
          <w:szCs w:val="20"/>
          <w:lang w:val="uz-Cyrl-UZ"/>
        </w:rPr>
        <w:t>se limitaban a verificar los presupuestos de procedencia, esencialmente de derecho y que, por lo tanto,</w:t>
      </w:r>
      <w:r w:rsidR="00372585" w:rsidRPr="00AC1C46">
        <w:rPr>
          <w:rFonts w:ascii="Cambria" w:hAnsi="Cambria"/>
          <w:color w:val="000000" w:themeColor="text1"/>
          <w:sz w:val="20"/>
          <w:szCs w:val="20"/>
          <w:lang w:val="uz-Cyrl-UZ"/>
        </w:rPr>
        <w:t xml:space="preserve"> </w:t>
      </w:r>
      <w:r w:rsidR="005A7CD2" w:rsidRPr="00AC1C46">
        <w:rPr>
          <w:rFonts w:ascii="Cambria" w:hAnsi="Cambria"/>
          <w:color w:val="000000" w:themeColor="text1"/>
          <w:sz w:val="20"/>
          <w:szCs w:val="20"/>
          <w:lang w:val="uz-Cyrl-UZ"/>
        </w:rPr>
        <w:t xml:space="preserve">no implicaban diligencias probatorias o determinaciones de hecho adicionales. </w:t>
      </w:r>
    </w:p>
    <w:p w14:paraId="5CA62E37" w14:textId="77777777" w:rsidR="005A7CD2" w:rsidRPr="00AC1C46" w:rsidRDefault="005A7CD2" w:rsidP="00AC1C46">
      <w:pPr>
        <w:pStyle w:val="NormalWeb"/>
        <w:tabs>
          <w:tab w:val="left" w:pos="0"/>
        </w:tabs>
        <w:spacing w:before="0" w:beforeAutospacing="0" w:after="0" w:afterAutospacing="0"/>
        <w:jc w:val="both"/>
        <w:rPr>
          <w:rFonts w:ascii="Cambria" w:hAnsi="Cambria"/>
          <w:color w:val="000000" w:themeColor="text1"/>
          <w:sz w:val="20"/>
          <w:szCs w:val="20"/>
          <w:lang w:val="uz-Cyrl-UZ"/>
        </w:rPr>
      </w:pPr>
    </w:p>
    <w:p w14:paraId="6E47EAD0" w14:textId="77777777" w:rsidR="005A7CD2" w:rsidRPr="00AC1C46" w:rsidRDefault="005A7CD2"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De lo anterior resulta que en las </w:t>
      </w:r>
      <w:r w:rsidR="000A158F" w:rsidRPr="00AC1C46">
        <w:rPr>
          <w:rFonts w:ascii="Cambria" w:hAnsi="Cambria"/>
          <w:color w:val="000000" w:themeColor="text1"/>
          <w:sz w:val="20"/>
          <w:szCs w:val="20"/>
          <w:lang w:val="uz-Cyrl-UZ"/>
        </w:rPr>
        <w:t>distintas etapas del proceso –</w:t>
      </w:r>
      <w:r w:rsidRPr="00AC1C46">
        <w:rPr>
          <w:rFonts w:ascii="Cambria" w:hAnsi="Cambria"/>
          <w:color w:val="000000" w:themeColor="text1"/>
          <w:sz w:val="20"/>
          <w:szCs w:val="20"/>
          <w:lang w:val="uz-Cyrl-UZ"/>
        </w:rPr>
        <w:t xml:space="preserve"> la que tuvo lugar entre la interposición de la demanda y la citación a todos los sujetos procesales, la relativa a la práctica de pruebas, la relativa a las audiencias de vista y la relativa a los recur</w:t>
      </w:r>
      <w:r w:rsidR="00633A80" w:rsidRPr="00AC1C46">
        <w:rPr>
          <w:rFonts w:ascii="Cambria" w:hAnsi="Cambria"/>
          <w:color w:val="000000" w:themeColor="text1"/>
          <w:sz w:val="20"/>
          <w:szCs w:val="20"/>
          <w:lang w:val="uz-Cyrl-UZ"/>
        </w:rPr>
        <w:t>s</w:t>
      </w:r>
      <w:r w:rsidRPr="00AC1C46">
        <w:rPr>
          <w:rFonts w:ascii="Cambria" w:hAnsi="Cambria"/>
          <w:color w:val="000000" w:themeColor="text1"/>
          <w:sz w:val="20"/>
          <w:szCs w:val="20"/>
          <w:lang w:val="uz-Cyrl-UZ"/>
        </w:rPr>
        <w:t>os interpuestos contra la sentencia del</w:t>
      </w:r>
      <w:r w:rsidR="000A158F" w:rsidRPr="00AC1C46">
        <w:rPr>
          <w:rFonts w:ascii="Cambria" w:hAnsi="Cambria"/>
          <w:color w:val="000000" w:themeColor="text1"/>
          <w:sz w:val="20"/>
          <w:szCs w:val="20"/>
          <w:lang w:val="uz-Cyrl-UZ"/>
        </w:rPr>
        <w:t xml:space="preserve"> Tribunal del Trabajo – </w:t>
      </w:r>
      <w:r w:rsidR="00114F6A" w:rsidRPr="00AC1C46">
        <w:rPr>
          <w:rFonts w:ascii="Cambria" w:hAnsi="Cambria"/>
          <w:color w:val="000000" w:themeColor="text1"/>
          <w:sz w:val="20"/>
          <w:szCs w:val="20"/>
          <w:lang w:val="uz-Cyrl-UZ"/>
        </w:rPr>
        <w:t>se configuraron mú</w:t>
      </w:r>
      <w:r w:rsidR="000345F4" w:rsidRPr="00AC1C46">
        <w:rPr>
          <w:rFonts w:ascii="Cambria" w:hAnsi="Cambria"/>
          <w:color w:val="000000" w:themeColor="text1"/>
          <w:sz w:val="20"/>
          <w:szCs w:val="20"/>
          <w:lang w:val="uz-Cyrl-UZ"/>
        </w:rPr>
        <w:t xml:space="preserve">ltiples demoras </w:t>
      </w:r>
      <w:r w:rsidR="00114F6A" w:rsidRPr="00AC1C46">
        <w:rPr>
          <w:rFonts w:ascii="Cambria" w:hAnsi="Cambria"/>
          <w:color w:val="000000" w:themeColor="text1"/>
          <w:sz w:val="20"/>
          <w:szCs w:val="20"/>
          <w:lang w:val="uz-Cyrl-UZ"/>
        </w:rPr>
        <w:t>que, al tener</w:t>
      </w:r>
      <w:r w:rsidR="00034885" w:rsidRPr="00AC1C46">
        <w:rPr>
          <w:rFonts w:ascii="Cambria" w:hAnsi="Cambria"/>
          <w:color w:val="000000" w:themeColor="text1"/>
          <w:sz w:val="20"/>
          <w:szCs w:val="20"/>
          <w:lang w:val="uz-Cyrl-UZ"/>
        </w:rPr>
        <w:t xml:space="preserve"> lugar</w:t>
      </w:r>
      <w:r w:rsidR="00114F6A" w:rsidRPr="00AC1C46">
        <w:rPr>
          <w:rFonts w:ascii="Cambria" w:hAnsi="Cambria"/>
          <w:color w:val="000000" w:themeColor="text1"/>
          <w:sz w:val="20"/>
          <w:szCs w:val="20"/>
          <w:lang w:val="uz-Cyrl-UZ"/>
        </w:rPr>
        <w:t xml:space="preserve"> de manera reiterada y al ser analizadas de manera acumulativa, tuvieron como resultado un proceso de una duración excesiva de má</w:t>
      </w:r>
      <w:r w:rsidR="00034885" w:rsidRPr="00AC1C46">
        <w:rPr>
          <w:rFonts w:ascii="Cambria" w:hAnsi="Cambria"/>
          <w:color w:val="000000" w:themeColor="text1"/>
          <w:sz w:val="20"/>
          <w:szCs w:val="20"/>
          <w:lang w:val="uz-Cyrl-UZ"/>
        </w:rPr>
        <w:t xml:space="preserve">s de 12 años. </w:t>
      </w:r>
      <w:r w:rsidR="0057573E" w:rsidRPr="00AC1C46">
        <w:rPr>
          <w:rFonts w:ascii="Cambria" w:hAnsi="Cambria"/>
          <w:color w:val="000000" w:themeColor="text1"/>
          <w:sz w:val="20"/>
          <w:szCs w:val="20"/>
          <w:lang w:val="uz-Cyrl-UZ"/>
        </w:rPr>
        <w:t xml:space="preserve">En el propio proceso disciplinario iniciado por el señor Spoltore se confirman al menos dos de las demoras descritas en esta sección. </w:t>
      </w:r>
      <w:r w:rsidR="00D87C27" w:rsidRPr="00AC1C46">
        <w:rPr>
          <w:rFonts w:ascii="Cambria" w:hAnsi="Cambria"/>
          <w:color w:val="000000" w:themeColor="text1"/>
          <w:sz w:val="20"/>
          <w:szCs w:val="20"/>
          <w:lang w:val="uz-Cyrl-UZ"/>
        </w:rPr>
        <w:t xml:space="preserve">Además de que las autoridades judiciales que conocieron el caso incurrieron en las demoras citadas, la CIDH hace notar que aunque el Estado identificó que algunas demoras no le eran imputables a éste sino a la empresa demandada, no consta en el expediente que ni el Tribunal del Trabajo ni la Suprema Corte de Justicia de la Provincia de Buenos Aires adoptaran medidas específicas para evitar posibles conductas procesales dilatorias. </w:t>
      </w:r>
    </w:p>
    <w:p w14:paraId="580830E9" w14:textId="77777777" w:rsidR="007452DA" w:rsidRPr="00AC1C46" w:rsidRDefault="007452DA" w:rsidP="00AC1C46">
      <w:pPr>
        <w:pStyle w:val="NormalWeb"/>
        <w:tabs>
          <w:tab w:val="left" w:pos="0"/>
        </w:tabs>
        <w:spacing w:before="0" w:beforeAutospacing="0" w:after="0" w:afterAutospacing="0"/>
        <w:jc w:val="both"/>
        <w:rPr>
          <w:rFonts w:ascii="Cambria" w:hAnsi="Cambria"/>
          <w:color w:val="000000" w:themeColor="text1"/>
          <w:sz w:val="20"/>
          <w:szCs w:val="20"/>
          <w:lang w:val="uz-Cyrl-UZ"/>
        </w:rPr>
      </w:pPr>
    </w:p>
    <w:p w14:paraId="4D494485" w14:textId="77777777" w:rsidR="007452DA" w:rsidRPr="00AC1C46" w:rsidRDefault="007452DA"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En consecuencia, la Comisión considera que</w:t>
      </w:r>
      <w:r w:rsidR="00FC2C45" w:rsidRPr="00AC1C46">
        <w:rPr>
          <w:rFonts w:ascii="Cambria" w:hAnsi="Cambria"/>
          <w:color w:val="000000" w:themeColor="text1"/>
          <w:sz w:val="20"/>
          <w:szCs w:val="20"/>
          <w:lang w:val="uz-Cyrl-UZ"/>
        </w:rPr>
        <w:t xml:space="preserve"> de la descripción de</w:t>
      </w:r>
      <w:r w:rsidRPr="00AC1C46">
        <w:rPr>
          <w:rFonts w:ascii="Cambria" w:hAnsi="Cambria"/>
          <w:color w:val="000000" w:themeColor="text1"/>
          <w:sz w:val="20"/>
          <w:szCs w:val="20"/>
          <w:lang w:val="uz-Cyrl-UZ"/>
        </w:rPr>
        <w:t xml:space="preserve"> la actuación de las autoridades judiciales</w:t>
      </w:r>
      <w:r w:rsidR="00FC2C45" w:rsidRPr="00AC1C46">
        <w:rPr>
          <w:rFonts w:ascii="Cambria" w:hAnsi="Cambria"/>
          <w:color w:val="000000" w:themeColor="text1"/>
          <w:sz w:val="20"/>
          <w:szCs w:val="20"/>
          <w:lang w:val="uz-Cyrl-UZ"/>
        </w:rPr>
        <w:t xml:space="preserve">, se desprende que las </w:t>
      </w:r>
      <w:r w:rsidR="00482A35" w:rsidRPr="00AC1C46">
        <w:rPr>
          <w:rFonts w:ascii="Cambria" w:hAnsi="Cambria"/>
          <w:color w:val="000000" w:themeColor="text1"/>
          <w:sz w:val="20"/>
          <w:szCs w:val="20"/>
          <w:lang w:val="uz-Cyrl-UZ"/>
        </w:rPr>
        <w:t>demoras</w:t>
      </w:r>
      <w:r w:rsidR="00FC2C45" w:rsidRPr="00AC1C46">
        <w:rPr>
          <w:rFonts w:ascii="Cambria" w:hAnsi="Cambria"/>
          <w:color w:val="000000" w:themeColor="text1"/>
          <w:sz w:val="20"/>
          <w:szCs w:val="20"/>
          <w:lang w:val="uz-Cyrl-UZ"/>
        </w:rPr>
        <w:t xml:space="preserve"> fueron imputables al Estado y que en las que pudo incidir alguna parte en el proceso, las autoridades judiciales no adoptaron medidas para evitar dicha supuesta conducta procesal, lo que, conforme a los estándares citados, le correspondía en su rol de director del proceso. </w:t>
      </w:r>
    </w:p>
    <w:p w14:paraId="0ED66F0C" w14:textId="77777777" w:rsidR="00955B28" w:rsidRPr="00AC1C46" w:rsidRDefault="00955B28" w:rsidP="00AC1C46">
      <w:pPr>
        <w:pStyle w:val="NormalWeb"/>
        <w:tabs>
          <w:tab w:val="left" w:pos="0"/>
        </w:tabs>
        <w:spacing w:before="0" w:beforeAutospacing="0" w:after="0" w:afterAutospacing="0"/>
        <w:jc w:val="both"/>
        <w:rPr>
          <w:rFonts w:ascii="Cambria" w:hAnsi="Cambria"/>
          <w:color w:val="000000" w:themeColor="text1"/>
          <w:sz w:val="20"/>
          <w:szCs w:val="20"/>
          <w:lang w:val="uz-Cyrl-UZ"/>
        </w:rPr>
      </w:pPr>
    </w:p>
    <w:p w14:paraId="536ED2D6" w14:textId="77777777" w:rsidR="00FC702F" w:rsidRPr="00AC1C46" w:rsidRDefault="00FC702F" w:rsidP="00AC1C46">
      <w:pPr>
        <w:pStyle w:val="Heading4"/>
        <w:numPr>
          <w:ilvl w:val="1"/>
          <w:numId w:val="25"/>
        </w:numPr>
        <w:spacing w:before="0"/>
        <w:ind w:left="0" w:firstLine="630"/>
        <w:jc w:val="both"/>
        <w:rPr>
          <w:rFonts w:ascii="Cambria" w:hAnsi="Cambria"/>
          <w:b/>
          <w:i w:val="0"/>
          <w:color w:val="auto"/>
          <w:sz w:val="20"/>
          <w:szCs w:val="20"/>
          <w:lang w:val="uz-Cyrl-UZ"/>
        </w:rPr>
      </w:pPr>
      <w:r w:rsidRPr="00AC1C46">
        <w:rPr>
          <w:rFonts w:ascii="Cambria" w:hAnsi="Cambria"/>
          <w:b/>
          <w:i w:val="0"/>
          <w:color w:val="auto"/>
          <w:sz w:val="20"/>
          <w:szCs w:val="20"/>
          <w:lang w:val="uz-Cyrl-UZ"/>
        </w:rPr>
        <w:t>Conducta de la parte interesada</w:t>
      </w:r>
    </w:p>
    <w:p w14:paraId="5D9B2D6A" w14:textId="77777777" w:rsidR="00871766" w:rsidRPr="00AC1C46" w:rsidRDefault="00871766" w:rsidP="00AC1C46">
      <w:pPr>
        <w:pStyle w:val="NormalWeb"/>
        <w:tabs>
          <w:tab w:val="left" w:pos="0"/>
        </w:tabs>
        <w:spacing w:before="0" w:beforeAutospacing="0" w:after="0" w:afterAutospacing="0"/>
        <w:jc w:val="both"/>
        <w:rPr>
          <w:rFonts w:ascii="Cambria" w:hAnsi="Cambria"/>
          <w:b/>
          <w:color w:val="000000" w:themeColor="text1"/>
          <w:sz w:val="20"/>
          <w:szCs w:val="20"/>
          <w:lang w:val="uz-Cyrl-UZ"/>
        </w:rPr>
      </w:pPr>
    </w:p>
    <w:p w14:paraId="252A14E6" w14:textId="77777777" w:rsidR="00BD280B" w:rsidRPr="00AC1C46" w:rsidRDefault="00BD280B"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En cuanto a la actuación de la parte interesada, en este caso, el señor Spoltore, el Estado indicó que muchas de las diligencias probatorias fueron solicitadas por él. Agregó que el señor Spolt</w:t>
      </w:r>
      <w:r w:rsidR="007812F5" w:rsidRPr="00AC1C46">
        <w:rPr>
          <w:rFonts w:ascii="Cambria" w:hAnsi="Cambria"/>
          <w:color w:val="000000" w:themeColor="text1"/>
          <w:sz w:val="20"/>
          <w:szCs w:val="20"/>
          <w:lang w:val="uz-Cyrl-UZ"/>
        </w:rPr>
        <w:t>ore incurrió en falta de impulso</w:t>
      </w:r>
      <w:r w:rsidRPr="00AC1C46">
        <w:rPr>
          <w:rFonts w:ascii="Cambria" w:hAnsi="Cambria"/>
          <w:color w:val="000000" w:themeColor="text1"/>
          <w:sz w:val="20"/>
          <w:szCs w:val="20"/>
          <w:lang w:val="uz-Cyrl-UZ"/>
        </w:rPr>
        <w:t xml:space="preserve"> procesal y que pudo haber presentado escritos solicitando que las demoras fueran resueltas. </w:t>
      </w:r>
    </w:p>
    <w:p w14:paraId="5A7089C7" w14:textId="77777777" w:rsidR="00BD280B" w:rsidRPr="00AC1C46" w:rsidRDefault="00BD280B" w:rsidP="00AC1C46">
      <w:pPr>
        <w:pStyle w:val="NormalWeb"/>
        <w:tabs>
          <w:tab w:val="left" w:pos="0"/>
        </w:tabs>
        <w:spacing w:before="0" w:beforeAutospacing="0" w:after="0" w:afterAutospacing="0"/>
        <w:jc w:val="both"/>
        <w:rPr>
          <w:rFonts w:ascii="Cambria" w:hAnsi="Cambria"/>
          <w:color w:val="000000" w:themeColor="text1"/>
          <w:sz w:val="20"/>
          <w:szCs w:val="20"/>
          <w:lang w:val="uz-Cyrl-UZ"/>
        </w:rPr>
      </w:pPr>
    </w:p>
    <w:p w14:paraId="2A628969" w14:textId="77777777" w:rsidR="00BD280B" w:rsidRPr="00AC1C46" w:rsidRDefault="00BD280B"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La Comisión observa que del expediente no surge información alguna que indique que el señor Spoltore incurrió en conductas procesales generadoras de dilación u obstaculización. Por el contrario, como reconoce el Estado, el señor Spoltore solicitó diligencias probatorias en ejercicio de sus derechos como parte demandante para probar el daño respecto del cual solicitaba la indemnización. Tales actuaciones por parte del señor Spoltore no pueden constituirse en justificación de la demora del proceso. Además y a pesar de que corresponde a las autoridades judiciales conducir </w:t>
      </w:r>
      <w:r w:rsidR="00412E27" w:rsidRPr="00AC1C46">
        <w:rPr>
          <w:rFonts w:ascii="Cambria" w:hAnsi="Cambria"/>
          <w:color w:val="000000" w:themeColor="text1"/>
          <w:sz w:val="20"/>
          <w:szCs w:val="20"/>
          <w:lang w:val="uz-Cyrl-UZ"/>
        </w:rPr>
        <w:t>el proceso, el señor Spoltore se</w:t>
      </w:r>
      <w:r w:rsidRPr="00AC1C46">
        <w:rPr>
          <w:rFonts w:ascii="Cambria" w:hAnsi="Cambria"/>
          <w:color w:val="000000" w:themeColor="text1"/>
          <w:sz w:val="20"/>
          <w:szCs w:val="20"/>
          <w:lang w:val="uz-Cyrl-UZ"/>
        </w:rPr>
        <w:t xml:space="preserve"> quejó al menos en una oportunidad de las demoras verificadas. </w:t>
      </w:r>
    </w:p>
    <w:p w14:paraId="213E4D20" w14:textId="77777777" w:rsidR="00BD280B" w:rsidRPr="00AC1C46" w:rsidRDefault="00BD280B" w:rsidP="00AC1C46">
      <w:pPr>
        <w:pStyle w:val="NormalWeb"/>
        <w:tabs>
          <w:tab w:val="left" w:pos="0"/>
        </w:tabs>
        <w:spacing w:before="0" w:beforeAutospacing="0" w:after="0" w:afterAutospacing="0"/>
        <w:jc w:val="both"/>
        <w:rPr>
          <w:rFonts w:ascii="Cambria" w:hAnsi="Cambria"/>
          <w:color w:val="000000" w:themeColor="text1"/>
          <w:sz w:val="20"/>
          <w:szCs w:val="20"/>
          <w:lang w:val="uz-Cyrl-UZ"/>
        </w:rPr>
      </w:pPr>
    </w:p>
    <w:p w14:paraId="6E217F24" w14:textId="77777777" w:rsidR="00871766" w:rsidRPr="00AC1C46" w:rsidRDefault="00BD280B"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lastRenderedPageBreak/>
        <w:t xml:space="preserve">En virtud de lo anterior, no existen elementos que indiquen que la conducta del señor Spoltore tuvo incidencia en la demora del proceso. </w:t>
      </w:r>
    </w:p>
    <w:p w14:paraId="161782F7" w14:textId="77777777" w:rsidR="00871766" w:rsidRPr="00AC1C46" w:rsidRDefault="00871766" w:rsidP="00AC1C46">
      <w:pPr>
        <w:pStyle w:val="NormalWeb"/>
        <w:tabs>
          <w:tab w:val="left" w:pos="0"/>
        </w:tabs>
        <w:spacing w:before="0" w:beforeAutospacing="0" w:after="0" w:afterAutospacing="0"/>
        <w:jc w:val="both"/>
        <w:rPr>
          <w:rFonts w:ascii="Cambria" w:hAnsi="Cambria"/>
          <w:b/>
          <w:color w:val="000000" w:themeColor="text1"/>
          <w:sz w:val="20"/>
          <w:szCs w:val="20"/>
          <w:lang w:val="uz-Cyrl-UZ"/>
        </w:rPr>
      </w:pPr>
    </w:p>
    <w:p w14:paraId="1F07ED03" w14:textId="77777777" w:rsidR="00FC702F" w:rsidRPr="00AC1C46" w:rsidRDefault="00FC702F" w:rsidP="00AC1C46">
      <w:pPr>
        <w:pStyle w:val="Heading4"/>
        <w:numPr>
          <w:ilvl w:val="1"/>
          <w:numId w:val="25"/>
        </w:numPr>
        <w:spacing w:before="0"/>
        <w:ind w:left="0" w:firstLine="630"/>
        <w:jc w:val="both"/>
        <w:rPr>
          <w:rFonts w:ascii="Cambria" w:hAnsi="Cambria"/>
          <w:b/>
          <w:i w:val="0"/>
          <w:color w:val="auto"/>
          <w:sz w:val="20"/>
          <w:lang w:val="uz-Cyrl-UZ"/>
        </w:rPr>
      </w:pPr>
      <w:r w:rsidRPr="00AC1C46">
        <w:rPr>
          <w:rFonts w:ascii="Cambria" w:hAnsi="Cambria"/>
          <w:b/>
          <w:i w:val="0"/>
          <w:color w:val="auto"/>
          <w:sz w:val="20"/>
          <w:lang w:val="uz-Cyrl-UZ"/>
        </w:rPr>
        <w:t>Naturaleza de los intereses en juego</w:t>
      </w:r>
    </w:p>
    <w:p w14:paraId="0E1C572C" w14:textId="77777777" w:rsidR="00FC702F" w:rsidRPr="00AC1C46" w:rsidRDefault="00FC702F" w:rsidP="00AC1C46">
      <w:pPr>
        <w:pStyle w:val="NormalWeb"/>
        <w:tabs>
          <w:tab w:val="left" w:pos="0"/>
        </w:tabs>
        <w:spacing w:before="0" w:beforeAutospacing="0" w:after="0" w:afterAutospacing="0"/>
        <w:jc w:val="both"/>
        <w:rPr>
          <w:rFonts w:ascii="Cambria" w:hAnsi="Cambria"/>
          <w:color w:val="000000" w:themeColor="text1"/>
          <w:sz w:val="20"/>
          <w:szCs w:val="20"/>
          <w:lang w:val="uz-Cyrl-UZ"/>
        </w:rPr>
      </w:pPr>
    </w:p>
    <w:p w14:paraId="7048E69B" w14:textId="77777777" w:rsidR="00BB0EA4" w:rsidRPr="00AC1C46" w:rsidRDefault="00576C94"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La Comisión considera que una demora de más de 12 años en un proceso judicial y en las circunstancias descritas en las secciones anteriores, excede un period</w:t>
      </w:r>
      <w:r w:rsidR="00A404A4" w:rsidRPr="00AC1C46">
        <w:rPr>
          <w:rFonts w:ascii="Cambria" w:hAnsi="Cambria"/>
          <w:color w:val="000000" w:themeColor="text1"/>
          <w:sz w:val="20"/>
          <w:szCs w:val="20"/>
          <w:lang w:val="uz-Cyrl-UZ"/>
        </w:rPr>
        <w:t>o</w:t>
      </w:r>
      <w:r w:rsidRPr="00AC1C46">
        <w:rPr>
          <w:rFonts w:ascii="Cambria" w:hAnsi="Cambria"/>
          <w:color w:val="000000" w:themeColor="text1"/>
          <w:sz w:val="20"/>
          <w:szCs w:val="20"/>
          <w:lang w:val="uz-Cyrl-UZ"/>
        </w:rPr>
        <w:t xml:space="preserve"> que pueda considerarse razonable. Sin perjuicio de lo anterior, la Comisión estima pertinente indicar que en el presente caso la demora se encuentra aún menos justificada tomando en cuenta que conforme a la jurisprudencia citada, estaban presentes al menos dos elementos que </w:t>
      </w:r>
      <w:r w:rsidR="009E1C4B" w:rsidRPr="00AC1C46">
        <w:rPr>
          <w:rFonts w:ascii="Cambria" w:hAnsi="Cambria"/>
          <w:color w:val="000000" w:themeColor="text1"/>
          <w:sz w:val="20"/>
          <w:szCs w:val="20"/>
          <w:lang w:val="uz-Cyrl-UZ"/>
        </w:rPr>
        <w:t>exigían de las autoridades judiciales imprimir una</w:t>
      </w:r>
      <w:r w:rsidR="00485AE2" w:rsidRPr="00AC1C46">
        <w:rPr>
          <w:rFonts w:ascii="Cambria" w:hAnsi="Cambria"/>
          <w:color w:val="000000" w:themeColor="text1"/>
          <w:sz w:val="20"/>
          <w:szCs w:val="20"/>
          <w:lang w:val="uz-Cyrl-UZ"/>
        </w:rPr>
        <w:t xml:space="preserve"> celeridad especial al proceso. Por una parte, se encuentra la situación de discapacidad del señor Spoltore reconocida por las autoridades argentinas al momento de otorgarle su jubilación; y por otra parte</w:t>
      </w:r>
      <w:r w:rsidR="002360A2" w:rsidRPr="00AC1C46">
        <w:rPr>
          <w:rFonts w:ascii="Cambria" w:hAnsi="Cambria"/>
          <w:color w:val="000000" w:themeColor="text1"/>
          <w:sz w:val="20"/>
          <w:szCs w:val="20"/>
          <w:lang w:val="uz-Cyrl-UZ"/>
        </w:rPr>
        <w:t>,</w:t>
      </w:r>
      <w:r w:rsidR="00485AE2" w:rsidRPr="00AC1C46">
        <w:rPr>
          <w:rFonts w:ascii="Cambria" w:hAnsi="Cambria"/>
          <w:color w:val="000000" w:themeColor="text1"/>
          <w:sz w:val="20"/>
          <w:szCs w:val="20"/>
          <w:lang w:val="uz-Cyrl-UZ"/>
        </w:rPr>
        <w:t xml:space="preserve"> se encuentra que se trataba de una reclamación de tipo laboral que por su propia naturaleza requiere de decisiones oportunas. </w:t>
      </w:r>
    </w:p>
    <w:p w14:paraId="37C3CE48" w14:textId="77777777" w:rsidR="00485AE2" w:rsidRPr="00AC1C46" w:rsidRDefault="00485AE2" w:rsidP="00AC1C46">
      <w:pPr>
        <w:pStyle w:val="NormalWeb"/>
        <w:tabs>
          <w:tab w:val="left" w:pos="0"/>
        </w:tabs>
        <w:spacing w:before="0" w:beforeAutospacing="0" w:after="0" w:afterAutospacing="0"/>
        <w:jc w:val="both"/>
        <w:rPr>
          <w:rFonts w:ascii="Cambria" w:hAnsi="Cambria"/>
          <w:color w:val="000000" w:themeColor="text1"/>
          <w:sz w:val="20"/>
          <w:szCs w:val="20"/>
          <w:lang w:val="uz-Cyrl-UZ"/>
        </w:rPr>
      </w:pPr>
    </w:p>
    <w:p w14:paraId="6DCD714D" w14:textId="77777777" w:rsidR="00A837A4" w:rsidRPr="00AC1C46" w:rsidRDefault="00A837A4" w:rsidP="00AC1C46">
      <w:pPr>
        <w:pStyle w:val="Heading4"/>
        <w:numPr>
          <w:ilvl w:val="1"/>
          <w:numId w:val="25"/>
        </w:numPr>
        <w:spacing w:before="0"/>
        <w:ind w:left="0" w:firstLine="630"/>
        <w:jc w:val="both"/>
        <w:rPr>
          <w:rFonts w:ascii="Cambria" w:hAnsi="Cambria"/>
          <w:b/>
          <w:i w:val="0"/>
          <w:color w:val="auto"/>
          <w:sz w:val="20"/>
          <w:lang w:val="uz-Cyrl-UZ"/>
        </w:rPr>
      </w:pPr>
      <w:r w:rsidRPr="00AC1C46">
        <w:rPr>
          <w:rFonts w:ascii="Cambria" w:hAnsi="Cambria"/>
          <w:b/>
          <w:i w:val="0"/>
          <w:color w:val="auto"/>
          <w:sz w:val="20"/>
          <w:lang w:val="uz-Cyrl-UZ"/>
        </w:rPr>
        <w:t xml:space="preserve">Conclusión </w:t>
      </w:r>
    </w:p>
    <w:p w14:paraId="7D808C4F" w14:textId="77777777" w:rsidR="00AC1C46" w:rsidRPr="00AC1C46" w:rsidRDefault="00AC1C46" w:rsidP="00AC1C46">
      <w:pPr>
        <w:rPr>
          <w:rFonts w:ascii="Cambria" w:hAnsi="Cambria"/>
          <w:lang w:val="uz-Cyrl-UZ"/>
        </w:rPr>
      </w:pPr>
    </w:p>
    <w:p w14:paraId="47939DEC" w14:textId="77777777" w:rsidR="005338C7" w:rsidRPr="00AC1C46" w:rsidRDefault="00D80C75"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En virtud de las anteriores consideraciones, la Comisión concluye que el plazo de más de 12 años que tardó el reclamo judicial de indemnización interpuesto por el señor Spoltore en el ámbito laboral, no fue debidamente justificado por el Estado y, por lo tanto, fue excesivo y violatorio de la garantía de plazo razonable. Asimismo, la Co</w:t>
      </w:r>
      <w:r w:rsidR="0016302F" w:rsidRPr="00AC1C46">
        <w:rPr>
          <w:rFonts w:ascii="Cambria" w:hAnsi="Cambria"/>
          <w:color w:val="000000" w:themeColor="text1"/>
          <w:sz w:val="20"/>
          <w:szCs w:val="20"/>
          <w:lang w:val="uz-Cyrl-UZ"/>
        </w:rPr>
        <w:t xml:space="preserve">misión concluye que debido a lo anterior, dicho proceso no constituyó un recurso efectivo para que el señor Spoltore pudiera efectuar un reclamo sobre lo que consideró era su derecho conforme a la legislación interna. </w:t>
      </w:r>
    </w:p>
    <w:p w14:paraId="051E3DE1" w14:textId="77777777" w:rsidR="00424E29" w:rsidRPr="00AC1C46" w:rsidRDefault="00424E29" w:rsidP="00AC1C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olor w:val="000000" w:themeColor="text1"/>
          <w:sz w:val="20"/>
          <w:szCs w:val="20"/>
          <w:lang w:val="uz-Cyrl-UZ"/>
        </w:rPr>
      </w:pPr>
    </w:p>
    <w:p w14:paraId="74389DBA" w14:textId="77777777" w:rsidR="0040439F" w:rsidRPr="00AC1C46" w:rsidRDefault="0040439F" w:rsidP="00AC1C46">
      <w:pPr>
        <w:pStyle w:val="Heading1"/>
        <w:tabs>
          <w:tab w:val="left" w:pos="720"/>
        </w:tabs>
        <w:spacing w:before="0"/>
        <w:ind w:left="0" w:firstLine="630"/>
        <w:jc w:val="both"/>
        <w:rPr>
          <w:rFonts w:ascii="Cambria" w:hAnsi="Cambria"/>
          <w:bCs w:val="0"/>
          <w:iCs/>
          <w:color w:val="auto"/>
          <w:sz w:val="20"/>
          <w:szCs w:val="20"/>
        </w:rPr>
      </w:pPr>
      <w:bookmarkStart w:id="32" w:name="_Toc482275621"/>
      <w:bookmarkStart w:id="33" w:name="_Toc491078739"/>
      <w:bookmarkStart w:id="34" w:name="_Toc346449098"/>
      <w:bookmarkStart w:id="35" w:name="_Toc474398504"/>
      <w:r w:rsidRPr="00AC1C46">
        <w:rPr>
          <w:rFonts w:ascii="Cambria" w:hAnsi="Cambria"/>
          <w:bCs w:val="0"/>
          <w:iCs/>
          <w:color w:val="auto"/>
          <w:sz w:val="20"/>
          <w:szCs w:val="20"/>
        </w:rPr>
        <w:t>CONCLUSIONES</w:t>
      </w:r>
      <w:bookmarkEnd w:id="32"/>
      <w:bookmarkEnd w:id="33"/>
    </w:p>
    <w:p w14:paraId="3B07E33B" w14:textId="77777777" w:rsidR="007413E4" w:rsidRPr="00AC1C46" w:rsidRDefault="007413E4" w:rsidP="00AC1C46">
      <w:pPr>
        <w:rPr>
          <w:rFonts w:ascii="Cambria" w:hAnsi="Cambria"/>
          <w:lang w:val="uz-Cyrl-UZ"/>
        </w:rPr>
      </w:pPr>
    </w:p>
    <w:p w14:paraId="38A50F3F" w14:textId="77777777" w:rsidR="00E76807" w:rsidRPr="00AC1C46" w:rsidRDefault="0040439F"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Con base en las consideraciones de hecho y de derecho expuestas, la Comisión Interamericana concluye que </w:t>
      </w:r>
      <w:r w:rsidR="00E76807" w:rsidRPr="00AC1C46">
        <w:rPr>
          <w:rFonts w:ascii="Cambria" w:hAnsi="Cambria"/>
          <w:color w:val="000000" w:themeColor="text1"/>
          <w:sz w:val="20"/>
          <w:szCs w:val="20"/>
          <w:lang w:val="uz-Cyrl-UZ"/>
        </w:rPr>
        <w:t>el Estado argentino es responsable por la violación de los derechos a las garantías judiciales y protección judicial establecidos en los artículos 8.1 y 25.1 de la Convención Americana, en relación con las obligaciones establecidas en el artículo 1.1 del mismo instrumento, en perjuicio del señor Victorio Spoltore.</w:t>
      </w:r>
    </w:p>
    <w:p w14:paraId="2F46C24C" w14:textId="77777777" w:rsidR="00E76807" w:rsidRPr="00AC1C46" w:rsidRDefault="00E76807" w:rsidP="00AC1C46">
      <w:pPr>
        <w:rPr>
          <w:rFonts w:ascii="Cambria" w:hAnsi="Cambria"/>
          <w:color w:val="000000" w:themeColor="text1"/>
          <w:sz w:val="20"/>
          <w:szCs w:val="20"/>
          <w:lang w:val="uz-Cyrl-UZ"/>
        </w:rPr>
      </w:pPr>
    </w:p>
    <w:p w14:paraId="4898B25A" w14:textId="77777777" w:rsidR="0040439F" w:rsidRPr="00AC1C46" w:rsidRDefault="0040439F" w:rsidP="00AC1C46">
      <w:pPr>
        <w:pStyle w:val="Heading1"/>
        <w:tabs>
          <w:tab w:val="left" w:pos="720"/>
        </w:tabs>
        <w:spacing w:before="0"/>
        <w:ind w:left="0" w:firstLine="630"/>
        <w:jc w:val="both"/>
        <w:rPr>
          <w:rFonts w:ascii="Cambria" w:hAnsi="Cambria"/>
          <w:bCs w:val="0"/>
          <w:iCs/>
          <w:color w:val="auto"/>
          <w:sz w:val="20"/>
          <w:szCs w:val="20"/>
        </w:rPr>
      </w:pPr>
      <w:bookmarkStart w:id="36" w:name="_Toc482275622"/>
      <w:bookmarkStart w:id="37" w:name="_Toc491078740"/>
      <w:r w:rsidRPr="00AC1C46">
        <w:rPr>
          <w:rFonts w:ascii="Cambria" w:hAnsi="Cambria"/>
          <w:bCs w:val="0"/>
          <w:iCs/>
          <w:color w:val="auto"/>
          <w:sz w:val="20"/>
          <w:szCs w:val="20"/>
        </w:rPr>
        <w:t>RECOMENDACIONES</w:t>
      </w:r>
      <w:bookmarkEnd w:id="34"/>
      <w:bookmarkEnd w:id="35"/>
      <w:bookmarkEnd w:id="36"/>
      <w:bookmarkEnd w:id="37"/>
    </w:p>
    <w:p w14:paraId="24FF113F" w14:textId="77777777" w:rsidR="0040439F" w:rsidRPr="00AC1C46" w:rsidRDefault="0040439F" w:rsidP="00AC1C46">
      <w:pPr>
        <w:ind w:left="720"/>
        <w:jc w:val="both"/>
        <w:rPr>
          <w:rFonts w:ascii="Cambria" w:hAnsi="Cambria"/>
          <w:color w:val="000000" w:themeColor="text1"/>
          <w:sz w:val="20"/>
          <w:szCs w:val="20"/>
          <w:lang w:val="uz-Cyrl-UZ"/>
        </w:rPr>
      </w:pPr>
    </w:p>
    <w:p w14:paraId="68455C99" w14:textId="77777777" w:rsidR="0040439F" w:rsidRPr="00AC1C46" w:rsidRDefault="0040439F" w:rsidP="00AC1C4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Cambria" w:eastAsia="Times New Roman" w:hAnsi="Cambria"/>
          <w:color w:val="000000" w:themeColor="text1"/>
          <w:sz w:val="20"/>
          <w:szCs w:val="20"/>
          <w:lang w:val="uz-Cyrl-UZ"/>
        </w:rPr>
      </w:pPr>
      <w:r w:rsidRPr="00AC1C46">
        <w:rPr>
          <w:rFonts w:ascii="Cambria" w:eastAsia="Times New Roman" w:hAnsi="Cambria"/>
          <w:color w:val="000000" w:themeColor="text1"/>
          <w:sz w:val="20"/>
          <w:szCs w:val="20"/>
          <w:lang w:val="uz-Cyrl-UZ"/>
        </w:rPr>
        <w:t xml:space="preserve">En </w:t>
      </w:r>
      <w:r w:rsidRPr="00AC1C46">
        <w:rPr>
          <w:rFonts w:ascii="Cambria" w:hAnsi="Cambria"/>
          <w:color w:val="000000" w:themeColor="text1"/>
          <w:sz w:val="20"/>
          <w:szCs w:val="20"/>
          <w:lang w:val="uz-Cyrl-UZ"/>
        </w:rPr>
        <w:t>virtud</w:t>
      </w:r>
      <w:r w:rsidRPr="00AC1C46">
        <w:rPr>
          <w:rFonts w:ascii="Cambria" w:eastAsia="Times New Roman" w:hAnsi="Cambria"/>
          <w:color w:val="000000" w:themeColor="text1"/>
          <w:sz w:val="20"/>
          <w:szCs w:val="20"/>
          <w:lang w:val="uz-Cyrl-UZ"/>
        </w:rPr>
        <w:t xml:space="preserve"> de las anteriores conclusiones, </w:t>
      </w:r>
    </w:p>
    <w:p w14:paraId="47FE5B0F" w14:textId="77777777" w:rsidR="0040439F" w:rsidRPr="00AC1C46" w:rsidRDefault="0040439F" w:rsidP="00AC1C46">
      <w:pPr>
        <w:ind w:left="720"/>
        <w:jc w:val="both"/>
        <w:rPr>
          <w:rFonts w:ascii="Cambria" w:eastAsia="Times New Roman" w:hAnsi="Cambria"/>
          <w:color w:val="000000" w:themeColor="text1"/>
          <w:sz w:val="20"/>
          <w:szCs w:val="20"/>
          <w:lang w:val="uz-Cyrl-UZ"/>
        </w:rPr>
      </w:pPr>
    </w:p>
    <w:p w14:paraId="03F8237F" w14:textId="77777777" w:rsidR="0040439F" w:rsidRPr="00AC1C46" w:rsidRDefault="0040439F" w:rsidP="00AC1C46">
      <w:pPr>
        <w:jc w:val="center"/>
        <w:rPr>
          <w:rFonts w:ascii="Cambria" w:eastAsia="Times New Roman" w:hAnsi="Cambria"/>
          <w:b/>
          <w:color w:val="000000" w:themeColor="text1"/>
          <w:sz w:val="20"/>
          <w:szCs w:val="20"/>
          <w:lang w:val="uz-Cyrl-UZ"/>
        </w:rPr>
      </w:pPr>
      <w:r w:rsidRPr="00AC1C46">
        <w:rPr>
          <w:rFonts w:ascii="Cambria" w:eastAsia="Times New Roman" w:hAnsi="Cambria"/>
          <w:b/>
          <w:color w:val="000000" w:themeColor="text1"/>
          <w:sz w:val="20"/>
          <w:szCs w:val="20"/>
          <w:lang w:val="uz-Cyrl-UZ"/>
        </w:rPr>
        <w:t>LA COMISIÓN INTERAMERICANA DE DERECHOS HUMANOS</w:t>
      </w:r>
    </w:p>
    <w:p w14:paraId="617678D4" w14:textId="77777777" w:rsidR="0040439F" w:rsidRPr="00AC1C46" w:rsidRDefault="0040439F" w:rsidP="00AC1C46">
      <w:pPr>
        <w:jc w:val="center"/>
        <w:rPr>
          <w:rFonts w:ascii="Cambria" w:eastAsia="Times New Roman" w:hAnsi="Cambria"/>
          <w:color w:val="000000" w:themeColor="text1"/>
          <w:sz w:val="20"/>
          <w:szCs w:val="20"/>
          <w:lang w:val="uz-Cyrl-UZ"/>
        </w:rPr>
      </w:pPr>
      <w:r w:rsidRPr="00AC1C46">
        <w:rPr>
          <w:rFonts w:ascii="Cambria" w:eastAsia="Times New Roman" w:hAnsi="Cambria"/>
          <w:b/>
          <w:color w:val="000000" w:themeColor="text1"/>
          <w:sz w:val="20"/>
          <w:szCs w:val="20"/>
          <w:lang w:val="uz-Cyrl-UZ"/>
        </w:rPr>
        <w:t>RECOMIENDA AL ESTADO DE ARGENTINA,</w:t>
      </w:r>
    </w:p>
    <w:p w14:paraId="190657FA" w14:textId="77777777" w:rsidR="0040439F" w:rsidRPr="00AC1C46" w:rsidRDefault="0040439F" w:rsidP="00AC1C46">
      <w:pPr>
        <w:ind w:right="720"/>
        <w:jc w:val="both"/>
        <w:rPr>
          <w:rFonts w:ascii="Cambria" w:eastAsia="Times New Roman" w:hAnsi="Cambria"/>
          <w:color w:val="000000" w:themeColor="text1"/>
          <w:sz w:val="20"/>
          <w:szCs w:val="20"/>
          <w:lang w:val="uz-Cyrl-UZ"/>
        </w:rPr>
      </w:pPr>
    </w:p>
    <w:p w14:paraId="2369C812" w14:textId="77777777" w:rsidR="0040439F" w:rsidRPr="00AC1C46" w:rsidRDefault="0040439F" w:rsidP="00AC1C46">
      <w:pPr>
        <w:pStyle w:val="BodyTextIndent"/>
        <w:numPr>
          <w:ilvl w:val="0"/>
          <w:numId w:val="21"/>
        </w:numPr>
        <w:ind w:left="0" w:right="720" w:firstLine="720"/>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Reparar integralmente las violaciones de derechos humanos declaradas en el presente informe en contra del señor </w:t>
      </w:r>
      <w:r w:rsidR="00AA153A" w:rsidRPr="00AC1C46">
        <w:rPr>
          <w:rFonts w:ascii="Cambria" w:hAnsi="Cambria"/>
          <w:color w:val="000000" w:themeColor="text1"/>
          <w:sz w:val="20"/>
          <w:szCs w:val="20"/>
          <w:lang w:val="uz-Cyrl-UZ"/>
        </w:rPr>
        <w:t xml:space="preserve">Victorio Spoltore, </w:t>
      </w:r>
      <w:r w:rsidRPr="00AC1C46">
        <w:rPr>
          <w:rFonts w:ascii="Cambria" w:hAnsi="Cambria"/>
          <w:color w:val="000000" w:themeColor="text1"/>
          <w:sz w:val="20"/>
          <w:szCs w:val="20"/>
          <w:lang w:val="uz-Cyrl-UZ"/>
        </w:rPr>
        <w:t xml:space="preserve">tanto en el aspecto material como inmaterial, incluyendo una justa compensación. </w:t>
      </w:r>
    </w:p>
    <w:p w14:paraId="2C2D217F" w14:textId="77777777" w:rsidR="0040439F" w:rsidRPr="00AC1C46" w:rsidRDefault="0040439F" w:rsidP="00AC1C46">
      <w:pPr>
        <w:pStyle w:val="BodyTextIndent"/>
        <w:ind w:left="720" w:right="720" w:firstLine="0"/>
        <w:rPr>
          <w:rFonts w:ascii="Cambria" w:hAnsi="Cambria"/>
          <w:color w:val="000000" w:themeColor="text1"/>
          <w:sz w:val="20"/>
          <w:szCs w:val="20"/>
          <w:lang w:val="uz-Cyrl-UZ"/>
        </w:rPr>
      </w:pPr>
    </w:p>
    <w:p w14:paraId="5A6ADF80" w14:textId="77777777" w:rsidR="0040439F" w:rsidRPr="00AC1C46" w:rsidRDefault="0040439F" w:rsidP="00AC1C46">
      <w:pPr>
        <w:pStyle w:val="BodyTextIndent"/>
        <w:numPr>
          <w:ilvl w:val="0"/>
          <w:numId w:val="21"/>
        </w:numPr>
        <w:ind w:left="0" w:right="720" w:firstLine="720"/>
        <w:rPr>
          <w:rFonts w:ascii="Cambria" w:hAnsi="Cambria"/>
          <w:color w:val="000000" w:themeColor="text1"/>
          <w:sz w:val="20"/>
          <w:szCs w:val="20"/>
          <w:lang w:val="uz-Cyrl-UZ"/>
        </w:rPr>
      </w:pPr>
      <w:r w:rsidRPr="00AC1C46">
        <w:rPr>
          <w:rFonts w:ascii="Cambria" w:hAnsi="Cambria"/>
          <w:color w:val="000000" w:themeColor="text1"/>
          <w:sz w:val="20"/>
          <w:szCs w:val="20"/>
          <w:lang w:val="uz-Cyrl-UZ"/>
        </w:rPr>
        <w:t xml:space="preserve">Adoptar las medidas necesarias para asegurar la no repetición de las violaciones declaradas en el presente informe. En particular, el Estado deberá adoptar las medidas administrativas o de otra índole para asegurar </w:t>
      </w:r>
      <w:r w:rsidR="001A0509" w:rsidRPr="00AC1C46">
        <w:rPr>
          <w:rFonts w:ascii="Cambria" w:hAnsi="Cambria"/>
          <w:color w:val="000000" w:themeColor="text1"/>
          <w:sz w:val="20"/>
          <w:szCs w:val="20"/>
          <w:lang w:val="uz-Cyrl-UZ"/>
        </w:rPr>
        <w:t xml:space="preserve">que los procesos </w:t>
      </w:r>
      <w:r w:rsidR="009C48BE" w:rsidRPr="00AC1C46">
        <w:rPr>
          <w:rFonts w:ascii="Cambria" w:hAnsi="Cambria"/>
          <w:color w:val="000000" w:themeColor="text1"/>
          <w:sz w:val="20"/>
          <w:szCs w:val="20"/>
          <w:lang w:val="uz-Cyrl-UZ"/>
        </w:rPr>
        <w:t xml:space="preserve">judiciales de naturaleza laboral, incluyendo los que incorporen un reclamo indemnizatorio, sean resueltos </w:t>
      </w:r>
      <w:r w:rsidR="00227732" w:rsidRPr="00AC1C46">
        <w:rPr>
          <w:rFonts w:ascii="Cambria" w:hAnsi="Cambria"/>
          <w:color w:val="000000" w:themeColor="text1"/>
          <w:sz w:val="20"/>
          <w:szCs w:val="20"/>
          <w:lang w:val="uz-Cyrl-UZ"/>
        </w:rPr>
        <w:t xml:space="preserve">oportunamente y </w:t>
      </w:r>
      <w:r w:rsidR="009C48BE" w:rsidRPr="00AC1C46">
        <w:rPr>
          <w:rFonts w:ascii="Cambria" w:hAnsi="Cambria"/>
          <w:color w:val="000000" w:themeColor="text1"/>
          <w:sz w:val="20"/>
          <w:szCs w:val="20"/>
          <w:lang w:val="uz-Cyrl-UZ"/>
        </w:rPr>
        <w:t xml:space="preserve">dentro de un plazo razonable conforme a los estándares descritos en el presente informe. </w:t>
      </w:r>
    </w:p>
    <w:p w14:paraId="510D0D96" w14:textId="77777777" w:rsidR="0040439F" w:rsidRPr="00AC1C46" w:rsidRDefault="0040439F" w:rsidP="00AC1C46">
      <w:pPr>
        <w:pStyle w:val="BodyTextIndent"/>
        <w:ind w:left="720" w:right="720" w:firstLine="0"/>
        <w:rPr>
          <w:rFonts w:ascii="Cambria" w:hAnsi="Cambria"/>
          <w:color w:val="000000" w:themeColor="text1"/>
          <w:sz w:val="20"/>
          <w:szCs w:val="20"/>
          <w:lang w:val="uz-Cyrl-UZ"/>
        </w:rPr>
      </w:pPr>
    </w:p>
    <w:p w14:paraId="7CCF1665" w14:textId="77777777" w:rsidR="00335796" w:rsidRDefault="00335796">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olor w:val="000000" w:themeColor="text1"/>
          <w:sz w:val="20"/>
          <w:szCs w:val="20"/>
          <w:lang w:val="uz-Cyrl-UZ"/>
        </w:rPr>
      </w:pPr>
      <w:r>
        <w:rPr>
          <w:rFonts w:ascii="Cambria" w:eastAsia="Times New Roman" w:hAnsi="Cambria"/>
          <w:color w:val="000000" w:themeColor="text1"/>
          <w:sz w:val="20"/>
          <w:szCs w:val="20"/>
          <w:lang w:val="uz-Cyrl-UZ"/>
        </w:rPr>
        <w:br w:type="page"/>
      </w:r>
    </w:p>
    <w:p w14:paraId="2F9B17E7" w14:textId="43905453" w:rsidR="0040439F" w:rsidRDefault="00335796" w:rsidP="00335796">
      <w:pPr>
        <w:ind w:firstLine="720"/>
        <w:jc w:val="both"/>
        <w:rPr>
          <w:rFonts w:ascii="Cambria" w:eastAsia="Times New Roman" w:hAnsi="Cambria"/>
          <w:color w:val="000000" w:themeColor="text1"/>
          <w:sz w:val="20"/>
          <w:szCs w:val="20"/>
          <w:lang w:val="uz-Cyrl-UZ"/>
        </w:rPr>
      </w:pPr>
      <w:r>
        <w:rPr>
          <w:rFonts w:ascii="Cambria" w:eastAsia="Times New Roman" w:hAnsi="Cambria"/>
          <w:color w:val="000000" w:themeColor="text1"/>
          <w:sz w:val="20"/>
          <w:szCs w:val="20"/>
          <w:lang w:val="uz-Cyrl-UZ"/>
        </w:rPr>
        <w:lastRenderedPageBreak/>
        <w:t>Aprobado por la Comisión Intermericana de Derechos Humanos en la ciudad de Lima, Perú, a los 5 días del mes de julio de 2017. (Firmado): Francisco José Eguiguren, Presidente; Margarette May Macauly, Primera Vicepresidenta; Esmeralda E. Arosemena Bernal de Troitiño</w:t>
      </w:r>
      <w:r w:rsidR="0045283D">
        <w:rPr>
          <w:rFonts w:ascii="Cambria" w:eastAsia="Times New Roman" w:hAnsi="Cambria"/>
          <w:color w:val="000000" w:themeColor="text1"/>
          <w:sz w:val="20"/>
          <w:szCs w:val="20"/>
          <w:lang w:val="uz-Cyrl-UZ"/>
        </w:rPr>
        <w:t>, Segunda Vicepresidenta; José de Jesús Or</w:t>
      </w:r>
      <w:r>
        <w:rPr>
          <w:rFonts w:ascii="Cambria" w:eastAsia="Times New Roman" w:hAnsi="Cambria"/>
          <w:color w:val="000000" w:themeColor="text1"/>
          <w:sz w:val="20"/>
          <w:szCs w:val="20"/>
          <w:lang w:val="uz-Cyrl-UZ"/>
        </w:rPr>
        <w:t>ozco Henríq</w:t>
      </w:r>
      <w:r w:rsidR="00E6209A">
        <w:rPr>
          <w:rFonts w:ascii="Cambria" w:eastAsia="Times New Roman" w:hAnsi="Cambria"/>
          <w:color w:val="000000" w:themeColor="text1"/>
          <w:sz w:val="20"/>
          <w:szCs w:val="20"/>
          <w:lang w:val="uz-Cyrl-UZ"/>
        </w:rPr>
        <w:t>uez, Paulo Vannuchi</w:t>
      </w:r>
      <w:r>
        <w:rPr>
          <w:rFonts w:ascii="Cambria" w:eastAsia="Times New Roman" w:hAnsi="Cambria"/>
          <w:color w:val="000000" w:themeColor="text1"/>
          <w:sz w:val="20"/>
          <w:szCs w:val="20"/>
          <w:lang w:val="uz-Cyrl-UZ"/>
        </w:rPr>
        <w:t xml:space="preserve">, Jame L. Cavallaro, y Luis Ernesto Vargas Silva, Miembros de la Comisión. </w:t>
      </w:r>
    </w:p>
    <w:p w14:paraId="6BF0D274" w14:textId="77777777" w:rsidR="00335796" w:rsidRDefault="00335796" w:rsidP="00335796">
      <w:pPr>
        <w:ind w:firstLine="720"/>
        <w:jc w:val="both"/>
        <w:rPr>
          <w:rFonts w:ascii="Cambria" w:eastAsia="Times New Roman" w:hAnsi="Cambria"/>
          <w:color w:val="000000" w:themeColor="text1"/>
          <w:sz w:val="20"/>
          <w:szCs w:val="20"/>
          <w:lang w:val="uz-Cyrl-UZ"/>
        </w:rPr>
      </w:pPr>
    </w:p>
    <w:p w14:paraId="10C6AEAB" w14:textId="77777777" w:rsidR="00335796" w:rsidRDefault="00335796" w:rsidP="00335796">
      <w:pPr>
        <w:ind w:firstLine="720"/>
        <w:jc w:val="both"/>
        <w:rPr>
          <w:rFonts w:ascii="Cambria" w:eastAsia="Times New Roman" w:hAnsi="Cambria"/>
          <w:color w:val="000000" w:themeColor="text1"/>
          <w:sz w:val="20"/>
          <w:szCs w:val="20"/>
          <w:lang w:val="uz-Cyrl-UZ"/>
        </w:rPr>
      </w:pPr>
      <w:r>
        <w:rPr>
          <w:rFonts w:ascii="Cambria" w:eastAsia="Times New Roman" w:hAnsi="Cambria"/>
          <w:color w:val="000000" w:themeColor="text1"/>
          <w:sz w:val="20"/>
          <w:szCs w:val="20"/>
          <w:lang w:val="uz-Cyrl-UZ"/>
        </w:rPr>
        <w:t xml:space="preserve">La que suscribe, María Claudio Pulido, en su carácter de Secreataria Ejecutiva Adjunta de la Comisión Interamericana de Derechos Humanos, de conformidad con el artículo 49 del Reglamento de la Comisión, certifica que es copia fiel del original depositado en los archivos de la Secretaría de la CIDH. </w:t>
      </w:r>
    </w:p>
    <w:p w14:paraId="312799C8" w14:textId="77777777" w:rsidR="00335796" w:rsidRDefault="00335796" w:rsidP="00335796">
      <w:pPr>
        <w:jc w:val="both"/>
        <w:rPr>
          <w:rFonts w:ascii="Cambria" w:eastAsia="Times New Roman" w:hAnsi="Cambria"/>
          <w:color w:val="000000" w:themeColor="text1"/>
          <w:sz w:val="20"/>
          <w:szCs w:val="20"/>
          <w:lang w:val="uz-Cyrl-UZ"/>
        </w:rPr>
      </w:pPr>
    </w:p>
    <w:p w14:paraId="57436852" w14:textId="77777777" w:rsidR="00335796" w:rsidRDefault="00335796" w:rsidP="00335796">
      <w:pPr>
        <w:jc w:val="both"/>
        <w:rPr>
          <w:rFonts w:ascii="Cambria" w:eastAsia="Times New Roman" w:hAnsi="Cambria"/>
          <w:color w:val="000000" w:themeColor="text1"/>
          <w:sz w:val="20"/>
          <w:szCs w:val="20"/>
          <w:lang w:val="uz-Cyrl-UZ"/>
        </w:rPr>
      </w:pPr>
    </w:p>
    <w:p w14:paraId="5005E363" w14:textId="77777777" w:rsidR="00335796" w:rsidRDefault="00335796" w:rsidP="00335796">
      <w:pPr>
        <w:jc w:val="center"/>
        <w:rPr>
          <w:rFonts w:ascii="Cambria" w:eastAsia="Times New Roman" w:hAnsi="Cambria"/>
          <w:color w:val="000000" w:themeColor="text1"/>
          <w:sz w:val="20"/>
          <w:szCs w:val="20"/>
          <w:lang w:val="uz-Cyrl-UZ"/>
        </w:rPr>
      </w:pPr>
    </w:p>
    <w:p w14:paraId="0CF11F64" w14:textId="77777777" w:rsidR="00335796" w:rsidRDefault="00335796" w:rsidP="00335796">
      <w:pPr>
        <w:jc w:val="center"/>
        <w:rPr>
          <w:rFonts w:ascii="Cambria" w:eastAsia="Times New Roman" w:hAnsi="Cambria"/>
          <w:color w:val="000000" w:themeColor="text1"/>
          <w:sz w:val="20"/>
          <w:szCs w:val="20"/>
          <w:lang w:val="uz-Cyrl-UZ"/>
        </w:rPr>
      </w:pPr>
      <w:r>
        <w:rPr>
          <w:rFonts w:ascii="Cambria" w:eastAsia="Times New Roman" w:hAnsi="Cambria"/>
          <w:color w:val="000000" w:themeColor="text1"/>
          <w:sz w:val="20"/>
          <w:szCs w:val="20"/>
          <w:lang w:val="uz-Cyrl-UZ"/>
        </w:rPr>
        <w:t>(Firmado)</w:t>
      </w:r>
    </w:p>
    <w:p w14:paraId="194DEB50" w14:textId="77777777" w:rsidR="00335796" w:rsidRDefault="00335796" w:rsidP="00335796">
      <w:pPr>
        <w:jc w:val="center"/>
        <w:rPr>
          <w:rFonts w:ascii="Cambria" w:eastAsia="Times New Roman" w:hAnsi="Cambria"/>
          <w:color w:val="000000" w:themeColor="text1"/>
          <w:sz w:val="20"/>
          <w:szCs w:val="20"/>
          <w:lang w:val="uz-Cyrl-UZ"/>
        </w:rPr>
      </w:pPr>
      <w:r>
        <w:rPr>
          <w:rFonts w:ascii="Cambria" w:eastAsia="Times New Roman" w:hAnsi="Cambria"/>
          <w:color w:val="000000" w:themeColor="text1"/>
          <w:sz w:val="20"/>
          <w:szCs w:val="20"/>
          <w:lang w:val="uz-Cyrl-UZ"/>
        </w:rPr>
        <w:t>María Claudia Pulido</w:t>
      </w:r>
    </w:p>
    <w:p w14:paraId="5D492770" w14:textId="77777777" w:rsidR="00335796" w:rsidRPr="00AC1C46" w:rsidRDefault="00335796" w:rsidP="00335796">
      <w:pPr>
        <w:jc w:val="center"/>
        <w:rPr>
          <w:rFonts w:ascii="Cambria" w:eastAsia="Times New Roman" w:hAnsi="Cambria"/>
          <w:color w:val="000000" w:themeColor="text1"/>
          <w:sz w:val="20"/>
          <w:szCs w:val="20"/>
          <w:lang w:val="uz-Cyrl-UZ"/>
        </w:rPr>
      </w:pPr>
      <w:r>
        <w:rPr>
          <w:rFonts w:ascii="Cambria" w:eastAsia="Times New Roman" w:hAnsi="Cambria"/>
          <w:color w:val="000000" w:themeColor="text1"/>
          <w:sz w:val="20"/>
          <w:szCs w:val="20"/>
          <w:lang w:val="uz-Cyrl-UZ"/>
        </w:rPr>
        <w:t>Secrataria Ejecutiva Adjunta</w:t>
      </w:r>
    </w:p>
    <w:p w14:paraId="5A7AE98C" w14:textId="77777777" w:rsidR="0040439F" w:rsidRPr="00AC1C46" w:rsidRDefault="0040439F" w:rsidP="00AC1C46">
      <w:pPr>
        <w:pStyle w:val="NormalWeb"/>
        <w:tabs>
          <w:tab w:val="left" w:pos="720"/>
        </w:tabs>
        <w:spacing w:before="0" w:beforeAutospacing="0" w:after="0" w:afterAutospacing="0"/>
        <w:rPr>
          <w:rFonts w:ascii="Cambria" w:hAnsi="Cambria"/>
          <w:color w:val="000000" w:themeColor="text1"/>
          <w:sz w:val="20"/>
          <w:szCs w:val="20"/>
          <w:lang w:val="uz-Cyrl-UZ"/>
        </w:rPr>
      </w:pPr>
    </w:p>
    <w:p w14:paraId="385E9559" w14:textId="77777777" w:rsidR="00D80C75" w:rsidRPr="00AC1C46" w:rsidRDefault="00D80C75" w:rsidP="00AC1C46">
      <w:pPr>
        <w:pStyle w:val="NormalWeb"/>
        <w:tabs>
          <w:tab w:val="left" w:pos="720"/>
        </w:tabs>
        <w:spacing w:before="0" w:beforeAutospacing="0" w:after="0" w:afterAutospacing="0"/>
        <w:rPr>
          <w:rFonts w:ascii="Cambria" w:hAnsi="Cambria"/>
          <w:color w:val="000000" w:themeColor="text1"/>
          <w:sz w:val="20"/>
          <w:szCs w:val="20"/>
          <w:lang w:val="uz-Cyrl-UZ"/>
        </w:rPr>
      </w:pPr>
    </w:p>
    <w:p w14:paraId="1F9449FB" w14:textId="77777777" w:rsidR="00C80AF4" w:rsidRPr="00AC1C46" w:rsidRDefault="00C80AF4" w:rsidP="00AC1C46">
      <w:pPr>
        <w:tabs>
          <w:tab w:val="left" w:pos="720"/>
        </w:tabs>
        <w:ind w:firstLine="630"/>
        <w:rPr>
          <w:rFonts w:ascii="Cambria" w:eastAsiaTheme="minorHAnsi" w:hAnsi="Cambria" w:cstheme="minorBidi"/>
          <w:color w:val="000000" w:themeColor="text1"/>
          <w:sz w:val="20"/>
          <w:szCs w:val="20"/>
          <w:bdr w:val="none" w:sz="0" w:space="0" w:color="auto"/>
          <w:lang w:val="uz-Cyrl-UZ"/>
        </w:rPr>
      </w:pPr>
    </w:p>
    <w:sectPr w:rsidR="00C80AF4" w:rsidRPr="00AC1C46" w:rsidSect="004530A0">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E08E0" w14:textId="77777777" w:rsidR="00E6209A" w:rsidRDefault="00E6209A" w:rsidP="00D12D33">
      <w:r>
        <w:separator/>
      </w:r>
    </w:p>
  </w:endnote>
  <w:endnote w:type="continuationSeparator" w:id="0">
    <w:p w14:paraId="2046A8B0" w14:textId="77777777" w:rsidR="00E6209A" w:rsidRDefault="00E6209A" w:rsidP="00D1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Yu Mincho">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294112"/>
      <w:docPartObj>
        <w:docPartGallery w:val="Page Numbers (Bottom of Page)"/>
        <w:docPartUnique/>
      </w:docPartObj>
    </w:sdtPr>
    <w:sdtEndPr>
      <w:rPr>
        <w:noProof/>
        <w:sz w:val="16"/>
        <w:szCs w:val="22"/>
      </w:rPr>
    </w:sdtEndPr>
    <w:sdtContent>
      <w:p w14:paraId="3271E1E0" w14:textId="3F7D1193" w:rsidR="00E6209A" w:rsidRPr="00934A2C" w:rsidRDefault="00E6209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A3731">
          <w:rPr>
            <w:noProof/>
            <w:sz w:val="16"/>
            <w:szCs w:val="22"/>
          </w:rPr>
          <w:t>14</w:t>
        </w:r>
        <w:r w:rsidRPr="00934A2C">
          <w:rPr>
            <w:noProof/>
            <w:sz w:val="16"/>
            <w:szCs w:val="22"/>
          </w:rPr>
          <w:fldChar w:fldCharType="end"/>
        </w:r>
      </w:p>
    </w:sdtContent>
  </w:sdt>
  <w:p w14:paraId="55F32E0F" w14:textId="77777777" w:rsidR="00E6209A" w:rsidRDefault="00E62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CFE88" w14:textId="77777777" w:rsidR="00E6209A" w:rsidRPr="00934A2C" w:rsidRDefault="00E6209A">
    <w:pPr>
      <w:pStyle w:val="Footer"/>
      <w:jc w:val="center"/>
      <w:rPr>
        <w:sz w:val="16"/>
        <w:szCs w:val="22"/>
      </w:rPr>
    </w:pPr>
  </w:p>
  <w:p w14:paraId="35ED6C91" w14:textId="77777777" w:rsidR="00E6209A" w:rsidRDefault="00E62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CB81D" w14:textId="77777777" w:rsidR="00E6209A" w:rsidRDefault="00E6209A" w:rsidP="00D12D33">
      <w:r>
        <w:separator/>
      </w:r>
    </w:p>
  </w:footnote>
  <w:footnote w:type="continuationSeparator" w:id="0">
    <w:p w14:paraId="0A11F079" w14:textId="77777777" w:rsidR="00E6209A" w:rsidRDefault="00E6209A" w:rsidP="00D12D33">
      <w:r>
        <w:continuationSeparator/>
      </w:r>
    </w:p>
  </w:footnote>
  <w:footnote w:id="1">
    <w:p w14:paraId="13AFFCF9" w14:textId="77777777" w:rsidR="00E6209A" w:rsidRPr="000635BE" w:rsidRDefault="00E6209A" w:rsidP="007518A9">
      <w:pPr>
        <w:pStyle w:val="FootnoteText"/>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CIDH, Informe No. 65/08, Petición 460-00, Admisibilidad, Victorio Spoltore, Argentina, 25 de junio de 2008. </w:t>
      </w:r>
    </w:p>
  </w:footnote>
  <w:footnote w:id="2">
    <w:p w14:paraId="6188A150" w14:textId="77777777" w:rsidR="00E6209A" w:rsidRPr="000635BE" w:rsidRDefault="00E6209A" w:rsidP="007518A9">
      <w:pPr>
        <w:pStyle w:val="NoSpacing"/>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Anexo 1. Sentencia del Juzgado de Trabajo N° 3 de fecha 3 de junio de 1997. Anexo a la petición del señor Spoltore de fecha 5 de setiembre de 2000.</w:t>
      </w:r>
    </w:p>
  </w:footnote>
  <w:footnote w:id="3">
    <w:p w14:paraId="51A1777E" w14:textId="77777777" w:rsidR="00E6209A" w:rsidRPr="000635BE" w:rsidRDefault="00E6209A" w:rsidP="007518A9">
      <w:pPr>
        <w:pStyle w:val="NoSpacing"/>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Anexo 1. Sentencia del Juzgado de Trabajo N° 3 de fecha 3 de junio de 1997. Anexo a la petición del señor Spoltore de fecha 5 de setiembre de 2000.</w:t>
      </w:r>
    </w:p>
  </w:footnote>
  <w:footnote w:id="4">
    <w:p w14:paraId="3A71F929" w14:textId="77777777" w:rsidR="00E6209A" w:rsidRPr="000635BE" w:rsidRDefault="00E6209A" w:rsidP="007518A9">
      <w:pPr>
        <w:pStyle w:val="NoSpacing"/>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Anexo 1. Sentencia del Juzgado de Trabajo N° 3 de fecha 3 de junio de 1997. Anexo a la petición del señor Spoltore de fecha</w:t>
      </w:r>
      <w:r>
        <w:rPr>
          <w:rFonts w:ascii="Cambria" w:hAnsi="Cambria"/>
          <w:color w:val="000000" w:themeColor="text1"/>
          <w:sz w:val="16"/>
          <w:szCs w:val="16"/>
          <w:lang w:val="uz-Cyrl-UZ"/>
        </w:rPr>
        <w:t xml:space="preserve"> 5 de setiembre de 2000. Anexo 2</w:t>
      </w:r>
      <w:r w:rsidRPr="000635BE">
        <w:rPr>
          <w:rFonts w:ascii="Cambria" w:hAnsi="Cambria"/>
          <w:color w:val="000000" w:themeColor="text1"/>
          <w:sz w:val="16"/>
          <w:szCs w:val="16"/>
          <w:lang w:val="uz-Cyrl-UZ"/>
        </w:rPr>
        <w:t>. Resolución  de la Suprema Corte de Justicia de Provincia de Buenos Aires, que resuelve los recursos con fecha 16 de agosto de 2000. Anexo a la petición del señor Spoltore de fecha 5 de setiembre de 2000.</w:t>
      </w:r>
    </w:p>
  </w:footnote>
  <w:footnote w:id="5">
    <w:p w14:paraId="4170724F" w14:textId="77777777" w:rsidR="00E6209A" w:rsidRPr="000635BE" w:rsidRDefault="00E6209A" w:rsidP="007518A9">
      <w:pPr>
        <w:pStyle w:val="NoSpacing"/>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Anexo </w:t>
      </w:r>
      <w:r>
        <w:rPr>
          <w:rFonts w:ascii="Cambria" w:hAnsi="Cambria"/>
          <w:color w:val="000000" w:themeColor="text1"/>
          <w:sz w:val="16"/>
          <w:szCs w:val="16"/>
          <w:lang w:val="uz-Cyrl-UZ"/>
        </w:rPr>
        <w:t>3</w:t>
      </w:r>
      <w:r w:rsidRPr="000635BE">
        <w:rPr>
          <w:rFonts w:ascii="Cambria" w:hAnsi="Cambria"/>
          <w:color w:val="000000" w:themeColor="text1"/>
          <w:sz w:val="16"/>
          <w:szCs w:val="16"/>
          <w:lang w:val="uz-Cyrl-UZ"/>
        </w:rPr>
        <w:t>. Recurso Extraordinario de Inaplicabilidad de ley de fecha 2 de setiembre de 1997. Anexo a la petición del señor Spoltore de fecha 5 de setiembre de 2000.</w:t>
      </w:r>
    </w:p>
  </w:footnote>
  <w:footnote w:id="6">
    <w:p w14:paraId="11DE276E" w14:textId="77777777" w:rsidR="00E6209A" w:rsidRPr="000635BE" w:rsidRDefault="00E6209A" w:rsidP="007518A9">
      <w:pPr>
        <w:pStyle w:val="NoSpacing"/>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Pr>
          <w:rFonts w:ascii="Cambria" w:hAnsi="Cambria"/>
          <w:color w:val="000000" w:themeColor="text1"/>
          <w:sz w:val="16"/>
          <w:szCs w:val="16"/>
          <w:lang w:val="uz-Cyrl-UZ"/>
        </w:rPr>
        <w:t xml:space="preserve"> Anexo 4</w:t>
      </w:r>
      <w:r w:rsidRPr="000635BE">
        <w:rPr>
          <w:rFonts w:ascii="Cambria" w:hAnsi="Cambria"/>
          <w:color w:val="000000" w:themeColor="text1"/>
          <w:sz w:val="16"/>
          <w:szCs w:val="16"/>
          <w:lang w:val="uz-Cyrl-UZ"/>
        </w:rPr>
        <w:t>.  Recurso de Nulidad interpuesto por el señor Spoltore a la Suprema Corte de Justicia de fecha 29 de abril de 1996. Anexo a la petición del señor Spoltore de fecha 5 de setiembre de 2000.</w:t>
      </w:r>
    </w:p>
  </w:footnote>
  <w:footnote w:id="7">
    <w:p w14:paraId="129B5B90" w14:textId="77777777" w:rsidR="00E6209A" w:rsidRPr="000635BE" w:rsidRDefault="00E6209A" w:rsidP="007518A9">
      <w:pPr>
        <w:pStyle w:val="NoSpacing"/>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Pr>
          <w:rFonts w:ascii="Cambria" w:hAnsi="Cambria"/>
          <w:color w:val="000000" w:themeColor="text1"/>
          <w:sz w:val="16"/>
          <w:szCs w:val="16"/>
          <w:lang w:val="uz-Cyrl-UZ"/>
        </w:rPr>
        <w:t xml:space="preserve"> Anexo 4</w:t>
      </w:r>
      <w:r w:rsidRPr="000635BE">
        <w:rPr>
          <w:rFonts w:ascii="Cambria" w:hAnsi="Cambria"/>
          <w:color w:val="000000" w:themeColor="text1"/>
          <w:sz w:val="16"/>
          <w:szCs w:val="16"/>
          <w:lang w:val="uz-Cyrl-UZ"/>
        </w:rPr>
        <w:t>.  Recurso de Nulidad interpuesto por el señor Spoltore a la Suprema Corte de Justicia de fecha 29 de abril de 1996. Anexo a la petición del señor Spoltore de fecha 5 de setiembre de 2000.</w:t>
      </w:r>
    </w:p>
  </w:footnote>
  <w:footnote w:id="8">
    <w:p w14:paraId="6D146A6B" w14:textId="77777777" w:rsidR="00E6209A" w:rsidRPr="000635BE" w:rsidRDefault="00E6209A" w:rsidP="007518A9">
      <w:pPr>
        <w:pStyle w:val="NoSpacing"/>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Pr>
          <w:rFonts w:ascii="Cambria" w:hAnsi="Cambria"/>
          <w:color w:val="000000" w:themeColor="text1"/>
          <w:sz w:val="16"/>
          <w:szCs w:val="16"/>
          <w:lang w:val="uz-Cyrl-UZ"/>
        </w:rPr>
        <w:t xml:space="preserve"> Anexo 4</w:t>
      </w:r>
      <w:r w:rsidRPr="000635BE">
        <w:rPr>
          <w:rFonts w:ascii="Cambria" w:hAnsi="Cambria"/>
          <w:color w:val="000000" w:themeColor="text1"/>
          <w:sz w:val="16"/>
          <w:szCs w:val="16"/>
          <w:lang w:val="uz-Cyrl-UZ"/>
        </w:rPr>
        <w:t>.  Recurso de Nulidad interpuesto por el señor Spoltore a la Suprema Corte de Justicia de fecha 29 de abril de 1996. Anexo a la petición del señor Spoltore de fecha 5 de setiembre de 2000.</w:t>
      </w:r>
    </w:p>
  </w:footnote>
  <w:footnote w:id="9">
    <w:p w14:paraId="4343732C" w14:textId="77777777" w:rsidR="00E6209A" w:rsidRPr="000635BE" w:rsidRDefault="00E6209A" w:rsidP="007518A9">
      <w:pPr>
        <w:pStyle w:val="NoSpacing"/>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Pr>
          <w:rFonts w:ascii="Cambria" w:hAnsi="Cambria"/>
          <w:color w:val="000000" w:themeColor="text1"/>
          <w:sz w:val="16"/>
          <w:szCs w:val="16"/>
          <w:lang w:val="uz-Cyrl-UZ"/>
        </w:rPr>
        <w:t xml:space="preserve"> Anexo 4</w:t>
      </w:r>
      <w:r w:rsidRPr="000635BE">
        <w:rPr>
          <w:rFonts w:ascii="Cambria" w:hAnsi="Cambria"/>
          <w:color w:val="000000" w:themeColor="text1"/>
          <w:sz w:val="16"/>
          <w:szCs w:val="16"/>
          <w:lang w:val="uz-Cyrl-UZ"/>
        </w:rPr>
        <w:t>.  Recurso de Nulidad interpuesto por el señor Spoltore a la Suprema Corte de Justicia de fecha 29 de abril de 1996. Anexo a la petición del señor Spoltore de fecha 5 de setiembre de 2000.</w:t>
      </w:r>
    </w:p>
  </w:footnote>
  <w:footnote w:id="10">
    <w:p w14:paraId="0DA632D5" w14:textId="77777777" w:rsidR="00E6209A" w:rsidRPr="000635BE" w:rsidRDefault="00E6209A" w:rsidP="007518A9">
      <w:pPr>
        <w:pStyle w:val="NoSpacing"/>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Pr>
          <w:rFonts w:ascii="Cambria" w:hAnsi="Cambria"/>
          <w:color w:val="000000" w:themeColor="text1"/>
          <w:sz w:val="16"/>
          <w:szCs w:val="16"/>
          <w:lang w:val="uz-Cyrl-UZ"/>
        </w:rPr>
        <w:t xml:space="preserve"> Anexo 4</w:t>
      </w:r>
      <w:r w:rsidRPr="000635BE">
        <w:rPr>
          <w:rFonts w:ascii="Cambria" w:hAnsi="Cambria"/>
          <w:color w:val="000000" w:themeColor="text1"/>
          <w:sz w:val="16"/>
          <w:szCs w:val="16"/>
          <w:lang w:val="uz-Cyrl-UZ"/>
        </w:rPr>
        <w:t>.  Recurso de Nulidad interpuesto por el señor Spoltore a la Suprema Corte de Justicia de fecha 29 de abril de 1996. Anexo a la petición del señor Spoltore de fecha 5 de setiembre de 2000.</w:t>
      </w:r>
    </w:p>
  </w:footnote>
  <w:footnote w:id="11">
    <w:p w14:paraId="3BF8D2AC" w14:textId="77777777" w:rsidR="00E6209A" w:rsidRPr="000635BE" w:rsidRDefault="00E6209A" w:rsidP="007518A9">
      <w:pPr>
        <w:pStyle w:val="NoSpacing"/>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Pr>
          <w:rFonts w:ascii="Cambria" w:hAnsi="Cambria"/>
          <w:color w:val="000000" w:themeColor="text1"/>
          <w:sz w:val="16"/>
          <w:szCs w:val="16"/>
          <w:lang w:val="uz-Cyrl-UZ"/>
        </w:rPr>
        <w:t xml:space="preserve"> Anexo 4</w:t>
      </w:r>
      <w:r w:rsidRPr="000635BE">
        <w:rPr>
          <w:rFonts w:ascii="Cambria" w:hAnsi="Cambria"/>
          <w:color w:val="000000" w:themeColor="text1"/>
          <w:sz w:val="16"/>
          <w:szCs w:val="16"/>
          <w:lang w:val="uz-Cyrl-UZ"/>
        </w:rPr>
        <w:t>.  Recurso de Nulidad interpuesto por el señor Spoltore a la Suprema Corte de Justicia de fecha 29 de abril de 1996. Anexo a la petición del señor Spoltore de fecha 5 de setiembre de 2000.</w:t>
      </w:r>
    </w:p>
  </w:footnote>
  <w:footnote w:id="12">
    <w:p w14:paraId="53B6DA4A" w14:textId="77777777" w:rsidR="00E6209A" w:rsidRPr="000635BE" w:rsidRDefault="00E6209A" w:rsidP="007518A9">
      <w:pPr>
        <w:pStyle w:val="NoSpacing"/>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Pr>
          <w:rFonts w:ascii="Cambria" w:hAnsi="Cambria"/>
          <w:color w:val="000000" w:themeColor="text1"/>
          <w:sz w:val="16"/>
          <w:szCs w:val="16"/>
          <w:lang w:val="uz-Cyrl-UZ"/>
        </w:rPr>
        <w:t xml:space="preserve"> Anexo 4</w:t>
      </w:r>
      <w:r w:rsidRPr="000635BE">
        <w:rPr>
          <w:rFonts w:ascii="Cambria" w:hAnsi="Cambria"/>
          <w:color w:val="000000" w:themeColor="text1"/>
          <w:sz w:val="16"/>
          <w:szCs w:val="16"/>
          <w:lang w:val="uz-Cyrl-UZ"/>
        </w:rPr>
        <w:t>.  Recurso de Nulidad interpuesto por el señor Spoltore a la Suprema Corte de Justicia de fecha 29 de abril de 1996. Anexo a la petición del señor Spoltore de fecha 5 de setiembre de 2000.</w:t>
      </w:r>
    </w:p>
  </w:footnote>
  <w:footnote w:id="13">
    <w:p w14:paraId="28E11F80" w14:textId="77777777" w:rsidR="00E6209A" w:rsidRPr="000635BE" w:rsidRDefault="00E6209A" w:rsidP="007518A9">
      <w:pPr>
        <w:pStyle w:val="NoSpacing"/>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Pr>
          <w:rFonts w:ascii="Cambria" w:hAnsi="Cambria"/>
          <w:color w:val="000000" w:themeColor="text1"/>
          <w:sz w:val="16"/>
          <w:szCs w:val="16"/>
          <w:lang w:val="uz-Cyrl-UZ"/>
        </w:rPr>
        <w:t xml:space="preserve"> Anexo 4</w:t>
      </w:r>
      <w:r w:rsidRPr="000635BE">
        <w:rPr>
          <w:rFonts w:ascii="Cambria" w:hAnsi="Cambria"/>
          <w:color w:val="000000" w:themeColor="text1"/>
          <w:sz w:val="16"/>
          <w:szCs w:val="16"/>
          <w:lang w:val="uz-Cyrl-UZ"/>
        </w:rPr>
        <w:t>.  Recurso de Nulidad interpuesto por el señor Spoltore a la Suprema Corte de Justicia de fecha 29 de abril de 1996. Anexo a la petición del señor Spoltore de fecha 5 de setiembre de 2000.</w:t>
      </w:r>
    </w:p>
  </w:footnote>
  <w:footnote w:id="14">
    <w:p w14:paraId="5F824A70" w14:textId="77777777" w:rsidR="00E6209A" w:rsidRPr="000635BE" w:rsidRDefault="00E6209A" w:rsidP="007518A9">
      <w:pPr>
        <w:pStyle w:val="NoSpacing"/>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Pr>
          <w:rFonts w:ascii="Cambria" w:hAnsi="Cambria"/>
          <w:color w:val="000000" w:themeColor="text1"/>
          <w:sz w:val="16"/>
          <w:szCs w:val="16"/>
          <w:lang w:val="uz-Cyrl-UZ"/>
        </w:rPr>
        <w:t xml:space="preserve"> Anexo 4</w:t>
      </w:r>
      <w:r w:rsidRPr="000635BE">
        <w:rPr>
          <w:rFonts w:ascii="Cambria" w:hAnsi="Cambria"/>
          <w:color w:val="000000" w:themeColor="text1"/>
          <w:sz w:val="16"/>
          <w:szCs w:val="16"/>
          <w:lang w:val="uz-Cyrl-UZ"/>
        </w:rPr>
        <w:t>.  Recurso de Nulidad interpuesto por el señor Spoltore a la Suprema Corte de Justicia de fecha 29 de abril de 1996. Anexo a la petición del señor Spoltore de fecha 5 de setiembre de 2000.</w:t>
      </w:r>
    </w:p>
  </w:footnote>
  <w:footnote w:id="15">
    <w:p w14:paraId="246E9BD5" w14:textId="77777777" w:rsidR="00E6209A" w:rsidRPr="000635BE" w:rsidRDefault="00E6209A" w:rsidP="007518A9">
      <w:pPr>
        <w:pStyle w:val="NoSpacing"/>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Pr>
          <w:rFonts w:ascii="Cambria" w:hAnsi="Cambria"/>
          <w:color w:val="000000" w:themeColor="text1"/>
          <w:sz w:val="16"/>
          <w:szCs w:val="16"/>
          <w:lang w:val="uz-Cyrl-UZ"/>
        </w:rPr>
        <w:t xml:space="preserve"> Anexo 4</w:t>
      </w:r>
      <w:r w:rsidRPr="000635BE">
        <w:rPr>
          <w:rFonts w:ascii="Cambria" w:hAnsi="Cambria"/>
          <w:color w:val="000000" w:themeColor="text1"/>
          <w:sz w:val="16"/>
          <w:szCs w:val="16"/>
          <w:lang w:val="uz-Cyrl-UZ"/>
        </w:rPr>
        <w:t>.  Recurso de Nulidad interpuesto por el señor Spoltore a la Suprema Corte de Justicia de fecha 29 de abril de 1996. Anexo a la petición del señor Spoltore de fecha 5 de setiembre de 2000.</w:t>
      </w:r>
    </w:p>
  </w:footnote>
  <w:footnote w:id="16">
    <w:p w14:paraId="425CF87F" w14:textId="77777777" w:rsidR="00E6209A" w:rsidRPr="000635BE" w:rsidRDefault="00E6209A" w:rsidP="007518A9">
      <w:pPr>
        <w:pStyle w:val="NoSpacing"/>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Pr>
          <w:rFonts w:ascii="Cambria" w:hAnsi="Cambria"/>
          <w:color w:val="000000" w:themeColor="text1"/>
          <w:sz w:val="16"/>
          <w:szCs w:val="16"/>
          <w:lang w:val="uz-Cyrl-UZ"/>
        </w:rPr>
        <w:t xml:space="preserve"> Anexo 4</w:t>
      </w:r>
      <w:r w:rsidRPr="000635BE">
        <w:rPr>
          <w:rFonts w:ascii="Cambria" w:hAnsi="Cambria"/>
          <w:color w:val="000000" w:themeColor="text1"/>
          <w:sz w:val="16"/>
          <w:szCs w:val="16"/>
          <w:lang w:val="uz-Cyrl-UZ"/>
        </w:rPr>
        <w:t>.  Recurso de Nulidad interpuesto por el señor Spoltore a la Suprema Corte de Justicia de fecha 29 de abril de 1996. Anexo a la petición del señor Spoltore de fecha 5 de setiembre de 2000.</w:t>
      </w:r>
    </w:p>
  </w:footnote>
  <w:footnote w:id="17">
    <w:p w14:paraId="03B5E9DF" w14:textId="77777777" w:rsidR="00E6209A" w:rsidRPr="000635BE" w:rsidRDefault="00E6209A" w:rsidP="007518A9">
      <w:pPr>
        <w:pStyle w:val="NoSpacing"/>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Pr>
          <w:rFonts w:ascii="Cambria" w:hAnsi="Cambria"/>
          <w:color w:val="000000" w:themeColor="text1"/>
          <w:sz w:val="16"/>
          <w:szCs w:val="16"/>
          <w:lang w:val="uz-Cyrl-UZ"/>
        </w:rPr>
        <w:t xml:space="preserve"> Anexo 4</w:t>
      </w:r>
      <w:r w:rsidRPr="000635BE">
        <w:rPr>
          <w:rFonts w:ascii="Cambria" w:hAnsi="Cambria"/>
          <w:color w:val="000000" w:themeColor="text1"/>
          <w:sz w:val="16"/>
          <w:szCs w:val="16"/>
          <w:lang w:val="uz-Cyrl-UZ"/>
        </w:rPr>
        <w:t>.  Recurso de Nulidad interpuesto por el señor Spoltore a la Suprema Corte de Justicia  de fecha 29 de abril de 1996. Anexo a la petición del señor Spoltore de fecha 5 de setiembre de 2000.</w:t>
      </w:r>
    </w:p>
  </w:footnote>
  <w:footnote w:id="18">
    <w:p w14:paraId="74D9B94B" w14:textId="77777777" w:rsidR="00E6209A" w:rsidRPr="000635BE" w:rsidRDefault="00E6209A" w:rsidP="007518A9">
      <w:pPr>
        <w:pStyle w:val="NoSpacing"/>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Pr>
          <w:rFonts w:ascii="Cambria" w:hAnsi="Cambria"/>
          <w:color w:val="000000" w:themeColor="text1"/>
          <w:sz w:val="16"/>
          <w:szCs w:val="16"/>
          <w:lang w:val="uz-Cyrl-UZ"/>
        </w:rPr>
        <w:t xml:space="preserve"> Anexo 4</w:t>
      </w:r>
      <w:r w:rsidRPr="000635BE">
        <w:rPr>
          <w:rFonts w:ascii="Cambria" w:hAnsi="Cambria"/>
          <w:color w:val="000000" w:themeColor="text1"/>
          <w:sz w:val="16"/>
          <w:szCs w:val="16"/>
          <w:lang w:val="uz-Cyrl-UZ"/>
        </w:rPr>
        <w:t>.  Recurso de Nulidad interpuesto por el señor Spoltore a la Suprema Corte de Justicia  de fecha 29 de abril de 1996. Anexo a la petición del señor Spoltore de fecha</w:t>
      </w:r>
      <w:r>
        <w:rPr>
          <w:rFonts w:ascii="Cambria" w:hAnsi="Cambria"/>
          <w:color w:val="000000" w:themeColor="text1"/>
          <w:sz w:val="16"/>
          <w:szCs w:val="16"/>
          <w:lang w:val="uz-Cyrl-UZ"/>
        </w:rPr>
        <w:t xml:space="preserve"> 5 de setiembre de 2000. Anexo 2</w:t>
      </w:r>
      <w:r w:rsidRPr="000635BE">
        <w:rPr>
          <w:rFonts w:ascii="Cambria" w:hAnsi="Cambria"/>
          <w:color w:val="000000" w:themeColor="text1"/>
          <w:sz w:val="16"/>
          <w:szCs w:val="16"/>
          <w:lang w:val="uz-Cyrl-UZ"/>
        </w:rPr>
        <w:t>. Resolución  de la Suprema Corte de Justicia de Provincia de Buenos aires, que resuelve los recursos con fecha 16 de agosto de 2000. Anexo a la petición del señor Spoltore de fecha 5 de setiembre de 2000.</w:t>
      </w:r>
    </w:p>
  </w:footnote>
  <w:footnote w:id="19">
    <w:p w14:paraId="5FA675AB" w14:textId="77777777" w:rsidR="00E6209A" w:rsidRPr="000635BE" w:rsidRDefault="00E6209A" w:rsidP="007518A9">
      <w:pPr>
        <w:pStyle w:val="BodyTextIndent"/>
        <w:tabs>
          <w:tab w:val="num" w:pos="1440"/>
        </w:tabs>
        <w:autoSpaceDE w:val="0"/>
        <w:autoSpaceDN w:val="0"/>
        <w:adjustRightInd w:val="0"/>
        <w:rPr>
          <w:rFonts w:ascii="Cambria" w:hAnsi="Cambria" w:cs="Calibri"/>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Pr="000635BE">
        <w:rPr>
          <w:rFonts w:ascii="Cambria" w:hAnsi="Cambria" w:cs="Calibri"/>
          <w:color w:val="000000" w:themeColor="text1"/>
          <w:sz w:val="16"/>
          <w:szCs w:val="16"/>
          <w:lang w:val="uz-Cyrl-UZ"/>
        </w:rPr>
        <w:t xml:space="preserve">El artículo 8 de la Convención Americana establece, en lo relevante, que: </w:t>
      </w:r>
      <w:r w:rsidRPr="000635BE">
        <w:rPr>
          <w:rFonts w:ascii="Cambria" w:hAnsi="Cambria" w:cs="Verdana"/>
          <w:color w:val="000000" w:themeColor="text1"/>
          <w:sz w:val="16"/>
          <w:szCs w:val="16"/>
          <w:lang w:val="uz-Cyrl-UZ" w:bidi="en-US"/>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20">
    <w:p w14:paraId="0FFD120B" w14:textId="77777777" w:rsidR="00E6209A" w:rsidRPr="000635BE" w:rsidRDefault="00E6209A" w:rsidP="005737A9">
      <w:pPr>
        <w:pStyle w:val="BodyTextIndent"/>
        <w:tabs>
          <w:tab w:val="num" w:pos="1440"/>
        </w:tabs>
        <w:autoSpaceDE w:val="0"/>
        <w:autoSpaceDN w:val="0"/>
        <w:adjustRightInd w:val="0"/>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El artículo 25.1 de la Convención Americana establece que: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21">
    <w:p w14:paraId="7AA9D934" w14:textId="77777777" w:rsidR="00E6209A" w:rsidRPr="000635BE" w:rsidRDefault="00E6209A" w:rsidP="007518A9">
      <w:pPr>
        <w:pStyle w:val="Title"/>
        <w:ind w:firstLine="720"/>
        <w:jc w:val="both"/>
        <w:rPr>
          <w:rFonts w:ascii="Cambria" w:hAnsi="Cambria"/>
          <w:b w:val="0"/>
          <w:color w:val="000000" w:themeColor="text1"/>
          <w:sz w:val="16"/>
          <w:szCs w:val="16"/>
          <w:lang w:val="uz-Cyrl-UZ"/>
        </w:rPr>
      </w:pPr>
      <w:r w:rsidRPr="000635BE">
        <w:rPr>
          <w:rStyle w:val="FootnoteReference"/>
          <w:rFonts w:ascii="Cambria" w:hAnsi="Cambria"/>
          <w:b w:val="0"/>
          <w:color w:val="000000" w:themeColor="text1"/>
          <w:sz w:val="16"/>
          <w:szCs w:val="16"/>
          <w:lang w:val="uz-Cyrl-UZ"/>
        </w:rPr>
        <w:footnoteRef/>
      </w:r>
      <w:r w:rsidRPr="000635BE">
        <w:rPr>
          <w:rFonts w:ascii="Cambria" w:hAnsi="Cambria"/>
          <w:color w:val="000000" w:themeColor="text1"/>
          <w:sz w:val="16"/>
          <w:szCs w:val="16"/>
          <w:lang w:val="uz-Cyrl-UZ"/>
        </w:rPr>
        <w:t xml:space="preserve"> </w:t>
      </w:r>
      <w:r w:rsidRPr="000635BE">
        <w:rPr>
          <w:rFonts w:ascii="Cambria" w:hAnsi="Cambria"/>
          <w:b w:val="0"/>
          <w:color w:val="000000" w:themeColor="text1"/>
          <w:sz w:val="16"/>
          <w:szCs w:val="16"/>
          <w:lang w:val="uz-Cyrl-UZ"/>
        </w:rPr>
        <w:t xml:space="preserve">CIDH. Informe No. 42/14. Caso 12.453. Fondo. Olga Yolanda Maldonado Ordóñez. Guatemala. 17 de julio de 2014. Párr. 62, citando: Corte IDH. Caso Genie Lacayo Vs. Nicaragua. Sentencia de 29 de enero de 1997. Serie C No. 30, párr. 74; Corte IDH. </w:t>
      </w:r>
      <w:r w:rsidRPr="000635BE">
        <w:rPr>
          <w:rFonts w:ascii="Cambria" w:hAnsi="Cambria"/>
          <w:b w:val="0"/>
          <w:bCs/>
          <w:color w:val="000000" w:themeColor="text1"/>
          <w:sz w:val="16"/>
          <w:szCs w:val="16"/>
          <w:lang w:val="uz-Cyrl-UZ"/>
        </w:rPr>
        <w:t xml:space="preserve">Caso Claude Reyes y otros Vs. Chile. </w:t>
      </w:r>
      <w:r w:rsidRPr="000635BE">
        <w:rPr>
          <w:rFonts w:ascii="Cambria" w:hAnsi="Cambria"/>
          <w:b w:val="0"/>
          <w:color w:val="000000" w:themeColor="text1"/>
          <w:sz w:val="16"/>
          <w:szCs w:val="16"/>
          <w:lang w:val="uz-Cyrl-UZ"/>
        </w:rPr>
        <w:t xml:space="preserve">Sentencia de 19 de septiembre de 2006. Serie C No. 151, párr. 116; y Corte IDH. </w:t>
      </w:r>
      <w:r w:rsidRPr="000635BE">
        <w:rPr>
          <w:rFonts w:ascii="Cambria" w:hAnsi="Cambria"/>
          <w:b w:val="0"/>
          <w:bCs/>
          <w:color w:val="000000" w:themeColor="text1"/>
          <w:sz w:val="16"/>
          <w:szCs w:val="16"/>
          <w:lang w:val="uz-Cyrl-UZ"/>
        </w:rPr>
        <w:t xml:space="preserve">Garantías Judiciales en Estados de Emergencia (arts. 27.2, 25 y 8 Convención Americana sobre Derechos Humanos). Opinión Consultiva OC-9/87. 6 de octubre de 1987. </w:t>
      </w:r>
      <w:r w:rsidRPr="000635BE">
        <w:rPr>
          <w:rFonts w:ascii="Cambria" w:hAnsi="Cambria"/>
          <w:b w:val="0"/>
          <w:color w:val="000000" w:themeColor="text1"/>
          <w:sz w:val="16"/>
          <w:szCs w:val="16"/>
          <w:lang w:val="uz-Cyrl-UZ"/>
        </w:rPr>
        <w:t xml:space="preserve">Serie A No. 9, párr. 27.  </w:t>
      </w:r>
    </w:p>
  </w:footnote>
  <w:footnote w:id="22">
    <w:p w14:paraId="60FE9C58" w14:textId="77777777" w:rsidR="00E6209A" w:rsidRPr="000635BE" w:rsidRDefault="00E6209A" w:rsidP="007518A9">
      <w:pPr>
        <w:pStyle w:val="FootnoteText"/>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CIDH, Informe No. 65/11, Caso 12.600, Fondo, Hugo Quintana Coello y otros “Magistrados de la Corte Suprema de Justicia”, Ecuador, 31 de marzo de 2011, párr. 102. </w:t>
      </w:r>
    </w:p>
  </w:footnote>
  <w:footnote w:id="23">
    <w:p w14:paraId="22C0D0EF" w14:textId="77777777" w:rsidR="00E6209A" w:rsidRPr="000635BE" w:rsidRDefault="00E6209A" w:rsidP="007518A9">
      <w:pPr>
        <w:pStyle w:val="FootnoteText"/>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IDH. </w:t>
      </w:r>
      <w:hyperlink r:id="rId1" w:history="1">
        <w:r w:rsidRPr="000635BE">
          <w:rPr>
            <w:rStyle w:val="Hyperlink"/>
            <w:rFonts w:ascii="Cambria" w:hAnsi="Cambria" w:cs="Arial"/>
            <w:color w:val="000000" w:themeColor="text1"/>
            <w:sz w:val="16"/>
            <w:szCs w:val="16"/>
            <w:u w:val="none"/>
            <w:shd w:val="clear" w:color="auto" w:fill="FFFFFF"/>
            <w:lang w:val="uz-Cyrl-UZ"/>
          </w:rPr>
          <w:t>Caso Barbani Duarte y Otros Vs. Uruguay. Fondo Reparaciones y costas. Sentencia de 13 de octubre de 2011. Serie C No. 234</w:t>
        </w:r>
      </w:hyperlink>
      <w:r w:rsidRPr="000635BE">
        <w:rPr>
          <w:rFonts w:ascii="Cambria" w:hAnsi="Cambria"/>
          <w:color w:val="000000" w:themeColor="text1"/>
          <w:sz w:val="16"/>
          <w:szCs w:val="16"/>
          <w:lang w:val="uz-Cyrl-UZ"/>
        </w:rPr>
        <w:t xml:space="preserve">, párr. 118; y </w:t>
      </w:r>
      <w:hyperlink r:id="rId2" w:history="1">
        <w:r w:rsidRPr="000635BE">
          <w:rPr>
            <w:rStyle w:val="Hyperlink"/>
            <w:rFonts w:ascii="Cambria" w:hAnsi="Cambria" w:cs="Arial"/>
            <w:color w:val="000000" w:themeColor="text1"/>
            <w:sz w:val="16"/>
            <w:szCs w:val="16"/>
            <w:u w:val="none"/>
            <w:shd w:val="clear" w:color="auto" w:fill="FFFFFF"/>
            <w:lang w:val="uz-Cyrl-UZ"/>
          </w:rPr>
          <w:t>Caso Claude Reyes y otros Vs. Chile. Fondo, Reparaciones y Costas. Sentencia de 19 de septiembre de 2006. Serie C No. 151</w:t>
        </w:r>
      </w:hyperlink>
      <w:r w:rsidRPr="000635BE">
        <w:rPr>
          <w:rFonts w:ascii="Cambria" w:hAnsi="Cambria"/>
          <w:color w:val="000000" w:themeColor="text1"/>
          <w:sz w:val="16"/>
          <w:szCs w:val="16"/>
          <w:lang w:val="uz-Cyrl-UZ"/>
        </w:rPr>
        <w:t>, párr. 118.</w:t>
      </w:r>
    </w:p>
  </w:footnote>
  <w:footnote w:id="24">
    <w:p w14:paraId="5A1C290E" w14:textId="77777777" w:rsidR="00E6209A" w:rsidRPr="000635BE" w:rsidRDefault="00E6209A" w:rsidP="000C1134">
      <w:pPr>
        <w:pStyle w:val="FootnoteText"/>
        <w:ind w:firstLine="720"/>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Pr="000635BE">
        <w:rPr>
          <w:rFonts w:ascii="Cambria" w:eastAsia="Times New Roman" w:hAnsi="Cambria"/>
          <w:bCs/>
          <w:color w:val="000000" w:themeColor="text1"/>
          <w:sz w:val="16"/>
          <w:szCs w:val="16"/>
          <w:bdr w:val="none" w:sz="0" w:space="0" w:color="auto"/>
          <w:lang w:val="uz-Cyrl-UZ"/>
        </w:rPr>
        <w:t xml:space="preserve">Corte IDH. Caso Andrade Salmón Vs. Bolivia. Fondo, Reparaciones y Costas. Sentencia de 1 de diciembre de 2016. Serie C No. 330. Párr. </w:t>
      </w:r>
      <w:r w:rsidRPr="000635BE">
        <w:rPr>
          <w:rFonts w:ascii="Cambria" w:hAnsi="Cambria"/>
          <w:color w:val="000000" w:themeColor="text1"/>
          <w:sz w:val="16"/>
          <w:szCs w:val="16"/>
          <w:lang w:val="uz-Cyrl-UZ"/>
        </w:rPr>
        <w:t xml:space="preserve">200. </w:t>
      </w:r>
    </w:p>
  </w:footnote>
  <w:footnote w:id="25">
    <w:p w14:paraId="055FDBD3" w14:textId="77777777" w:rsidR="00E6209A" w:rsidRPr="000635BE" w:rsidRDefault="00E6209A" w:rsidP="007518A9">
      <w:pPr>
        <w:pStyle w:val="FootnoteText"/>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CIDH, Informe de Fondo No. 77/02, Waldemar Gerónimo Pinheiro y José Víctor dos Santos (Caso 11.506), 27 de diciembre de 2002, párr. 76. Ver también Corte I.D.H., </w:t>
      </w:r>
      <w:r w:rsidRPr="000635BE">
        <w:rPr>
          <w:rFonts w:ascii="Cambria" w:hAnsi="Cambria"/>
          <w:iCs/>
          <w:color w:val="000000" w:themeColor="text1"/>
          <w:sz w:val="16"/>
          <w:szCs w:val="16"/>
          <w:lang w:val="uz-Cyrl-UZ"/>
        </w:rPr>
        <w:t>Caso López Álvarez</w:t>
      </w:r>
      <w:r w:rsidRPr="000635BE">
        <w:rPr>
          <w:rFonts w:ascii="Cambria" w:hAnsi="Cambria"/>
          <w:color w:val="000000" w:themeColor="text1"/>
          <w:sz w:val="16"/>
          <w:szCs w:val="16"/>
          <w:lang w:val="uz-Cyrl-UZ"/>
        </w:rPr>
        <w:t xml:space="preserve">. Sentencia de 1 de febrero de 2006. Serie C No. 141, párr. 132; </w:t>
      </w:r>
      <w:r w:rsidRPr="000635BE">
        <w:rPr>
          <w:rFonts w:ascii="Cambria" w:hAnsi="Cambria"/>
          <w:iCs/>
          <w:color w:val="000000" w:themeColor="text1"/>
          <w:sz w:val="16"/>
          <w:szCs w:val="16"/>
          <w:lang w:val="uz-Cyrl-UZ"/>
        </w:rPr>
        <w:t>Caso García Asto y Ramírez Rojas</w:t>
      </w:r>
      <w:r w:rsidRPr="000635BE">
        <w:rPr>
          <w:rFonts w:ascii="Cambria" w:hAnsi="Cambria"/>
          <w:color w:val="000000" w:themeColor="text1"/>
          <w:sz w:val="16"/>
          <w:szCs w:val="16"/>
          <w:lang w:val="uz-Cyrl-UZ"/>
        </w:rPr>
        <w:t xml:space="preserve">. Sentencia de 25 de noviembre de 2005. Serie C No. 137, párr. 166; y </w:t>
      </w:r>
      <w:r w:rsidRPr="000635BE">
        <w:rPr>
          <w:rFonts w:ascii="Cambria" w:hAnsi="Cambria"/>
          <w:iCs/>
          <w:color w:val="000000" w:themeColor="text1"/>
          <w:sz w:val="16"/>
          <w:szCs w:val="16"/>
          <w:lang w:val="uz-Cyrl-UZ"/>
        </w:rPr>
        <w:t>Caso Acosta Calderón</w:t>
      </w:r>
      <w:r w:rsidRPr="000635BE">
        <w:rPr>
          <w:rFonts w:ascii="Cambria" w:hAnsi="Cambria"/>
          <w:color w:val="000000" w:themeColor="text1"/>
          <w:sz w:val="16"/>
          <w:szCs w:val="16"/>
          <w:lang w:val="uz-Cyrl-UZ"/>
        </w:rPr>
        <w:t>. Sentencia de 24 de junio de 2005. Serie C No. 129, párr. 105.</w:t>
      </w:r>
    </w:p>
  </w:footnote>
  <w:footnote w:id="26">
    <w:p w14:paraId="4980EA0B" w14:textId="77777777" w:rsidR="00E6209A" w:rsidRPr="000635BE" w:rsidRDefault="00E6209A" w:rsidP="007518A9">
      <w:pPr>
        <w:tabs>
          <w:tab w:val="left" w:pos="720"/>
          <w:tab w:val="center" w:pos="5400"/>
        </w:tabs>
        <w:suppressAutoHyphens/>
        <w:ind w:firstLine="720"/>
        <w:jc w:val="both"/>
        <w:rPr>
          <w:rFonts w:ascii="Cambria" w:hAnsi="Cambria"/>
          <w:color w:val="000000" w:themeColor="text1"/>
          <w:sz w:val="16"/>
          <w:szCs w:val="16"/>
          <w:lang w:val="uz-Cyrl-UZ"/>
        </w:rPr>
      </w:pPr>
      <w:r w:rsidRPr="000635BE">
        <w:rPr>
          <w:rFonts w:ascii="Cambria" w:hAnsi="Cambria"/>
          <w:color w:val="000000" w:themeColor="text1"/>
          <w:sz w:val="16"/>
          <w:szCs w:val="16"/>
          <w:lang w:val="uz-Cyrl-UZ"/>
        </w:rPr>
        <w:tab/>
      </w: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Pr="000635BE">
        <w:rPr>
          <w:rFonts w:ascii="Cambria" w:hAnsi="Cambria" w:cs="Arial"/>
          <w:color w:val="000000" w:themeColor="text1"/>
          <w:sz w:val="16"/>
          <w:szCs w:val="16"/>
          <w:lang w:val="uz-Cyrl-UZ"/>
        </w:rPr>
        <w:t>CIDH, Informe No. 111/10, Caso 12.539, Fondo, Sebastián Claus Furlan y familia, Argentina, 21 de octubre de 2010, párr. 100;</w:t>
      </w:r>
      <w:r w:rsidRPr="000635BE">
        <w:rPr>
          <w:rFonts w:ascii="Cambria" w:hAnsi="Cambria"/>
          <w:color w:val="000000" w:themeColor="text1"/>
          <w:sz w:val="16"/>
          <w:szCs w:val="16"/>
          <w:lang w:val="uz-Cyrl-UZ"/>
        </w:rPr>
        <w:t xml:space="preserve"> CIDH. Informe No. 1/16. Caso 12695. Fondo. Vinicio Antonio Poblete Vilches y familiares. Chile. 13 de abril de 2016. Párr. 149.  </w:t>
      </w:r>
    </w:p>
  </w:footnote>
  <w:footnote w:id="27">
    <w:p w14:paraId="719F9145" w14:textId="77777777" w:rsidR="00E6209A" w:rsidRPr="000635BE" w:rsidRDefault="00E6209A" w:rsidP="007518A9">
      <w:pPr>
        <w:pStyle w:val="FootnoteText"/>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I.D.H., Caso Valle Jaramillo y otros Vs. Colombia. Fondo, Reparaciones y Costas. Sentencia de 27 de noviembre de 2008. Serie C No. 192, párr. 155. Véanse asimismo, Corte I.D.H., Caso Kawas Fernández Vs. Honduras. Fondo, Reparaciones y Costas. Sentencia de 3 de abril de 2009 Serie C No. 196, párrs. 112 y 115; Corte I.D.H., </w:t>
      </w:r>
      <w:r w:rsidRPr="000635BE">
        <w:rPr>
          <w:rFonts w:ascii="Cambria" w:hAnsi="Cambria"/>
          <w:bCs/>
          <w:color w:val="000000" w:themeColor="text1"/>
          <w:sz w:val="16"/>
          <w:szCs w:val="16"/>
          <w:lang w:val="uz-Cyrl-UZ"/>
        </w:rPr>
        <w:t xml:space="preserve">Caso Anzualdo Castro Vs. Perú. </w:t>
      </w:r>
      <w:r w:rsidRPr="000635BE">
        <w:rPr>
          <w:rFonts w:ascii="Cambria" w:hAnsi="Cambria"/>
          <w:color w:val="000000" w:themeColor="text1"/>
          <w:sz w:val="16"/>
          <w:szCs w:val="16"/>
          <w:lang w:val="uz-Cyrl-UZ"/>
        </w:rPr>
        <w:t xml:space="preserve">Excepción Preliminar, Fondo, Reparaciones y Costas. Sentencia de 22 de Septiembre de 2009. Serie C No. 202, párr. 156; Corte I.D.H., </w:t>
      </w:r>
      <w:r w:rsidRPr="000635BE">
        <w:rPr>
          <w:rFonts w:ascii="Cambria" w:hAnsi="Cambria"/>
          <w:bCs/>
          <w:color w:val="000000" w:themeColor="text1"/>
          <w:sz w:val="16"/>
          <w:szCs w:val="16"/>
          <w:lang w:val="uz-Cyrl-UZ"/>
        </w:rPr>
        <w:t xml:space="preserve">Caso Garibaldi Vs. Brasil. </w:t>
      </w:r>
      <w:r w:rsidRPr="000635BE">
        <w:rPr>
          <w:rFonts w:ascii="Cambria" w:hAnsi="Cambria"/>
          <w:color w:val="000000" w:themeColor="text1"/>
          <w:sz w:val="16"/>
          <w:szCs w:val="16"/>
          <w:lang w:val="uz-Cyrl-UZ"/>
        </w:rPr>
        <w:t xml:space="preserve">Excepciones Preliminares, Fondo, Reparaciones y Costas. Sentencia de 23 de septiembre de 2009. Serie C No. 203, párr. 133; Corte I.D.H., </w:t>
      </w:r>
      <w:r w:rsidRPr="000635BE">
        <w:rPr>
          <w:rFonts w:ascii="Cambria" w:hAnsi="Cambria"/>
          <w:bCs/>
          <w:color w:val="000000" w:themeColor="text1"/>
          <w:sz w:val="16"/>
          <w:szCs w:val="16"/>
          <w:lang w:val="uz-Cyrl-UZ"/>
        </w:rPr>
        <w:t xml:space="preserve">Caso Radilla Pacheco Vs. México. </w:t>
      </w:r>
      <w:r w:rsidRPr="000635BE">
        <w:rPr>
          <w:rFonts w:ascii="Cambria" w:hAnsi="Cambria"/>
          <w:color w:val="000000" w:themeColor="text1"/>
          <w:sz w:val="16"/>
          <w:szCs w:val="16"/>
          <w:lang w:val="uz-Cyrl-UZ"/>
        </w:rPr>
        <w:t xml:space="preserve">Excepciones Preliminares, Fondo, Reparaciones y Costas. Sentencia de 23 de Noviembre de 2009. Serie C No. 209, párr. 244. Ver también. CIDH. Informe 83-10. 12.584. Fondo. 13 de julio de 2010. Párr. 77. </w:t>
      </w:r>
    </w:p>
  </w:footnote>
  <w:footnote w:id="28">
    <w:p w14:paraId="1194E5C7" w14:textId="77777777" w:rsidR="00E6209A" w:rsidRPr="000635BE" w:rsidRDefault="00E6209A" w:rsidP="007518A9">
      <w:pPr>
        <w:tabs>
          <w:tab w:val="left" w:pos="720"/>
        </w:tabs>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CIDH. Informe No. 3/16. Caso 12.916. Fondo. Nitza Paola Alvarado Espinoza, Rocío Irene Alvarado Reyes, José Angel Alvarado Herrera y otros. México. 13 de abril de 2016. Párr. 271.</w:t>
      </w:r>
    </w:p>
  </w:footnote>
  <w:footnote w:id="29">
    <w:p w14:paraId="183FB160" w14:textId="77777777" w:rsidR="00E6209A" w:rsidRPr="000635BE" w:rsidRDefault="00E6209A" w:rsidP="007518A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jc w:val="both"/>
        <w:rPr>
          <w:rFonts w:ascii="Cambria" w:eastAsia="Times New Roman" w:hAnsi="Cambria"/>
          <w:color w:val="000000" w:themeColor="text1"/>
          <w:sz w:val="16"/>
          <w:szCs w:val="16"/>
          <w:bdr w:val="none" w:sz="0" w:space="0" w:color="auto"/>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Pr="000635BE">
        <w:rPr>
          <w:rFonts w:ascii="Cambria" w:eastAsia="Times New Roman" w:hAnsi="Cambria"/>
          <w:bCs/>
          <w:color w:val="000000" w:themeColor="text1"/>
          <w:sz w:val="16"/>
          <w:szCs w:val="16"/>
          <w:bdr w:val="none" w:sz="0" w:space="0" w:color="auto"/>
          <w:lang w:val="uz-Cyrl-UZ"/>
        </w:rPr>
        <w:t xml:space="preserve">Corte IDH. Caso Andrade Salmón Vs. Bolivia. Fondo, Reparaciones y Costas. Sentencia de 1 de diciembre de 2016. Serie C No. 330. Párr. 157. Citando: </w:t>
      </w:r>
      <w:r w:rsidRPr="000635BE">
        <w:rPr>
          <w:rFonts w:ascii="Cambria" w:hAnsi="Cambria"/>
          <w:color w:val="000000" w:themeColor="text1"/>
          <w:sz w:val="16"/>
          <w:szCs w:val="16"/>
          <w:lang w:val="uz-Cyrl-UZ"/>
        </w:rPr>
        <w:t>Cfr. Caso Anzualdo Castro Vs. Perú. Excepción Preliminar, Fondo, Reparaciones y Costas. Sentencia de 22 de septiembre de 2009. Serie C No. 202, párr. 156, y Caso Tenorio Roca y otros Vs. Perú, párr. 239.</w:t>
      </w:r>
      <w:r w:rsidRPr="000635BE">
        <w:rPr>
          <w:rFonts w:ascii="Cambria" w:hAnsi="Cambria"/>
          <w:color w:val="000000" w:themeColor="text1"/>
          <w:sz w:val="16"/>
          <w:szCs w:val="16"/>
          <w:lang w:val="uz-Cyrl-UZ"/>
        </w:rPr>
        <w:tab/>
      </w:r>
    </w:p>
  </w:footnote>
  <w:footnote w:id="30">
    <w:p w14:paraId="5E847E8C" w14:textId="77777777" w:rsidR="00E6209A" w:rsidRPr="000635BE" w:rsidRDefault="00E6209A" w:rsidP="007518A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jc w:val="both"/>
        <w:rPr>
          <w:rFonts w:ascii="Cambria" w:eastAsia="Times New Roman" w:hAnsi="Cambria"/>
          <w:color w:val="000000" w:themeColor="text1"/>
          <w:sz w:val="16"/>
          <w:szCs w:val="16"/>
          <w:bdr w:val="none" w:sz="0" w:space="0" w:color="auto"/>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Pr="000635BE">
        <w:rPr>
          <w:rFonts w:ascii="Cambria" w:eastAsia="Times New Roman" w:hAnsi="Cambria"/>
          <w:bCs/>
          <w:color w:val="000000" w:themeColor="text1"/>
          <w:sz w:val="16"/>
          <w:szCs w:val="16"/>
          <w:bdr w:val="none" w:sz="0" w:space="0" w:color="auto"/>
          <w:lang w:val="uz-Cyrl-UZ"/>
        </w:rPr>
        <w:t>Corte IDH. Caso Andrade Salmón Vs. Bolivia. Fondo, Reparaciones y Costas. Sentencia de 1 de diciembre de 2016. Serie C No. 330. Párr. 158.</w:t>
      </w:r>
      <w:r w:rsidRPr="000635BE">
        <w:rPr>
          <w:rFonts w:ascii="Cambria" w:hAnsi="Cambria"/>
          <w:color w:val="000000" w:themeColor="text1"/>
          <w:sz w:val="16"/>
          <w:szCs w:val="16"/>
          <w:lang w:val="uz-Cyrl-UZ"/>
        </w:rPr>
        <w:tab/>
      </w:r>
    </w:p>
  </w:footnote>
  <w:footnote w:id="31">
    <w:p w14:paraId="1BF7B66D" w14:textId="77777777" w:rsidR="00E6209A" w:rsidRPr="000635BE" w:rsidRDefault="00E6209A" w:rsidP="007518A9">
      <w:pPr>
        <w:ind w:right="-90" w:firstLine="720"/>
        <w:jc w:val="both"/>
        <w:rPr>
          <w:rFonts w:ascii="Cambria" w:hAnsi="Cambria"/>
          <w:color w:val="000000" w:themeColor="text1"/>
          <w:sz w:val="16"/>
          <w:szCs w:val="16"/>
          <w:lang w:val="uz-Cyrl-UZ" w:eastAsia="x-none"/>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IDH. </w:t>
      </w:r>
      <w:r w:rsidRPr="000635BE">
        <w:rPr>
          <w:rFonts w:ascii="Cambria" w:hAnsi="Cambria"/>
          <w:bCs/>
          <w:color w:val="000000" w:themeColor="text1"/>
          <w:sz w:val="16"/>
          <w:szCs w:val="16"/>
          <w:lang w:val="uz-Cyrl-UZ"/>
        </w:rPr>
        <w:t>Caso Genie Lacayo Vs. Nicaragua. Fondo, Reparaciones y Costas. Sentencia de 29 de enero de 1997. Serie C No. 30</w:t>
      </w:r>
      <w:r w:rsidRPr="000635BE">
        <w:rPr>
          <w:rFonts w:ascii="Cambria" w:hAnsi="Cambria"/>
          <w:color w:val="000000" w:themeColor="text1"/>
          <w:sz w:val="16"/>
          <w:szCs w:val="16"/>
          <w:lang w:val="uz-Cyrl-UZ"/>
        </w:rPr>
        <w:t xml:space="preserve">, párr. 78, y </w:t>
      </w:r>
      <w:r w:rsidRPr="000635BE">
        <w:rPr>
          <w:rFonts w:ascii="Cambria" w:hAnsi="Cambria"/>
          <w:bCs/>
          <w:color w:val="000000" w:themeColor="text1"/>
          <w:sz w:val="16"/>
          <w:szCs w:val="16"/>
          <w:lang w:val="uz-Cyrl-UZ"/>
        </w:rPr>
        <w:t>Caso Quispialaya Vilcapoma Vs. Perú, párr. 179.</w:t>
      </w:r>
      <w:r w:rsidRPr="000635BE">
        <w:rPr>
          <w:rFonts w:ascii="Cambria" w:hAnsi="Cambria"/>
          <w:color w:val="000000" w:themeColor="text1"/>
          <w:sz w:val="16"/>
          <w:szCs w:val="16"/>
          <w:lang w:val="uz-Cyrl-UZ" w:eastAsia="x-none"/>
        </w:rPr>
        <w:t xml:space="preserve"> </w:t>
      </w:r>
    </w:p>
  </w:footnote>
  <w:footnote w:id="32">
    <w:p w14:paraId="091E26DA" w14:textId="77777777" w:rsidR="00E6209A" w:rsidRPr="000635BE" w:rsidRDefault="00E6209A" w:rsidP="007518A9">
      <w:pPr>
        <w:ind w:firstLine="720"/>
        <w:jc w:val="both"/>
        <w:rPr>
          <w:rFonts w:ascii="Cambria" w:hAnsi="Cambria"/>
          <w:color w:val="000000" w:themeColor="text1"/>
          <w:sz w:val="16"/>
          <w:szCs w:val="16"/>
          <w:lang w:val="uz-Cyrl-UZ" w:eastAsia="x-none"/>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IDH. </w:t>
      </w:r>
      <w:r w:rsidRPr="000635BE">
        <w:rPr>
          <w:rFonts w:ascii="Cambria" w:hAnsi="Cambria"/>
          <w:bCs/>
          <w:color w:val="000000" w:themeColor="text1"/>
          <w:sz w:val="16"/>
          <w:szCs w:val="16"/>
          <w:lang w:val="uz-Cyrl-UZ"/>
        </w:rPr>
        <w:t>Caso Acosta Calderón Vs. Ecuador. Fondo, Reparaciones y Costas. Sentencia de 24 de junio de 2005. Serie C No. 129, párr. 106, y Caso Quispialaya Vilcapoma Vs. Perú, párr. 179</w:t>
      </w:r>
      <w:r w:rsidRPr="000635BE">
        <w:rPr>
          <w:rFonts w:ascii="Cambria" w:hAnsi="Cambria"/>
          <w:color w:val="000000" w:themeColor="text1"/>
          <w:sz w:val="16"/>
          <w:szCs w:val="16"/>
          <w:lang w:val="uz-Cyrl-UZ"/>
        </w:rPr>
        <w:t>.</w:t>
      </w:r>
    </w:p>
  </w:footnote>
  <w:footnote w:id="33">
    <w:p w14:paraId="64C535F6" w14:textId="77777777" w:rsidR="00E6209A" w:rsidRPr="000635BE" w:rsidRDefault="00E6209A" w:rsidP="007518A9">
      <w:pPr>
        <w:ind w:firstLine="720"/>
        <w:jc w:val="both"/>
        <w:rPr>
          <w:rFonts w:ascii="Cambria" w:hAnsi="Cambria"/>
          <w:color w:val="000000" w:themeColor="text1"/>
          <w:sz w:val="16"/>
          <w:szCs w:val="16"/>
          <w:lang w:val="uz-Cyrl-UZ" w:eastAsia="x-none"/>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IDH. </w:t>
      </w:r>
      <w:r w:rsidRPr="000635BE">
        <w:rPr>
          <w:rFonts w:ascii="Cambria" w:hAnsi="Cambria"/>
          <w:color w:val="000000" w:themeColor="text1"/>
          <w:sz w:val="16"/>
          <w:szCs w:val="16"/>
          <w:lang w:val="uz-Cyrl-UZ" w:eastAsia="x-none"/>
        </w:rPr>
        <w:t xml:space="preserve">Caso Furlan y familiares Vs. Argentina. Excepciones Preliminares, Fondo, Reparaciones y Costas. Sentencia de 31 de agosto de 2012. Serie C No. 246, párr. 156 y </w:t>
      </w:r>
      <w:r w:rsidRPr="000635BE">
        <w:rPr>
          <w:rFonts w:ascii="Cambria" w:hAnsi="Cambria"/>
          <w:color w:val="000000" w:themeColor="text1"/>
          <w:sz w:val="16"/>
          <w:szCs w:val="16"/>
          <w:lang w:val="uz-Cyrl-UZ"/>
        </w:rPr>
        <w:t xml:space="preserve">Caso Quispialaya Vilcapoma Vs. Perú, párr. 179. </w:t>
      </w:r>
    </w:p>
  </w:footnote>
  <w:footnote w:id="34">
    <w:p w14:paraId="7CB4041E" w14:textId="77777777" w:rsidR="00E6209A" w:rsidRPr="000635BE" w:rsidRDefault="00E6209A" w:rsidP="007518A9">
      <w:pPr>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IDH. Caso Gonzales Lluy y otros Vs. Ecuador. Excepciones Preliminares, Fondo, Reparaciones y Costas. Sentencia de 1 de septiembre de 2015. Serie C No. 298, párr. 300.</w:t>
      </w:r>
    </w:p>
  </w:footnote>
  <w:footnote w:id="35">
    <w:p w14:paraId="210EE65D" w14:textId="77777777" w:rsidR="00E6209A" w:rsidRPr="000635BE" w:rsidRDefault="00E6209A" w:rsidP="007518A9">
      <w:pPr>
        <w:ind w:firstLine="720"/>
        <w:jc w:val="both"/>
        <w:rPr>
          <w:rFonts w:ascii="Cambria" w:hAnsi="Cambria"/>
          <w:bCs/>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bCs/>
          <w:color w:val="000000" w:themeColor="text1"/>
          <w:sz w:val="16"/>
          <w:szCs w:val="16"/>
          <w:lang w:val="uz-Cyrl-UZ"/>
        </w:rPr>
        <w:t xml:space="preserve"> </w:t>
      </w:r>
      <w:r w:rsidRPr="000635BE">
        <w:rPr>
          <w:rFonts w:ascii="Cambria" w:hAnsi="Cambria"/>
          <w:color w:val="000000" w:themeColor="text1"/>
          <w:sz w:val="16"/>
          <w:szCs w:val="16"/>
          <w:lang w:val="uz-Cyrl-UZ"/>
        </w:rPr>
        <w:t xml:space="preserve">Corte IDH. </w:t>
      </w:r>
      <w:r w:rsidRPr="000635BE" w:rsidDel="00971FE9">
        <w:rPr>
          <w:rFonts w:ascii="Cambria" w:hAnsi="Cambria"/>
          <w:bCs/>
          <w:color w:val="000000" w:themeColor="text1"/>
          <w:sz w:val="16"/>
          <w:szCs w:val="16"/>
          <w:lang w:val="uz-Cyrl-UZ"/>
        </w:rPr>
        <w:t>Caso Salvador Chiriboga Vs. Ecuador. Excepción Preliminar y Fondo. Sentencia de 6 de mayo de 2008. Serie C No. 179, párr. 83</w:t>
      </w:r>
      <w:r w:rsidRPr="000635BE">
        <w:rPr>
          <w:rFonts w:ascii="Cambria" w:hAnsi="Cambria"/>
          <w:bCs/>
          <w:color w:val="000000" w:themeColor="text1"/>
          <w:sz w:val="16"/>
          <w:szCs w:val="16"/>
          <w:lang w:val="uz-Cyrl-UZ"/>
        </w:rPr>
        <w:t>.</w:t>
      </w:r>
      <w:r w:rsidRPr="000635BE" w:rsidDel="00971FE9">
        <w:rPr>
          <w:rFonts w:ascii="Cambria" w:hAnsi="Cambria"/>
          <w:bCs/>
          <w:color w:val="000000" w:themeColor="text1"/>
          <w:sz w:val="16"/>
          <w:szCs w:val="16"/>
          <w:lang w:val="uz-Cyrl-UZ"/>
        </w:rPr>
        <w:t>,</w:t>
      </w:r>
      <w:r w:rsidRPr="000635BE">
        <w:rPr>
          <w:rFonts w:ascii="Cambria" w:hAnsi="Cambria"/>
          <w:bCs/>
          <w:color w:val="000000" w:themeColor="text1"/>
          <w:sz w:val="16"/>
          <w:szCs w:val="16"/>
          <w:lang w:val="uz-Cyrl-UZ"/>
        </w:rPr>
        <w:t xml:space="preserve"> </w:t>
      </w:r>
      <w:r w:rsidRPr="000635BE">
        <w:rPr>
          <w:rFonts w:ascii="Cambria" w:hAnsi="Cambria"/>
          <w:color w:val="000000" w:themeColor="text1"/>
          <w:sz w:val="16"/>
          <w:szCs w:val="16"/>
          <w:lang w:val="uz-Cyrl-UZ" w:eastAsia="x-none"/>
        </w:rPr>
        <w:t>Caso Furlan y familiares Vs. Argentina</w:t>
      </w:r>
      <w:r w:rsidRPr="000635BE">
        <w:rPr>
          <w:rFonts w:ascii="Cambria" w:hAnsi="Cambria"/>
          <w:bCs/>
          <w:color w:val="000000" w:themeColor="text1"/>
          <w:sz w:val="16"/>
          <w:szCs w:val="16"/>
          <w:lang w:val="uz-Cyrl-UZ"/>
        </w:rPr>
        <w:t>, párr. 156 y Caso Quispialaya Vilcapoma Vs. Perú, párr. 179</w:t>
      </w:r>
      <w:r w:rsidRPr="000635BE">
        <w:rPr>
          <w:rFonts w:ascii="Cambria" w:hAnsi="Cambria"/>
          <w:color w:val="000000" w:themeColor="text1"/>
          <w:sz w:val="16"/>
          <w:szCs w:val="16"/>
          <w:lang w:val="uz-Cyrl-UZ"/>
        </w:rPr>
        <w:t xml:space="preserve">. Asimismo, </w:t>
      </w:r>
      <w:r w:rsidRPr="000635BE">
        <w:rPr>
          <w:rFonts w:ascii="Cambria" w:hAnsi="Cambria"/>
          <w:bCs/>
          <w:color w:val="000000" w:themeColor="text1"/>
          <w:sz w:val="16"/>
          <w:szCs w:val="16"/>
          <w:lang w:val="uz-Cyrl-UZ"/>
        </w:rPr>
        <w:t>Caso Salvador Chiriboga Vs. Ecuador. Excepción Preliminar y Fondo. Sentencia de 6 de mayo de 2008. Serie C No. 179, párr. 83.</w:t>
      </w:r>
    </w:p>
  </w:footnote>
  <w:footnote w:id="36">
    <w:p w14:paraId="53A8542D" w14:textId="77777777" w:rsidR="00E6209A" w:rsidRPr="000635BE" w:rsidRDefault="00E6209A" w:rsidP="007518A9">
      <w:pPr>
        <w:ind w:firstLine="720"/>
        <w:jc w:val="both"/>
        <w:rPr>
          <w:rFonts w:ascii="Cambria" w:hAnsi="Cambria"/>
          <w:color w:val="000000" w:themeColor="text1"/>
          <w:sz w:val="16"/>
          <w:szCs w:val="16"/>
          <w:lang w:val="uz-Cyrl-UZ" w:eastAsia="x-none"/>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IDH. </w:t>
      </w:r>
      <w:r w:rsidRPr="000635BE">
        <w:rPr>
          <w:rFonts w:ascii="Cambria" w:hAnsi="Cambria"/>
          <w:bCs/>
          <w:color w:val="000000" w:themeColor="text1"/>
          <w:sz w:val="16"/>
          <w:szCs w:val="16"/>
          <w:lang w:val="uz-Cyrl-UZ"/>
        </w:rPr>
        <w:t>Caso Furlan y familiares Vs. Argentina, párr. 156.</w:t>
      </w:r>
      <w:r w:rsidRPr="000635BE">
        <w:rPr>
          <w:rFonts w:ascii="Cambria" w:hAnsi="Cambria" w:cs="Verdana"/>
          <w:color w:val="000000" w:themeColor="text1"/>
          <w:sz w:val="16"/>
          <w:szCs w:val="16"/>
          <w:lang w:val="uz-Cyrl-UZ" w:eastAsia="x-none"/>
        </w:rPr>
        <w:t xml:space="preserve"> </w:t>
      </w:r>
      <w:r w:rsidRPr="000635BE">
        <w:rPr>
          <w:rFonts w:ascii="Cambria" w:hAnsi="Cambria"/>
          <w:bCs/>
          <w:color w:val="000000" w:themeColor="text1"/>
          <w:sz w:val="16"/>
          <w:szCs w:val="16"/>
          <w:lang w:val="uz-Cyrl-UZ"/>
        </w:rPr>
        <w:t>y Caso Quispialaya Vilcapoma Vs. Perú, párr. 179. Asimismo, Caso de la Masacre de Pueblo Bello Vs. Colombia, párr. 184, Caso de las Masacres de Ituango Vs. Colombia. Excepción Preliminar, Fondo, Reparaciones y Costas. Sentencia de 1 de julio de 2006. Serie C No. 148, párr. 293.</w:t>
      </w:r>
    </w:p>
  </w:footnote>
  <w:footnote w:id="37">
    <w:p w14:paraId="7BB22CBE" w14:textId="77777777" w:rsidR="00E6209A" w:rsidRPr="000635BE" w:rsidRDefault="00E6209A" w:rsidP="007518A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jc w:val="both"/>
        <w:rPr>
          <w:rFonts w:ascii="Cambria" w:eastAsia="Times New Roman" w:hAnsi="Cambria"/>
          <w:color w:val="000000" w:themeColor="text1"/>
          <w:sz w:val="16"/>
          <w:szCs w:val="16"/>
          <w:bdr w:val="none" w:sz="0" w:space="0" w:color="auto"/>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Pr="000635BE">
        <w:rPr>
          <w:rFonts w:ascii="Cambria" w:eastAsia="Times New Roman" w:hAnsi="Cambria"/>
          <w:bCs/>
          <w:color w:val="000000" w:themeColor="text1"/>
          <w:sz w:val="16"/>
          <w:szCs w:val="16"/>
          <w:bdr w:val="none" w:sz="0" w:space="0" w:color="auto"/>
          <w:lang w:val="uz-Cyrl-UZ"/>
        </w:rPr>
        <w:t>Corte IDH. Caso Andrade Salmón Vs. Bolivia. Fondo, Reparaciones y Costas. Sentencia de 1 de diciembre de 2016. Serie C No. 330. Párr. 159.</w:t>
      </w:r>
      <w:r w:rsidRPr="000635BE">
        <w:rPr>
          <w:rFonts w:ascii="Cambria" w:hAnsi="Cambria"/>
          <w:color w:val="000000" w:themeColor="text1"/>
          <w:sz w:val="16"/>
          <w:szCs w:val="16"/>
          <w:lang w:val="uz-Cyrl-UZ"/>
        </w:rPr>
        <w:tab/>
      </w:r>
    </w:p>
  </w:footnote>
  <w:footnote w:id="38">
    <w:p w14:paraId="7D6B7286" w14:textId="77777777" w:rsidR="00E6209A" w:rsidRPr="000635BE" w:rsidRDefault="00E6209A" w:rsidP="007518A9">
      <w:pPr>
        <w:tabs>
          <w:tab w:val="left" w:pos="720"/>
        </w:tabs>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CIDH. Informe No. 3/16. Caso 12.916. Fondo. Nitza Paola Alvarado Espinoza, Rocío Irene Alvarado Reyes, José Angel Alvarado Herrera y otros. México. 13 de abril de 2016. Párr. 273.</w:t>
      </w:r>
    </w:p>
  </w:footnote>
  <w:footnote w:id="39">
    <w:p w14:paraId="1E15887A" w14:textId="77777777" w:rsidR="00E6209A" w:rsidRPr="000635BE" w:rsidRDefault="00E6209A" w:rsidP="007518A9">
      <w:pPr>
        <w:pStyle w:val="FootnoteText"/>
        <w:ind w:firstLine="720"/>
        <w:jc w:val="both"/>
        <w:rPr>
          <w:rFonts w:ascii="Cambria" w:hAnsi="Cambria"/>
          <w:bCs/>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IDH. Caso Myrna Mack Chang Vs. Guatemala. Fondo, Reparaciones y Costas. Sentencia de 25 de noviembre de 2003. Serie C No. 101., párr. 211, y Caso García Ibarra y otros Vs. Ecuador, párr. 132.</w:t>
      </w:r>
    </w:p>
  </w:footnote>
  <w:footnote w:id="40">
    <w:p w14:paraId="3B21654C" w14:textId="77777777" w:rsidR="00E6209A" w:rsidRPr="000635BE" w:rsidRDefault="00E6209A" w:rsidP="005638E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Times New Roman" w:hAnsi="Cambria"/>
          <w:color w:val="000000" w:themeColor="text1"/>
          <w:sz w:val="16"/>
          <w:szCs w:val="16"/>
          <w:bdr w:val="none" w:sz="0" w:space="0" w:color="auto"/>
          <w:lang w:val="uz-Cyrl-UZ"/>
        </w:rPr>
      </w:pPr>
      <w:r w:rsidRPr="000635BE">
        <w:rPr>
          <w:rFonts w:ascii="Cambria" w:hAnsi="Cambria"/>
          <w:color w:val="000000" w:themeColor="text1"/>
          <w:sz w:val="16"/>
          <w:szCs w:val="16"/>
          <w:lang w:val="uz-Cyrl-UZ"/>
        </w:rPr>
        <w:tab/>
      </w: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Pr="000635BE">
        <w:rPr>
          <w:rFonts w:ascii="Cambria" w:eastAsia="Times New Roman" w:hAnsi="Cambria"/>
          <w:bCs/>
          <w:color w:val="000000" w:themeColor="text1"/>
          <w:sz w:val="16"/>
          <w:szCs w:val="16"/>
          <w:bdr w:val="none" w:sz="0" w:space="0" w:color="auto"/>
          <w:lang w:val="uz-Cyrl-UZ"/>
        </w:rPr>
        <w:t xml:space="preserve">Corte IDH. Caso Furlan y familiares Vs. Argentina. Excepciones Preliminares, Fondo, Reparaciones y Costas. Sentencia de 31 de agosto de 2012. Serie C No. 246. Párr. 169; Corte IDH. Caso Mémoli Vs. Argentina. Excepciones Preliminares, Fondo, Reparaciones y Costas. Sentencia de 22 de agosto de 2013. Serie C No. 265. Párrs. 171 y 176. </w:t>
      </w:r>
    </w:p>
  </w:footnote>
  <w:footnote w:id="41">
    <w:p w14:paraId="0B37D833" w14:textId="77777777" w:rsidR="00E6209A" w:rsidRPr="000635BE" w:rsidRDefault="00E6209A" w:rsidP="00C539BE">
      <w:pPr>
        <w:pStyle w:val="FootnoteText"/>
        <w:ind w:firstLine="720"/>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Europea de Derechos Humanos, </w:t>
      </w:r>
      <w:r w:rsidRPr="000635BE">
        <w:rPr>
          <w:rFonts w:ascii="Cambria" w:hAnsi="Cambria"/>
          <w:iCs/>
          <w:color w:val="000000" w:themeColor="text1"/>
          <w:sz w:val="16"/>
          <w:szCs w:val="16"/>
          <w:lang w:val="uz-Cyrl-UZ"/>
        </w:rPr>
        <w:t xml:space="preserve">Scordino v. Italy (no. 1) </w:t>
      </w:r>
      <w:r w:rsidRPr="000635BE">
        <w:rPr>
          <w:rFonts w:ascii="Cambria" w:hAnsi="Cambria"/>
          <w:color w:val="000000" w:themeColor="text1"/>
          <w:sz w:val="16"/>
          <w:szCs w:val="16"/>
          <w:lang w:val="uz-Cyrl-UZ"/>
        </w:rPr>
        <w:t xml:space="preserve">[GC]. Sentencia del 29 de marzo de 2006, Aplicación No. 36813/97, párr. 183. </w:t>
      </w:r>
    </w:p>
  </w:footnote>
  <w:footnote w:id="42">
    <w:p w14:paraId="786DC9DB" w14:textId="77777777" w:rsidR="00E6209A" w:rsidRPr="000635BE" w:rsidRDefault="00E6209A" w:rsidP="007413E4">
      <w:pPr>
        <w:pStyle w:val="FootnoteText"/>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IDH. </w:t>
      </w:r>
      <w:r w:rsidRPr="000635BE">
        <w:rPr>
          <w:rFonts w:ascii="Cambria" w:hAnsi="Cambria"/>
          <w:bCs/>
          <w:color w:val="000000" w:themeColor="text1"/>
          <w:sz w:val="16"/>
          <w:szCs w:val="16"/>
          <w:lang w:val="uz-Cyrl-UZ"/>
        </w:rPr>
        <w:t>Caso Fornerón e hija Vs. Argentina. Fondo, Reparaciones y Costas. Sentencia de 27 de abril de 2012. Serie C No. 242, párr. 69.</w:t>
      </w:r>
    </w:p>
  </w:footnote>
  <w:footnote w:id="43">
    <w:p w14:paraId="26E5D2A4" w14:textId="77777777" w:rsidR="00E6209A" w:rsidRPr="000635BE" w:rsidRDefault="00E6209A" w:rsidP="007413E4">
      <w:pPr>
        <w:pStyle w:val="FootnoteText"/>
        <w:ind w:firstLine="720"/>
        <w:jc w:val="both"/>
        <w:rPr>
          <w:rFonts w:ascii="Cambria" w:hAnsi="Cambria"/>
          <w:color w:val="000000" w:themeColor="text1"/>
          <w:sz w:val="16"/>
          <w:szCs w:val="16"/>
          <w:highlight w:val="yellow"/>
          <w:lang w:val="uz-Cyrl-UZ"/>
        </w:rPr>
      </w:pPr>
      <w:r w:rsidRPr="00924517">
        <w:rPr>
          <w:rStyle w:val="FootnoteReference"/>
          <w:rFonts w:ascii="Cambria" w:hAnsi="Cambria"/>
          <w:color w:val="000000" w:themeColor="text1"/>
          <w:sz w:val="16"/>
          <w:szCs w:val="16"/>
          <w:lang w:val="uz-Cyrl-UZ"/>
        </w:rPr>
        <w:footnoteRef/>
      </w:r>
      <w:r w:rsidRPr="00924517">
        <w:rPr>
          <w:rFonts w:ascii="Cambria" w:hAnsi="Cambria"/>
          <w:color w:val="000000" w:themeColor="text1"/>
          <w:sz w:val="16"/>
          <w:szCs w:val="16"/>
          <w:lang w:val="uz-Cyrl-UZ"/>
        </w:rPr>
        <w:t xml:space="preserve"> Corte Europea de Derechos Humanos, </w:t>
      </w:r>
      <w:r w:rsidRPr="00924517">
        <w:rPr>
          <w:rFonts w:ascii="Cambria" w:hAnsi="Cambria"/>
          <w:iCs/>
          <w:color w:val="000000" w:themeColor="text1"/>
          <w:sz w:val="16"/>
          <w:szCs w:val="16"/>
          <w:lang w:val="uz-Cyrl-UZ"/>
        </w:rPr>
        <w:t>Pafitis and Others v. Greece</w:t>
      </w:r>
      <w:r w:rsidRPr="00924517">
        <w:rPr>
          <w:rFonts w:ascii="Cambria" w:hAnsi="Cambria"/>
          <w:color w:val="000000" w:themeColor="text1"/>
          <w:sz w:val="16"/>
          <w:szCs w:val="16"/>
          <w:lang w:val="uz-Cyrl-UZ"/>
        </w:rPr>
        <w:t>. Sentencia del</w:t>
      </w:r>
      <w:r>
        <w:rPr>
          <w:rFonts w:ascii="Cambria" w:hAnsi="Cambria"/>
          <w:color w:val="000000" w:themeColor="text1"/>
          <w:sz w:val="16"/>
          <w:szCs w:val="16"/>
          <w:lang w:val="uz-Cyrl-UZ"/>
        </w:rPr>
        <w:t xml:space="preserve"> </w:t>
      </w:r>
      <w:r w:rsidRPr="00924517">
        <w:rPr>
          <w:rFonts w:ascii="Cambria" w:hAnsi="Cambria"/>
          <w:color w:val="000000" w:themeColor="text1"/>
          <w:sz w:val="16"/>
          <w:szCs w:val="16"/>
          <w:lang w:val="uz-Cyrl-UZ"/>
        </w:rPr>
        <w:t>26 de febrero 1998</w:t>
      </w:r>
      <w:r>
        <w:rPr>
          <w:rFonts w:ascii="Cambria" w:hAnsi="Cambria"/>
          <w:color w:val="000000" w:themeColor="text1"/>
          <w:sz w:val="16"/>
          <w:szCs w:val="16"/>
          <w:lang w:val="uz-Cyrl-UZ"/>
        </w:rPr>
        <w:t xml:space="preserve">. </w:t>
      </w:r>
      <w:r w:rsidRPr="00924517">
        <w:rPr>
          <w:rFonts w:ascii="Cambria" w:hAnsi="Cambria"/>
          <w:color w:val="000000" w:themeColor="text1"/>
          <w:sz w:val="16"/>
          <w:szCs w:val="16"/>
          <w:lang w:val="uz-Cyrl-UZ"/>
        </w:rPr>
        <w:t xml:space="preserve">Aplicación No. </w:t>
      </w:r>
      <w:r w:rsidRPr="009A6D0C">
        <w:rPr>
          <w:rFonts w:ascii="Cambria" w:hAnsi="Cambria"/>
          <w:bCs/>
          <w:color w:val="000000" w:themeColor="text1"/>
          <w:sz w:val="16"/>
          <w:szCs w:val="16"/>
          <w:lang w:val="uz-Cyrl-UZ"/>
        </w:rPr>
        <w:t>163/1996/782/983</w:t>
      </w:r>
      <w:r w:rsidRPr="00924517">
        <w:rPr>
          <w:rFonts w:ascii="Cambria" w:hAnsi="Cambria"/>
          <w:color w:val="000000" w:themeColor="text1"/>
          <w:sz w:val="16"/>
          <w:szCs w:val="16"/>
          <w:lang w:val="uz-Cyrl-UZ"/>
        </w:rPr>
        <w:t xml:space="preserve">, párr. 93; Corte Europea de Derechos Humanos. </w:t>
      </w:r>
      <w:r w:rsidRPr="00924517">
        <w:rPr>
          <w:rFonts w:ascii="Cambria" w:hAnsi="Cambria"/>
          <w:iCs/>
          <w:color w:val="000000" w:themeColor="text1"/>
          <w:sz w:val="16"/>
          <w:szCs w:val="16"/>
          <w:lang w:val="uz-Cyrl-UZ"/>
        </w:rPr>
        <w:t>Tierce v. San Marino</w:t>
      </w:r>
      <w:r w:rsidRPr="00924517">
        <w:rPr>
          <w:rFonts w:ascii="Cambria" w:hAnsi="Cambria"/>
          <w:color w:val="000000" w:themeColor="text1"/>
          <w:sz w:val="16"/>
          <w:szCs w:val="16"/>
          <w:lang w:val="uz-Cyrl-UZ"/>
        </w:rPr>
        <w:t xml:space="preserve">. Sentencia del 17 de junio de 2003. Aplicación No. 69700/01, párr. 31; Corte Europea de Derechos Humanos. </w:t>
      </w:r>
      <w:r w:rsidRPr="00924517">
        <w:rPr>
          <w:rFonts w:ascii="Cambria" w:hAnsi="Cambria"/>
          <w:iCs/>
          <w:color w:val="000000" w:themeColor="text1"/>
          <w:sz w:val="16"/>
          <w:szCs w:val="16"/>
          <w:lang w:val="uz-Cyrl-UZ"/>
        </w:rPr>
        <w:t xml:space="preserve">Sürmeli v. Germany </w:t>
      </w:r>
      <w:r w:rsidRPr="00924517">
        <w:rPr>
          <w:rFonts w:ascii="Cambria" w:hAnsi="Cambria"/>
          <w:color w:val="000000" w:themeColor="text1"/>
          <w:sz w:val="16"/>
          <w:szCs w:val="16"/>
          <w:lang w:val="uz-Cyrl-UZ"/>
        </w:rPr>
        <w:t xml:space="preserve">[GC]. Sentencia del 8 de junio de 2006. Aplicación No. 75529/01, párr. 129. </w:t>
      </w:r>
    </w:p>
  </w:footnote>
  <w:footnote w:id="44">
    <w:p w14:paraId="59CEAFA0" w14:textId="77777777" w:rsidR="00E6209A" w:rsidRPr="000635BE" w:rsidRDefault="00E6209A" w:rsidP="007413E4">
      <w:pPr>
        <w:pStyle w:val="FootnoteText"/>
        <w:ind w:firstLine="720"/>
        <w:jc w:val="both"/>
        <w:rPr>
          <w:rFonts w:ascii="Cambria" w:hAnsi="Cambria"/>
          <w:color w:val="000000" w:themeColor="text1"/>
          <w:sz w:val="16"/>
          <w:szCs w:val="16"/>
          <w:highlight w:val="yellow"/>
          <w:lang w:val="uz-Cyrl-UZ"/>
        </w:rPr>
      </w:pPr>
      <w:r w:rsidRPr="0022010A">
        <w:rPr>
          <w:rStyle w:val="FootnoteReference"/>
          <w:rFonts w:ascii="Cambria" w:hAnsi="Cambria"/>
          <w:color w:val="000000" w:themeColor="text1"/>
          <w:sz w:val="16"/>
          <w:szCs w:val="16"/>
          <w:lang w:val="uz-Cyrl-UZ"/>
        </w:rPr>
        <w:footnoteRef/>
      </w:r>
      <w:r w:rsidRPr="0022010A">
        <w:rPr>
          <w:rFonts w:ascii="Cambria" w:hAnsi="Cambria"/>
          <w:color w:val="000000" w:themeColor="text1"/>
          <w:sz w:val="16"/>
          <w:szCs w:val="16"/>
          <w:lang w:val="uz-Cyrl-UZ"/>
        </w:rPr>
        <w:t xml:space="preserve"> Corte Europea de Derechos Humanos, </w:t>
      </w:r>
      <w:r w:rsidRPr="0022010A">
        <w:rPr>
          <w:rFonts w:ascii="Cambria" w:hAnsi="Cambria"/>
          <w:iCs/>
          <w:color w:val="000000" w:themeColor="text1"/>
          <w:sz w:val="16"/>
          <w:szCs w:val="16"/>
          <w:lang w:val="uz-Cyrl-UZ"/>
        </w:rPr>
        <w:t>Capuano v. Italy</w:t>
      </w:r>
      <w:r w:rsidRPr="0022010A">
        <w:rPr>
          <w:rFonts w:ascii="Cambria" w:hAnsi="Cambria"/>
          <w:color w:val="000000" w:themeColor="text1"/>
          <w:sz w:val="16"/>
          <w:szCs w:val="16"/>
          <w:lang w:val="uz-Cyrl-UZ"/>
        </w:rPr>
        <w:t>. Sentencia del 25 de junio de 1987. Aplicación No. 9381/81, párrs 30-31; Corte Europea de Derechos Humanos</w:t>
      </w:r>
      <w:r w:rsidRPr="0022010A">
        <w:rPr>
          <w:rFonts w:ascii="Cambria" w:hAnsi="Cambria"/>
          <w:iCs/>
          <w:color w:val="000000" w:themeColor="text1"/>
          <w:sz w:val="16"/>
          <w:szCs w:val="16"/>
          <w:lang w:val="uz-Cyrl-UZ"/>
        </w:rPr>
        <w:t>. Versini v. France</w:t>
      </w:r>
      <w:r w:rsidRPr="0022010A">
        <w:rPr>
          <w:rFonts w:ascii="Cambria" w:hAnsi="Cambria"/>
          <w:color w:val="000000" w:themeColor="text1"/>
          <w:sz w:val="16"/>
          <w:szCs w:val="16"/>
          <w:lang w:val="uz-Cyrl-UZ"/>
        </w:rPr>
        <w:t xml:space="preserve">, Sentencia del 10 de julio de 2001. Aplicación No. 40096/98, párr. 29; Corte Europea de Derechos Humanos. </w:t>
      </w:r>
      <w:r w:rsidRPr="0022010A">
        <w:rPr>
          <w:rFonts w:ascii="Cambria" w:hAnsi="Cambria"/>
          <w:iCs/>
          <w:color w:val="000000" w:themeColor="text1"/>
          <w:sz w:val="16"/>
          <w:szCs w:val="16"/>
          <w:lang w:val="uz-Cyrl-UZ"/>
        </w:rPr>
        <w:t xml:space="preserve">Sürmeli v. Germany </w:t>
      </w:r>
      <w:r w:rsidRPr="0022010A">
        <w:rPr>
          <w:rFonts w:ascii="Cambria" w:hAnsi="Cambria"/>
          <w:color w:val="000000" w:themeColor="text1"/>
          <w:sz w:val="16"/>
          <w:szCs w:val="16"/>
          <w:lang w:val="uz-Cyrl-UZ"/>
        </w:rPr>
        <w:t>[GC]. Sentencia del 8 de junio de 2006. Aplicación No. 75529/01, párr. 129.</w:t>
      </w:r>
    </w:p>
  </w:footnote>
  <w:footnote w:id="45">
    <w:p w14:paraId="693462FE" w14:textId="77777777" w:rsidR="00E6209A" w:rsidRPr="000635BE" w:rsidRDefault="00E6209A" w:rsidP="007413E4">
      <w:pPr>
        <w:pStyle w:val="FootnoteText"/>
        <w:ind w:firstLine="720"/>
        <w:jc w:val="both"/>
        <w:rPr>
          <w:rFonts w:ascii="Cambria" w:hAnsi="Cambria"/>
          <w:color w:val="000000" w:themeColor="text1"/>
          <w:sz w:val="16"/>
          <w:szCs w:val="16"/>
          <w:highlight w:val="yellow"/>
          <w:lang w:val="uz-Cyrl-UZ"/>
        </w:rPr>
      </w:pPr>
      <w:r w:rsidRPr="007413E4">
        <w:rPr>
          <w:rStyle w:val="FootnoteReference"/>
          <w:rFonts w:ascii="Cambria" w:hAnsi="Cambria"/>
          <w:color w:val="000000" w:themeColor="text1"/>
          <w:sz w:val="16"/>
          <w:szCs w:val="16"/>
          <w:lang w:val="uz-Cyrl-UZ"/>
        </w:rPr>
        <w:footnoteRef/>
      </w:r>
      <w:r w:rsidRPr="007413E4">
        <w:rPr>
          <w:rFonts w:ascii="Cambria" w:hAnsi="Cambria"/>
          <w:color w:val="000000" w:themeColor="text1"/>
          <w:sz w:val="16"/>
          <w:szCs w:val="16"/>
          <w:lang w:val="uz-Cyrl-UZ"/>
        </w:rPr>
        <w:t xml:space="preserve"> Corte Europea de Derechos Humanos. </w:t>
      </w:r>
      <w:r w:rsidRPr="007413E4">
        <w:rPr>
          <w:rFonts w:ascii="Cambria" w:hAnsi="Cambria"/>
          <w:iCs/>
          <w:color w:val="000000" w:themeColor="text1"/>
          <w:sz w:val="16"/>
          <w:szCs w:val="16"/>
          <w:lang w:val="uz-Cyrl-UZ"/>
        </w:rPr>
        <w:t>Deumeland v. Germany</w:t>
      </w:r>
      <w:r w:rsidRPr="007413E4">
        <w:rPr>
          <w:rFonts w:ascii="Cambria" w:hAnsi="Cambria"/>
          <w:color w:val="000000" w:themeColor="text1"/>
          <w:sz w:val="16"/>
          <w:szCs w:val="16"/>
          <w:lang w:val="uz-Cyrl-UZ"/>
        </w:rPr>
        <w:t>. Sentencia del 29 de mayo de 1986, Aplicación No. 9384/81, párr. 90.</w:t>
      </w:r>
    </w:p>
  </w:footnote>
  <w:footnote w:id="46">
    <w:p w14:paraId="19C68A42" w14:textId="77777777" w:rsidR="00E6209A" w:rsidRPr="007413E4" w:rsidRDefault="00E6209A" w:rsidP="007413E4">
      <w:pPr>
        <w:pStyle w:val="FootnoteText"/>
        <w:ind w:firstLine="720"/>
        <w:jc w:val="both"/>
        <w:rPr>
          <w:rFonts w:ascii="Cambria" w:hAnsi="Cambria"/>
          <w:color w:val="000000" w:themeColor="text1"/>
          <w:sz w:val="16"/>
          <w:szCs w:val="16"/>
          <w:lang w:val="uz-Cyrl-UZ"/>
        </w:rPr>
      </w:pPr>
      <w:r w:rsidRPr="007413E4">
        <w:rPr>
          <w:rStyle w:val="FootnoteReference"/>
          <w:rFonts w:ascii="Cambria" w:hAnsi="Cambria"/>
          <w:color w:val="000000" w:themeColor="text1"/>
          <w:sz w:val="16"/>
          <w:szCs w:val="16"/>
          <w:lang w:val="uz-Cyrl-UZ"/>
        </w:rPr>
        <w:footnoteRef/>
      </w:r>
      <w:r w:rsidRPr="007413E4">
        <w:rPr>
          <w:rFonts w:ascii="Cambria" w:hAnsi="Cambria"/>
          <w:color w:val="000000" w:themeColor="text1"/>
          <w:sz w:val="16"/>
          <w:szCs w:val="16"/>
          <w:lang w:val="uz-Cyrl-UZ"/>
        </w:rPr>
        <w:t xml:space="preserve"> Corte Europea de Derechos Humanos.</w:t>
      </w:r>
      <w:r w:rsidRPr="007413E4">
        <w:rPr>
          <w:rFonts w:ascii="Cambria" w:hAnsi="Cambria"/>
          <w:iCs/>
          <w:color w:val="000000" w:themeColor="text1"/>
          <w:sz w:val="16"/>
          <w:szCs w:val="16"/>
          <w:lang w:val="uz-Cyrl-UZ"/>
        </w:rPr>
        <w:t xml:space="preserve"> Pretto and Others v. Italy. </w:t>
      </w:r>
      <w:r w:rsidRPr="007413E4">
        <w:rPr>
          <w:rFonts w:ascii="Cambria" w:hAnsi="Cambria"/>
          <w:color w:val="000000" w:themeColor="text1"/>
          <w:sz w:val="16"/>
          <w:szCs w:val="16"/>
          <w:lang w:val="uz-Cyrl-UZ"/>
        </w:rPr>
        <w:t xml:space="preserve"> Sentencia del 8 de diciembre de 1983, Aplicación No. 7984/77, párr. 37.</w:t>
      </w:r>
    </w:p>
  </w:footnote>
  <w:footnote w:id="47">
    <w:p w14:paraId="70B2D39A" w14:textId="77777777" w:rsidR="00E6209A" w:rsidRPr="000635BE" w:rsidRDefault="00E6209A" w:rsidP="007413E4">
      <w:pPr>
        <w:pStyle w:val="FootnoteText"/>
        <w:ind w:firstLine="720"/>
        <w:jc w:val="both"/>
        <w:rPr>
          <w:rFonts w:ascii="Cambria" w:hAnsi="Cambria"/>
          <w:color w:val="000000" w:themeColor="text1"/>
          <w:sz w:val="16"/>
          <w:szCs w:val="16"/>
          <w:lang w:val="uz-Cyrl-UZ"/>
        </w:rPr>
      </w:pPr>
      <w:r w:rsidRPr="007413E4">
        <w:rPr>
          <w:rStyle w:val="FootnoteReference"/>
          <w:rFonts w:ascii="Cambria" w:hAnsi="Cambria"/>
          <w:color w:val="000000" w:themeColor="text1"/>
          <w:sz w:val="16"/>
          <w:szCs w:val="16"/>
          <w:lang w:val="uz-Cyrl-UZ"/>
        </w:rPr>
        <w:footnoteRef/>
      </w:r>
      <w:r w:rsidRPr="007413E4">
        <w:rPr>
          <w:rFonts w:ascii="Cambria" w:hAnsi="Cambria"/>
          <w:color w:val="000000" w:themeColor="text1"/>
          <w:sz w:val="16"/>
          <w:szCs w:val="16"/>
          <w:lang w:val="uz-Cyrl-UZ"/>
        </w:rPr>
        <w:t xml:space="preserve"> Corte Europea de Derechos Humanos, </w:t>
      </w:r>
      <w:r w:rsidRPr="007413E4">
        <w:rPr>
          <w:rFonts w:ascii="Cambria" w:hAnsi="Cambria"/>
          <w:iCs/>
          <w:color w:val="000000" w:themeColor="text1"/>
          <w:sz w:val="16"/>
          <w:szCs w:val="16"/>
          <w:lang w:val="uz-Cyrl-UZ"/>
        </w:rPr>
        <w:t xml:space="preserve">Martins Moreira v. Portugal </w:t>
      </w:r>
      <w:r w:rsidRPr="007413E4">
        <w:rPr>
          <w:rFonts w:ascii="Cambria" w:hAnsi="Cambria"/>
          <w:color w:val="000000" w:themeColor="text1"/>
          <w:sz w:val="16"/>
          <w:szCs w:val="16"/>
          <w:lang w:val="uz-Cyrl-UZ"/>
        </w:rPr>
        <w:t>[GC]. Sentencia del 11 de julio de 2017. Aplicación No. 19867/12, párr. 60.</w:t>
      </w:r>
    </w:p>
  </w:footnote>
  <w:footnote w:id="48">
    <w:p w14:paraId="176C9BAE" w14:textId="77777777" w:rsidR="00E6209A" w:rsidRPr="000635BE" w:rsidRDefault="00E6209A" w:rsidP="007413E4">
      <w:pPr>
        <w:pStyle w:val="FootnoteText"/>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IDH. </w:t>
      </w:r>
      <w:r w:rsidRPr="000635BE">
        <w:rPr>
          <w:rFonts w:ascii="Cambria" w:hAnsi="Cambria"/>
          <w:bCs/>
          <w:color w:val="000000" w:themeColor="text1"/>
          <w:sz w:val="16"/>
          <w:szCs w:val="16"/>
          <w:lang w:val="uz-Cyrl-UZ"/>
        </w:rPr>
        <w:t>Caso Valle Jaramillo y otros Vs. Colombia, párr. 155, y Caso Furlan y familiares Vs. Argentina, párr. 202.</w:t>
      </w:r>
    </w:p>
  </w:footnote>
  <w:footnote w:id="49">
    <w:p w14:paraId="3C9D28DE" w14:textId="77777777" w:rsidR="00E6209A" w:rsidRPr="000635BE" w:rsidRDefault="00E6209A" w:rsidP="007413E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jc w:val="both"/>
        <w:rPr>
          <w:rFonts w:ascii="Cambria" w:eastAsia="Times New Roman" w:hAnsi="Cambria"/>
          <w:color w:val="000000" w:themeColor="text1"/>
          <w:sz w:val="16"/>
          <w:szCs w:val="16"/>
          <w:bdr w:val="none" w:sz="0" w:space="0" w:color="auto"/>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Pr="000635BE">
        <w:rPr>
          <w:rFonts w:ascii="Cambria" w:eastAsia="Times New Roman" w:hAnsi="Cambria"/>
          <w:bCs/>
          <w:color w:val="000000" w:themeColor="text1"/>
          <w:sz w:val="16"/>
          <w:szCs w:val="16"/>
          <w:bdr w:val="none" w:sz="0" w:space="0" w:color="auto"/>
          <w:lang w:val="uz-Cyrl-UZ"/>
        </w:rPr>
        <w:t>Corte IDH. Caso Furlan y familiares Vs. Argentina. Excepciones Preliminares, Fondo, Reparaciones y Costas. Sentencia de 31 de agosto de 2012. Serie C No. 246. Párr. 196.</w:t>
      </w:r>
    </w:p>
  </w:footnote>
  <w:footnote w:id="50">
    <w:p w14:paraId="7435B180" w14:textId="77777777" w:rsidR="00E6209A" w:rsidRPr="000635BE" w:rsidRDefault="00E6209A" w:rsidP="007413E4">
      <w:pPr>
        <w:pStyle w:val="FootnoteText"/>
        <w:ind w:firstLine="720"/>
        <w:jc w:val="both"/>
        <w:rPr>
          <w:rFonts w:ascii="Cambria" w:hAnsi="Cambria"/>
          <w:color w:val="000000" w:themeColor="text1"/>
          <w:sz w:val="16"/>
          <w:szCs w:val="16"/>
          <w:lang w:val="uz-Cyrl-UZ"/>
        </w:rPr>
      </w:pPr>
      <w:r w:rsidRPr="007413E4">
        <w:rPr>
          <w:rStyle w:val="FootnoteReference"/>
          <w:rFonts w:ascii="Cambria" w:hAnsi="Cambria"/>
          <w:color w:val="000000" w:themeColor="text1"/>
          <w:sz w:val="16"/>
          <w:szCs w:val="16"/>
          <w:lang w:val="uz-Cyrl-UZ"/>
        </w:rPr>
        <w:footnoteRef/>
      </w:r>
      <w:r w:rsidRPr="007413E4">
        <w:rPr>
          <w:rFonts w:ascii="Cambria" w:hAnsi="Cambria"/>
          <w:color w:val="000000" w:themeColor="text1"/>
          <w:sz w:val="16"/>
          <w:szCs w:val="16"/>
          <w:lang w:val="uz-Cyrl-UZ"/>
        </w:rPr>
        <w:t xml:space="preserve"> Corte Europea de Derechos Humanos.</w:t>
      </w:r>
      <w:r w:rsidRPr="007413E4">
        <w:rPr>
          <w:rFonts w:ascii="Cambria" w:hAnsi="Cambria"/>
          <w:iCs/>
          <w:color w:val="000000" w:themeColor="text1"/>
          <w:sz w:val="16"/>
          <w:szCs w:val="16"/>
          <w:lang w:val="uz-Cyrl-UZ"/>
        </w:rPr>
        <w:t xml:space="preserve"> Vocaturo v. Italy</w:t>
      </w:r>
      <w:r w:rsidRPr="007413E4">
        <w:rPr>
          <w:rFonts w:ascii="Cambria" w:hAnsi="Cambria"/>
          <w:color w:val="000000" w:themeColor="text1"/>
          <w:sz w:val="16"/>
          <w:szCs w:val="16"/>
          <w:lang w:val="uz-Cyrl-UZ"/>
        </w:rPr>
        <w:t>. Sentencia del 24 de mayo de 1991, Aplicación No. 11981/95, párr. 17.</w:t>
      </w:r>
      <w:r w:rsidRPr="000635BE">
        <w:rPr>
          <w:rFonts w:ascii="Cambria" w:hAnsi="Cambria"/>
          <w:color w:val="000000" w:themeColor="text1"/>
          <w:sz w:val="16"/>
          <w:szCs w:val="16"/>
          <w:lang w:val="uz-Cyrl-UZ"/>
        </w:rPr>
        <w:tab/>
      </w:r>
    </w:p>
  </w:footnote>
  <w:footnote w:id="51">
    <w:p w14:paraId="4AE76812" w14:textId="77777777" w:rsidR="00E6209A" w:rsidRPr="000635BE" w:rsidRDefault="00E6209A" w:rsidP="007413E4">
      <w:pPr>
        <w:pStyle w:val="FootnoteText"/>
        <w:ind w:firstLine="720"/>
        <w:jc w:val="both"/>
        <w:rPr>
          <w:rFonts w:ascii="Cambria" w:hAnsi="Cambria"/>
          <w:b/>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CIDH. Informe No. 42/14. Caso 12.453. Fondo. Olga Yolanda Maldonado Ordóñez. Guatemala. 17 de julio de 2014. Párr. 62.</w:t>
      </w:r>
    </w:p>
  </w:footnote>
  <w:footnote w:id="52">
    <w:p w14:paraId="2A905C06" w14:textId="77777777" w:rsidR="00E6209A" w:rsidRPr="000635BE" w:rsidRDefault="00E6209A" w:rsidP="007518A9">
      <w:pPr>
        <w:pStyle w:val="FootnoteText"/>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IDH. </w:t>
      </w:r>
      <w:r w:rsidRPr="000635BE">
        <w:rPr>
          <w:rFonts w:ascii="Cambria" w:hAnsi="Cambria" w:cs="Arial"/>
          <w:color w:val="000000" w:themeColor="text1"/>
          <w:sz w:val="16"/>
          <w:szCs w:val="16"/>
          <w:shd w:val="clear" w:color="auto" w:fill="FFFFFF"/>
          <w:lang w:val="uz-Cyrl-UZ"/>
        </w:rPr>
        <w:t>Caso Trabajadores Cesados del Congreso (Aguado Alfaro y otros) Vs. Perú. Excepciones Preliminares, Fondo, Reparaciones y Costas. Sentencia de 24 de Noviembre de 2006. Serie C No. 158</w:t>
      </w:r>
      <w:r w:rsidRPr="000635BE">
        <w:rPr>
          <w:rFonts w:ascii="Cambria" w:hAnsi="Cambria"/>
          <w:color w:val="000000" w:themeColor="text1"/>
          <w:sz w:val="16"/>
          <w:szCs w:val="16"/>
          <w:lang w:val="uz-Cyrl-UZ"/>
        </w:rPr>
        <w:t xml:space="preserve">, párr. 107; y </w:t>
      </w:r>
      <w:hyperlink r:id="rId3" w:history="1">
        <w:r w:rsidRPr="000635BE">
          <w:rPr>
            <w:rStyle w:val="Hyperlink"/>
            <w:rFonts w:ascii="Cambria" w:hAnsi="Cambria" w:cs="Arial"/>
            <w:color w:val="000000" w:themeColor="text1"/>
            <w:sz w:val="16"/>
            <w:szCs w:val="16"/>
            <w:u w:val="none"/>
            <w:shd w:val="clear" w:color="auto" w:fill="FFFFFF"/>
            <w:lang w:val="uz-Cyrl-UZ"/>
          </w:rPr>
          <w:t>Caso de las Masacres de Ituango Vs. Colombia. Sentencia de 1 de julio de 2006 Serie C No. 148</w:t>
        </w:r>
      </w:hyperlink>
      <w:r w:rsidRPr="000635BE">
        <w:rPr>
          <w:rFonts w:ascii="Cambria" w:hAnsi="Cambria"/>
          <w:color w:val="000000" w:themeColor="text1"/>
          <w:sz w:val="16"/>
          <w:szCs w:val="16"/>
          <w:lang w:val="uz-Cyrl-UZ"/>
        </w:rPr>
        <w:t>, párr. 365.</w:t>
      </w:r>
    </w:p>
  </w:footnote>
  <w:footnote w:id="53">
    <w:p w14:paraId="7F2711B7" w14:textId="77777777" w:rsidR="00E6209A" w:rsidRPr="000635BE" w:rsidRDefault="00E6209A" w:rsidP="007518A9">
      <w:pPr>
        <w:pStyle w:val="FootnoteText"/>
        <w:ind w:firstLine="720"/>
        <w:jc w:val="both"/>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Corte IDH. </w:t>
      </w:r>
      <w:r w:rsidRPr="000635BE">
        <w:rPr>
          <w:rFonts w:ascii="Cambria" w:hAnsi="Cambria"/>
          <w:bCs/>
          <w:color w:val="000000" w:themeColor="text1"/>
          <w:sz w:val="16"/>
          <w:szCs w:val="16"/>
          <w:lang w:val="uz-Cyrl-UZ"/>
        </w:rPr>
        <w:t>Caso Abrill Alosilla y otros Vs. Perú. Fondo, Reparaciones y Costas. Sentencia de 4 de marzo de 2011. Serie C</w:t>
      </w:r>
      <w:r w:rsidRPr="009A6D0C">
        <w:rPr>
          <w:rFonts w:ascii="Cambria" w:hAnsi="Cambria"/>
          <w:bCs/>
          <w:color w:val="000000" w:themeColor="text1"/>
          <w:sz w:val="16"/>
          <w:szCs w:val="16"/>
          <w:lang w:val="uz-Cyrl-UZ"/>
        </w:rPr>
        <w:t xml:space="preserve"> No. 223</w:t>
      </w:r>
      <w:r w:rsidRPr="000635BE">
        <w:rPr>
          <w:rFonts w:ascii="Cambria" w:hAnsi="Cambria"/>
          <w:color w:val="000000" w:themeColor="text1"/>
          <w:sz w:val="16"/>
          <w:szCs w:val="16"/>
          <w:lang w:val="uz-Cyrl-UZ"/>
        </w:rPr>
        <w:t>, párr. 75. Las citas internas presentes en el texto original fueron omitidas.</w:t>
      </w:r>
    </w:p>
  </w:footnote>
  <w:footnote w:id="54">
    <w:p w14:paraId="18DF9AE2" w14:textId="77777777" w:rsidR="00E6209A" w:rsidRPr="000635BE" w:rsidRDefault="00E6209A" w:rsidP="002D3EB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firstLine="720"/>
        <w:jc w:val="both"/>
        <w:rPr>
          <w:rFonts w:ascii="Cambria" w:eastAsia="Times New Roman" w:hAnsi="Cambria"/>
          <w:color w:val="000000" w:themeColor="text1"/>
          <w:sz w:val="16"/>
          <w:szCs w:val="16"/>
          <w:bdr w:val="none" w:sz="0" w:space="0" w:color="auto"/>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w:t>
      </w:r>
      <w:r w:rsidRPr="000635BE">
        <w:rPr>
          <w:rFonts w:ascii="Cambria" w:eastAsia="Times New Roman" w:hAnsi="Cambria"/>
          <w:bCs/>
          <w:color w:val="000000" w:themeColor="text1"/>
          <w:sz w:val="16"/>
          <w:szCs w:val="16"/>
          <w:bdr w:val="none" w:sz="0" w:space="0" w:color="auto"/>
          <w:lang w:val="uz-Cyrl-UZ"/>
        </w:rPr>
        <w:t>Corte IDH. Caso Mémoli Vs. Argentina. Excepciones Preliminares, Fondo, Reparaciones y Costas. Sentencia de 22 de agosto de 2013. Serie C No. 265, párr. 172.</w:t>
      </w:r>
    </w:p>
  </w:footnote>
  <w:footnote w:id="55">
    <w:p w14:paraId="55459E40" w14:textId="77777777" w:rsidR="00E6209A" w:rsidRPr="000635BE" w:rsidRDefault="00E6209A" w:rsidP="00C65296">
      <w:pPr>
        <w:pStyle w:val="FootnoteText"/>
        <w:ind w:firstLine="720"/>
        <w:rPr>
          <w:rFonts w:ascii="Cambria" w:hAnsi="Cambria"/>
          <w:color w:val="000000" w:themeColor="text1"/>
          <w:sz w:val="16"/>
          <w:szCs w:val="16"/>
          <w:lang w:val="uz-Cyrl-UZ"/>
        </w:rPr>
      </w:pPr>
      <w:r w:rsidRPr="000635BE">
        <w:rPr>
          <w:rStyle w:val="FootnoteReference"/>
          <w:rFonts w:ascii="Cambria" w:hAnsi="Cambria"/>
          <w:color w:val="000000" w:themeColor="text1"/>
          <w:sz w:val="16"/>
          <w:szCs w:val="16"/>
          <w:lang w:val="uz-Cyrl-UZ"/>
        </w:rPr>
        <w:footnoteRef/>
      </w:r>
      <w:r w:rsidRPr="000635BE">
        <w:rPr>
          <w:rFonts w:ascii="Cambria" w:hAnsi="Cambria"/>
          <w:color w:val="000000" w:themeColor="text1"/>
          <w:sz w:val="16"/>
          <w:szCs w:val="16"/>
          <w:lang w:val="uz-Cyrl-UZ"/>
        </w:rPr>
        <w:t xml:space="preserve"> C</w:t>
      </w:r>
      <w:r w:rsidRPr="000635BE">
        <w:rPr>
          <w:rFonts w:ascii="Cambria" w:eastAsia="Times New Roman" w:hAnsi="Cambria"/>
          <w:bCs/>
          <w:color w:val="000000" w:themeColor="text1"/>
          <w:sz w:val="16"/>
          <w:szCs w:val="16"/>
          <w:bdr w:val="none" w:sz="0" w:space="0" w:color="auto"/>
          <w:lang w:val="uz-Cyrl-UZ"/>
        </w:rPr>
        <w:t xml:space="preserve">orte IDH. Caso Mémoli Vs. Argentina. Excepciones Preliminares, Fondo, Reparaciones y Costas. Sentencia de 22 de agosto de </w:t>
      </w:r>
      <w:r>
        <w:rPr>
          <w:rFonts w:ascii="Cambria" w:eastAsia="Times New Roman" w:hAnsi="Cambria"/>
          <w:bCs/>
          <w:color w:val="000000" w:themeColor="text1"/>
          <w:sz w:val="16"/>
          <w:szCs w:val="16"/>
          <w:bdr w:val="none" w:sz="0" w:space="0" w:color="auto"/>
          <w:lang w:val="uz-Cyrl-UZ"/>
        </w:rPr>
        <w:t>2013. Serie C No. 265, párr.</w:t>
      </w:r>
      <w:r w:rsidRPr="000635BE">
        <w:rPr>
          <w:rFonts w:ascii="Cambria" w:eastAsia="Times New Roman" w:hAnsi="Cambria"/>
          <w:bCs/>
          <w:color w:val="000000" w:themeColor="text1"/>
          <w:sz w:val="16"/>
          <w:szCs w:val="16"/>
          <w:bdr w:val="none" w:sz="0" w:space="0" w:color="auto"/>
          <w:lang w:val="uz-Cyrl-UZ"/>
        </w:rPr>
        <w:t xml:space="preserve"> 176.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A993" w14:textId="77777777" w:rsidR="00E6209A" w:rsidRDefault="00E6209A" w:rsidP="00526C1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6053B74" w14:textId="77777777" w:rsidR="00E6209A" w:rsidRDefault="00E62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AE94D" w14:textId="77777777" w:rsidR="00E6209A" w:rsidRDefault="00E6209A" w:rsidP="00526C1C">
    <w:pPr>
      <w:pStyle w:val="Header"/>
      <w:tabs>
        <w:tab w:val="clear" w:pos="4320"/>
        <w:tab w:val="clear" w:pos="8640"/>
      </w:tabs>
      <w:jc w:val="center"/>
      <w:rPr>
        <w:sz w:val="22"/>
        <w:szCs w:val="22"/>
      </w:rPr>
    </w:pPr>
    <w:r>
      <w:rPr>
        <w:noProof/>
        <w:sz w:val="22"/>
        <w:szCs w:val="22"/>
      </w:rPr>
      <w:drawing>
        <wp:inline distT="0" distB="0" distL="0" distR="0" wp14:anchorId="5D7081F1" wp14:editId="4035DA29">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554ED9D" w14:textId="77777777" w:rsidR="00E6209A" w:rsidRPr="00EC7D62" w:rsidRDefault="00BA3731" w:rsidP="00526C1C">
    <w:pPr>
      <w:pStyle w:val="Header"/>
      <w:tabs>
        <w:tab w:val="clear" w:pos="4320"/>
        <w:tab w:val="clear" w:pos="8640"/>
      </w:tabs>
      <w:jc w:val="center"/>
      <w:rPr>
        <w:sz w:val="22"/>
        <w:szCs w:val="22"/>
      </w:rPr>
    </w:pPr>
    <w:r>
      <w:rPr>
        <w:sz w:val="22"/>
        <w:szCs w:val="22"/>
      </w:rPr>
      <w:pict w14:anchorId="6CFF280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6E0"/>
    <w:multiLevelType w:val="multilevel"/>
    <w:tmpl w:val="5B4E242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 w15:restartNumberingAfterBreak="0">
    <w:nsid w:val="1111610F"/>
    <w:multiLevelType w:val="multilevel"/>
    <w:tmpl w:val="6E38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E486D"/>
    <w:multiLevelType w:val="hybridMultilevel"/>
    <w:tmpl w:val="3EDA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50020"/>
    <w:multiLevelType w:val="hybridMultilevel"/>
    <w:tmpl w:val="9F78524C"/>
    <w:lvl w:ilvl="0" w:tplc="C762AB1E">
      <w:start w:val="1"/>
      <w:numFmt w:val="decimal"/>
      <w:lvlText w:val="%1."/>
      <w:lvlJc w:val="left"/>
      <w:pPr>
        <w:tabs>
          <w:tab w:val="num" w:pos="1429"/>
        </w:tabs>
        <w:ind w:firstLine="720"/>
      </w:pPr>
      <w:rPr>
        <w:rFonts w:ascii="Cambria" w:hAnsi="Cambri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E34EED"/>
    <w:multiLevelType w:val="hybridMultilevel"/>
    <w:tmpl w:val="428E9518"/>
    <w:lvl w:ilvl="0" w:tplc="655AB6F4">
      <w:start w:val="27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0263C"/>
    <w:multiLevelType w:val="multilevel"/>
    <w:tmpl w:val="1E586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51CD3"/>
    <w:multiLevelType w:val="hybridMultilevel"/>
    <w:tmpl w:val="0F2EC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53E0F"/>
    <w:multiLevelType w:val="multilevel"/>
    <w:tmpl w:val="EF621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870331"/>
    <w:multiLevelType w:val="multilevel"/>
    <w:tmpl w:val="2858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430424"/>
    <w:multiLevelType w:val="hybridMultilevel"/>
    <w:tmpl w:val="28EC4CF0"/>
    <w:lvl w:ilvl="0" w:tplc="16B68AC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8862D6"/>
    <w:multiLevelType w:val="hybridMultilevel"/>
    <w:tmpl w:val="50A897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C61D90"/>
    <w:multiLevelType w:val="hybridMultilevel"/>
    <w:tmpl w:val="FF1683A4"/>
    <w:lvl w:ilvl="0" w:tplc="BD7256C8">
      <w:start w:val="1"/>
      <w:numFmt w:val="decimal"/>
      <w:lvlText w:val="%1."/>
      <w:lvlJc w:val="left"/>
      <w:pPr>
        <w:tabs>
          <w:tab w:val="num" w:pos="1080"/>
        </w:tabs>
        <w:ind w:left="1080" w:hanging="360"/>
      </w:pPr>
      <w:rPr>
        <w:rFonts w:ascii="Cambria" w:hAnsi="Cambria" w:cs="Times New Roman" w:hint="default"/>
        <w:b w:val="0"/>
        <w:i w:val="0"/>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B6C6D"/>
    <w:multiLevelType w:val="hybridMultilevel"/>
    <w:tmpl w:val="AA5AA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BC0F2F"/>
    <w:multiLevelType w:val="multilevel"/>
    <w:tmpl w:val="E0D62788"/>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BC80AEC"/>
    <w:multiLevelType w:val="multilevel"/>
    <w:tmpl w:val="6744F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E731B6"/>
    <w:multiLevelType w:val="hybridMultilevel"/>
    <w:tmpl w:val="4AAE7D5A"/>
    <w:lvl w:ilvl="0" w:tplc="5520FEA0">
      <w:start w:val="6"/>
      <w:numFmt w:val="decimal"/>
      <w:lvlText w:val="%1."/>
      <w:lvlJc w:val="left"/>
      <w:pPr>
        <w:ind w:left="900" w:hanging="360"/>
      </w:pPr>
      <w:rPr>
        <w:rFonts w:ascii="Verdana" w:eastAsia="Calibri" w:hAnsi="Verdana"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C66CA"/>
    <w:multiLevelType w:val="hybridMultilevel"/>
    <w:tmpl w:val="50FAD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03C60"/>
    <w:multiLevelType w:val="hybridMultilevel"/>
    <w:tmpl w:val="FE326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D4B9D"/>
    <w:multiLevelType w:val="hybridMultilevel"/>
    <w:tmpl w:val="961E8CC4"/>
    <w:lvl w:ilvl="0" w:tplc="9E0CAF0C">
      <w:start w:val="1"/>
      <w:numFmt w:val="decimal"/>
      <w:lvlText w:val="%1."/>
      <w:lvlJc w:val="left"/>
      <w:pPr>
        <w:ind w:left="72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46B17"/>
    <w:multiLevelType w:val="hybridMultilevel"/>
    <w:tmpl w:val="73CE2AAC"/>
    <w:lvl w:ilvl="0" w:tplc="89029CD0">
      <w:start w:val="1"/>
      <w:numFmt w:val="decimal"/>
      <w:lvlText w:val="%1."/>
      <w:lvlJc w:val="left"/>
      <w:pPr>
        <w:tabs>
          <w:tab w:val="num" w:pos="2340"/>
        </w:tabs>
        <w:ind w:left="2340" w:hanging="1440"/>
      </w:pPr>
      <w:rPr>
        <w:rFonts w:ascii="Cambria" w:hAnsi="Cambria" w:hint="default"/>
        <w:b w:val="0"/>
        <w:i w:val="0"/>
        <w:sz w:val="20"/>
        <w:szCs w:val="20"/>
      </w:rPr>
    </w:lvl>
    <w:lvl w:ilvl="1" w:tplc="04090019">
      <w:start w:val="6"/>
      <w:numFmt w:val="upperRoman"/>
      <w:lvlText w:val="%2."/>
      <w:lvlJc w:val="left"/>
      <w:pPr>
        <w:tabs>
          <w:tab w:val="num" w:pos="2160"/>
        </w:tabs>
        <w:ind w:left="2160" w:hanging="720"/>
      </w:pPr>
      <w:rPr>
        <w:rFonts w:hint="default"/>
      </w:rPr>
    </w:lvl>
    <w:lvl w:ilvl="2" w:tplc="0409001B">
      <w:start w:val="1"/>
      <w:numFmt w:val="upperLetter"/>
      <w:lvlText w:val="%3."/>
      <w:lvlJc w:val="left"/>
      <w:pPr>
        <w:tabs>
          <w:tab w:val="num" w:pos="3060"/>
        </w:tabs>
        <w:ind w:left="3060" w:hanging="720"/>
      </w:pPr>
      <w:rPr>
        <w:rFonts w:hint="default"/>
      </w:rPr>
    </w:lvl>
    <w:lvl w:ilvl="3" w:tplc="1BC6FDD6">
      <w:start w:val="1"/>
      <w:numFmt w:val="lowerRoman"/>
      <w:lvlText w:val="%4."/>
      <w:lvlJc w:val="left"/>
      <w:pPr>
        <w:tabs>
          <w:tab w:val="num" w:pos="3600"/>
        </w:tabs>
        <w:ind w:left="3600" w:hanging="720"/>
      </w:pPr>
      <w:rPr>
        <w:rFonts w:cs="Times New Roman" w:hint="default"/>
      </w:rPr>
    </w:lvl>
    <w:lvl w:ilvl="4" w:tplc="C350752E">
      <w:start w:val="1"/>
      <w:numFmt w:val="lowerRoman"/>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0581FCC"/>
    <w:multiLevelType w:val="multilevel"/>
    <w:tmpl w:val="5B4E242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0786ED7"/>
    <w:multiLevelType w:val="hybridMultilevel"/>
    <w:tmpl w:val="39C4A114"/>
    <w:lvl w:ilvl="0" w:tplc="F7DA0936">
      <w:start w:val="1"/>
      <w:numFmt w:val="upperRoman"/>
      <w:pStyle w:val="Heading1"/>
      <w:lvlText w:val="%1."/>
      <w:lvlJc w:val="left"/>
      <w:pPr>
        <w:ind w:left="720" w:hanging="360"/>
      </w:pPr>
      <w:rPr>
        <w:rFonts w:ascii="Cambria" w:hAnsi="Cambria" w:hint="default"/>
        <w:b/>
        <w:color w:val="000000" w:themeColor="text1"/>
        <w:sz w:val="20"/>
        <w:szCs w:val="20"/>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3873D3"/>
    <w:multiLevelType w:val="hybridMultilevel"/>
    <w:tmpl w:val="6E4A84FA"/>
    <w:lvl w:ilvl="0" w:tplc="80E8A7E2">
      <w:start w:val="1"/>
      <w:numFmt w:val="decimal"/>
      <w:lvlText w:val="%1."/>
      <w:lvlJc w:val="left"/>
      <w:pPr>
        <w:tabs>
          <w:tab w:val="num" w:pos="1287"/>
        </w:tabs>
        <w:ind w:left="747" w:firstLine="720"/>
      </w:pPr>
      <w:rPr>
        <w:rFonts w:ascii="Cambria" w:hAnsi="Cambria" w:hint="default"/>
        <w:b w:val="0"/>
        <w:i w:val="0"/>
        <w:color w:val="auto"/>
        <w:sz w:val="20"/>
        <w:szCs w:val="20"/>
        <w:lang w:val="es-CO"/>
      </w:rPr>
    </w:lvl>
    <w:lvl w:ilvl="1" w:tplc="68EE0C1E">
      <w:start w:val="2"/>
      <w:numFmt w:val="upperRoman"/>
      <w:lvlText w:val="%2."/>
      <w:lvlJc w:val="left"/>
      <w:pPr>
        <w:tabs>
          <w:tab w:val="num" w:pos="3087"/>
        </w:tabs>
        <w:ind w:left="3087" w:hanging="720"/>
      </w:pPr>
      <w:rPr>
        <w:rFonts w:hint="default"/>
      </w:rPr>
    </w:lvl>
    <w:lvl w:ilvl="2" w:tplc="A510F0CC">
      <w:start w:val="3"/>
      <w:numFmt w:val="decimal"/>
      <w:lvlText w:val="%3"/>
      <w:lvlJc w:val="left"/>
      <w:pPr>
        <w:tabs>
          <w:tab w:val="num" w:pos="3627"/>
        </w:tabs>
        <w:ind w:left="3627" w:hanging="360"/>
      </w:pPr>
      <w:rPr>
        <w:rFonts w:hint="default"/>
      </w:rPr>
    </w:lvl>
    <w:lvl w:ilvl="3" w:tplc="0409000F" w:tentative="1">
      <w:start w:val="1"/>
      <w:numFmt w:val="decimal"/>
      <w:lvlText w:val="%4."/>
      <w:lvlJc w:val="left"/>
      <w:pPr>
        <w:tabs>
          <w:tab w:val="num" w:pos="4167"/>
        </w:tabs>
        <w:ind w:left="4167" w:hanging="360"/>
      </w:pPr>
    </w:lvl>
    <w:lvl w:ilvl="4" w:tplc="04090019" w:tentative="1">
      <w:start w:val="1"/>
      <w:numFmt w:val="lowerLetter"/>
      <w:lvlText w:val="%5."/>
      <w:lvlJc w:val="left"/>
      <w:pPr>
        <w:tabs>
          <w:tab w:val="num" w:pos="4887"/>
        </w:tabs>
        <w:ind w:left="4887" w:hanging="360"/>
      </w:pPr>
    </w:lvl>
    <w:lvl w:ilvl="5" w:tplc="0409001B" w:tentative="1">
      <w:start w:val="1"/>
      <w:numFmt w:val="lowerRoman"/>
      <w:lvlText w:val="%6."/>
      <w:lvlJc w:val="right"/>
      <w:pPr>
        <w:tabs>
          <w:tab w:val="num" w:pos="5607"/>
        </w:tabs>
        <w:ind w:left="5607" w:hanging="180"/>
      </w:pPr>
    </w:lvl>
    <w:lvl w:ilvl="6" w:tplc="0409000F" w:tentative="1">
      <w:start w:val="1"/>
      <w:numFmt w:val="decimal"/>
      <w:lvlText w:val="%7."/>
      <w:lvlJc w:val="left"/>
      <w:pPr>
        <w:tabs>
          <w:tab w:val="num" w:pos="6327"/>
        </w:tabs>
        <w:ind w:left="6327" w:hanging="360"/>
      </w:pPr>
    </w:lvl>
    <w:lvl w:ilvl="7" w:tplc="04090019" w:tentative="1">
      <w:start w:val="1"/>
      <w:numFmt w:val="lowerLetter"/>
      <w:lvlText w:val="%8."/>
      <w:lvlJc w:val="left"/>
      <w:pPr>
        <w:tabs>
          <w:tab w:val="num" w:pos="7047"/>
        </w:tabs>
        <w:ind w:left="7047" w:hanging="360"/>
      </w:pPr>
    </w:lvl>
    <w:lvl w:ilvl="8" w:tplc="0409001B" w:tentative="1">
      <w:start w:val="1"/>
      <w:numFmt w:val="lowerRoman"/>
      <w:lvlText w:val="%9."/>
      <w:lvlJc w:val="right"/>
      <w:pPr>
        <w:tabs>
          <w:tab w:val="num" w:pos="7767"/>
        </w:tabs>
        <w:ind w:left="7767" w:hanging="180"/>
      </w:pPr>
    </w:lvl>
  </w:abstractNum>
  <w:abstractNum w:abstractNumId="24" w15:restartNumberingAfterBreak="0">
    <w:nsid w:val="7B4675BB"/>
    <w:multiLevelType w:val="hybridMultilevel"/>
    <w:tmpl w:val="9CD41E0A"/>
    <w:lvl w:ilvl="0" w:tplc="CD06E4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64D32"/>
    <w:multiLevelType w:val="hybridMultilevel"/>
    <w:tmpl w:val="0DA49284"/>
    <w:lvl w:ilvl="0" w:tplc="B044D3C6">
      <w:start w:val="1"/>
      <w:numFmt w:val="decimal"/>
      <w:lvlText w:val="%1."/>
      <w:lvlJc w:val="left"/>
      <w:pPr>
        <w:tabs>
          <w:tab w:val="num" w:pos="1247"/>
        </w:tabs>
      </w:pPr>
      <w:rPr>
        <w:rFonts w:ascii="Verdana" w:eastAsia="Times New Roman" w:hAnsi="Verdana" w:cs="Times New Roman"/>
        <w:b w:val="0"/>
        <w:i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2"/>
  </w:num>
  <w:num w:numId="2">
    <w:abstractNumId w:val="19"/>
  </w:num>
  <w:num w:numId="3">
    <w:abstractNumId w:val="10"/>
  </w:num>
  <w:num w:numId="4">
    <w:abstractNumId w:val="3"/>
  </w:num>
  <w:num w:numId="5">
    <w:abstractNumId w:val="24"/>
  </w:num>
  <w:num w:numId="6">
    <w:abstractNumId w:val="20"/>
  </w:num>
  <w:num w:numId="7">
    <w:abstractNumId w:val="9"/>
  </w:num>
  <w:num w:numId="8">
    <w:abstractNumId w:val="15"/>
  </w:num>
  <w:num w:numId="9">
    <w:abstractNumId w:val="8"/>
  </w:num>
  <w:num w:numId="10">
    <w:abstractNumId w:val="6"/>
  </w:num>
  <w:num w:numId="11">
    <w:abstractNumId w:val="2"/>
  </w:num>
  <w:num w:numId="12">
    <w:abstractNumId w:val="25"/>
  </w:num>
  <w:num w:numId="13">
    <w:abstractNumId w:val="16"/>
  </w:num>
  <w:num w:numId="14">
    <w:abstractNumId w:val="0"/>
  </w:num>
  <w:num w:numId="15">
    <w:abstractNumId w:val="23"/>
  </w:num>
  <w:num w:numId="16">
    <w:abstractNumId w:val="12"/>
  </w:num>
  <w:num w:numId="17">
    <w:abstractNumId w:val="5"/>
  </w:num>
  <w:num w:numId="18">
    <w:abstractNumId w:val="21"/>
  </w:num>
  <w:num w:numId="19">
    <w:abstractNumId w:val="1"/>
  </w:num>
  <w:num w:numId="20">
    <w:abstractNumId w:val="4"/>
  </w:num>
  <w:num w:numId="21">
    <w:abstractNumId w:val="11"/>
  </w:num>
  <w:num w:numId="22">
    <w:abstractNumId w:val="22"/>
  </w:num>
  <w:num w:numId="23">
    <w:abstractNumId w:val="18"/>
  </w:num>
  <w:num w:numId="24">
    <w:abstractNumId w:val="13"/>
  </w:num>
  <w:num w:numId="25">
    <w:abstractNumId w:val="14"/>
  </w:num>
  <w:num w:numId="26">
    <w:abstractNumId w:val="7"/>
  </w:num>
  <w:num w:numId="27">
    <w:abstractNumId w:val="17"/>
  </w:num>
  <w:num w:numId="28">
    <w:abstractNumId w:val="22"/>
  </w:num>
  <w:num w:numId="29">
    <w:abstractNumId w:val="22"/>
  </w:num>
  <w:num w:numId="30">
    <w:abstractNumId w:val="22"/>
  </w:num>
  <w:num w:numId="31">
    <w:abstractNumId w:val="22"/>
  </w:num>
  <w:num w:numId="32">
    <w:abstractNumId w:val="2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33"/>
    <w:rsid w:val="000034CD"/>
    <w:rsid w:val="00005C3F"/>
    <w:rsid w:val="000119AF"/>
    <w:rsid w:val="000345F4"/>
    <w:rsid w:val="00034885"/>
    <w:rsid w:val="00044678"/>
    <w:rsid w:val="00047569"/>
    <w:rsid w:val="000512ED"/>
    <w:rsid w:val="000517A4"/>
    <w:rsid w:val="00061133"/>
    <w:rsid w:val="000635BE"/>
    <w:rsid w:val="00067B8B"/>
    <w:rsid w:val="00092BAD"/>
    <w:rsid w:val="0009633B"/>
    <w:rsid w:val="000A158F"/>
    <w:rsid w:val="000B1630"/>
    <w:rsid w:val="000C1134"/>
    <w:rsid w:val="000C14B5"/>
    <w:rsid w:val="000D4A64"/>
    <w:rsid w:val="000D6078"/>
    <w:rsid w:val="000D7720"/>
    <w:rsid w:val="000E6F6B"/>
    <w:rsid w:val="000F0051"/>
    <w:rsid w:val="000F0598"/>
    <w:rsid w:val="000F09FD"/>
    <w:rsid w:val="000F11AE"/>
    <w:rsid w:val="001022A5"/>
    <w:rsid w:val="00104E61"/>
    <w:rsid w:val="00114F6A"/>
    <w:rsid w:val="001311B9"/>
    <w:rsid w:val="00132D0F"/>
    <w:rsid w:val="00135A92"/>
    <w:rsid w:val="00147606"/>
    <w:rsid w:val="00154D0D"/>
    <w:rsid w:val="0015611D"/>
    <w:rsid w:val="001626E0"/>
    <w:rsid w:val="0016302F"/>
    <w:rsid w:val="00174AB7"/>
    <w:rsid w:val="00176EFF"/>
    <w:rsid w:val="001803AE"/>
    <w:rsid w:val="00181085"/>
    <w:rsid w:val="00182DFD"/>
    <w:rsid w:val="00193AAF"/>
    <w:rsid w:val="00196CE4"/>
    <w:rsid w:val="001A0509"/>
    <w:rsid w:val="001A792F"/>
    <w:rsid w:val="001B2B13"/>
    <w:rsid w:val="001C3BB0"/>
    <w:rsid w:val="001C76DD"/>
    <w:rsid w:val="001D0CEB"/>
    <w:rsid w:val="001D41FE"/>
    <w:rsid w:val="001D5A1E"/>
    <w:rsid w:val="001D7552"/>
    <w:rsid w:val="001E1995"/>
    <w:rsid w:val="001E1E81"/>
    <w:rsid w:val="001F51D3"/>
    <w:rsid w:val="00213BE7"/>
    <w:rsid w:val="0022010A"/>
    <w:rsid w:val="00220C82"/>
    <w:rsid w:val="00223725"/>
    <w:rsid w:val="00227732"/>
    <w:rsid w:val="00232E47"/>
    <w:rsid w:val="00233078"/>
    <w:rsid w:val="002360A2"/>
    <w:rsid w:val="002360F6"/>
    <w:rsid w:val="00257C37"/>
    <w:rsid w:val="00257CF6"/>
    <w:rsid w:val="00260131"/>
    <w:rsid w:val="00262BEE"/>
    <w:rsid w:val="00266CDB"/>
    <w:rsid w:val="00274290"/>
    <w:rsid w:val="0027613F"/>
    <w:rsid w:val="00280356"/>
    <w:rsid w:val="00284E60"/>
    <w:rsid w:val="00295C21"/>
    <w:rsid w:val="002A1CA2"/>
    <w:rsid w:val="002A6431"/>
    <w:rsid w:val="002B62EB"/>
    <w:rsid w:val="002D1A4D"/>
    <w:rsid w:val="002D21C8"/>
    <w:rsid w:val="002D3EBA"/>
    <w:rsid w:val="002E6BBF"/>
    <w:rsid w:val="002F3F84"/>
    <w:rsid w:val="002F7147"/>
    <w:rsid w:val="00302194"/>
    <w:rsid w:val="003108AF"/>
    <w:rsid w:val="003174BA"/>
    <w:rsid w:val="00335796"/>
    <w:rsid w:val="00337AE5"/>
    <w:rsid w:val="00363167"/>
    <w:rsid w:val="00372585"/>
    <w:rsid w:val="00375D89"/>
    <w:rsid w:val="0038785C"/>
    <w:rsid w:val="00396815"/>
    <w:rsid w:val="003A05D9"/>
    <w:rsid w:val="003B081B"/>
    <w:rsid w:val="003C58E4"/>
    <w:rsid w:val="00402BF1"/>
    <w:rsid w:val="0040439F"/>
    <w:rsid w:val="00404D63"/>
    <w:rsid w:val="00412E27"/>
    <w:rsid w:val="00424E29"/>
    <w:rsid w:val="00427B4E"/>
    <w:rsid w:val="0045283D"/>
    <w:rsid w:val="004530A0"/>
    <w:rsid w:val="00453639"/>
    <w:rsid w:val="00457B0C"/>
    <w:rsid w:val="00481004"/>
    <w:rsid w:val="00482A35"/>
    <w:rsid w:val="00485AE2"/>
    <w:rsid w:val="00490C1F"/>
    <w:rsid w:val="00492A93"/>
    <w:rsid w:val="00495585"/>
    <w:rsid w:val="004A62D5"/>
    <w:rsid w:val="004F47E5"/>
    <w:rsid w:val="005007D3"/>
    <w:rsid w:val="0051251E"/>
    <w:rsid w:val="00513BA4"/>
    <w:rsid w:val="00513E8C"/>
    <w:rsid w:val="00515E4D"/>
    <w:rsid w:val="00520659"/>
    <w:rsid w:val="00524829"/>
    <w:rsid w:val="00526C1C"/>
    <w:rsid w:val="00526E42"/>
    <w:rsid w:val="005330B3"/>
    <w:rsid w:val="005338C7"/>
    <w:rsid w:val="005345F2"/>
    <w:rsid w:val="00534F30"/>
    <w:rsid w:val="00553DF6"/>
    <w:rsid w:val="005638EB"/>
    <w:rsid w:val="00563C54"/>
    <w:rsid w:val="00571EAD"/>
    <w:rsid w:val="005737A9"/>
    <w:rsid w:val="005753DF"/>
    <w:rsid w:val="0057573E"/>
    <w:rsid w:val="00576C94"/>
    <w:rsid w:val="00577F62"/>
    <w:rsid w:val="0058759D"/>
    <w:rsid w:val="00595B00"/>
    <w:rsid w:val="005A7CD2"/>
    <w:rsid w:val="005C59F0"/>
    <w:rsid w:val="005D51E0"/>
    <w:rsid w:val="005D5950"/>
    <w:rsid w:val="005E2A35"/>
    <w:rsid w:val="005F2659"/>
    <w:rsid w:val="00601B52"/>
    <w:rsid w:val="006102F6"/>
    <w:rsid w:val="0062323B"/>
    <w:rsid w:val="006265FA"/>
    <w:rsid w:val="00633A80"/>
    <w:rsid w:val="00643B4B"/>
    <w:rsid w:val="00653910"/>
    <w:rsid w:val="00654922"/>
    <w:rsid w:val="006619C5"/>
    <w:rsid w:val="006748EE"/>
    <w:rsid w:val="00697F16"/>
    <w:rsid w:val="006A082A"/>
    <w:rsid w:val="006A344B"/>
    <w:rsid w:val="006B1BBA"/>
    <w:rsid w:val="006B2262"/>
    <w:rsid w:val="006B3B48"/>
    <w:rsid w:val="006C70D9"/>
    <w:rsid w:val="006D309F"/>
    <w:rsid w:val="006D4C54"/>
    <w:rsid w:val="006E334D"/>
    <w:rsid w:val="006F15CA"/>
    <w:rsid w:val="006F6AE1"/>
    <w:rsid w:val="00714C04"/>
    <w:rsid w:val="0072159C"/>
    <w:rsid w:val="007413E4"/>
    <w:rsid w:val="00743BD6"/>
    <w:rsid w:val="007452DA"/>
    <w:rsid w:val="00745E66"/>
    <w:rsid w:val="007518A9"/>
    <w:rsid w:val="00775460"/>
    <w:rsid w:val="00776765"/>
    <w:rsid w:val="007812F5"/>
    <w:rsid w:val="00783B87"/>
    <w:rsid w:val="00792AC8"/>
    <w:rsid w:val="00795B0F"/>
    <w:rsid w:val="007A7794"/>
    <w:rsid w:val="007B049B"/>
    <w:rsid w:val="007B24D1"/>
    <w:rsid w:val="007B596F"/>
    <w:rsid w:val="007C6AE8"/>
    <w:rsid w:val="007E170B"/>
    <w:rsid w:val="007E35C1"/>
    <w:rsid w:val="007E75FE"/>
    <w:rsid w:val="007F1A95"/>
    <w:rsid w:val="00810DE8"/>
    <w:rsid w:val="0081753B"/>
    <w:rsid w:val="00830962"/>
    <w:rsid w:val="00842326"/>
    <w:rsid w:val="008442CC"/>
    <w:rsid w:val="00856095"/>
    <w:rsid w:val="00857CA4"/>
    <w:rsid w:val="0086018B"/>
    <w:rsid w:val="00871766"/>
    <w:rsid w:val="00871E6D"/>
    <w:rsid w:val="008A2EFD"/>
    <w:rsid w:val="008B4904"/>
    <w:rsid w:val="008C1626"/>
    <w:rsid w:val="008C31C9"/>
    <w:rsid w:val="008C4FAA"/>
    <w:rsid w:val="008D43DF"/>
    <w:rsid w:val="008E542D"/>
    <w:rsid w:val="008E6F6C"/>
    <w:rsid w:val="008E7C0F"/>
    <w:rsid w:val="008F020C"/>
    <w:rsid w:val="008F715B"/>
    <w:rsid w:val="009077C9"/>
    <w:rsid w:val="00915D99"/>
    <w:rsid w:val="00916190"/>
    <w:rsid w:val="009215D7"/>
    <w:rsid w:val="00924517"/>
    <w:rsid w:val="00924DB5"/>
    <w:rsid w:val="00927E8F"/>
    <w:rsid w:val="00941F4D"/>
    <w:rsid w:val="009508AC"/>
    <w:rsid w:val="009533CB"/>
    <w:rsid w:val="00955B28"/>
    <w:rsid w:val="00960D21"/>
    <w:rsid w:val="00966A05"/>
    <w:rsid w:val="00974A46"/>
    <w:rsid w:val="00977563"/>
    <w:rsid w:val="009802A9"/>
    <w:rsid w:val="00994482"/>
    <w:rsid w:val="009A6D0C"/>
    <w:rsid w:val="009B07D0"/>
    <w:rsid w:val="009B0CE9"/>
    <w:rsid w:val="009B4D25"/>
    <w:rsid w:val="009B7C6A"/>
    <w:rsid w:val="009B7EAC"/>
    <w:rsid w:val="009C48BE"/>
    <w:rsid w:val="009D5C8A"/>
    <w:rsid w:val="009E1461"/>
    <w:rsid w:val="009E1C4B"/>
    <w:rsid w:val="009E4FAE"/>
    <w:rsid w:val="009F0B5F"/>
    <w:rsid w:val="00A27C5C"/>
    <w:rsid w:val="00A3770D"/>
    <w:rsid w:val="00A404A4"/>
    <w:rsid w:val="00A4088A"/>
    <w:rsid w:val="00A6410B"/>
    <w:rsid w:val="00A6624A"/>
    <w:rsid w:val="00A77EF7"/>
    <w:rsid w:val="00A83756"/>
    <w:rsid w:val="00A837A4"/>
    <w:rsid w:val="00A8449E"/>
    <w:rsid w:val="00A877E6"/>
    <w:rsid w:val="00AA153A"/>
    <w:rsid w:val="00AA3A2E"/>
    <w:rsid w:val="00AA670E"/>
    <w:rsid w:val="00AA689B"/>
    <w:rsid w:val="00AB1366"/>
    <w:rsid w:val="00AB3594"/>
    <w:rsid w:val="00AC1C46"/>
    <w:rsid w:val="00AC5FBD"/>
    <w:rsid w:val="00AD25C9"/>
    <w:rsid w:val="00AD78EE"/>
    <w:rsid w:val="00AE2D98"/>
    <w:rsid w:val="00AE6F73"/>
    <w:rsid w:val="00B0026F"/>
    <w:rsid w:val="00B01B74"/>
    <w:rsid w:val="00B14B64"/>
    <w:rsid w:val="00B15BE0"/>
    <w:rsid w:val="00B45A21"/>
    <w:rsid w:val="00B467A0"/>
    <w:rsid w:val="00B5326A"/>
    <w:rsid w:val="00B53540"/>
    <w:rsid w:val="00B5381D"/>
    <w:rsid w:val="00B905EE"/>
    <w:rsid w:val="00B940E8"/>
    <w:rsid w:val="00BA3731"/>
    <w:rsid w:val="00BA6385"/>
    <w:rsid w:val="00BB0EA4"/>
    <w:rsid w:val="00BB2953"/>
    <w:rsid w:val="00BB37D2"/>
    <w:rsid w:val="00BC0B45"/>
    <w:rsid w:val="00BC7AEF"/>
    <w:rsid w:val="00BD280B"/>
    <w:rsid w:val="00BD2D9B"/>
    <w:rsid w:val="00BD5A4E"/>
    <w:rsid w:val="00BD649E"/>
    <w:rsid w:val="00BF2072"/>
    <w:rsid w:val="00C003DD"/>
    <w:rsid w:val="00C13C94"/>
    <w:rsid w:val="00C21F3A"/>
    <w:rsid w:val="00C267C8"/>
    <w:rsid w:val="00C2703E"/>
    <w:rsid w:val="00C30749"/>
    <w:rsid w:val="00C30A6D"/>
    <w:rsid w:val="00C42773"/>
    <w:rsid w:val="00C4566B"/>
    <w:rsid w:val="00C539BE"/>
    <w:rsid w:val="00C548B2"/>
    <w:rsid w:val="00C56F02"/>
    <w:rsid w:val="00C65296"/>
    <w:rsid w:val="00C730FA"/>
    <w:rsid w:val="00C80AF4"/>
    <w:rsid w:val="00CA11A0"/>
    <w:rsid w:val="00CA128D"/>
    <w:rsid w:val="00CB2D6C"/>
    <w:rsid w:val="00CB5910"/>
    <w:rsid w:val="00CB659E"/>
    <w:rsid w:val="00CE1E7D"/>
    <w:rsid w:val="00CE7288"/>
    <w:rsid w:val="00CF1A8C"/>
    <w:rsid w:val="00CF647C"/>
    <w:rsid w:val="00D0150D"/>
    <w:rsid w:val="00D12D33"/>
    <w:rsid w:val="00D16715"/>
    <w:rsid w:val="00D20803"/>
    <w:rsid w:val="00D21C98"/>
    <w:rsid w:val="00D2328F"/>
    <w:rsid w:val="00D25338"/>
    <w:rsid w:val="00D253DB"/>
    <w:rsid w:val="00D459C1"/>
    <w:rsid w:val="00D52CB9"/>
    <w:rsid w:val="00D610B4"/>
    <w:rsid w:val="00D66085"/>
    <w:rsid w:val="00D72273"/>
    <w:rsid w:val="00D80C75"/>
    <w:rsid w:val="00D87C27"/>
    <w:rsid w:val="00D9400E"/>
    <w:rsid w:val="00DB1BB4"/>
    <w:rsid w:val="00DB41B5"/>
    <w:rsid w:val="00DB48DC"/>
    <w:rsid w:val="00DF066C"/>
    <w:rsid w:val="00E01AEA"/>
    <w:rsid w:val="00E02CA9"/>
    <w:rsid w:val="00E110B7"/>
    <w:rsid w:val="00E241D0"/>
    <w:rsid w:val="00E35D42"/>
    <w:rsid w:val="00E46B25"/>
    <w:rsid w:val="00E47381"/>
    <w:rsid w:val="00E6209A"/>
    <w:rsid w:val="00E706F6"/>
    <w:rsid w:val="00E76807"/>
    <w:rsid w:val="00E76FCF"/>
    <w:rsid w:val="00E91D55"/>
    <w:rsid w:val="00EA1010"/>
    <w:rsid w:val="00EA476A"/>
    <w:rsid w:val="00EA6725"/>
    <w:rsid w:val="00ED1614"/>
    <w:rsid w:val="00ED7540"/>
    <w:rsid w:val="00EE6074"/>
    <w:rsid w:val="00EF546B"/>
    <w:rsid w:val="00EF63D1"/>
    <w:rsid w:val="00EF7B24"/>
    <w:rsid w:val="00F043A5"/>
    <w:rsid w:val="00F10078"/>
    <w:rsid w:val="00F2366C"/>
    <w:rsid w:val="00F35837"/>
    <w:rsid w:val="00F36360"/>
    <w:rsid w:val="00F37298"/>
    <w:rsid w:val="00F55D59"/>
    <w:rsid w:val="00F72E84"/>
    <w:rsid w:val="00F73F09"/>
    <w:rsid w:val="00F84928"/>
    <w:rsid w:val="00FA0324"/>
    <w:rsid w:val="00FB30CF"/>
    <w:rsid w:val="00FC1AE6"/>
    <w:rsid w:val="00FC2C45"/>
    <w:rsid w:val="00FC450A"/>
    <w:rsid w:val="00FC702F"/>
    <w:rsid w:val="00FD4734"/>
    <w:rsid w:val="00FD6A7B"/>
    <w:rsid w:val="00FF1244"/>
    <w:rsid w:val="00FF351F"/>
    <w:rsid w:val="00FF57B6"/>
    <w:rsid w:val="00FF6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4:docId w14:val="4212A6AD"/>
  <w14:defaultImageDpi w14:val="32767"/>
  <w15:docId w15:val="{0EB85335-9B0C-48A4-9710-C6A3F720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2D33"/>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D12D33"/>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D12D3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uiPriority w:val="9"/>
    <w:unhideWhenUsed/>
    <w:qFormat/>
    <w:rsid w:val="00D6608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D6608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D33"/>
    <w:rPr>
      <w:rFonts w:asciiTheme="majorHAnsi" w:eastAsiaTheme="majorEastAsia" w:hAnsiTheme="majorHAnsi" w:cstheme="majorBidi"/>
      <w:b/>
      <w:bCs/>
      <w:color w:val="2E74B5" w:themeColor="accent1" w:themeShade="BF"/>
      <w:sz w:val="28"/>
      <w:szCs w:val="28"/>
      <w:bdr w:val="nil"/>
    </w:rPr>
  </w:style>
  <w:style w:type="character" w:customStyle="1" w:styleId="Heading2Char">
    <w:name w:val="Heading 2 Char"/>
    <w:basedOn w:val="DefaultParagraphFont"/>
    <w:link w:val="Heading2"/>
    <w:rsid w:val="00D12D33"/>
    <w:rPr>
      <w:rFonts w:ascii="Arial" w:eastAsia="Times New Roman" w:hAnsi="Arial" w:cs="Arial"/>
      <w:b/>
      <w:bCs/>
      <w:i/>
      <w:iCs/>
      <w:sz w:val="28"/>
      <w:szCs w:val="28"/>
    </w:rPr>
  </w:style>
  <w:style w:type="paragraph" w:styleId="Footer">
    <w:name w:val="footer"/>
    <w:link w:val="FooterChar"/>
    <w:uiPriority w:val="99"/>
    <w:rsid w:val="00D12D33"/>
    <w:pPr>
      <w:pBdr>
        <w:top w:val="nil"/>
        <w:left w:val="nil"/>
        <w:bottom w:val="nil"/>
        <w:right w:val="nil"/>
        <w:between w:val="nil"/>
        <w:bar w:val="nil"/>
      </w:pBdr>
      <w:tabs>
        <w:tab w:val="center" w:pos="4513"/>
        <w:tab w:val="right" w:pos="9026"/>
      </w:tabs>
    </w:pPr>
    <w:rPr>
      <w:rFonts w:ascii="Cambria" w:eastAsia="Cambria" w:hAnsi="Cambria" w:cs="Cambria"/>
      <w:color w:val="000000"/>
      <w:u w:color="000000"/>
      <w:bdr w:val="nil"/>
      <w:lang w:eastAsia="es-ES"/>
    </w:rPr>
  </w:style>
  <w:style w:type="character" w:customStyle="1" w:styleId="FooterChar">
    <w:name w:val="Footer Char"/>
    <w:basedOn w:val="DefaultParagraphFont"/>
    <w:link w:val="Footer"/>
    <w:uiPriority w:val="99"/>
    <w:rsid w:val="00D12D33"/>
    <w:rPr>
      <w:rFonts w:ascii="Cambria" w:eastAsia="Cambria" w:hAnsi="Cambria" w:cs="Cambria"/>
      <w:color w:val="000000"/>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D12D33"/>
    <w:pPr>
      <w:pBdr>
        <w:top w:val="nil"/>
        <w:left w:val="nil"/>
        <w:bottom w:val="nil"/>
        <w:right w:val="nil"/>
        <w:between w:val="nil"/>
        <w:bar w:val="nil"/>
      </w:pBdr>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D12D33"/>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D12D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12D33"/>
    <w:rPr>
      <w:rFonts w:ascii="Univers" w:eastAsia="Times New Roman" w:hAnsi="Univers" w:cs="Univers"/>
    </w:rPr>
  </w:style>
  <w:style w:type="character" w:styleId="PageNumber">
    <w:name w:val="page number"/>
    <w:basedOn w:val="DefaultParagraphFont"/>
    <w:rsid w:val="00D12D33"/>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 de nota al pi,Ref,R"/>
    <w:basedOn w:val="DefaultParagraphFont"/>
    <w:link w:val="1"/>
    <w:unhideWhenUsed/>
    <w:qFormat/>
    <w:rsid w:val="00D12D33"/>
    <w:rPr>
      <w:vertAlign w:val="superscript"/>
    </w:rPr>
  </w:style>
  <w:style w:type="paragraph" w:styleId="NoSpacing">
    <w:name w:val="No Spacing"/>
    <w:uiPriority w:val="1"/>
    <w:qFormat/>
    <w:rsid w:val="00D12D33"/>
    <w:rPr>
      <w:rFonts w:ascii="Calibri" w:eastAsia="Calibri" w:hAnsi="Calibri" w:cs="Times New Roman"/>
      <w:sz w:val="22"/>
      <w:szCs w:val="22"/>
    </w:rPr>
  </w:style>
  <w:style w:type="paragraph" w:customStyle="1" w:styleId="1">
    <w:name w:val="1"/>
    <w:basedOn w:val="Normal"/>
    <w:link w:val="FootnoteReference"/>
    <w:rsid w:val="00D12D3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styleId="Strong">
    <w:name w:val="Strong"/>
    <w:basedOn w:val="DefaultParagraphFont"/>
    <w:uiPriority w:val="22"/>
    <w:qFormat/>
    <w:rsid w:val="00C003DD"/>
    <w:rPr>
      <w:b/>
      <w:bCs/>
    </w:rPr>
  </w:style>
  <w:style w:type="paragraph" w:styleId="ListParagraph">
    <w:name w:val="List Paragraph"/>
    <w:aliases w:val="List Paragraph1,Colorful List - Accent 11,Párrafo de lista1,List Paragraph2,Lista vistosa - Énfasis 11"/>
    <w:basedOn w:val="Normal"/>
    <w:link w:val="ListParagraphChar"/>
    <w:uiPriority w:val="34"/>
    <w:qFormat/>
    <w:rsid w:val="00337AE5"/>
    <w:pPr>
      <w:ind w:left="720"/>
      <w:contextualSpacing/>
    </w:pPr>
  </w:style>
  <w:style w:type="paragraph" w:styleId="BodyTextIndent">
    <w:name w:val="Body Text Indent"/>
    <w:basedOn w:val="Normal"/>
    <w:link w:val="BodyTextIndentChar1"/>
    <w:rsid w:val="00F2366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Arial" w:eastAsia="Times New Roman" w:hAnsi="Arial" w:cs="Arial"/>
      <w:sz w:val="22"/>
      <w:bdr w:val="none" w:sz="0" w:space="0" w:color="auto"/>
      <w:lang w:val="es-AR"/>
    </w:rPr>
  </w:style>
  <w:style w:type="character" w:customStyle="1" w:styleId="BodyTextIndentChar">
    <w:name w:val="Body Text Indent Char"/>
    <w:basedOn w:val="DefaultParagraphFont"/>
    <w:uiPriority w:val="99"/>
    <w:semiHidden/>
    <w:rsid w:val="00F2366C"/>
    <w:rPr>
      <w:rFonts w:ascii="Times New Roman" w:eastAsia="Arial Unicode MS" w:hAnsi="Times New Roman" w:cs="Times New Roman"/>
      <w:bdr w:val="nil"/>
    </w:rPr>
  </w:style>
  <w:style w:type="character" w:customStyle="1" w:styleId="BodyTextIndentChar1">
    <w:name w:val="Body Text Indent Char1"/>
    <w:link w:val="BodyTextIndent"/>
    <w:locked/>
    <w:rsid w:val="00F2366C"/>
    <w:rPr>
      <w:rFonts w:ascii="Arial" w:eastAsia="Times New Roman" w:hAnsi="Arial" w:cs="Arial"/>
      <w:sz w:val="22"/>
      <w:lang w:val="es-AR"/>
    </w:rPr>
  </w:style>
  <w:style w:type="character" w:styleId="Hyperlink">
    <w:name w:val="Hyperlink"/>
    <w:uiPriority w:val="99"/>
    <w:rsid w:val="000D6078"/>
    <w:rPr>
      <w:rFonts w:cs="Times New Roman"/>
      <w:color w:val="0000FF"/>
      <w:u w:val="single"/>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semiHidden/>
    <w:locked/>
    <w:rsid w:val="000D6078"/>
    <w:rPr>
      <w:rFonts w:ascii="Univers" w:hAnsi="Univers" w:cs="Times New Roman"/>
      <w:lang w:val="en-US" w:eastAsia="en-US" w:bidi="ar-SA"/>
    </w:rPr>
  </w:style>
  <w:style w:type="paragraph" w:customStyle="1" w:styleId="Default">
    <w:name w:val="Default"/>
    <w:rsid w:val="000D6078"/>
    <w:pPr>
      <w:autoSpaceDE w:val="0"/>
      <w:autoSpaceDN w:val="0"/>
      <w:adjustRightInd w:val="0"/>
    </w:pPr>
    <w:rPr>
      <w:rFonts w:ascii="Times New Roman" w:eastAsia="Times New Roman" w:hAnsi="Times New Roman" w:cs="Times New Roman"/>
      <w:color w:val="000000"/>
    </w:rPr>
  </w:style>
  <w:style w:type="paragraph" w:styleId="NormalWeb">
    <w:name w:val="Normal (Web)"/>
    <w:basedOn w:val="Normal"/>
    <w:uiPriority w:val="99"/>
    <w:unhideWhenUsed/>
    <w:rsid w:val="00500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ED754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sz w:val="22"/>
      <w:szCs w:val="20"/>
      <w:bdr w:val="none" w:sz="0" w:space="0" w:color="auto"/>
      <w:vertAlign w:val="superscript"/>
      <w:lang w:val="es-CR"/>
    </w:rPr>
  </w:style>
  <w:style w:type="character" w:customStyle="1" w:styleId="ListParagraphChar">
    <w:name w:val="List Paragraph Char"/>
    <w:aliases w:val="List Paragraph1 Char,Colorful List - Accent 11 Char,Párrafo de lista1 Char,List Paragraph2 Char,Lista vistosa - Énfasis 11 Char"/>
    <w:basedOn w:val="DefaultParagraphFont"/>
    <w:link w:val="ListParagraph"/>
    <w:uiPriority w:val="99"/>
    <w:locked/>
    <w:rsid w:val="00A4088A"/>
    <w:rPr>
      <w:rFonts w:ascii="Times New Roman" w:eastAsia="Arial Unicode MS" w:hAnsi="Times New Roman" w:cs="Times New Roman"/>
      <w:bdr w:val="nil"/>
    </w:rPr>
  </w:style>
  <w:style w:type="paragraph" w:styleId="Title">
    <w:name w:val="Title"/>
    <w:basedOn w:val="Normal"/>
    <w:link w:val="TitleChar"/>
    <w:qFormat/>
    <w:rsid w:val="001311B9"/>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Times New Roman" w:hAnsi="Univers" w:cs="Arial"/>
      <w:b/>
      <w:sz w:val="22"/>
      <w:bdr w:val="none" w:sz="0" w:space="0" w:color="auto"/>
      <w:lang w:val="es-AR"/>
    </w:rPr>
  </w:style>
  <w:style w:type="character" w:customStyle="1" w:styleId="TitleChar">
    <w:name w:val="Title Char"/>
    <w:basedOn w:val="DefaultParagraphFont"/>
    <w:link w:val="Title"/>
    <w:rsid w:val="001311B9"/>
    <w:rPr>
      <w:rFonts w:ascii="Univers" w:eastAsia="Times New Roman" w:hAnsi="Univers" w:cs="Arial"/>
      <w:b/>
      <w:sz w:val="22"/>
      <w:lang w:val="es-AR"/>
    </w:rPr>
  </w:style>
  <w:style w:type="character" w:styleId="FollowedHyperlink">
    <w:name w:val="FollowedHyperlink"/>
    <w:basedOn w:val="DefaultParagraphFont"/>
    <w:uiPriority w:val="99"/>
    <w:semiHidden/>
    <w:unhideWhenUsed/>
    <w:rsid w:val="00927E8F"/>
    <w:rPr>
      <w:color w:val="954F72" w:themeColor="followedHyperlink"/>
      <w:u w:val="single"/>
    </w:rPr>
  </w:style>
  <w:style w:type="numbering" w:customStyle="1" w:styleId="List1">
    <w:name w:val="List 1"/>
    <w:basedOn w:val="NoList"/>
    <w:rsid w:val="0040439F"/>
    <w:pPr>
      <w:numPr>
        <w:numId w:val="19"/>
      </w:numPr>
    </w:pPr>
  </w:style>
  <w:style w:type="paragraph" w:styleId="BalloonText">
    <w:name w:val="Balloon Text"/>
    <w:basedOn w:val="Normal"/>
    <w:link w:val="BalloonTextChar"/>
    <w:uiPriority w:val="99"/>
    <w:semiHidden/>
    <w:unhideWhenUsed/>
    <w:rsid w:val="00B5326A"/>
    <w:rPr>
      <w:rFonts w:ascii="Tahoma" w:hAnsi="Tahoma" w:cs="Tahoma"/>
      <w:sz w:val="16"/>
      <w:szCs w:val="16"/>
    </w:rPr>
  </w:style>
  <w:style w:type="character" w:customStyle="1" w:styleId="BalloonTextChar">
    <w:name w:val="Balloon Text Char"/>
    <w:basedOn w:val="DefaultParagraphFont"/>
    <w:link w:val="BalloonText"/>
    <w:uiPriority w:val="99"/>
    <w:semiHidden/>
    <w:rsid w:val="00B5326A"/>
    <w:rPr>
      <w:rFonts w:ascii="Tahoma" w:eastAsia="Arial Unicode MS" w:hAnsi="Tahoma" w:cs="Tahoma"/>
      <w:sz w:val="16"/>
      <w:szCs w:val="16"/>
      <w:bdr w:val="nil"/>
    </w:rPr>
  </w:style>
  <w:style w:type="character" w:customStyle="1" w:styleId="Heading3Char">
    <w:name w:val="Heading 3 Char"/>
    <w:basedOn w:val="DefaultParagraphFont"/>
    <w:link w:val="Heading3"/>
    <w:uiPriority w:val="9"/>
    <w:rsid w:val="00D66085"/>
    <w:rPr>
      <w:rFonts w:asciiTheme="majorHAnsi" w:eastAsiaTheme="majorEastAsia" w:hAnsiTheme="majorHAnsi" w:cstheme="majorBidi"/>
      <w:color w:val="1F4D78" w:themeColor="accent1" w:themeShade="7F"/>
      <w:bdr w:val="nil"/>
    </w:rPr>
  </w:style>
  <w:style w:type="character" w:customStyle="1" w:styleId="Heading4Char">
    <w:name w:val="Heading 4 Char"/>
    <w:basedOn w:val="DefaultParagraphFont"/>
    <w:link w:val="Heading4"/>
    <w:uiPriority w:val="9"/>
    <w:rsid w:val="00D66085"/>
    <w:rPr>
      <w:rFonts w:asciiTheme="majorHAnsi" w:eastAsiaTheme="majorEastAsia" w:hAnsiTheme="majorHAnsi" w:cstheme="majorBidi"/>
      <w:i/>
      <w:iCs/>
      <w:color w:val="2E74B5" w:themeColor="accent1" w:themeShade="BF"/>
      <w:bdr w:val="nil"/>
    </w:rPr>
  </w:style>
  <w:style w:type="paragraph" w:styleId="TOCHeading">
    <w:name w:val="TOC Heading"/>
    <w:basedOn w:val="Heading1"/>
    <w:next w:val="Normal"/>
    <w:uiPriority w:val="39"/>
    <w:unhideWhenUsed/>
    <w:qFormat/>
    <w:rsid w:val="00D66085"/>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b w:val="0"/>
      <w:bCs w:val="0"/>
      <w:sz w:val="32"/>
      <w:szCs w:val="32"/>
      <w:bdr w:val="none" w:sz="0" w:space="0" w:color="auto"/>
    </w:rPr>
  </w:style>
  <w:style w:type="paragraph" w:styleId="TOC1">
    <w:name w:val="toc 1"/>
    <w:basedOn w:val="Normal"/>
    <w:next w:val="Normal"/>
    <w:autoRedefine/>
    <w:uiPriority w:val="39"/>
    <w:unhideWhenUsed/>
    <w:rsid w:val="00D66085"/>
    <w:pPr>
      <w:spacing w:after="100"/>
    </w:pPr>
  </w:style>
  <w:style w:type="paragraph" w:styleId="TOC2">
    <w:name w:val="toc 2"/>
    <w:basedOn w:val="Normal"/>
    <w:next w:val="Normal"/>
    <w:autoRedefine/>
    <w:uiPriority w:val="39"/>
    <w:unhideWhenUsed/>
    <w:rsid w:val="00D66085"/>
    <w:pPr>
      <w:spacing w:after="100"/>
      <w:ind w:left="240"/>
    </w:pPr>
  </w:style>
  <w:style w:type="paragraph" w:styleId="TOC3">
    <w:name w:val="toc 3"/>
    <w:basedOn w:val="Normal"/>
    <w:next w:val="Normal"/>
    <w:autoRedefine/>
    <w:uiPriority w:val="39"/>
    <w:unhideWhenUsed/>
    <w:rsid w:val="00D6608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4956">
      <w:bodyDiv w:val="1"/>
      <w:marLeft w:val="0"/>
      <w:marRight w:val="0"/>
      <w:marTop w:val="0"/>
      <w:marBottom w:val="0"/>
      <w:divBdr>
        <w:top w:val="none" w:sz="0" w:space="0" w:color="auto"/>
        <w:left w:val="none" w:sz="0" w:space="0" w:color="auto"/>
        <w:bottom w:val="none" w:sz="0" w:space="0" w:color="auto"/>
        <w:right w:val="none" w:sz="0" w:space="0" w:color="auto"/>
      </w:divBdr>
      <w:divsChild>
        <w:div w:id="1337028309">
          <w:marLeft w:val="0"/>
          <w:marRight w:val="0"/>
          <w:marTop w:val="0"/>
          <w:marBottom w:val="0"/>
          <w:divBdr>
            <w:top w:val="none" w:sz="0" w:space="0" w:color="auto"/>
            <w:left w:val="none" w:sz="0" w:space="0" w:color="auto"/>
            <w:bottom w:val="none" w:sz="0" w:space="0" w:color="auto"/>
            <w:right w:val="none" w:sz="0" w:space="0" w:color="auto"/>
          </w:divBdr>
          <w:divsChild>
            <w:div w:id="857542749">
              <w:marLeft w:val="0"/>
              <w:marRight w:val="0"/>
              <w:marTop w:val="0"/>
              <w:marBottom w:val="0"/>
              <w:divBdr>
                <w:top w:val="none" w:sz="0" w:space="0" w:color="auto"/>
                <w:left w:val="none" w:sz="0" w:space="0" w:color="auto"/>
                <w:bottom w:val="none" w:sz="0" w:space="0" w:color="auto"/>
                <w:right w:val="none" w:sz="0" w:space="0" w:color="auto"/>
              </w:divBdr>
              <w:divsChild>
                <w:div w:id="149444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2448">
      <w:bodyDiv w:val="1"/>
      <w:marLeft w:val="0"/>
      <w:marRight w:val="0"/>
      <w:marTop w:val="0"/>
      <w:marBottom w:val="0"/>
      <w:divBdr>
        <w:top w:val="none" w:sz="0" w:space="0" w:color="auto"/>
        <w:left w:val="none" w:sz="0" w:space="0" w:color="auto"/>
        <w:bottom w:val="none" w:sz="0" w:space="0" w:color="auto"/>
        <w:right w:val="none" w:sz="0" w:space="0" w:color="auto"/>
      </w:divBdr>
    </w:div>
    <w:div w:id="306209174">
      <w:bodyDiv w:val="1"/>
      <w:marLeft w:val="0"/>
      <w:marRight w:val="0"/>
      <w:marTop w:val="0"/>
      <w:marBottom w:val="0"/>
      <w:divBdr>
        <w:top w:val="none" w:sz="0" w:space="0" w:color="auto"/>
        <w:left w:val="none" w:sz="0" w:space="0" w:color="auto"/>
        <w:bottom w:val="none" w:sz="0" w:space="0" w:color="auto"/>
        <w:right w:val="none" w:sz="0" w:space="0" w:color="auto"/>
      </w:divBdr>
      <w:divsChild>
        <w:div w:id="703561020">
          <w:marLeft w:val="0"/>
          <w:marRight w:val="0"/>
          <w:marTop w:val="0"/>
          <w:marBottom w:val="0"/>
          <w:divBdr>
            <w:top w:val="none" w:sz="0" w:space="0" w:color="auto"/>
            <w:left w:val="none" w:sz="0" w:space="0" w:color="auto"/>
            <w:bottom w:val="none" w:sz="0" w:space="0" w:color="auto"/>
            <w:right w:val="none" w:sz="0" w:space="0" w:color="auto"/>
          </w:divBdr>
          <w:divsChild>
            <w:div w:id="1722094878">
              <w:marLeft w:val="0"/>
              <w:marRight w:val="0"/>
              <w:marTop w:val="0"/>
              <w:marBottom w:val="0"/>
              <w:divBdr>
                <w:top w:val="none" w:sz="0" w:space="0" w:color="auto"/>
                <w:left w:val="none" w:sz="0" w:space="0" w:color="auto"/>
                <w:bottom w:val="none" w:sz="0" w:space="0" w:color="auto"/>
                <w:right w:val="none" w:sz="0" w:space="0" w:color="auto"/>
              </w:divBdr>
              <w:divsChild>
                <w:div w:id="15001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97998">
      <w:bodyDiv w:val="1"/>
      <w:marLeft w:val="0"/>
      <w:marRight w:val="0"/>
      <w:marTop w:val="0"/>
      <w:marBottom w:val="0"/>
      <w:divBdr>
        <w:top w:val="none" w:sz="0" w:space="0" w:color="auto"/>
        <w:left w:val="none" w:sz="0" w:space="0" w:color="auto"/>
        <w:bottom w:val="none" w:sz="0" w:space="0" w:color="auto"/>
        <w:right w:val="none" w:sz="0" w:space="0" w:color="auto"/>
      </w:divBdr>
      <w:divsChild>
        <w:div w:id="1142191139">
          <w:marLeft w:val="0"/>
          <w:marRight w:val="0"/>
          <w:marTop w:val="0"/>
          <w:marBottom w:val="0"/>
          <w:divBdr>
            <w:top w:val="none" w:sz="0" w:space="0" w:color="auto"/>
            <w:left w:val="none" w:sz="0" w:space="0" w:color="auto"/>
            <w:bottom w:val="none" w:sz="0" w:space="0" w:color="auto"/>
            <w:right w:val="none" w:sz="0" w:space="0" w:color="auto"/>
          </w:divBdr>
          <w:divsChild>
            <w:div w:id="764954931">
              <w:marLeft w:val="0"/>
              <w:marRight w:val="0"/>
              <w:marTop w:val="0"/>
              <w:marBottom w:val="0"/>
              <w:divBdr>
                <w:top w:val="none" w:sz="0" w:space="0" w:color="auto"/>
                <w:left w:val="none" w:sz="0" w:space="0" w:color="auto"/>
                <w:bottom w:val="none" w:sz="0" w:space="0" w:color="auto"/>
                <w:right w:val="none" w:sz="0" w:space="0" w:color="auto"/>
              </w:divBdr>
              <w:divsChild>
                <w:div w:id="1343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6782">
      <w:bodyDiv w:val="1"/>
      <w:marLeft w:val="0"/>
      <w:marRight w:val="0"/>
      <w:marTop w:val="0"/>
      <w:marBottom w:val="0"/>
      <w:divBdr>
        <w:top w:val="none" w:sz="0" w:space="0" w:color="auto"/>
        <w:left w:val="none" w:sz="0" w:space="0" w:color="auto"/>
        <w:bottom w:val="none" w:sz="0" w:space="0" w:color="auto"/>
        <w:right w:val="none" w:sz="0" w:space="0" w:color="auto"/>
      </w:divBdr>
      <w:divsChild>
        <w:div w:id="1402171077">
          <w:marLeft w:val="0"/>
          <w:marRight w:val="0"/>
          <w:marTop w:val="0"/>
          <w:marBottom w:val="0"/>
          <w:divBdr>
            <w:top w:val="none" w:sz="0" w:space="0" w:color="auto"/>
            <w:left w:val="none" w:sz="0" w:space="0" w:color="auto"/>
            <w:bottom w:val="none" w:sz="0" w:space="0" w:color="auto"/>
            <w:right w:val="none" w:sz="0" w:space="0" w:color="auto"/>
          </w:divBdr>
          <w:divsChild>
            <w:div w:id="245650617">
              <w:marLeft w:val="0"/>
              <w:marRight w:val="0"/>
              <w:marTop w:val="0"/>
              <w:marBottom w:val="0"/>
              <w:divBdr>
                <w:top w:val="none" w:sz="0" w:space="0" w:color="auto"/>
                <w:left w:val="none" w:sz="0" w:space="0" w:color="auto"/>
                <w:bottom w:val="none" w:sz="0" w:space="0" w:color="auto"/>
                <w:right w:val="none" w:sz="0" w:space="0" w:color="auto"/>
              </w:divBdr>
              <w:divsChild>
                <w:div w:id="17345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58808">
      <w:bodyDiv w:val="1"/>
      <w:marLeft w:val="0"/>
      <w:marRight w:val="0"/>
      <w:marTop w:val="0"/>
      <w:marBottom w:val="0"/>
      <w:divBdr>
        <w:top w:val="none" w:sz="0" w:space="0" w:color="auto"/>
        <w:left w:val="none" w:sz="0" w:space="0" w:color="auto"/>
        <w:bottom w:val="none" w:sz="0" w:space="0" w:color="auto"/>
        <w:right w:val="none" w:sz="0" w:space="0" w:color="auto"/>
      </w:divBdr>
    </w:div>
    <w:div w:id="957418235">
      <w:bodyDiv w:val="1"/>
      <w:marLeft w:val="0"/>
      <w:marRight w:val="0"/>
      <w:marTop w:val="0"/>
      <w:marBottom w:val="0"/>
      <w:divBdr>
        <w:top w:val="none" w:sz="0" w:space="0" w:color="auto"/>
        <w:left w:val="none" w:sz="0" w:space="0" w:color="auto"/>
        <w:bottom w:val="none" w:sz="0" w:space="0" w:color="auto"/>
        <w:right w:val="none" w:sz="0" w:space="0" w:color="auto"/>
      </w:divBdr>
      <w:divsChild>
        <w:div w:id="1649237971">
          <w:marLeft w:val="0"/>
          <w:marRight w:val="0"/>
          <w:marTop w:val="0"/>
          <w:marBottom w:val="0"/>
          <w:divBdr>
            <w:top w:val="none" w:sz="0" w:space="0" w:color="auto"/>
            <w:left w:val="none" w:sz="0" w:space="0" w:color="auto"/>
            <w:bottom w:val="none" w:sz="0" w:space="0" w:color="auto"/>
            <w:right w:val="none" w:sz="0" w:space="0" w:color="auto"/>
          </w:divBdr>
          <w:divsChild>
            <w:div w:id="879904739">
              <w:marLeft w:val="0"/>
              <w:marRight w:val="0"/>
              <w:marTop w:val="0"/>
              <w:marBottom w:val="0"/>
              <w:divBdr>
                <w:top w:val="none" w:sz="0" w:space="0" w:color="auto"/>
                <w:left w:val="none" w:sz="0" w:space="0" w:color="auto"/>
                <w:bottom w:val="none" w:sz="0" w:space="0" w:color="auto"/>
                <w:right w:val="none" w:sz="0" w:space="0" w:color="auto"/>
              </w:divBdr>
              <w:divsChild>
                <w:div w:id="1338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15241">
      <w:bodyDiv w:val="1"/>
      <w:marLeft w:val="0"/>
      <w:marRight w:val="0"/>
      <w:marTop w:val="0"/>
      <w:marBottom w:val="0"/>
      <w:divBdr>
        <w:top w:val="none" w:sz="0" w:space="0" w:color="auto"/>
        <w:left w:val="none" w:sz="0" w:space="0" w:color="auto"/>
        <w:bottom w:val="none" w:sz="0" w:space="0" w:color="auto"/>
        <w:right w:val="none" w:sz="0" w:space="0" w:color="auto"/>
      </w:divBdr>
      <w:divsChild>
        <w:div w:id="344095641">
          <w:marLeft w:val="0"/>
          <w:marRight w:val="0"/>
          <w:marTop w:val="0"/>
          <w:marBottom w:val="0"/>
          <w:divBdr>
            <w:top w:val="none" w:sz="0" w:space="0" w:color="auto"/>
            <w:left w:val="none" w:sz="0" w:space="0" w:color="auto"/>
            <w:bottom w:val="none" w:sz="0" w:space="0" w:color="auto"/>
            <w:right w:val="none" w:sz="0" w:space="0" w:color="auto"/>
          </w:divBdr>
          <w:divsChild>
            <w:div w:id="947783754">
              <w:marLeft w:val="0"/>
              <w:marRight w:val="0"/>
              <w:marTop w:val="0"/>
              <w:marBottom w:val="0"/>
              <w:divBdr>
                <w:top w:val="none" w:sz="0" w:space="0" w:color="auto"/>
                <w:left w:val="none" w:sz="0" w:space="0" w:color="auto"/>
                <w:bottom w:val="none" w:sz="0" w:space="0" w:color="auto"/>
                <w:right w:val="none" w:sz="0" w:space="0" w:color="auto"/>
              </w:divBdr>
              <w:divsChild>
                <w:div w:id="5581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22382">
      <w:bodyDiv w:val="1"/>
      <w:marLeft w:val="0"/>
      <w:marRight w:val="0"/>
      <w:marTop w:val="0"/>
      <w:marBottom w:val="0"/>
      <w:divBdr>
        <w:top w:val="none" w:sz="0" w:space="0" w:color="auto"/>
        <w:left w:val="none" w:sz="0" w:space="0" w:color="auto"/>
        <w:bottom w:val="none" w:sz="0" w:space="0" w:color="auto"/>
        <w:right w:val="none" w:sz="0" w:space="0" w:color="auto"/>
      </w:divBdr>
      <w:divsChild>
        <w:div w:id="1606813851">
          <w:marLeft w:val="0"/>
          <w:marRight w:val="0"/>
          <w:marTop w:val="0"/>
          <w:marBottom w:val="0"/>
          <w:divBdr>
            <w:top w:val="none" w:sz="0" w:space="0" w:color="auto"/>
            <w:left w:val="none" w:sz="0" w:space="0" w:color="auto"/>
            <w:bottom w:val="none" w:sz="0" w:space="0" w:color="auto"/>
            <w:right w:val="none" w:sz="0" w:space="0" w:color="auto"/>
          </w:divBdr>
          <w:divsChild>
            <w:div w:id="370880016">
              <w:marLeft w:val="0"/>
              <w:marRight w:val="0"/>
              <w:marTop w:val="0"/>
              <w:marBottom w:val="0"/>
              <w:divBdr>
                <w:top w:val="none" w:sz="0" w:space="0" w:color="auto"/>
                <w:left w:val="none" w:sz="0" w:space="0" w:color="auto"/>
                <w:bottom w:val="none" w:sz="0" w:space="0" w:color="auto"/>
                <w:right w:val="none" w:sz="0" w:space="0" w:color="auto"/>
              </w:divBdr>
              <w:divsChild>
                <w:div w:id="1449471957">
                  <w:marLeft w:val="0"/>
                  <w:marRight w:val="0"/>
                  <w:marTop w:val="0"/>
                  <w:marBottom w:val="0"/>
                  <w:divBdr>
                    <w:top w:val="none" w:sz="0" w:space="0" w:color="auto"/>
                    <w:left w:val="none" w:sz="0" w:space="0" w:color="auto"/>
                    <w:bottom w:val="none" w:sz="0" w:space="0" w:color="auto"/>
                    <w:right w:val="none" w:sz="0" w:space="0" w:color="auto"/>
                  </w:divBdr>
                </w:div>
              </w:divsChild>
            </w:div>
            <w:div w:id="1735155033">
              <w:marLeft w:val="0"/>
              <w:marRight w:val="0"/>
              <w:marTop w:val="0"/>
              <w:marBottom w:val="0"/>
              <w:divBdr>
                <w:top w:val="none" w:sz="0" w:space="0" w:color="auto"/>
                <w:left w:val="none" w:sz="0" w:space="0" w:color="auto"/>
                <w:bottom w:val="none" w:sz="0" w:space="0" w:color="auto"/>
                <w:right w:val="none" w:sz="0" w:space="0" w:color="auto"/>
              </w:divBdr>
              <w:divsChild>
                <w:div w:id="1538933230">
                  <w:marLeft w:val="0"/>
                  <w:marRight w:val="0"/>
                  <w:marTop w:val="0"/>
                  <w:marBottom w:val="0"/>
                  <w:divBdr>
                    <w:top w:val="none" w:sz="0" w:space="0" w:color="auto"/>
                    <w:left w:val="none" w:sz="0" w:space="0" w:color="auto"/>
                    <w:bottom w:val="none" w:sz="0" w:space="0" w:color="auto"/>
                    <w:right w:val="none" w:sz="0" w:space="0" w:color="auto"/>
                  </w:divBdr>
                  <w:divsChild>
                    <w:div w:id="7729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5294">
              <w:marLeft w:val="0"/>
              <w:marRight w:val="0"/>
              <w:marTop w:val="0"/>
              <w:marBottom w:val="0"/>
              <w:divBdr>
                <w:top w:val="none" w:sz="0" w:space="0" w:color="auto"/>
                <w:left w:val="none" w:sz="0" w:space="0" w:color="auto"/>
                <w:bottom w:val="none" w:sz="0" w:space="0" w:color="auto"/>
                <w:right w:val="none" w:sz="0" w:space="0" w:color="auto"/>
              </w:divBdr>
              <w:divsChild>
                <w:div w:id="113024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77398">
          <w:marLeft w:val="0"/>
          <w:marRight w:val="0"/>
          <w:marTop w:val="0"/>
          <w:marBottom w:val="0"/>
          <w:divBdr>
            <w:top w:val="none" w:sz="0" w:space="0" w:color="auto"/>
            <w:left w:val="none" w:sz="0" w:space="0" w:color="auto"/>
            <w:bottom w:val="none" w:sz="0" w:space="0" w:color="auto"/>
            <w:right w:val="none" w:sz="0" w:space="0" w:color="auto"/>
          </w:divBdr>
          <w:divsChild>
            <w:div w:id="1805780024">
              <w:marLeft w:val="0"/>
              <w:marRight w:val="0"/>
              <w:marTop w:val="0"/>
              <w:marBottom w:val="0"/>
              <w:divBdr>
                <w:top w:val="none" w:sz="0" w:space="0" w:color="auto"/>
                <w:left w:val="none" w:sz="0" w:space="0" w:color="auto"/>
                <w:bottom w:val="none" w:sz="0" w:space="0" w:color="auto"/>
                <w:right w:val="none" w:sz="0" w:space="0" w:color="auto"/>
              </w:divBdr>
              <w:divsChild>
                <w:div w:id="7017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5858">
      <w:bodyDiv w:val="1"/>
      <w:marLeft w:val="0"/>
      <w:marRight w:val="0"/>
      <w:marTop w:val="0"/>
      <w:marBottom w:val="0"/>
      <w:divBdr>
        <w:top w:val="none" w:sz="0" w:space="0" w:color="auto"/>
        <w:left w:val="none" w:sz="0" w:space="0" w:color="auto"/>
        <w:bottom w:val="none" w:sz="0" w:space="0" w:color="auto"/>
        <w:right w:val="none" w:sz="0" w:space="0" w:color="auto"/>
      </w:divBdr>
      <w:divsChild>
        <w:div w:id="1793278599">
          <w:marLeft w:val="0"/>
          <w:marRight w:val="0"/>
          <w:marTop w:val="0"/>
          <w:marBottom w:val="0"/>
          <w:divBdr>
            <w:top w:val="none" w:sz="0" w:space="0" w:color="auto"/>
            <w:left w:val="none" w:sz="0" w:space="0" w:color="auto"/>
            <w:bottom w:val="none" w:sz="0" w:space="0" w:color="auto"/>
            <w:right w:val="none" w:sz="0" w:space="0" w:color="auto"/>
          </w:divBdr>
          <w:divsChild>
            <w:div w:id="1495410763">
              <w:marLeft w:val="0"/>
              <w:marRight w:val="0"/>
              <w:marTop w:val="0"/>
              <w:marBottom w:val="0"/>
              <w:divBdr>
                <w:top w:val="none" w:sz="0" w:space="0" w:color="auto"/>
                <w:left w:val="none" w:sz="0" w:space="0" w:color="auto"/>
                <w:bottom w:val="none" w:sz="0" w:space="0" w:color="auto"/>
                <w:right w:val="none" w:sz="0" w:space="0" w:color="auto"/>
              </w:divBdr>
              <w:divsChild>
                <w:div w:id="11911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4278">
      <w:bodyDiv w:val="1"/>
      <w:marLeft w:val="0"/>
      <w:marRight w:val="0"/>
      <w:marTop w:val="0"/>
      <w:marBottom w:val="0"/>
      <w:divBdr>
        <w:top w:val="none" w:sz="0" w:space="0" w:color="auto"/>
        <w:left w:val="none" w:sz="0" w:space="0" w:color="auto"/>
        <w:bottom w:val="none" w:sz="0" w:space="0" w:color="auto"/>
        <w:right w:val="none" w:sz="0" w:space="0" w:color="auto"/>
      </w:divBdr>
    </w:div>
    <w:div w:id="1802140966">
      <w:bodyDiv w:val="1"/>
      <w:marLeft w:val="0"/>
      <w:marRight w:val="0"/>
      <w:marTop w:val="0"/>
      <w:marBottom w:val="0"/>
      <w:divBdr>
        <w:top w:val="none" w:sz="0" w:space="0" w:color="auto"/>
        <w:left w:val="none" w:sz="0" w:space="0" w:color="auto"/>
        <w:bottom w:val="none" w:sz="0" w:space="0" w:color="auto"/>
        <w:right w:val="none" w:sz="0" w:space="0" w:color="auto"/>
      </w:divBdr>
      <w:divsChild>
        <w:div w:id="848182886">
          <w:marLeft w:val="0"/>
          <w:marRight w:val="0"/>
          <w:marTop w:val="0"/>
          <w:marBottom w:val="0"/>
          <w:divBdr>
            <w:top w:val="none" w:sz="0" w:space="0" w:color="auto"/>
            <w:left w:val="none" w:sz="0" w:space="0" w:color="auto"/>
            <w:bottom w:val="none" w:sz="0" w:space="0" w:color="auto"/>
            <w:right w:val="none" w:sz="0" w:space="0" w:color="auto"/>
          </w:divBdr>
          <w:divsChild>
            <w:div w:id="712582408">
              <w:marLeft w:val="0"/>
              <w:marRight w:val="0"/>
              <w:marTop w:val="0"/>
              <w:marBottom w:val="0"/>
              <w:divBdr>
                <w:top w:val="none" w:sz="0" w:space="0" w:color="auto"/>
                <w:left w:val="none" w:sz="0" w:space="0" w:color="auto"/>
                <w:bottom w:val="none" w:sz="0" w:space="0" w:color="auto"/>
                <w:right w:val="none" w:sz="0" w:space="0" w:color="auto"/>
              </w:divBdr>
              <w:divsChild>
                <w:div w:id="1180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02721">
      <w:bodyDiv w:val="1"/>
      <w:marLeft w:val="0"/>
      <w:marRight w:val="0"/>
      <w:marTop w:val="0"/>
      <w:marBottom w:val="0"/>
      <w:divBdr>
        <w:top w:val="none" w:sz="0" w:space="0" w:color="auto"/>
        <w:left w:val="none" w:sz="0" w:space="0" w:color="auto"/>
        <w:bottom w:val="none" w:sz="0" w:space="0" w:color="auto"/>
        <w:right w:val="none" w:sz="0" w:space="0" w:color="auto"/>
      </w:divBdr>
      <w:divsChild>
        <w:div w:id="1482848417">
          <w:marLeft w:val="0"/>
          <w:marRight w:val="0"/>
          <w:marTop w:val="0"/>
          <w:marBottom w:val="0"/>
          <w:divBdr>
            <w:top w:val="none" w:sz="0" w:space="0" w:color="auto"/>
            <w:left w:val="none" w:sz="0" w:space="0" w:color="auto"/>
            <w:bottom w:val="none" w:sz="0" w:space="0" w:color="auto"/>
            <w:right w:val="none" w:sz="0" w:space="0" w:color="auto"/>
          </w:divBdr>
          <w:divsChild>
            <w:div w:id="1414011454">
              <w:marLeft w:val="0"/>
              <w:marRight w:val="0"/>
              <w:marTop w:val="0"/>
              <w:marBottom w:val="0"/>
              <w:divBdr>
                <w:top w:val="none" w:sz="0" w:space="0" w:color="auto"/>
                <w:left w:val="none" w:sz="0" w:space="0" w:color="auto"/>
                <w:bottom w:val="none" w:sz="0" w:space="0" w:color="auto"/>
                <w:right w:val="none" w:sz="0" w:space="0" w:color="auto"/>
              </w:divBdr>
              <w:divsChild>
                <w:div w:id="9181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casos-contenciosos/38-jurisprudencia/731-corte-idh-caso-de-las-masacres-de-ituango-vs-colombia-sentencia-de-1-de-julio-de-2006-serie-c-no-148" TargetMode="External"/><Relationship Id="rId2" Type="http://schemas.openxmlformats.org/officeDocument/2006/relationships/hyperlink" Target="http://joomla.corteidh.or.cr:8080/joomla/es/casos-contenciosos/38-jurisprudencia/738-corte-idh-caso-claude-reyes-y-otros-vs-chile-fondo-reparaciones-y-costas-sentencia-de-19-de-septiembre-de-2006-serie-c-no-151" TargetMode="External"/><Relationship Id="rId1" Type="http://schemas.openxmlformats.org/officeDocument/2006/relationships/hyperlink" Target="http://joomla.corteidh.or.cr:8080/joomla/es/casos-contenciosos/38-jurisprudencia/1505-corte-idh-caso-barbani-duarte-y-otros-vs-uruguay-fondo-reparaciones-y-costas-sentencia-de-13-de-octubre-de-2011-serie-c-no-2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AA1AA-28E4-4C40-B5CF-4B0CF6E7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6668</Words>
  <Characters>38010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Serrano</dc:creator>
  <cp:keywords/>
  <dc:description/>
  <cp:lastModifiedBy>Rivera, Leonor</cp:lastModifiedBy>
  <cp:revision>3</cp:revision>
  <dcterms:created xsi:type="dcterms:W3CDTF">2019-07-12T16:14:00Z</dcterms:created>
  <dcterms:modified xsi:type="dcterms:W3CDTF">2019-07-12T17:07:00Z</dcterms:modified>
</cp:coreProperties>
</file>