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10796C" w:rsidRDefault="00FD04C2" w:rsidP="000D044A">
      <w:pPr>
        <w:ind w:firstLine="567"/>
        <w:jc w:val="both"/>
        <w:rPr>
          <w:rFonts w:ascii="Cambria" w:hAnsi="Cambria" w:cs="Univers"/>
          <w:b/>
          <w:bCs/>
          <w:sz w:val="22"/>
          <w:szCs w:val="22"/>
          <w:lang w:val="es-ES"/>
        </w:rPr>
      </w:pPr>
      <w:r>
        <w:rPr>
          <w:noProof/>
        </w:rPr>
        <mc:AlternateContent>
          <mc:Choice Requires="wps">
            <w:drawing>
              <wp:anchor distT="0" distB="0" distL="114300" distR="114300" simplePos="0" relativeHeight="251653632"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6ZQIAAMs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" fillcolor="#4a7194" stroked="f" strokeweight="2pt">
                <v:path arrowok="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6A4D75" w:rsidRDefault="00FD04C2" w:rsidP="00AE5488">
                            <w:r>
                              <w:rPr>
                                <w:noProof/>
                              </w:rPr>
                              <w:drawing>
                                <wp:inline distT="0" distB="0" distL="0" distR="0">
                                  <wp:extent cx="2647950" cy="508635"/>
                                  <wp:effectExtent l="0" t="0" r="0" b="5715"/>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08635"/>
                                          </a:xfrm>
                                          <a:prstGeom prst="rect">
                                            <a:avLst/>
                                          </a:prstGeom>
                                          <a:noFill/>
                                          <a:ln>
                                            <a:noFill/>
                                          </a:ln>
                                        </pic:spPr>
                                      </pic:pic>
                                    </a:graphicData>
                                  </a:graphic>
                                </wp:inline>
                              </w:drawing>
                            </w:r>
                            <w:r w:rsidR="006A4D75">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" filled="f" stroked="f" strokeweight=".5pt">
                <v:path arrowok="t"/>
                <v:textbox>
                  <w:txbxContent>
                    <w:p w:rsidR="006A4D75" w:rsidRDefault="00FD04C2" w:rsidP="00AE5488">
                      <w:r>
                        <w:rPr>
                          <w:noProof/>
                          <w:lang w:val="es-ES" w:eastAsia="es-ES"/>
                        </w:rPr>
                        <w:drawing>
                          <wp:inline distT="0" distB="0" distL="0" distR="0">
                            <wp:extent cx="2647950" cy="508635"/>
                            <wp:effectExtent l="0" t="0" r="0" b="5715"/>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508635"/>
                                    </a:xfrm>
                                    <a:prstGeom prst="rect">
                                      <a:avLst/>
                                    </a:prstGeom>
                                    <a:noFill/>
                                    <a:ln>
                                      <a:noFill/>
                                    </a:ln>
                                  </pic:spPr>
                                </pic:pic>
                              </a:graphicData>
                            </a:graphic>
                          </wp:inline>
                        </w:drawing>
                      </w:r>
                      <w:r w:rsidR="006A4D75">
                        <w:tab/>
                        <w:t xml:space="preserve">                              </w:t>
                      </w:r>
                    </w:p>
                  </w:txbxContent>
                </v:textbox>
              </v:shape>
            </w:pict>
          </mc:Fallback>
        </mc:AlternateContent>
      </w:r>
    </w:p>
    <w:p w:rsidR="00040C3A" w:rsidRPr="0010796C" w:rsidRDefault="00040C3A" w:rsidP="000D044A">
      <w:pPr>
        <w:tabs>
          <w:tab w:val="center" w:pos="5400"/>
        </w:tabs>
        <w:suppressAutoHyphens/>
        <w:ind w:firstLine="567"/>
        <w:jc w:val="both"/>
        <w:rPr>
          <w:rFonts w:ascii="Cambria" w:hAnsi="Cambria"/>
          <w:sz w:val="22"/>
          <w:szCs w:val="22"/>
          <w:lang w:val="es-ES"/>
        </w:rPr>
      </w:pPr>
    </w:p>
    <w:p w:rsidR="00040C3A" w:rsidRPr="0010796C" w:rsidRDefault="00040C3A" w:rsidP="000D044A">
      <w:pPr>
        <w:tabs>
          <w:tab w:val="center" w:pos="5400"/>
        </w:tabs>
        <w:suppressAutoHyphens/>
        <w:ind w:firstLine="567"/>
        <w:jc w:val="both"/>
        <w:rPr>
          <w:rFonts w:ascii="Cambria" w:hAnsi="Cambria"/>
          <w:sz w:val="22"/>
          <w:szCs w:val="22"/>
          <w:lang w:val="es-ES"/>
        </w:rPr>
      </w:pPr>
    </w:p>
    <w:p w:rsidR="005128E4" w:rsidRPr="0010796C" w:rsidRDefault="005128E4" w:rsidP="000D044A">
      <w:pPr>
        <w:tabs>
          <w:tab w:val="center" w:pos="5400"/>
        </w:tabs>
        <w:suppressAutoHyphens/>
        <w:ind w:firstLine="567"/>
        <w:rPr>
          <w:rFonts w:ascii="Cambria" w:hAnsi="Cambria"/>
          <w:sz w:val="22"/>
          <w:szCs w:val="22"/>
          <w:lang w:val="es-ES"/>
        </w:rPr>
      </w:pPr>
    </w:p>
    <w:p w:rsidR="005128E4" w:rsidRPr="0010796C" w:rsidRDefault="005128E4" w:rsidP="000D044A">
      <w:pPr>
        <w:tabs>
          <w:tab w:val="center" w:pos="5400"/>
        </w:tabs>
        <w:suppressAutoHyphens/>
        <w:ind w:firstLine="567"/>
        <w:rPr>
          <w:rFonts w:ascii="Cambria" w:hAnsi="Cambria"/>
          <w:sz w:val="22"/>
          <w:szCs w:val="22"/>
          <w:lang w:val="es-ES"/>
        </w:rPr>
      </w:pPr>
    </w:p>
    <w:p w:rsidR="005128E4" w:rsidRPr="0010796C" w:rsidRDefault="005128E4" w:rsidP="000D044A">
      <w:pPr>
        <w:tabs>
          <w:tab w:val="center" w:pos="5400"/>
        </w:tabs>
        <w:suppressAutoHyphens/>
        <w:ind w:firstLine="567"/>
        <w:rPr>
          <w:rFonts w:ascii="Cambria" w:hAnsi="Cambria"/>
          <w:sz w:val="22"/>
          <w:szCs w:val="22"/>
          <w:lang w:val="es-ES"/>
        </w:rPr>
      </w:pPr>
    </w:p>
    <w:p w:rsidR="00040C3A" w:rsidRPr="0010796C" w:rsidRDefault="00040C3A" w:rsidP="000D044A">
      <w:pPr>
        <w:tabs>
          <w:tab w:val="center" w:pos="5400"/>
        </w:tabs>
        <w:suppressAutoHyphens/>
        <w:ind w:firstLine="567"/>
        <w:jc w:val="center"/>
        <w:rPr>
          <w:rFonts w:ascii="Cambria" w:hAnsi="Cambria"/>
          <w:sz w:val="22"/>
          <w:szCs w:val="22"/>
          <w:lang w:val="es-ES"/>
        </w:rPr>
      </w:pPr>
    </w:p>
    <w:p w:rsidR="00040C3A" w:rsidRPr="0010796C" w:rsidRDefault="00040C3A" w:rsidP="000D044A">
      <w:pPr>
        <w:tabs>
          <w:tab w:val="center" w:pos="5400"/>
        </w:tabs>
        <w:suppressAutoHyphens/>
        <w:ind w:firstLine="567"/>
        <w:jc w:val="center"/>
        <w:rPr>
          <w:rFonts w:ascii="Cambria" w:hAnsi="Cambria"/>
          <w:sz w:val="22"/>
          <w:szCs w:val="22"/>
          <w:lang w:val="es-ES"/>
        </w:rPr>
      </w:pPr>
    </w:p>
    <w:p w:rsidR="005B52B0" w:rsidRPr="0010796C" w:rsidRDefault="005B52B0" w:rsidP="000D044A">
      <w:pPr>
        <w:tabs>
          <w:tab w:val="center" w:pos="5400"/>
        </w:tabs>
        <w:suppressAutoHyphens/>
        <w:ind w:firstLine="567"/>
        <w:jc w:val="center"/>
        <w:rPr>
          <w:rFonts w:ascii="Cambria" w:hAnsi="Cambria"/>
          <w:sz w:val="22"/>
          <w:szCs w:val="22"/>
          <w:lang w:val="es-ES"/>
        </w:rPr>
      </w:pPr>
    </w:p>
    <w:p w:rsidR="005B52B0" w:rsidRPr="0010796C" w:rsidRDefault="005B52B0" w:rsidP="000D044A">
      <w:pPr>
        <w:tabs>
          <w:tab w:val="center" w:pos="5400"/>
        </w:tabs>
        <w:suppressAutoHyphens/>
        <w:ind w:firstLine="567"/>
        <w:jc w:val="center"/>
        <w:rPr>
          <w:rFonts w:ascii="Cambria" w:hAnsi="Cambria"/>
          <w:sz w:val="22"/>
          <w:szCs w:val="22"/>
          <w:lang w:val="es-ES"/>
        </w:rPr>
      </w:pPr>
    </w:p>
    <w:p w:rsidR="005B52B0" w:rsidRPr="0010796C" w:rsidRDefault="005B52B0" w:rsidP="000D044A">
      <w:pPr>
        <w:tabs>
          <w:tab w:val="center" w:pos="5400"/>
        </w:tabs>
        <w:suppressAutoHyphens/>
        <w:ind w:firstLine="567"/>
        <w:jc w:val="center"/>
        <w:rPr>
          <w:rFonts w:ascii="Cambria" w:hAnsi="Cambria"/>
          <w:sz w:val="22"/>
          <w:szCs w:val="22"/>
          <w:lang w:val="es-ES"/>
        </w:rPr>
      </w:pPr>
    </w:p>
    <w:p w:rsidR="00040C3A" w:rsidRPr="0010796C" w:rsidRDefault="00040C3A" w:rsidP="000D044A">
      <w:pPr>
        <w:tabs>
          <w:tab w:val="center" w:pos="5400"/>
        </w:tabs>
        <w:suppressAutoHyphens/>
        <w:ind w:firstLine="567"/>
        <w:jc w:val="center"/>
        <w:rPr>
          <w:rFonts w:ascii="Cambria" w:hAnsi="Cambria"/>
          <w:sz w:val="22"/>
          <w:szCs w:val="22"/>
          <w:lang w:val="es-ES"/>
        </w:rPr>
      </w:pPr>
    </w:p>
    <w:p w:rsidR="00040C3A" w:rsidRPr="0010796C" w:rsidRDefault="00040C3A" w:rsidP="000D044A">
      <w:pPr>
        <w:tabs>
          <w:tab w:val="center" w:pos="5400"/>
        </w:tabs>
        <w:suppressAutoHyphens/>
        <w:ind w:firstLine="567"/>
        <w:jc w:val="center"/>
        <w:rPr>
          <w:rFonts w:ascii="Cambria" w:hAnsi="Cambria"/>
          <w:sz w:val="22"/>
          <w:szCs w:val="22"/>
          <w:lang w:val="es-ES"/>
        </w:rPr>
      </w:pPr>
    </w:p>
    <w:p w:rsidR="00040C3A" w:rsidRPr="0010796C" w:rsidRDefault="00FD04C2" w:rsidP="000D044A">
      <w:pPr>
        <w:tabs>
          <w:tab w:val="center" w:pos="5400"/>
        </w:tabs>
        <w:suppressAutoHyphens/>
        <w:ind w:firstLine="567"/>
        <w:jc w:val="center"/>
        <w:rPr>
          <w:rFonts w:ascii="Cambria" w:hAnsi="Cambria"/>
          <w:sz w:val="22"/>
          <w:szCs w:val="22"/>
          <w:lang w:val="es-ES"/>
        </w:rPr>
      </w:pPr>
      <w:r>
        <w:rPr>
          <w:noProof/>
        </w:rPr>
        <mc:AlternateContent>
          <mc:Choice Requires="wps">
            <w:drawing>
              <wp:anchor distT="0" distB="0" distL="114300" distR="114300" simplePos="0" relativeHeight="251654656" behindDoc="0" locked="0" layoutInCell="1" allowOverlap="1">
                <wp:simplePos x="0" y="0"/>
                <wp:positionH relativeFrom="column">
                  <wp:posOffset>1352550</wp:posOffset>
                </wp:positionH>
                <wp:positionV relativeFrom="paragraph">
                  <wp:posOffset>42545</wp:posOffset>
                </wp:positionV>
                <wp:extent cx="4441190" cy="2181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6A4D75" w:rsidRPr="00EE3118" w:rsidRDefault="006A4D75" w:rsidP="00997BC5">
                            <w:pPr>
                              <w:spacing w:line="276" w:lineRule="auto"/>
                              <w:rPr>
                                <w:rFonts w:ascii="Cambria" w:hAnsi="Cambria" w:cs="Arial"/>
                                <w:b/>
                                <w:bCs/>
                                <w:color w:val="0D0D0D"/>
                                <w:sz w:val="36"/>
                                <w:szCs w:val="22"/>
                                <w:lang w:val="es-ES"/>
                              </w:rPr>
                            </w:pPr>
                            <w:r w:rsidRPr="00EE3118">
                              <w:rPr>
                                <w:rFonts w:ascii="Cambria" w:hAnsi="Cambria" w:cs="Arial"/>
                                <w:b/>
                                <w:bCs/>
                                <w:color w:val="0D0D0D"/>
                                <w:sz w:val="36"/>
                                <w:szCs w:val="22"/>
                                <w:lang w:val="es-ES"/>
                              </w:rPr>
                              <w:t xml:space="preserve">INFORME </w:t>
                            </w:r>
                            <w:r w:rsidRPr="00EE3118">
                              <w:rPr>
                                <w:rFonts w:ascii="Cambria" w:hAnsi="Cambria" w:cs="Arial"/>
                                <w:b/>
                                <w:bCs/>
                                <w:color w:val="0D0D0D"/>
                                <w:sz w:val="36"/>
                                <w:szCs w:val="40"/>
                                <w:lang w:val="es-ES"/>
                              </w:rPr>
                              <w:t>No.</w:t>
                            </w:r>
                            <w:r>
                              <w:rPr>
                                <w:rFonts w:ascii="Cambria" w:hAnsi="Cambria" w:cs="Arial"/>
                                <w:b/>
                                <w:bCs/>
                                <w:color w:val="0D0D0D"/>
                                <w:sz w:val="36"/>
                                <w:szCs w:val="40"/>
                                <w:lang w:val="es-ES"/>
                              </w:rPr>
                              <w:t xml:space="preserve"> 73/17</w:t>
                            </w:r>
                            <w:r w:rsidRPr="00EE3118">
                              <w:rPr>
                                <w:rFonts w:ascii="Cambria" w:hAnsi="Cambria" w:cs="Arial"/>
                                <w:b/>
                                <w:bCs/>
                                <w:color w:val="0D0D0D"/>
                                <w:sz w:val="36"/>
                                <w:szCs w:val="22"/>
                                <w:lang w:val="es-ES"/>
                              </w:rPr>
                              <w:t xml:space="preserve"> </w:t>
                            </w:r>
                          </w:p>
                          <w:p w:rsidR="006A4D75" w:rsidRPr="00D21B8F" w:rsidRDefault="006A4D75" w:rsidP="00997BC5">
                            <w:pPr>
                              <w:spacing w:line="276" w:lineRule="auto"/>
                              <w:rPr>
                                <w:rFonts w:ascii="Cambria" w:hAnsi="Cambria" w:cs="Arial"/>
                                <w:b/>
                                <w:color w:val="0D0D0D"/>
                                <w:sz w:val="36"/>
                                <w:szCs w:val="22"/>
                                <w:lang w:val="es-ES"/>
                              </w:rPr>
                            </w:pPr>
                            <w:r w:rsidRPr="00D21B8F">
                              <w:rPr>
                                <w:rFonts w:ascii="Cambria" w:hAnsi="Cambria" w:cs="Arial"/>
                                <w:b/>
                                <w:color w:val="0D0D0D"/>
                                <w:sz w:val="36"/>
                                <w:szCs w:val="22"/>
                                <w:lang w:val="es-ES"/>
                              </w:rPr>
                              <w:t xml:space="preserve">CASO </w:t>
                            </w:r>
                            <w:r>
                              <w:rPr>
                                <w:rFonts w:ascii="Cambria" w:hAnsi="Cambria" w:cs="Arial"/>
                                <w:b/>
                                <w:color w:val="0D0D0D"/>
                                <w:sz w:val="36"/>
                                <w:szCs w:val="22"/>
                                <w:lang w:val="es-ES"/>
                              </w:rPr>
                              <w:t>12.984</w:t>
                            </w:r>
                          </w:p>
                          <w:p w:rsidR="006A4D75" w:rsidRPr="00DB43BD" w:rsidRDefault="006A4D75" w:rsidP="00D21B8F">
                            <w:pPr>
                              <w:spacing w:line="276" w:lineRule="auto"/>
                              <w:rPr>
                                <w:rFonts w:ascii="Cambria" w:hAnsi="Cambria" w:cs="Arial"/>
                                <w:color w:val="0D0D0D"/>
                                <w:szCs w:val="22"/>
                                <w:lang w:val="es-ES_tradnl"/>
                              </w:rPr>
                            </w:pPr>
                            <w:r w:rsidRPr="00DB43BD">
                              <w:rPr>
                                <w:rFonts w:ascii="Cambria" w:hAnsi="Cambria" w:cs="Arial"/>
                                <w:color w:val="0D0D0D"/>
                                <w:szCs w:val="22"/>
                                <w:lang w:val="es-ES_tradnl"/>
                              </w:rPr>
                              <w:t xml:space="preserve">INFORME DE </w:t>
                            </w:r>
                            <w:r>
                              <w:rPr>
                                <w:rFonts w:ascii="Cambria" w:hAnsi="Cambria" w:cs="Arial"/>
                                <w:color w:val="0D0D0D"/>
                                <w:szCs w:val="22"/>
                                <w:lang w:val="es-ES_tradnl"/>
                              </w:rPr>
                              <w:t>FONDO</w:t>
                            </w:r>
                          </w:p>
                          <w:p w:rsidR="006A4D75" w:rsidRPr="00DB43BD" w:rsidRDefault="006A4D75" w:rsidP="00997BC5">
                            <w:pPr>
                              <w:spacing w:line="276" w:lineRule="auto"/>
                              <w:rPr>
                                <w:rFonts w:ascii="Cambria" w:hAnsi="Cambria" w:cs="Arial"/>
                                <w:color w:val="0D0D0D"/>
                                <w:szCs w:val="22"/>
                                <w:lang w:val="es-ES_tradnl"/>
                              </w:rPr>
                            </w:pPr>
                          </w:p>
                          <w:p w:rsidR="006A4D75" w:rsidRPr="00DB43BD" w:rsidRDefault="006A4D75" w:rsidP="00997BC5">
                            <w:pPr>
                              <w:spacing w:line="276" w:lineRule="auto"/>
                              <w:rPr>
                                <w:rFonts w:ascii="Cambria" w:hAnsi="Cambria" w:cs="Arial"/>
                                <w:color w:val="0D0D0D"/>
                                <w:szCs w:val="22"/>
                                <w:lang w:val="es-ES_tradnl"/>
                              </w:rPr>
                            </w:pPr>
                            <w:bookmarkStart w:id="0" w:name="_ftnref1"/>
                          </w:p>
                          <w:p w:rsidR="006A4D75" w:rsidRPr="00DB43BD" w:rsidRDefault="006A4D75" w:rsidP="00997BC5">
                            <w:pPr>
                              <w:spacing w:line="276" w:lineRule="auto"/>
                              <w:rPr>
                                <w:rFonts w:ascii="Cambria" w:hAnsi="Cambria" w:cs="Arial"/>
                                <w:color w:val="0D0D0D"/>
                                <w:szCs w:val="22"/>
                                <w:lang w:val="es-ES_tradnl"/>
                              </w:rPr>
                            </w:pPr>
                            <w:r>
                              <w:rPr>
                                <w:rFonts w:ascii="Cambria" w:hAnsi="Cambria" w:cs="Arial"/>
                                <w:color w:val="0D0D0D"/>
                                <w:szCs w:val="22"/>
                                <w:lang w:val="es-ES_tradnl"/>
                              </w:rPr>
                              <w:t>RAÚL ROLANDO ROMERO FERIS</w:t>
                            </w:r>
                          </w:p>
                          <w:bookmarkEnd w:id="0"/>
                          <w:p w:rsidR="006A4D75" w:rsidRPr="00DB43BD" w:rsidRDefault="006A4D75" w:rsidP="00997BC5">
                            <w:pPr>
                              <w:spacing w:line="276" w:lineRule="auto"/>
                              <w:rPr>
                                <w:rFonts w:ascii="Cambria" w:hAnsi="Cambria" w:cs="Arial"/>
                                <w:color w:val="0D0D0D"/>
                                <w:szCs w:val="22"/>
                                <w:lang w:val="es-ES"/>
                              </w:rPr>
                            </w:pPr>
                            <w:r>
                              <w:rPr>
                                <w:rFonts w:ascii="Cambria" w:hAnsi="Cambria" w:cs="Arial"/>
                                <w:color w:val="0D0D0D"/>
                                <w:szCs w:val="22"/>
                                <w:lang w:val="es-ES_tradnl"/>
                              </w:rPr>
                              <w:t>ARGENTINA</w:t>
                            </w:r>
                          </w:p>
                          <w:p w:rsidR="006A4D75" w:rsidRPr="00DB43BD" w:rsidRDefault="006A4D75" w:rsidP="007A5817">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3.35pt;width:349.7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" filled="f" stroked="f" strokeweight=".5pt">
                <v:path arrowok="t"/>
                <v:textbox>
                  <w:txbxContent>
                    <w:p w:rsidR="006A4D75" w:rsidRPr="00EE3118" w:rsidRDefault="006A4D75" w:rsidP="00997BC5">
                      <w:pPr>
                        <w:spacing w:line="276" w:lineRule="auto"/>
                        <w:rPr>
                          <w:rFonts w:ascii="Cambria" w:hAnsi="Cambria" w:cs="Arial"/>
                          <w:b/>
                          <w:bCs/>
                          <w:color w:val="0D0D0D"/>
                          <w:sz w:val="36"/>
                          <w:szCs w:val="22"/>
                          <w:lang w:val="es-ES"/>
                        </w:rPr>
                      </w:pPr>
                      <w:r w:rsidRPr="00EE3118">
                        <w:rPr>
                          <w:rFonts w:ascii="Cambria" w:hAnsi="Cambria" w:cs="Arial"/>
                          <w:b/>
                          <w:bCs/>
                          <w:color w:val="0D0D0D"/>
                          <w:sz w:val="36"/>
                          <w:szCs w:val="22"/>
                          <w:lang w:val="es-ES"/>
                        </w:rPr>
                        <w:t xml:space="preserve">INFORME </w:t>
                      </w:r>
                      <w:r w:rsidRPr="00EE3118">
                        <w:rPr>
                          <w:rFonts w:ascii="Cambria" w:hAnsi="Cambria" w:cs="Arial"/>
                          <w:b/>
                          <w:bCs/>
                          <w:color w:val="0D0D0D"/>
                          <w:sz w:val="36"/>
                          <w:szCs w:val="40"/>
                          <w:lang w:val="es-ES"/>
                        </w:rPr>
                        <w:t>No.</w:t>
                      </w:r>
                      <w:r>
                        <w:rPr>
                          <w:rFonts w:ascii="Cambria" w:hAnsi="Cambria" w:cs="Arial"/>
                          <w:b/>
                          <w:bCs/>
                          <w:color w:val="0D0D0D"/>
                          <w:sz w:val="36"/>
                          <w:szCs w:val="40"/>
                          <w:lang w:val="es-ES"/>
                        </w:rPr>
                        <w:t xml:space="preserve"> 73/17</w:t>
                      </w:r>
                      <w:r w:rsidRPr="00EE3118">
                        <w:rPr>
                          <w:rFonts w:ascii="Cambria" w:hAnsi="Cambria" w:cs="Arial"/>
                          <w:b/>
                          <w:bCs/>
                          <w:color w:val="0D0D0D"/>
                          <w:sz w:val="36"/>
                          <w:szCs w:val="22"/>
                          <w:lang w:val="es-ES"/>
                        </w:rPr>
                        <w:t xml:space="preserve"> </w:t>
                      </w:r>
                    </w:p>
                    <w:p w:rsidR="006A4D75" w:rsidRPr="00D21B8F" w:rsidRDefault="006A4D75" w:rsidP="00997BC5">
                      <w:pPr>
                        <w:spacing w:line="276" w:lineRule="auto"/>
                        <w:rPr>
                          <w:rFonts w:ascii="Cambria" w:hAnsi="Cambria" w:cs="Arial"/>
                          <w:b/>
                          <w:color w:val="0D0D0D"/>
                          <w:sz w:val="36"/>
                          <w:szCs w:val="22"/>
                          <w:lang w:val="es-ES"/>
                        </w:rPr>
                      </w:pPr>
                      <w:r w:rsidRPr="00D21B8F">
                        <w:rPr>
                          <w:rFonts w:ascii="Cambria" w:hAnsi="Cambria" w:cs="Arial"/>
                          <w:b/>
                          <w:color w:val="0D0D0D"/>
                          <w:sz w:val="36"/>
                          <w:szCs w:val="22"/>
                          <w:lang w:val="es-ES"/>
                        </w:rPr>
                        <w:t xml:space="preserve">CASO </w:t>
                      </w:r>
                      <w:r>
                        <w:rPr>
                          <w:rFonts w:ascii="Cambria" w:hAnsi="Cambria" w:cs="Arial"/>
                          <w:b/>
                          <w:color w:val="0D0D0D"/>
                          <w:sz w:val="36"/>
                          <w:szCs w:val="22"/>
                          <w:lang w:val="es-ES"/>
                        </w:rPr>
                        <w:t>12.984</w:t>
                      </w:r>
                    </w:p>
                    <w:p w:rsidR="006A4D75" w:rsidRPr="00DB43BD" w:rsidRDefault="006A4D75" w:rsidP="00D21B8F">
                      <w:pPr>
                        <w:spacing w:line="276" w:lineRule="auto"/>
                        <w:rPr>
                          <w:rFonts w:ascii="Cambria" w:hAnsi="Cambria" w:cs="Arial"/>
                          <w:color w:val="0D0D0D"/>
                          <w:szCs w:val="22"/>
                          <w:lang w:val="es-ES_tradnl"/>
                        </w:rPr>
                      </w:pPr>
                      <w:r w:rsidRPr="00DB43BD">
                        <w:rPr>
                          <w:rFonts w:ascii="Cambria" w:hAnsi="Cambria" w:cs="Arial"/>
                          <w:color w:val="0D0D0D"/>
                          <w:szCs w:val="22"/>
                          <w:lang w:val="es-ES_tradnl"/>
                        </w:rPr>
                        <w:t xml:space="preserve">INFORME DE </w:t>
                      </w:r>
                      <w:r>
                        <w:rPr>
                          <w:rFonts w:ascii="Cambria" w:hAnsi="Cambria" w:cs="Arial"/>
                          <w:color w:val="0D0D0D"/>
                          <w:szCs w:val="22"/>
                          <w:lang w:val="es-ES_tradnl"/>
                        </w:rPr>
                        <w:t>FONDO</w:t>
                      </w:r>
                    </w:p>
                    <w:p w:rsidR="006A4D75" w:rsidRPr="00DB43BD" w:rsidRDefault="006A4D75" w:rsidP="00997BC5">
                      <w:pPr>
                        <w:spacing w:line="276" w:lineRule="auto"/>
                        <w:rPr>
                          <w:rFonts w:ascii="Cambria" w:hAnsi="Cambria" w:cs="Arial"/>
                          <w:color w:val="0D0D0D"/>
                          <w:szCs w:val="22"/>
                          <w:lang w:val="es-ES_tradnl"/>
                        </w:rPr>
                      </w:pPr>
                    </w:p>
                    <w:p w:rsidR="006A4D75" w:rsidRPr="00DB43BD" w:rsidRDefault="006A4D75" w:rsidP="00997BC5">
                      <w:pPr>
                        <w:spacing w:line="276" w:lineRule="auto"/>
                        <w:rPr>
                          <w:rFonts w:ascii="Cambria" w:hAnsi="Cambria" w:cs="Arial"/>
                          <w:color w:val="0D0D0D"/>
                          <w:szCs w:val="22"/>
                          <w:lang w:val="es-ES_tradnl"/>
                        </w:rPr>
                      </w:pPr>
                      <w:bookmarkStart w:id="1" w:name="_ftnref1"/>
                    </w:p>
                    <w:p w:rsidR="006A4D75" w:rsidRPr="00DB43BD" w:rsidRDefault="006A4D75" w:rsidP="00997BC5">
                      <w:pPr>
                        <w:spacing w:line="276" w:lineRule="auto"/>
                        <w:rPr>
                          <w:rFonts w:ascii="Cambria" w:hAnsi="Cambria" w:cs="Arial"/>
                          <w:color w:val="0D0D0D"/>
                          <w:szCs w:val="22"/>
                          <w:lang w:val="es-ES_tradnl"/>
                        </w:rPr>
                      </w:pPr>
                      <w:r>
                        <w:rPr>
                          <w:rFonts w:ascii="Cambria" w:hAnsi="Cambria" w:cs="Arial"/>
                          <w:color w:val="0D0D0D"/>
                          <w:szCs w:val="22"/>
                          <w:lang w:val="es-ES_tradnl"/>
                        </w:rPr>
                        <w:t>RAÚL ROLANDO ROMERO FERIS</w:t>
                      </w:r>
                    </w:p>
                    <w:bookmarkEnd w:id="1"/>
                    <w:p w:rsidR="006A4D75" w:rsidRPr="00DB43BD" w:rsidRDefault="006A4D75" w:rsidP="00997BC5">
                      <w:pPr>
                        <w:spacing w:line="276" w:lineRule="auto"/>
                        <w:rPr>
                          <w:rFonts w:ascii="Cambria" w:hAnsi="Cambria" w:cs="Arial"/>
                          <w:color w:val="0D0D0D"/>
                          <w:szCs w:val="22"/>
                          <w:lang w:val="es-ES"/>
                        </w:rPr>
                      </w:pPr>
                      <w:r>
                        <w:rPr>
                          <w:rFonts w:ascii="Cambria" w:hAnsi="Cambria" w:cs="Arial"/>
                          <w:color w:val="0D0D0D"/>
                          <w:szCs w:val="22"/>
                          <w:lang w:val="es-ES_tradnl"/>
                        </w:rPr>
                        <w:t>ARGENTINA</w:t>
                      </w:r>
                    </w:p>
                    <w:p w:rsidR="006A4D75" w:rsidRPr="00DB43BD" w:rsidRDefault="006A4D75" w:rsidP="007A5817">
                      <w:pPr>
                        <w:rPr>
                          <w:color w:val="0D0D0D"/>
                          <w:lang w:val="es-ES_tradnl"/>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6A4D75" w:rsidRPr="00EE3118" w:rsidRDefault="006A4D75" w:rsidP="007A5817">
                            <w:pPr>
                              <w:spacing w:line="276" w:lineRule="auto"/>
                              <w:jc w:val="right"/>
                              <w:rPr>
                                <w:rFonts w:ascii="Calibri" w:hAnsi="Calibri"/>
                                <w:color w:val="FFFFFF"/>
                                <w:sz w:val="22"/>
                                <w:lang w:val="pt-BR"/>
                              </w:rPr>
                            </w:pPr>
                            <w:r>
                              <w:rPr>
                                <w:rFonts w:ascii="Calibri" w:hAnsi="Calibri"/>
                                <w:color w:val="FFFFFF"/>
                                <w:sz w:val="22"/>
                                <w:lang w:val="pt-BR"/>
                              </w:rPr>
                              <w:t>OEA/Ser.L/V/II.163</w:t>
                            </w:r>
                          </w:p>
                          <w:p w:rsidR="006A4D75" w:rsidRPr="008A72F7" w:rsidRDefault="006A4D75" w:rsidP="007A5817">
                            <w:pPr>
                              <w:spacing w:line="276" w:lineRule="auto"/>
                              <w:jc w:val="right"/>
                              <w:rPr>
                                <w:rFonts w:ascii="Calibri" w:hAnsi="Calibri"/>
                                <w:color w:val="FFFFFF"/>
                                <w:sz w:val="22"/>
                                <w:lang w:val="pt-BR"/>
                              </w:rPr>
                            </w:pPr>
                            <w:r w:rsidRPr="008A72F7">
                              <w:rPr>
                                <w:rFonts w:ascii="Calibri" w:hAnsi="Calibri"/>
                                <w:color w:val="FFFFFF"/>
                                <w:sz w:val="22"/>
                                <w:lang w:val="pt-BR"/>
                              </w:rPr>
                              <w:t>Doc. 87</w:t>
                            </w:r>
                          </w:p>
                          <w:p w:rsidR="006A4D75" w:rsidRPr="00C85041" w:rsidRDefault="006A4D75" w:rsidP="007A5817">
                            <w:pPr>
                              <w:spacing w:line="276" w:lineRule="auto"/>
                              <w:jc w:val="right"/>
                              <w:rPr>
                                <w:rFonts w:ascii="Calibri" w:hAnsi="Calibri"/>
                                <w:color w:val="FFFFFF"/>
                                <w:sz w:val="22"/>
                                <w:lang w:val="es-ES"/>
                              </w:rPr>
                            </w:pPr>
                            <w:r>
                              <w:rPr>
                                <w:rFonts w:ascii="Calibri" w:hAnsi="Calibri"/>
                                <w:color w:val="FFFFFF"/>
                                <w:sz w:val="22"/>
                                <w:lang w:val="es-ES"/>
                              </w:rPr>
                              <w:t xml:space="preserve">5 de julio de </w:t>
                            </w:r>
                            <w:r w:rsidRPr="00C85041">
                              <w:rPr>
                                <w:rFonts w:ascii="Calibri" w:hAnsi="Calibri"/>
                                <w:color w:val="FFFFFF"/>
                                <w:sz w:val="22"/>
                                <w:lang w:val="es-ES"/>
                              </w:rPr>
                              <w:t>201</w:t>
                            </w:r>
                            <w:r>
                              <w:rPr>
                                <w:rFonts w:ascii="Calibri" w:hAnsi="Calibri"/>
                                <w:color w:val="FFFFFF"/>
                                <w:sz w:val="22"/>
                                <w:lang w:val="es-ES"/>
                              </w:rPr>
                              <w:t>7</w:t>
                            </w:r>
                          </w:p>
                          <w:p w:rsidR="006A4D75" w:rsidRPr="00C85041" w:rsidRDefault="006A4D75" w:rsidP="007A5817">
                            <w:pPr>
                              <w:spacing w:line="276" w:lineRule="auto"/>
                              <w:jc w:val="right"/>
                              <w:rPr>
                                <w:rFonts w:ascii="Calibri" w:hAnsi="Calibri"/>
                                <w:color w:val="FFFFFF"/>
                                <w:sz w:val="22"/>
                                <w:lang w:val="es-ES"/>
                              </w:rPr>
                            </w:pPr>
                            <w:r w:rsidRPr="00C85041">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eH7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" filled="f" stroked="f" strokeweight=".5pt">
                <v:path arrowok="t"/>
                <v:textbox>
                  <w:txbxContent>
                    <w:p w:rsidR="006A4D75" w:rsidRPr="00EE3118" w:rsidRDefault="006A4D75" w:rsidP="007A5817">
                      <w:pPr>
                        <w:spacing w:line="276" w:lineRule="auto"/>
                        <w:jc w:val="right"/>
                        <w:rPr>
                          <w:rFonts w:ascii="Calibri" w:hAnsi="Calibri"/>
                          <w:color w:val="FFFFFF"/>
                          <w:sz w:val="22"/>
                          <w:lang w:val="pt-BR"/>
                        </w:rPr>
                      </w:pPr>
                      <w:r>
                        <w:rPr>
                          <w:rFonts w:ascii="Calibri" w:hAnsi="Calibri"/>
                          <w:color w:val="FFFFFF"/>
                          <w:sz w:val="22"/>
                          <w:lang w:val="pt-BR"/>
                        </w:rPr>
                        <w:t>OEA/Ser.L/V/II.163</w:t>
                      </w:r>
                    </w:p>
                    <w:p w:rsidR="006A4D75" w:rsidRPr="006A4D75" w:rsidRDefault="006A4D75" w:rsidP="007A5817">
                      <w:pPr>
                        <w:spacing w:line="276" w:lineRule="auto"/>
                        <w:jc w:val="right"/>
                        <w:rPr>
                          <w:rFonts w:ascii="Calibri" w:hAnsi="Calibri"/>
                          <w:color w:val="FFFFFF"/>
                          <w:sz w:val="22"/>
                          <w:lang w:val="es-ES"/>
                        </w:rPr>
                      </w:pPr>
                      <w:r w:rsidRPr="006A4D75">
                        <w:rPr>
                          <w:rFonts w:ascii="Calibri" w:hAnsi="Calibri"/>
                          <w:color w:val="FFFFFF"/>
                          <w:sz w:val="22"/>
                          <w:lang w:val="es-ES"/>
                        </w:rPr>
                        <w:t>Doc. 87</w:t>
                      </w:r>
                    </w:p>
                    <w:p w:rsidR="006A4D75" w:rsidRPr="00C85041" w:rsidRDefault="006A4D75" w:rsidP="007A5817">
                      <w:pPr>
                        <w:spacing w:line="276" w:lineRule="auto"/>
                        <w:jc w:val="right"/>
                        <w:rPr>
                          <w:rFonts w:ascii="Calibri" w:hAnsi="Calibri"/>
                          <w:color w:val="FFFFFF"/>
                          <w:sz w:val="22"/>
                          <w:lang w:val="es-ES"/>
                        </w:rPr>
                      </w:pPr>
                      <w:r>
                        <w:rPr>
                          <w:rFonts w:ascii="Calibri" w:hAnsi="Calibri"/>
                          <w:color w:val="FFFFFF"/>
                          <w:sz w:val="22"/>
                          <w:lang w:val="es-ES"/>
                        </w:rPr>
                        <w:t xml:space="preserve">5 de julio de </w:t>
                      </w:r>
                      <w:r w:rsidRPr="00C85041">
                        <w:rPr>
                          <w:rFonts w:ascii="Calibri" w:hAnsi="Calibri"/>
                          <w:color w:val="FFFFFF"/>
                          <w:sz w:val="22"/>
                          <w:lang w:val="es-ES"/>
                        </w:rPr>
                        <w:t>201</w:t>
                      </w:r>
                      <w:r>
                        <w:rPr>
                          <w:rFonts w:ascii="Calibri" w:hAnsi="Calibri"/>
                          <w:color w:val="FFFFFF"/>
                          <w:sz w:val="22"/>
                          <w:lang w:val="es-ES"/>
                        </w:rPr>
                        <w:t>7</w:t>
                      </w:r>
                    </w:p>
                    <w:p w:rsidR="006A4D75" w:rsidRPr="00C85041" w:rsidRDefault="006A4D75" w:rsidP="007A5817">
                      <w:pPr>
                        <w:spacing w:line="276" w:lineRule="auto"/>
                        <w:jc w:val="right"/>
                        <w:rPr>
                          <w:rFonts w:ascii="Calibri" w:hAnsi="Calibri"/>
                          <w:color w:val="FFFFFF"/>
                          <w:sz w:val="22"/>
                          <w:lang w:val="es-ES"/>
                        </w:rPr>
                      </w:pPr>
                      <w:r w:rsidRPr="00C85041">
                        <w:rPr>
                          <w:rFonts w:ascii="Calibri" w:hAnsi="Calibri"/>
                          <w:color w:val="FFFFFF"/>
                          <w:sz w:val="22"/>
                          <w:lang w:val="es-ES"/>
                        </w:rPr>
                        <w:t>Original: español</w:t>
                      </w:r>
                    </w:p>
                  </w:txbxContent>
                </v:textbox>
              </v:shape>
            </w:pict>
          </mc:Fallback>
        </mc:AlternateContent>
      </w:r>
    </w:p>
    <w:p w:rsidR="00040C3A" w:rsidRPr="0010796C" w:rsidRDefault="00040C3A" w:rsidP="000D044A">
      <w:pPr>
        <w:tabs>
          <w:tab w:val="center" w:pos="5400"/>
        </w:tabs>
        <w:suppressAutoHyphens/>
        <w:ind w:firstLine="567"/>
        <w:jc w:val="center"/>
        <w:rPr>
          <w:rFonts w:ascii="Cambria" w:hAnsi="Cambria"/>
          <w:sz w:val="22"/>
          <w:szCs w:val="22"/>
          <w:lang w:val="es-ES"/>
        </w:rPr>
      </w:pPr>
    </w:p>
    <w:p w:rsidR="00040C3A" w:rsidRPr="0010796C" w:rsidRDefault="00040C3A" w:rsidP="000D044A">
      <w:pPr>
        <w:tabs>
          <w:tab w:val="center" w:pos="5400"/>
        </w:tabs>
        <w:suppressAutoHyphens/>
        <w:ind w:firstLine="567"/>
        <w:jc w:val="center"/>
        <w:rPr>
          <w:rFonts w:ascii="Cambria" w:hAnsi="Cambria"/>
          <w:sz w:val="22"/>
          <w:szCs w:val="22"/>
          <w:lang w:val="es-ES"/>
        </w:rPr>
      </w:pPr>
    </w:p>
    <w:p w:rsidR="00040C3A" w:rsidRPr="0010796C" w:rsidRDefault="00040C3A" w:rsidP="000D044A">
      <w:pPr>
        <w:tabs>
          <w:tab w:val="center" w:pos="5400"/>
        </w:tabs>
        <w:suppressAutoHyphens/>
        <w:ind w:firstLine="567"/>
        <w:jc w:val="center"/>
        <w:rPr>
          <w:rFonts w:ascii="Cambria" w:hAnsi="Cambria" w:cs="Arial"/>
          <w:sz w:val="22"/>
          <w:szCs w:val="22"/>
          <w:lang w:val="es-ES"/>
        </w:rPr>
      </w:pPr>
    </w:p>
    <w:p w:rsidR="00040C3A" w:rsidRPr="0010796C" w:rsidRDefault="00040C3A" w:rsidP="000D044A">
      <w:pPr>
        <w:tabs>
          <w:tab w:val="center" w:pos="5400"/>
        </w:tabs>
        <w:suppressAutoHyphens/>
        <w:ind w:firstLine="567"/>
        <w:jc w:val="center"/>
        <w:rPr>
          <w:rFonts w:ascii="Cambria" w:hAnsi="Cambria"/>
          <w:sz w:val="22"/>
          <w:szCs w:val="22"/>
          <w:lang w:val="es-ES"/>
        </w:rPr>
      </w:pPr>
    </w:p>
    <w:p w:rsidR="00040C3A" w:rsidRPr="0010796C" w:rsidRDefault="00040C3A" w:rsidP="000D044A">
      <w:pPr>
        <w:tabs>
          <w:tab w:val="center" w:pos="5400"/>
        </w:tabs>
        <w:suppressAutoHyphens/>
        <w:ind w:firstLine="567"/>
        <w:jc w:val="center"/>
        <w:rPr>
          <w:rFonts w:ascii="Cambria" w:hAnsi="Cambria"/>
          <w:sz w:val="22"/>
          <w:szCs w:val="22"/>
          <w:lang w:val="es-ES"/>
        </w:rPr>
      </w:pPr>
    </w:p>
    <w:p w:rsidR="00040C3A" w:rsidRPr="0010796C" w:rsidRDefault="00040C3A" w:rsidP="000D044A">
      <w:pPr>
        <w:tabs>
          <w:tab w:val="center" w:pos="5400"/>
        </w:tabs>
        <w:suppressAutoHyphens/>
        <w:ind w:firstLine="567"/>
        <w:jc w:val="center"/>
        <w:rPr>
          <w:rFonts w:ascii="Cambria" w:hAnsi="Cambria"/>
          <w:sz w:val="22"/>
          <w:szCs w:val="22"/>
          <w:lang w:val="es-ES"/>
        </w:rPr>
      </w:pPr>
    </w:p>
    <w:p w:rsidR="00040C3A" w:rsidRPr="0010796C" w:rsidRDefault="00040C3A" w:rsidP="000D044A">
      <w:pPr>
        <w:tabs>
          <w:tab w:val="center" w:pos="5400"/>
        </w:tabs>
        <w:suppressAutoHyphens/>
        <w:ind w:firstLine="567"/>
        <w:jc w:val="center"/>
        <w:rPr>
          <w:rFonts w:ascii="Cambria" w:hAnsi="Cambria"/>
          <w:sz w:val="22"/>
          <w:szCs w:val="22"/>
          <w:lang w:val="es-ES"/>
        </w:rPr>
      </w:pPr>
    </w:p>
    <w:p w:rsidR="005128E4" w:rsidRPr="0010796C" w:rsidRDefault="005128E4" w:rsidP="000D044A">
      <w:pPr>
        <w:tabs>
          <w:tab w:val="center" w:pos="5400"/>
        </w:tabs>
        <w:suppressAutoHyphens/>
        <w:ind w:firstLine="567"/>
        <w:jc w:val="center"/>
        <w:rPr>
          <w:rFonts w:ascii="Cambria" w:hAnsi="Cambria"/>
          <w:sz w:val="22"/>
          <w:szCs w:val="22"/>
          <w:lang w:val="es-ES"/>
        </w:rPr>
      </w:pPr>
    </w:p>
    <w:p w:rsidR="00040C3A" w:rsidRPr="0010796C" w:rsidRDefault="00040C3A" w:rsidP="000D044A">
      <w:pPr>
        <w:tabs>
          <w:tab w:val="center" w:pos="5400"/>
        </w:tabs>
        <w:suppressAutoHyphens/>
        <w:ind w:firstLine="567"/>
        <w:jc w:val="center"/>
        <w:rPr>
          <w:rFonts w:ascii="Cambria" w:hAnsi="Cambria"/>
          <w:sz w:val="22"/>
          <w:szCs w:val="22"/>
          <w:lang w:val="es-ES"/>
        </w:rPr>
      </w:pPr>
    </w:p>
    <w:p w:rsidR="005128E4" w:rsidRPr="0010796C" w:rsidRDefault="005128E4" w:rsidP="000D044A">
      <w:pPr>
        <w:tabs>
          <w:tab w:val="center" w:pos="5400"/>
        </w:tabs>
        <w:suppressAutoHyphens/>
        <w:ind w:firstLine="567"/>
        <w:jc w:val="center"/>
        <w:rPr>
          <w:rFonts w:ascii="Cambria" w:hAnsi="Cambria"/>
          <w:sz w:val="22"/>
          <w:szCs w:val="22"/>
          <w:lang w:val="es-ES"/>
        </w:rPr>
      </w:pPr>
    </w:p>
    <w:p w:rsidR="005128E4" w:rsidRPr="0010796C" w:rsidRDefault="005128E4" w:rsidP="000D044A">
      <w:pPr>
        <w:tabs>
          <w:tab w:val="center" w:pos="5400"/>
        </w:tabs>
        <w:suppressAutoHyphens/>
        <w:ind w:firstLine="567"/>
        <w:jc w:val="center"/>
        <w:rPr>
          <w:rFonts w:ascii="Cambria" w:hAnsi="Cambria"/>
          <w:sz w:val="22"/>
          <w:szCs w:val="22"/>
          <w:lang w:val="es-ES"/>
        </w:rPr>
      </w:pPr>
    </w:p>
    <w:p w:rsidR="005128E4" w:rsidRPr="0010796C" w:rsidRDefault="005128E4" w:rsidP="000D044A">
      <w:pPr>
        <w:tabs>
          <w:tab w:val="center" w:pos="5400"/>
        </w:tabs>
        <w:suppressAutoHyphens/>
        <w:ind w:firstLine="567"/>
        <w:jc w:val="center"/>
        <w:rPr>
          <w:rFonts w:ascii="Cambria" w:hAnsi="Cambria"/>
          <w:sz w:val="22"/>
          <w:szCs w:val="22"/>
          <w:lang w:val="es-ES"/>
        </w:rPr>
      </w:pPr>
    </w:p>
    <w:p w:rsidR="00040C3A" w:rsidRPr="0010796C" w:rsidRDefault="00040C3A" w:rsidP="000D044A">
      <w:pPr>
        <w:tabs>
          <w:tab w:val="center" w:pos="5400"/>
        </w:tabs>
        <w:suppressAutoHyphens/>
        <w:ind w:firstLine="567"/>
        <w:jc w:val="center"/>
        <w:rPr>
          <w:rFonts w:ascii="Cambria" w:hAnsi="Cambria"/>
          <w:sz w:val="22"/>
          <w:szCs w:val="22"/>
          <w:lang w:val="es-ES"/>
        </w:rPr>
      </w:pPr>
    </w:p>
    <w:p w:rsidR="00040C3A" w:rsidRPr="0010796C" w:rsidRDefault="00040C3A" w:rsidP="000D044A">
      <w:pPr>
        <w:tabs>
          <w:tab w:val="center" w:pos="5400"/>
        </w:tabs>
        <w:suppressAutoHyphens/>
        <w:ind w:firstLine="567"/>
        <w:jc w:val="center"/>
        <w:rPr>
          <w:rFonts w:ascii="Cambria" w:hAnsi="Cambria"/>
          <w:sz w:val="22"/>
          <w:szCs w:val="22"/>
          <w:lang w:val="es-ES"/>
        </w:rPr>
      </w:pPr>
    </w:p>
    <w:p w:rsidR="00A50FCF" w:rsidRPr="0010796C" w:rsidRDefault="00A50FCF" w:rsidP="000D044A">
      <w:pPr>
        <w:tabs>
          <w:tab w:val="center" w:pos="5400"/>
        </w:tabs>
        <w:suppressAutoHyphens/>
        <w:ind w:firstLine="567"/>
        <w:jc w:val="center"/>
        <w:rPr>
          <w:rFonts w:ascii="Cambria" w:hAnsi="Cambria"/>
          <w:sz w:val="18"/>
          <w:szCs w:val="22"/>
          <w:lang w:val="es-ES"/>
        </w:rPr>
      </w:pPr>
    </w:p>
    <w:p w:rsidR="00A50FCF" w:rsidRPr="0010796C" w:rsidRDefault="00A50FCF" w:rsidP="000D044A">
      <w:pPr>
        <w:tabs>
          <w:tab w:val="center" w:pos="5400"/>
        </w:tabs>
        <w:suppressAutoHyphens/>
        <w:ind w:firstLine="567"/>
        <w:jc w:val="center"/>
        <w:rPr>
          <w:rFonts w:ascii="Cambria" w:hAnsi="Cambria"/>
          <w:sz w:val="18"/>
          <w:szCs w:val="22"/>
          <w:lang w:val="es-ES"/>
        </w:rPr>
      </w:pPr>
    </w:p>
    <w:p w:rsidR="00A50FCF" w:rsidRPr="0010796C" w:rsidRDefault="00A50FCF" w:rsidP="000D044A">
      <w:pPr>
        <w:tabs>
          <w:tab w:val="center" w:pos="5400"/>
        </w:tabs>
        <w:suppressAutoHyphens/>
        <w:ind w:firstLine="567"/>
        <w:jc w:val="center"/>
        <w:rPr>
          <w:rFonts w:ascii="Cambria" w:hAnsi="Cambria"/>
          <w:sz w:val="18"/>
          <w:szCs w:val="22"/>
          <w:lang w:val="es-ES"/>
        </w:rPr>
      </w:pPr>
    </w:p>
    <w:p w:rsidR="00A50FCF" w:rsidRPr="0010796C" w:rsidRDefault="00A50FCF" w:rsidP="000D044A">
      <w:pPr>
        <w:tabs>
          <w:tab w:val="center" w:pos="5400"/>
        </w:tabs>
        <w:suppressAutoHyphens/>
        <w:ind w:firstLine="567"/>
        <w:jc w:val="center"/>
        <w:rPr>
          <w:rFonts w:ascii="Cambria" w:hAnsi="Cambria"/>
          <w:sz w:val="18"/>
          <w:szCs w:val="22"/>
          <w:lang w:val="es-ES"/>
        </w:rPr>
      </w:pPr>
    </w:p>
    <w:p w:rsidR="00A50FCF" w:rsidRPr="0010796C" w:rsidRDefault="00A50FCF" w:rsidP="000D044A">
      <w:pPr>
        <w:tabs>
          <w:tab w:val="center" w:pos="5400"/>
        </w:tabs>
        <w:suppressAutoHyphens/>
        <w:ind w:firstLine="567"/>
        <w:jc w:val="center"/>
        <w:rPr>
          <w:rFonts w:ascii="Cambria" w:hAnsi="Cambria"/>
          <w:sz w:val="18"/>
          <w:szCs w:val="22"/>
          <w:lang w:val="es-ES"/>
        </w:rPr>
      </w:pPr>
    </w:p>
    <w:p w:rsidR="00A50FCF" w:rsidRPr="0010796C" w:rsidRDefault="00A50FCF" w:rsidP="000D044A">
      <w:pPr>
        <w:tabs>
          <w:tab w:val="center" w:pos="5400"/>
        </w:tabs>
        <w:suppressAutoHyphens/>
        <w:ind w:firstLine="567"/>
        <w:jc w:val="center"/>
        <w:rPr>
          <w:rFonts w:ascii="Cambria" w:hAnsi="Cambria"/>
          <w:sz w:val="18"/>
          <w:szCs w:val="22"/>
          <w:lang w:val="es-ES"/>
        </w:rPr>
      </w:pPr>
    </w:p>
    <w:p w:rsidR="00A50FCF" w:rsidRPr="0010796C" w:rsidRDefault="00A50FCF" w:rsidP="000D044A">
      <w:pPr>
        <w:tabs>
          <w:tab w:val="center" w:pos="5400"/>
        </w:tabs>
        <w:suppressAutoHyphens/>
        <w:ind w:firstLine="567"/>
        <w:jc w:val="center"/>
        <w:rPr>
          <w:rFonts w:ascii="Cambria" w:hAnsi="Cambria"/>
          <w:sz w:val="18"/>
          <w:szCs w:val="22"/>
          <w:lang w:val="es-ES"/>
        </w:rPr>
      </w:pPr>
    </w:p>
    <w:p w:rsidR="00A50FCF" w:rsidRPr="0010796C" w:rsidRDefault="00A50FCF" w:rsidP="000D044A">
      <w:pPr>
        <w:tabs>
          <w:tab w:val="center" w:pos="5400"/>
        </w:tabs>
        <w:suppressAutoHyphens/>
        <w:ind w:firstLine="567"/>
        <w:jc w:val="center"/>
        <w:rPr>
          <w:rFonts w:ascii="Cambria" w:hAnsi="Cambria"/>
          <w:sz w:val="18"/>
          <w:szCs w:val="22"/>
          <w:lang w:val="es-ES"/>
        </w:rPr>
      </w:pPr>
    </w:p>
    <w:p w:rsidR="00A50FCF" w:rsidRPr="0010796C" w:rsidRDefault="00A50FCF" w:rsidP="000D044A">
      <w:pPr>
        <w:tabs>
          <w:tab w:val="center" w:pos="5400"/>
        </w:tabs>
        <w:suppressAutoHyphens/>
        <w:ind w:firstLine="567"/>
        <w:jc w:val="center"/>
        <w:rPr>
          <w:rFonts w:ascii="Cambria" w:hAnsi="Cambria"/>
          <w:sz w:val="18"/>
          <w:szCs w:val="22"/>
          <w:lang w:val="es-ES"/>
        </w:rPr>
      </w:pPr>
    </w:p>
    <w:p w:rsidR="00A50FCF" w:rsidRPr="0010796C" w:rsidRDefault="00A50FCF" w:rsidP="000D044A">
      <w:pPr>
        <w:tabs>
          <w:tab w:val="center" w:pos="5400"/>
        </w:tabs>
        <w:suppressAutoHyphens/>
        <w:ind w:firstLine="567"/>
        <w:jc w:val="center"/>
        <w:rPr>
          <w:rFonts w:ascii="Cambria" w:hAnsi="Cambria"/>
          <w:sz w:val="18"/>
          <w:szCs w:val="22"/>
          <w:lang w:val="es-ES"/>
        </w:rPr>
      </w:pPr>
    </w:p>
    <w:p w:rsidR="00A50FCF" w:rsidRPr="0010796C" w:rsidRDefault="00A50FCF" w:rsidP="000D044A">
      <w:pPr>
        <w:tabs>
          <w:tab w:val="center" w:pos="5400"/>
        </w:tabs>
        <w:suppressAutoHyphens/>
        <w:ind w:firstLine="567"/>
        <w:jc w:val="center"/>
        <w:rPr>
          <w:rFonts w:ascii="Cambria" w:hAnsi="Cambria"/>
          <w:sz w:val="18"/>
          <w:szCs w:val="22"/>
          <w:lang w:val="es-ES"/>
        </w:rPr>
      </w:pPr>
    </w:p>
    <w:p w:rsidR="00A50FCF" w:rsidRPr="0010796C" w:rsidRDefault="00A50FCF" w:rsidP="000D044A">
      <w:pPr>
        <w:tabs>
          <w:tab w:val="center" w:pos="5400"/>
        </w:tabs>
        <w:suppressAutoHyphens/>
        <w:ind w:firstLine="567"/>
        <w:jc w:val="center"/>
        <w:rPr>
          <w:rFonts w:ascii="Cambria" w:hAnsi="Cambria"/>
          <w:sz w:val="18"/>
          <w:szCs w:val="22"/>
          <w:lang w:val="es-ES"/>
        </w:rPr>
      </w:pPr>
    </w:p>
    <w:p w:rsidR="00A50FCF" w:rsidRPr="0010796C" w:rsidRDefault="00A50FCF" w:rsidP="000D044A">
      <w:pPr>
        <w:tabs>
          <w:tab w:val="center" w:pos="5400"/>
        </w:tabs>
        <w:suppressAutoHyphens/>
        <w:ind w:firstLine="567"/>
        <w:jc w:val="center"/>
        <w:rPr>
          <w:rFonts w:ascii="Cambria" w:hAnsi="Cambria"/>
          <w:sz w:val="18"/>
          <w:szCs w:val="22"/>
          <w:lang w:val="es-ES"/>
        </w:rPr>
      </w:pPr>
    </w:p>
    <w:p w:rsidR="00A50FCF" w:rsidRPr="0010796C" w:rsidRDefault="00A50FCF" w:rsidP="000D044A">
      <w:pPr>
        <w:tabs>
          <w:tab w:val="center" w:pos="5400"/>
        </w:tabs>
        <w:suppressAutoHyphens/>
        <w:ind w:firstLine="567"/>
        <w:jc w:val="center"/>
        <w:rPr>
          <w:rFonts w:ascii="Cambria" w:hAnsi="Cambria"/>
          <w:sz w:val="18"/>
          <w:szCs w:val="22"/>
          <w:lang w:val="es-ES"/>
        </w:rPr>
      </w:pPr>
    </w:p>
    <w:p w:rsidR="00A50FCF" w:rsidRPr="0010796C" w:rsidRDefault="00FD04C2" w:rsidP="000D044A">
      <w:pPr>
        <w:tabs>
          <w:tab w:val="center" w:pos="5400"/>
        </w:tabs>
        <w:suppressAutoHyphens/>
        <w:ind w:firstLine="567"/>
        <w:jc w:val="center"/>
        <w:rPr>
          <w:rFonts w:ascii="Cambria" w:hAnsi="Cambria"/>
          <w:sz w:val="18"/>
          <w:szCs w:val="22"/>
          <w:lang w:val="es-ES"/>
        </w:rPr>
      </w:pPr>
      <w:r>
        <w:rPr>
          <w:noProof/>
        </w:rPr>
        <mc:AlternateContent>
          <mc:Choice Requires="wps">
            <w:drawing>
              <wp:anchor distT="0" distB="0" distL="114300" distR="114300" simplePos="0" relativeHeight="251655680"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6A4D75" w:rsidRPr="00DB43BD" w:rsidRDefault="000422F6" w:rsidP="00AB1D64">
                            <w:pPr>
                              <w:tabs>
                                <w:tab w:val="center" w:pos="5400"/>
                              </w:tabs>
                              <w:suppressAutoHyphens/>
                              <w:spacing w:before="60"/>
                              <w:jc w:val="both"/>
                              <w:rPr>
                                <w:rFonts w:ascii="Cambria" w:hAnsi="Cambria" w:cs="Univers"/>
                                <w:color w:val="0D0D0D"/>
                                <w:sz w:val="18"/>
                                <w:szCs w:val="20"/>
                                <w:lang w:val="es-ES_tradnl"/>
                              </w:rPr>
                            </w:pPr>
                            <w:r>
                              <w:rPr>
                                <w:rFonts w:ascii="Cambria" w:hAnsi="Cambria"/>
                                <w:color w:val="0D0D0D"/>
                                <w:sz w:val="18"/>
                                <w:szCs w:val="20"/>
                                <w:lang w:val="es-ES"/>
                              </w:rPr>
                              <w:t xml:space="preserve">Aprobado por la Comisión en su Sesión Nº </w:t>
                            </w:r>
                            <w:r w:rsidR="006A4D75">
                              <w:rPr>
                                <w:rFonts w:ascii="Cambria" w:hAnsi="Cambria"/>
                                <w:color w:val="0D0D0D"/>
                                <w:sz w:val="18"/>
                                <w:szCs w:val="20"/>
                                <w:lang w:val="es-ES"/>
                              </w:rPr>
                              <w:t>2091</w:t>
                            </w:r>
                            <w:r w:rsidR="006A4D75" w:rsidRPr="00DB43BD">
                              <w:rPr>
                                <w:rFonts w:ascii="Cambria" w:hAnsi="Cambria"/>
                                <w:color w:val="0D0D0D"/>
                                <w:sz w:val="18"/>
                                <w:szCs w:val="20"/>
                                <w:lang w:val="es-ES"/>
                              </w:rPr>
                              <w:t xml:space="preserve"> celebrada el </w:t>
                            </w:r>
                            <w:r w:rsidR="006A4D75">
                              <w:rPr>
                                <w:rFonts w:ascii="Cambria" w:hAnsi="Cambria"/>
                                <w:color w:val="0D0D0D"/>
                                <w:sz w:val="18"/>
                                <w:szCs w:val="20"/>
                                <w:lang w:val="es-ES"/>
                              </w:rPr>
                              <w:t>5</w:t>
                            </w:r>
                            <w:r w:rsidR="006A4D75" w:rsidRPr="00DB43BD">
                              <w:rPr>
                                <w:rFonts w:ascii="Cambria" w:hAnsi="Cambria"/>
                                <w:color w:val="0D0D0D"/>
                                <w:sz w:val="18"/>
                                <w:szCs w:val="20"/>
                                <w:lang w:val="es-ES"/>
                              </w:rPr>
                              <w:t xml:space="preserve"> de </w:t>
                            </w:r>
                            <w:r w:rsidR="006A4D75">
                              <w:rPr>
                                <w:rFonts w:ascii="Cambria" w:hAnsi="Cambria"/>
                                <w:color w:val="0D0D0D"/>
                                <w:sz w:val="18"/>
                                <w:szCs w:val="20"/>
                                <w:lang w:val="es-ES"/>
                              </w:rPr>
                              <w:t>julio</w:t>
                            </w:r>
                            <w:r w:rsidR="006A4D75" w:rsidRPr="00DB43BD">
                              <w:rPr>
                                <w:rFonts w:ascii="Cambria" w:hAnsi="Cambria"/>
                                <w:color w:val="0D0D0D"/>
                                <w:sz w:val="18"/>
                                <w:szCs w:val="20"/>
                                <w:lang w:val="es-ES"/>
                              </w:rPr>
                              <w:t xml:space="preserve"> de </w:t>
                            </w:r>
                            <w:r w:rsidR="006A4D75">
                              <w:rPr>
                                <w:rFonts w:ascii="Cambria" w:hAnsi="Cambria"/>
                                <w:color w:val="0D0D0D"/>
                                <w:sz w:val="18"/>
                                <w:szCs w:val="20"/>
                                <w:lang w:val="es-ES"/>
                              </w:rPr>
                              <w:t>2017</w:t>
                            </w:r>
                            <w:r w:rsidR="006A4D75" w:rsidRPr="00DB43BD">
                              <w:rPr>
                                <w:rFonts w:ascii="Cambria" w:hAnsi="Cambria"/>
                                <w:color w:val="0D0D0D"/>
                                <w:sz w:val="18"/>
                                <w:szCs w:val="20"/>
                                <w:lang w:val="es-ES"/>
                              </w:rPr>
                              <w:br/>
                            </w:r>
                            <w:r w:rsidR="006A4D75" w:rsidRPr="00DB43BD">
                              <w:rPr>
                                <w:rFonts w:ascii="Cambria" w:hAnsi="Cambria" w:cs="Univers"/>
                                <w:color w:val="0D0D0D"/>
                                <w:sz w:val="18"/>
                                <w:szCs w:val="20"/>
                                <w:lang w:val="es-ES_tradnl"/>
                              </w:rPr>
                              <w:t>1</w:t>
                            </w:r>
                            <w:r w:rsidR="006A4D75">
                              <w:rPr>
                                <w:rFonts w:ascii="Cambria" w:hAnsi="Cambria" w:cs="Univers"/>
                                <w:color w:val="0D0D0D"/>
                                <w:sz w:val="18"/>
                                <w:szCs w:val="20"/>
                                <w:lang w:val="es-ES_tradnl"/>
                              </w:rPr>
                              <w:t>63</w:t>
                            </w:r>
                            <w:r>
                              <w:rPr>
                                <w:rFonts w:ascii="Cambria" w:hAnsi="Cambria" w:cs="Univers"/>
                                <w:color w:val="0D0D0D"/>
                                <w:sz w:val="18"/>
                                <w:szCs w:val="20"/>
                                <w:lang w:val="es-ES_tradnl"/>
                              </w:rPr>
                              <w:t xml:space="preserve"> P</w:t>
                            </w:r>
                            <w:r w:rsidR="006A4D75" w:rsidRPr="00DB43BD">
                              <w:rPr>
                                <w:rFonts w:ascii="Cambria" w:hAnsi="Cambria" w:cs="Univers"/>
                                <w:color w:val="0D0D0D"/>
                                <w:sz w:val="18"/>
                                <w:szCs w:val="20"/>
                                <w:lang w:val="es-ES_tradnl"/>
                              </w:rPr>
                              <w:t xml:space="preserve">eríodo </w:t>
                            </w:r>
                            <w:r>
                              <w:rPr>
                                <w:rFonts w:ascii="Cambria" w:hAnsi="Cambria" w:cs="Univers"/>
                                <w:color w:val="0D0D0D"/>
                                <w:sz w:val="18"/>
                                <w:szCs w:val="20"/>
                                <w:lang w:val="es-ES_tradnl"/>
                              </w:rPr>
                              <w:t>E</w:t>
                            </w:r>
                            <w:r w:rsidR="006A4D75">
                              <w:rPr>
                                <w:rFonts w:ascii="Cambria" w:hAnsi="Cambria" w:cs="Univers"/>
                                <w:color w:val="0D0D0D"/>
                                <w:sz w:val="18"/>
                                <w:szCs w:val="20"/>
                                <w:lang w:val="es-ES_tradnl"/>
                              </w:rPr>
                              <w:t>xtra</w:t>
                            </w:r>
                            <w:r>
                              <w:rPr>
                                <w:rFonts w:ascii="Cambria" w:hAnsi="Cambria" w:cs="Univers"/>
                                <w:color w:val="0D0D0D"/>
                                <w:sz w:val="18"/>
                                <w:szCs w:val="20"/>
                                <w:lang w:val="es-ES_tradnl"/>
                              </w:rPr>
                              <w:t>ordinario de S</w:t>
                            </w:r>
                            <w:r w:rsidR="006A4D75" w:rsidRPr="00DB43BD">
                              <w:rPr>
                                <w:rFonts w:ascii="Cambria" w:hAnsi="Cambria" w:cs="Univers"/>
                                <w:color w:val="0D0D0D"/>
                                <w:sz w:val="18"/>
                                <w:szCs w:val="20"/>
                                <w:lang w:val="es-ES_tradnl"/>
                              </w:rPr>
                              <w:t>esiones</w:t>
                            </w:r>
                          </w:p>
                          <w:p w:rsidR="006A4D75" w:rsidRPr="00DB43BD" w:rsidRDefault="006A4D75" w:rsidP="00247403">
                            <w:pPr>
                              <w:tabs>
                                <w:tab w:val="center" w:pos="5400"/>
                              </w:tabs>
                              <w:suppressAutoHyphens/>
                              <w:spacing w:before="60"/>
                              <w:rPr>
                                <w:rFonts w:ascii="Calibri" w:hAnsi="Calibri" w:cs="Univers"/>
                                <w:color w:val="0D0D0D"/>
                                <w:sz w:val="20"/>
                                <w:szCs w:val="20"/>
                                <w:lang w:val="es-ES"/>
                              </w:rPr>
                            </w:pPr>
                          </w:p>
                          <w:p w:rsidR="006A4D75" w:rsidRPr="00DB43BD" w:rsidRDefault="006A4D75"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rsidR="006A4D75" w:rsidRPr="00DB43BD" w:rsidRDefault="000422F6" w:rsidP="00AB1D64">
                      <w:pPr>
                        <w:tabs>
                          <w:tab w:val="center" w:pos="5400"/>
                        </w:tabs>
                        <w:suppressAutoHyphens/>
                        <w:spacing w:before="60"/>
                        <w:jc w:val="both"/>
                        <w:rPr>
                          <w:rFonts w:ascii="Cambria" w:hAnsi="Cambria" w:cs="Univers"/>
                          <w:color w:val="0D0D0D"/>
                          <w:sz w:val="18"/>
                          <w:szCs w:val="20"/>
                          <w:lang w:val="es-ES_tradnl"/>
                        </w:rPr>
                      </w:pPr>
                      <w:r>
                        <w:rPr>
                          <w:rFonts w:ascii="Cambria" w:hAnsi="Cambria"/>
                          <w:color w:val="0D0D0D"/>
                          <w:sz w:val="18"/>
                          <w:szCs w:val="20"/>
                          <w:lang w:val="es-ES"/>
                        </w:rPr>
                        <w:t xml:space="preserve">Aprobado por la Comisión en su Sesión Nº </w:t>
                      </w:r>
                      <w:r w:rsidR="006A4D75">
                        <w:rPr>
                          <w:rFonts w:ascii="Cambria" w:hAnsi="Cambria"/>
                          <w:color w:val="0D0D0D"/>
                          <w:sz w:val="18"/>
                          <w:szCs w:val="20"/>
                          <w:lang w:val="es-ES"/>
                        </w:rPr>
                        <w:t>2091</w:t>
                      </w:r>
                      <w:r w:rsidR="006A4D75" w:rsidRPr="00DB43BD">
                        <w:rPr>
                          <w:rFonts w:ascii="Cambria" w:hAnsi="Cambria"/>
                          <w:color w:val="0D0D0D"/>
                          <w:sz w:val="18"/>
                          <w:szCs w:val="20"/>
                          <w:lang w:val="es-ES"/>
                        </w:rPr>
                        <w:t xml:space="preserve"> celebrada el </w:t>
                      </w:r>
                      <w:r w:rsidR="006A4D75">
                        <w:rPr>
                          <w:rFonts w:ascii="Cambria" w:hAnsi="Cambria"/>
                          <w:color w:val="0D0D0D"/>
                          <w:sz w:val="18"/>
                          <w:szCs w:val="20"/>
                          <w:lang w:val="es-ES"/>
                        </w:rPr>
                        <w:t>5</w:t>
                      </w:r>
                      <w:r w:rsidR="006A4D75" w:rsidRPr="00DB43BD">
                        <w:rPr>
                          <w:rFonts w:ascii="Cambria" w:hAnsi="Cambria"/>
                          <w:color w:val="0D0D0D"/>
                          <w:sz w:val="18"/>
                          <w:szCs w:val="20"/>
                          <w:lang w:val="es-ES"/>
                        </w:rPr>
                        <w:t xml:space="preserve"> de </w:t>
                      </w:r>
                      <w:r w:rsidR="006A4D75">
                        <w:rPr>
                          <w:rFonts w:ascii="Cambria" w:hAnsi="Cambria"/>
                          <w:color w:val="0D0D0D"/>
                          <w:sz w:val="18"/>
                          <w:szCs w:val="20"/>
                          <w:lang w:val="es-ES"/>
                        </w:rPr>
                        <w:t>julio</w:t>
                      </w:r>
                      <w:r w:rsidR="006A4D75" w:rsidRPr="00DB43BD">
                        <w:rPr>
                          <w:rFonts w:ascii="Cambria" w:hAnsi="Cambria"/>
                          <w:color w:val="0D0D0D"/>
                          <w:sz w:val="18"/>
                          <w:szCs w:val="20"/>
                          <w:lang w:val="es-ES"/>
                        </w:rPr>
                        <w:t xml:space="preserve"> de </w:t>
                      </w:r>
                      <w:r w:rsidR="006A4D75">
                        <w:rPr>
                          <w:rFonts w:ascii="Cambria" w:hAnsi="Cambria"/>
                          <w:color w:val="0D0D0D"/>
                          <w:sz w:val="18"/>
                          <w:szCs w:val="20"/>
                          <w:lang w:val="es-ES"/>
                        </w:rPr>
                        <w:t>2017</w:t>
                      </w:r>
                      <w:r w:rsidR="006A4D75" w:rsidRPr="00DB43BD">
                        <w:rPr>
                          <w:rFonts w:ascii="Cambria" w:hAnsi="Cambria"/>
                          <w:color w:val="0D0D0D"/>
                          <w:sz w:val="18"/>
                          <w:szCs w:val="20"/>
                          <w:lang w:val="es-ES"/>
                        </w:rPr>
                        <w:br/>
                      </w:r>
                      <w:r w:rsidR="006A4D75" w:rsidRPr="00DB43BD">
                        <w:rPr>
                          <w:rFonts w:ascii="Cambria" w:hAnsi="Cambria" w:cs="Univers"/>
                          <w:color w:val="0D0D0D"/>
                          <w:sz w:val="18"/>
                          <w:szCs w:val="20"/>
                          <w:lang w:val="es-ES_tradnl"/>
                        </w:rPr>
                        <w:t>1</w:t>
                      </w:r>
                      <w:r w:rsidR="006A4D75">
                        <w:rPr>
                          <w:rFonts w:ascii="Cambria" w:hAnsi="Cambria" w:cs="Univers"/>
                          <w:color w:val="0D0D0D"/>
                          <w:sz w:val="18"/>
                          <w:szCs w:val="20"/>
                          <w:lang w:val="es-ES_tradnl"/>
                        </w:rPr>
                        <w:t>63</w:t>
                      </w:r>
                      <w:r>
                        <w:rPr>
                          <w:rFonts w:ascii="Cambria" w:hAnsi="Cambria" w:cs="Univers"/>
                          <w:color w:val="0D0D0D"/>
                          <w:sz w:val="18"/>
                          <w:szCs w:val="20"/>
                          <w:lang w:val="es-ES_tradnl"/>
                        </w:rPr>
                        <w:t xml:space="preserve"> P</w:t>
                      </w:r>
                      <w:r w:rsidR="006A4D75" w:rsidRPr="00DB43BD">
                        <w:rPr>
                          <w:rFonts w:ascii="Cambria" w:hAnsi="Cambria" w:cs="Univers"/>
                          <w:color w:val="0D0D0D"/>
                          <w:sz w:val="18"/>
                          <w:szCs w:val="20"/>
                          <w:lang w:val="es-ES_tradnl"/>
                        </w:rPr>
                        <w:t xml:space="preserve">eríodo </w:t>
                      </w:r>
                      <w:r>
                        <w:rPr>
                          <w:rFonts w:ascii="Cambria" w:hAnsi="Cambria" w:cs="Univers"/>
                          <w:color w:val="0D0D0D"/>
                          <w:sz w:val="18"/>
                          <w:szCs w:val="20"/>
                          <w:lang w:val="es-ES_tradnl"/>
                        </w:rPr>
                        <w:t>E</w:t>
                      </w:r>
                      <w:r w:rsidR="006A4D75">
                        <w:rPr>
                          <w:rFonts w:ascii="Cambria" w:hAnsi="Cambria" w:cs="Univers"/>
                          <w:color w:val="0D0D0D"/>
                          <w:sz w:val="18"/>
                          <w:szCs w:val="20"/>
                          <w:lang w:val="es-ES_tradnl"/>
                        </w:rPr>
                        <w:t>xtra</w:t>
                      </w:r>
                      <w:r>
                        <w:rPr>
                          <w:rFonts w:ascii="Cambria" w:hAnsi="Cambria" w:cs="Univers"/>
                          <w:color w:val="0D0D0D"/>
                          <w:sz w:val="18"/>
                          <w:szCs w:val="20"/>
                          <w:lang w:val="es-ES_tradnl"/>
                        </w:rPr>
                        <w:t>ordinario de S</w:t>
                      </w:r>
                      <w:r w:rsidR="006A4D75" w:rsidRPr="00DB43BD">
                        <w:rPr>
                          <w:rFonts w:ascii="Cambria" w:hAnsi="Cambria" w:cs="Univers"/>
                          <w:color w:val="0D0D0D"/>
                          <w:sz w:val="18"/>
                          <w:szCs w:val="20"/>
                          <w:lang w:val="es-ES_tradnl"/>
                        </w:rPr>
                        <w:t>esiones</w:t>
                      </w:r>
                    </w:p>
                    <w:p w:rsidR="006A4D75" w:rsidRPr="00DB43BD" w:rsidRDefault="006A4D75" w:rsidP="00247403">
                      <w:pPr>
                        <w:tabs>
                          <w:tab w:val="center" w:pos="5400"/>
                        </w:tabs>
                        <w:suppressAutoHyphens/>
                        <w:spacing w:before="60"/>
                        <w:rPr>
                          <w:rFonts w:ascii="Calibri" w:hAnsi="Calibri" w:cs="Univers"/>
                          <w:color w:val="0D0D0D"/>
                          <w:sz w:val="20"/>
                          <w:szCs w:val="20"/>
                          <w:lang w:val="es-ES"/>
                        </w:rPr>
                      </w:pPr>
                    </w:p>
                    <w:p w:rsidR="006A4D75" w:rsidRPr="00DB43BD" w:rsidRDefault="006A4D75"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rsidR="00A50FCF" w:rsidRPr="0010796C" w:rsidRDefault="00A50FCF" w:rsidP="000D044A">
      <w:pPr>
        <w:tabs>
          <w:tab w:val="center" w:pos="5400"/>
        </w:tabs>
        <w:suppressAutoHyphens/>
        <w:ind w:firstLine="567"/>
        <w:jc w:val="center"/>
        <w:rPr>
          <w:rFonts w:ascii="Cambria" w:hAnsi="Cambria"/>
          <w:sz w:val="18"/>
          <w:szCs w:val="22"/>
          <w:lang w:val="es-ES"/>
        </w:rPr>
      </w:pPr>
    </w:p>
    <w:p w:rsidR="00A50FCF" w:rsidRPr="0010796C" w:rsidRDefault="00A50FCF" w:rsidP="000D044A">
      <w:pPr>
        <w:tabs>
          <w:tab w:val="center" w:pos="5400"/>
        </w:tabs>
        <w:suppressAutoHyphens/>
        <w:ind w:firstLine="567"/>
        <w:jc w:val="center"/>
        <w:rPr>
          <w:rFonts w:ascii="Cambria" w:hAnsi="Cambria"/>
          <w:sz w:val="18"/>
          <w:szCs w:val="22"/>
          <w:lang w:val="es-ES"/>
        </w:rPr>
      </w:pPr>
    </w:p>
    <w:p w:rsidR="00A50FCF" w:rsidRPr="0010796C" w:rsidRDefault="00A50FCF" w:rsidP="000D044A">
      <w:pPr>
        <w:tabs>
          <w:tab w:val="center" w:pos="5400"/>
        </w:tabs>
        <w:suppressAutoHyphens/>
        <w:ind w:firstLine="567"/>
        <w:jc w:val="center"/>
        <w:rPr>
          <w:rFonts w:ascii="Cambria" w:hAnsi="Cambria"/>
          <w:sz w:val="18"/>
          <w:szCs w:val="22"/>
          <w:lang w:val="es-ES"/>
        </w:rPr>
      </w:pPr>
    </w:p>
    <w:p w:rsidR="00A50FCF" w:rsidRPr="0010796C" w:rsidRDefault="00A50FCF" w:rsidP="000D044A">
      <w:pPr>
        <w:tabs>
          <w:tab w:val="center" w:pos="5400"/>
        </w:tabs>
        <w:suppressAutoHyphens/>
        <w:ind w:firstLine="567"/>
        <w:jc w:val="center"/>
        <w:rPr>
          <w:rFonts w:ascii="Cambria" w:hAnsi="Cambria"/>
          <w:sz w:val="18"/>
          <w:szCs w:val="22"/>
          <w:lang w:val="es-ES"/>
        </w:rPr>
      </w:pPr>
    </w:p>
    <w:p w:rsidR="00A50FCF" w:rsidRPr="0010796C" w:rsidRDefault="00FD04C2" w:rsidP="000D044A">
      <w:pPr>
        <w:tabs>
          <w:tab w:val="center" w:pos="5400"/>
        </w:tabs>
        <w:suppressAutoHyphens/>
        <w:ind w:firstLine="567"/>
        <w:jc w:val="center"/>
        <w:rPr>
          <w:rFonts w:ascii="Cambria" w:hAnsi="Cambria"/>
          <w:sz w:val="18"/>
          <w:szCs w:val="22"/>
          <w:lang w:val="es-ES"/>
        </w:rPr>
      </w:pPr>
      <w:r>
        <w:rPr>
          <w:noProof/>
        </w:rPr>
        <mc:AlternateContent>
          <mc:Choice Requires="wps">
            <w:drawing>
              <wp:anchor distT="0" distB="0" distL="114300" distR="114300" simplePos="0" relativeHeight="251658752"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6A4D75" w:rsidRPr="00D21B8F" w:rsidRDefault="006A4D75" w:rsidP="00AB1D64">
                            <w:pPr>
                              <w:spacing w:line="276" w:lineRule="auto"/>
                              <w:jc w:val="both"/>
                              <w:rPr>
                                <w:rFonts w:ascii="Cambria" w:hAnsi="Cambria"/>
                                <w:color w:val="595959"/>
                                <w:sz w:val="18"/>
                                <w:szCs w:val="18"/>
                                <w:lang w:val="es-ES"/>
                              </w:rPr>
                            </w:pPr>
                            <w:r w:rsidRPr="00AB1D64">
                              <w:rPr>
                                <w:rFonts w:ascii="Cambria" w:hAnsi="Cambria"/>
                                <w:b/>
                                <w:color w:val="595959"/>
                                <w:sz w:val="18"/>
                                <w:szCs w:val="18"/>
                                <w:lang w:val="es-ES"/>
                              </w:rPr>
                              <w:t>Citar como:</w:t>
                            </w:r>
                            <w:r w:rsidRPr="00AB1D64">
                              <w:rPr>
                                <w:rFonts w:ascii="Cambria" w:hAnsi="Cambria"/>
                                <w:color w:val="595959"/>
                                <w:sz w:val="18"/>
                                <w:szCs w:val="18"/>
                                <w:lang w:val="es-ES"/>
                              </w:rPr>
                              <w:t xml:space="preserve"> CIDH, Informe No. </w:t>
                            </w:r>
                            <w:r>
                              <w:rPr>
                                <w:rFonts w:ascii="Cambria" w:hAnsi="Cambria"/>
                                <w:color w:val="595959"/>
                                <w:sz w:val="18"/>
                                <w:szCs w:val="18"/>
                                <w:lang w:val="es-ES"/>
                              </w:rPr>
                              <w:t>73</w:t>
                            </w:r>
                            <w:r w:rsidRPr="00AB1D64">
                              <w:rPr>
                                <w:rFonts w:ascii="Cambria" w:hAnsi="Cambria"/>
                                <w:color w:val="595959"/>
                                <w:sz w:val="18"/>
                                <w:szCs w:val="18"/>
                                <w:lang w:val="es-ES"/>
                              </w:rPr>
                              <w:t>/</w:t>
                            </w:r>
                            <w:r>
                              <w:rPr>
                                <w:rFonts w:ascii="Cambria" w:hAnsi="Cambria"/>
                                <w:color w:val="595959"/>
                                <w:sz w:val="18"/>
                                <w:szCs w:val="18"/>
                                <w:lang w:val="es-ES"/>
                              </w:rPr>
                              <w:t>17</w:t>
                            </w:r>
                            <w:r w:rsidRPr="00AB1D64">
                              <w:rPr>
                                <w:rFonts w:ascii="Cambria" w:hAnsi="Cambria"/>
                                <w:color w:val="595959"/>
                                <w:sz w:val="18"/>
                                <w:szCs w:val="18"/>
                                <w:lang w:val="es-ES"/>
                              </w:rPr>
                              <w:t xml:space="preserve">, Caso </w:t>
                            </w:r>
                            <w:r>
                              <w:rPr>
                                <w:rFonts w:ascii="Cambria" w:hAnsi="Cambria"/>
                                <w:color w:val="595959"/>
                                <w:sz w:val="18"/>
                                <w:szCs w:val="18"/>
                                <w:lang w:val="es-ES"/>
                              </w:rPr>
                              <w:t>12.984</w:t>
                            </w:r>
                            <w:r w:rsidRPr="00AB1D64">
                              <w:rPr>
                                <w:rFonts w:ascii="Cambria" w:hAnsi="Cambria"/>
                                <w:color w:val="595959"/>
                                <w:sz w:val="18"/>
                                <w:szCs w:val="18"/>
                                <w:lang w:val="es-ES"/>
                              </w:rPr>
                              <w:t>, Fondo,</w:t>
                            </w:r>
                            <w:r>
                              <w:rPr>
                                <w:rFonts w:ascii="Cambria" w:hAnsi="Cambria"/>
                                <w:color w:val="595959"/>
                                <w:sz w:val="18"/>
                                <w:szCs w:val="18"/>
                                <w:lang w:val="es-ES"/>
                              </w:rPr>
                              <w:t xml:space="preserve"> Raúl Rolando Romero </w:t>
                            </w:r>
                            <w:proofErr w:type="spellStart"/>
                            <w:r>
                              <w:rPr>
                                <w:rFonts w:ascii="Cambria" w:hAnsi="Cambria"/>
                                <w:color w:val="595959"/>
                                <w:sz w:val="18"/>
                                <w:szCs w:val="18"/>
                                <w:lang w:val="es-ES"/>
                              </w:rPr>
                              <w:t>Feris</w:t>
                            </w:r>
                            <w:proofErr w:type="spellEnd"/>
                            <w:r>
                              <w:rPr>
                                <w:rFonts w:ascii="Cambria" w:hAnsi="Cambria"/>
                                <w:color w:val="595959"/>
                                <w:sz w:val="18"/>
                                <w:szCs w:val="18"/>
                                <w:lang w:val="es-ES"/>
                              </w:rPr>
                              <w:t>, Argentina, 5 de julio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" filled="f" stroked="f" strokeweight=".5pt">
                <v:path arrowok="t"/>
                <v:textbox>
                  <w:txbxContent>
                    <w:p w:rsidR="006A4D75" w:rsidRPr="00D21B8F" w:rsidRDefault="006A4D75" w:rsidP="00AB1D64">
                      <w:pPr>
                        <w:spacing w:line="276" w:lineRule="auto"/>
                        <w:jc w:val="both"/>
                        <w:rPr>
                          <w:rFonts w:ascii="Cambria" w:hAnsi="Cambria"/>
                          <w:color w:val="595959"/>
                          <w:sz w:val="18"/>
                          <w:szCs w:val="18"/>
                          <w:lang w:val="es-ES"/>
                        </w:rPr>
                      </w:pPr>
                      <w:r w:rsidRPr="00AB1D64">
                        <w:rPr>
                          <w:rFonts w:ascii="Cambria" w:hAnsi="Cambria"/>
                          <w:b/>
                          <w:color w:val="595959"/>
                          <w:sz w:val="18"/>
                          <w:szCs w:val="18"/>
                          <w:lang w:val="es-ES"/>
                        </w:rPr>
                        <w:t>Citar como:</w:t>
                      </w:r>
                      <w:r w:rsidRPr="00AB1D64">
                        <w:rPr>
                          <w:rFonts w:ascii="Cambria" w:hAnsi="Cambria"/>
                          <w:color w:val="595959"/>
                          <w:sz w:val="18"/>
                          <w:szCs w:val="18"/>
                          <w:lang w:val="es-ES"/>
                        </w:rPr>
                        <w:t xml:space="preserve"> CIDH, Informe No. </w:t>
                      </w:r>
                      <w:r>
                        <w:rPr>
                          <w:rFonts w:ascii="Cambria" w:hAnsi="Cambria"/>
                          <w:color w:val="595959"/>
                          <w:sz w:val="18"/>
                          <w:szCs w:val="18"/>
                          <w:lang w:val="es-ES"/>
                        </w:rPr>
                        <w:t>73</w:t>
                      </w:r>
                      <w:r w:rsidRPr="00AB1D64">
                        <w:rPr>
                          <w:rFonts w:ascii="Cambria" w:hAnsi="Cambria"/>
                          <w:color w:val="595959"/>
                          <w:sz w:val="18"/>
                          <w:szCs w:val="18"/>
                          <w:lang w:val="es-ES"/>
                        </w:rPr>
                        <w:t>/</w:t>
                      </w:r>
                      <w:r>
                        <w:rPr>
                          <w:rFonts w:ascii="Cambria" w:hAnsi="Cambria"/>
                          <w:color w:val="595959"/>
                          <w:sz w:val="18"/>
                          <w:szCs w:val="18"/>
                          <w:lang w:val="es-ES"/>
                        </w:rPr>
                        <w:t>17</w:t>
                      </w:r>
                      <w:r w:rsidRPr="00AB1D64">
                        <w:rPr>
                          <w:rFonts w:ascii="Cambria" w:hAnsi="Cambria"/>
                          <w:color w:val="595959"/>
                          <w:sz w:val="18"/>
                          <w:szCs w:val="18"/>
                          <w:lang w:val="es-ES"/>
                        </w:rPr>
                        <w:t xml:space="preserve">, Caso </w:t>
                      </w:r>
                      <w:r>
                        <w:rPr>
                          <w:rFonts w:ascii="Cambria" w:hAnsi="Cambria"/>
                          <w:color w:val="595959"/>
                          <w:sz w:val="18"/>
                          <w:szCs w:val="18"/>
                          <w:lang w:val="es-ES"/>
                        </w:rPr>
                        <w:t>12.984</w:t>
                      </w:r>
                      <w:r w:rsidRPr="00AB1D64">
                        <w:rPr>
                          <w:rFonts w:ascii="Cambria" w:hAnsi="Cambria"/>
                          <w:color w:val="595959"/>
                          <w:sz w:val="18"/>
                          <w:szCs w:val="18"/>
                          <w:lang w:val="es-ES"/>
                        </w:rPr>
                        <w:t>, Fondo,</w:t>
                      </w:r>
                      <w:r>
                        <w:rPr>
                          <w:rFonts w:ascii="Cambria" w:hAnsi="Cambria"/>
                          <w:color w:val="595959"/>
                          <w:sz w:val="18"/>
                          <w:szCs w:val="18"/>
                          <w:lang w:val="es-ES"/>
                        </w:rPr>
                        <w:t xml:space="preserve"> Raúl Rolando Romero Feris, Argentina, 5 de julio de 2017.</w:t>
                      </w:r>
                    </w:p>
                  </w:txbxContent>
                </v:textbox>
              </v:shape>
            </w:pict>
          </mc:Fallback>
        </mc:AlternateContent>
      </w:r>
    </w:p>
    <w:p w:rsidR="00A50FCF" w:rsidRPr="0010796C" w:rsidRDefault="00A50FCF" w:rsidP="000D044A">
      <w:pPr>
        <w:tabs>
          <w:tab w:val="center" w:pos="5400"/>
        </w:tabs>
        <w:suppressAutoHyphens/>
        <w:ind w:firstLine="567"/>
        <w:jc w:val="center"/>
        <w:rPr>
          <w:rFonts w:ascii="Cambria" w:hAnsi="Cambria"/>
          <w:sz w:val="18"/>
          <w:szCs w:val="22"/>
          <w:lang w:val="es-ES"/>
        </w:rPr>
      </w:pPr>
    </w:p>
    <w:p w:rsidR="0090270B" w:rsidRPr="0010796C" w:rsidRDefault="00FD04C2" w:rsidP="000D044A">
      <w:pPr>
        <w:tabs>
          <w:tab w:val="center" w:pos="5400"/>
        </w:tabs>
        <w:suppressAutoHyphens/>
        <w:ind w:firstLine="567"/>
        <w:jc w:val="center"/>
        <w:rPr>
          <w:rFonts w:ascii="Cambria" w:hAnsi="Cambria"/>
          <w:b/>
          <w:sz w:val="20"/>
          <w:lang w:val="es-ES"/>
        </w:rPr>
      </w:pPr>
      <w:r>
        <w:rPr>
          <w:noProof/>
        </w:rPr>
        <mc:AlternateContent>
          <mc:Choice Requires="wps">
            <w:drawing>
              <wp:anchor distT="0" distB="0" distL="114300" distR="114300" simplePos="0" relativeHeight="251659776"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6A4D75" w:rsidRPr="00DB43BD" w:rsidRDefault="00FD04C2" w:rsidP="00F02AD1">
                            <w:pPr>
                              <w:rPr>
                                <w:color w:val="FFFFFF"/>
                              </w:rPr>
                            </w:pPr>
                            <w:r>
                              <w:rPr>
                                <w:noProof/>
                                <w:color w:val="FFFFFF"/>
                              </w:rPr>
                              <w:drawing>
                                <wp:inline distT="0" distB="0" distL="0" distR="0">
                                  <wp:extent cx="1343660" cy="389890"/>
                                  <wp:effectExtent l="0" t="0" r="8890" b="0"/>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660" cy="3898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" fillcolor="window" stroked="f" strokeweight=".5pt">
                <v:path arrowok="t"/>
                <v:textbox>
                  <w:txbxContent>
                    <w:p w:rsidR="006A4D75" w:rsidRPr="00DB43BD" w:rsidRDefault="00FD04C2" w:rsidP="00F02AD1">
                      <w:pPr>
                        <w:rPr>
                          <w:color w:val="FFFFFF"/>
                        </w:rPr>
                      </w:pPr>
                      <w:r>
                        <w:rPr>
                          <w:noProof/>
                          <w:color w:val="FFFFFF"/>
                          <w:lang w:val="es-ES" w:eastAsia="es-ES"/>
                        </w:rPr>
                        <w:drawing>
                          <wp:inline distT="0" distB="0" distL="0" distR="0">
                            <wp:extent cx="1343660" cy="389890"/>
                            <wp:effectExtent l="0" t="0" r="8890" b="0"/>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660" cy="38989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6A4D75" w:rsidRPr="00DB43BD" w:rsidRDefault="006A4D75" w:rsidP="00D306D1">
                            <w:pPr>
                              <w:jc w:val="center"/>
                              <w:rPr>
                                <w:rFonts w:ascii="Calibri" w:hAnsi="Calibri"/>
                                <w:b/>
                                <w:color w:val="FFFFFF"/>
                              </w:rPr>
                            </w:pPr>
                            <w:r w:rsidRPr="00DB43BD">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" filled="f" stroked="f" strokeweight=".5pt">
                <v:path arrowok="t"/>
                <v:textbox>
                  <w:txbxContent>
                    <w:p w:rsidR="006A4D75" w:rsidRPr="00DB43BD" w:rsidRDefault="006A4D75" w:rsidP="00D306D1">
                      <w:pPr>
                        <w:jc w:val="center"/>
                        <w:rPr>
                          <w:rFonts w:ascii="Calibri" w:hAnsi="Calibri"/>
                          <w:b/>
                          <w:color w:val="FFFFFF"/>
                        </w:rPr>
                      </w:pPr>
                      <w:r w:rsidRPr="00DB43BD">
                        <w:rPr>
                          <w:rFonts w:ascii="Calibri" w:hAnsi="Calibri"/>
                          <w:b/>
                          <w:color w:val="FFFFFF"/>
                          <w:lang w:val="pt-BR"/>
                        </w:rPr>
                        <w:t>www.cidh.org</w:t>
                      </w:r>
                    </w:p>
                  </w:txbxContent>
                </v:textbox>
              </v:shape>
            </w:pict>
          </mc:Fallback>
        </mc:AlternateContent>
      </w:r>
    </w:p>
    <w:p w:rsidR="0070697F" w:rsidRPr="0010796C" w:rsidRDefault="0070697F" w:rsidP="000D044A">
      <w:pPr>
        <w:tabs>
          <w:tab w:val="center" w:pos="5400"/>
        </w:tabs>
        <w:suppressAutoHyphens/>
        <w:ind w:firstLine="567"/>
        <w:jc w:val="center"/>
        <w:rPr>
          <w:rFonts w:ascii="Cambria" w:hAnsi="Cambria"/>
          <w:b/>
          <w:sz w:val="20"/>
          <w:lang w:val="es-ES"/>
        </w:rPr>
        <w:sectPr w:rsidR="0070697F" w:rsidRPr="0010796C"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F36D39" w:rsidRPr="0010796C" w:rsidRDefault="00F36D39" w:rsidP="000D044A">
      <w:pPr>
        <w:pStyle w:val="Title"/>
        <w:ind w:firstLine="567"/>
        <w:rPr>
          <w:rFonts w:ascii="Cambria" w:hAnsi="Cambria"/>
          <w:sz w:val="18"/>
          <w:szCs w:val="18"/>
          <w:lang w:val="es-ES"/>
        </w:rPr>
      </w:pPr>
      <w:r w:rsidRPr="0010796C">
        <w:rPr>
          <w:rFonts w:ascii="Cambria" w:hAnsi="Cambria"/>
          <w:sz w:val="18"/>
          <w:szCs w:val="18"/>
          <w:lang w:val="es-ES"/>
        </w:rPr>
        <w:lastRenderedPageBreak/>
        <w:t>INFORME No.</w:t>
      </w:r>
      <w:r w:rsidR="006A4D75" w:rsidRPr="0010796C">
        <w:rPr>
          <w:rFonts w:ascii="Cambria" w:hAnsi="Cambria"/>
          <w:sz w:val="18"/>
          <w:szCs w:val="18"/>
          <w:lang w:val="es-ES"/>
        </w:rPr>
        <w:t>73</w:t>
      </w:r>
      <w:r w:rsidR="00B03079" w:rsidRPr="0010796C">
        <w:rPr>
          <w:rFonts w:ascii="Cambria" w:hAnsi="Cambria"/>
          <w:sz w:val="18"/>
          <w:szCs w:val="18"/>
          <w:lang w:val="es-ES"/>
        </w:rPr>
        <w:t>/17</w:t>
      </w:r>
    </w:p>
    <w:p w:rsidR="00F36D39" w:rsidRPr="0010796C" w:rsidRDefault="00F36D39" w:rsidP="000D044A">
      <w:pPr>
        <w:ind w:firstLine="567"/>
        <w:jc w:val="center"/>
        <w:rPr>
          <w:rFonts w:ascii="Cambria" w:hAnsi="Cambria"/>
          <w:b/>
          <w:bCs/>
          <w:sz w:val="18"/>
          <w:szCs w:val="18"/>
          <w:lang w:val="es-ES"/>
        </w:rPr>
      </w:pPr>
      <w:r w:rsidRPr="0010796C">
        <w:rPr>
          <w:rFonts w:ascii="Cambria" w:hAnsi="Cambria"/>
          <w:b/>
          <w:bCs/>
          <w:sz w:val="18"/>
          <w:szCs w:val="18"/>
          <w:lang w:val="es-ES"/>
        </w:rPr>
        <w:t xml:space="preserve">CASO </w:t>
      </w:r>
      <w:r w:rsidR="00A6731A" w:rsidRPr="0010796C">
        <w:rPr>
          <w:rFonts w:ascii="Cambria" w:hAnsi="Cambria"/>
          <w:b/>
          <w:bCs/>
          <w:sz w:val="18"/>
          <w:szCs w:val="18"/>
          <w:lang w:val="es-ES"/>
        </w:rPr>
        <w:t>12.984</w:t>
      </w:r>
    </w:p>
    <w:p w:rsidR="00F36D39" w:rsidRPr="0010796C" w:rsidRDefault="00F36D39" w:rsidP="000D044A">
      <w:pPr>
        <w:ind w:firstLine="567"/>
        <w:jc w:val="center"/>
        <w:rPr>
          <w:rFonts w:ascii="Cambria" w:hAnsi="Cambria" w:cs="Arial"/>
          <w:bCs/>
          <w:sz w:val="18"/>
          <w:szCs w:val="18"/>
          <w:lang w:val="es-ES"/>
        </w:rPr>
      </w:pPr>
      <w:r w:rsidRPr="0010796C">
        <w:rPr>
          <w:rFonts w:ascii="Cambria" w:hAnsi="Cambria" w:cs="Arial"/>
          <w:bCs/>
          <w:sz w:val="18"/>
          <w:szCs w:val="18"/>
          <w:lang w:val="es-ES"/>
        </w:rPr>
        <w:t>FONDO</w:t>
      </w:r>
    </w:p>
    <w:p w:rsidR="00F36D39" w:rsidRPr="0010796C" w:rsidRDefault="00A6731A" w:rsidP="000D044A">
      <w:pPr>
        <w:ind w:firstLine="567"/>
        <w:jc w:val="center"/>
        <w:rPr>
          <w:rFonts w:ascii="Cambria" w:hAnsi="Cambria" w:cs="Arial"/>
          <w:bCs/>
          <w:sz w:val="18"/>
          <w:szCs w:val="18"/>
          <w:lang w:val="es-ES"/>
        </w:rPr>
      </w:pPr>
      <w:r w:rsidRPr="0010796C">
        <w:rPr>
          <w:rFonts w:ascii="Cambria" w:hAnsi="Cambria" w:cs="Arial"/>
          <w:bCs/>
          <w:sz w:val="18"/>
          <w:szCs w:val="18"/>
          <w:lang w:val="es-ES"/>
        </w:rPr>
        <w:t>RAÚL ROLANDO ROMERO FERIS</w:t>
      </w:r>
    </w:p>
    <w:p w:rsidR="00F36D39" w:rsidRPr="0010796C" w:rsidRDefault="00A6731A" w:rsidP="000D044A">
      <w:pPr>
        <w:ind w:firstLine="567"/>
        <w:jc w:val="center"/>
        <w:rPr>
          <w:rFonts w:ascii="Cambria" w:hAnsi="Cambria" w:cs="Arial"/>
          <w:bCs/>
          <w:sz w:val="18"/>
          <w:szCs w:val="18"/>
          <w:lang w:val="es-ES"/>
        </w:rPr>
      </w:pPr>
      <w:r w:rsidRPr="0010796C">
        <w:rPr>
          <w:rFonts w:ascii="Cambria" w:hAnsi="Cambria" w:cs="Arial"/>
          <w:bCs/>
          <w:sz w:val="18"/>
          <w:szCs w:val="18"/>
          <w:lang w:val="es-ES"/>
        </w:rPr>
        <w:t>ARGENTINA</w:t>
      </w:r>
    </w:p>
    <w:p w:rsidR="00F36D39" w:rsidRPr="0010796C" w:rsidRDefault="006A4D75" w:rsidP="000D044A">
      <w:pPr>
        <w:ind w:firstLine="567"/>
        <w:jc w:val="center"/>
        <w:rPr>
          <w:rFonts w:ascii="Cambria" w:hAnsi="Cambria" w:cs="Arial"/>
          <w:bCs/>
          <w:sz w:val="18"/>
          <w:szCs w:val="18"/>
          <w:lang w:val="es-ES"/>
        </w:rPr>
      </w:pPr>
      <w:r w:rsidRPr="0010796C">
        <w:rPr>
          <w:rFonts w:ascii="Cambria" w:hAnsi="Cambria" w:cs="Arial"/>
          <w:bCs/>
          <w:sz w:val="18"/>
          <w:szCs w:val="18"/>
          <w:lang w:val="es-ES"/>
        </w:rPr>
        <w:t>5 DE JULIO DE 2017</w:t>
      </w:r>
    </w:p>
    <w:p w:rsidR="00722C9F" w:rsidRPr="0010796C" w:rsidRDefault="00722C9F" w:rsidP="000D044A">
      <w:pPr>
        <w:tabs>
          <w:tab w:val="center" w:pos="5400"/>
        </w:tabs>
        <w:suppressAutoHyphens/>
        <w:spacing w:line="276" w:lineRule="auto"/>
        <w:ind w:firstLine="567"/>
        <w:jc w:val="center"/>
        <w:rPr>
          <w:rFonts w:ascii="Cambria" w:hAnsi="Cambria"/>
          <w:sz w:val="18"/>
          <w:szCs w:val="20"/>
          <w:lang w:val="es-ES"/>
        </w:rPr>
      </w:pPr>
    </w:p>
    <w:p w:rsidR="00722C9F" w:rsidRPr="0010796C" w:rsidRDefault="00722C9F" w:rsidP="000D044A">
      <w:pPr>
        <w:tabs>
          <w:tab w:val="center" w:pos="5400"/>
        </w:tabs>
        <w:suppressAutoHyphens/>
        <w:spacing w:line="276" w:lineRule="auto"/>
        <w:ind w:firstLine="567"/>
        <w:jc w:val="center"/>
        <w:rPr>
          <w:rFonts w:ascii="Cambria" w:hAnsi="Cambria"/>
          <w:b/>
          <w:szCs w:val="20"/>
          <w:lang w:val="es-ES"/>
        </w:rPr>
      </w:pPr>
      <w:r w:rsidRPr="0010796C">
        <w:rPr>
          <w:rFonts w:ascii="Cambria" w:hAnsi="Cambria"/>
          <w:b/>
          <w:szCs w:val="20"/>
          <w:lang w:val="es-ES"/>
        </w:rPr>
        <w:t>ÍNDICE</w:t>
      </w:r>
    </w:p>
    <w:p w:rsidR="0070697F" w:rsidRPr="0010796C" w:rsidRDefault="0070697F" w:rsidP="000D044A">
      <w:pPr>
        <w:tabs>
          <w:tab w:val="center" w:pos="5400"/>
        </w:tabs>
        <w:suppressAutoHyphens/>
        <w:spacing w:line="276" w:lineRule="auto"/>
        <w:ind w:firstLine="567"/>
        <w:rPr>
          <w:rFonts w:ascii="Cambria" w:hAnsi="Cambria"/>
          <w:sz w:val="20"/>
          <w:szCs w:val="20"/>
          <w:lang w:val="es-ES"/>
        </w:rPr>
      </w:pPr>
    </w:p>
    <w:p w:rsidR="00722EEA" w:rsidRPr="0010796C" w:rsidRDefault="00A26EAA">
      <w:pPr>
        <w:pStyle w:val="TOC1"/>
        <w:rPr>
          <w:rFonts w:ascii="Cambria" w:eastAsia="Times New Roman" w:hAnsi="Cambria"/>
          <w:noProof/>
          <w:sz w:val="20"/>
          <w:szCs w:val="20"/>
          <w:lang w:val="es-ES"/>
        </w:rPr>
      </w:pPr>
      <w:r w:rsidRPr="0010796C">
        <w:rPr>
          <w:rFonts w:ascii="Cambria" w:hAnsi="Cambria" w:cs="Calibri"/>
          <w:sz w:val="20"/>
          <w:szCs w:val="20"/>
          <w:lang w:val="es-ES"/>
        </w:rPr>
        <w:fldChar w:fldCharType="begin"/>
      </w:r>
      <w:r w:rsidRPr="0010796C">
        <w:rPr>
          <w:rFonts w:ascii="Cambria" w:hAnsi="Cambria" w:cs="Calibri"/>
          <w:sz w:val="20"/>
          <w:szCs w:val="20"/>
          <w:lang w:val="es-ES"/>
        </w:rPr>
        <w:instrText xml:space="preserve"> TOC \o "1-3" \h \z \u </w:instrText>
      </w:r>
      <w:r w:rsidRPr="0010796C">
        <w:rPr>
          <w:rFonts w:ascii="Cambria" w:hAnsi="Cambria" w:cs="Calibri"/>
          <w:sz w:val="20"/>
          <w:szCs w:val="20"/>
          <w:lang w:val="es-ES"/>
        </w:rPr>
        <w:fldChar w:fldCharType="separate"/>
      </w:r>
      <w:hyperlink w:anchor="_Toc486526404" w:history="1">
        <w:r w:rsidR="00722EEA" w:rsidRPr="0010796C">
          <w:rPr>
            <w:rStyle w:val="Hyperlink"/>
            <w:rFonts w:ascii="Cambria" w:hAnsi="Cambria"/>
            <w:noProof/>
            <w:sz w:val="20"/>
            <w:szCs w:val="20"/>
            <w:lang w:val="es-ES"/>
          </w:rPr>
          <w:t>I.</w:t>
        </w:r>
        <w:r w:rsidR="00722EEA" w:rsidRPr="0010796C">
          <w:rPr>
            <w:rFonts w:ascii="Cambria" w:eastAsia="Times New Roman" w:hAnsi="Cambria"/>
            <w:noProof/>
            <w:sz w:val="20"/>
            <w:szCs w:val="20"/>
            <w:lang w:val="es-ES"/>
          </w:rPr>
          <w:tab/>
        </w:r>
        <w:r w:rsidR="00722EEA" w:rsidRPr="0010796C">
          <w:rPr>
            <w:rStyle w:val="Hyperlink"/>
            <w:rFonts w:ascii="Cambria" w:hAnsi="Cambria"/>
            <w:noProof/>
            <w:sz w:val="20"/>
            <w:szCs w:val="20"/>
            <w:lang w:val="es-ES"/>
          </w:rPr>
          <w:t>RESUMEN</w:t>
        </w:r>
        <w:r w:rsidR="00722EEA" w:rsidRPr="0010796C">
          <w:rPr>
            <w:rFonts w:ascii="Cambria" w:hAnsi="Cambria"/>
            <w:noProof/>
            <w:webHidden/>
            <w:sz w:val="20"/>
            <w:szCs w:val="20"/>
            <w:lang w:val="es-ES"/>
          </w:rPr>
          <w:tab/>
        </w:r>
        <w:r w:rsidR="00722EEA" w:rsidRPr="0010796C">
          <w:rPr>
            <w:rFonts w:ascii="Cambria" w:hAnsi="Cambria"/>
            <w:noProof/>
            <w:webHidden/>
            <w:sz w:val="20"/>
            <w:szCs w:val="20"/>
            <w:lang w:val="es-ES"/>
          </w:rPr>
          <w:fldChar w:fldCharType="begin"/>
        </w:r>
        <w:r w:rsidR="00722EEA" w:rsidRPr="0010796C">
          <w:rPr>
            <w:rFonts w:ascii="Cambria" w:hAnsi="Cambria"/>
            <w:noProof/>
            <w:webHidden/>
            <w:sz w:val="20"/>
            <w:szCs w:val="20"/>
            <w:lang w:val="es-ES"/>
          </w:rPr>
          <w:instrText xml:space="preserve"> PAGEREF _Toc486526404 \h </w:instrText>
        </w:r>
        <w:r w:rsidR="00722EEA" w:rsidRPr="0010796C">
          <w:rPr>
            <w:rFonts w:ascii="Cambria" w:hAnsi="Cambria"/>
            <w:noProof/>
            <w:webHidden/>
            <w:sz w:val="20"/>
            <w:szCs w:val="20"/>
            <w:lang w:val="es-ES"/>
          </w:rPr>
        </w:r>
        <w:r w:rsidR="00722EEA" w:rsidRPr="0010796C">
          <w:rPr>
            <w:rFonts w:ascii="Cambria" w:hAnsi="Cambria"/>
            <w:noProof/>
            <w:webHidden/>
            <w:sz w:val="20"/>
            <w:szCs w:val="20"/>
            <w:lang w:val="es-ES"/>
          </w:rPr>
          <w:fldChar w:fldCharType="separate"/>
        </w:r>
        <w:r w:rsidR="005F3F0A" w:rsidRPr="0010796C">
          <w:rPr>
            <w:rFonts w:ascii="Cambria" w:hAnsi="Cambria"/>
            <w:noProof/>
            <w:webHidden/>
            <w:sz w:val="20"/>
            <w:szCs w:val="20"/>
            <w:lang w:val="es-ES"/>
          </w:rPr>
          <w:t>2</w:t>
        </w:r>
        <w:r w:rsidR="00722EEA" w:rsidRPr="0010796C">
          <w:rPr>
            <w:rFonts w:ascii="Cambria" w:hAnsi="Cambria"/>
            <w:noProof/>
            <w:webHidden/>
            <w:sz w:val="20"/>
            <w:szCs w:val="20"/>
            <w:lang w:val="es-ES"/>
          </w:rPr>
          <w:fldChar w:fldCharType="end"/>
        </w:r>
      </w:hyperlink>
    </w:p>
    <w:p w:rsidR="00722EEA" w:rsidRPr="0010796C" w:rsidRDefault="000D4F62">
      <w:pPr>
        <w:pStyle w:val="TOC1"/>
        <w:rPr>
          <w:rFonts w:ascii="Cambria" w:eastAsia="Times New Roman" w:hAnsi="Cambria"/>
          <w:noProof/>
          <w:sz w:val="20"/>
          <w:szCs w:val="20"/>
          <w:lang w:val="es-ES"/>
        </w:rPr>
      </w:pPr>
      <w:hyperlink w:anchor="_Toc486526405" w:history="1">
        <w:r w:rsidR="00722EEA" w:rsidRPr="0010796C">
          <w:rPr>
            <w:rStyle w:val="Hyperlink"/>
            <w:rFonts w:ascii="Cambria" w:hAnsi="Cambria"/>
            <w:noProof/>
            <w:sz w:val="20"/>
            <w:szCs w:val="20"/>
            <w:lang w:val="es-ES"/>
          </w:rPr>
          <w:t>II.</w:t>
        </w:r>
        <w:r w:rsidR="00722EEA" w:rsidRPr="0010796C">
          <w:rPr>
            <w:rFonts w:ascii="Cambria" w:eastAsia="Times New Roman" w:hAnsi="Cambria"/>
            <w:noProof/>
            <w:sz w:val="20"/>
            <w:szCs w:val="20"/>
            <w:lang w:val="es-ES"/>
          </w:rPr>
          <w:tab/>
        </w:r>
        <w:r w:rsidR="00722EEA" w:rsidRPr="0010796C">
          <w:rPr>
            <w:rStyle w:val="Hyperlink"/>
            <w:rFonts w:ascii="Cambria" w:hAnsi="Cambria"/>
            <w:noProof/>
            <w:sz w:val="20"/>
            <w:szCs w:val="20"/>
            <w:lang w:val="es-ES"/>
          </w:rPr>
          <w:t>TRÁMITE ANTE LA COMISIÓN</w:t>
        </w:r>
        <w:r w:rsidR="00722EEA" w:rsidRPr="0010796C">
          <w:rPr>
            <w:rFonts w:ascii="Cambria" w:hAnsi="Cambria"/>
            <w:noProof/>
            <w:webHidden/>
            <w:sz w:val="20"/>
            <w:szCs w:val="20"/>
            <w:lang w:val="es-ES"/>
          </w:rPr>
          <w:tab/>
        </w:r>
        <w:r w:rsidR="00722EEA" w:rsidRPr="0010796C">
          <w:rPr>
            <w:rFonts w:ascii="Cambria" w:hAnsi="Cambria"/>
            <w:noProof/>
            <w:webHidden/>
            <w:sz w:val="20"/>
            <w:szCs w:val="20"/>
            <w:lang w:val="es-ES"/>
          </w:rPr>
          <w:fldChar w:fldCharType="begin"/>
        </w:r>
        <w:r w:rsidR="00722EEA" w:rsidRPr="0010796C">
          <w:rPr>
            <w:rFonts w:ascii="Cambria" w:hAnsi="Cambria"/>
            <w:noProof/>
            <w:webHidden/>
            <w:sz w:val="20"/>
            <w:szCs w:val="20"/>
            <w:lang w:val="es-ES"/>
          </w:rPr>
          <w:instrText xml:space="preserve"> PAGEREF _Toc486526405 \h </w:instrText>
        </w:r>
        <w:r w:rsidR="00722EEA" w:rsidRPr="0010796C">
          <w:rPr>
            <w:rFonts w:ascii="Cambria" w:hAnsi="Cambria"/>
            <w:noProof/>
            <w:webHidden/>
            <w:sz w:val="20"/>
            <w:szCs w:val="20"/>
            <w:lang w:val="es-ES"/>
          </w:rPr>
        </w:r>
        <w:r w:rsidR="00722EEA" w:rsidRPr="0010796C">
          <w:rPr>
            <w:rFonts w:ascii="Cambria" w:hAnsi="Cambria"/>
            <w:noProof/>
            <w:webHidden/>
            <w:sz w:val="20"/>
            <w:szCs w:val="20"/>
            <w:lang w:val="es-ES"/>
          </w:rPr>
          <w:fldChar w:fldCharType="separate"/>
        </w:r>
        <w:r w:rsidR="005F3F0A" w:rsidRPr="0010796C">
          <w:rPr>
            <w:rFonts w:ascii="Cambria" w:hAnsi="Cambria"/>
            <w:noProof/>
            <w:webHidden/>
            <w:sz w:val="20"/>
            <w:szCs w:val="20"/>
            <w:lang w:val="es-ES"/>
          </w:rPr>
          <w:t>2</w:t>
        </w:r>
        <w:r w:rsidR="00722EEA" w:rsidRPr="0010796C">
          <w:rPr>
            <w:rFonts w:ascii="Cambria" w:hAnsi="Cambria"/>
            <w:noProof/>
            <w:webHidden/>
            <w:sz w:val="20"/>
            <w:szCs w:val="20"/>
            <w:lang w:val="es-ES"/>
          </w:rPr>
          <w:fldChar w:fldCharType="end"/>
        </w:r>
      </w:hyperlink>
    </w:p>
    <w:p w:rsidR="00722EEA" w:rsidRPr="0010796C" w:rsidRDefault="000D4F62">
      <w:pPr>
        <w:pStyle w:val="TOC1"/>
        <w:rPr>
          <w:rFonts w:ascii="Cambria" w:eastAsia="Times New Roman" w:hAnsi="Cambria"/>
          <w:noProof/>
          <w:sz w:val="20"/>
          <w:szCs w:val="20"/>
          <w:lang w:val="es-ES"/>
        </w:rPr>
      </w:pPr>
      <w:hyperlink w:anchor="_Toc486526406" w:history="1">
        <w:r w:rsidR="00722EEA" w:rsidRPr="0010796C">
          <w:rPr>
            <w:rStyle w:val="Hyperlink"/>
            <w:rFonts w:ascii="Cambria" w:hAnsi="Cambria"/>
            <w:noProof/>
            <w:sz w:val="20"/>
            <w:szCs w:val="20"/>
            <w:lang w:val="es-ES"/>
          </w:rPr>
          <w:t>III.</w:t>
        </w:r>
        <w:r w:rsidR="00722EEA" w:rsidRPr="0010796C">
          <w:rPr>
            <w:rFonts w:ascii="Cambria" w:eastAsia="Times New Roman" w:hAnsi="Cambria"/>
            <w:noProof/>
            <w:sz w:val="20"/>
            <w:szCs w:val="20"/>
            <w:lang w:val="es-ES"/>
          </w:rPr>
          <w:tab/>
        </w:r>
        <w:r w:rsidR="00722EEA" w:rsidRPr="0010796C">
          <w:rPr>
            <w:rStyle w:val="Hyperlink"/>
            <w:rFonts w:ascii="Cambria" w:hAnsi="Cambria"/>
            <w:noProof/>
            <w:sz w:val="20"/>
            <w:szCs w:val="20"/>
            <w:lang w:val="es-ES"/>
          </w:rPr>
          <w:t>POSICIÓN DE LAS PARTES</w:t>
        </w:r>
        <w:r w:rsidR="00722EEA" w:rsidRPr="0010796C">
          <w:rPr>
            <w:rFonts w:ascii="Cambria" w:hAnsi="Cambria"/>
            <w:noProof/>
            <w:webHidden/>
            <w:sz w:val="20"/>
            <w:szCs w:val="20"/>
            <w:lang w:val="es-ES"/>
          </w:rPr>
          <w:tab/>
        </w:r>
        <w:r w:rsidR="00722EEA" w:rsidRPr="0010796C">
          <w:rPr>
            <w:rFonts w:ascii="Cambria" w:hAnsi="Cambria"/>
            <w:noProof/>
            <w:webHidden/>
            <w:sz w:val="20"/>
            <w:szCs w:val="20"/>
            <w:lang w:val="es-ES"/>
          </w:rPr>
          <w:fldChar w:fldCharType="begin"/>
        </w:r>
        <w:r w:rsidR="00722EEA" w:rsidRPr="0010796C">
          <w:rPr>
            <w:rFonts w:ascii="Cambria" w:hAnsi="Cambria"/>
            <w:noProof/>
            <w:webHidden/>
            <w:sz w:val="20"/>
            <w:szCs w:val="20"/>
            <w:lang w:val="es-ES"/>
          </w:rPr>
          <w:instrText xml:space="preserve"> PAGEREF _Toc486526406 \h </w:instrText>
        </w:r>
        <w:r w:rsidR="00722EEA" w:rsidRPr="0010796C">
          <w:rPr>
            <w:rFonts w:ascii="Cambria" w:hAnsi="Cambria"/>
            <w:noProof/>
            <w:webHidden/>
            <w:sz w:val="20"/>
            <w:szCs w:val="20"/>
            <w:lang w:val="es-ES"/>
          </w:rPr>
        </w:r>
        <w:r w:rsidR="00722EEA" w:rsidRPr="0010796C">
          <w:rPr>
            <w:rFonts w:ascii="Cambria" w:hAnsi="Cambria"/>
            <w:noProof/>
            <w:webHidden/>
            <w:sz w:val="20"/>
            <w:szCs w:val="20"/>
            <w:lang w:val="es-ES"/>
          </w:rPr>
          <w:fldChar w:fldCharType="separate"/>
        </w:r>
        <w:r w:rsidR="005F3F0A" w:rsidRPr="0010796C">
          <w:rPr>
            <w:rFonts w:ascii="Cambria" w:hAnsi="Cambria"/>
            <w:noProof/>
            <w:webHidden/>
            <w:sz w:val="20"/>
            <w:szCs w:val="20"/>
            <w:lang w:val="es-ES"/>
          </w:rPr>
          <w:t>2</w:t>
        </w:r>
        <w:r w:rsidR="00722EEA" w:rsidRPr="0010796C">
          <w:rPr>
            <w:rFonts w:ascii="Cambria" w:hAnsi="Cambria"/>
            <w:noProof/>
            <w:webHidden/>
            <w:sz w:val="20"/>
            <w:szCs w:val="20"/>
            <w:lang w:val="es-ES"/>
          </w:rPr>
          <w:fldChar w:fldCharType="end"/>
        </w:r>
      </w:hyperlink>
    </w:p>
    <w:p w:rsidR="00722EEA" w:rsidRPr="0010796C" w:rsidRDefault="000D4F62">
      <w:pPr>
        <w:pStyle w:val="TOC2"/>
        <w:rPr>
          <w:rFonts w:ascii="Cambria" w:eastAsia="Times New Roman" w:hAnsi="Cambria"/>
          <w:noProof/>
          <w:sz w:val="20"/>
          <w:szCs w:val="20"/>
          <w:lang w:val="es-ES"/>
        </w:rPr>
      </w:pPr>
      <w:hyperlink w:anchor="_Toc486526407" w:history="1">
        <w:r w:rsidR="00722EEA" w:rsidRPr="0010796C">
          <w:rPr>
            <w:rStyle w:val="Hyperlink"/>
            <w:rFonts w:ascii="Cambria" w:hAnsi="Cambria"/>
            <w:noProof/>
            <w:sz w:val="20"/>
            <w:szCs w:val="20"/>
            <w:lang w:val="es-ES"/>
          </w:rPr>
          <w:t xml:space="preserve">A. </w:t>
        </w:r>
        <w:r w:rsidR="00722EEA" w:rsidRPr="0010796C">
          <w:rPr>
            <w:rFonts w:ascii="Cambria" w:eastAsia="Times New Roman" w:hAnsi="Cambria"/>
            <w:noProof/>
            <w:sz w:val="20"/>
            <w:szCs w:val="20"/>
            <w:lang w:val="es-ES"/>
          </w:rPr>
          <w:tab/>
        </w:r>
        <w:r w:rsidR="00722EEA" w:rsidRPr="0010796C">
          <w:rPr>
            <w:rStyle w:val="Hyperlink"/>
            <w:rFonts w:ascii="Cambria" w:hAnsi="Cambria"/>
            <w:noProof/>
            <w:sz w:val="20"/>
            <w:szCs w:val="20"/>
            <w:lang w:val="es-ES"/>
          </w:rPr>
          <w:t>Posición del peticionario</w:t>
        </w:r>
        <w:r w:rsidR="00722EEA" w:rsidRPr="0010796C">
          <w:rPr>
            <w:rFonts w:ascii="Cambria" w:hAnsi="Cambria"/>
            <w:noProof/>
            <w:webHidden/>
            <w:sz w:val="20"/>
            <w:szCs w:val="20"/>
            <w:lang w:val="es-ES"/>
          </w:rPr>
          <w:tab/>
        </w:r>
        <w:r w:rsidR="00722EEA" w:rsidRPr="0010796C">
          <w:rPr>
            <w:rFonts w:ascii="Cambria" w:hAnsi="Cambria"/>
            <w:noProof/>
            <w:webHidden/>
            <w:sz w:val="20"/>
            <w:szCs w:val="20"/>
            <w:lang w:val="es-ES"/>
          </w:rPr>
          <w:fldChar w:fldCharType="begin"/>
        </w:r>
        <w:r w:rsidR="00722EEA" w:rsidRPr="0010796C">
          <w:rPr>
            <w:rFonts w:ascii="Cambria" w:hAnsi="Cambria"/>
            <w:noProof/>
            <w:webHidden/>
            <w:sz w:val="20"/>
            <w:szCs w:val="20"/>
            <w:lang w:val="es-ES"/>
          </w:rPr>
          <w:instrText xml:space="preserve"> PAGEREF _Toc486526407 \h </w:instrText>
        </w:r>
        <w:r w:rsidR="00722EEA" w:rsidRPr="0010796C">
          <w:rPr>
            <w:rFonts w:ascii="Cambria" w:hAnsi="Cambria"/>
            <w:noProof/>
            <w:webHidden/>
            <w:sz w:val="20"/>
            <w:szCs w:val="20"/>
            <w:lang w:val="es-ES"/>
          </w:rPr>
        </w:r>
        <w:r w:rsidR="00722EEA" w:rsidRPr="0010796C">
          <w:rPr>
            <w:rFonts w:ascii="Cambria" w:hAnsi="Cambria"/>
            <w:noProof/>
            <w:webHidden/>
            <w:sz w:val="20"/>
            <w:szCs w:val="20"/>
            <w:lang w:val="es-ES"/>
          </w:rPr>
          <w:fldChar w:fldCharType="separate"/>
        </w:r>
        <w:r w:rsidR="005F3F0A" w:rsidRPr="0010796C">
          <w:rPr>
            <w:rFonts w:ascii="Cambria" w:hAnsi="Cambria"/>
            <w:noProof/>
            <w:webHidden/>
            <w:sz w:val="20"/>
            <w:szCs w:val="20"/>
            <w:lang w:val="es-ES"/>
          </w:rPr>
          <w:t>2</w:t>
        </w:r>
        <w:r w:rsidR="00722EEA" w:rsidRPr="0010796C">
          <w:rPr>
            <w:rFonts w:ascii="Cambria" w:hAnsi="Cambria"/>
            <w:noProof/>
            <w:webHidden/>
            <w:sz w:val="20"/>
            <w:szCs w:val="20"/>
            <w:lang w:val="es-ES"/>
          </w:rPr>
          <w:fldChar w:fldCharType="end"/>
        </w:r>
      </w:hyperlink>
    </w:p>
    <w:p w:rsidR="00722EEA" w:rsidRPr="0010796C" w:rsidRDefault="000D4F62">
      <w:pPr>
        <w:pStyle w:val="TOC2"/>
        <w:rPr>
          <w:rFonts w:ascii="Cambria" w:eastAsia="Times New Roman" w:hAnsi="Cambria"/>
          <w:noProof/>
          <w:sz w:val="20"/>
          <w:szCs w:val="20"/>
          <w:lang w:val="es-ES"/>
        </w:rPr>
      </w:pPr>
      <w:hyperlink w:anchor="_Toc486526408" w:history="1">
        <w:r w:rsidR="00722EEA" w:rsidRPr="0010796C">
          <w:rPr>
            <w:rStyle w:val="Hyperlink"/>
            <w:rFonts w:ascii="Cambria" w:hAnsi="Cambria"/>
            <w:noProof/>
            <w:sz w:val="20"/>
            <w:szCs w:val="20"/>
            <w:lang w:val="es-ES"/>
          </w:rPr>
          <w:t xml:space="preserve">B. </w:t>
        </w:r>
        <w:r w:rsidR="00722EEA" w:rsidRPr="0010796C">
          <w:rPr>
            <w:rFonts w:ascii="Cambria" w:eastAsia="Times New Roman" w:hAnsi="Cambria"/>
            <w:noProof/>
            <w:sz w:val="20"/>
            <w:szCs w:val="20"/>
            <w:lang w:val="es-ES"/>
          </w:rPr>
          <w:tab/>
        </w:r>
        <w:r w:rsidR="00722EEA" w:rsidRPr="0010796C">
          <w:rPr>
            <w:rStyle w:val="Hyperlink"/>
            <w:rFonts w:ascii="Cambria" w:hAnsi="Cambria"/>
            <w:noProof/>
            <w:sz w:val="20"/>
            <w:szCs w:val="20"/>
            <w:lang w:val="es-ES"/>
          </w:rPr>
          <w:t>Posición del Estado</w:t>
        </w:r>
        <w:r w:rsidR="00722EEA" w:rsidRPr="0010796C">
          <w:rPr>
            <w:rFonts w:ascii="Cambria" w:hAnsi="Cambria"/>
            <w:noProof/>
            <w:webHidden/>
            <w:sz w:val="20"/>
            <w:szCs w:val="20"/>
            <w:lang w:val="es-ES"/>
          </w:rPr>
          <w:tab/>
        </w:r>
        <w:r w:rsidR="00722EEA" w:rsidRPr="0010796C">
          <w:rPr>
            <w:rFonts w:ascii="Cambria" w:hAnsi="Cambria"/>
            <w:noProof/>
            <w:webHidden/>
            <w:sz w:val="20"/>
            <w:szCs w:val="20"/>
            <w:lang w:val="es-ES"/>
          </w:rPr>
          <w:fldChar w:fldCharType="begin"/>
        </w:r>
        <w:r w:rsidR="00722EEA" w:rsidRPr="0010796C">
          <w:rPr>
            <w:rFonts w:ascii="Cambria" w:hAnsi="Cambria"/>
            <w:noProof/>
            <w:webHidden/>
            <w:sz w:val="20"/>
            <w:szCs w:val="20"/>
            <w:lang w:val="es-ES"/>
          </w:rPr>
          <w:instrText xml:space="preserve"> PAGEREF _Toc486526408 \h </w:instrText>
        </w:r>
        <w:r w:rsidR="00722EEA" w:rsidRPr="0010796C">
          <w:rPr>
            <w:rFonts w:ascii="Cambria" w:hAnsi="Cambria"/>
            <w:noProof/>
            <w:webHidden/>
            <w:sz w:val="20"/>
            <w:szCs w:val="20"/>
            <w:lang w:val="es-ES"/>
          </w:rPr>
        </w:r>
        <w:r w:rsidR="00722EEA" w:rsidRPr="0010796C">
          <w:rPr>
            <w:rFonts w:ascii="Cambria" w:hAnsi="Cambria"/>
            <w:noProof/>
            <w:webHidden/>
            <w:sz w:val="20"/>
            <w:szCs w:val="20"/>
            <w:lang w:val="es-ES"/>
          </w:rPr>
          <w:fldChar w:fldCharType="separate"/>
        </w:r>
        <w:r w:rsidR="005F3F0A" w:rsidRPr="0010796C">
          <w:rPr>
            <w:rFonts w:ascii="Cambria" w:hAnsi="Cambria"/>
            <w:noProof/>
            <w:webHidden/>
            <w:sz w:val="20"/>
            <w:szCs w:val="20"/>
            <w:lang w:val="es-ES"/>
          </w:rPr>
          <w:t>3</w:t>
        </w:r>
        <w:r w:rsidR="00722EEA" w:rsidRPr="0010796C">
          <w:rPr>
            <w:rFonts w:ascii="Cambria" w:hAnsi="Cambria"/>
            <w:noProof/>
            <w:webHidden/>
            <w:sz w:val="20"/>
            <w:szCs w:val="20"/>
            <w:lang w:val="es-ES"/>
          </w:rPr>
          <w:fldChar w:fldCharType="end"/>
        </w:r>
      </w:hyperlink>
    </w:p>
    <w:p w:rsidR="00722EEA" w:rsidRPr="0010796C" w:rsidRDefault="000D4F62">
      <w:pPr>
        <w:pStyle w:val="TOC1"/>
        <w:rPr>
          <w:rFonts w:ascii="Cambria" w:eastAsia="Times New Roman" w:hAnsi="Cambria"/>
          <w:noProof/>
          <w:sz w:val="20"/>
          <w:szCs w:val="20"/>
          <w:lang w:val="es-ES"/>
        </w:rPr>
      </w:pPr>
      <w:hyperlink w:anchor="_Toc486526409" w:history="1">
        <w:r w:rsidR="00722EEA" w:rsidRPr="0010796C">
          <w:rPr>
            <w:rStyle w:val="Hyperlink"/>
            <w:rFonts w:ascii="Cambria" w:hAnsi="Cambria"/>
            <w:noProof/>
            <w:sz w:val="20"/>
            <w:szCs w:val="20"/>
            <w:lang w:val="es-ES"/>
          </w:rPr>
          <w:t>IV.</w:t>
        </w:r>
        <w:r w:rsidR="00722EEA" w:rsidRPr="0010796C">
          <w:rPr>
            <w:rFonts w:ascii="Cambria" w:eastAsia="Times New Roman" w:hAnsi="Cambria"/>
            <w:noProof/>
            <w:sz w:val="20"/>
            <w:szCs w:val="20"/>
            <w:lang w:val="es-ES"/>
          </w:rPr>
          <w:tab/>
        </w:r>
        <w:r w:rsidR="00722EEA" w:rsidRPr="0010796C">
          <w:rPr>
            <w:rStyle w:val="Hyperlink"/>
            <w:rFonts w:ascii="Cambria" w:hAnsi="Cambria"/>
            <w:noProof/>
            <w:sz w:val="20"/>
            <w:szCs w:val="20"/>
            <w:lang w:val="es-ES"/>
          </w:rPr>
          <w:t>HECHOS PROBADOS</w:t>
        </w:r>
        <w:r w:rsidR="00722EEA" w:rsidRPr="0010796C">
          <w:rPr>
            <w:rFonts w:ascii="Cambria" w:hAnsi="Cambria"/>
            <w:noProof/>
            <w:webHidden/>
            <w:sz w:val="20"/>
            <w:szCs w:val="20"/>
            <w:lang w:val="es-ES"/>
          </w:rPr>
          <w:tab/>
        </w:r>
        <w:r w:rsidR="00722EEA" w:rsidRPr="0010796C">
          <w:rPr>
            <w:rFonts w:ascii="Cambria" w:hAnsi="Cambria"/>
            <w:noProof/>
            <w:webHidden/>
            <w:sz w:val="20"/>
            <w:szCs w:val="20"/>
            <w:lang w:val="es-ES"/>
          </w:rPr>
          <w:fldChar w:fldCharType="begin"/>
        </w:r>
        <w:r w:rsidR="00722EEA" w:rsidRPr="0010796C">
          <w:rPr>
            <w:rFonts w:ascii="Cambria" w:hAnsi="Cambria"/>
            <w:noProof/>
            <w:webHidden/>
            <w:sz w:val="20"/>
            <w:szCs w:val="20"/>
            <w:lang w:val="es-ES"/>
          </w:rPr>
          <w:instrText xml:space="preserve"> PAGEREF _Toc486526409 \h </w:instrText>
        </w:r>
        <w:r w:rsidR="00722EEA" w:rsidRPr="0010796C">
          <w:rPr>
            <w:rFonts w:ascii="Cambria" w:hAnsi="Cambria"/>
            <w:noProof/>
            <w:webHidden/>
            <w:sz w:val="20"/>
            <w:szCs w:val="20"/>
            <w:lang w:val="es-ES"/>
          </w:rPr>
        </w:r>
        <w:r w:rsidR="00722EEA" w:rsidRPr="0010796C">
          <w:rPr>
            <w:rFonts w:ascii="Cambria" w:hAnsi="Cambria"/>
            <w:noProof/>
            <w:webHidden/>
            <w:sz w:val="20"/>
            <w:szCs w:val="20"/>
            <w:lang w:val="es-ES"/>
          </w:rPr>
          <w:fldChar w:fldCharType="separate"/>
        </w:r>
        <w:r w:rsidR="005F3F0A" w:rsidRPr="0010796C">
          <w:rPr>
            <w:rFonts w:ascii="Cambria" w:hAnsi="Cambria"/>
            <w:noProof/>
            <w:webHidden/>
            <w:sz w:val="20"/>
            <w:szCs w:val="20"/>
            <w:lang w:val="es-ES"/>
          </w:rPr>
          <w:t>4</w:t>
        </w:r>
        <w:r w:rsidR="00722EEA" w:rsidRPr="0010796C">
          <w:rPr>
            <w:rFonts w:ascii="Cambria" w:hAnsi="Cambria"/>
            <w:noProof/>
            <w:webHidden/>
            <w:sz w:val="20"/>
            <w:szCs w:val="20"/>
            <w:lang w:val="es-ES"/>
          </w:rPr>
          <w:fldChar w:fldCharType="end"/>
        </w:r>
      </w:hyperlink>
    </w:p>
    <w:p w:rsidR="00722EEA" w:rsidRPr="0010796C" w:rsidRDefault="000D4F62">
      <w:pPr>
        <w:pStyle w:val="TOC1"/>
        <w:rPr>
          <w:rFonts w:ascii="Cambria" w:eastAsia="Times New Roman" w:hAnsi="Cambria"/>
          <w:noProof/>
          <w:sz w:val="20"/>
          <w:szCs w:val="20"/>
          <w:lang w:val="es-ES"/>
        </w:rPr>
      </w:pPr>
      <w:hyperlink w:anchor="_Toc486526410" w:history="1">
        <w:r w:rsidR="00722EEA" w:rsidRPr="0010796C">
          <w:rPr>
            <w:rStyle w:val="Hyperlink"/>
            <w:rFonts w:ascii="Cambria" w:hAnsi="Cambria"/>
            <w:noProof/>
            <w:sz w:val="20"/>
            <w:szCs w:val="20"/>
            <w:lang w:val="es-ES"/>
          </w:rPr>
          <w:t>V.</w:t>
        </w:r>
        <w:r w:rsidR="00722EEA" w:rsidRPr="0010796C">
          <w:rPr>
            <w:rFonts w:ascii="Cambria" w:eastAsia="Times New Roman" w:hAnsi="Cambria"/>
            <w:noProof/>
            <w:sz w:val="20"/>
            <w:szCs w:val="20"/>
            <w:lang w:val="es-ES"/>
          </w:rPr>
          <w:tab/>
        </w:r>
        <w:r w:rsidR="00722EEA" w:rsidRPr="0010796C">
          <w:rPr>
            <w:rStyle w:val="Hyperlink"/>
            <w:rFonts w:ascii="Cambria" w:hAnsi="Cambria"/>
            <w:noProof/>
            <w:sz w:val="20"/>
            <w:szCs w:val="20"/>
            <w:lang w:val="es-ES"/>
          </w:rPr>
          <w:t>ANÁLISIS DE FONDO</w:t>
        </w:r>
        <w:r w:rsidR="00722EEA" w:rsidRPr="0010796C">
          <w:rPr>
            <w:rFonts w:ascii="Cambria" w:hAnsi="Cambria"/>
            <w:noProof/>
            <w:webHidden/>
            <w:sz w:val="20"/>
            <w:szCs w:val="20"/>
            <w:lang w:val="es-ES"/>
          </w:rPr>
          <w:tab/>
        </w:r>
        <w:r w:rsidR="00722EEA" w:rsidRPr="0010796C">
          <w:rPr>
            <w:rFonts w:ascii="Cambria" w:hAnsi="Cambria"/>
            <w:noProof/>
            <w:webHidden/>
            <w:sz w:val="20"/>
            <w:szCs w:val="20"/>
            <w:lang w:val="es-ES"/>
          </w:rPr>
          <w:fldChar w:fldCharType="begin"/>
        </w:r>
        <w:r w:rsidR="00722EEA" w:rsidRPr="0010796C">
          <w:rPr>
            <w:rFonts w:ascii="Cambria" w:hAnsi="Cambria"/>
            <w:noProof/>
            <w:webHidden/>
            <w:sz w:val="20"/>
            <w:szCs w:val="20"/>
            <w:lang w:val="es-ES"/>
          </w:rPr>
          <w:instrText xml:space="preserve"> PAGEREF _Toc486526410 \h </w:instrText>
        </w:r>
        <w:r w:rsidR="00722EEA" w:rsidRPr="0010796C">
          <w:rPr>
            <w:rFonts w:ascii="Cambria" w:hAnsi="Cambria"/>
            <w:noProof/>
            <w:webHidden/>
            <w:sz w:val="20"/>
            <w:szCs w:val="20"/>
            <w:lang w:val="es-ES"/>
          </w:rPr>
        </w:r>
        <w:r w:rsidR="00722EEA" w:rsidRPr="0010796C">
          <w:rPr>
            <w:rFonts w:ascii="Cambria" w:hAnsi="Cambria"/>
            <w:noProof/>
            <w:webHidden/>
            <w:sz w:val="20"/>
            <w:szCs w:val="20"/>
            <w:lang w:val="es-ES"/>
          </w:rPr>
          <w:fldChar w:fldCharType="separate"/>
        </w:r>
        <w:r w:rsidR="005F3F0A" w:rsidRPr="0010796C">
          <w:rPr>
            <w:rFonts w:ascii="Cambria" w:hAnsi="Cambria"/>
            <w:noProof/>
            <w:webHidden/>
            <w:sz w:val="20"/>
            <w:szCs w:val="20"/>
            <w:lang w:val="es-ES"/>
          </w:rPr>
          <w:t>27</w:t>
        </w:r>
        <w:r w:rsidR="00722EEA" w:rsidRPr="0010796C">
          <w:rPr>
            <w:rFonts w:ascii="Cambria" w:hAnsi="Cambria"/>
            <w:noProof/>
            <w:webHidden/>
            <w:sz w:val="20"/>
            <w:szCs w:val="20"/>
            <w:lang w:val="es-ES"/>
          </w:rPr>
          <w:fldChar w:fldCharType="end"/>
        </w:r>
      </w:hyperlink>
    </w:p>
    <w:p w:rsidR="00722EEA" w:rsidRPr="0010796C" w:rsidRDefault="000D4F62">
      <w:pPr>
        <w:pStyle w:val="TOC2"/>
        <w:rPr>
          <w:rFonts w:ascii="Cambria" w:eastAsia="Times New Roman" w:hAnsi="Cambria"/>
          <w:noProof/>
          <w:sz w:val="20"/>
          <w:szCs w:val="20"/>
          <w:lang w:val="es-ES"/>
        </w:rPr>
      </w:pPr>
      <w:hyperlink w:anchor="_Toc486526411" w:history="1">
        <w:r w:rsidR="00722EEA" w:rsidRPr="0010796C">
          <w:rPr>
            <w:rStyle w:val="Hyperlink"/>
            <w:rFonts w:ascii="Cambria" w:hAnsi="Cambria"/>
            <w:noProof/>
            <w:sz w:val="20"/>
            <w:szCs w:val="20"/>
            <w:lang w:val="es-ES"/>
          </w:rPr>
          <w:t>A.</w:t>
        </w:r>
        <w:r w:rsidR="00722EEA" w:rsidRPr="0010796C">
          <w:rPr>
            <w:rFonts w:ascii="Cambria" w:eastAsia="Times New Roman" w:hAnsi="Cambria"/>
            <w:noProof/>
            <w:sz w:val="20"/>
            <w:szCs w:val="20"/>
            <w:lang w:val="es-ES"/>
          </w:rPr>
          <w:tab/>
        </w:r>
        <w:r w:rsidR="00722EEA" w:rsidRPr="0010796C">
          <w:rPr>
            <w:rStyle w:val="Hyperlink"/>
            <w:rFonts w:ascii="Cambria" w:hAnsi="Cambria"/>
            <w:noProof/>
            <w:sz w:val="20"/>
            <w:szCs w:val="20"/>
            <w:lang w:val="es-ES"/>
          </w:rPr>
          <w:t>Derecho a la libertad personal y a la presunción de inocencia respecto de la detención preventiva del señor Romero Feris (artículos 7.1, 7.2, 7.3, 7.5, 7.6 y 8.2 de la Convención Americana)</w:t>
        </w:r>
        <w:r w:rsidR="00722EEA" w:rsidRPr="0010796C">
          <w:rPr>
            <w:rFonts w:ascii="Cambria" w:hAnsi="Cambria"/>
            <w:noProof/>
            <w:webHidden/>
            <w:sz w:val="20"/>
            <w:szCs w:val="20"/>
            <w:lang w:val="es-ES"/>
          </w:rPr>
          <w:tab/>
        </w:r>
        <w:r w:rsidR="00722EEA" w:rsidRPr="0010796C">
          <w:rPr>
            <w:rFonts w:ascii="Cambria" w:hAnsi="Cambria"/>
            <w:noProof/>
            <w:webHidden/>
            <w:sz w:val="20"/>
            <w:szCs w:val="20"/>
            <w:lang w:val="es-ES"/>
          </w:rPr>
          <w:fldChar w:fldCharType="begin"/>
        </w:r>
        <w:r w:rsidR="00722EEA" w:rsidRPr="0010796C">
          <w:rPr>
            <w:rFonts w:ascii="Cambria" w:hAnsi="Cambria"/>
            <w:noProof/>
            <w:webHidden/>
            <w:sz w:val="20"/>
            <w:szCs w:val="20"/>
            <w:lang w:val="es-ES"/>
          </w:rPr>
          <w:instrText xml:space="preserve"> PAGEREF _Toc486526411 \h </w:instrText>
        </w:r>
        <w:r w:rsidR="00722EEA" w:rsidRPr="0010796C">
          <w:rPr>
            <w:rFonts w:ascii="Cambria" w:hAnsi="Cambria"/>
            <w:noProof/>
            <w:webHidden/>
            <w:sz w:val="20"/>
            <w:szCs w:val="20"/>
            <w:lang w:val="es-ES"/>
          </w:rPr>
        </w:r>
        <w:r w:rsidR="00722EEA" w:rsidRPr="0010796C">
          <w:rPr>
            <w:rFonts w:ascii="Cambria" w:hAnsi="Cambria"/>
            <w:noProof/>
            <w:webHidden/>
            <w:sz w:val="20"/>
            <w:szCs w:val="20"/>
            <w:lang w:val="es-ES"/>
          </w:rPr>
          <w:fldChar w:fldCharType="separate"/>
        </w:r>
        <w:r w:rsidR="005F3F0A" w:rsidRPr="0010796C">
          <w:rPr>
            <w:rFonts w:ascii="Cambria" w:hAnsi="Cambria"/>
            <w:noProof/>
            <w:webHidden/>
            <w:sz w:val="20"/>
            <w:szCs w:val="20"/>
            <w:lang w:val="es-ES"/>
          </w:rPr>
          <w:t>28</w:t>
        </w:r>
        <w:r w:rsidR="00722EEA" w:rsidRPr="0010796C">
          <w:rPr>
            <w:rFonts w:ascii="Cambria" w:hAnsi="Cambria"/>
            <w:noProof/>
            <w:webHidden/>
            <w:sz w:val="20"/>
            <w:szCs w:val="20"/>
            <w:lang w:val="es-ES"/>
          </w:rPr>
          <w:fldChar w:fldCharType="end"/>
        </w:r>
      </w:hyperlink>
    </w:p>
    <w:p w:rsidR="00722EEA" w:rsidRPr="0010796C" w:rsidRDefault="000D4F62">
      <w:pPr>
        <w:pStyle w:val="TOC3"/>
        <w:tabs>
          <w:tab w:val="left" w:pos="2160"/>
        </w:tabs>
        <w:rPr>
          <w:rFonts w:ascii="Cambria" w:eastAsia="Times New Roman" w:hAnsi="Cambria"/>
          <w:noProof/>
          <w:sz w:val="20"/>
          <w:szCs w:val="20"/>
          <w:lang w:val="es-ES"/>
        </w:rPr>
      </w:pPr>
      <w:hyperlink w:anchor="_Toc486526412" w:history="1">
        <w:r w:rsidR="00722EEA" w:rsidRPr="0010796C">
          <w:rPr>
            <w:rStyle w:val="Hyperlink"/>
            <w:rFonts w:ascii="Cambria" w:hAnsi="Cambria"/>
            <w:noProof/>
            <w:sz w:val="20"/>
            <w:szCs w:val="20"/>
            <w:lang w:val="es-ES"/>
          </w:rPr>
          <w:t>1.</w:t>
        </w:r>
        <w:r w:rsidR="00722EEA" w:rsidRPr="0010796C">
          <w:rPr>
            <w:rFonts w:ascii="Cambria" w:eastAsia="Times New Roman" w:hAnsi="Cambria"/>
            <w:noProof/>
            <w:sz w:val="20"/>
            <w:szCs w:val="20"/>
            <w:lang w:val="es-ES"/>
          </w:rPr>
          <w:tab/>
        </w:r>
        <w:r w:rsidR="00722EEA" w:rsidRPr="0010796C">
          <w:rPr>
            <w:rStyle w:val="Hyperlink"/>
            <w:rFonts w:ascii="Cambria" w:hAnsi="Cambria"/>
            <w:noProof/>
            <w:sz w:val="20"/>
            <w:szCs w:val="20"/>
            <w:lang w:val="es-ES"/>
          </w:rPr>
          <w:t>Consideraciones generales sobre la detención preventiva</w:t>
        </w:r>
        <w:r w:rsidR="00722EEA" w:rsidRPr="0010796C">
          <w:rPr>
            <w:rFonts w:ascii="Cambria" w:hAnsi="Cambria"/>
            <w:noProof/>
            <w:webHidden/>
            <w:sz w:val="20"/>
            <w:szCs w:val="20"/>
            <w:lang w:val="es-ES"/>
          </w:rPr>
          <w:tab/>
        </w:r>
        <w:r w:rsidR="00722EEA" w:rsidRPr="0010796C">
          <w:rPr>
            <w:rFonts w:ascii="Cambria" w:hAnsi="Cambria"/>
            <w:noProof/>
            <w:webHidden/>
            <w:sz w:val="20"/>
            <w:szCs w:val="20"/>
            <w:lang w:val="es-ES"/>
          </w:rPr>
          <w:fldChar w:fldCharType="begin"/>
        </w:r>
        <w:r w:rsidR="00722EEA" w:rsidRPr="0010796C">
          <w:rPr>
            <w:rFonts w:ascii="Cambria" w:hAnsi="Cambria"/>
            <w:noProof/>
            <w:webHidden/>
            <w:sz w:val="20"/>
            <w:szCs w:val="20"/>
            <w:lang w:val="es-ES"/>
          </w:rPr>
          <w:instrText xml:space="preserve"> PAGEREF _Toc486526412 \h </w:instrText>
        </w:r>
        <w:r w:rsidR="00722EEA" w:rsidRPr="0010796C">
          <w:rPr>
            <w:rFonts w:ascii="Cambria" w:hAnsi="Cambria"/>
            <w:noProof/>
            <w:webHidden/>
            <w:sz w:val="20"/>
            <w:szCs w:val="20"/>
            <w:lang w:val="es-ES"/>
          </w:rPr>
        </w:r>
        <w:r w:rsidR="00722EEA" w:rsidRPr="0010796C">
          <w:rPr>
            <w:rFonts w:ascii="Cambria" w:hAnsi="Cambria"/>
            <w:noProof/>
            <w:webHidden/>
            <w:sz w:val="20"/>
            <w:szCs w:val="20"/>
            <w:lang w:val="es-ES"/>
          </w:rPr>
          <w:fldChar w:fldCharType="separate"/>
        </w:r>
        <w:r w:rsidR="005F3F0A" w:rsidRPr="0010796C">
          <w:rPr>
            <w:rFonts w:ascii="Cambria" w:hAnsi="Cambria"/>
            <w:noProof/>
            <w:webHidden/>
            <w:sz w:val="20"/>
            <w:szCs w:val="20"/>
            <w:lang w:val="es-ES"/>
          </w:rPr>
          <w:t>28</w:t>
        </w:r>
        <w:r w:rsidR="00722EEA" w:rsidRPr="0010796C">
          <w:rPr>
            <w:rFonts w:ascii="Cambria" w:hAnsi="Cambria"/>
            <w:noProof/>
            <w:webHidden/>
            <w:sz w:val="20"/>
            <w:szCs w:val="20"/>
            <w:lang w:val="es-ES"/>
          </w:rPr>
          <w:fldChar w:fldCharType="end"/>
        </w:r>
      </w:hyperlink>
    </w:p>
    <w:p w:rsidR="00722EEA" w:rsidRPr="0010796C" w:rsidRDefault="000D4F62">
      <w:pPr>
        <w:pStyle w:val="TOC3"/>
        <w:tabs>
          <w:tab w:val="left" w:pos="2160"/>
        </w:tabs>
        <w:rPr>
          <w:rFonts w:ascii="Cambria" w:eastAsia="Times New Roman" w:hAnsi="Cambria"/>
          <w:noProof/>
          <w:sz w:val="20"/>
          <w:szCs w:val="20"/>
          <w:lang w:val="es-ES"/>
        </w:rPr>
      </w:pPr>
      <w:hyperlink w:anchor="_Toc486526413" w:history="1">
        <w:r w:rsidR="00722EEA" w:rsidRPr="0010796C">
          <w:rPr>
            <w:rStyle w:val="Hyperlink"/>
            <w:rFonts w:ascii="Cambria" w:hAnsi="Cambria"/>
            <w:noProof/>
            <w:sz w:val="20"/>
            <w:szCs w:val="20"/>
            <w:lang w:val="es-ES"/>
          </w:rPr>
          <w:t>2.</w:t>
        </w:r>
        <w:r w:rsidR="00722EEA" w:rsidRPr="0010796C">
          <w:rPr>
            <w:rFonts w:ascii="Cambria" w:eastAsia="Times New Roman" w:hAnsi="Cambria"/>
            <w:noProof/>
            <w:sz w:val="20"/>
            <w:szCs w:val="20"/>
            <w:lang w:val="es-ES"/>
          </w:rPr>
          <w:tab/>
        </w:r>
        <w:r w:rsidR="00722EEA" w:rsidRPr="0010796C">
          <w:rPr>
            <w:rStyle w:val="Hyperlink"/>
            <w:rFonts w:ascii="Cambria" w:hAnsi="Cambria"/>
            <w:noProof/>
            <w:sz w:val="20"/>
            <w:szCs w:val="20"/>
            <w:lang w:val="es-ES"/>
          </w:rPr>
          <w:t>Análisis del presente caso</w:t>
        </w:r>
        <w:r w:rsidR="00722EEA" w:rsidRPr="0010796C">
          <w:rPr>
            <w:rFonts w:ascii="Cambria" w:hAnsi="Cambria"/>
            <w:noProof/>
            <w:webHidden/>
            <w:sz w:val="20"/>
            <w:szCs w:val="20"/>
            <w:lang w:val="es-ES"/>
          </w:rPr>
          <w:tab/>
        </w:r>
        <w:r w:rsidR="00722EEA" w:rsidRPr="0010796C">
          <w:rPr>
            <w:rFonts w:ascii="Cambria" w:hAnsi="Cambria"/>
            <w:noProof/>
            <w:webHidden/>
            <w:sz w:val="20"/>
            <w:szCs w:val="20"/>
            <w:lang w:val="es-ES"/>
          </w:rPr>
          <w:fldChar w:fldCharType="begin"/>
        </w:r>
        <w:r w:rsidR="00722EEA" w:rsidRPr="0010796C">
          <w:rPr>
            <w:rFonts w:ascii="Cambria" w:hAnsi="Cambria"/>
            <w:noProof/>
            <w:webHidden/>
            <w:sz w:val="20"/>
            <w:szCs w:val="20"/>
            <w:lang w:val="es-ES"/>
          </w:rPr>
          <w:instrText xml:space="preserve"> PAGEREF _Toc486526413 \h </w:instrText>
        </w:r>
        <w:r w:rsidR="00722EEA" w:rsidRPr="0010796C">
          <w:rPr>
            <w:rFonts w:ascii="Cambria" w:hAnsi="Cambria"/>
            <w:noProof/>
            <w:webHidden/>
            <w:sz w:val="20"/>
            <w:szCs w:val="20"/>
            <w:lang w:val="es-ES"/>
          </w:rPr>
        </w:r>
        <w:r w:rsidR="00722EEA" w:rsidRPr="0010796C">
          <w:rPr>
            <w:rFonts w:ascii="Cambria" w:hAnsi="Cambria"/>
            <w:noProof/>
            <w:webHidden/>
            <w:sz w:val="20"/>
            <w:szCs w:val="20"/>
            <w:lang w:val="es-ES"/>
          </w:rPr>
          <w:fldChar w:fldCharType="separate"/>
        </w:r>
        <w:r w:rsidR="005F3F0A" w:rsidRPr="0010796C">
          <w:rPr>
            <w:rFonts w:ascii="Cambria" w:hAnsi="Cambria"/>
            <w:noProof/>
            <w:webHidden/>
            <w:sz w:val="20"/>
            <w:szCs w:val="20"/>
            <w:lang w:val="es-ES"/>
          </w:rPr>
          <w:t>30</w:t>
        </w:r>
        <w:r w:rsidR="00722EEA" w:rsidRPr="0010796C">
          <w:rPr>
            <w:rFonts w:ascii="Cambria" w:hAnsi="Cambria"/>
            <w:noProof/>
            <w:webHidden/>
            <w:sz w:val="20"/>
            <w:szCs w:val="20"/>
            <w:lang w:val="es-ES"/>
          </w:rPr>
          <w:fldChar w:fldCharType="end"/>
        </w:r>
      </w:hyperlink>
    </w:p>
    <w:p w:rsidR="00722EEA" w:rsidRPr="0010796C" w:rsidRDefault="000D4F62">
      <w:pPr>
        <w:pStyle w:val="TOC2"/>
        <w:rPr>
          <w:rFonts w:ascii="Cambria" w:eastAsia="Times New Roman" w:hAnsi="Cambria"/>
          <w:noProof/>
          <w:sz w:val="20"/>
          <w:szCs w:val="20"/>
          <w:lang w:val="es-ES"/>
        </w:rPr>
      </w:pPr>
      <w:hyperlink w:anchor="_Toc486526414" w:history="1">
        <w:r w:rsidR="00722EEA" w:rsidRPr="0010796C">
          <w:rPr>
            <w:rStyle w:val="Hyperlink"/>
            <w:rFonts w:ascii="Cambria" w:hAnsi="Cambria"/>
            <w:noProof/>
            <w:sz w:val="20"/>
            <w:szCs w:val="20"/>
            <w:lang w:val="es-ES"/>
          </w:rPr>
          <w:t>B.</w:t>
        </w:r>
        <w:r w:rsidR="00722EEA" w:rsidRPr="0010796C">
          <w:rPr>
            <w:rFonts w:ascii="Cambria" w:eastAsia="Times New Roman" w:hAnsi="Cambria"/>
            <w:noProof/>
            <w:sz w:val="20"/>
            <w:szCs w:val="20"/>
            <w:lang w:val="es-ES"/>
          </w:rPr>
          <w:tab/>
        </w:r>
        <w:r w:rsidR="00722EEA" w:rsidRPr="0010796C">
          <w:rPr>
            <w:rStyle w:val="Hyperlink"/>
            <w:rFonts w:ascii="Cambria" w:hAnsi="Cambria"/>
            <w:noProof/>
            <w:sz w:val="20"/>
            <w:szCs w:val="20"/>
            <w:lang w:val="es-ES"/>
          </w:rPr>
          <w:t>Derechos a las garantías judiciales y protección judicial en el marco de las causas penales seguidas al señor Romero Feris (artículos 8.1 y 25.1 de la Convención)</w:t>
        </w:r>
        <w:r w:rsidR="00722EEA" w:rsidRPr="0010796C">
          <w:rPr>
            <w:rFonts w:ascii="Cambria" w:hAnsi="Cambria"/>
            <w:noProof/>
            <w:webHidden/>
            <w:sz w:val="20"/>
            <w:szCs w:val="20"/>
            <w:lang w:val="es-ES"/>
          </w:rPr>
          <w:tab/>
        </w:r>
        <w:r w:rsidR="00722EEA" w:rsidRPr="0010796C">
          <w:rPr>
            <w:rFonts w:ascii="Cambria" w:hAnsi="Cambria"/>
            <w:noProof/>
            <w:webHidden/>
            <w:sz w:val="20"/>
            <w:szCs w:val="20"/>
            <w:lang w:val="es-ES"/>
          </w:rPr>
          <w:fldChar w:fldCharType="begin"/>
        </w:r>
        <w:r w:rsidR="00722EEA" w:rsidRPr="0010796C">
          <w:rPr>
            <w:rFonts w:ascii="Cambria" w:hAnsi="Cambria"/>
            <w:noProof/>
            <w:webHidden/>
            <w:sz w:val="20"/>
            <w:szCs w:val="20"/>
            <w:lang w:val="es-ES"/>
          </w:rPr>
          <w:instrText xml:space="preserve"> PAGEREF _Toc486526414 \h </w:instrText>
        </w:r>
        <w:r w:rsidR="00722EEA" w:rsidRPr="0010796C">
          <w:rPr>
            <w:rFonts w:ascii="Cambria" w:hAnsi="Cambria"/>
            <w:noProof/>
            <w:webHidden/>
            <w:sz w:val="20"/>
            <w:szCs w:val="20"/>
            <w:lang w:val="es-ES"/>
          </w:rPr>
        </w:r>
        <w:r w:rsidR="00722EEA" w:rsidRPr="0010796C">
          <w:rPr>
            <w:rFonts w:ascii="Cambria" w:hAnsi="Cambria"/>
            <w:noProof/>
            <w:webHidden/>
            <w:sz w:val="20"/>
            <w:szCs w:val="20"/>
            <w:lang w:val="es-ES"/>
          </w:rPr>
          <w:fldChar w:fldCharType="separate"/>
        </w:r>
        <w:r w:rsidR="005F3F0A" w:rsidRPr="0010796C">
          <w:rPr>
            <w:rFonts w:ascii="Cambria" w:hAnsi="Cambria"/>
            <w:noProof/>
            <w:webHidden/>
            <w:sz w:val="20"/>
            <w:szCs w:val="20"/>
            <w:lang w:val="es-ES"/>
          </w:rPr>
          <w:t>31</w:t>
        </w:r>
        <w:r w:rsidR="00722EEA" w:rsidRPr="0010796C">
          <w:rPr>
            <w:rFonts w:ascii="Cambria" w:hAnsi="Cambria"/>
            <w:noProof/>
            <w:webHidden/>
            <w:sz w:val="20"/>
            <w:szCs w:val="20"/>
            <w:lang w:val="es-ES"/>
          </w:rPr>
          <w:fldChar w:fldCharType="end"/>
        </w:r>
      </w:hyperlink>
    </w:p>
    <w:p w:rsidR="00722EEA" w:rsidRPr="0010796C" w:rsidRDefault="000D4F62">
      <w:pPr>
        <w:pStyle w:val="TOC1"/>
        <w:rPr>
          <w:rFonts w:ascii="Cambria" w:eastAsia="Times New Roman" w:hAnsi="Cambria"/>
          <w:noProof/>
          <w:sz w:val="20"/>
          <w:szCs w:val="20"/>
          <w:lang w:val="es-ES"/>
        </w:rPr>
      </w:pPr>
      <w:hyperlink w:anchor="_Toc486526415" w:history="1">
        <w:r w:rsidR="00722EEA" w:rsidRPr="0010796C">
          <w:rPr>
            <w:rStyle w:val="Hyperlink"/>
            <w:rFonts w:ascii="Cambria" w:hAnsi="Cambria"/>
            <w:noProof/>
            <w:sz w:val="20"/>
            <w:szCs w:val="20"/>
            <w:lang w:val="es-ES"/>
          </w:rPr>
          <w:t>VI.</w:t>
        </w:r>
        <w:r w:rsidR="00722EEA" w:rsidRPr="0010796C">
          <w:rPr>
            <w:rFonts w:ascii="Cambria" w:eastAsia="Times New Roman" w:hAnsi="Cambria"/>
            <w:noProof/>
            <w:sz w:val="20"/>
            <w:szCs w:val="20"/>
            <w:lang w:val="es-ES"/>
          </w:rPr>
          <w:tab/>
        </w:r>
        <w:r w:rsidR="00722EEA" w:rsidRPr="0010796C">
          <w:rPr>
            <w:rStyle w:val="Hyperlink"/>
            <w:rFonts w:ascii="Cambria" w:hAnsi="Cambria"/>
            <w:noProof/>
            <w:sz w:val="20"/>
            <w:szCs w:val="20"/>
            <w:lang w:val="es-ES"/>
          </w:rPr>
          <w:t>CONCLUSIONES</w:t>
        </w:r>
        <w:r w:rsidR="00722EEA" w:rsidRPr="0010796C">
          <w:rPr>
            <w:rFonts w:ascii="Cambria" w:hAnsi="Cambria"/>
            <w:noProof/>
            <w:webHidden/>
            <w:sz w:val="20"/>
            <w:szCs w:val="20"/>
            <w:lang w:val="es-ES"/>
          </w:rPr>
          <w:tab/>
        </w:r>
        <w:r w:rsidR="00722EEA" w:rsidRPr="0010796C">
          <w:rPr>
            <w:rFonts w:ascii="Cambria" w:hAnsi="Cambria"/>
            <w:noProof/>
            <w:webHidden/>
            <w:sz w:val="20"/>
            <w:szCs w:val="20"/>
            <w:lang w:val="es-ES"/>
          </w:rPr>
          <w:fldChar w:fldCharType="begin"/>
        </w:r>
        <w:r w:rsidR="00722EEA" w:rsidRPr="0010796C">
          <w:rPr>
            <w:rFonts w:ascii="Cambria" w:hAnsi="Cambria"/>
            <w:noProof/>
            <w:webHidden/>
            <w:sz w:val="20"/>
            <w:szCs w:val="20"/>
            <w:lang w:val="es-ES"/>
          </w:rPr>
          <w:instrText xml:space="preserve"> PAGEREF _Toc486526415 \h </w:instrText>
        </w:r>
        <w:r w:rsidR="00722EEA" w:rsidRPr="0010796C">
          <w:rPr>
            <w:rFonts w:ascii="Cambria" w:hAnsi="Cambria"/>
            <w:noProof/>
            <w:webHidden/>
            <w:sz w:val="20"/>
            <w:szCs w:val="20"/>
            <w:lang w:val="es-ES"/>
          </w:rPr>
        </w:r>
        <w:r w:rsidR="00722EEA" w:rsidRPr="0010796C">
          <w:rPr>
            <w:rFonts w:ascii="Cambria" w:hAnsi="Cambria"/>
            <w:noProof/>
            <w:webHidden/>
            <w:sz w:val="20"/>
            <w:szCs w:val="20"/>
            <w:lang w:val="es-ES"/>
          </w:rPr>
          <w:fldChar w:fldCharType="separate"/>
        </w:r>
        <w:r w:rsidR="005F3F0A" w:rsidRPr="0010796C">
          <w:rPr>
            <w:rFonts w:ascii="Cambria" w:hAnsi="Cambria"/>
            <w:noProof/>
            <w:webHidden/>
            <w:sz w:val="20"/>
            <w:szCs w:val="20"/>
            <w:lang w:val="es-ES"/>
          </w:rPr>
          <w:t>36</w:t>
        </w:r>
        <w:r w:rsidR="00722EEA" w:rsidRPr="0010796C">
          <w:rPr>
            <w:rFonts w:ascii="Cambria" w:hAnsi="Cambria"/>
            <w:noProof/>
            <w:webHidden/>
            <w:sz w:val="20"/>
            <w:szCs w:val="20"/>
            <w:lang w:val="es-ES"/>
          </w:rPr>
          <w:fldChar w:fldCharType="end"/>
        </w:r>
      </w:hyperlink>
    </w:p>
    <w:p w:rsidR="00722EEA" w:rsidRPr="0010796C" w:rsidRDefault="000D4F62">
      <w:pPr>
        <w:pStyle w:val="TOC1"/>
        <w:rPr>
          <w:rFonts w:ascii="Cambria" w:eastAsia="Times New Roman" w:hAnsi="Cambria"/>
          <w:noProof/>
          <w:sz w:val="20"/>
          <w:szCs w:val="20"/>
          <w:lang w:val="es-ES"/>
        </w:rPr>
      </w:pPr>
      <w:hyperlink w:anchor="_Toc486526416" w:history="1">
        <w:r w:rsidR="00722EEA" w:rsidRPr="0010796C">
          <w:rPr>
            <w:rStyle w:val="Hyperlink"/>
            <w:rFonts w:ascii="Cambria" w:hAnsi="Cambria"/>
            <w:noProof/>
            <w:sz w:val="20"/>
            <w:szCs w:val="20"/>
            <w:lang w:val="es-ES"/>
          </w:rPr>
          <w:t>VII.</w:t>
        </w:r>
        <w:r w:rsidR="00722EEA" w:rsidRPr="0010796C">
          <w:rPr>
            <w:rFonts w:ascii="Cambria" w:eastAsia="Times New Roman" w:hAnsi="Cambria"/>
            <w:noProof/>
            <w:sz w:val="20"/>
            <w:szCs w:val="20"/>
            <w:lang w:val="es-ES"/>
          </w:rPr>
          <w:tab/>
        </w:r>
        <w:r w:rsidR="00722EEA" w:rsidRPr="0010796C">
          <w:rPr>
            <w:rStyle w:val="Hyperlink"/>
            <w:rFonts w:ascii="Cambria" w:hAnsi="Cambria"/>
            <w:noProof/>
            <w:sz w:val="20"/>
            <w:szCs w:val="20"/>
            <w:lang w:val="es-ES"/>
          </w:rPr>
          <w:t>RECOMENDACIONES</w:t>
        </w:r>
        <w:r w:rsidR="00722EEA" w:rsidRPr="0010796C">
          <w:rPr>
            <w:rFonts w:ascii="Cambria" w:hAnsi="Cambria"/>
            <w:noProof/>
            <w:webHidden/>
            <w:sz w:val="20"/>
            <w:szCs w:val="20"/>
            <w:lang w:val="es-ES"/>
          </w:rPr>
          <w:tab/>
        </w:r>
        <w:r w:rsidR="00722EEA" w:rsidRPr="0010796C">
          <w:rPr>
            <w:rFonts w:ascii="Cambria" w:hAnsi="Cambria"/>
            <w:noProof/>
            <w:webHidden/>
            <w:sz w:val="20"/>
            <w:szCs w:val="20"/>
            <w:lang w:val="es-ES"/>
          </w:rPr>
          <w:fldChar w:fldCharType="begin"/>
        </w:r>
        <w:r w:rsidR="00722EEA" w:rsidRPr="0010796C">
          <w:rPr>
            <w:rFonts w:ascii="Cambria" w:hAnsi="Cambria"/>
            <w:noProof/>
            <w:webHidden/>
            <w:sz w:val="20"/>
            <w:szCs w:val="20"/>
            <w:lang w:val="es-ES"/>
          </w:rPr>
          <w:instrText xml:space="preserve"> PAGEREF _Toc486526416 \h </w:instrText>
        </w:r>
        <w:r w:rsidR="00722EEA" w:rsidRPr="0010796C">
          <w:rPr>
            <w:rFonts w:ascii="Cambria" w:hAnsi="Cambria"/>
            <w:noProof/>
            <w:webHidden/>
            <w:sz w:val="20"/>
            <w:szCs w:val="20"/>
            <w:lang w:val="es-ES"/>
          </w:rPr>
        </w:r>
        <w:r w:rsidR="00722EEA" w:rsidRPr="0010796C">
          <w:rPr>
            <w:rFonts w:ascii="Cambria" w:hAnsi="Cambria"/>
            <w:noProof/>
            <w:webHidden/>
            <w:sz w:val="20"/>
            <w:szCs w:val="20"/>
            <w:lang w:val="es-ES"/>
          </w:rPr>
          <w:fldChar w:fldCharType="separate"/>
        </w:r>
        <w:r w:rsidR="005F3F0A" w:rsidRPr="0010796C">
          <w:rPr>
            <w:rFonts w:ascii="Cambria" w:hAnsi="Cambria"/>
            <w:noProof/>
            <w:webHidden/>
            <w:sz w:val="20"/>
            <w:szCs w:val="20"/>
            <w:lang w:val="es-ES"/>
          </w:rPr>
          <w:t>36</w:t>
        </w:r>
        <w:r w:rsidR="00722EEA" w:rsidRPr="0010796C">
          <w:rPr>
            <w:rFonts w:ascii="Cambria" w:hAnsi="Cambria"/>
            <w:noProof/>
            <w:webHidden/>
            <w:sz w:val="20"/>
            <w:szCs w:val="20"/>
            <w:lang w:val="es-ES"/>
          </w:rPr>
          <w:fldChar w:fldCharType="end"/>
        </w:r>
      </w:hyperlink>
    </w:p>
    <w:p w:rsidR="00A6731A" w:rsidRPr="0010796C" w:rsidRDefault="00A26EAA" w:rsidP="00A26EAA">
      <w:pPr>
        <w:jc w:val="center"/>
        <w:rPr>
          <w:rFonts w:ascii="Cambria" w:hAnsi="Cambria" w:cs="Calibri"/>
          <w:b/>
          <w:sz w:val="20"/>
          <w:szCs w:val="20"/>
          <w:lang w:val="es-ES"/>
        </w:rPr>
      </w:pPr>
      <w:r w:rsidRPr="0010796C">
        <w:rPr>
          <w:rFonts w:ascii="Cambria" w:hAnsi="Cambria" w:cs="Calibri"/>
          <w:sz w:val="20"/>
          <w:szCs w:val="20"/>
          <w:lang w:val="es-ES"/>
        </w:rPr>
        <w:fldChar w:fldCharType="end"/>
      </w:r>
      <w:r w:rsidR="00722C9F" w:rsidRPr="0010796C">
        <w:rPr>
          <w:rFonts w:ascii="Cambria" w:hAnsi="Cambria" w:cs="Calibri"/>
          <w:sz w:val="20"/>
          <w:szCs w:val="20"/>
          <w:lang w:val="es-ES"/>
        </w:rPr>
        <w:br w:type="page"/>
      </w:r>
      <w:r w:rsidR="00A6731A" w:rsidRPr="0010796C">
        <w:rPr>
          <w:rFonts w:ascii="Cambria" w:hAnsi="Cambria"/>
          <w:b/>
          <w:sz w:val="18"/>
          <w:szCs w:val="18"/>
          <w:lang w:val="es-ES"/>
        </w:rPr>
        <w:lastRenderedPageBreak/>
        <w:t xml:space="preserve">INFORME No. </w:t>
      </w:r>
      <w:r w:rsidR="006A4D75" w:rsidRPr="0010796C">
        <w:rPr>
          <w:rFonts w:ascii="Cambria" w:hAnsi="Cambria"/>
          <w:b/>
          <w:sz w:val="18"/>
          <w:szCs w:val="18"/>
          <w:lang w:val="es-ES"/>
        </w:rPr>
        <w:t>73</w:t>
      </w:r>
      <w:r w:rsidR="00A6731A" w:rsidRPr="0010796C">
        <w:rPr>
          <w:rFonts w:ascii="Cambria" w:hAnsi="Cambria"/>
          <w:b/>
          <w:sz w:val="18"/>
          <w:szCs w:val="18"/>
          <w:lang w:val="es-ES"/>
        </w:rPr>
        <w:t>/17</w:t>
      </w:r>
    </w:p>
    <w:p w:rsidR="00A6731A" w:rsidRPr="0010796C" w:rsidRDefault="00A6731A" w:rsidP="00A26EAA">
      <w:pPr>
        <w:jc w:val="center"/>
        <w:rPr>
          <w:rFonts w:ascii="Cambria" w:hAnsi="Cambria"/>
          <w:b/>
          <w:bCs/>
          <w:sz w:val="18"/>
          <w:szCs w:val="18"/>
          <w:lang w:val="es-ES"/>
        </w:rPr>
      </w:pPr>
      <w:r w:rsidRPr="0010796C">
        <w:rPr>
          <w:rFonts w:ascii="Cambria" w:hAnsi="Cambria"/>
          <w:b/>
          <w:bCs/>
          <w:sz w:val="18"/>
          <w:szCs w:val="18"/>
          <w:lang w:val="es-ES"/>
        </w:rPr>
        <w:t>CASO 12.984</w:t>
      </w:r>
    </w:p>
    <w:p w:rsidR="00A6731A" w:rsidRPr="0010796C" w:rsidRDefault="00A6731A" w:rsidP="00A26EAA">
      <w:pPr>
        <w:jc w:val="center"/>
        <w:rPr>
          <w:rFonts w:ascii="Cambria" w:hAnsi="Cambria" w:cs="Arial"/>
          <w:bCs/>
          <w:sz w:val="18"/>
          <w:szCs w:val="18"/>
          <w:lang w:val="es-ES"/>
        </w:rPr>
      </w:pPr>
      <w:r w:rsidRPr="0010796C">
        <w:rPr>
          <w:rFonts w:ascii="Cambria" w:hAnsi="Cambria" w:cs="Arial"/>
          <w:bCs/>
          <w:sz w:val="18"/>
          <w:szCs w:val="18"/>
          <w:lang w:val="es-ES"/>
        </w:rPr>
        <w:t>FONDO</w:t>
      </w:r>
    </w:p>
    <w:p w:rsidR="00A6731A" w:rsidRPr="0010796C" w:rsidRDefault="00A6731A" w:rsidP="00A26EAA">
      <w:pPr>
        <w:jc w:val="center"/>
        <w:rPr>
          <w:rFonts w:ascii="Cambria" w:hAnsi="Cambria" w:cs="Arial"/>
          <w:bCs/>
          <w:sz w:val="18"/>
          <w:szCs w:val="18"/>
          <w:lang w:val="es-ES"/>
        </w:rPr>
      </w:pPr>
      <w:r w:rsidRPr="0010796C">
        <w:rPr>
          <w:rFonts w:ascii="Cambria" w:hAnsi="Cambria" w:cs="Arial"/>
          <w:bCs/>
          <w:sz w:val="18"/>
          <w:szCs w:val="18"/>
          <w:lang w:val="es-ES"/>
        </w:rPr>
        <w:t>RAÚL ROLANDO ROMERO FERIS</w:t>
      </w:r>
    </w:p>
    <w:p w:rsidR="00A6731A" w:rsidRPr="0010796C" w:rsidRDefault="00A6731A" w:rsidP="00A26EAA">
      <w:pPr>
        <w:jc w:val="center"/>
        <w:rPr>
          <w:rFonts w:ascii="Cambria" w:hAnsi="Cambria" w:cs="Arial"/>
          <w:bCs/>
          <w:sz w:val="18"/>
          <w:szCs w:val="18"/>
          <w:lang w:val="es-ES"/>
        </w:rPr>
      </w:pPr>
      <w:r w:rsidRPr="0010796C">
        <w:rPr>
          <w:rFonts w:ascii="Cambria" w:hAnsi="Cambria" w:cs="Arial"/>
          <w:bCs/>
          <w:sz w:val="18"/>
          <w:szCs w:val="18"/>
          <w:lang w:val="es-ES"/>
        </w:rPr>
        <w:t>ARGENTINA</w:t>
      </w:r>
    </w:p>
    <w:p w:rsidR="006A4D75" w:rsidRPr="0010796C" w:rsidRDefault="006A4D75" w:rsidP="006A4D75">
      <w:pPr>
        <w:jc w:val="center"/>
        <w:rPr>
          <w:rFonts w:ascii="Cambria" w:hAnsi="Cambria" w:cs="Arial"/>
          <w:bCs/>
          <w:sz w:val="18"/>
          <w:szCs w:val="18"/>
          <w:lang w:val="es-ES"/>
        </w:rPr>
      </w:pPr>
      <w:r w:rsidRPr="0010796C">
        <w:rPr>
          <w:rFonts w:ascii="Cambria" w:hAnsi="Cambria" w:cs="Arial"/>
          <w:bCs/>
          <w:sz w:val="18"/>
          <w:szCs w:val="18"/>
          <w:lang w:val="es-ES"/>
        </w:rPr>
        <w:t>5 DE JULIO DE 2017</w:t>
      </w:r>
    </w:p>
    <w:p w:rsidR="00DB43BD" w:rsidRPr="0010796C" w:rsidRDefault="00DB43BD" w:rsidP="000D044A">
      <w:pPr>
        <w:ind w:firstLine="567"/>
        <w:jc w:val="both"/>
        <w:rPr>
          <w:rFonts w:ascii="Cambria" w:hAnsi="Cambria" w:cs="Arial"/>
          <w:sz w:val="20"/>
          <w:szCs w:val="20"/>
          <w:lang w:val="es-ES"/>
        </w:rPr>
      </w:pPr>
    </w:p>
    <w:p w:rsidR="00DB43BD" w:rsidRPr="0010796C" w:rsidRDefault="00DB43BD" w:rsidP="000D044A">
      <w:pPr>
        <w:ind w:firstLine="567"/>
        <w:jc w:val="both"/>
        <w:rPr>
          <w:rFonts w:ascii="Cambria" w:hAnsi="Cambria" w:cs="Arial"/>
          <w:sz w:val="20"/>
          <w:szCs w:val="20"/>
          <w:lang w:val="es-ES"/>
        </w:rPr>
      </w:pPr>
    </w:p>
    <w:p w:rsidR="00DB43BD" w:rsidRPr="0010796C" w:rsidRDefault="00DB43BD" w:rsidP="006B7EB8">
      <w:pPr>
        <w:pStyle w:val="Heading1"/>
        <w:rPr>
          <w:lang w:val="es-ES"/>
        </w:rPr>
      </w:pPr>
      <w:bookmarkStart w:id="1" w:name="_Toc370830569"/>
      <w:bookmarkStart w:id="2" w:name="_Toc370831280"/>
      <w:bookmarkStart w:id="3" w:name="_Toc412635569"/>
      <w:bookmarkStart w:id="4" w:name="_Toc416685625"/>
      <w:bookmarkStart w:id="5" w:name="_Toc346449077"/>
      <w:bookmarkStart w:id="6" w:name="_Toc474398484"/>
      <w:bookmarkStart w:id="7" w:name="_Toc486526404"/>
      <w:r w:rsidRPr="0010796C">
        <w:rPr>
          <w:lang w:val="es-ES"/>
        </w:rPr>
        <w:t>RESUMEN</w:t>
      </w:r>
      <w:bookmarkEnd w:id="1"/>
      <w:bookmarkEnd w:id="2"/>
      <w:bookmarkEnd w:id="3"/>
      <w:bookmarkEnd w:id="4"/>
      <w:bookmarkEnd w:id="5"/>
      <w:bookmarkEnd w:id="6"/>
      <w:bookmarkEnd w:id="7"/>
    </w:p>
    <w:p w:rsidR="00DB43BD" w:rsidRPr="0010796C" w:rsidRDefault="00DB43BD" w:rsidP="00D8343A">
      <w:pPr>
        <w:ind w:firstLine="567"/>
        <w:jc w:val="both"/>
        <w:rPr>
          <w:rFonts w:ascii="Cambria" w:hAnsi="Cambria" w:cs="Arial"/>
          <w:sz w:val="20"/>
          <w:szCs w:val="20"/>
          <w:lang w:val="es-ES"/>
        </w:rPr>
      </w:pPr>
    </w:p>
    <w:p w:rsidR="00DB43BD" w:rsidRPr="0010796C" w:rsidRDefault="00DB43BD" w:rsidP="00D8343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 xml:space="preserve">El </w:t>
      </w:r>
      <w:r w:rsidR="00A6731A" w:rsidRPr="0010796C">
        <w:rPr>
          <w:rFonts w:ascii="Cambria" w:hAnsi="Cambria"/>
          <w:sz w:val="20"/>
          <w:szCs w:val="20"/>
          <w:lang w:val="es-ES"/>
        </w:rPr>
        <w:t>24 de agosto</w:t>
      </w:r>
      <w:r w:rsidR="00BA14F4" w:rsidRPr="0010796C">
        <w:rPr>
          <w:rFonts w:ascii="Cambria" w:hAnsi="Cambria"/>
          <w:sz w:val="20"/>
          <w:szCs w:val="20"/>
          <w:lang w:val="es-ES"/>
        </w:rPr>
        <w:t xml:space="preserve"> de </w:t>
      </w:r>
      <w:r w:rsidR="00A6731A" w:rsidRPr="0010796C">
        <w:rPr>
          <w:rFonts w:ascii="Cambria" w:hAnsi="Cambria"/>
          <w:sz w:val="20"/>
          <w:szCs w:val="20"/>
          <w:lang w:val="es-ES"/>
        </w:rPr>
        <w:t>2001</w:t>
      </w:r>
      <w:r w:rsidRPr="0010796C">
        <w:rPr>
          <w:rFonts w:ascii="Cambria" w:hAnsi="Cambria"/>
          <w:sz w:val="20"/>
          <w:szCs w:val="20"/>
          <w:lang w:val="es-ES"/>
        </w:rPr>
        <w:t xml:space="preserve"> la Comisión Interamericana de Derechos Humanos (en adelante “la Comisión”, “la Comisión Interamericana” o “la CIDH”) recibió </w:t>
      </w:r>
      <w:r w:rsidR="00BA14F4" w:rsidRPr="0010796C">
        <w:rPr>
          <w:rFonts w:ascii="Cambria" w:hAnsi="Cambria"/>
          <w:sz w:val="20"/>
          <w:szCs w:val="20"/>
          <w:lang w:val="es-ES"/>
        </w:rPr>
        <w:t xml:space="preserve">una </w:t>
      </w:r>
      <w:r w:rsidR="00EC016B" w:rsidRPr="0010796C">
        <w:rPr>
          <w:rFonts w:ascii="Cambria" w:hAnsi="Cambria"/>
          <w:sz w:val="20"/>
          <w:szCs w:val="20"/>
          <w:lang w:val="es-ES"/>
        </w:rPr>
        <w:t>petici</w:t>
      </w:r>
      <w:r w:rsidR="00BA14F4" w:rsidRPr="0010796C">
        <w:rPr>
          <w:rFonts w:ascii="Cambria" w:hAnsi="Cambria"/>
          <w:sz w:val="20"/>
          <w:szCs w:val="20"/>
          <w:lang w:val="es-ES"/>
        </w:rPr>
        <w:t>ón</w:t>
      </w:r>
      <w:r w:rsidRPr="0010796C">
        <w:rPr>
          <w:rFonts w:ascii="Cambria" w:hAnsi="Cambria"/>
          <w:sz w:val="20"/>
          <w:szCs w:val="20"/>
          <w:lang w:val="es-ES"/>
        </w:rPr>
        <w:t xml:space="preserve"> presentada</w:t>
      </w:r>
      <w:r w:rsidR="00BA14F4" w:rsidRPr="0010796C">
        <w:rPr>
          <w:rFonts w:ascii="Cambria" w:hAnsi="Cambria"/>
          <w:sz w:val="20"/>
          <w:szCs w:val="20"/>
          <w:lang w:val="es-ES"/>
        </w:rPr>
        <w:t xml:space="preserve"> por </w:t>
      </w:r>
      <w:r w:rsidR="00A6731A" w:rsidRPr="0010796C">
        <w:rPr>
          <w:rFonts w:ascii="Cambria" w:hAnsi="Cambria"/>
          <w:sz w:val="20"/>
          <w:szCs w:val="20"/>
          <w:lang w:val="es-ES"/>
        </w:rPr>
        <w:t xml:space="preserve">Mariano Cuneo </w:t>
      </w:r>
      <w:proofErr w:type="spellStart"/>
      <w:r w:rsidR="00A6731A" w:rsidRPr="0010796C">
        <w:rPr>
          <w:rFonts w:ascii="Cambria" w:hAnsi="Cambria"/>
          <w:sz w:val="20"/>
          <w:szCs w:val="20"/>
          <w:lang w:val="es-ES"/>
        </w:rPr>
        <w:t>Libarona</w:t>
      </w:r>
      <w:proofErr w:type="spellEnd"/>
      <w:r w:rsidR="00A6731A" w:rsidRPr="0010796C">
        <w:rPr>
          <w:rFonts w:ascii="Cambria" w:hAnsi="Cambria"/>
          <w:sz w:val="20"/>
          <w:szCs w:val="20"/>
          <w:lang w:val="es-ES"/>
        </w:rPr>
        <w:t xml:space="preserve">, Cristian Cuneo </w:t>
      </w:r>
      <w:proofErr w:type="spellStart"/>
      <w:r w:rsidR="00A6731A" w:rsidRPr="0010796C">
        <w:rPr>
          <w:rFonts w:ascii="Cambria" w:hAnsi="Cambria"/>
          <w:sz w:val="20"/>
          <w:szCs w:val="20"/>
          <w:lang w:val="es-ES"/>
        </w:rPr>
        <w:t>Libarona</w:t>
      </w:r>
      <w:proofErr w:type="spellEnd"/>
      <w:r w:rsidR="00A6731A" w:rsidRPr="0010796C">
        <w:rPr>
          <w:rFonts w:ascii="Cambria" w:hAnsi="Cambria"/>
          <w:sz w:val="20"/>
          <w:szCs w:val="20"/>
          <w:lang w:val="es-ES"/>
        </w:rPr>
        <w:t>, José María Arrieta y Jorge Eduardo Alcántar</w:t>
      </w:r>
      <w:r w:rsidR="00D85EC6" w:rsidRPr="0010796C">
        <w:rPr>
          <w:rFonts w:ascii="Cambria" w:hAnsi="Cambria"/>
          <w:sz w:val="20"/>
          <w:szCs w:val="20"/>
          <w:lang w:val="es-ES"/>
        </w:rPr>
        <w:t>a</w:t>
      </w:r>
      <w:r w:rsidR="00A6731A" w:rsidRPr="0010796C">
        <w:rPr>
          <w:rStyle w:val="FootnoteReference"/>
          <w:rFonts w:ascii="Cambria" w:hAnsi="Cambria"/>
          <w:sz w:val="20"/>
          <w:szCs w:val="20"/>
          <w:lang w:val="es-ES"/>
        </w:rPr>
        <w:footnoteReference w:id="2"/>
      </w:r>
      <w:r w:rsidR="00BA14F4" w:rsidRPr="0010796C">
        <w:rPr>
          <w:rFonts w:ascii="Cambria" w:hAnsi="Cambria"/>
          <w:sz w:val="20"/>
          <w:szCs w:val="20"/>
          <w:lang w:val="es-ES"/>
        </w:rPr>
        <w:t xml:space="preserve"> (en adelante “el peticionario”</w:t>
      </w:r>
      <w:r w:rsidR="009129E3" w:rsidRPr="0010796C">
        <w:rPr>
          <w:rFonts w:ascii="Cambria" w:hAnsi="Cambria"/>
          <w:sz w:val="20"/>
          <w:szCs w:val="20"/>
          <w:lang w:val="es-ES"/>
        </w:rPr>
        <w:t>)</w:t>
      </w:r>
      <w:r w:rsidR="00BA14F4" w:rsidRPr="0010796C">
        <w:rPr>
          <w:rFonts w:ascii="Cambria" w:hAnsi="Cambria"/>
          <w:sz w:val="20"/>
          <w:szCs w:val="20"/>
          <w:lang w:val="es-ES"/>
        </w:rPr>
        <w:t>. En dicha petición se alegó</w:t>
      </w:r>
      <w:r w:rsidRPr="0010796C">
        <w:rPr>
          <w:rFonts w:ascii="Cambria" w:hAnsi="Cambria"/>
          <w:sz w:val="20"/>
          <w:szCs w:val="20"/>
          <w:lang w:val="es-ES"/>
        </w:rPr>
        <w:t xml:space="preserve"> la responsabilidad internacional de la República </w:t>
      </w:r>
      <w:r w:rsidR="00A6731A" w:rsidRPr="0010796C">
        <w:rPr>
          <w:rFonts w:ascii="Cambria" w:hAnsi="Cambria"/>
          <w:sz w:val="20"/>
          <w:szCs w:val="20"/>
          <w:lang w:val="es-ES"/>
        </w:rPr>
        <w:t>de Argentina</w:t>
      </w:r>
      <w:r w:rsidRPr="0010796C">
        <w:rPr>
          <w:rFonts w:ascii="Cambria" w:hAnsi="Cambria"/>
          <w:sz w:val="20"/>
          <w:szCs w:val="20"/>
          <w:lang w:val="es-ES"/>
        </w:rPr>
        <w:t xml:space="preserve"> (en adelante “el Estado”, “el Estado </w:t>
      </w:r>
      <w:r w:rsidR="00A6731A" w:rsidRPr="0010796C">
        <w:rPr>
          <w:rFonts w:ascii="Cambria" w:hAnsi="Cambria"/>
          <w:sz w:val="20"/>
          <w:szCs w:val="20"/>
          <w:lang w:val="es-ES"/>
        </w:rPr>
        <w:t>argentino</w:t>
      </w:r>
      <w:r w:rsidRPr="0010796C">
        <w:rPr>
          <w:rFonts w:ascii="Cambria" w:hAnsi="Cambria"/>
          <w:sz w:val="20"/>
          <w:szCs w:val="20"/>
          <w:lang w:val="es-ES"/>
        </w:rPr>
        <w:t>” o “</w:t>
      </w:r>
      <w:r w:rsidR="00A6731A" w:rsidRPr="0010796C">
        <w:rPr>
          <w:rFonts w:ascii="Cambria" w:hAnsi="Cambria"/>
          <w:sz w:val="20"/>
          <w:szCs w:val="20"/>
          <w:lang w:val="es-ES"/>
        </w:rPr>
        <w:t>Argentina</w:t>
      </w:r>
      <w:r w:rsidR="00BA14F4" w:rsidRPr="0010796C">
        <w:rPr>
          <w:rFonts w:ascii="Cambria" w:hAnsi="Cambria"/>
          <w:sz w:val="20"/>
          <w:szCs w:val="20"/>
          <w:lang w:val="es-ES"/>
        </w:rPr>
        <w:t xml:space="preserve">”) por </w:t>
      </w:r>
      <w:r w:rsidR="00AF40B0" w:rsidRPr="0010796C">
        <w:rPr>
          <w:rFonts w:ascii="Cambria" w:hAnsi="Cambria"/>
          <w:sz w:val="20"/>
          <w:szCs w:val="20"/>
          <w:lang w:val="es-ES"/>
        </w:rPr>
        <w:t xml:space="preserve">violaciones a la libertad personal y al debido proceso en el marco del proceso penal </w:t>
      </w:r>
      <w:r w:rsidR="00A6731A" w:rsidRPr="0010796C">
        <w:rPr>
          <w:rFonts w:ascii="Cambria" w:hAnsi="Cambria"/>
          <w:sz w:val="20"/>
          <w:szCs w:val="20"/>
          <w:lang w:val="es-ES"/>
        </w:rPr>
        <w:t xml:space="preserve">en contra de Raúl Rolando Romero </w:t>
      </w:r>
      <w:proofErr w:type="spellStart"/>
      <w:r w:rsidR="00A6731A" w:rsidRPr="0010796C">
        <w:rPr>
          <w:rFonts w:ascii="Cambria" w:hAnsi="Cambria"/>
          <w:sz w:val="20"/>
          <w:szCs w:val="20"/>
          <w:lang w:val="es-ES"/>
        </w:rPr>
        <w:t>Feris</w:t>
      </w:r>
      <w:proofErr w:type="spellEnd"/>
      <w:r w:rsidR="00A6731A" w:rsidRPr="0010796C">
        <w:rPr>
          <w:rFonts w:ascii="Cambria" w:hAnsi="Cambria"/>
          <w:sz w:val="20"/>
          <w:szCs w:val="20"/>
          <w:lang w:val="es-ES"/>
        </w:rPr>
        <w:t>, (en adelante la “presunta víctima”), iniciado en 1999, en la Provincia de Corrientes.</w:t>
      </w:r>
    </w:p>
    <w:p w:rsidR="00DB43BD" w:rsidRPr="0010796C" w:rsidRDefault="00DB43BD" w:rsidP="00D8343A">
      <w:pPr>
        <w:pStyle w:val="BodyTextIndent"/>
        <w:ind w:left="0" w:firstLine="567"/>
        <w:rPr>
          <w:rFonts w:ascii="Cambria" w:hAnsi="Cambria"/>
          <w:sz w:val="20"/>
          <w:szCs w:val="20"/>
          <w:lang w:val="es-ES"/>
        </w:rPr>
      </w:pPr>
    </w:p>
    <w:p w:rsidR="00A6731A" w:rsidRPr="0010796C" w:rsidRDefault="00BA14F4" w:rsidP="00D8343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 xml:space="preserve">El Estado </w:t>
      </w:r>
      <w:r w:rsidR="00B51F9B" w:rsidRPr="0010796C">
        <w:rPr>
          <w:rFonts w:ascii="Cambria" w:hAnsi="Cambria"/>
          <w:sz w:val="20"/>
          <w:szCs w:val="20"/>
          <w:lang w:val="es-ES"/>
        </w:rPr>
        <w:t>indicó que no tiene responsabilidad internacional en el presente caso</w:t>
      </w:r>
      <w:r w:rsidR="00A6731A" w:rsidRPr="0010796C">
        <w:rPr>
          <w:rFonts w:ascii="Cambria" w:hAnsi="Cambria"/>
          <w:sz w:val="20"/>
          <w:szCs w:val="20"/>
          <w:lang w:val="es-ES"/>
        </w:rPr>
        <w:t>.</w:t>
      </w:r>
      <w:r w:rsidR="00B51F9B" w:rsidRPr="0010796C">
        <w:rPr>
          <w:rFonts w:ascii="Cambria" w:hAnsi="Cambria"/>
          <w:sz w:val="20"/>
          <w:szCs w:val="20"/>
          <w:lang w:val="es-ES"/>
        </w:rPr>
        <w:t xml:space="preserve"> Ello debido a que las presuntas violaciones alegadas por el peticionario fueron debidamente analizadas por las instancias judiciales internas. El Estado agregó que el proceso penal seguido al señor Romero se realizó conforme al debido proceso y </w:t>
      </w:r>
      <w:r w:rsidR="007006DE" w:rsidRPr="0010796C">
        <w:rPr>
          <w:rFonts w:ascii="Cambria" w:hAnsi="Cambria"/>
          <w:sz w:val="20"/>
          <w:szCs w:val="20"/>
          <w:lang w:val="es-ES"/>
        </w:rPr>
        <w:t>la</w:t>
      </w:r>
      <w:r w:rsidR="00D85EC6" w:rsidRPr="0010796C">
        <w:rPr>
          <w:rFonts w:ascii="Cambria" w:hAnsi="Cambria"/>
          <w:sz w:val="20"/>
          <w:szCs w:val="20"/>
          <w:lang w:val="es-ES"/>
        </w:rPr>
        <w:t xml:space="preserve"> disconformidad con las decisiones judiciales</w:t>
      </w:r>
      <w:r w:rsidR="007006DE" w:rsidRPr="0010796C">
        <w:rPr>
          <w:rFonts w:ascii="Cambria" w:hAnsi="Cambria"/>
          <w:sz w:val="20"/>
          <w:szCs w:val="20"/>
          <w:lang w:val="es-ES"/>
        </w:rPr>
        <w:t xml:space="preserve"> no implica una vulneración a los derechos alegados</w:t>
      </w:r>
      <w:r w:rsidR="00D85EC6" w:rsidRPr="0010796C">
        <w:rPr>
          <w:rFonts w:ascii="Cambria" w:hAnsi="Cambria"/>
          <w:sz w:val="20"/>
          <w:szCs w:val="20"/>
          <w:lang w:val="es-ES"/>
        </w:rPr>
        <w:t xml:space="preserve">. </w:t>
      </w:r>
    </w:p>
    <w:p w:rsidR="00DB43BD" w:rsidRPr="0010796C" w:rsidRDefault="00DB43BD" w:rsidP="00D8343A">
      <w:pPr>
        <w:pStyle w:val="BodyTextIndent"/>
        <w:ind w:left="0" w:firstLine="0"/>
        <w:rPr>
          <w:rFonts w:ascii="Cambria" w:hAnsi="Cambria"/>
          <w:sz w:val="20"/>
          <w:szCs w:val="20"/>
          <w:lang w:val="es-ES"/>
        </w:rPr>
      </w:pPr>
    </w:p>
    <w:p w:rsidR="00DB43BD" w:rsidRPr="0010796C" w:rsidRDefault="00DB43BD" w:rsidP="00D8343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Tras analizar la información disponible, la Comisión concluyó que el Estado</w:t>
      </w:r>
      <w:r w:rsidR="001D385C" w:rsidRPr="0010796C">
        <w:rPr>
          <w:rFonts w:ascii="Cambria" w:hAnsi="Cambria"/>
          <w:sz w:val="20"/>
          <w:szCs w:val="20"/>
          <w:lang w:val="es-ES"/>
        </w:rPr>
        <w:t xml:space="preserve"> </w:t>
      </w:r>
      <w:r w:rsidR="00A6731A" w:rsidRPr="0010796C">
        <w:rPr>
          <w:rFonts w:ascii="Cambria" w:hAnsi="Cambria"/>
          <w:sz w:val="20"/>
          <w:szCs w:val="20"/>
          <w:lang w:val="es-ES"/>
        </w:rPr>
        <w:t>argentino</w:t>
      </w:r>
      <w:r w:rsidRPr="0010796C">
        <w:rPr>
          <w:rFonts w:ascii="Cambria" w:hAnsi="Cambria"/>
          <w:sz w:val="20"/>
          <w:szCs w:val="20"/>
          <w:lang w:val="es-ES"/>
        </w:rPr>
        <w:t xml:space="preserve"> es responsable por la violación </w:t>
      </w:r>
      <w:r w:rsidR="00BB4DF5" w:rsidRPr="0010796C">
        <w:rPr>
          <w:rFonts w:ascii="Cambria" w:hAnsi="Cambria"/>
          <w:sz w:val="20"/>
          <w:szCs w:val="20"/>
          <w:lang w:val="es-ES"/>
        </w:rPr>
        <w:t>de</w:t>
      </w:r>
      <w:r w:rsidR="0094627F" w:rsidRPr="0010796C">
        <w:rPr>
          <w:rFonts w:ascii="Cambria" w:hAnsi="Cambria"/>
          <w:sz w:val="20"/>
          <w:szCs w:val="20"/>
          <w:lang w:val="es-ES"/>
        </w:rPr>
        <w:t xml:space="preserve"> </w:t>
      </w:r>
      <w:r w:rsidR="00BB4DF5" w:rsidRPr="0010796C">
        <w:rPr>
          <w:rFonts w:ascii="Cambria" w:hAnsi="Cambria"/>
          <w:sz w:val="20"/>
          <w:szCs w:val="20"/>
          <w:lang w:val="es-ES"/>
        </w:rPr>
        <w:t>l</w:t>
      </w:r>
      <w:r w:rsidR="0094627F" w:rsidRPr="0010796C">
        <w:rPr>
          <w:rFonts w:ascii="Cambria" w:hAnsi="Cambria"/>
          <w:sz w:val="20"/>
          <w:szCs w:val="20"/>
          <w:lang w:val="es-ES"/>
        </w:rPr>
        <w:t xml:space="preserve">os derechos a </w:t>
      </w:r>
      <w:r w:rsidR="00A6731A" w:rsidRPr="0010796C">
        <w:rPr>
          <w:rFonts w:ascii="Cambria" w:hAnsi="Cambria"/>
          <w:sz w:val="20"/>
          <w:szCs w:val="20"/>
          <w:lang w:val="es-ES"/>
        </w:rPr>
        <w:t xml:space="preserve">libertad personal, </w:t>
      </w:r>
      <w:r w:rsidR="0094627F" w:rsidRPr="0010796C">
        <w:rPr>
          <w:rFonts w:ascii="Cambria" w:hAnsi="Cambria"/>
          <w:sz w:val="20"/>
          <w:szCs w:val="20"/>
          <w:lang w:val="es-ES"/>
        </w:rPr>
        <w:t>garantías judiciales</w:t>
      </w:r>
      <w:r w:rsidR="00A6731A" w:rsidRPr="0010796C">
        <w:rPr>
          <w:rFonts w:ascii="Cambria" w:hAnsi="Cambria"/>
          <w:sz w:val="20"/>
          <w:szCs w:val="20"/>
          <w:lang w:val="es-ES"/>
        </w:rPr>
        <w:t xml:space="preserve"> </w:t>
      </w:r>
      <w:r w:rsidR="0094627F" w:rsidRPr="0010796C">
        <w:rPr>
          <w:rFonts w:ascii="Cambria" w:hAnsi="Cambria"/>
          <w:sz w:val="20"/>
          <w:szCs w:val="20"/>
          <w:lang w:val="es-ES"/>
        </w:rPr>
        <w:t xml:space="preserve">y </w:t>
      </w:r>
      <w:r w:rsidR="002B28FF" w:rsidRPr="0010796C">
        <w:rPr>
          <w:rFonts w:ascii="Cambria" w:hAnsi="Cambria"/>
          <w:sz w:val="20"/>
          <w:szCs w:val="20"/>
          <w:lang w:val="es-ES"/>
        </w:rPr>
        <w:t>protección judicial</w:t>
      </w:r>
      <w:r w:rsidR="00BB4DF5" w:rsidRPr="0010796C">
        <w:rPr>
          <w:rFonts w:ascii="Cambria" w:hAnsi="Cambria"/>
          <w:sz w:val="20"/>
          <w:szCs w:val="20"/>
          <w:lang w:val="es-ES"/>
        </w:rPr>
        <w:t>, establecido</w:t>
      </w:r>
      <w:r w:rsidR="00D7384C" w:rsidRPr="0010796C">
        <w:rPr>
          <w:rFonts w:ascii="Cambria" w:hAnsi="Cambria"/>
          <w:sz w:val="20"/>
          <w:szCs w:val="20"/>
          <w:lang w:val="es-ES"/>
        </w:rPr>
        <w:t>s</w:t>
      </w:r>
      <w:r w:rsidRPr="0010796C">
        <w:rPr>
          <w:rFonts w:ascii="Cambria" w:hAnsi="Cambria"/>
          <w:sz w:val="20"/>
          <w:szCs w:val="20"/>
          <w:lang w:val="es-ES"/>
        </w:rPr>
        <w:t xml:space="preserve"> </w:t>
      </w:r>
      <w:r w:rsidR="0094627F" w:rsidRPr="0010796C">
        <w:rPr>
          <w:rFonts w:ascii="Cambria" w:hAnsi="Cambria"/>
          <w:sz w:val="20"/>
          <w:szCs w:val="20"/>
          <w:lang w:val="es-ES"/>
        </w:rPr>
        <w:t>en los</w:t>
      </w:r>
      <w:r w:rsidR="00BB4DF5" w:rsidRPr="0010796C">
        <w:rPr>
          <w:rFonts w:ascii="Cambria" w:hAnsi="Cambria"/>
          <w:sz w:val="20"/>
          <w:szCs w:val="20"/>
          <w:lang w:val="es-ES"/>
        </w:rPr>
        <w:t xml:space="preserve"> artículo</w:t>
      </w:r>
      <w:r w:rsidR="0094627F" w:rsidRPr="0010796C">
        <w:rPr>
          <w:rFonts w:ascii="Cambria" w:hAnsi="Cambria"/>
          <w:sz w:val="20"/>
          <w:szCs w:val="20"/>
          <w:lang w:val="es-ES"/>
        </w:rPr>
        <w:t>s</w:t>
      </w:r>
      <w:r w:rsidR="009F4101" w:rsidRPr="0010796C">
        <w:rPr>
          <w:rFonts w:ascii="Cambria" w:hAnsi="Cambria"/>
          <w:sz w:val="20"/>
          <w:szCs w:val="20"/>
          <w:lang w:val="es-ES"/>
        </w:rPr>
        <w:t xml:space="preserve"> 7.1,</w:t>
      </w:r>
      <w:r w:rsidR="00146752" w:rsidRPr="0010796C">
        <w:rPr>
          <w:rFonts w:ascii="Cambria" w:hAnsi="Cambria"/>
          <w:sz w:val="20"/>
          <w:szCs w:val="20"/>
          <w:lang w:val="es-ES"/>
        </w:rPr>
        <w:t xml:space="preserve"> 7.2,</w:t>
      </w:r>
      <w:r w:rsidR="0094627F" w:rsidRPr="0010796C">
        <w:rPr>
          <w:rFonts w:ascii="Cambria" w:hAnsi="Cambria"/>
          <w:sz w:val="20"/>
          <w:szCs w:val="20"/>
          <w:lang w:val="es-ES"/>
        </w:rPr>
        <w:t xml:space="preserve"> </w:t>
      </w:r>
      <w:r w:rsidR="00A6731A" w:rsidRPr="0010796C">
        <w:rPr>
          <w:rFonts w:ascii="Cambria" w:hAnsi="Cambria"/>
          <w:sz w:val="20"/>
          <w:szCs w:val="20"/>
          <w:lang w:val="es-ES"/>
        </w:rPr>
        <w:t>7</w:t>
      </w:r>
      <w:r w:rsidR="00AD3894" w:rsidRPr="0010796C">
        <w:rPr>
          <w:rFonts w:ascii="Cambria" w:hAnsi="Cambria"/>
          <w:sz w:val="20"/>
          <w:szCs w:val="20"/>
          <w:lang w:val="es-ES"/>
        </w:rPr>
        <w:t>.3, 7.5</w:t>
      </w:r>
      <w:r w:rsidR="00A6731A" w:rsidRPr="0010796C">
        <w:rPr>
          <w:rFonts w:ascii="Cambria" w:hAnsi="Cambria"/>
          <w:sz w:val="20"/>
          <w:szCs w:val="20"/>
          <w:lang w:val="es-ES"/>
        </w:rPr>
        <w:t>,</w:t>
      </w:r>
      <w:r w:rsidR="00146752" w:rsidRPr="0010796C">
        <w:rPr>
          <w:rFonts w:ascii="Cambria" w:hAnsi="Cambria"/>
          <w:sz w:val="20"/>
          <w:szCs w:val="20"/>
          <w:lang w:val="es-ES"/>
        </w:rPr>
        <w:t xml:space="preserve"> 7.6,</w:t>
      </w:r>
      <w:r w:rsidR="00A6731A" w:rsidRPr="0010796C">
        <w:rPr>
          <w:rFonts w:ascii="Cambria" w:hAnsi="Cambria"/>
          <w:sz w:val="20"/>
          <w:szCs w:val="20"/>
          <w:lang w:val="es-ES"/>
        </w:rPr>
        <w:t xml:space="preserve"> </w:t>
      </w:r>
      <w:r w:rsidR="0094627F" w:rsidRPr="0010796C">
        <w:rPr>
          <w:rFonts w:ascii="Cambria" w:hAnsi="Cambria"/>
          <w:sz w:val="20"/>
          <w:szCs w:val="20"/>
          <w:lang w:val="es-ES"/>
        </w:rPr>
        <w:t>8</w:t>
      </w:r>
      <w:r w:rsidR="001D385C" w:rsidRPr="0010796C">
        <w:rPr>
          <w:rFonts w:ascii="Cambria" w:hAnsi="Cambria"/>
          <w:sz w:val="20"/>
          <w:szCs w:val="20"/>
          <w:lang w:val="es-ES"/>
        </w:rPr>
        <w:t>.1</w:t>
      </w:r>
      <w:r w:rsidR="00146752" w:rsidRPr="0010796C">
        <w:rPr>
          <w:rFonts w:ascii="Cambria" w:hAnsi="Cambria"/>
          <w:sz w:val="20"/>
          <w:szCs w:val="20"/>
          <w:lang w:val="es-ES"/>
        </w:rPr>
        <w:t>, 8.2</w:t>
      </w:r>
      <w:r w:rsidR="0094627F" w:rsidRPr="0010796C">
        <w:rPr>
          <w:rFonts w:ascii="Cambria" w:hAnsi="Cambria"/>
          <w:sz w:val="20"/>
          <w:szCs w:val="20"/>
          <w:lang w:val="es-ES"/>
        </w:rPr>
        <w:t xml:space="preserve"> y</w:t>
      </w:r>
      <w:r w:rsidR="00D93143" w:rsidRPr="0010796C">
        <w:rPr>
          <w:rFonts w:ascii="Cambria" w:hAnsi="Cambria"/>
          <w:sz w:val="20"/>
          <w:szCs w:val="20"/>
          <w:lang w:val="es-ES"/>
        </w:rPr>
        <w:t xml:space="preserve"> </w:t>
      </w:r>
      <w:r w:rsidR="002B28FF" w:rsidRPr="0010796C">
        <w:rPr>
          <w:rFonts w:ascii="Cambria" w:hAnsi="Cambria"/>
          <w:sz w:val="20"/>
          <w:szCs w:val="20"/>
          <w:lang w:val="es-ES"/>
        </w:rPr>
        <w:t>25</w:t>
      </w:r>
      <w:r w:rsidR="001D385C" w:rsidRPr="0010796C">
        <w:rPr>
          <w:rFonts w:ascii="Cambria" w:hAnsi="Cambria"/>
          <w:sz w:val="20"/>
          <w:szCs w:val="20"/>
          <w:lang w:val="es-ES"/>
        </w:rPr>
        <w:t>.</w:t>
      </w:r>
      <w:r w:rsidR="00A6731A" w:rsidRPr="0010796C">
        <w:rPr>
          <w:rFonts w:ascii="Cambria" w:hAnsi="Cambria"/>
          <w:sz w:val="20"/>
          <w:szCs w:val="20"/>
          <w:lang w:val="es-ES"/>
        </w:rPr>
        <w:t>1</w:t>
      </w:r>
      <w:r w:rsidRPr="0010796C">
        <w:rPr>
          <w:rFonts w:ascii="Cambria" w:hAnsi="Cambria"/>
          <w:sz w:val="20"/>
          <w:szCs w:val="20"/>
          <w:lang w:val="es-ES"/>
        </w:rPr>
        <w:t xml:space="preserve"> de la Convención Americana, en relación con las obligaciones establecidas en </w:t>
      </w:r>
      <w:r w:rsidR="007E3AE1" w:rsidRPr="0010796C">
        <w:rPr>
          <w:rFonts w:ascii="Cambria" w:hAnsi="Cambria"/>
          <w:sz w:val="20"/>
          <w:szCs w:val="20"/>
          <w:lang w:val="es-ES"/>
        </w:rPr>
        <w:t>el</w:t>
      </w:r>
      <w:r w:rsidRPr="0010796C">
        <w:rPr>
          <w:rFonts w:ascii="Cambria" w:hAnsi="Cambria"/>
          <w:sz w:val="20"/>
          <w:szCs w:val="20"/>
          <w:lang w:val="es-ES"/>
        </w:rPr>
        <w:t xml:space="preserve"> artículo 1.1</w:t>
      </w:r>
      <w:r w:rsidR="00146883" w:rsidRPr="0010796C">
        <w:rPr>
          <w:rFonts w:ascii="Cambria" w:hAnsi="Cambria"/>
          <w:sz w:val="20"/>
          <w:szCs w:val="20"/>
          <w:lang w:val="es-ES"/>
        </w:rPr>
        <w:t xml:space="preserve"> </w:t>
      </w:r>
      <w:r w:rsidRPr="0010796C">
        <w:rPr>
          <w:rFonts w:ascii="Cambria" w:hAnsi="Cambria"/>
          <w:sz w:val="20"/>
          <w:szCs w:val="20"/>
          <w:lang w:val="es-ES"/>
        </w:rPr>
        <w:t xml:space="preserve">del mismo instrumento, en perjuicio de </w:t>
      </w:r>
      <w:r w:rsidR="00A6731A" w:rsidRPr="0010796C">
        <w:rPr>
          <w:rFonts w:ascii="Cambria" w:hAnsi="Cambria"/>
          <w:sz w:val="20"/>
          <w:szCs w:val="20"/>
          <w:lang w:val="es-ES"/>
        </w:rPr>
        <w:t xml:space="preserve">Raúl Rolando Romero </w:t>
      </w:r>
      <w:proofErr w:type="spellStart"/>
      <w:r w:rsidR="00A6731A" w:rsidRPr="0010796C">
        <w:rPr>
          <w:rFonts w:ascii="Cambria" w:hAnsi="Cambria"/>
          <w:sz w:val="20"/>
          <w:szCs w:val="20"/>
          <w:lang w:val="es-ES"/>
        </w:rPr>
        <w:t>Feris</w:t>
      </w:r>
      <w:proofErr w:type="spellEnd"/>
      <w:r w:rsidRPr="0010796C">
        <w:rPr>
          <w:rFonts w:ascii="Cambria" w:hAnsi="Cambria"/>
          <w:sz w:val="20"/>
          <w:szCs w:val="20"/>
          <w:lang w:val="es-ES"/>
        </w:rPr>
        <w:t xml:space="preserve">.  </w:t>
      </w:r>
    </w:p>
    <w:p w:rsidR="00DB43BD" w:rsidRPr="0010796C" w:rsidRDefault="00DB43BD" w:rsidP="00D8343A">
      <w:pPr>
        <w:pStyle w:val="NormalWeb"/>
        <w:spacing w:before="0" w:beforeAutospacing="0" w:after="0" w:afterAutospacing="0"/>
        <w:ind w:firstLine="567"/>
        <w:jc w:val="both"/>
        <w:rPr>
          <w:rFonts w:ascii="Cambria" w:hAnsi="Cambria" w:cs="Arial"/>
          <w:sz w:val="20"/>
          <w:szCs w:val="20"/>
          <w:lang w:val="es-ES"/>
        </w:rPr>
      </w:pPr>
    </w:p>
    <w:p w:rsidR="00DB43BD" w:rsidRPr="0010796C" w:rsidRDefault="00DB43BD" w:rsidP="006B7EB8">
      <w:pPr>
        <w:pStyle w:val="Heading1"/>
        <w:rPr>
          <w:lang w:val="es-ES"/>
        </w:rPr>
      </w:pPr>
      <w:bookmarkStart w:id="8" w:name="_Toc370830570"/>
      <w:bookmarkStart w:id="9" w:name="_Toc370831281"/>
      <w:bookmarkStart w:id="10" w:name="_Toc412635570"/>
      <w:bookmarkStart w:id="11" w:name="_Toc416685626"/>
      <w:bookmarkStart w:id="12" w:name="_Toc346449078"/>
      <w:bookmarkStart w:id="13" w:name="_Toc474398485"/>
      <w:bookmarkStart w:id="14" w:name="_Toc486526405"/>
      <w:r w:rsidRPr="0010796C">
        <w:rPr>
          <w:lang w:val="es-ES"/>
        </w:rPr>
        <w:t>TRÁMITE ANTE LA COMISIÓN</w:t>
      </w:r>
      <w:bookmarkEnd w:id="8"/>
      <w:bookmarkEnd w:id="9"/>
      <w:bookmarkEnd w:id="10"/>
      <w:bookmarkEnd w:id="11"/>
      <w:bookmarkEnd w:id="12"/>
      <w:bookmarkEnd w:id="13"/>
      <w:bookmarkEnd w:id="14"/>
      <w:r w:rsidRPr="0010796C">
        <w:rPr>
          <w:lang w:val="es-ES"/>
        </w:rPr>
        <w:t xml:space="preserve"> </w:t>
      </w:r>
    </w:p>
    <w:p w:rsidR="00DB43BD" w:rsidRPr="0010796C" w:rsidRDefault="00DB43BD" w:rsidP="00D8343A">
      <w:pPr>
        <w:ind w:firstLine="567"/>
        <w:jc w:val="both"/>
        <w:rPr>
          <w:rFonts w:ascii="Cambria" w:hAnsi="Cambria" w:cs="Arial"/>
          <w:sz w:val="20"/>
          <w:szCs w:val="20"/>
          <w:lang w:val="es-ES"/>
        </w:rPr>
      </w:pPr>
    </w:p>
    <w:p w:rsidR="008D1C84" w:rsidRPr="0010796C" w:rsidRDefault="00BB4DF5" w:rsidP="00D8343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lang w:val="es-ES"/>
        </w:rPr>
      </w:pPr>
      <w:r w:rsidRPr="0010796C">
        <w:rPr>
          <w:rFonts w:ascii="Cambria" w:hAnsi="Cambria"/>
          <w:sz w:val="20"/>
          <w:szCs w:val="20"/>
          <w:lang w:val="es-ES"/>
        </w:rPr>
        <w:t>El trámite del caso durante la etapa de admisibilidad se encuentra</w:t>
      </w:r>
      <w:r w:rsidR="00E51E1B" w:rsidRPr="0010796C">
        <w:rPr>
          <w:rFonts w:ascii="Cambria" w:hAnsi="Cambria"/>
          <w:sz w:val="20"/>
          <w:szCs w:val="20"/>
          <w:lang w:val="es-ES"/>
        </w:rPr>
        <w:t xml:space="preserve"> detallado</w:t>
      </w:r>
      <w:r w:rsidRPr="0010796C">
        <w:rPr>
          <w:rFonts w:ascii="Cambria" w:hAnsi="Cambria"/>
          <w:sz w:val="20"/>
          <w:szCs w:val="20"/>
          <w:lang w:val="es-ES"/>
        </w:rPr>
        <w:t xml:space="preserve"> en el </w:t>
      </w:r>
      <w:r w:rsidR="00B71238" w:rsidRPr="0010796C">
        <w:rPr>
          <w:rFonts w:ascii="Cambria" w:hAnsi="Cambria"/>
          <w:sz w:val="20"/>
          <w:szCs w:val="20"/>
          <w:lang w:val="es-ES"/>
        </w:rPr>
        <w:t>i</w:t>
      </w:r>
      <w:r w:rsidRPr="0010796C">
        <w:rPr>
          <w:rFonts w:ascii="Cambria" w:hAnsi="Cambria"/>
          <w:sz w:val="20"/>
          <w:szCs w:val="20"/>
          <w:lang w:val="es-ES"/>
        </w:rPr>
        <w:t xml:space="preserve">nforme de </w:t>
      </w:r>
      <w:r w:rsidR="00B71238" w:rsidRPr="0010796C">
        <w:rPr>
          <w:rFonts w:ascii="Cambria" w:hAnsi="Cambria"/>
          <w:sz w:val="20"/>
          <w:szCs w:val="20"/>
          <w:lang w:val="es-ES"/>
        </w:rPr>
        <w:t>a</w:t>
      </w:r>
      <w:r w:rsidRPr="0010796C">
        <w:rPr>
          <w:rFonts w:ascii="Cambria" w:hAnsi="Cambria"/>
          <w:sz w:val="20"/>
          <w:szCs w:val="20"/>
          <w:lang w:val="es-ES"/>
        </w:rPr>
        <w:t xml:space="preserve">dmisibilidad No. </w:t>
      </w:r>
      <w:r w:rsidR="00A6731A" w:rsidRPr="0010796C">
        <w:rPr>
          <w:rFonts w:ascii="Cambria" w:hAnsi="Cambria"/>
          <w:sz w:val="20"/>
          <w:szCs w:val="20"/>
          <w:lang w:val="es-ES"/>
        </w:rPr>
        <w:t>4</w:t>
      </w:r>
      <w:r w:rsidRPr="0010796C">
        <w:rPr>
          <w:rFonts w:ascii="Cambria" w:hAnsi="Cambria"/>
          <w:sz w:val="20"/>
          <w:szCs w:val="20"/>
          <w:lang w:val="es-ES"/>
        </w:rPr>
        <w:t>/1</w:t>
      </w:r>
      <w:r w:rsidR="00A6731A" w:rsidRPr="0010796C">
        <w:rPr>
          <w:rFonts w:ascii="Cambria" w:hAnsi="Cambria"/>
          <w:sz w:val="20"/>
          <w:szCs w:val="20"/>
          <w:lang w:val="es-ES"/>
        </w:rPr>
        <w:t>5</w:t>
      </w:r>
      <w:r w:rsidRPr="0010796C">
        <w:rPr>
          <w:rFonts w:ascii="Cambria" w:hAnsi="Cambria"/>
          <w:sz w:val="20"/>
          <w:szCs w:val="20"/>
          <w:lang w:val="es-ES"/>
        </w:rPr>
        <w:t xml:space="preserve"> de </w:t>
      </w:r>
      <w:r w:rsidR="00A6731A" w:rsidRPr="0010796C">
        <w:rPr>
          <w:rFonts w:ascii="Cambria" w:hAnsi="Cambria"/>
          <w:sz w:val="20"/>
          <w:szCs w:val="20"/>
          <w:lang w:val="es-ES"/>
        </w:rPr>
        <w:t>29 de enero de 2015</w:t>
      </w:r>
      <w:r w:rsidRPr="0010796C">
        <w:rPr>
          <w:rStyle w:val="FootnoteReference"/>
          <w:rFonts w:ascii="Cambria" w:hAnsi="Cambria"/>
          <w:sz w:val="20"/>
          <w:szCs w:val="20"/>
          <w:lang w:val="es-ES"/>
        </w:rPr>
        <w:footnoteReference w:id="3"/>
      </w:r>
      <w:r w:rsidRPr="0010796C">
        <w:rPr>
          <w:rFonts w:ascii="Cambria" w:hAnsi="Cambria"/>
          <w:sz w:val="20"/>
          <w:szCs w:val="20"/>
          <w:lang w:val="es-ES"/>
        </w:rPr>
        <w:t xml:space="preserve">.  </w:t>
      </w:r>
    </w:p>
    <w:p w:rsidR="008D1C84" w:rsidRPr="0010796C" w:rsidRDefault="008D1C84" w:rsidP="00D8343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sz w:val="20"/>
          <w:szCs w:val="20"/>
          <w:lang w:val="es-ES"/>
        </w:rPr>
      </w:pPr>
    </w:p>
    <w:p w:rsidR="00BB4DF5" w:rsidRPr="0010796C" w:rsidRDefault="008D1C84" w:rsidP="00D8343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lang w:val="es-ES"/>
        </w:rPr>
      </w:pPr>
      <w:r w:rsidRPr="0010796C">
        <w:rPr>
          <w:rFonts w:ascii="Cambria" w:hAnsi="Cambria"/>
          <w:sz w:val="20"/>
          <w:szCs w:val="20"/>
          <w:lang w:val="es-ES"/>
        </w:rPr>
        <w:t xml:space="preserve">El </w:t>
      </w:r>
      <w:r w:rsidR="00B51F9B" w:rsidRPr="0010796C">
        <w:rPr>
          <w:rFonts w:ascii="Cambria" w:hAnsi="Cambria"/>
          <w:sz w:val="20"/>
          <w:szCs w:val="20"/>
          <w:lang w:val="es-ES"/>
        </w:rPr>
        <w:t>4 de febrero de 2015</w:t>
      </w:r>
      <w:r w:rsidRPr="0010796C">
        <w:rPr>
          <w:rFonts w:ascii="Cambria" w:hAnsi="Cambria"/>
          <w:sz w:val="20"/>
          <w:szCs w:val="20"/>
          <w:lang w:val="es-ES"/>
        </w:rPr>
        <w:t xml:space="preserve"> la Comisión notificó a las partes el informe de admisibilidad. </w:t>
      </w:r>
      <w:r w:rsidR="00FB719C" w:rsidRPr="0010796C">
        <w:rPr>
          <w:rFonts w:ascii="Cambria" w:hAnsi="Cambria"/>
          <w:sz w:val="20"/>
          <w:szCs w:val="20"/>
          <w:lang w:val="es-ES"/>
        </w:rPr>
        <w:t xml:space="preserve">Asimismo, la CIDH se puso a disposición de las partes para una eventual solución amistosa. </w:t>
      </w:r>
      <w:r w:rsidR="00403617" w:rsidRPr="0010796C">
        <w:rPr>
          <w:rFonts w:ascii="Cambria" w:hAnsi="Cambria"/>
          <w:sz w:val="20"/>
          <w:szCs w:val="20"/>
          <w:lang w:val="es-ES"/>
        </w:rPr>
        <w:t xml:space="preserve">El </w:t>
      </w:r>
      <w:r w:rsidR="00B51F9B" w:rsidRPr="0010796C">
        <w:rPr>
          <w:rFonts w:ascii="Cambria" w:hAnsi="Cambria"/>
          <w:sz w:val="20"/>
          <w:szCs w:val="20"/>
          <w:lang w:val="es-ES"/>
        </w:rPr>
        <w:t>15 de julio de 2015 el peticionario manifestó no tener interés en iniciar una solución amistosa y solicitó que se emita el informe de fondo.</w:t>
      </w:r>
      <w:r w:rsidR="00D14C4B" w:rsidRPr="0010796C">
        <w:rPr>
          <w:rFonts w:ascii="Cambria" w:hAnsi="Cambria"/>
          <w:sz w:val="20"/>
          <w:szCs w:val="20"/>
          <w:lang w:val="es-ES"/>
        </w:rPr>
        <w:t xml:space="preserve"> Asimismo, el peticionario reiteró sus alegatos de fondo presentados en la etapa de admisibilidad. El 3 de noviembre de 2015 la CIDH transmitió la comunicación del peticionario al Estado y le otorgó el plazo reglamentario para presentar sus observaciones de fondo. </w:t>
      </w:r>
      <w:r w:rsidR="009F4101" w:rsidRPr="0010796C">
        <w:rPr>
          <w:rFonts w:ascii="Cambria" w:hAnsi="Cambria"/>
          <w:sz w:val="20"/>
          <w:szCs w:val="20"/>
          <w:lang w:val="es-ES"/>
        </w:rPr>
        <w:t xml:space="preserve">A la fecha de aprobación del presente informe, el Estado no había presentado sus </w:t>
      </w:r>
      <w:r w:rsidR="00755023" w:rsidRPr="0010796C">
        <w:rPr>
          <w:rFonts w:ascii="Cambria" w:hAnsi="Cambria"/>
          <w:sz w:val="20"/>
          <w:szCs w:val="20"/>
          <w:lang w:val="es-ES"/>
        </w:rPr>
        <w:t xml:space="preserve">observaciones </w:t>
      </w:r>
      <w:r w:rsidR="00D14C4B" w:rsidRPr="0010796C">
        <w:rPr>
          <w:rFonts w:ascii="Cambria" w:hAnsi="Cambria"/>
          <w:sz w:val="20"/>
          <w:szCs w:val="20"/>
          <w:lang w:val="es-ES"/>
        </w:rPr>
        <w:t>sobre el fondo.</w:t>
      </w:r>
      <w:r w:rsidR="00755023" w:rsidRPr="0010796C">
        <w:rPr>
          <w:rFonts w:ascii="Cambria" w:hAnsi="Cambria"/>
          <w:sz w:val="20"/>
          <w:szCs w:val="20"/>
          <w:lang w:val="es-ES"/>
        </w:rPr>
        <w:t xml:space="preserve"> </w:t>
      </w:r>
    </w:p>
    <w:p w:rsidR="00DB43BD" w:rsidRPr="0010796C" w:rsidRDefault="00DB43BD" w:rsidP="00D8343A">
      <w:pPr>
        <w:rPr>
          <w:rFonts w:ascii="Cambria" w:hAnsi="Cambria"/>
          <w:sz w:val="20"/>
          <w:szCs w:val="20"/>
          <w:lang w:val="es-ES"/>
        </w:rPr>
      </w:pPr>
      <w:bookmarkStart w:id="15" w:name="_Toc370830571"/>
      <w:bookmarkStart w:id="16" w:name="_Toc370831282"/>
    </w:p>
    <w:p w:rsidR="00DB43BD" w:rsidRPr="0010796C" w:rsidRDefault="00DB43BD" w:rsidP="006B7EB8">
      <w:pPr>
        <w:pStyle w:val="Heading1"/>
        <w:rPr>
          <w:lang w:val="es-ES"/>
        </w:rPr>
      </w:pPr>
      <w:bookmarkStart w:id="17" w:name="_Toc412635571"/>
      <w:bookmarkStart w:id="18" w:name="_Toc416685627"/>
      <w:bookmarkStart w:id="19" w:name="_Toc346449079"/>
      <w:bookmarkStart w:id="20" w:name="_Toc474398486"/>
      <w:bookmarkStart w:id="21" w:name="_Toc486526406"/>
      <w:r w:rsidRPr="0010796C">
        <w:rPr>
          <w:lang w:val="es-ES"/>
        </w:rPr>
        <w:t>POSICIÓN DE LAS PARTES</w:t>
      </w:r>
      <w:bookmarkEnd w:id="15"/>
      <w:bookmarkEnd w:id="16"/>
      <w:bookmarkEnd w:id="17"/>
      <w:bookmarkEnd w:id="18"/>
      <w:bookmarkEnd w:id="19"/>
      <w:bookmarkEnd w:id="20"/>
      <w:bookmarkEnd w:id="21"/>
    </w:p>
    <w:p w:rsidR="00DB43BD" w:rsidRPr="0010796C" w:rsidRDefault="00DB43BD" w:rsidP="00D8343A">
      <w:pPr>
        <w:ind w:firstLine="567"/>
        <w:rPr>
          <w:rFonts w:ascii="Cambria" w:hAnsi="Cambria"/>
          <w:sz w:val="20"/>
          <w:szCs w:val="20"/>
          <w:lang w:val="es-ES"/>
        </w:rPr>
      </w:pPr>
    </w:p>
    <w:p w:rsidR="00DB43BD" w:rsidRPr="0010796C" w:rsidRDefault="00DB43BD" w:rsidP="00D8343A">
      <w:pPr>
        <w:pStyle w:val="Heading2"/>
        <w:rPr>
          <w:szCs w:val="20"/>
          <w:lang w:val="es-ES"/>
        </w:rPr>
      </w:pPr>
      <w:bookmarkStart w:id="22" w:name="_Toc370831283"/>
      <w:bookmarkStart w:id="23" w:name="_Toc412635572"/>
      <w:bookmarkStart w:id="24" w:name="_Toc416685628"/>
      <w:bookmarkStart w:id="25" w:name="_Toc346449080"/>
      <w:bookmarkStart w:id="26" w:name="_Toc474398487"/>
      <w:bookmarkStart w:id="27" w:name="_Toc486526407"/>
      <w:r w:rsidRPr="0010796C">
        <w:rPr>
          <w:szCs w:val="20"/>
          <w:lang w:val="es-ES"/>
        </w:rPr>
        <w:t xml:space="preserve">A. </w:t>
      </w:r>
      <w:r w:rsidRPr="0010796C">
        <w:rPr>
          <w:szCs w:val="20"/>
          <w:lang w:val="es-ES"/>
        </w:rPr>
        <w:tab/>
        <w:t xml:space="preserve">Posición </w:t>
      </w:r>
      <w:bookmarkEnd w:id="22"/>
      <w:bookmarkEnd w:id="23"/>
      <w:bookmarkEnd w:id="24"/>
      <w:r w:rsidR="00E92036" w:rsidRPr="0010796C">
        <w:rPr>
          <w:szCs w:val="20"/>
          <w:lang w:val="es-ES"/>
        </w:rPr>
        <w:t>del peticionario</w:t>
      </w:r>
      <w:bookmarkEnd w:id="25"/>
      <w:bookmarkEnd w:id="26"/>
      <w:bookmarkEnd w:id="27"/>
    </w:p>
    <w:p w:rsidR="00DB43BD" w:rsidRPr="0010796C" w:rsidRDefault="00DB43BD" w:rsidP="00D8343A">
      <w:pPr>
        <w:ind w:firstLine="567"/>
        <w:rPr>
          <w:rFonts w:ascii="Cambria" w:hAnsi="Cambria"/>
          <w:sz w:val="20"/>
          <w:szCs w:val="20"/>
          <w:lang w:val="es-ES"/>
        </w:rPr>
      </w:pPr>
    </w:p>
    <w:p w:rsidR="003C491D" w:rsidRPr="0010796C" w:rsidRDefault="00E92036" w:rsidP="003C491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 xml:space="preserve">El peticionario alegó que el Estado es responsable internacionalmente </w:t>
      </w:r>
      <w:r w:rsidR="00A6731A" w:rsidRPr="0010796C">
        <w:rPr>
          <w:rFonts w:ascii="Cambria" w:hAnsi="Cambria"/>
          <w:sz w:val="20"/>
          <w:szCs w:val="20"/>
          <w:lang w:val="es-ES"/>
        </w:rPr>
        <w:t xml:space="preserve">por la detención preventiva prolongada, la falta de independencia e imparcialidad y la falta de acceso a la justicia en el proceso penal seguido en contra de Raúl Rolando Romero </w:t>
      </w:r>
      <w:proofErr w:type="spellStart"/>
      <w:r w:rsidR="00A6731A" w:rsidRPr="0010796C">
        <w:rPr>
          <w:rFonts w:ascii="Cambria" w:hAnsi="Cambria"/>
          <w:sz w:val="20"/>
          <w:szCs w:val="20"/>
          <w:lang w:val="es-ES"/>
        </w:rPr>
        <w:t>Feris</w:t>
      </w:r>
      <w:proofErr w:type="spellEnd"/>
      <w:r w:rsidR="00A6731A" w:rsidRPr="0010796C">
        <w:rPr>
          <w:rFonts w:ascii="Cambria" w:hAnsi="Cambria"/>
          <w:sz w:val="20"/>
          <w:szCs w:val="20"/>
          <w:lang w:val="es-ES"/>
        </w:rPr>
        <w:t>, iniciado en 1999</w:t>
      </w:r>
      <w:r w:rsidR="003C491D" w:rsidRPr="0010796C">
        <w:rPr>
          <w:rFonts w:ascii="Cambria" w:hAnsi="Cambria"/>
          <w:sz w:val="20"/>
          <w:szCs w:val="20"/>
          <w:lang w:val="es-ES"/>
        </w:rPr>
        <w:t xml:space="preserve">, en la Provincia de Corrientes, por los delitos de administración fraudulenta, enriquecimiento ilícito, peculado, abuso de autoridad, </w:t>
      </w:r>
      <w:r w:rsidR="003C491D" w:rsidRPr="0010796C">
        <w:rPr>
          <w:rFonts w:ascii="Cambria" w:hAnsi="Cambria"/>
          <w:sz w:val="20"/>
          <w:szCs w:val="20"/>
          <w:lang w:val="es-ES"/>
        </w:rPr>
        <w:lastRenderedPageBreak/>
        <w:t>defraudación, malversación de caudales públicos.</w:t>
      </w:r>
      <w:r w:rsidR="00971DE8" w:rsidRPr="0010796C">
        <w:rPr>
          <w:rFonts w:ascii="Cambria" w:hAnsi="Cambria"/>
          <w:sz w:val="20"/>
          <w:szCs w:val="20"/>
          <w:lang w:val="es-ES"/>
        </w:rPr>
        <w:t xml:space="preserve"> </w:t>
      </w:r>
      <w:r w:rsidR="00DF7E3B" w:rsidRPr="0010796C">
        <w:rPr>
          <w:rFonts w:ascii="Cambria" w:hAnsi="Cambria"/>
          <w:sz w:val="20"/>
          <w:szCs w:val="20"/>
          <w:lang w:val="es-ES"/>
        </w:rPr>
        <w:t xml:space="preserve">El peticionario alegó que dicha denuncia tuvo un </w:t>
      </w:r>
      <w:r w:rsidR="0010796C" w:rsidRPr="0010796C">
        <w:rPr>
          <w:rFonts w:ascii="Cambria" w:hAnsi="Cambria"/>
          <w:sz w:val="20"/>
          <w:szCs w:val="20"/>
          <w:lang w:val="es-ES"/>
        </w:rPr>
        <w:t>trasfondo</w:t>
      </w:r>
      <w:r w:rsidR="00DF7E3B" w:rsidRPr="0010796C">
        <w:rPr>
          <w:rFonts w:ascii="Cambria" w:hAnsi="Cambria"/>
          <w:sz w:val="20"/>
          <w:szCs w:val="20"/>
          <w:lang w:val="es-ES"/>
        </w:rPr>
        <w:t xml:space="preserve"> político</w:t>
      </w:r>
      <w:r w:rsidR="003C491D" w:rsidRPr="0010796C">
        <w:rPr>
          <w:rFonts w:ascii="Cambria" w:hAnsi="Cambria"/>
          <w:sz w:val="20"/>
          <w:szCs w:val="20"/>
          <w:lang w:val="es-ES"/>
        </w:rPr>
        <w:t xml:space="preserve"> en el contexto de la llamada “intervención federal” </w:t>
      </w:r>
      <w:r w:rsidR="00DF7E3B" w:rsidRPr="0010796C">
        <w:rPr>
          <w:rFonts w:ascii="Cambria" w:hAnsi="Cambria"/>
          <w:sz w:val="20"/>
          <w:szCs w:val="20"/>
          <w:lang w:val="es-ES"/>
        </w:rPr>
        <w:t xml:space="preserve">en tanto en el año 1999 se eligió en Argentina a un gobierno de un partido opositor al suyo. </w:t>
      </w:r>
      <w:r w:rsidR="003C491D" w:rsidRPr="0010796C">
        <w:rPr>
          <w:rFonts w:ascii="Cambria" w:hAnsi="Cambria"/>
          <w:sz w:val="20"/>
          <w:szCs w:val="20"/>
          <w:lang w:val="es-ES"/>
        </w:rPr>
        <w:t xml:space="preserve">Agregó que estuvo detenido preventivamente entre el 3 de agosto de 1999 y el 11 de septiembre de 2002. </w:t>
      </w:r>
      <w:r w:rsidR="005A19AC" w:rsidRPr="0010796C">
        <w:rPr>
          <w:rFonts w:ascii="Cambria" w:hAnsi="Cambria"/>
          <w:sz w:val="20"/>
          <w:szCs w:val="20"/>
          <w:lang w:val="es-ES"/>
        </w:rPr>
        <w:t>Ta</w:t>
      </w:r>
      <w:r w:rsidR="00EF0364" w:rsidRPr="0010796C">
        <w:rPr>
          <w:rFonts w:ascii="Cambria" w:hAnsi="Cambria"/>
          <w:sz w:val="20"/>
          <w:szCs w:val="20"/>
          <w:lang w:val="es-ES"/>
        </w:rPr>
        <w:t>nto ante la CIDH como en el marc</w:t>
      </w:r>
      <w:r w:rsidR="005A19AC" w:rsidRPr="0010796C">
        <w:rPr>
          <w:rFonts w:ascii="Cambria" w:hAnsi="Cambria"/>
          <w:sz w:val="20"/>
          <w:szCs w:val="20"/>
          <w:lang w:val="es-ES"/>
        </w:rPr>
        <w:t>o de los recursos</w:t>
      </w:r>
      <w:r w:rsidR="00EF0364" w:rsidRPr="0010796C">
        <w:rPr>
          <w:rFonts w:ascii="Cambria" w:hAnsi="Cambria"/>
          <w:sz w:val="20"/>
          <w:szCs w:val="20"/>
          <w:lang w:val="es-ES"/>
        </w:rPr>
        <w:t xml:space="preserve"> presentados a nivel interno, el señor Romero </w:t>
      </w:r>
      <w:proofErr w:type="spellStart"/>
      <w:r w:rsidR="00EF0364" w:rsidRPr="0010796C">
        <w:rPr>
          <w:rFonts w:ascii="Cambria" w:hAnsi="Cambria"/>
          <w:sz w:val="20"/>
          <w:szCs w:val="20"/>
          <w:lang w:val="es-ES"/>
        </w:rPr>
        <w:t>Feris</w:t>
      </w:r>
      <w:proofErr w:type="spellEnd"/>
      <w:r w:rsidR="00EF0364" w:rsidRPr="0010796C">
        <w:rPr>
          <w:rFonts w:ascii="Cambria" w:hAnsi="Cambria"/>
          <w:sz w:val="20"/>
          <w:szCs w:val="20"/>
          <w:lang w:val="es-ES"/>
        </w:rPr>
        <w:t xml:space="preserve"> argumentó que las designaciones de las autoridades judiciales que conocieron sus causas tuvieron</w:t>
      </w:r>
      <w:r w:rsidR="005701C3" w:rsidRPr="0010796C">
        <w:rPr>
          <w:rFonts w:ascii="Cambria" w:hAnsi="Cambria"/>
          <w:sz w:val="20"/>
          <w:szCs w:val="20"/>
          <w:lang w:val="es-ES"/>
        </w:rPr>
        <w:t xml:space="preserve"> un trasfondo político, lo que</w:t>
      </w:r>
      <w:r w:rsidR="00EF0364" w:rsidRPr="0010796C">
        <w:rPr>
          <w:rFonts w:ascii="Cambria" w:hAnsi="Cambria"/>
          <w:sz w:val="20"/>
          <w:szCs w:val="20"/>
          <w:lang w:val="es-ES"/>
        </w:rPr>
        <w:t xml:space="preserve"> mediante múltiples irregularidades se procuró</w:t>
      </w:r>
      <w:r w:rsidR="009D3D98" w:rsidRPr="0010796C">
        <w:rPr>
          <w:rFonts w:ascii="Cambria" w:hAnsi="Cambria"/>
          <w:sz w:val="20"/>
          <w:szCs w:val="20"/>
          <w:lang w:val="es-ES"/>
        </w:rPr>
        <w:t>, con fines políticos,</w:t>
      </w:r>
      <w:r w:rsidR="00EF0364" w:rsidRPr="0010796C">
        <w:rPr>
          <w:rFonts w:ascii="Cambria" w:hAnsi="Cambria"/>
          <w:sz w:val="20"/>
          <w:szCs w:val="20"/>
          <w:lang w:val="es-ES"/>
        </w:rPr>
        <w:t xml:space="preserve"> que existiera juez y tribunal especialmente constituido para el conocimien</w:t>
      </w:r>
      <w:r w:rsidR="009D3D98" w:rsidRPr="0010796C">
        <w:rPr>
          <w:rFonts w:ascii="Cambria" w:hAnsi="Cambria"/>
          <w:sz w:val="20"/>
          <w:szCs w:val="20"/>
          <w:lang w:val="es-ES"/>
        </w:rPr>
        <w:t>to de dichas causas.</w:t>
      </w:r>
      <w:r w:rsidR="005A19AC" w:rsidRPr="0010796C">
        <w:rPr>
          <w:rFonts w:ascii="Cambria" w:hAnsi="Cambria"/>
          <w:sz w:val="20"/>
          <w:szCs w:val="20"/>
          <w:lang w:val="es-ES"/>
        </w:rPr>
        <w:t xml:space="preserve"> </w:t>
      </w:r>
      <w:r w:rsidR="00971DE8" w:rsidRPr="0010796C">
        <w:rPr>
          <w:rFonts w:ascii="Cambria" w:hAnsi="Cambria"/>
          <w:sz w:val="20"/>
          <w:szCs w:val="20"/>
          <w:lang w:val="es-ES"/>
        </w:rPr>
        <w:t xml:space="preserve">El trámite del proceso penal y los recursos presentados </w:t>
      </w:r>
      <w:r w:rsidR="003C491D" w:rsidRPr="0010796C">
        <w:rPr>
          <w:rFonts w:ascii="Cambria" w:hAnsi="Cambria"/>
          <w:sz w:val="20"/>
          <w:szCs w:val="20"/>
          <w:lang w:val="es-ES"/>
        </w:rPr>
        <w:t xml:space="preserve">respecto de las causas sobre las que la CIDH cuenta con documentación, </w:t>
      </w:r>
      <w:r w:rsidR="00971DE8" w:rsidRPr="0010796C">
        <w:rPr>
          <w:rFonts w:ascii="Cambria" w:hAnsi="Cambria"/>
          <w:sz w:val="20"/>
          <w:szCs w:val="20"/>
          <w:lang w:val="es-ES"/>
        </w:rPr>
        <w:t xml:space="preserve">se encuentran en la sección de Hechos Probados. </w:t>
      </w:r>
    </w:p>
    <w:p w:rsidR="003C491D" w:rsidRPr="0010796C" w:rsidRDefault="003C491D" w:rsidP="00D8343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A6731A" w:rsidRPr="0010796C" w:rsidRDefault="00A6731A" w:rsidP="00A6731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 xml:space="preserve">En relación con el </w:t>
      </w:r>
      <w:r w:rsidRPr="0010796C">
        <w:rPr>
          <w:rFonts w:ascii="Cambria" w:hAnsi="Cambria"/>
          <w:b/>
          <w:sz w:val="20"/>
          <w:szCs w:val="20"/>
          <w:lang w:val="es-ES"/>
        </w:rPr>
        <w:t>derecho a la libertad personal</w:t>
      </w:r>
      <w:r w:rsidRPr="0010796C">
        <w:rPr>
          <w:rFonts w:ascii="Cambria" w:hAnsi="Cambria"/>
          <w:sz w:val="20"/>
          <w:szCs w:val="20"/>
          <w:lang w:val="es-ES"/>
        </w:rPr>
        <w:t xml:space="preserve">, el peticionario alegó que </w:t>
      </w:r>
      <w:r w:rsidR="00971DE8" w:rsidRPr="0010796C">
        <w:rPr>
          <w:rFonts w:ascii="Cambria" w:hAnsi="Cambria"/>
          <w:sz w:val="20"/>
          <w:szCs w:val="20"/>
          <w:lang w:val="es-ES"/>
        </w:rPr>
        <w:t xml:space="preserve">el señor Romero estuvo detenido preventivamente </w:t>
      </w:r>
      <w:r w:rsidR="007006DE" w:rsidRPr="0010796C">
        <w:rPr>
          <w:rFonts w:ascii="Cambria" w:hAnsi="Cambria"/>
          <w:sz w:val="20"/>
          <w:szCs w:val="20"/>
          <w:lang w:val="es-ES"/>
        </w:rPr>
        <w:t xml:space="preserve">entre </w:t>
      </w:r>
      <w:r w:rsidR="00036367" w:rsidRPr="0010796C">
        <w:rPr>
          <w:rFonts w:ascii="Cambria" w:hAnsi="Cambria"/>
          <w:sz w:val="20"/>
          <w:szCs w:val="20"/>
          <w:lang w:val="es-ES"/>
        </w:rPr>
        <w:t xml:space="preserve">el 3 de agosto de </w:t>
      </w:r>
      <w:r w:rsidR="007006DE" w:rsidRPr="0010796C">
        <w:rPr>
          <w:rFonts w:ascii="Cambria" w:hAnsi="Cambria"/>
          <w:sz w:val="20"/>
          <w:szCs w:val="20"/>
          <w:lang w:val="es-ES"/>
        </w:rPr>
        <w:t xml:space="preserve">1999 y </w:t>
      </w:r>
      <w:r w:rsidR="00036367" w:rsidRPr="0010796C">
        <w:rPr>
          <w:rFonts w:ascii="Cambria" w:hAnsi="Cambria"/>
          <w:sz w:val="20"/>
          <w:szCs w:val="20"/>
          <w:lang w:val="es-ES"/>
        </w:rPr>
        <w:t xml:space="preserve">el 11 de septiembre de </w:t>
      </w:r>
      <w:r w:rsidR="007006DE" w:rsidRPr="0010796C">
        <w:rPr>
          <w:rFonts w:ascii="Cambria" w:hAnsi="Cambria"/>
          <w:sz w:val="20"/>
          <w:szCs w:val="20"/>
          <w:lang w:val="es-ES"/>
        </w:rPr>
        <w:t>2002</w:t>
      </w:r>
      <w:r w:rsidR="00036367" w:rsidRPr="0010796C">
        <w:rPr>
          <w:rFonts w:ascii="Cambria" w:hAnsi="Cambria"/>
          <w:sz w:val="20"/>
          <w:szCs w:val="20"/>
          <w:lang w:val="es-ES"/>
        </w:rPr>
        <w:t xml:space="preserve">. Sostuvo que la duración de la detención, de tres años y un mes, </w:t>
      </w:r>
      <w:r w:rsidR="00971DE8" w:rsidRPr="0010796C">
        <w:rPr>
          <w:rFonts w:ascii="Cambria" w:hAnsi="Cambria"/>
          <w:sz w:val="20"/>
          <w:szCs w:val="20"/>
          <w:lang w:val="es-ES"/>
        </w:rPr>
        <w:t>no fue razonable en tanto la Ley 24.390</w:t>
      </w:r>
      <w:r w:rsidR="00036367" w:rsidRPr="0010796C">
        <w:rPr>
          <w:rFonts w:ascii="Cambria" w:hAnsi="Cambria"/>
          <w:sz w:val="20"/>
          <w:szCs w:val="20"/>
          <w:lang w:val="es-ES"/>
        </w:rPr>
        <w:t xml:space="preserve"> – Plazos de Prisión Preventiva</w:t>
      </w:r>
      <w:r w:rsidR="00971DE8" w:rsidRPr="0010796C">
        <w:rPr>
          <w:rFonts w:ascii="Cambria" w:hAnsi="Cambria"/>
          <w:sz w:val="20"/>
          <w:szCs w:val="20"/>
          <w:lang w:val="es-ES"/>
        </w:rPr>
        <w:t xml:space="preserve"> establece un plazo máximo de dos años para</w:t>
      </w:r>
      <w:r w:rsidR="007C0CC7" w:rsidRPr="0010796C">
        <w:rPr>
          <w:rFonts w:ascii="Cambria" w:hAnsi="Cambria"/>
          <w:sz w:val="20"/>
          <w:szCs w:val="20"/>
          <w:lang w:val="es-ES"/>
        </w:rPr>
        <w:t xml:space="preserve"> dicha medida cautelar</w:t>
      </w:r>
      <w:r w:rsidR="00971DE8" w:rsidRPr="0010796C">
        <w:rPr>
          <w:rFonts w:ascii="Cambria" w:hAnsi="Cambria"/>
          <w:sz w:val="20"/>
          <w:szCs w:val="20"/>
          <w:lang w:val="es-ES"/>
        </w:rPr>
        <w:t xml:space="preserve">. Indicó que a pesar de que el señor Romero cuestionó el plazo de su </w:t>
      </w:r>
      <w:r w:rsidR="007E3AE1" w:rsidRPr="0010796C">
        <w:rPr>
          <w:rFonts w:ascii="Cambria" w:hAnsi="Cambria"/>
          <w:sz w:val="20"/>
          <w:szCs w:val="20"/>
          <w:lang w:val="es-ES"/>
        </w:rPr>
        <w:t>detención</w:t>
      </w:r>
      <w:r w:rsidR="00971DE8" w:rsidRPr="0010796C">
        <w:rPr>
          <w:rFonts w:ascii="Cambria" w:hAnsi="Cambria"/>
          <w:sz w:val="20"/>
          <w:szCs w:val="20"/>
          <w:lang w:val="es-ES"/>
        </w:rPr>
        <w:t xml:space="preserve"> preventiva, no se adoptó ninguna medida</w:t>
      </w:r>
      <w:r w:rsidR="007C0CC7" w:rsidRPr="0010796C">
        <w:rPr>
          <w:rFonts w:ascii="Cambria" w:hAnsi="Cambria"/>
          <w:sz w:val="20"/>
          <w:szCs w:val="20"/>
          <w:lang w:val="es-ES"/>
        </w:rPr>
        <w:t xml:space="preserve"> al respecto. </w:t>
      </w:r>
    </w:p>
    <w:p w:rsidR="00A6731A" w:rsidRPr="0010796C" w:rsidRDefault="00A6731A" w:rsidP="00A6731A">
      <w:pPr>
        <w:pStyle w:val="LightGrid-Accent31"/>
        <w:ind w:left="0"/>
        <w:rPr>
          <w:rFonts w:ascii="Cambria" w:hAnsi="Cambria"/>
          <w:sz w:val="20"/>
          <w:szCs w:val="20"/>
          <w:lang w:val="es-ES"/>
        </w:rPr>
      </w:pPr>
    </w:p>
    <w:p w:rsidR="00B22F7D" w:rsidRPr="0010796C" w:rsidRDefault="007C0CC7" w:rsidP="00D8343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 xml:space="preserve">En cuanto al </w:t>
      </w:r>
      <w:r w:rsidR="00F71CC8" w:rsidRPr="0010796C">
        <w:rPr>
          <w:rFonts w:ascii="Cambria" w:hAnsi="Cambria"/>
          <w:b/>
          <w:sz w:val="20"/>
          <w:szCs w:val="20"/>
          <w:lang w:val="es-ES"/>
        </w:rPr>
        <w:t>derecho a la</w:t>
      </w:r>
      <w:r w:rsidR="00796BC7" w:rsidRPr="0010796C">
        <w:rPr>
          <w:rFonts w:ascii="Cambria" w:hAnsi="Cambria"/>
          <w:b/>
          <w:sz w:val="20"/>
          <w:szCs w:val="20"/>
          <w:lang w:val="es-ES"/>
        </w:rPr>
        <w:t>s garantías judiciales y</w:t>
      </w:r>
      <w:r w:rsidR="00F71CC8" w:rsidRPr="0010796C">
        <w:rPr>
          <w:rFonts w:ascii="Cambria" w:hAnsi="Cambria"/>
          <w:b/>
          <w:sz w:val="20"/>
          <w:szCs w:val="20"/>
          <w:lang w:val="es-ES"/>
        </w:rPr>
        <w:t xml:space="preserve"> protección judicial</w:t>
      </w:r>
      <w:r w:rsidR="00F71CC8" w:rsidRPr="0010796C">
        <w:rPr>
          <w:rFonts w:ascii="Cambria" w:hAnsi="Cambria"/>
          <w:sz w:val="20"/>
          <w:szCs w:val="20"/>
          <w:lang w:val="es-ES"/>
        </w:rPr>
        <w:t>,</w:t>
      </w:r>
      <w:r w:rsidR="006E0CBE" w:rsidRPr="0010796C">
        <w:rPr>
          <w:rFonts w:ascii="Cambria" w:hAnsi="Cambria"/>
          <w:sz w:val="20"/>
          <w:szCs w:val="20"/>
          <w:lang w:val="es-ES"/>
        </w:rPr>
        <w:t xml:space="preserve"> el peticionario alegó que </w:t>
      </w:r>
      <w:r w:rsidR="00036367" w:rsidRPr="0010796C">
        <w:rPr>
          <w:rFonts w:ascii="Cambria" w:hAnsi="Cambria"/>
          <w:sz w:val="20"/>
          <w:szCs w:val="20"/>
          <w:lang w:val="es-ES"/>
        </w:rPr>
        <w:t xml:space="preserve">el proceso penal que se </w:t>
      </w:r>
      <w:r w:rsidR="00971DE8" w:rsidRPr="0010796C">
        <w:rPr>
          <w:rFonts w:ascii="Cambria" w:hAnsi="Cambria"/>
          <w:sz w:val="20"/>
          <w:szCs w:val="20"/>
          <w:lang w:val="es-ES"/>
        </w:rPr>
        <w:t xml:space="preserve">siguió </w:t>
      </w:r>
      <w:r w:rsidR="00036367" w:rsidRPr="0010796C">
        <w:rPr>
          <w:rFonts w:ascii="Cambria" w:hAnsi="Cambria"/>
          <w:sz w:val="20"/>
          <w:szCs w:val="20"/>
          <w:lang w:val="es-ES"/>
        </w:rPr>
        <w:t xml:space="preserve">al señor Romero </w:t>
      </w:r>
      <w:r w:rsidR="00971DE8" w:rsidRPr="0010796C">
        <w:rPr>
          <w:rFonts w:ascii="Cambria" w:hAnsi="Cambria"/>
          <w:sz w:val="20"/>
          <w:szCs w:val="20"/>
          <w:lang w:val="es-ES"/>
        </w:rPr>
        <w:t>no cumplió con el debido proceso. Ello debido a que el Estado vulneró el principio de juez natura</w:t>
      </w:r>
      <w:r w:rsidR="00E70C2C" w:rsidRPr="0010796C">
        <w:rPr>
          <w:rFonts w:ascii="Cambria" w:hAnsi="Cambria"/>
          <w:sz w:val="20"/>
          <w:szCs w:val="20"/>
          <w:lang w:val="es-ES"/>
        </w:rPr>
        <w:t>l en tanto el nombramiento del Juez de I</w:t>
      </w:r>
      <w:r w:rsidR="00971DE8" w:rsidRPr="0010796C">
        <w:rPr>
          <w:rFonts w:ascii="Cambria" w:hAnsi="Cambria"/>
          <w:sz w:val="20"/>
          <w:szCs w:val="20"/>
          <w:lang w:val="es-ES"/>
        </w:rPr>
        <w:t xml:space="preserve">nstrucción </w:t>
      </w:r>
      <w:r w:rsidR="00E70C2C" w:rsidRPr="0010796C">
        <w:rPr>
          <w:rFonts w:ascii="Cambria" w:hAnsi="Cambria"/>
          <w:sz w:val="20"/>
          <w:szCs w:val="20"/>
          <w:lang w:val="es-ES"/>
        </w:rPr>
        <w:t xml:space="preserve">no. 1 </w:t>
      </w:r>
      <w:r w:rsidR="00971DE8" w:rsidRPr="0010796C">
        <w:rPr>
          <w:rFonts w:ascii="Cambria" w:hAnsi="Cambria"/>
          <w:sz w:val="20"/>
          <w:szCs w:val="20"/>
          <w:lang w:val="es-ES"/>
        </w:rPr>
        <w:t>que conoció su caso se realizó de manera irregular. Agregó que dicho juez ocupó el noveno lugar en la tabla de puntajes del concurso para el cargo y a pesar de ello, fue</w:t>
      </w:r>
      <w:r w:rsidR="00E70C2C" w:rsidRPr="0010796C">
        <w:rPr>
          <w:rFonts w:ascii="Cambria" w:hAnsi="Cambria"/>
          <w:sz w:val="20"/>
          <w:szCs w:val="20"/>
          <w:lang w:val="es-ES"/>
        </w:rPr>
        <w:t xml:space="preserve"> investido con ese nombramiento</w:t>
      </w:r>
      <w:r w:rsidR="00971DE8" w:rsidRPr="0010796C">
        <w:rPr>
          <w:rFonts w:ascii="Cambria" w:hAnsi="Cambria"/>
          <w:sz w:val="20"/>
          <w:szCs w:val="20"/>
          <w:lang w:val="es-ES"/>
        </w:rPr>
        <w:t xml:space="preserve"> a pesar de que existían ocho personas con puntajes más altos que él. </w:t>
      </w:r>
    </w:p>
    <w:p w:rsidR="00971DE8" w:rsidRPr="0010796C" w:rsidRDefault="00971DE8" w:rsidP="00971DE8">
      <w:pPr>
        <w:pStyle w:val="LightGrid-Accent31"/>
        <w:rPr>
          <w:rFonts w:ascii="Cambria" w:hAnsi="Cambria"/>
          <w:sz w:val="20"/>
          <w:szCs w:val="20"/>
          <w:lang w:val="es-ES"/>
        </w:rPr>
      </w:pPr>
    </w:p>
    <w:p w:rsidR="00E70C2C" w:rsidRPr="0010796C" w:rsidRDefault="00971DE8" w:rsidP="005E24A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bdr w:val="none" w:sz="0" w:space="0" w:color="auto"/>
          <w:lang w:val="es-ES"/>
        </w:rPr>
      </w:pPr>
      <w:r w:rsidRPr="0010796C">
        <w:rPr>
          <w:rFonts w:ascii="Cambria" w:hAnsi="Cambria"/>
          <w:sz w:val="20"/>
          <w:szCs w:val="20"/>
          <w:lang w:val="es-ES"/>
        </w:rPr>
        <w:t>Adicionalmente, el peticionario alegó que la conformación de</w:t>
      </w:r>
      <w:r w:rsidR="00E70C2C" w:rsidRPr="0010796C">
        <w:rPr>
          <w:rFonts w:ascii="Cambria" w:hAnsi="Cambria"/>
          <w:sz w:val="20"/>
          <w:szCs w:val="20"/>
          <w:lang w:val="es-ES"/>
        </w:rPr>
        <w:t xml:space="preserve"> </w:t>
      </w:r>
      <w:r w:rsidRPr="0010796C">
        <w:rPr>
          <w:rFonts w:ascii="Cambria" w:hAnsi="Cambria"/>
          <w:sz w:val="20"/>
          <w:szCs w:val="20"/>
          <w:lang w:val="es-ES"/>
        </w:rPr>
        <w:t>l</w:t>
      </w:r>
      <w:r w:rsidR="00E70C2C" w:rsidRPr="0010796C">
        <w:rPr>
          <w:rFonts w:ascii="Cambria" w:hAnsi="Cambria"/>
          <w:sz w:val="20"/>
          <w:szCs w:val="20"/>
          <w:lang w:val="es-ES"/>
        </w:rPr>
        <w:t>a</w:t>
      </w:r>
      <w:r w:rsidRPr="0010796C">
        <w:rPr>
          <w:rFonts w:ascii="Cambria" w:hAnsi="Cambria"/>
          <w:sz w:val="20"/>
          <w:szCs w:val="20"/>
          <w:lang w:val="es-ES"/>
        </w:rPr>
        <w:t xml:space="preserve"> </w:t>
      </w:r>
      <w:r w:rsidR="007E3AE1" w:rsidRPr="0010796C">
        <w:rPr>
          <w:rFonts w:ascii="Cambria" w:hAnsi="Cambria"/>
          <w:sz w:val="20"/>
          <w:szCs w:val="20"/>
          <w:lang w:val="es-ES"/>
        </w:rPr>
        <w:t>Cámara en lo</w:t>
      </w:r>
      <w:r w:rsidR="005E24A0" w:rsidRPr="0010796C">
        <w:rPr>
          <w:rFonts w:ascii="Cambria" w:hAnsi="Cambria"/>
          <w:sz w:val="20"/>
          <w:szCs w:val="20"/>
          <w:lang w:val="es-ES"/>
        </w:rPr>
        <w:t xml:space="preserve"> Criminal No. 2</w:t>
      </w:r>
      <w:r w:rsidRPr="0010796C">
        <w:rPr>
          <w:rFonts w:ascii="Cambria" w:hAnsi="Cambria"/>
          <w:sz w:val="20"/>
          <w:szCs w:val="20"/>
          <w:lang w:val="es-ES"/>
        </w:rPr>
        <w:t xml:space="preserve"> que conoció su caso con posterioridad también se hizo de manera irregular. Ello en tanto el juzgado fue constituido por el Interventor Federal </w:t>
      </w:r>
      <w:r w:rsidR="005E24A0" w:rsidRPr="0010796C">
        <w:rPr>
          <w:rFonts w:ascii="Cambria" w:hAnsi="Cambria"/>
          <w:sz w:val="20"/>
          <w:szCs w:val="20"/>
          <w:lang w:val="es-ES"/>
        </w:rPr>
        <w:t xml:space="preserve">“en comisión”, </w:t>
      </w:r>
      <w:r w:rsidRPr="0010796C">
        <w:rPr>
          <w:rFonts w:ascii="Cambria" w:hAnsi="Cambria"/>
          <w:sz w:val="20"/>
          <w:szCs w:val="20"/>
          <w:lang w:val="es-ES"/>
        </w:rPr>
        <w:t>en contravención de lo dispuesto en el artículo 142 de la Constitución de la Provincia. Sostuvo que dicha norma establece que el juzgado debía ser nombrado por el Poder Ejecutivo con acuerdo del Senado.</w:t>
      </w:r>
      <w:r w:rsidR="00E33924" w:rsidRPr="0010796C">
        <w:rPr>
          <w:rFonts w:ascii="Cambria" w:hAnsi="Cambria"/>
          <w:sz w:val="20"/>
          <w:szCs w:val="20"/>
          <w:lang w:val="es-ES"/>
        </w:rPr>
        <w:t xml:space="preserve"> </w:t>
      </w:r>
      <w:r w:rsidR="001872E4" w:rsidRPr="0010796C">
        <w:rPr>
          <w:rFonts w:ascii="Cambria" w:hAnsi="Cambria"/>
          <w:sz w:val="20"/>
          <w:szCs w:val="20"/>
          <w:lang w:val="es-ES"/>
        </w:rPr>
        <w:t xml:space="preserve">Indicó que </w:t>
      </w:r>
      <w:r w:rsidR="005E24A0" w:rsidRPr="0010796C">
        <w:rPr>
          <w:rFonts w:ascii="Cambria" w:hAnsi="Cambria"/>
          <w:sz w:val="20"/>
          <w:szCs w:val="20"/>
          <w:lang w:val="es-ES"/>
        </w:rPr>
        <w:t xml:space="preserve">a pesar de cuestionar dicha conformación y recusar a los jueces de la Cámara, su solicitud fue rechazada </w:t>
      </w:r>
      <w:r w:rsidR="005E24A0" w:rsidRPr="0010796C">
        <w:rPr>
          <w:rFonts w:ascii="Cambria" w:hAnsi="Cambria"/>
          <w:i/>
          <w:sz w:val="20"/>
          <w:szCs w:val="20"/>
          <w:lang w:val="es-ES"/>
        </w:rPr>
        <w:t xml:space="preserve">in </w:t>
      </w:r>
      <w:proofErr w:type="spellStart"/>
      <w:r w:rsidR="005E24A0" w:rsidRPr="0010796C">
        <w:rPr>
          <w:rFonts w:ascii="Cambria" w:hAnsi="Cambria"/>
          <w:i/>
          <w:sz w:val="20"/>
          <w:szCs w:val="20"/>
          <w:lang w:val="es-ES"/>
        </w:rPr>
        <w:t>limine</w:t>
      </w:r>
      <w:proofErr w:type="spellEnd"/>
      <w:r w:rsidR="005E24A0" w:rsidRPr="0010796C">
        <w:rPr>
          <w:rFonts w:ascii="Cambria" w:hAnsi="Cambria"/>
          <w:sz w:val="20"/>
          <w:szCs w:val="20"/>
          <w:lang w:val="es-ES"/>
        </w:rPr>
        <w:t xml:space="preserve">. El peticionario </w:t>
      </w:r>
      <w:r w:rsidR="005E24A0" w:rsidRPr="0010796C">
        <w:rPr>
          <w:rFonts w:ascii="Cambria" w:hAnsi="Cambria"/>
          <w:sz w:val="20"/>
          <w:szCs w:val="20"/>
          <w:bdr w:val="none" w:sz="0" w:space="0" w:color="auto"/>
          <w:lang w:val="es-ES"/>
        </w:rPr>
        <w:t xml:space="preserve">señaló que uno de los magistrados de la Cámara, después de condenar </w:t>
      </w:r>
      <w:r w:rsidR="00FA0E87" w:rsidRPr="0010796C">
        <w:rPr>
          <w:rFonts w:ascii="Cambria" w:hAnsi="Cambria"/>
          <w:sz w:val="20"/>
          <w:szCs w:val="20"/>
          <w:bdr w:val="none" w:sz="0" w:space="0" w:color="auto"/>
          <w:lang w:val="es-ES"/>
        </w:rPr>
        <w:t>al señor Romero</w:t>
      </w:r>
      <w:r w:rsidR="005E24A0" w:rsidRPr="0010796C">
        <w:rPr>
          <w:rFonts w:ascii="Cambria" w:hAnsi="Cambria"/>
          <w:sz w:val="20"/>
          <w:szCs w:val="20"/>
          <w:bdr w:val="none" w:sz="0" w:space="0" w:color="auto"/>
          <w:lang w:val="es-ES"/>
        </w:rPr>
        <w:t>, envió un correo electrónico a distintos destinatarios -incluido el Senado de la Nación</w:t>
      </w:r>
      <w:r w:rsidR="001872E4" w:rsidRPr="0010796C">
        <w:rPr>
          <w:rFonts w:ascii="Cambria" w:hAnsi="Cambria"/>
          <w:sz w:val="20"/>
          <w:szCs w:val="20"/>
          <w:bdr w:val="none" w:sz="0" w:space="0" w:color="auto"/>
          <w:lang w:val="es-ES"/>
        </w:rPr>
        <w:t xml:space="preserve"> </w:t>
      </w:r>
      <w:r w:rsidR="005E24A0" w:rsidRPr="0010796C">
        <w:rPr>
          <w:rFonts w:ascii="Cambria" w:hAnsi="Cambria"/>
          <w:sz w:val="20"/>
          <w:szCs w:val="20"/>
          <w:bdr w:val="none" w:sz="0" w:space="0" w:color="auto"/>
          <w:lang w:val="es-ES"/>
        </w:rPr>
        <w:t>- en el que se refiere a la sentencia emitida y a la presunta víctima en términos ofensivos y descalificatorios, llamándole “siniestro personaje” y responsabilizándolo de haber “hundido a esta Provincia en la pobreza, la indigencia”.</w:t>
      </w:r>
    </w:p>
    <w:p w:rsidR="00E70C2C" w:rsidRPr="0010796C" w:rsidRDefault="00E70C2C" w:rsidP="00E70C2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E33924" w:rsidRPr="0010796C" w:rsidRDefault="00E33924" w:rsidP="00D8343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Indicó que el Supremo Tribunal de Justicia de la Provincia de Corrientes, que también conoció su caso, fue conformado de forma irregular. Ello en tanto deberían haber votado cinco miembros del tribunal y no tres, como sucedió en el presente caso.</w:t>
      </w:r>
    </w:p>
    <w:p w:rsidR="001A32E4" w:rsidRPr="0010796C" w:rsidRDefault="001A32E4" w:rsidP="00202D9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1A32E4" w:rsidRPr="0010796C" w:rsidRDefault="001A32E4" w:rsidP="00D8343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 xml:space="preserve">La Comisión observa que de los recursos presentados resultan otros argumentos relacionados con cuestiones de alegada falta de imparcialidad de las autoridades que conocieron </w:t>
      </w:r>
      <w:r w:rsidR="000D63B5" w:rsidRPr="0010796C">
        <w:rPr>
          <w:rFonts w:ascii="Cambria" w:hAnsi="Cambria"/>
          <w:sz w:val="20"/>
          <w:szCs w:val="20"/>
          <w:lang w:val="es-ES"/>
        </w:rPr>
        <w:t>las causas. Tales argumentos serán detallados</w:t>
      </w:r>
      <w:r w:rsidR="0038642B" w:rsidRPr="0010796C">
        <w:rPr>
          <w:rFonts w:ascii="Cambria" w:hAnsi="Cambria"/>
          <w:sz w:val="20"/>
          <w:szCs w:val="20"/>
          <w:lang w:val="es-ES"/>
        </w:rPr>
        <w:t xml:space="preserve"> </w:t>
      </w:r>
      <w:r w:rsidR="000D63B5" w:rsidRPr="0010796C">
        <w:rPr>
          <w:rFonts w:ascii="Cambria" w:hAnsi="Cambria"/>
          <w:sz w:val="20"/>
          <w:szCs w:val="20"/>
          <w:lang w:val="es-ES"/>
        </w:rPr>
        <w:t xml:space="preserve">en la sección de hechos probados. </w:t>
      </w:r>
    </w:p>
    <w:p w:rsidR="00E33924" w:rsidRPr="0010796C" w:rsidRDefault="00E33924" w:rsidP="00E33924">
      <w:pPr>
        <w:pStyle w:val="LightGrid-Accent31"/>
        <w:rPr>
          <w:rFonts w:ascii="Cambria" w:hAnsi="Cambria"/>
          <w:sz w:val="20"/>
          <w:szCs w:val="20"/>
          <w:lang w:val="es-ES"/>
        </w:rPr>
      </w:pPr>
    </w:p>
    <w:p w:rsidR="00971DE8" w:rsidRPr="0010796C" w:rsidRDefault="00E33924" w:rsidP="00D8343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Sostuvo que el señor Romero presentó diversos recursos cuestionando las afectaciones al debido proceso</w:t>
      </w:r>
      <w:r w:rsidR="001872E4" w:rsidRPr="0010796C">
        <w:rPr>
          <w:rFonts w:ascii="Cambria" w:hAnsi="Cambria"/>
          <w:sz w:val="20"/>
          <w:szCs w:val="20"/>
          <w:lang w:val="es-ES"/>
        </w:rPr>
        <w:t xml:space="preserve"> mencionadas</w:t>
      </w:r>
      <w:r w:rsidRPr="0010796C">
        <w:rPr>
          <w:rFonts w:ascii="Cambria" w:hAnsi="Cambria"/>
          <w:sz w:val="20"/>
          <w:szCs w:val="20"/>
          <w:lang w:val="es-ES"/>
        </w:rPr>
        <w:t xml:space="preserve">. Indicó que los recursos no fueron adecuados ni efectivos </w:t>
      </w:r>
      <w:r w:rsidR="001872E4" w:rsidRPr="0010796C">
        <w:rPr>
          <w:rFonts w:ascii="Cambria" w:hAnsi="Cambria"/>
          <w:sz w:val="20"/>
          <w:szCs w:val="20"/>
          <w:lang w:val="es-ES"/>
        </w:rPr>
        <w:t xml:space="preserve">pues no </w:t>
      </w:r>
      <w:r w:rsidRPr="0010796C">
        <w:rPr>
          <w:rFonts w:ascii="Cambria" w:hAnsi="Cambria"/>
          <w:sz w:val="20"/>
          <w:szCs w:val="20"/>
          <w:lang w:val="es-ES"/>
        </w:rPr>
        <w:t xml:space="preserve">remediaron </w:t>
      </w:r>
      <w:r w:rsidR="001872E4" w:rsidRPr="0010796C">
        <w:rPr>
          <w:rFonts w:ascii="Cambria" w:hAnsi="Cambria"/>
          <w:sz w:val="20"/>
          <w:szCs w:val="20"/>
          <w:lang w:val="es-ES"/>
        </w:rPr>
        <w:t>la</w:t>
      </w:r>
      <w:r w:rsidRPr="0010796C">
        <w:rPr>
          <w:rFonts w:ascii="Cambria" w:hAnsi="Cambria"/>
          <w:sz w:val="20"/>
          <w:szCs w:val="20"/>
          <w:lang w:val="es-ES"/>
        </w:rPr>
        <w:t xml:space="preserve"> situación</w:t>
      </w:r>
      <w:r w:rsidR="001872E4" w:rsidRPr="0010796C">
        <w:rPr>
          <w:rFonts w:ascii="Cambria" w:hAnsi="Cambria"/>
          <w:sz w:val="20"/>
          <w:szCs w:val="20"/>
          <w:lang w:val="es-ES"/>
        </w:rPr>
        <w:t xml:space="preserve"> denunciada</w:t>
      </w:r>
      <w:r w:rsidRPr="0010796C">
        <w:rPr>
          <w:rFonts w:ascii="Cambria" w:hAnsi="Cambria"/>
          <w:sz w:val="20"/>
          <w:szCs w:val="20"/>
          <w:lang w:val="es-ES"/>
        </w:rPr>
        <w:t xml:space="preserve">. </w:t>
      </w:r>
      <w:r w:rsidR="00630725" w:rsidRPr="0010796C">
        <w:rPr>
          <w:rFonts w:ascii="Cambria" w:hAnsi="Cambria"/>
          <w:sz w:val="20"/>
          <w:szCs w:val="20"/>
          <w:lang w:val="es-ES"/>
        </w:rPr>
        <w:t xml:space="preserve">También alegó que </w:t>
      </w:r>
      <w:r w:rsidRPr="0010796C">
        <w:rPr>
          <w:rFonts w:ascii="Cambria" w:hAnsi="Cambria"/>
          <w:sz w:val="20"/>
          <w:szCs w:val="20"/>
          <w:lang w:val="es-ES"/>
        </w:rPr>
        <w:t>se afectó su derecho a la revisión del fallo en tanto la Corte Suprema de Justicia de la Nación declaró inadmisible su recurso.</w:t>
      </w:r>
    </w:p>
    <w:p w:rsidR="00A6731A" w:rsidRPr="0010796C" w:rsidRDefault="00A6731A" w:rsidP="00A6731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DB43BD" w:rsidRPr="0010796C" w:rsidRDefault="00DB43BD" w:rsidP="00D8343A">
      <w:pPr>
        <w:pStyle w:val="Heading2"/>
        <w:rPr>
          <w:szCs w:val="20"/>
          <w:lang w:val="es-ES"/>
        </w:rPr>
      </w:pPr>
      <w:bookmarkStart w:id="28" w:name="_Toc370831284"/>
      <w:bookmarkStart w:id="29" w:name="_Toc412635573"/>
      <w:bookmarkStart w:id="30" w:name="_Toc416685629"/>
      <w:bookmarkStart w:id="31" w:name="_Toc346449081"/>
      <w:bookmarkStart w:id="32" w:name="_Toc474398488"/>
      <w:bookmarkStart w:id="33" w:name="_Toc486526408"/>
      <w:r w:rsidRPr="0010796C">
        <w:rPr>
          <w:szCs w:val="20"/>
          <w:lang w:val="es-ES"/>
        </w:rPr>
        <w:t xml:space="preserve">B. </w:t>
      </w:r>
      <w:r w:rsidRPr="0010796C">
        <w:rPr>
          <w:szCs w:val="20"/>
          <w:lang w:val="es-ES"/>
        </w:rPr>
        <w:tab/>
        <w:t>Posición del Estado</w:t>
      </w:r>
      <w:bookmarkEnd w:id="28"/>
      <w:bookmarkEnd w:id="29"/>
      <w:bookmarkEnd w:id="30"/>
      <w:bookmarkEnd w:id="31"/>
      <w:bookmarkEnd w:id="32"/>
      <w:bookmarkEnd w:id="33"/>
    </w:p>
    <w:p w:rsidR="00DB43BD" w:rsidRPr="0010796C" w:rsidRDefault="00DB43BD" w:rsidP="00D8343A">
      <w:pPr>
        <w:ind w:firstLine="567"/>
        <w:rPr>
          <w:rFonts w:ascii="Cambria" w:hAnsi="Cambria"/>
          <w:sz w:val="20"/>
          <w:szCs w:val="20"/>
          <w:lang w:val="es-ES"/>
        </w:rPr>
      </w:pPr>
    </w:p>
    <w:p w:rsidR="00BD53F4" w:rsidRPr="0010796C" w:rsidRDefault="0082235D" w:rsidP="00A6731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 xml:space="preserve">El Estado </w:t>
      </w:r>
      <w:r w:rsidR="00E33924" w:rsidRPr="0010796C">
        <w:rPr>
          <w:rFonts w:ascii="Cambria" w:hAnsi="Cambria"/>
          <w:sz w:val="20"/>
          <w:szCs w:val="20"/>
          <w:lang w:val="es-ES"/>
        </w:rPr>
        <w:t xml:space="preserve">indicó que </w:t>
      </w:r>
      <w:r w:rsidR="00FA0E87" w:rsidRPr="0010796C">
        <w:rPr>
          <w:rFonts w:ascii="Cambria" w:hAnsi="Cambria"/>
          <w:sz w:val="20"/>
          <w:szCs w:val="20"/>
          <w:lang w:val="es-ES"/>
        </w:rPr>
        <w:t xml:space="preserve">no </w:t>
      </w:r>
      <w:r w:rsidR="00E33924" w:rsidRPr="0010796C">
        <w:rPr>
          <w:rFonts w:ascii="Cambria" w:hAnsi="Cambria"/>
          <w:sz w:val="20"/>
          <w:szCs w:val="20"/>
          <w:lang w:val="es-ES"/>
        </w:rPr>
        <w:t xml:space="preserve">es responsable por </w:t>
      </w:r>
      <w:r w:rsidR="00137D30" w:rsidRPr="0010796C">
        <w:rPr>
          <w:rFonts w:ascii="Cambria" w:hAnsi="Cambria"/>
          <w:sz w:val="20"/>
          <w:szCs w:val="20"/>
          <w:lang w:val="es-ES"/>
        </w:rPr>
        <w:t xml:space="preserve">las violaciones alegadas por </w:t>
      </w:r>
      <w:r w:rsidR="00E33924" w:rsidRPr="0010796C">
        <w:rPr>
          <w:rFonts w:ascii="Cambria" w:hAnsi="Cambria"/>
          <w:sz w:val="20"/>
          <w:szCs w:val="20"/>
          <w:lang w:val="es-ES"/>
        </w:rPr>
        <w:t xml:space="preserve">el peticionario. </w:t>
      </w:r>
      <w:r w:rsidR="00137D30" w:rsidRPr="0010796C">
        <w:rPr>
          <w:rFonts w:ascii="Cambria" w:hAnsi="Cambria"/>
          <w:sz w:val="20"/>
          <w:szCs w:val="20"/>
          <w:lang w:val="es-ES"/>
        </w:rPr>
        <w:t xml:space="preserve">Alegó </w:t>
      </w:r>
      <w:r w:rsidR="00E33924" w:rsidRPr="0010796C">
        <w:rPr>
          <w:rFonts w:ascii="Cambria" w:hAnsi="Cambria"/>
          <w:sz w:val="20"/>
          <w:szCs w:val="20"/>
          <w:lang w:val="es-ES"/>
        </w:rPr>
        <w:t>que el proceso penal seguido al señor Romero cumplió con el debido proceso y se realizó en un tiempo razonable.</w:t>
      </w:r>
    </w:p>
    <w:p w:rsidR="00E33924" w:rsidRPr="0010796C" w:rsidRDefault="00E33924" w:rsidP="00E3392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E33924" w:rsidRPr="0010796C" w:rsidRDefault="00E33924" w:rsidP="00A6731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lastRenderedPageBreak/>
        <w:t xml:space="preserve">El Estado manifestó que cada una de las presuntas violaciones alegadas por el peticionario fueron analizadas por los tribunales internos, </w:t>
      </w:r>
      <w:r w:rsidR="00541549" w:rsidRPr="0010796C">
        <w:rPr>
          <w:rFonts w:ascii="Cambria" w:hAnsi="Cambria"/>
          <w:sz w:val="20"/>
          <w:szCs w:val="20"/>
          <w:lang w:val="es-ES"/>
        </w:rPr>
        <w:t xml:space="preserve">los cuales </w:t>
      </w:r>
      <w:r w:rsidRPr="0010796C">
        <w:rPr>
          <w:rFonts w:ascii="Cambria" w:hAnsi="Cambria"/>
          <w:sz w:val="20"/>
          <w:szCs w:val="20"/>
          <w:lang w:val="es-ES"/>
        </w:rPr>
        <w:t>consider</w:t>
      </w:r>
      <w:r w:rsidR="007E3AE1" w:rsidRPr="0010796C">
        <w:rPr>
          <w:rFonts w:ascii="Cambria" w:hAnsi="Cambria"/>
          <w:sz w:val="20"/>
          <w:szCs w:val="20"/>
          <w:lang w:val="es-ES"/>
        </w:rPr>
        <w:t>aron</w:t>
      </w:r>
      <w:r w:rsidRPr="0010796C">
        <w:rPr>
          <w:rFonts w:ascii="Cambria" w:hAnsi="Cambria"/>
          <w:sz w:val="20"/>
          <w:szCs w:val="20"/>
          <w:lang w:val="es-ES"/>
        </w:rPr>
        <w:t xml:space="preserve"> ampliamente </w:t>
      </w:r>
      <w:r w:rsidR="00541549" w:rsidRPr="0010796C">
        <w:rPr>
          <w:rFonts w:ascii="Cambria" w:hAnsi="Cambria"/>
          <w:sz w:val="20"/>
          <w:szCs w:val="20"/>
          <w:lang w:val="es-ES"/>
        </w:rPr>
        <w:t>los</w:t>
      </w:r>
      <w:r w:rsidRPr="0010796C">
        <w:rPr>
          <w:rFonts w:ascii="Cambria" w:hAnsi="Cambria"/>
          <w:sz w:val="20"/>
          <w:szCs w:val="20"/>
          <w:lang w:val="es-ES"/>
        </w:rPr>
        <w:t xml:space="preserve"> argumentos y pruebas presentadas. Sostuvo que el sólo hecho</w:t>
      </w:r>
      <w:r w:rsidR="007E3AE1" w:rsidRPr="0010796C">
        <w:rPr>
          <w:rFonts w:ascii="Cambria" w:hAnsi="Cambria"/>
          <w:sz w:val="20"/>
          <w:szCs w:val="20"/>
          <w:lang w:val="es-ES"/>
        </w:rPr>
        <w:t xml:space="preserve"> de que el señor Romero esté in</w:t>
      </w:r>
      <w:r w:rsidRPr="0010796C">
        <w:rPr>
          <w:rFonts w:ascii="Cambria" w:hAnsi="Cambria"/>
          <w:sz w:val="20"/>
          <w:szCs w:val="20"/>
          <w:lang w:val="es-ES"/>
        </w:rPr>
        <w:t>conforme con las decisiones adoptadas por los tribunales internos no puede constituir una vulneración de los derechos a las garantías judiciales y protección judicial.</w:t>
      </w:r>
    </w:p>
    <w:p w:rsidR="00E33924" w:rsidRPr="0010796C" w:rsidRDefault="00E33924" w:rsidP="00E33924">
      <w:pPr>
        <w:pStyle w:val="LightGrid-Accent31"/>
        <w:rPr>
          <w:rFonts w:asciiTheme="majorHAnsi" w:hAnsiTheme="majorHAnsi"/>
          <w:sz w:val="20"/>
          <w:szCs w:val="20"/>
          <w:lang w:val="es-ES"/>
        </w:rPr>
      </w:pPr>
    </w:p>
    <w:p w:rsidR="00E25967" w:rsidRPr="0010796C" w:rsidRDefault="00633F25" w:rsidP="009C4A1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heme="majorHAnsi" w:hAnsiTheme="majorHAnsi"/>
          <w:sz w:val="20"/>
          <w:szCs w:val="20"/>
          <w:lang w:val="es-ES"/>
        </w:rPr>
      </w:pPr>
      <w:r w:rsidRPr="0010796C">
        <w:rPr>
          <w:rFonts w:asciiTheme="majorHAnsi" w:hAnsiTheme="majorHAnsi"/>
          <w:sz w:val="20"/>
          <w:szCs w:val="20"/>
          <w:lang w:val="es-ES"/>
        </w:rPr>
        <w:t xml:space="preserve">Agregó que el </w:t>
      </w:r>
      <w:bookmarkStart w:id="34" w:name="_Toc346449082"/>
      <w:bookmarkStart w:id="35" w:name="_Toc474398489"/>
      <w:r w:rsidR="00E33924" w:rsidRPr="0010796C">
        <w:rPr>
          <w:rFonts w:asciiTheme="majorHAnsi" w:hAnsiTheme="majorHAnsi" w:cs="Calibri"/>
          <w:sz w:val="20"/>
          <w:szCs w:val="20"/>
          <w:lang w:val="es-ES"/>
        </w:rPr>
        <w:t xml:space="preserve">peticionario pretende que la Comisión actúe como una cuarta instancia. </w:t>
      </w:r>
      <w:r w:rsidRPr="0010796C">
        <w:rPr>
          <w:rFonts w:asciiTheme="majorHAnsi" w:hAnsiTheme="majorHAnsi" w:cs="Calibri"/>
          <w:sz w:val="20"/>
          <w:szCs w:val="20"/>
          <w:lang w:val="es-ES"/>
        </w:rPr>
        <w:t>Sostuvo que la CIDH</w:t>
      </w:r>
      <w:r w:rsidR="00E33924" w:rsidRPr="0010796C">
        <w:rPr>
          <w:rFonts w:asciiTheme="majorHAnsi" w:hAnsiTheme="majorHAnsi" w:cs="Calibri"/>
          <w:sz w:val="20"/>
          <w:szCs w:val="20"/>
          <w:lang w:val="es-ES"/>
        </w:rPr>
        <w:t xml:space="preserve"> no puede revisar las sentencias dictadas por los tribunales nacionales que actúen en la esfera de su competencia y </w:t>
      </w:r>
      <w:r w:rsidRPr="0010796C">
        <w:rPr>
          <w:rFonts w:asciiTheme="majorHAnsi" w:hAnsiTheme="majorHAnsi" w:cs="Calibri"/>
          <w:sz w:val="20"/>
          <w:szCs w:val="20"/>
          <w:lang w:val="es-ES"/>
        </w:rPr>
        <w:t>hayan aplicado</w:t>
      </w:r>
      <w:r w:rsidR="00E33924" w:rsidRPr="0010796C">
        <w:rPr>
          <w:rFonts w:asciiTheme="majorHAnsi" w:hAnsiTheme="majorHAnsi" w:cs="Calibri"/>
          <w:sz w:val="20"/>
          <w:szCs w:val="20"/>
          <w:lang w:val="es-ES"/>
        </w:rPr>
        <w:t xml:space="preserve"> las debidas garantías judiciales, </w:t>
      </w:r>
      <w:r w:rsidRPr="0010796C">
        <w:rPr>
          <w:rFonts w:asciiTheme="majorHAnsi" w:hAnsiTheme="majorHAnsi" w:cs="Calibri"/>
          <w:sz w:val="20"/>
          <w:szCs w:val="20"/>
          <w:lang w:val="es-ES"/>
        </w:rPr>
        <w:t>tal como sucedió en el presente caso</w:t>
      </w:r>
      <w:r w:rsidR="00E33924" w:rsidRPr="0010796C">
        <w:rPr>
          <w:rFonts w:asciiTheme="majorHAnsi" w:hAnsiTheme="majorHAnsi" w:cs="Calibri"/>
          <w:sz w:val="20"/>
          <w:szCs w:val="20"/>
          <w:lang w:val="es-ES"/>
        </w:rPr>
        <w:t>.</w:t>
      </w:r>
      <w:r w:rsidRPr="0010796C">
        <w:rPr>
          <w:rFonts w:asciiTheme="majorHAnsi" w:hAnsiTheme="majorHAnsi" w:cs="Calibri"/>
          <w:sz w:val="20"/>
          <w:szCs w:val="20"/>
          <w:lang w:val="es-ES"/>
        </w:rPr>
        <w:t xml:space="preserve"> </w:t>
      </w:r>
    </w:p>
    <w:p w:rsidR="00E25967" w:rsidRPr="0010796C" w:rsidRDefault="00E25967" w:rsidP="009C4A18">
      <w:pPr>
        <w:rPr>
          <w:rFonts w:asciiTheme="majorHAnsi" w:hAnsiTheme="majorHAnsi"/>
          <w:sz w:val="20"/>
          <w:szCs w:val="20"/>
          <w:lang w:val="es-ES"/>
        </w:rPr>
      </w:pPr>
    </w:p>
    <w:p w:rsidR="00E25967" w:rsidRPr="0010796C" w:rsidRDefault="00E25967" w:rsidP="006B7EB8">
      <w:pPr>
        <w:pStyle w:val="Heading1"/>
        <w:rPr>
          <w:rFonts w:asciiTheme="majorHAnsi" w:hAnsiTheme="majorHAnsi"/>
          <w:lang w:val="es-ES"/>
        </w:rPr>
      </w:pPr>
      <w:bookmarkStart w:id="36" w:name="_Toc486526409"/>
      <w:r w:rsidRPr="0010796C">
        <w:rPr>
          <w:rFonts w:asciiTheme="majorHAnsi" w:hAnsiTheme="majorHAnsi"/>
          <w:lang w:val="es-ES"/>
        </w:rPr>
        <w:t>HECHOS PROBADOS</w:t>
      </w:r>
      <w:bookmarkEnd w:id="36"/>
    </w:p>
    <w:p w:rsidR="00E25967" w:rsidRPr="0010796C" w:rsidRDefault="00E25967" w:rsidP="00E25967">
      <w:pPr>
        <w:rPr>
          <w:rFonts w:asciiTheme="majorHAnsi" w:hAnsiTheme="majorHAnsi"/>
          <w:sz w:val="20"/>
          <w:szCs w:val="20"/>
          <w:lang w:val="es-ES"/>
        </w:rPr>
      </w:pPr>
    </w:p>
    <w:p w:rsidR="00E25967" w:rsidRPr="0010796C" w:rsidRDefault="00E25967" w:rsidP="000633CC">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hanging="2160"/>
        <w:jc w:val="both"/>
        <w:rPr>
          <w:rFonts w:asciiTheme="majorHAnsi" w:hAnsiTheme="majorHAnsi"/>
          <w:b/>
          <w:sz w:val="20"/>
          <w:szCs w:val="20"/>
          <w:lang w:val="es-ES"/>
        </w:rPr>
      </w:pPr>
      <w:bookmarkStart w:id="37" w:name="_Toc346449083"/>
      <w:bookmarkStart w:id="38" w:name="_Toc474398490"/>
      <w:r w:rsidRPr="0010796C">
        <w:rPr>
          <w:rFonts w:asciiTheme="majorHAnsi" w:hAnsiTheme="majorHAnsi"/>
          <w:b/>
          <w:sz w:val="20"/>
          <w:szCs w:val="20"/>
          <w:lang w:val="es-ES"/>
        </w:rPr>
        <w:t xml:space="preserve">Sobre </w:t>
      </w:r>
      <w:r w:rsidR="00B949A4" w:rsidRPr="0010796C">
        <w:rPr>
          <w:rFonts w:asciiTheme="majorHAnsi" w:hAnsiTheme="majorHAnsi"/>
          <w:b/>
          <w:sz w:val="20"/>
          <w:szCs w:val="20"/>
          <w:lang w:val="es-ES"/>
        </w:rPr>
        <w:t>el</w:t>
      </w:r>
      <w:r w:rsidRPr="0010796C">
        <w:rPr>
          <w:rFonts w:asciiTheme="majorHAnsi" w:hAnsiTheme="majorHAnsi"/>
          <w:b/>
          <w:sz w:val="20"/>
          <w:szCs w:val="20"/>
          <w:lang w:val="es-ES"/>
        </w:rPr>
        <w:t xml:space="preserve"> señor Romero</w:t>
      </w:r>
      <w:bookmarkEnd w:id="37"/>
      <w:bookmarkEnd w:id="38"/>
      <w:r w:rsidR="0044095F" w:rsidRPr="0010796C">
        <w:rPr>
          <w:rFonts w:asciiTheme="majorHAnsi" w:hAnsiTheme="majorHAnsi"/>
          <w:b/>
          <w:sz w:val="20"/>
          <w:szCs w:val="20"/>
          <w:lang w:val="es-ES"/>
        </w:rPr>
        <w:t xml:space="preserve"> </w:t>
      </w:r>
      <w:proofErr w:type="spellStart"/>
      <w:r w:rsidR="0044095F" w:rsidRPr="0010796C">
        <w:rPr>
          <w:rFonts w:asciiTheme="majorHAnsi" w:hAnsiTheme="majorHAnsi"/>
          <w:b/>
          <w:sz w:val="20"/>
          <w:szCs w:val="20"/>
          <w:lang w:val="es-ES"/>
        </w:rPr>
        <w:t>Feris</w:t>
      </w:r>
      <w:proofErr w:type="spellEnd"/>
      <w:r w:rsidR="0044095F" w:rsidRPr="0010796C">
        <w:rPr>
          <w:rFonts w:asciiTheme="majorHAnsi" w:hAnsiTheme="majorHAnsi"/>
          <w:b/>
          <w:sz w:val="20"/>
          <w:szCs w:val="20"/>
          <w:lang w:val="es-ES"/>
        </w:rPr>
        <w:t xml:space="preserve"> </w:t>
      </w:r>
    </w:p>
    <w:p w:rsidR="00E25967" w:rsidRPr="0010796C" w:rsidRDefault="00E25967" w:rsidP="001B2BD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p>
    <w:p w:rsidR="009C4A18" w:rsidRPr="0010796C" w:rsidRDefault="009C4A18" w:rsidP="004C53C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heme="majorHAnsi" w:hAnsiTheme="majorHAnsi"/>
          <w:sz w:val="20"/>
          <w:szCs w:val="20"/>
          <w:lang w:val="es-ES"/>
        </w:rPr>
      </w:pPr>
      <w:r w:rsidRPr="0010796C">
        <w:rPr>
          <w:rFonts w:asciiTheme="majorHAnsi" w:hAnsiTheme="majorHAnsi"/>
          <w:sz w:val="20"/>
          <w:szCs w:val="20"/>
          <w:lang w:val="es-ES"/>
        </w:rPr>
        <w:t xml:space="preserve">La CIDH nota que </w:t>
      </w:r>
      <w:r w:rsidR="00A359AD" w:rsidRPr="0010796C">
        <w:rPr>
          <w:rFonts w:asciiTheme="majorHAnsi" w:hAnsiTheme="majorHAnsi"/>
          <w:sz w:val="20"/>
          <w:szCs w:val="20"/>
          <w:lang w:val="es-ES"/>
        </w:rPr>
        <w:t xml:space="preserve">el </w:t>
      </w:r>
      <w:r w:rsidR="00036367" w:rsidRPr="0010796C">
        <w:rPr>
          <w:rFonts w:asciiTheme="majorHAnsi" w:hAnsiTheme="majorHAnsi"/>
          <w:sz w:val="20"/>
          <w:szCs w:val="20"/>
          <w:lang w:val="es-ES"/>
        </w:rPr>
        <w:t>peticionario</w:t>
      </w:r>
      <w:r w:rsidRPr="0010796C">
        <w:rPr>
          <w:rFonts w:asciiTheme="majorHAnsi" w:hAnsiTheme="majorHAnsi"/>
          <w:sz w:val="20"/>
          <w:szCs w:val="20"/>
          <w:lang w:val="es-ES"/>
        </w:rPr>
        <w:t xml:space="preserve"> inform</w:t>
      </w:r>
      <w:r w:rsidR="00A359AD" w:rsidRPr="0010796C">
        <w:rPr>
          <w:rFonts w:asciiTheme="majorHAnsi" w:hAnsiTheme="majorHAnsi"/>
          <w:sz w:val="20"/>
          <w:szCs w:val="20"/>
          <w:lang w:val="es-ES"/>
        </w:rPr>
        <w:t>ó</w:t>
      </w:r>
      <w:r w:rsidRPr="0010796C">
        <w:rPr>
          <w:rFonts w:asciiTheme="majorHAnsi" w:hAnsiTheme="majorHAnsi"/>
          <w:sz w:val="20"/>
          <w:szCs w:val="20"/>
          <w:lang w:val="es-ES"/>
        </w:rPr>
        <w:t xml:space="preserve"> sobre los diferentes cargos</w:t>
      </w:r>
      <w:r w:rsidR="005C5C5F" w:rsidRPr="0010796C">
        <w:rPr>
          <w:rFonts w:asciiTheme="majorHAnsi" w:hAnsiTheme="majorHAnsi"/>
          <w:sz w:val="20"/>
          <w:szCs w:val="20"/>
          <w:lang w:val="es-ES"/>
        </w:rPr>
        <w:t xml:space="preserve"> públicos ejercidos por</w:t>
      </w:r>
      <w:r w:rsidRPr="0010796C">
        <w:rPr>
          <w:rFonts w:asciiTheme="majorHAnsi" w:hAnsiTheme="majorHAnsi"/>
          <w:sz w:val="20"/>
          <w:szCs w:val="20"/>
          <w:lang w:val="es-ES"/>
        </w:rPr>
        <w:t xml:space="preserve"> </w:t>
      </w:r>
      <w:r w:rsidR="001B2BD0" w:rsidRPr="0010796C">
        <w:rPr>
          <w:rFonts w:asciiTheme="majorHAnsi" w:hAnsiTheme="majorHAnsi"/>
          <w:sz w:val="20"/>
          <w:szCs w:val="20"/>
          <w:lang w:val="es-ES"/>
        </w:rPr>
        <w:t>Raúl Rolando Romero</w:t>
      </w:r>
      <w:r w:rsidR="004C53CE" w:rsidRPr="0010796C">
        <w:rPr>
          <w:rFonts w:asciiTheme="majorHAnsi" w:hAnsiTheme="majorHAnsi"/>
          <w:sz w:val="20"/>
          <w:szCs w:val="20"/>
          <w:lang w:val="es-ES"/>
        </w:rPr>
        <w:t xml:space="preserve"> </w:t>
      </w:r>
      <w:proofErr w:type="spellStart"/>
      <w:r w:rsidR="004C53CE" w:rsidRPr="0010796C">
        <w:rPr>
          <w:rFonts w:asciiTheme="majorHAnsi" w:hAnsiTheme="majorHAnsi"/>
          <w:sz w:val="20"/>
          <w:szCs w:val="20"/>
          <w:lang w:val="es-ES"/>
        </w:rPr>
        <w:t>Feris</w:t>
      </w:r>
      <w:proofErr w:type="spellEnd"/>
      <w:r w:rsidR="004C53CE" w:rsidRPr="0010796C">
        <w:rPr>
          <w:rFonts w:asciiTheme="majorHAnsi" w:hAnsiTheme="majorHAnsi"/>
          <w:sz w:val="20"/>
          <w:szCs w:val="20"/>
          <w:lang w:val="es-ES"/>
        </w:rPr>
        <w:t>,</w:t>
      </w:r>
      <w:r w:rsidRPr="0010796C">
        <w:rPr>
          <w:rFonts w:asciiTheme="majorHAnsi" w:hAnsiTheme="majorHAnsi"/>
          <w:sz w:val="20"/>
          <w:szCs w:val="20"/>
          <w:lang w:val="es-ES"/>
        </w:rPr>
        <w:t xml:space="preserve"> lo cual no fue controvertido por el Estado. En ese sentido, los peticionarios indicaron que el señor Romero se desempeñó en los siguientes puestos:</w:t>
      </w:r>
      <w:r w:rsidR="004C53CE" w:rsidRPr="0010796C">
        <w:rPr>
          <w:rFonts w:asciiTheme="majorHAnsi" w:hAnsiTheme="majorHAnsi"/>
          <w:sz w:val="20"/>
          <w:szCs w:val="20"/>
          <w:lang w:val="es-ES"/>
        </w:rPr>
        <w:t xml:space="preserve"> </w:t>
      </w:r>
    </w:p>
    <w:p w:rsidR="009C4A18" w:rsidRPr="0010796C" w:rsidRDefault="009C4A18" w:rsidP="009C4A1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ES"/>
        </w:rPr>
      </w:pPr>
    </w:p>
    <w:p w:rsidR="009C4A18" w:rsidRPr="0010796C" w:rsidRDefault="009C4A18" w:rsidP="000633CC">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10796C">
        <w:rPr>
          <w:rFonts w:asciiTheme="majorHAnsi" w:hAnsiTheme="majorHAnsi"/>
          <w:sz w:val="20"/>
          <w:szCs w:val="20"/>
          <w:lang w:val="es-ES"/>
        </w:rPr>
        <w:t>Presidente de</w:t>
      </w:r>
      <w:r w:rsidR="004C53CE" w:rsidRPr="0010796C">
        <w:rPr>
          <w:rFonts w:asciiTheme="majorHAnsi" w:hAnsiTheme="majorHAnsi"/>
          <w:sz w:val="20"/>
          <w:szCs w:val="20"/>
          <w:lang w:val="es-ES"/>
        </w:rPr>
        <w:t xml:space="preserve"> la Confederación Rural Argentina en 1985</w:t>
      </w:r>
      <w:r w:rsidRPr="0010796C">
        <w:rPr>
          <w:rFonts w:asciiTheme="majorHAnsi" w:hAnsiTheme="majorHAnsi"/>
          <w:sz w:val="20"/>
          <w:szCs w:val="20"/>
          <w:lang w:val="es-ES"/>
        </w:rPr>
        <w:t>.</w:t>
      </w:r>
    </w:p>
    <w:p w:rsidR="009C4A18" w:rsidRPr="0010796C" w:rsidRDefault="004C53CE" w:rsidP="000633CC">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10796C">
        <w:rPr>
          <w:rFonts w:asciiTheme="majorHAnsi" w:hAnsiTheme="majorHAnsi"/>
          <w:sz w:val="20"/>
          <w:szCs w:val="20"/>
          <w:lang w:val="es-ES"/>
        </w:rPr>
        <w:t xml:space="preserve">Intendente de la ciudad capital de la Provincia de Corrientes </w:t>
      </w:r>
      <w:r w:rsidR="009C4A18" w:rsidRPr="0010796C">
        <w:rPr>
          <w:rFonts w:asciiTheme="majorHAnsi" w:hAnsiTheme="majorHAnsi"/>
          <w:sz w:val="20"/>
          <w:szCs w:val="20"/>
          <w:lang w:val="es-ES"/>
        </w:rPr>
        <w:t>entre</w:t>
      </w:r>
      <w:r w:rsidRPr="0010796C">
        <w:rPr>
          <w:rFonts w:asciiTheme="majorHAnsi" w:hAnsiTheme="majorHAnsi"/>
          <w:sz w:val="20"/>
          <w:szCs w:val="20"/>
          <w:lang w:val="es-ES"/>
        </w:rPr>
        <w:t xml:space="preserve"> 1991 </w:t>
      </w:r>
      <w:r w:rsidR="005C5C5F" w:rsidRPr="0010796C">
        <w:rPr>
          <w:rFonts w:asciiTheme="majorHAnsi" w:hAnsiTheme="majorHAnsi"/>
          <w:sz w:val="20"/>
          <w:szCs w:val="20"/>
          <w:lang w:val="es-ES"/>
        </w:rPr>
        <w:t>y</w:t>
      </w:r>
      <w:r w:rsidRPr="0010796C">
        <w:rPr>
          <w:rFonts w:asciiTheme="majorHAnsi" w:hAnsiTheme="majorHAnsi"/>
          <w:sz w:val="20"/>
          <w:szCs w:val="20"/>
          <w:lang w:val="es-ES"/>
        </w:rPr>
        <w:t xml:space="preserve"> 1993</w:t>
      </w:r>
      <w:r w:rsidR="009C4A18" w:rsidRPr="0010796C">
        <w:rPr>
          <w:rFonts w:asciiTheme="majorHAnsi" w:hAnsiTheme="majorHAnsi"/>
          <w:sz w:val="20"/>
          <w:szCs w:val="20"/>
          <w:lang w:val="es-ES"/>
        </w:rPr>
        <w:t>.</w:t>
      </w:r>
    </w:p>
    <w:p w:rsidR="00345F29" w:rsidRPr="0010796C" w:rsidRDefault="004C53CE" w:rsidP="000633CC">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10796C">
        <w:rPr>
          <w:rFonts w:asciiTheme="majorHAnsi" w:hAnsiTheme="majorHAnsi"/>
          <w:sz w:val="20"/>
          <w:szCs w:val="20"/>
          <w:lang w:val="es-ES"/>
        </w:rPr>
        <w:t xml:space="preserve">Gobernador de la Provincia de Corrientes </w:t>
      </w:r>
      <w:r w:rsidR="009C4A18" w:rsidRPr="0010796C">
        <w:rPr>
          <w:rFonts w:asciiTheme="majorHAnsi" w:hAnsiTheme="majorHAnsi"/>
          <w:sz w:val="20"/>
          <w:szCs w:val="20"/>
          <w:lang w:val="es-ES"/>
        </w:rPr>
        <w:t>entre</w:t>
      </w:r>
      <w:r w:rsidRPr="0010796C">
        <w:rPr>
          <w:rFonts w:asciiTheme="majorHAnsi" w:hAnsiTheme="majorHAnsi"/>
          <w:sz w:val="20"/>
          <w:szCs w:val="20"/>
          <w:lang w:val="es-ES"/>
        </w:rPr>
        <w:t xml:space="preserve"> 1993 </w:t>
      </w:r>
      <w:r w:rsidR="005C5C5F" w:rsidRPr="0010796C">
        <w:rPr>
          <w:rFonts w:asciiTheme="majorHAnsi" w:hAnsiTheme="majorHAnsi"/>
          <w:sz w:val="20"/>
          <w:szCs w:val="20"/>
          <w:lang w:val="es-ES"/>
        </w:rPr>
        <w:t>y</w:t>
      </w:r>
      <w:r w:rsidRPr="0010796C">
        <w:rPr>
          <w:rFonts w:asciiTheme="majorHAnsi" w:hAnsiTheme="majorHAnsi"/>
          <w:sz w:val="20"/>
          <w:szCs w:val="20"/>
          <w:lang w:val="es-ES"/>
        </w:rPr>
        <w:t xml:space="preserve"> 1997</w:t>
      </w:r>
      <w:r w:rsidR="00521A7F" w:rsidRPr="0010796C">
        <w:rPr>
          <w:rFonts w:asciiTheme="majorHAnsi" w:hAnsiTheme="majorHAnsi"/>
          <w:sz w:val="20"/>
          <w:szCs w:val="20"/>
          <w:lang w:val="es-ES"/>
        </w:rPr>
        <w:t>.</w:t>
      </w:r>
      <w:r w:rsidR="00D75438" w:rsidRPr="0010796C">
        <w:rPr>
          <w:rFonts w:asciiTheme="majorHAnsi" w:hAnsiTheme="majorHAnsi"/>
          <w:sz w:val="20"/>
          <w:szCs w:val="20"/>
          <w:lang w:val="es-ES"/>
        </w:rPr>
        <w:t xml:space="preserve"> </w:t>
      </w:r>
    </w:p>
    <w:p w:rsidR="00345F29" w:rsidRPr="0010796C" w:rsidRDefault="00345F29" w:rsidP="000633CC">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10796C">
        <w:rPr>
          <w:rFonts w:asciiTheme="majorHAnsi" w:hAnsiTheme="majorHAnsi"/>
          <w:sz w:val="20"/>
          <w:szCs w:val="20"/>
          <w:lang w:val="es-ES"/>
        </w:rPr>
        <w:t xml:space="preserve">Intendente de la ciudad capital de la Provincia de Corrientes entre 1997 </w:t>
      </w:r>
      <w:r w:rsidR="005C5C5F" w:rsidRPr="0010796C">
        <w:rPr>
          <w:rFonts w:asciiTheme="majorHAnsi" w:hAnsiTheme="majorHAnsi"/>
          <w:sz w:val="20"/>
          <w:szCs w:val="20"/>
          <w:lang w:val="es-ES"/>
        </w:rPr>
        <w:t>y</w:t>
      </w:r>
      <w:r w:rsidRPr="0010796C">
        <w:rPr>
          <w:rFonts w:asciiTheme="majorHAnsi" w:hAnsiTheme="majorHAnsi"/>
          <w:sz w:val="20"/>
          <w:szCs w:val="20"/>
          <w:lang w:val="es-ES"/>
        </w:rPr>
        <w:t xml:space="preserve"> 1999</w:t>
      </w:r>
      <w:r w:rsidR="00A359AD" w:rsidRPr="0010796C">
        <w:rPr>
          <w:rStyle w:val="FootnoteReference"/>
          <w:rFonts w:asciiTheme="majorHAnsi" w:hAnsiTheme="majorHAnsi"/>
          <w:sz w:val="20"/>
          <w:szCs w:val="20"/>
          <w:lang w:val="es-ES"/>
        </w:rPr>
        <w:footnoteReference w:id="4"/>
      </w:r>
      <w:r w:rsidRPr="0010796C">
        <w:rPr>
          <w:rFonts w:asciiTheme="majorHAnsi" w:hAnsiTheme="majorHAnsi"/>
          <w:sz w:val="20"/>
          <w:szCs w:val="20"/>
          <w:lang w:val="es-ES"/>
        </w:rPr>
        <w:t>.</w:t>
      </w:r>
    </w:p>
    <w:p w:rsidR="001B1604" w:rsidRPr="0010796C" w:rsidRDefault="00604792" w:rsidP="00345F2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r w:rsidRPr="0010796C">
        <w:rPr>
          <w:rFonts w:asciiTheme="majorHAnsi" w:hAnsiTheme="majorHAnsi"/>
          <w:sz w:val="20"/>
          <w:szCs w:val="20"/>
          <w:lang w:val="es-ES"/>
        </w:rPr>
        <w:t xml:space="preserve">  </w:t>
      </w:r>
    </w:p>
    <w:p w:rsidR="008859F3" w:rsidRPr="0010796C" w:rsidRDefault="008859F3" w:rsidP="008859F3">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hanging="2160"/>
        <w:jc w:val="both"/>
        <w:rPr>
          <w:rFonts w:ascii="Cambria" w:hAnsi="Cambria"/>
          <w:b/>
          <w:sz w:val="20"/>
          <w:szCs w:val="20"/>
          <w:lang w:val="es-ES"/>
        </w:rPr>
      </w:pPr>
      <w:r w:rsidRPr="0010796C">
        <w:rPr>
          <w:rFonts w:asciiTheme="majorHAnsi" w:hAnsiTheme="majorHAnsi" w:cs="Calibri"/>
          <w:b/>
          <w:sz w:val="20"/>
          <w:szCs w:val="20"/>
          <w:lang w:val="es-ES"/>
        </w:rPr>
        <w:t>Sobre la detención</w:t>
      </w:r>
      <w:r w:rsidRPr="0010796C">
        <w:rPr>
          <w:rFonts w:ascii="Cambria" w:hAnsi="Cambria" w:cs="Calibri"/>
          <w:b/>
          <w:sz w:val="20"/>
          <w:szCs w:val="20"/>
          <w:lang w:val="es-ES"/>
        </w:rPr>
        <w:t xml:space="preserve"> preventiva</w:t>
      </w:r>
    </w:p>
    <w:p w:rsidR="008859F3" w:rsidRPr="0010796C" w:rsidRDefault="008859F3" w:rsidP="008859F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8859F3" w:rsidRPr="0010796C" w:rsidRDefault="008859F3" w:rsidP="008859F3">
      <w:pPr>
        <w:pStyle w:val="LightGrid-Accent31"/>
        <w:numPr>
          <w:ilvl w:val="0"/>
          <w:numId w:val="55"/>
        </w:numPr>
        <w:ind w:left="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señor Romero fue detenido el 3 de agosto de 1999 en la ciudad de Corrientes luego de emitirse una orden judicial de arresto en su contra</w:t>
      </w:r>
      <w:r w:rsidRPr="0010796C">
        <w:rPr>
          <w:rStyle w:val="FootnoteReference"/>
          <w:rFonts w:ascii="Cambria" w:hAnsi="Cambria" w:cs="Calibri"/>
          <w:color w:val="000000"/>
          <w:sz w:val="20"/>
          <w:szCs w:val="20"/>
          <w:lang w:val="es-ES"/>
        </w:rPr>
        <w:footnoteReference w:id="5"/>
      </w:r>
      <w:r w:rsidRPr="0010796C">
        <w:rPr>
          <w:rFonts w:ascii="Cambria" w:hAnsi="Cambria" w:cs="Calibri"/>
          <w:color w:val="000000"/>
          <w:sz w:val="20"/>
          <w:szCs w:val="20"/>
          <w:lang w:val="es-ES"/>
        </w:rPr>
        <w:t>. La CIDH no cuenta con información sobre las circunstancias de la detención ni sobre la situación del señor Romero hasta el año 2001.</w:t>
      </w:r>
    </w:p>
    <w:p w:rsidR="008859F3" w:rsidRPr="0010796C" w:rsidRDefault="008859F3" w:rsidP="008859F3">
      <w:pPr>
        <w:ind w:left="720"/>
        <w:contextualSpacing/>
        <w:jc w:val="both"/>
        <w:rPr>
          <w:rFonts w:ascii="Cambria" w:hAnsi="Cambria" w:cs="Calibri"/>
          <w:color w:val="000000"/>
          <w:sz w:val="20"/>
          <w:szCs w:val="20"/>
          <w:lang w:val="es-ES"/>
        </w:rPr>
      </w:pPr>
    </w:p>
    <w:p w:rsidR="008859F3" w:rsidRPr="0010796C" w:rsidRDefault="008859F3" w:rsidP="008859F3">
      <w:pPr>
        <w:pStyle w:val="LightGrid-Accent31"/>
        <w:numPr>
          <w:ilvl w:val="0"/>
          <w:numId w:val="55"/>
        </w:numPr>
        <w:ind w:left="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A mediados de 2001 la defensa del señor Romero solicitó al Juez de Instrucción no. 1 que se ordenara su libertad</w:t>
      </w:r>
      <w:r w:rsidRPr="0010796C">
        <w:rPr>
          <w:rStyle w:val="FootnoteReference"/>
          <w:rFonts w:ascii="Cambria" w:hAnsi="Cambria" w:cs="Calibri"/>
          <w:color w:val="000000"/>
          <w:sz w:val="20"/>
          <w:szCs w:val="20"/>
          <w:lang w:val="es-ES"/>
        </w:rPr>
        <w:footnoteReference w:id="6"/>
      </w:r>
      <w:r w:rsidRPr="0010796C">
        <w:rPr>
          <w:rFonts w:ascii="Cambria" w:hAnsi="Cambria" w:cs="Calibri"/>
          <w:color w:val="000000"/>
          <w:sz w:val="20"/>
          <w:szCs w:val="20"/>
          <w:lang w:val="es-ES"/>
        </w:rPr>
        <w:t xml:space="preserve">, conforme al artículo 1 de la Ley </w:t>
      </w:r>
      <w:r w:rsidRPr="0010796C">
        <w:rPr>
          <w:rFonts w:ascii="Cambria" w:hAnsi="Cambria"/>
          <w:sz w:val="20"/>
          <w:szCs w:val="20"/>
          <w:lang w:val="es-ES"/>
        </w:rPr>
        <w:t>24.390 – Plazos de Prisión Preventiva</w:t>
      </w:r>
      <w:r w:rsidRPr="0010796C">
        <w:rPr>
          <w:rStyle w:val="FootnoteReference"/>
          <w:rFonts w:ascii="Cambria" w:hAnsi="Cambria"/>
          <w:sz w:val="20"/>
          <w:szCs w:val="20"/>
          <w:lang w:val="es-ES"/>
        </w:rPr>
        <w:footnoteReference w:id="7"/>
      </w:r>
      <w:r w:rsidRPr="0010796C">
        <w:rPr>
          <w:rFonts w:ascii="Cambria" w:hAnsi="Cambria"/>
          <w:sz w:val="20"/>
          <w:szCs w:val="20"/>
          <w:lang w:val="es-ES"/>
        </w:rPr>
        <w:t xml:space="preserve">. La defensa presentó los siguientes alegatos: </w:t>
      </w:r>
    </w:p>
    <w:p w:rsidR="008859F3" w:rsidRPr="0010796C" w:rsidRDefault="008859F3" w:rsidP="008859F3">
      <w:pPr>
        <w:ind w:left="720"/>
        <w:contextualSpacing/>
        <w:jc w:val="both"/>
        <w:rPr>
          <w:rFonts w:ascii="Cambria" w:hAnsi="Cambria" w:cs="Calibri"/>
          <w:color w:val="000000"/>
          <w:sz w:val="20"/>
          <w:szCs w:val="20"/>
          <w:lang w:val="es-ES"/>
        </w:rPr>
      </w:pPr>
    </w:p>
    <w:p w:rsidR="008859F3" w:rsidRPr="0010796C" w:rsidRDefault="008859F3" w:rsidP="00842956">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La Ley 24.390, reglamentaria del art. 7° punto 5 de la CADH (art. 9°), precisa en su art. 1° cuál es el tiempo </w:t>
      </w:r>
      <w:r w:rsidRPr="0010796C">
        <w:rPr>
          <w:rFonts w:ascii="Cambria" w:hAnsi="Cambria" w:cs="Calibri"/>
          <w:i/>
          <w:color w:val="000000"/>
          <w:sz w:val="20"/>
          <w:szCs w:val="20"/>
          <w:lang w:val="es-ES"/>
        </w:rPr>
        <w:t>máximo</w:t>
      </w:r>
      <w:r w:rsidRPr="0010796C">
        <w:rPr>
          <w:rFonts w:ascii="Cambria" w:hAnsi="Cambria" w:cs="Calibri"/>
          <w:color w:val="000000"/>
          <w:sz w:val="20"/>
          <w:szCs w:val="20"/>
          <w:lang w:val="es-ES"/>
        </w:rPr>
        <w:t xml:space="preserve"> de duración de la prisión preventiva mientras dure el proceso lo que no significa que, una prisión preventiva menor a dos años </w:t>
      </w:r>
      <w:r w:rsidRPr="0010796C">
        <w:rPr>
          <w:rFonts w:ascii="Cambria" w:hAnsi="Cambria" w:cs="Calibri"/>
          <w:i/>
          <w:color w:val="000000"/>
          <w:sz w:val="20"/>
          <w:szCs w:val="20"/>
          <w:lang w:val="es-ES"/>
        </w:rPr>
        <w:t>no sea irrazonable</w:t>
      </w:r>
      <w:r w:rsidRPr="0010796C">
        <w:rPr>
          <w:rFonts w:ascii="Cambria" w:hAnsi="Cambria" w:cs="Calibri"/>
          <w:color w:val="000000"/>
          <w:sz w:val="20"/>
          <w:szCs w:val="20"/>
          <w:lang w:val="es-ES"/>
        </w:rPr>
        <w:t xml:space="preserve"> circunstancia esta que de darse –tal cual es el caso de autos- impone a los jueces ordenar la inmediata libertad del detenido so pena de continuar con una detención que, por ser irrazonable, se transforma en ilegítima al privarse a la persona detenida del derecho a estar en libertad mientras se sustancia el proceso penal</w:t>
      </w:r>
      <w:r w:rsidRPr="0010796C">
        <w:rPr>
          <w:rStyle w:val="FootnoteReference"/>
          <w:rFonts w:ascii="Cambria" w:hAnsi="Cambria" w:cs="Calibri"/>
          <w:color w:val="000000"/>
          <w:sz w:val="20"/>
          <w:szCs w:val="20"/>
          <w:lang w:val="es-ES"/>
        </w:rPr>
        <w:footnoteReference w:id="8"/>
      </w:r>
      <w:r w:rsidRPr="0010796C">
        <w:rPr>
          <w:rFonts w:ascii="Cambria" w:hAnsi="Cambria" w:cs="Calibri"/>
          <w:color w:val="000000"/>
          <w:sz w:val="20"/>
          <w:szCs w:val="20"/>
          <w:lang w:val="es-ES"/>
        </w:rPr>
        <w:t>.</w:t>
      </w:r>
    </w:p>
    <w:p w:rsidR="008859F3" w:rsidRPr="0010796C" w:rsidRDefault="008859F3" w:rsidP="008859F3">
      <w:pPr>
        <w:ind w:right="135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ab/>
      </w:r>
    </w:p>
    <w:p w:rsidR="008859F3" w:rsidRPr="0010796C" w:rsidRDefault="008859F3" w:rsidP="008859F3">
      <w:pPr>
        <w:ind w:right="1350" w:firstLine="72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w:t>
      </w:r>
    </w:p>
    <w:p w:rsidR="008859F3" w:rsidRPr="0010796C" w:rsidRDefault="008859F3" w:rsidP="008859F3">
      <w:pPr>
        <w:ind w:left="720" w:right="720"/>
        <w:jc w:val="both"/>
        <w:rPr>
          <w:rFonts w:ascii="Cambria" w:hAnsi="Cambria" w:cs="Calibri"/>
          <w:color w:val="000000"/>
          <w:sz w:val="20"/>
          <w:szCs w:val="20"/>
          <w:lang w:val="es-ES"/>
        </w:rPr>
      </w:pPr>
    </w:p>
    <w:p w:rsidR="008859F3" w:rsidRPr="0010796C" w:rsidRDefault="008859F3" w:rsidP="008859F3">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lastRenderedPageBreak/>
        <w:t>En consecuencia el tiempo máximo de duración de la prisión preventiva previsto por el art. 1° de la ley 24.390, no necesariamente implica el tiempo razonable de detención cautelar, Al ser este un término máximo establece un límite pero no puede ser superado, pero no la definición de un término que necesariamente toda persona inexorablemente deberá cumplir para que su prisión preventiva deba ser considerada razonable.</w:t>
      </w:r>
    </w:p>
    <w:p w:rsidR="008859F3" w:rsidRPr="0010796C" w:rsidRDefault="008859F3" w:rsidP="008859F3">
      <w:pPr>
        <w:ind w:left="72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w:t>
      </w:r>
    </w:p>
    <w:p w:rsidR="008859F3" w:rsidRPr="0010796C" w:rsidRDefault="008859F3" w:rsidP="008859F3">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Sin perjuicio de que los fundamentos constitucionales de la detención cautelar nunca se dieron de nuestro defendido, igualmente, oportuno resulta señalar que no se da con relación a Raúl Rolando Romero </w:t>
      </w:r>
      <w:proofErr w:type="spellStart"/>
      <w:r w:rsidRPr="0010796C">
        <w:rPr>
          <w:rFonts w:ascii="Cambria" w:hAnsi="Cambria" w:cs="Calibri"/>
          <w:color w:val="000000"/>
          <w:sz w:val="20"/>
          <w:szCs w:val="20"/>
          <w:lang w:val="es-ES"/>
        </w:rPr>
        <w:t>Feris</w:t>
      </w:r>
      <w:proofErr w:type="spellEnd"/>
      <w:r w:rsidRPr="0010796C">
        <w:rPr>
          <w:rFonts w:ascii="Cambria" w:hAnsi="Cambria" w:cs="Calibri"/>
          <w:color w:val="000000"/>
          <w:sz w:val="20"/>
          <w:szCs w:val="20"/>
          <w:lang w:val="es-ES"/>
        </w:rPr>
        <w:t xml:space="preserve"> la posibilidad de que exista un peligro de fuga o de entorpezca la investigación judicial</w:t>
      </w:r>
      <w:r w:rsidRPr="0010796C">
        <w:rPr>
          <w:rStyle w:val="FootnoteReference"/>
          <w:rFonts w:ascii="Cambria" w:hAnsi="Cambria" w:cs="Calibri"/>
          <w:color w:val="000000"/>
          <w:sz w:val="20"/>
          <w:szCs w:val="20"/>
          <w:lang w:val="es-ES"/>
        </w:rPr>
        <w:footnoteReference w:id="9"/>
      </w:r>
      <w:r w:rsidRPr="0010796C">
        <w:rPr>
          <w:rFonts w:ascii="Cambria" w:hAnsi="Cambria" w:cs="Calibri"/>
          <w:color w:val="000000"/>
          <w:sz w:val="20"/>
          <w:szCs w:val="20"/>
          <w:lang w:val="es-ES"/>
        </w:rPr>
        <w:t>.</w:t>
      </w:r>
    </w:p>
    <w:p w:rsidR="008859F3" w:rsidRPr="0010796C" w:rsidRDefault="008859F3" w:rsidP="008859F3">
      <w:pPr>
        <w:contextualSpacing/>
        <w:jc w:val="both"/>
        <w:rPr>
          <w:rFonts w:ascii="Cambria" w:hAnsi="Cambria" w:cs="Calibri"/>
          <w:color w:val="000000"/>
          <w:sz w:val="20"/>
          <w:szCs w:val="20"/>
          <w:lang w:val="es-ES"/>
        </w:rPr>
      </w:pPr>
    </w:p>
    <w:p w:rsidR="008859F3" w:rsidRPr="0010796C" w:rsidRDefault="008859F3" w:rsidP="008859F3">
      <w:pPr>
        <w:pStyle w:val="LightGrid-Accent31"/>
        <w:numPr>
          <w:ilvl w:val="0"/>
          <w:numId w:val="55"/>
        </w:numPr>
        <w:ind w:left="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1 de agosto de 2001 el Juez de Instrucción no. 1 emitió un auto mediante el cual rechazó la solicitud de la defensa y resolvió prorrogar la prisión preventiva decretada en contra del señor Romero por el término de ocho meses a partir del 4 de agosto de 2001</w:t>
      </w:r>
      <w:r w:rsidRPr="0010796C">
        <w:rPr>
          <w:rStyle w:val="FootnoteReference"/>
          <w:rFonts w:ascii="Cambria" w:hAnsi="Cambria" w:cs="Calibri"/>
          <w:color w:val="000000"/>
          <w:sz w:val="20"/>
          <w:szCs w:val="20"/>
          <w:lang w:val="es-ES"/>
        </w:rPr>
        <w:footnoteReference w:id="10"/>
      </w:r>
      <w:r w:rsidRPr="0010796C">
        <w:rPr>
          <w:rFonts w:ascii="Cambria" w:hAnsi="Cambria" w:cs="Calibri"/>
          <w:color w:val="000000"/>
          <w:sz w:val="20"/>
          <w:szCs w:val="20"/>
          <w:lang w:val="es-ES"/>
        </w:rPr>
        <w:t>. El Juez sostuvo lo siguiente:</w:t>
      </w:r>
    </w:p>
    <w:p w:rsidR="008859F3" w:rsidRPr="0010796C" w:rsidRDefault="008859F3" w:rsidP="008859F3">
      <w:pPr>
        <w:pStyle w:val="LightGrid-Accent31"/>
        <w:ind w:left="720"/>
        <w:contextualSpacing/>
        <w:jc w:val="both"/>
        <w:rPr>
          <w:rFonts w:ascii="Cambria" w:hAnsi="Cambria" w:cs="Calibri"/>
          <w:color w:val="000000"/>
          <w:sz w:val="20"/>
          <w:szCs w:val="20"/>
          <w:lang w:val="es-ES"/>
        </w:rPr>
      </w:pPr>
    </w:p>
    <w:p w:rsidR="008859F3" w:rsidRPr="0010796C" w:rsidRDefault="008859F3" w:rsidP="008859F3">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de acuerdo a las reglas del concurso real, [la pena en contra del señor Romero] sería superior a 5 años, teniendo en cuenta que se parte de dicha pena mínima, contemplándose la posibilidad de un máximo de 25 años, de todo lo cual se extrae la siguiente conclusión: que tal pronóstico de pena que se tiene en cuenta exclusivamente como aspecto de uno de los requisitos que hacen a la razonabilidad del encarcelamiento preventivo, cual es la evaluación de la existencia de peligro de evasión judicial, aspectos ambos que son considerados por la CIDH (…) y si bien aquel por sí solo no es suficiente como para presumir que aquella se dará, sí lo es cuando se dan otras circunstancias que en el caso son la inminencia de la realización de Juicios y las propias manifestaciones del imputado en el sentido expreso de no sometimiento a las autoridades judiciales que habrán de resolver sobre su situación en el proceso</w:t>
      </w:r>
      <w:r w:rsidRPr="0010796C">
        <w:rPr>
          <w:rStyle w:val="FootnoteReference"/>
          <w:rFonts w:ascii="Cambria" w:hAnsi="Cambria" w:cs="Calibri"/>
          <w:color w:val="000000"/>
          <w:sz w:val="20"/>
          <w:szCs w:val="20"/>
          <w:lang w:val="es-ES"/>
        </w:rPr>
        <w:footnoteReference w:id="11"/>
      </w:r>
      <w:r w:rsidRPr="0010796C">
        <w:rPr>
          <w:rFonts w:ascii="Cambria" w:hAnsi="Cambria" w:cs="Calibri"/>
          <w:color w:val="000000"/>
          <w:sz w:val="20"/>
          <w:szCs w:val="20"/>
          <w:lang w:val="es-ES"/>
        </w:rPr>
        <w:t>.</w:t>
      </w:r>
    </w:p>
    <w:p w:rsidR="008859F3" w:rsidRPr="0010796C" w:rsidRDefault="008859F3" w:rsidP="008859F3">
      <w:pPr>
        <w:ind w:left="720"/>
        <w:contextualSpacing/>
        <w:jc w:val="both"/>
        <w:rPr>
          <w:rFonts w:ascii="Cambria" w:hAnsi="Cambria" w:cs="Calibri"/>
          <w:color w:val="000000"/>
          <w:sz w:val="20"/>
          <w:szCs w:val="20"/>
          <w:lang w:val="es-ES"/>
        </w:rPr>
      </w:pPr>
    </w:p>
    <w:p w:rsidR="008859F3" w:rsidRPr="0010796C" w:rsidRDefault="008859F3" w:rsidP="008859F3">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La información disponible indica que el señor Romero fue dejado en libertad el 11 de septiembre de 2002 a través de un fallo del Superior Tribunal de Justicia</w:t>
      </w:r>
      <w:r w:rsidRPr="0010796C">
        <w:rPr>
          <w:rStyle w:val="FootnoteReference"/>
          <w:rFonts w:ascii="Cambria" w:hAnsi="Cambria" w:cs="Calibri"/>
          <w:color w:val="000000"/>
          <w:sz w:val="20"/>
          <w:szCs w:val="20"/>
          <w:lang w:val="es-ES"/>
        </w:rPr>
        <w:footnoteReference w:id="12"/>
      </w:r>
      <w:r w:rsidRPr="0010796C">
        <w:rPr>
          <w:rFonts w:ascii="Cambria" w:hAnsi="Cambria" w:cs="Calibri"/>
          <w:color w:val="000000"/>
          <w:sz w:val="20"/>
          <w:szCs w:val="20"/>
          <w:lang w:val="es-ES"/>
        </w:rPr>
        <w:t>. El peticionario indicó que en dicha decisión el Superior Tribunal ordenó la libertad del señor Romero debido al prolongado tiempo de prisión transcurrido sin sentencia firme</w:t>
      </w:r>
      <w:r w:rsidRPr="0010796C">
        <w:rPr>
          <w:rStyle w:val="FootnoteReference"/>
          <w:rFonts w:ascii="Cambria" w:hAnsi="Cambria" w:cs="Calibri"/>
          <w:color w:val="000000"/>
          <w:sz w:val="20"/>
          <w:szCs w:val="20"/>
          <w:lang w:val="es-ES"/>
        </w:rPr>
        <w:footnoteReference w:id="13"/>
      </w:r>
      <w:r w:rsidRPr="0010796C">
        <w:rPr>
          <w:rFonts w:ascii="Cambria" w:hAnsi="Cambria" w:cs="Calibri"/>
          <w:color w:val="000000"/>
          <w:sz w:val="20"/>
          <w:szCs w:val="20"/>
          <w:lang w:val="es-ES"/>
        </w:rPr>
        <w:t xml:space="preserve">. El Estado no controvirtió dicha información.  </w:t>
      </w:r>
    </w:p>
    <w:p w:rsidR="008859F3" w:rsidRPr="0010796C" w:rsidRDefault="008859F3" w:rsidP="008859F3">
      <w:pPr>
        <w:ind w:left="720"/>
        <w:contextualSpacing/>
        <w:jc w:val="both"/>
        <w:rPr>
          <w:rFonts w:ascii="Cambria" w:hAnsi="Cambria" w:cs="Calibri"/>
          <w:color w:val="000000"/>
          <w:sz w:val="20"/>
          <w:szCs w:val="20"/>
          <w:lang w:val="es-ES"/>
        </w:rPr>
      </w:pPr>
    </w:p>
    <w:p w:rsidR="008859F3" w:rsidRPr="0010796C" w:rsidRDefault="008859F3" w:rsidP="00725752">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De acuerdo a información pública, el 10 de mayo de 2016 el señor Romero fue detenido por “orden del Tribunal Oral Penal número 2 de Corrientes que unificó la sentencia de tres causas en su contra y le dicto doce años de prisión”</w:t>
      </w:r>
      <w:r w:rsidRPr="0010796C">
        <w:rPr>
          <w:rStyle w:val="FootnoteReference"/>
          <w:rFonts w:ascii="Cambria" w:hAnsi="Cambria" w:cs="Calibri"/>
          <w:color w:val="000000"/>
          <w:sz w:val="20"/>
          <w:szCs w:val="20"/>
          <w:lang w:val="es-ES"/>
        </w:rPr>
        <w:footnoteReference w:id="14"/>
      </w:r>
      <w:r w:rsidRPr="0010796C">
        <w:rPr>
          <w:rFonts w:ascii="Cambria" w:hAnsi="Cambria" w:cs="Calibri"/>
          <w:color w:val="000000"/>
          <w:sz w:val="20"/>
          <w:szCs w:val="20"/>
          <w:lang w:val="es-ES"/>
        </w:rPr>
        <w:t>. Se indicó que deberá cumplir siete años y siete meses</w:t>
      </w:r>
      <w:r w:rsidRPr="0010796C">
        <w:rPr>
          <w:rStyle w:val="FootnoteReference"/>
          <w:rFonts w:ascii="Cambria" w:hAnsi="Cambria" w:cs="Calibri"/>
          <w:color w:val="000000"/>
          <w:sz w:val="20"/>
          <w:szCs w:val="20"/>
          <w:lang w:val="es-ES"/>
        </w:rPr>
        <w:footnoteReference w:id="15"/>
      </w:r>
      <w:r w:rsidRPr="0010796C">
        <w:rPr>
          <w:rFonts w:ascii="Cambria" w:hAnsi="Cambria" w:cs="Calibri"/>
          <w:color w:val="000000"/>
          <w:sz w:val="20"/>
          <w:szCs w:val="20"/>
          <w:lang w:val="es-ES"/>
        </w:rPr>
        <w:t>.</w:t>
      </w:r>
    </w:p>
    <w:p w:rsidR="008859F3" w:rsidRPr="0010796C" w:rsidRDefault="008859F3" w:rsidP="00345F2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604792" w:rsidRPr="0010796C" w:rsidRDefault="009C4A18" w:rsidP="000633CC">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hanging="2160"/>
        <w:jc w:val="both"/>
        <w:rPr>
          <w:rFonts w:ascii="Cambria" w:hAnsi="Cambria"/>
          <w:b/>
          <w:sz w:val="20"/>
          <w:szCs w:val="20"/>
          <w:lang w:val="es-ES"/>
        </w:rPr>
      </w:pPr>
      <w:r w:rsidRPr="0010796C">
        <w:rPr>
          <w:rFonts w:ascii="Cambria" w:hAnsi="Cambria"/>
          <w:b/>
          <w:sz w:val="20"/>
          <w:szCs w:val="20"/>
          <w:lang w:val="es-ES"/>
        </w:rPr>
        <w:t>Sobre el proceso penal seguido en contra del señor Romero</w:t>
      </w:r>
      <w:r w:rsidR="007E3AE1" w:rsidRPr="0010796C">
        <w:rPr>
          <w:rFonts w:ascii="Cambria" w:hAnsi="Cambria"/>
          <w:b/>
          <w:sz w:val="20"/>
          <w:szCs w:val="20"/>
          <w:lang w:val="es-ES"/>
        </w:rPr>
        <w:t xml:space="preserve"> </w:t>
      </w:r>
      <w:proofErr w:type="spellStart"/>
      <w:r w:rsidR="007E3AE1" w:rsidRPr="0010796C">
        <w:rPr>
          <w:rFonts w:ascii="Cambria" w:hAnsi="Cambria"/>
          <w:b/>
          <w:sz w:val="20"/>
          <w:szCs w:val="20"/>
          <w:lang w:val="es-ES"/>
        </w:rPr>
        <w:t>Feris</w:t>
      </w:r>
      <w:proofErr w:type="spellEnd"/>
    </w:p>
    <w:p w:rsidR="001D26B9" w:rsidRPr="0010796C" w:rsidRDefault="001D26B9" w:rsidP="00C1705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93758C" w:rsidRPr="0010796C" w:rsidRDefault="00853AC7" w:rsidP="001D26B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L</w:t>
      </w:r>
      <w:r w:rsidR="007006DE" w:rsidRPr="0010796C">
        <w:rPr>
          <w:rFonts w:ascii="Cambria" w:hAnsi="Cambria"/>
          <w:sz w:val="20"/>
          <w:szCs w:val="20"/>
          <w:lang w:val="es-ES"/>
        </w:rPr>
        <w:t xml:space="preserve">os hechos relacionados con el proceso penal seguido al señor Romero no se encuentran en controversia. </w:t>
      </w:r>
    </w:p>
    <w:p w:rsidR="007006DE" w:rsidRPr="0010796C" w:rsidRDefault="007006DE" w:rsidP="007006D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7006DE" w:rsidRPr="0010796C" w:rsidRDefault="007006DE" w:rsidP="001D26B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lastRenderedPageBreak/>
        <w:t>El peticionario indicó</w:t>
      </w:r>
      <w:r w:rsidR="00345F29" w:rsidRPr="0010796C">
        <w:rPr>
          <w:rFonts w:ascii="Cambria" w:hAnsi="Cambria"/>
          <w:sz w:val="20"/>
          <w:szCs w:val="20"/>
          <w:lang w:val="es-ES"/>
        </w:rPr>
        <w:t xml:space="preserve"> que en 1999 el Sindicato de Trabajadores Judiciales de Corrientes presentó una denuncia en contra del señor Romero y otros funcionarios públicos </w:t>
      </w:r>
      <w:r w:rsidR="007E3AE1" w:rsidRPr="0010796C">
        <w:rPr>
          <w:rFonts w:ascii="Cambria" w:hAnsi="Cambria"/>
          <w:sz w:val="20"/>
          <w:szCs w:val="20"/>
          <w:lang w:val="es-ES"/>
        </w:rPr>
        <w:t>ante la Fiscalía de I</w:t>
      </w:r>
      <w:r w:rsidR="003363CA" w:rsidRPr="0010796C">
        <w:rPr>
          <w:rFonts w:ascii="Cambria" w:hAnsi="Cambria"/>
          <w:sz w:val="20"/>
          <w:szCs w:val="20"/>
          <w:lang w:val="es-ES"/>
        </w:rPr>
        <w:t>nstrucción no. 1 de la ciudad de Corrientes</w:t>
      </w:r>
      <w:r w:rsidR="003363CA" w:rsidRPr="0010796C">
        <w:rPr>
          <w:rStyle w:val="FootnoteReference"/>
          <w:rFonts w:ascii="Cambria" w:hAnsi="Cambria"/>
          <w:sz w:val="20"/>
          <w:szCs w:val="20"/>
          <w:lang w:val="es-ES"/>
        </w:rPr>
        <w:footnoteReference w:id="16"/>
      </w:r>
      <w:r w:rsidR="003363CA" w:rsidRPr="0010796C">
        <w:rPr>
          <w:rFonts w:ascii="Cambria" w:hAnsi="Cambria"/>
          <w:sz w:val="20"/>
          <w:szCs w:val="20"/>
          <w:lang w:val="es-ES"/>
        </w:rPr>
        <w:t xml:space="preserve">. En la denuncia se alegó la responsabilidad del señor Romero </w:t>
      </w:r>
      <w:r w:rsidR="00345F29" w:rsidRPr="0010796C">
        <w:rPr>
          <w:rFonts w:ascii="Cambria" w:hAnsi="Cambria"/>
          <w:sz w:val="20"/>
          <w:szCs w:val="20"/>
          <w:lang w:val="es-ES"/>
        </w:rPr>
        <w:t>por los delitos de</w:t>
      </w:r>
      <w:r w:rsidR="00D920CB" w:rsidRPr="0010796C">
        <w:rPr>
          <w:rFonts w:ascii="Cambria" w:hAnsi="Cambria"/>
          <w:sz w:val="20"/>
          <w:szCs w:val="20"/>
          <w:lang w:val="es-ES"/>
        </w:rPr>
        <w:t xml:space="preserve"> administración fraudulenta, enriquecimiento ilícito, peculado, abuso de autoridad, defraudación, malversación de caudales públicos, entre otros</w:t>
      </w:r>
      <w:r w:rsidR="00D920CB" w:rsidRPr="0010796C">
        <w:rPr>
          <w:rStyle w:val="FootnoteReference"/>
          <w:rFonts w:ascii="Cambria" w:hAnsi="Cambria"/>
          <w:sz w:val="20"/>
          <w:szCs w:val="20"/>
          <w:lang w:val="es-ES"/>
        </w:rPr>
        <w:footnoteReference w:id="17"/>
      </w:r>
      <w:r w:rsidR="00D920CB" w:rsidRPr="0010796C">
        <w:rPr>
          <w:rFonts w:ascii="Cambria" w:hAnsi="Cambria"/>
          <w:sz w:val="20"/>
          <w:szCs w:val="20"/>
          <w:lang w:val="es-ES"/>
        </w:rPr>
        <w:t xml:space="preserve">. Ello debido a </w:t>
      </w:r>
      <w:r w:rsidR="007E3AE1" w:rsidRPr="0010796C">
        <w:rPr>
          <w:rFonts w:ascii="Cambria" w:hAnsi="Cambria"/>
          <w:sz w:val="20"/>
          <w:szCs w:val="20"/>
          <w:lang w:val="es-ES"/>
        </w:rPr>
        <w:t xml:space="preserve">supuestos </w:t>
      </w:r>
      <w:r w:rsidR="00D920CB" w:rsidRPr="0010796C">
        <w:rPr>
          <w:rFonts w:ascii="Cambria" w:hAnsi="Cambria"/>
          <w:sz w:val="20"/>
          <w:szCs w:val="20"/>
          <w:lang w:val="es-ES"/>
        </w:rPr>
        <w:t>malos manejos en su condición de Intendente</w:t>
      </w:r>
      <w:r w:rsidR="00D920CB" w:rsidRPr="0010796C">
        <w:rPr>
          <w:rStyle w:val="FootnoteReference"/>
          <w:rFonts w:ascii="Cambria" w:hAnsi="Cambria"/>
          <w:sz w:val="20"/>
          <w:szCs w:val="20"/>
          <w:lang w:val="es-ES"/>
        </w:rPr>
        <w:footnoteReference w:id="18"/>
      </w:r>
      <w:r w:rsidR="00D920CB" w:rsidRPr="0010796C">
        <w:rPr>
          <w:rFonts w:ascii="Cambria" w:hAnsi="Cambria"/>
          <w:sz w:val="20"/>
          <w:szCs w:val="20"/>
          <w:lang w:val="es-ES"/>
        </w:rPr>
        <w:t xml:space="preserve">. </w:t>
      </w:r>
    </w:p>
    <w:p w:rsidR="00D920CB" w:rsidRPr="0010796C" w:rsidRDefault="00D920CB" w:rsidP="00D920C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A54E90" w:rsidRPr="0010796C" w:rsidRDefault="00D920CB" w:rsidP="00A54E9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La CIDH toma nota de que</w:t>
      </w:r>
      <w:r w:rsidR="00642322" w:rsidRPr="0010796C">
        <w:rPr>
          <w:rFonts w:ascii="Cambria" w:hAnsi="Cambria"/>
          <w:sz w:val="20"/>
          <w:szCs w:val="20"/>
          <w:lang w:val="es-ES"/>
        </w:rPr>
        <w:t xml:space="preserve"> a partir de tal denuncia,</w:t>
      </w:r>
      <w:r w:rsidRPr="0010796C">
        <w:rPr>
          <w:rFonts w:ascii="Cambria" w:hAnsi="Cambria"/>
          <w:sz w:val="20"/>
          <w:szCs w:val="20"/>
          <w:lang w:val="es-ES"/>
        </w:rPr>
        <w:t xml:space="preserve"> </w:t>
      </w:r>
      <w:r w:rsidR="007E3AE1" w:rsidRPr="0010796C">
        <w:rPr>
          <w:rFonts w:ascii="Cambria" w:hAnsi="Cambria"/>
          <w:sz w:val="20"/>
          <w:szCs w:val="20"/>
          <w:lang w:val="es-ES"/>
        </w:rPr>
        <w:t>se abrieron más de cincuenta</w:t>
      </w:r>
      <w:r w:rsidRPr="0010796C">
        <w:rPr>
          <w:rFonts w:ascii="Cambria" w:hAnsi="Cambria"/>
          <w:sz w:val="20"/>
          <w:szCs w:val="20"/>
          <w:lang w:val="es-ES"/>
        </w:rPr>
        <w:t xml:space="preserve"> causa</w:t>
      </w:r>
      <w:r w:rsidR="009673CE" w:rsidRPr="0010796C">
        <w:rPr>
          <w:rFonts w:ascii="Cambria" w:hAnsi="Cambria"/>
          <w:sz w:val="20"/>
          <w:szCs w:val="20"/>
          <w:lang w:val="es-ES"/>
        </w:rPr>
        <w:t>s</w:t>
      </w:r>
      <w:r w:rsidRPr="0010796C">
        <w:rPr>
          <w:rFonts w:ascii="Cambria" w:hAnsi="Cambria"/>
          <w:sz w:val="20"/>
          <w:szCs w:val="20"/>
          <w:lang w:val="es-ES"/>
        </w:rPr>
        <w:t xml:space="preserve"> penales</w:t>
      </w:r>
      <w:r w:rsidR="005D7802" w:rsidRPr="0010796C">
        <w:rPr>
          <w:rFonts w:ascii="Cambria" w:hAnsi="Cambria"/>
          <w:sz w:val="20"/>
          <w:szCs w:val="20"/>
          <w:lang w:val="es-ES"/>
        </w:rPr>
        <w:t xml:space="preserve"> contra el señor Romero </w:t>
      </w:r>
      <w:proofErr w:type="spellStart"/>
      <w:r w:rsidR="005D7802" w:rsidRPr="0010796C">
        <w:rPr>
          <w:rFonts w:ascii="Cambria" w:hAnsi="Cambria"/>
          <w:sz w:val="20"/>
          <w:szCs w:val="20"/>
          <w:lang w:val="es-ES"/>
        </w:rPr>
        <w:t>Feris</w:t>
      </w:r>
      <w:proofErr w:type="spellEnd"/>
      <w:r w:rsidR="00A54E90" w:rsidRPr="0010796C">
        <w:rPr>
          <w:rFonts w:ascii="Cambria" w:hAnsi="Cambria"/>
          <w:sz w:val="20"/>
          <w:szCs w:val="20"/>
          <w:lang w:val="es-ES"/>
        </w:rPr>
        <w:t xml:space="preserve"> y otras personas</w:t>
      </w:r>
      <w:r w:rsidRPr="0010796C">
        <w:rPr>
          <w:rFonts w:ascii="Cambria" w:hAnsi="Cambria"/>
          <w:sz w:val="20"/>
          <w:szCs w:val="20"/>
          <w:lang w:val="es-ES"/>
        </w:rPr>
        <w:t xml:space="preserve">. </w:t>
      </w:r>
      <w:r w:rsidR="009673CE" w:rsidRPr="0010796C">
        <w:rPr>
          <w:rFonts w:ascii="Cambria" w:hAnsi="Cambria"/>
          <w:sz w:val="20"/>
          <w:szCs w:val="20"/>
          <w:lang w:val="es-ES"/>
        </w:rPr>
        <w:t>Asimismo, de acue</w:t>
      </w:r>
      <w:r w:rsidR="007E3AE1" w:rsidRPr="0010796C">
        <w:rPr>
          <w:rFonts w:ascii="Cambria" w:hAnsi="Cambria"/>
          <w:sz w:val="20"/>
          <w:szCs w:val="20"/>
          <w:lang w:val="es-ES"/>
        </w:rPr>
        <w:t>rdo al informe remitido por el E</w:t>
      </w:r>
      <w:r w:rsidR="009673CE" w:rsidRPr="0010796C">
        <w:rPr>
          <w:rFonts w:ascii="Cambria" w:hAnsi="Cambria"/>
          <w:sz w:val="20"/>
          <w:szCs w:val="20"/>
          <w:lang w:val="es-ES"/>
        </w:rPr>
        <w:t>stado argentino de 2010 tres de ellas se encuentran con sentencia definitiva</w:t>
      </w:r>
      <w:r w:rsidR="009673CE" w:rsidRPr="0010796C">
        <w:rPr>
          <w:rStyle w:val="FootnoteReference"/>
          <w:rFonts w:ascii="Cambria" w:hAnsi="Cambria"/>
          <w:sz w:val="20"/>
          <w:szCs w:val="20"/>
          <w:lang w:val="es-ES"/>
        </w:rPr>
        <w:footnoteReference w:id="19"/>
      </w:r>
      <w:r w:rsidR="009673CE" w:rsidRPr="0010796C">
        <w:rPr>
          <w:rFonts w:ascii="Cambria" w:hAnsi="Cambria"/>
          <w:sz w:val="20"/>
          <w:szCs w:val="20"/>
          <w:lang w:val="es-ES"/>
        </w:rPr>
        <w:t xml:space="preserve">. </w:t>
      </w:r>
    </w:p>
    <w:p w:rsidR="0002703D" w:rsidRPr="0010796C" w:rsidRDefault="0002703D" w:rsidP="00202D9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D920CB" w:rsidRPr="0010796C" w:rsidRDefault="00D920CB" w:rsidP="009673C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 xml:space="preserve">A continuación la Comisión </w:t>
      </w:r>
      <w:r w:rsidR="00F849B9" w:rsidRPr="0010796C">
        <w:rPr>
          <w:rFonts w:ascii="Cambria" w:hAnsi="Cambria"/>
          <w:sz w:val="20"/>
          <w:szCs w:val="20"/>
          <w:lang w:val="es-ES"/>
        </w:rPr>
        <w:t>efectuará</w:t>
      </w:r>
      <w:r w:rsidR="009C5EB1" w:rsidRPr="0010796C">
        <w:rPr>
          <w:rFonts w:ascii="Cambria" w:hAnsi="Cambria"/>
          <w:sz w:val="20"/>
          <w:szCs w:val="20"/>
          <w:lang w:val="es-ES"/>
        </w:rPr>
        <w:t xml:space="preserve"> sus determinaciones de hecho</w:t>
      </w:r>
      <w:r w:rsidR="00F849B9" w:rsidRPr="0010796C">
        <w:rPr>
          <w:rFonts w:ascii="Cambria" w:hAnsi="Cambria"/>
          <w:sz w:val="20"/>
          <w:szCs w:val="20"/>
          <w:lang w:val="es-ES"/>
        </w:rPr>
        <w:t xml:space="preserve"> a la luz de l</w:t>
      </w:r>
      <w:r w:rsidR="003363CA" w:rsidRPr="0010796C">
        <w:rPr>
          <w:rFonts w:ascii="Cambria" w:hAnsi="Cambria"/>
          <w:sz w:val="20"/>
          <w:szCs w:val="20"/>
          <w:lang w:val="es-ES"/>
        </w:rPr>
        <w:t xml:space="preserve">as piezas </w:t>
      </w:r>
      <w:r w:rsidR="00F849B9" w:rsidRPr="0010796C">
        <w:rPr>
          <w:rFonts w:ascii="Cambria" w:hAnsi="Cambria"/>
          <w:sz w:val="20"/>
          <w:szCs w:val="20"/>
          <w:lang w:val="es-ES"/>
        </w:rPr>
        <w:t xml:space="preserve">procesales </w:t>
      </w:r>
      <w:r w:rsidR="003363CA" w:rsidRPr="0010796C">
        <w:rPr>
          <w:rFonts w:ascii="Cambria" w:hAnsi="Cambria"/>
          <w:sz w:val="20"/>
          <w:szCs w:val="20"/>
          <w:lang w:val="es-ES"/>
        </w:rPr>
        <w:t>con las que cuenta</w:t>
      </w:r>
      <w:r w:rsidR="00F849B9" w:rsidRPr="0010796C">
        <w:rPr>
          <w:rFonts w:ascii="Cambria" w:hAnsi="Cambria"/>
          <w:sz w:val="20"/>
          <w:szCs w:val="20"/>
          <w:lang w:val="es-ES"/>
        </w:rPr>
        <w:t>, las cuales se refieren a cuatro causas penales</w:t>
      </w:r>
      <w:r w:rsidR="003A62A3" w:rsidRPr="0010796C">
        <w:rPr>
          <w:rFonts w:ascii="Cambria" w:hAnsi="Cambria"/>
          <w:sz w:val="20"/>
          <w:szCs w:val="20"/>
          <w:lang w:val="es-ES"/>
        </w:rPr>
        <w:t xml:space="preserve"> contra el señor Romero </w:t>
      </w:r>
      <w:proofErr w:type="spellStart"/>
      <w:r w:rsidR="003A62A3" w:rsidRPr="0010796C">
        <w:rPr>
          <w:rFonts w:ascii="Cambria" w:hAnsi="Cambria"/>
          <w:sz w:val="20"/>
          <w:szCs w:val="20"/>
          <w:lang w:val="es-ES"/>
        </w:rPr>
        <w:t>Feris</w:t>
      </w:r>
      <w:proofErr w:type="spellEnd"/>
      <w:r w:rsidR="00CF5396" w:rsidRPr="0010796C">
        <w:rPr>
          <w:rFonts w:ascii="Cambria" w:hAnsi="Cambria"/>
          <w:sz w:val="20"/>
          <w:szCs w:val="20"/>
          <w:lang w:val="es-ES"/>
        </w:rPr>
        <w:t xml:space="preserve"> y otras personas</w:t>
      </w:r>
      <w:r w:rsidR="003A62A3" w:rsidRPr="0010796C">
        <w:rPr>
          <w:rFonts w:ascii="Cambria" w:hAnsi="Cambria"/>
          <w:sz w:val="20"/>
          <w:szCs w:val="20"/>
          <w:lang w:val="es-ES"/>
        </w:rPr>
        <w:t>.</w:t>
      </w:r>
      <w:r w:rsidR="00F849B9" w:rsidRPr="0010796C">
        <w:rPr>
          <w:rFonts w:ascii="Cambria" w:hAnsi="Cambria"/>
          <w:sz w:val="20"/>
          <w:szCs w:val="20"/>
          <w:lang w:val="es-ES"/>
        </w:rPr>
        <w:t xml:space="preserve"> </w:t>
      </w:r>
      <w:r w:rsidR="0002703D" w:rsidRPr="0010796C">
        <w:rPr>
          <w:rFonts w:ascii="Cambria" w:hAnsi="Cambria"/>
          <w:sz w:val="20"/>
          <w:szCs w:val="20"/>
          <w:lang w:val="es-ES"/>
        </w:rPr>
        <w:t xml:space="preserve">La Comisión destaca además que dichas piezas procesales no permiten establecer la cronología de las referidas causas en su integridad y que más bien se relacionan con los recursos interpuestos puntualmente respecto de las </w:t>
      </w:r>
      <w:r w:rsidR="00511A2C" w:rsidRPr="0010796C">
        <w:rPr>
          <w:rFonts w:ascii="Cambria" w:hAnsi="Cambria"/>
          <w:sz w:val="20"/>
          <w:szCs w:val="20"/>
          <w:lang w:val="es-ES"/>
        </w:rPr>
        <w:t xml:space="preserve">alegadas violaciones al debido proceso. </w:t>
      </w:r>
      <w:r w:rsidR="00A54E90" w:rsidRPr="0010796C">
        <w:rPr>
          <w:rFonts w:ascii="Cambria" w:hAnsi="Cambria"/>
          <w:sz w:val="20"/>
          <w:szCs w:val="20"/>
          <w:lang w:val="es-ES"/>
        </w:rPr>
        <w:t xml:space="preserve">En el marco de dichos recursos el señor Romero </w:t>
      </w:r>
      <w:proofErr w:type="spellStart"/>
      <w:r w:rsidR="00A54E90" w:rsidRPr="0010796C">
        <w:rPr>
          <w:rFonts w:ascii="Cambria" w:hAnsi="Cambria"/>
          <w:sz w:val="20"/>
          <w:szCs w:val="20"/>
          <w:lang w:val="es-ES"/>
        </w:rPr>
        <w:t>Feris</w:t>
      </w:r>
      <w:proofErr w:type="spellEnd"/>
      <w:r w:rsidR="00A54E90" w:rsidRPr="0010796C">
        <w:rPr>
          <w:rFonts w:ascii="Cambria" w:hAnsi="Cambria"/>
          <w:sz w:val="20"/>
          <w:szCs w:val="20"/>
          <w:lang w:val="es-ES"/>
        </w:rPr>
        <w:t xml:space="preserve"> planteó </w:t>
      </w:r>
      <w:r w:rsidR="0010796C" w:rsidRPr="0010796C">
        <w:rPr>
          <w:rFonts w:ascii="Cambria" w:hAnsi="Cambria"/>
          <w:sz w:val="20"/>
          <w:szCs w:val="20"/>
          <w:lang w:val="es-ES"/>
        </w:rPr>
        <w:t>reiteradamente</w:t>
      </w:r>
      <w:r w:rsidR="00A54E90" w:rsidRPr="0010796C">
        <w:rPr>
          <w:rFonts w:ascii="Cambria" w:hAnsi="Cambria"/>
          <w:sz w:val="20"/>
          <w:szCs w:val="20"/>
          <w:lang w:val="es-ES"/>
        </w:rPr>
        <w:t xml:space="preserve"> que dichas violaciones al debido proceso y particularmente al derecho a ser juzgado por autoridad competente, independiente e imparcial,</w:t>
      </w:r>
      <w:r w:rsidR="008B7F78" w:rsidRPr="0010796C">
        <w:rPr>
          <w:rFonts w:ascii="Cambria" w:hAnsi="Cambria"/>
          <w:sz w:val="20"/>
          <w:szCs w:val="20"/>
          <w:lang w:val="es-ES"/>
        </w:rPr>
        <w:t xml:space="preserve"> fueron cometidas como una forma de persecución política mediante la apertura de causas penales conocidas por autoridades judiciales nombradas específicamente con dicha finalidad. De los recursos presentados por el señor Romero </w:t>
      </w:r>
      <w:proofErr w:type="spellStart"/>
      <w:r w:rsidR="008B7F78" w:rsidRPr="0010796C">
        <w:rPr>
          <w:rFonts w:ascii="Cambria" w:hAnsi="Cambria"/>
          <w:sz w:val="20"/>
          <w:szCs w:val="20"/>
          <w:lang w:val="es-ES"/>
        </w:rPr>
        <w:t>Feris</w:t>
      </w:r>
      <w:proofErr w:type="spellEnd"/>
      <w:r w:rsidR="008B7F78" w:rsidRPr="0010796C">
        <w:rPr>
          <w:rFonts w:ascii="Cambria" w:hAnsi="Cambria"/>
          <w:sz w:val="20"/>
          <w:szCs w:val="20"/>
          <w:lang w:val="es-ES"/>
        </w:rPr>
        <w:t xml:space="preserve"> se deprende su alegato constante en cuanto a que las designaciones de autoridades judiciales y asignaciones de competencia de manera irregular, se instrumentalizaron para consolida</w:t>
      </w:r>
      <w:r w:rsidR="00643501" w:rsidRPr="0010796C">
        <w:rPr>
          <w:rFonts w:ascii="Cambria" w:hAnsi="Cambria"/>
          <w:sz w:val="20"/>
          <w:szCs w:val="20"/>
          <w:lang w:val="es-ES"/>
        </w:rPr>
        <w:t>r</w:t>
      </w:r>
      <w:r w:rsidR="008B7F78" w:rsidRPr="0010796C">
        <w:rPr>
          <w:rFonts w:ascii="Cambria" w:hAnsi="Cambria"/>
          <w:sz w:val="20"/>
          <w:szCs w:val="20"/>
          <w:lang w:val="es-ES"/>
        </w:rPr>
        <w:t xml:space="preserve"> dicha persecución política. </w:t>
      </w:r>
    </w:p>
    <w:p w:rsidR="003363CA" w:rsidRPr="0010796C" w:rsidRDefault="003363CA" w:rsidP="003363C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9673CE" w:rsidRPr="0010796C" w:rsidRDefault="009673CE" w:rsidP="00A26EAA">
      <w:pPr>
        <w:pStyle w:val="BodyTextIndent"/>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1440"/>
        </w:tabs>
        <w:ind w:left="1440" w:hanging="720"/>
        <w:jc w:val="both"/>
        <w:rPr>
          <w:rFonts w:ascii="Cambria" w:hAnsi="Cambria"/>
          <w:b/>
          <w:sz w:val="20"/>
          <w:szCs w:val="20"/>
          <w:lang w:val="es-ES"/>
        </w:rPr>
      </w:pPr>
      <w:r w:rsidRPr="0010796C">
        <w:rPr>
          <w:rFonts w:ascii="Cambria" w:hAnsi="Cambria"/>
          <w:b/>
          <w:sz w:val="20"/>
          <w:szCs w:val="20"/>
          <w:lang w:val="es-ES"/>
        </w:rPr>
        <w:t>Causa - SITRAJ-Corrientes S/Denuncia-Capital</w:t>
      </w:r>
    </w:p>
    <w:p w:rsidR="009673CE" w:rsidRPr="0010796C" w:rsidRDefault="009673CE" w:rsidP="009673C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760450" w:rsidRPr="0010796C" w:rsidRDefault="009673CE" w:rsidP="001D26B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E</w:t>
      </w:r>
      <w:r w:rsidR="000B16C5" w:rsidRPr="0010796C">
        <w:rPr>
          <w:rFonts w:ascii="Cambria" w:hAnsi="Cambria"/>
          <w:sz w:val="20"/>
          <w:szCs w:val="20"/>
          <w:lang w:val="es-ES"/>
        </w:rPr>
        <w:t xml:space="preserve">l 27 de julio de 2000 la defensa del señor Romero </w:t>
      </w:r>
      <w:proofErr w:type="spellStart"/>
      <w:r w:rsidR="000B16C5" w:rsidRPr="0010796C">
        <w:rPr>
          <w:rFonts w:ascii="Cambria" w:hAnsi="Cambria"/>
          <w:sz w:val="20"/>
          <w:szCs w:val="20"/>
          <w:lang w:val="es-ES"/>
        </w:rPr>
        <w:t>Feris</w:t>
      </w:r>
      <w:proofErr w:type="spellEnd"/>
      <w:r w:rsidR="000B16C5" w:rsidRPr="0010796C">
        <w:rPr>
          <w:rFonts w:ascii="Cambria" w:hAnsi="Cambria"/>
          <w:sz w:val="20"/>
          <w:szCs w:val="20"/>
          <w:lang w:val="es-ES"/>
        </w:rPr>
        <w:t xml:space="preserve"> planteó </w:t>
      </w:r>
      <w:r w:rsidR="00760450" w:rsidRPr="0010796C">
        <w:rPr>
          <w:rFonts w:ascii="Cambria" w:hAnsi="Cambria"/>
          <w:sz w:val="20"/>
          <w:szCs w:val="20"/>
          <w:lang w:val="es-ES"/>
        </w:rPr>
        <w:t xml:space="preserve">un recurso de </w:t>
      </w:r>
      <w:r w:rsidR="000B16C5" w:rsidRPr="0010796C">
        <w:rPr>
          <w:rFonts w:ascii="Cambria" w:hAnsi="Cambria"/>
          <w:sz w:val="20"/>
          <w:szCs w:val="20"/>
          <w:lang w:val="es-ES"/>
        </w:rPr>
        <w:t>nulidad con apelación en subsidio ante el Ju</w:t>
      </w:r>
      <w:r w:rsidR="002C5831" w:rsidRPr="0010796C">
        <w:rPr>
          <w:rFonts w:ascii="Cambria" w:hAnsi="Cambria"/>
          <w:sz w:val="20"/>
          <w:szCs w:val="20"/>
          <w:lang w:val="es-ES"/>
        </w:rPr>
        <w:t>ez</w:t>
      </w:r>
      <w:r w:rsidR="000B16C5" w:rsidRPr="0010796C">
        <w:rPr>
          <w:rFonts w:ascii="Cambria" w:hAnsi="Cambria"/>
          <w:sz w:val="20"/>
          <w:szCs w:val="20"/>
          <w:lang w:val="es-ES"/>
        </w:rPr>
        <w:t xml:space="preserve"> de Instrucción no. 1 de la ciudad de Corrientes</w:t>
      </w:r>
      <w:r w:rsidR="000B16C5" w:rsidRPr="0010796C">
        <w:rPr>
          <w:rStyle w:val="FootnoteReference"/>
          <w:rFonts w:ascii="Cambria" w:hAnsi="Cambria"/>
          <w:sz w:val="20"/>
          <w:szCs w:val="20"/>
          <w:lang w:val="es-ES"/>
        </w:rPr>
        <w:footnoteReference w:id="20"/>
      </w:r>
      <w:r w:rsidR="00760450" w:rsidRPr="0010796C">
        <w:rPr>
          <w:rFonts w:ascii="Cambria" w:hAnsi="Cambria"/>
          <w:sz w:val="20"/>
          <w:szCs w:val="20"/>
          <w:lang w:val="es-ES"/>
        </w:rPr>
        <w:t xml:space="preserve">. </w:t>
      </w:r>
      <w:r w:rsidR="00FA00A4" w:rsidRPr="0010796C">
        <w:rPr>
          <w:rFonts w:ascii="Cambria" w:hAnsi="Cambria"/>
          <w:sz w:val="20"/>
          <w:szCs w:val="20"/>
          <w:lang w:val="es-ES"/>
        </w:rPr>
        <w:t xml:space="preserve">En dicho recurso alegó que </w:t>
      </w:r>
      <w:r w:rsidR="007458AD" w:rsidRPr="0010796C">
        <w:rPr>
          <w:rFonts w:ascii="Cambria" w:hAnsi="Cambria"/>
          <w:sz w:val="20"/>
          <w:szCs w:val="20"/>
          <w:lang w:val="es-ES"/>
        </w:rPr>
        <w:t>el referido</w:t>
      </w:r>
      <w:r w:rsidR="00760450" w:rsidRPr="0010796C">
        <w:rPr>
          <w:rFonts w:ascii="Cambria" w:hAnsi="Cambria"/>
          <w:sz w:val="20"/>
          <w:szCs w:val="20"/>
          <w:lang w:val="es-ES"/>
        </w:rPr>
        <w:t xml:space="preserve"> juez fue designado de manera irregular por lo que no se respetó el principio de juez natural</w:t>
      </w:r>
      <w:r w:rsidR="00760450" w:rsidRPr="0010796C">
        <w:rPr>
          <w:rStyle w:val="FootnoteReference"/>
          <w:rFonts w:ascii="Cambria" w:hAnsi="Cambria"/>
          <w:sz w:val="20"/>
          <w:szCs w:val="20"/>
          <w:lang w:val="es-ES"/>
        </w:rPr>
        <w:footnoteReference w:id="21"/>
      </w:r>
      <w:r w:rsidR="00760450" w:rsidRPr="0010796C">
        <w:rPr>
          <w:rFonts w:ascii="Cambria" w:hAnsi="Cambria"/>
          <w:sz w:val="20"/>
          <w:szCs w:val="20"/>
          <w:lang w:val="es-ES"/>
        </w:rPr>
        <w:t>. La defensa indicó que dicho juez ocupó el noveno lugar en la tabla de puntajes del concurso para el cargo y</w:t>
      </w:r>
      <w:r w:rsidR="00E86FC5" w:rsidRPr="0010796C">
        <w:rPr>
          <w:rFonts w:ascii="Cambria" w:hAnsi="Cambria"/>
          <w:sz w:val="20"/>
          <w:szCs w:val="20"/>
          <w:lang w:val="es-ES"/>
        </w:rPr>
        <w:t>,</w:t>
      </w:r>
      <w:r w:rsidR="00760450" w:rsidRPr="0010796C">
        <w:rPr>
          <w:rFonts w:ascii="Cambria" w:hAnsi="Cambria"/>
          <w:sz w:val="20"/>
          <w:szCs w:val="20"/>
          <w:lang w:val="es-ES"/>
        </w:rPr>
        <w:t xml:space="preserve"> a pesar de ello, fue investido con ese nombramiento a pesar de que existían ocho personas con puntajes más altos que él</w:t>
      </w:r>
      <w:r w:rsidR="0017323B" w:rsidRPr="0010796C">
        <w:rPr>
          <w:rStyle w:val="FootnoteReference"/>
          <w:rFonts w:ascii="Cambria" w:hAnsi="Cambria"/>
          <w:sz w:val="20"/>
          <w:szCs w:val="20"/>
          <w:lang w:val="es-ES"/>
        </w:rPr>
        <w:footnoteReference w:id="22"/>
      </w:r>
      <w:r w:rsidR="00760450" w:rsidRPr="0010796C">
        <w:rPr>
          <w:rFonts w:ascii="Cambria" w:hAnsi="Cambria"/>
          <w:sz w:val="20"/>
          <w:szCs w:val="20"/>
          <w:lang w:val="es-ES"/>
        </w:rPr>
        <w:t>.</w:t>
      </w:r>
      <w:r w:rsidR="008A6B1C" w:rsidRPr="0010796C">
        <w:rPr>
          <w:rFonts w:ascii="Cambria" w:hAnsi="Cambria"/>
          <w:sz w:val="20"/>
          <w:szCs w:val="20"/>
          <w:lang w:val="es-ES"/>
        </w:rPr>
        <w:t xml:space="preserve"> La defensa agregó que dicha persona, antes de ser designada como juez, ocupa</w:t>
      </w:r>
      <w:r w:rsidR="00E86FC5" w:rsidRPr="0010796C">
        <w:rPr>
          <w:rFonts w:ascii="Cambria" w:hAnsi="Cambria"/>
          <w:sz w:val="20"/>
          <w:szCs w:val="20"/>
          <w:lang w:val="es-ES"/>
        </w:rPr>
        <w:t>b</w:t>
      </w:r>
      <w:r w:rsidR="008A6B1C" w:rsidRPr="0010796C">
        <w:rPr>
          <w:rFonts w:ascii="Cambria" w:hAnsi="Cambria"/>
          <w:sz w:val="20"/>
          <w:szCs w:val="20"/>
          <w:lang w:val="es-ES"/>
        </w:rPr>
        <w:t>a el cargo de asesor del Ministro Secretario General de la Gobernación</w:t>
      </w:r>
      <w:r w:rsidR="008A6B1C" w:rsidRPr="0010796C">
        <w:rPr>
          <w:rStyle w:val="FootnoteReference"/>
          <w:rFonts w:ascii="Cambria" w:hAnsi="Cambria"/>
          <w:sz w:val="20"/>
          <w:szCs w:val="20"/>
          <w:lang w:val="es-ES"/>
        </w:rPr>
        <w:footnoteReference w:id="23"/>
      </w:r>
      <w:r w:rsidR="008A6B1C" w:rsidRPr="0010796C">
        <w:rPr>
          <w:rFonts w:ascii="Cambria" w:hAnsi="Cambria"/>
          <w:sz w:val="20"/>
          <w:szCs w:val="20"/>
          <w:lang w:val="es-ES"/>
        </w:rPr>
        <w:t>.</w:t>
      </w:r>
      <w:r w:rsidR="0051172C" w:rsidRPr="0010796C">
        <w:rPr>
          <w:rFonts w:ascii="Cambria" w:hAnsi="Cambria"/>
          <w:sz w:val="20"/>
          <w:szCs w:val="20"/>
          <w:lang w:val="es-ES"/>
        </w:rPr>
        <w:t xml:space="preserve"> También indicó que “la maniobra desarrollada para crear un ‘tribunal especial’ encubierto, debe ser analizada en su conjunto, esto no fue más que el primer paso”, pues con posterioridad al mismo de incumplieron las reglas de asignación de competencias. </w:t>
      </w:r>
      <w:r w:rsidR="004945AB" w:rsidRPr="0010796C">
        <w:rPr>
          <w:rFonts w:ascii="Cambria" w:hAnsi="Cambria"/>
          <w:sz w:val="20"/>
          <w:szCs w:val="20"/>
          <w:lang w:val="es-ES"/>
        </w:rPr>
        <w:t xml:space="preserve">Más detalladamente la defensa señaló que: </w:t>
      </w:r>
    </w:p>
    <w:p w:rsidR="004945AB" w:rsidRPr="0010796C" w:rsidRDefault="004945AB" w:rsidP="004945A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4945AB" w:rsidRPr="0010796C" w:rsidRDefault="00654575" w:rsidP="0065457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10796C">
        <w:rPr>
          <w:rFonts w:ascii="Cambria" w:hAnsi="Cambria"/>
          <w:sz w:val="20"/>
          <w:szCs w:val="20"/>
          <w:lang w:val="es-ES"/>
        </w:rPr>
        <w:t>El Dr. Mario Payes, quien había figurado en el 9 lugar en el Orden de Mérito realizado por el Consejo de la Magistratura</w:t>
      </w:r>
      <w:r w:rsidR="001D79D8" w:rsidRPr="0010796C">
        <w:rPr>
          <w:rFonts w:ascii="Cambria" w:hAnsi="Cambria"/>
          <w:sz w:val="20"/>
          <w:szCs w:val="20"/>
          <w:lang w:val="es-ES"/>
        </w:rPr>
        <w:t xml:space="preserve">, que al momento de ser propuesto por el P.E., se desempeñaba como asesor del Ministro de Gobierno, que tuvo la opinión de la Asociación de Magistrados y </w:t>
      </w:r>
      <w:r w:rsidR="001D79D8" w:rsidRPr="0010796C">
        <w:rPr>
          <w:rFonts w:ascii="Cambria" w:hAnsi="Cambria"/>
          <w:sz w:val="20"/>
          <w:szCs w:val="20"/>
          <w:lang w:val="es-ES"/>
        </w:rPr>
        <w:lastRenderedPageBreak/>
        <w:t xml:space="preserve">del Colegio de Abogados, expresadas públicamente en contra, que fue propuesto por el Senador </w:t>
      </w:r>
      <w:proofErr w:type="spellStart"/>
      <w:r w:rsidR="001D79D8" w:rsidRPr="0010796C">
        <w:rPr>
          <w:rFonts w:ascii="Cambria" w:hAnsi="Cambria"/>
          <w:sz w:val="20"/>
          <w:szCs w:val="20"/>
          <w:lang w:val="es-ES"/>
        </w:rPr>
        <w:t>Perié</w:t>
      </w:r>
      <w:proofErr w:type="spellEnd"/>
      <w:r w:rsidR="001D79D8" w:rsidRPr="0010796C">
        <w:rPr>
          <w:rFonts w:ascii="Cambria" w:hAnsi="Cambria"/>
          <w:sz w:val="20"/>
          <w:szCs w:val="20"/>
          <w:lang w:val="es-ES"/>
        </w:rPr>
        <w:t xml:space="preserve"> a cargo del P.E. y es este mismo Senador que lo propone, el que da el voto decisivo para el “acuerdo” exigido por la Constitución Provincial, ahora en calidad de Senador, es el que llega al conocimiento de todas las causas que se sustancian contra Raúl Rolando Romero </w:t>
      </w:r>
      <w:proofErr w:type="spellStart"/>
      <w:r w:rsidR="001D79D8" w:rsidRPr="0010796C">
        <w:rPr>
          <w:rFonts w:ascii="Cambria" w:hAnsi="Cambria"/>
          <w:sz w:val="20"/>
          <w:szCs w:val="20"/>
          <w:lang w:val="es-ES"/>
        </w:rPr>
        <w:t>Feris</w:t>
      </w:r>
      <w:proofErr w:type="spellEnd"/>
      <w:r w:rsidR="001D79D8" w:rsidRPr="0010796C">
        <w:rPr>
          <w:rFonts w:ascii="Cambria" w:hAnsi="Cambria"/>
          <w:sz w:val="20"/>
          <w:szCs w:val="20"/>
          <w:lang w:val="es-ES"/>
        </w:rPr>
        <w:t>; tras la violación flagrante por parte del Superior Tribunal de Justicia, de las normas procesales relativas a la competencia por conexión y a las reglas de la competencia por turno</w:t>
      </w:r>
      <w:r w:rsidR="00FA7ED9" w:rsidRPr="0010796C">
        <w:rPr>
          <w:rStyle w:val="FootnoteReference"/>
          <w:rFonts w:ascii="Cambria" w:hAnsi="Cambria"/>
          <w:sz w:val="20"/>
          <w:szCs w:val="20"/>
          <w:lang w:val="es-ES"/>
        </w:rPr>
        <w:footnoteReference w:id="24"/>
      </w:r>
      <w:r w:rsidR="001D79D8" w:rsidRPr="0010796C">
        <w:rPr>
          <w:rFonts w:ascii="Cambria" w:hAnsi="Cambria"/>
          <w:sz w:val="20"/>
          <w:szCs w:val="20"/>
          <w:lang w:val="es-ES"/>
        </w:rPr>
        <w:t xml:space="preserve">. </w:t>
      </w:r>
    </w:p>
    <w:p w:rsidR="00C36E53" w:rsidRPr="0010796C" w:rsidRDefault="00C36E53" w:rsidP="006652C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7D3E4E" w:rsidRPr="0010796C" w:rsidRDefault="00BC63CE" w:rsidP="001D26B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El 26 d</w:t>
      </w:r>
      <w:r w:rsidR="002C5831" w:rsidRPr="0010796C">
        <w:rPr>
          <w:rFonts w:ascii="Cambria" w:hAnsi="Cambria"/>
          <w:sz w:val="20"/>
          <w:szCs w:val="20"/>
          <w:lang w:val="es-ES"/>
        </w:rPr>
        <w:t xml:space="preserve">e septiembre de 2000 el Juez </w:t>
      </w:r>
      <w:r w:rsidRPr="0010796C">
        <w:rPr>
          <w:rFonts w:ascii="Cambria" w:hAnsi="Cambria"/>
          <w:sz w:val="20"/>
          <w:szCs w:val="20"/>
          <w:lang w:val="es-ES"/>
        </w:rPr>
        <w:t xml:space="preserve">de Instrucción no. </w:t>
      </w:r>
      <w:r w:rsidR="00570E07" w:rsidRPr="0010796C">
        <w:rPr>
          <w:rFonts w:ascii="Cambria" w:hAnsi="Cambria"/>
          <w:sz w:val="20"/>
          <w:szCs w:val="20"/>
          <w:lang w:val="es-ES"/>
        </w:rPr>
        <w:t>1</w:t>
      </w:r>
      <w:r w:rsidR="00760450" w:rsidRPr="0010796C">
        <w:rPr>
          <w:rFonts w:ascii="Cambria" w:hAnsi="Cambria"/>
          <w:sz w:val="20"/>
          <w:szCs w:val="20"/>
          <w:lang w:val="es-ES"/>
        </w:rPr>
        <w:t xml:space="preserve"> emitió un auto</w:t>
      </w:r>
      <w:r w:rsidR="00570E07" w:rsidRPr="0010796C">
        <w:rPr>
          <w:rFonts w:ascii="Cambria" w:hAnsi="Cambria"/>
          <w:sz w:val="20"/>
          <w:szCs w:val="20"/>
          <w:lang w:val="es-ES"/>
        </w:rPr>
        <w:t xml:space="preserve"> </w:t>
      </w:r>
      <w:r w:rsidR="00760450" w:rsidRPr="0010796C">
        <w:rPr>
          <w:rFonts w:ascii="Cambria" w:hAnsi="Cambria"/>
          <w:sz w:val="20"/>
          <w:szCs w:val="20"/>
          <w:lang w:val="es-ES"/>
        </w:rPr>
        <w:t>en el que rechazó los alegatos de la defensa del señor Romero</w:t>
      </w:r>
      <w:r w:rsidR="00570E07" w:rsidRPr="0010796C">
        <w:rPr>
          <w:rStyle w:val="FootnoteReference"/>
          <w:rFonts w:ascii="Cambria" w:hAnsi="Cambria"/>
          <w:sz w:val="20"/>
          <w:szCs w:val="20"/>
          <w:lang w:val="es-ES"/>
        </w:rPr>
        <w:footnoteReference w:id="25"/>
      </w:r>
      <w:r w:rsidR="00760450" w:rsidRPr="0010796C">
        <w:rPr>
          <w:rFonts w:ascii="Cambria" w:hAnsi="Cambria"/>
          <w:sz w:val="20"/>
          <w:szCs w:val="20"/>
          <w:lang w:val="es-ES"/>
        </w:rPr>
        <w:t xml:space="preserve">. </w:t>
      </w:r>
      <w:r w:rsidR="006D72DC" w:rsidRPr="0010796C">
        <w:rPr>
          <w:rFonts w:ascii="Cambria" w:hAnsi="Cambria"/>
          <w:sz w:val="20"/>
          <w:szCs w:val="20"/>
          <w:lang w:val="es-ES"/>
        </w:rPr>
        <w:t>En el marco de este recurso, el Fiscal de Instrucción No. 1</w:t>
      </w:r>
      <w:r w:rsidR="007D3E4E" w:rsidRPr="0010796C">
        <w:rPr>
          <w:rFonts w:ascii="Cambria" w:hAnsi="Cambria"/>
          <w:sz w:val="20"/>
          <w:szCs w:val="20"/>
          <w:lang w:val="es-ES"/>
        </w:rPr>
        <w:t xml:space="preserve"> indicó lo siguiente:</w:t>
      </w:r>
    </w:p>
    <w:p w:rsidR="007D3E4E" w:rsidRPr="0010796C" w:rsidRDefault="007D3E4E" w:rsidP="007D3E4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C36E53" w:rsidRPr="0010796C" w:rsidRDefault="007D3E4E" w:rsidP="006D72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10796C">
        <w:rPr>
          <w:rFonts w:ascii="Cambria" w:hAnsi="Cambria"/>
          <w:sz w:val="20"/>
          <w:szCs w:val="20"/>
          <w:lang w:val="es-ES"/>
        </w:rPr>
        <w:t>(...) Que en relación a la designación de los jueces y el trámite de la misma, dicha materia está especialmente reglada por el artículo 142 de la Constitución Provincial y no puede la ley acotar la facultad que la Constitución le otorga sin ninguna restricción, de allí que la Ley de Creación del Consejo de la Magistratura no impone al Poder Ejecutivo la obligación de designar el primero de la lista, ni siqu</w:t>
      </w:r>
      <w:r w:rsidR="0017323B" w:rsidRPr="0010796C">
        <w:rPr>
          <w:rFonts w:ascii="Cambria" w:hAnsi="Cambria"/>
          <w:sz w:val="20"/>
          <w:szCs w:val="20"/>
          <w:lang w:val="es-ES"/>
        </w:rPr>
        <w:t>iera dentro de los tres primero</w:t>
      </w:r>
      <w:r w:rsidR="007E3AE1" w:rsidRPr="0010796C">
        <w:rPr>
          <w:rFonts w:ascii="Cambria" w:hAnsi="Cambria"/>
          <w:sz w:val="20"/>
          <w:szCs w:val="20"/>
          <w:lang w:val="es-ES"/>
        </w:rPr>
        <w:t>s</w:t>
      </w:r>
      <w:r w:rsidR="006E0253" w:rsidRPr="0010796C">
        <w:rPr>
          <w:rStyle w:val="FootnoteReference"/>
          <w:rFonts w:ascii="Cambria" w:hAnsi="Cambria"/>
          <w:sz w:val="20"/>
          <w:szCs w:val="20"/>
          <w:lang w:val="es-ES"/>
        </w:rPr>
        <w:footnoteReference w:id="26"/>
      </w:r>
      <w:r w:rsidR="00A07A66" w:rsidRPr="0010796C">
        <w:rPr>
          <w:rFonts w:ascii="Cambria" w:hAnsi="Cambria"/>
          <w:sz w:val="20"/>
          <w:szCs w:val="20"/>
          <w:lang w:val="es-ES"/>
        </w:rPr>
        <w:t>.</w:t>
      </w:r>
    </w:p>
    <w:p w:rsidR="00E65A1C" w:rsidRPr="0010796C" w:rsidRDefault="00E65A1C" w:rsidP="00E65A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6D72DC" w:rsidRPr="0010796C" w:rsidRDefault="002C5831" w:rsidP="001D26B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El Juez de Instrucción no. 1 señaló lo siguiente:</w:t>
      </w:r>
    </w:p>
    <w:p w:rsidR="002C5831" w:rsidRPr="0010796C" w:rsidRDefault="002C5831" w:rsidP="002C583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2C5831" w:rsidRPr="0010796C" w:rsidRDefault="002C5831" w:rsidP="00D5566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10796C">
        <w:rPr>
          <w:rFonts w:ascii="Cambria" w:hAnsi="Cambria"/>
          <w:sz w:val="20"/>
          <w:szCs w:val="20"/>
          <w:lang w:val="es-ES"/>
        </w:rPr>
        <w:t>(...) entiende el suscrito, coincidiendo con el dictamen del señor agente Fiscal de Instrucción no. 1</w:t>
      </w:r>
      <w:r w:rsidR="00A13A59" w:rsidRPr="0010796C">
        <w:rPr>
          <w:rFonts w:ascii="Cambria" w:hAnsi="Cambria"/>
          <w:sz w:val="20"/>
          <w:szCs w:val="20"/>
          <w:lang w:val="es-ES"/>
        </w:rPr>
        <w:t>, que el plante</w:t>
      </w:r>
      <w:r w:rsidRPr="0010796C">
        <w:rPr>
          <w:rFonts w:ascii="Cambria" w:hAnsi="Cambria"/>
          <w:sz w:val="20"/>
          <w:szCs w:val="20"/>
          <w:lang w:val="es-ES"/>
        </w:rPr>
        <w:t>o efectuado deberá rechazarse</w:t>
      </w:r>
      <w:r w:rsidRPr="0010796C">
        <w:rPr>
          <w:rStyle w:val="FootnoteReference"/>
          <w:rFonts w:ascii="Cambria" w:hAnsi="Cambria"/>
          <w:sz w:val="20"/>
          <w:szCs w:val="20"/>
          <w:lang w:val="es-ES"/>
        </w:rPr>
        <w:footnoteReference w:id="27"/>
      </w:r>
      <w:r w:rsidRPr="0010796C">
        <w:rPr>
          <w:rFonts w:ascii="Cambria" w:hAnsi="Cambria"/>
          <w:sz w:val="20"/>
          <w:szCs w:val="20"/>
          <w:lang w:val="es-ES"/>
        </w:rPr>
        <w:t xml:space="preserve">. </w:t>
      </w:r>
    </w:p>
    <w:p w:rsidR="006D72DC" w:rsidRPr="0010796C" w:rsidRDefault="006D72DC" w:rsidP="006D72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8A6B1C" w:rsidRPr="0010796C" w:rsidRDefault="00E65A1C" w:rsidP="00D22BC6">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 xml:space="preserve">El 24 de </w:t>
      </w:r>
      <w:r w:rsidR="008A6B1C" w:rsidRPr="0010796C">
        <w:rPr>
          <w:rFonts w:ascii="Cambria" w:hAnsi="Cambria"/>
          <w:sz w:val="20"/>
          <w:szCs w:val="20"/>
          <w:lang w:val="es-ES"/>
        </w:rPr>
        <w:t>mayo</w:t>
      </w:r>
      <w:r w:rsidRPr="0010796C">
        <w:rPr>
          <w:rFonts w:ascii="Cambria" w:hAnsi="Cambria"/>
          <w:sz w:val="20"/>
          <w:szCs w:val="20"/>
          <w:lang w:val="es-ES"/>
        </w:rPr>
        <w:t xml:space="preserve"> de 2001 la defensa del señor Romero presentó ante el Ju</w:t>
      </w:r>
      <w:r w:rsidR="002C5831" w:rsidRPr="0010796C">
        <w:rPr>
          <w:rFonts w:ascii="Cambria" w:hAnsi="Cambria"/>
          <w:sz w:val="20"/>
          <w:szCs w:val="20"/>
          <w:lang w:val="es-ES"/>
        </w:rPr>
        <w:t xml:space="preserve">ez </w:t>
      </w:r>
      <w:r w:rsidRPr="0010796C">
        <w:rPr>
          <w:rFonts w:ascii="Cambria" w:hAnsi="Cambria"/>
          <w:sz w:val="20"/>
          <w:szCs w:val="20"/>
          <w:lang w:val="es-ES"/>
        </w:rPr>
        <w:t>de Instrucción no. 1 de Corrientes la excepción de falta de jurisdicción y competencia</w:t>
      </w:r>
      <w:r w:rsidRPr="0010796C">
        <w:rPr>
          <w:rStyle w:val="FootnoteReference"/>
          <w:rFonts w:ascii="Cambria" w:hAnsi="Cambria"/>
          <w:sz w:val="20"/>
          <w:szCs w:val="20"/>
          <w:lang w:val="es-ES"/>
        </w:rPr>
        <w:footnoteReference w:id="28"/>
      </w:r>
      <w:r w:rsidRPr="0010796C">
        <w:rPr>
          <w:rFonts w:ascii="Cambria" w:hAnsi="Cambria"/>
          <w:sz w:val="20"/>
          <w:szCs w:val="20"/>
          <w:lang w:val="es-ES"/>
        </w:rPr>
        <w:t xml:space="preserve">. </w:t>
      </w:r>
      <w:r w:rsidR="008A6B1C" w:rsidRPr="0010796C">
        <w:rPr>
          <w:rFonts w:ascii="Cambria" w:hAnsi="Cambria"/>
          <w:sz w:val="20"/>
          <w:szCs w:val="20"/>
          <w:lang w:val="es-ES"/>
        </w:rPr>
        <w:t>En relación con la designación de dicha persona como Juez de Instrucción No.1, la defensa alegó lo siguiente:</w:t>
      </w:r>
    </w:p>
    <w:p w:rsidR="008A6B1C" w:rsidRPr="0010796C" w:rsidRDefault="008A6B1C" w:rsidP="008A6B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8A6B1C" w:rsidRPr="0010796C" w:rsidRDefault="008A6B1C" w:rsidP="00190CB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10796C">
        <w:rPr>
          <w:rFonts w:ascii="Cambria" w:hAnsi="Cambria"/>
          <w:sz w:val="20"/>
          <w:szCs w:val="20"/>
          <w:lang w:val="es-ES"/>
        </w:rPr>
        <w:t xml:space="preserve">(…) se presentaron un total de treinta y dos postulantes [para el cargo]. </w:t>
      </w:r>
      <w:r w:rsidR="00190CB6" w:rsidRPr="0010796C">
        <w:rPr>
          <w:rFonts w:ascii="Cambria" w:hAnsi="Cambria"/>
          <w:sz w:val="20"/>
          <w:szCs w:val="20"/>
          <w:lang w:val="es-ES"/>
        </w:rPr>
        <w:t>Luego de [una] evaluación, el Consejo estableció “un orden de mérito de todos los aspirantes” y expresó (…) que entre todos los postulantes los dos primeros alcanzaron (…) un óptimo nivel de excelencia del cargo cursado; los ubicados desde el tercero al quinto lugar, han demostrado una destacada capacidad; y los ordenados desde la sexta a la décima posición, poseen suficientes méritos para el desempeño de la magistratura</w:t>
      </w:r>
      <w:r w:rsidR="00190CB6" w:rsidRPr="0010796C">
        <w:rPr>
          <w:rStyle w:val="FootnoteReference"/>
          <w:rFonts w:ascii="Cambria" w:hAnsi="Cambria"/>
          <w:sz w:val="20"/>
          <w:szCs w:val="20"/>
          <w:lang w:val="es-ES"/>
        </w:rPr>
        <w:footnoteReference w:id="29"/>
      </w:r>
      <w:r w:rsidR="00190CB6" w:rsidRPr="0010796C">
        <w:rPr>
          <w:rFonts w:ascii="Cambria" w:hAnsi="Cambria"/>
          <w:sz w:val="20"/>
          <w:szCs w:val="20"/>
          <w:lang w:val="es-ES"/>
        </w:rPr>
        <w:t>.</w:t>
      </w:r>
    </w:p>
    <w:p w:rsidR="008A6B1C" w:rsidRPr="0010796C" w:rsidRDefault="008A6B1C" w:rsidP="008A6B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D22BC6" w:rsidRPr="0010796C" w:rsidRDefault="0042491C" w:rsidP="00A26EA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El</w:t>
      </w:r>
      <w:r w:rsidR="00D22BC6" w:rsidRPr="0010796C">
        <w:rPr>
          <w:rFonts w:ascii="Cambria" w:hAnsi="Cambria"/>
          <w:sz w:val="20"/>
          <w:szCs w:val="20"/>
          <w:lang w:val="es-ES"/>
        </w:rPr>
        <w:t xml:space="preserve"> </w:t>
      </w:r>
      <w:r w:rsidR="004F1BC5" w:rsidRPr="0010796C">
        <w:rPr>
          <w:rFonts w:ascii="Cambria" w:hAnsi="Cambria"/>
          <w:sz w:val="20"/>
          <w:szCs w:val="20"/>
          <w:lang w:val="es-ES"/>
        </w:rPr>
        <w:t>4 de junio de 2001 el Ju</w:t>
      </w:r>
      <w:r w:rsidR="00D22BC6" w:rsidRPr="0010796C">
        <w:rPr>
          <w:rFonts w:ascii="Cambria" w:hAnsi="Cambria"/>
          <w:sz w:val="20"/>
          <w:szCs w:val="20"/>
          <w:lang w:val="es-ES"/>
        </w:rPr>
        <w:t>ez</w:t>
      </w:r>
      <w:r w:rsidR="004F1BC5" w:rsidRPr="0010796C">
        <w:rPr>
          <w:rFonts w:ascii="Cambria" w:hAnsi="Cambria"/>
          <w:sz w:val="20"/>
          <w:szCs w:val="20"/>
          <w:lang w:val="es-ES"/>
        </w:rPr>
        <w:t xml:space="preserve"> de Ins</w:t>
      </w:r>
      <w:r w:rsidR="00D22BC6" w:rsidRPr="0010796C">
        <w:rPr>
          <w:rFonts w:ascii="Cambria" w:hAnsi="Cambria"/>
          <w:sz w:val="20"/>
          <w:szCs w:val="20"/>
          <w:lang w:val="es-ES"/>
        </w:rPr>
        <w:t>trucción no. 1 de la Ciudad de C</w:t>
      </w:r>
      <w:r w:rsidR="004F1BC5" w:rsidRPr="0010796C">
        <w:rPr>
          <w:rFonts w:ascii="Cambria" w:hAnsi="Cambria"/>
          <w:sz w:val="20"/>
          <w:szCs w:val="20"/>
          <w:lang w:val="es-ES"/>
        </w:rPr>
        <w:t>orrientes</w:t>
      </w:r>
      <w:r w:rsidR="00D22BC6" w:rsidRPr="0010796C">
        <w:rPr>
          <w:rFonts w:ascii="Cambria" w:hAnsi="Cambria"/>
          <w:sz w:val="20"/>
          <w:szCs w:val="20"/>
          <w:lang w:val="es-ES"/>
        </w:rPr>
        <w:t xml:space="preserve"> emitió una resolución declarando sin lugar </w:t>
      </w:r>
      <w:r w:rsidR="004F1BC5" w:rsidRPr="0010796C">
        <w:rPr>
          <w:rFonts w:ascii="Cambria" w:hAnsi="Cambria"/>
          <w:sz w:val="20"/>
          <w:szCs w:val="20"/>
          <w:lang w:val="es-ES"/>
        </w:rPr>
        <w:t>las excepciones planteadas por la defensa</w:t>
      </w:r>
      <w:r w:rsidR="004F1BC5" w:rsidRPr="0010796C">
        <w:rPr>
          <w:rStyle w:val="FootnoteReference"/>
          <w:rFonts w:ascii="Cambria" w:hAnsi="Cambria" w:cs="Calibri"/>
          <w:sz w:val="20"/>
          <w:szCs w:val="20"/>
          <w:lang w:val="es-ES"/>
        </w:rPr>
        <w:footnoteReference w:id="30"/>
      </w:r>
      <w:r w:rsidR="00725752" w:rsidRPr="0010796C">
        <w:rPr>
          <w:rFonts w:ascii="Cambria" w:hAnsi="Cambria"/>
          <w:sz w:val="20"/>
          <w:szCs w:val="20"/>
          <w:lang w:val="es-ES"/>
        </w:rPr>
        <w:t xml:space="preserve">, invocando una decisión previa de diciembre de 1999 en el marco de otra de las causas contra el señor Romero </w:t>
      </w:r>
      <w:proofErr w:type="spellStart"/>
      <w:r w:rsidR="00725752" w:rsidRPr="0010796C">
        <w:rPr>
          <w:rFonts w:ascii="Cambria" w:hAnsi="Cambria"/>
          <w:sz w:val="20"/>
          <w:szCs w:val="20"/>
          <w:lang w:val="es-ES"/>
        </w:rPr>
        <w:t>Feris</w:t>
      </w:r>
      <w:proofErr w:type="spellEnd"/>
      <w:r w:rsidR="00725752" w:rsidRPr="0010796C">
        <w:rPr>
          <w:rFonts w:ascii="Cambria" w:hAnsi="Cambria"/>
          <w:sz w:val="20"/>
          <w:szCs w:val="20"/>
          <w:lang w:val="es-ES"/>
        </w:rPr>
        <w:t xml:space="preserve"> en la cual se resolvió la competencia del Juzgado. Se</w:t>
      </w:r>
      <w:r w:rsidR="00261ADB" w:rsidRPr="0010796C">
        <w:rPr>
          <w:rFonts w:ascii="Cambria" w:hAnsi="Cambria"/>
          <w:sz w:val="20"/>
          <w:szCs w:val="20"/>
          <w:lang w:val="es-ES"/>
        </w:rPr>
        <w:t xml:space="preserve"> indicó lo siguiente:</w:t>
      </w:r>
    </w:p>
    <w:p w:rsidR="00261ADB" w:rsidRPr="0010796C" w:rsidRDefault="00261ADB" w:rsidP="00261AD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261ADB" w:rsidRPr="0010796C" w:rsidRDefault="00261ADB" w:rsidP="009A1D6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10796C">
        <w:rPr>
          <w:rFonts w:ascii="Cambria" w:hAnsi="Cambria"/>
          <w:sz w:val="20"/>
          <w:szCs w:val="20"/>
          <w:lang w:val="es-ES"/>
        </w:rPr>
        <w:lastRenderedPageBreak/>
        <w:t>Que, en opinión del suscrito, las excepciones de falta de jurisdicción y competencia articuladas deben ser rechazadas (...). Los oponentes manifiestan que el titular de este juzgado carece de jurisdicción para intervenir en la causa en razón de la atribución de fuero “universal”. Sobre el particular, es necesario tener presente que el Superior Tribunal de Justicia, máximo órgano jurisdiccional de la provincia, en oportunidad de ser sometido a su conocimient</w:t>
      </w:r>
      <w:r w:rsidR="00BC4633" w:rsidRPr="0010796C">
        <w:rPr>
          <w:rFonts w:ascii="Cambria" w:hAnsi="Cambria"/>
          <w:sz w:val="20"/>
          <w:szCs w:val="20"/>
          <w:lang w:val="es-ES"/>
        </w:rPr>
        <w:t>o tal planteo de competencia (...) ha resuelto por auto (...) de 3 de diciembre de 1999 (...) “1. Declarar la competencia y radicación de las causas conexas seguidas contra el imputado (...), en el Juzgado de Instrucción no. 1 (...)”, decisorio que, a la fecha, se encuentra firme y consentido, y que fuera fundado en la estricta observancia de las normas procesales que regulan la competencia por conexidad subjetiva. Así las cosas, se encuentra fuera de la competencia del suscrito reexaminar un fallo del Superior Tribunal, ya que lo decidido por el Alto Cuerpo debió ser materia de recurso ante mayor juez – Corte Federal – con</w:t>
      </w:r>
      <w:r w:rsidR="00A13A59" w:rsidRPr="0010796C">
        <w:rPr>
          <w:rFonts w:ascii="Cambria" w:hAnsi="Cambria"/>
          <w:sz w:val="20"/>
          <w:szCs w:val="20"/>
          <w:lang w:val="es-ES"/>
        </w:rPr>
        <w:t xml:space="preserve"> </w:t>
      </w:r>
      <w:r w:rsidR="00BC4633" w:rsidRPr="0010796C">
        <w:rPr>
          <w:rFonts w:ascii="Cambria" w:hAnsi="Cambria"/>
          <w:sz w:val="20"/>
          <w:szCs w:val="20"/>
          <w:lang w:val="es-ES"/>
        </w:rPr>
        <w:t>fundamento en la garantía del juez natural</w:t>
      </w:r>
      <w:r w:rsidR="00BC4633" w:rsidRPr="0010796C">
        <w:rPr>
          <w:rStyle w:val="FootnoteReference"/>
          <w:rFonts w:ascii="Cambria" w:hAnsi="Cambria"/>
          <w:sz w:val="20"/>
          <w:szCs w:val="20"/>
          <w:lang w:val="es-ES"/>
        </w:rPr>
        <w:footnoteReference w:id="31"/>
      </w:r>
      <w:r w:rsidR="00BC4633" w:rsidRPr="0010796C">
        <w:rPr>
          <w:rFonts w:ascii="Cambria" w:hAnsi="Cambria"/>
          <w:sz w:val="20"/>
          <w:szCs w:val="20"/>
          <w:lang w:val="es-ES"/>
        </w:rPr>
        <w:t xml:space="preserve">.  </w:t>
      </w:r>
      <w:r w:rsidRPr="0010796C">
        <w:rPr>
          <w:rFonts w:ascii="Cambria" w:hAnsi="Cambria"/>
          <w:sz w:val="20"/>
          <w:szCs w:val="20"/>
          <w:lang w:val="es-ES"/>
        </w:rPr>
        <w:t xml:space="preserve"> </w:t>
      </w:r>
    </w:p>
    <w:p w:rsidR="00D22BC6" w:rsidRPr="0010796C" w:rsidRDefault="00D22BC6" w:rsidP="00D22BC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135C6E" w:rsidRPr="0010796C" w:rsidRDefault="00A13A59" w:rsidP="001D26B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 xml:space="preserve">El </w:t>
      </w:r>
      <w:r w:rsidR="00135C6E" w:rsidRPr="0010796C">
        <w:rPr>
          <w:rFonts w:ascii="Cambria" w:hAnsi="Cambria"/>
          <w:sz w:val="20"/>
          <w:szCs w:val="20"/>
          <w:lang w:val="es-ES"/>
        </w:rPr>
        <w:t xml:space="preserve">7 de junio de 2001 la defensa interpuso un recurso de apelación contra </w:t>
      </w:r>
      <w:r w:rsidR="00BC4633" w:rsidRPr="0010796C">
        <w:rPr>
          <w:rFonts w:ascii="Cambria" w:hAnsi="Cambria"/>
          <w:sz w:val="20"/>
          <w:szCs w:val="20"/>
          <w:lang w:val="es-ES"/>
        </w:rPr>
        <w:t>dicha resolución</w:t>
      </w:r>
      <w:r w:rsidR="00135C6E" w:rsidRPr="0010796C">
        <w:rPr>
          <w:rStyle w:val="FootnoteReference"/>
          <w:rFonts w:ascii="Cambria" w:hAnsi="Cambria"/>
          <w:sz w:val="20"/>
          <w:szCs w:val="20"/>
          <w:lang w:val="es-ES"/>
        </w:rPr>
        <w:footnoteReference w:id="32"/>
      </w:r>
      <w:r w:rsidR="00BC4633" w:rsidRPr="0010796C">
        <w:rPr>
          <w:rFonts w:ascii="Cambria" w:hAnsi="Cambria"/>
          <w:sz w:val="20"/>
          <w:szCs w:val="20"/>
          <w:lang w:val="es-ES"/>
        </w:rPr>
        <w:t xml:space="preserve">. Se alegó que </w:t>
      </w:r>
      <w:r w:rsidR="00C52848" w:rsidRPr="0010796C">
        <w:rPr>
          <w:rFonts w:ascii="Cambria" w:hAnsi="Cambria"/>
          <w:sz w:val="20"/>
          <w:szCs w:val="20"/>
          <w:lang w:val="es-ES"/>
        </w:rPr>
        <w:t xml:space="preserve">la asignación de competencia de dicho </w:t>
      </w:r>
      <w:r w:rsidR="00BC4633" w:rsidRPr="0010796C">
        <w:rPr>
          <w:rFonts w:ascii="Cambria" w:hAnsi="Cambria"/>
          <w:sz w:val="20"/>
          <w:szCs w:val="20"/>
          <w:lang w:val="es-ES"/>
        </w:rPr>
        <w:t>Juez</w:t>
      </w:r>
      <w:r w:rsidR="00C52848" w:rsidRPr="0010796C">
        <w:rPr>
          <w:rFonts w:ascii="Cambria" w:hAnsi="Cambria"/>
          <w:sz w:val="20"/>
          <w:szCs w:val="20"/>
          <w:lang w:val="es-ES"/>
        </w:rPr>
        <w:t xml:space="preserve"> se efectuó irre</w:t>
      </w:r>
      <w:r w:rsidR="00D1721A" w:rsidRPr="0010796C">
        <w:rPr>
          <w:rFonts w:ascii="Cambria" w:hAnsi="Cambria"/>
          <w:sz w:val="20"/>
          <w:szCs w:val="20"/>
          <w:lang w:val="es-ES"/>
        </w:rPr>
        <w:t>gularmente y en inobservancia a</w:t>
      </w:r>
      <w:r w:rsidR="00C52848" w:rsidRPr="0010796C">
        <w:rPr>
          <w:rFonts w:ascii="Cambria" w:hAnsi="Cambria"/>
          <w:sz w:val="20"/>
          <w:szCs w:val="20"/>
          <w:lang w:val="es-ES"/>
        </w:rPr>
        <w:t xml:space="preserve"> las reglas de conexidad y de turno</w:t>
      </w:r>
      <w:r w:rsidR="008A55C2" w:rsidRPr="0010796C">
        <w:rPr>
          <w:rStyle w:val="FootnoteReference"/>
          <w:rFonts w:ascii="Cambria" w:hAnsi="Cambria"/>
          <w:sz w:val="20"/>
          <w:szCs w:val="20"/>
          <w:lang w:val="es-ES"/>
        </w:rPr>
        <w:footnoteReference w:id="33"/>
      </w:r>
      <w:r w:rsidR="00BC4633" w:rsidRPr="0010796C">
        <w:rPr>
          <w:rFonts w:ascii="Cambria" w:hAnsi="Cambria"/>
          <w:sz w:val="20"/>
          <w:szCs w:val="20"/>
          <w:lang w:val="es-ES"/>
        </w:rPr>
        <w:t>.</w:t>
      </w:r>
      <w:r w:rsidR="00C52848" w:rsidRPr="0010796C">
        <w:rPr>
          <w:rFonts w:ascii="Cambria" w:hAnsi="Cambria"/>
          <w:sz w:val="20"/>
          <w:szCs w:val="20"/>
          <w:lang w:val="es-ES"/>
        </w:rPr>
        <w:t xml:space="preserve"> </w:t>
      </w:r>
      <w:r w:rsidR="008B2241" w:rsidRPr="0010796C">
        <w:rPr>
          <w:rFonts w:ascii="Cambria" w:hAnsi="Cambria"/>
          <w:sz w:val="20"/>
          <w:szCs w:val="20"/>
          <w:lang w:val="es-ES"/>
        </w:rPr>
        <w:t>Solicitaron</w:t>
      </w:r>
      <w:r w:rsidR="00BC4633" w:rsidRPr="0010796C">
        <w:rPr>
          <w:rFonts w:ascii="Cambria" w:hAnsi="Cambria"/>
          <w:sz w:val="20"/>
          <w:szCs w:val="20"/>
          <w:lang w:val="es-ES"/>
        </w:rPr>
        <w:t xml:space="preserve"> que</w:t>
      </w:r>
      <w:r w:rsidR="00D1721A" w:rsidRPr="0010796C">
        <w:rPr>
          <w:rFonts w:ascii="Cambria" w:hAnsi="Cambria"/>
          <w:sz w:val="20"/>
          <w:szCs w:val="20"/>
          <w:lang w:val="es-ES"/>
        </w:rPr>
        <w:t xml:space="preserve"> en virtud de</w:t>
      </w:r>
      <w:r w:rsidR="0083404B" w:rsidRPr="0010796C">
        <w:rPr>
          <w:rFonts w:ascii="Cambria" w:hAnsi="Cambria"/>
          <w:sz w:val="20"/>
          <w:szCs w:val="20"/>
          <w:lang w:val="es-ES"/>
        </w:rPr>
        <w:t xml:space="preserve"> la afectación de garantías constitucionales como la </w:t>
      </w:r>
      <w:r w:rsidR="00D1721A" w:rsidRPr="0010796C">
        <w:rPr>
          <w:rFonts w:ascii="Cambria" w:hAnsi="Cambria"/>
          <w:sz w:val="20"/>
          <w:szCs w:val="20"/>
          <w:lang w:val="es-ES"/>
        </w:rPr>
        <w:t>del juez natural</w:t>
      </w:r>
      <w:r w:rsidR="00BC4633" w:rsidRPr="0010796C">
        <w:rPr>
          <w:rFonts w:ascii="Cambria" w:hAnsi="Cambria"/>
          <w:sz w:val="20"/>
          <w:szCs w:val="20"/>
          <w:lang w:val="es-ES"/>
        </w:rPr>
        <w:t xml:space="preserve">, </w:t>
      </w:r>
      <w:r w:rsidR="0083404B" w:rsidRPr="0010796C">
        <w:rPr>
          <w:rFonts w:ascii="Cambria" w:hAnsi="Cambria"/>
          <w:sz w:val="20"/>
          <w:szCs w:val="20"/>
          <w:lang w:val="es-ES"/>
        </w:rPr>
        <w:t>se conceda el recurso y se eleve a la Cámara en lo Criminal que Corre</w:t>
      </w:r>
      <w:r w:rsidR="00213DCE" w:rsidRPr="0010796C">
        <w:rPr>
          <w:rFonts w:ascii="Cambria" w:hAnsi="Cambria"/>
          <w:sz w:val="20"/>
          <w:szCs w:val="20"/>
          <w:lang w:val="es-ES"/>
        </w:rPr>
        <w:t>sponda</w:t>
      </w:r>
      <w:r w:rsidR="0083404B" w:rsidRPr="0010796C">
        <w:rPr>
          <w:rStyle w:val="FootnoteReference"/>
          <w:rFonts w:ascii="Cambria" w:hAnsi="Cambria"/>
          <w:sz w:val="20"/>
          <w:szCs w:val="20"/>
          <w:lang w:val="es-ES"/>
        </w:rPr>
        <w:footnoteReference w:id="34"/>
      </w:r>
      <w:r w:rsidR="001B0F98" w:rsidRPr="0010796C">
        <w:rPr>
          <w:rFonts w:ascii="Cambria" w:hAnsi="Cambria"/>
          <w:sz w:val="20"/>
          <w:szCs w:val="20"/>
          <w:lang w:val="es-ES"/>
        </w:rPr>
        <w:t>.</w:t>
      </w:r>
    </w:p>
    <w:p w:rsidR="00E355DF" w:rsidRPr="0010796C" w:rsidRDefault="00E355DF" w:rsidP="00E355D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4F5F25" w:rsidRPr="0010796C" w:rsidRDefault="00F365B4" w:rsidP="00910EC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 xml:space="preserve">El </w:t>
      </w:r>
      <w:r w:rsidR="004F5F25" w:rsidRPr="0010796C">
        <w:rPr>
          <w:rFonts w:ascii="Cambria" w:hAnsi="Cambria"/>
          <w:sz w:val="20"/>
          <w:szCs w:val="20"/>
          <w:lang w:val="es-ES"/>
        </w:rPr>
        <w:t>20 de junio</w:t>
      </w:r>
      <w:r w:rsidRPr="0010796C">
        <w:rPr>
          <w:rFonts w:ascii="Cambria" w:hAnsi="Cambria"/>
          <w:sz w:val="20"/>
          <w:szCs w:val="20"/>
          <w:lang w:val="es-ES"/>
        </w:rPr>
        <w:t xml:space="preserve"> de 2001 </w:t>
      </w:r>
      <w:r w:rsidR="004F5F25" w:rsidRPr="0010796C">
        <w:rPr>
          <w:rFonts w:ascii="Cambria" w:hAnsi="Cambria"/>
          <w:sz w:val="20"/>
          <w:szCs w:val="20"/>
          <w:lang w:val="es-ES"/>
        </w:rPr>
        <w:t>la Cámara en lo Criminal no. 2 de Corrientes emitió una resolución en la que decidió “no hacer lugar al recurso interpuesto”</w:t>
      </w:r>
      <w:r w:rsidR="004F5F25" w:rsidRPr="0010796C">
        <w:rPr>
          <w:rStyle w:val="FootnoteReference"/>
          <w:rFonts w:ascii="Cambria" w:hAnsi="Cambria"/>
          <w:sz w:val="20"/>
          <w:szCs w:val="20"/>
          <w:lang w:val="es-ES"/>
        </w:rPr>
        <w:footnoteReference w:id="35"/>
      </w:r>
      <w:r w:rsidR="004F5F25" w:rsidRPr="0010796C">
        <w:rPr>
          <w:rFonts w:ascii="Cambria" w:hAnsi="Cambria"/>
          <w:sz w:val="20"/>
          <w:szCs w:val="20"/>
          <w:lang w:val="es-ES"/>
        </w:rPr>
        <w:t>. La Cámara confirmó la resolución del Juez de Instrucción no. 1 de 4 de junio de 2001. La Cámara indicó lo siguiente:</w:t>
      </w:r>
    </w:p>
    <w:p w:rsidR="004F5F25" w:rsidRPr="0010796C" w:rsidRDefault="004F5F25" w:rsidP="004F5F2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4F5F25" w:rsidRPr="0010796C" w:rsidRDefault="004F5F25" w:rsidP="00D936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10796C">
        <w:rPr>
          <w:rFonts w:ascii="Cambria" w:hAnsi="Cambria"/>
          <w:sz w:val="20"/>
          <w:szCs w:val="20"/>
          <w:lang w:val="es-ES"/>
        </w:rPr>
        <w:t>(...) el magistrado tiene atribuciones, por razones de conexidad subjetiva y por turno, para entender en las causas de referencia. Esta circunstancia no vulnera en modo alguno la garantía de juez natural como inexactamente (...) invocan los apelantes. (...) Es asimismo inexacta la afirmación de la defensa técnica, en cuanto sostiene que la eximición</w:t>
      </w:r>
      <w:r w:rsidR="00337918" w:rsidRPr="0010796C">
        <w:rPr>
          <w:rFonts w:ascii="Cambria" w:hAnsi="Cambria"/>
          <w:sz w:val="20"/>
          <w:szCs w:val="20"/>
          <w:lang w:val="es-ES"/>
        </w:rPr>
        <w:t xml:space="preserve"> [sic]</w:t>
      </w:r>
      <w:r w:rsidRPr="0010796C">
        <w:rPr>
          <w:rFonts w:ascii="Cambria" w:hAnsi="Cambria"/>
          <w:sz w:val="20"/>
          <w:szCs w:val="20"/>
          <w:lang w:val="es-ES"/>
        </w:rPr>
        <w:t xml:space="preserve"> de turnos al Juzgado de Instrucción No. 1, dispuesta por acordadas del Superior Tribunal de Justicia, </w:t>
      </w:r>
      <w:proofErr w:type="gramStart"/>
      <w:r w:rsidRPr="0010796C">
        <w:rPr>
          <w:rFonts w:ascii="Cambria" w:hAnsi="Cambria"/>
          <w:sz w:val="20"/>
          <w:szCs w:val="20"/>
          <w:lang w:val="es-ES"/>
        </w:rPr>
        <w:t>convierten</w:t>
      </w:r>
      <w:proofErr w:type="gramEnd"/>
      <w:r w:rsidRPr="0010796C">
        <w:rPr>
          <w:rFonts w:ascii="Cambria" w:hAnsi="Cambria"/>
          <w:sz w:val="20"/>
          <w:szCs w:val="20"/>
          <w:lang w:val="es-ES"/>
        </w:rPr>
        <w:t xml:space="preserve"> a su titular en un “juez especial”. </w:t>
      </w:r>
      <w:r w:rsidR="00D936F8" w:rsidRPr="0010796C">
        <w:rPr>
          <w:rFonts w:ascii="Cambria" w:hAnsi="Cambria"/>
          <w:sz w:val="20"/>
          <w:szCs w:val="20"/>
          <w:lang w:val="es-ES"/>
        </w:rPr>
        <w:t>El marco en el que está procediendo dicho magistrado es el fijado por el Superior Tribunal en ejercicio de funciones de Superintendencia que le son inherentes en exclusiva. (...) No hay actos procesales nulos por parte del juez de grado que tengan su origen, en su forma de designación</w:t>
      </w:r>
      <w:r w:rsidR="00D936F8" w:rsidRPr="0010796C">
        <w:rPr>
          <w:rStyle w:val="FootnoteReference"/>
          <w:rFonts w:ascii="Cambria" w:hAnsi="Cambria"/>
          <w:sz w:val="20"/>
          <w:szCs w:val="20"/>
          <w:lang w:val="es-ES"/>
        </w:rPr>
        <w:footnoteReference w:id="36"/>
      </w:r>
      <w:r w:rsidR="00D936F8" w:rsidRPr="0010796C">
        <w:rPr>
          <w:rFonts w:ascii="Cambria" w:hAnsi="Cambria"/>
          <w:sz w:val="20"/>
          <w:szCs w:val="20"/>
          <w:lang w:val="es-ES"/>
        </w:rPr>
        <w:t xml:space="preserve">. </w:t>
      </w:r>
    </w:p>
    <w:p w:rsidR="007807D2" w:rsidRPr="0010796C" w:rsidRDefault="007807D2" w:rsidP="00D936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F87EB7" w:rsidRPr="0010796C" w:rsidRDefault="007807D2" w:rsidP="00F87EB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El 18 de julio de 2001 la defensa interpuso</w:t>
      </w:r>
      <w:r w:rsidR="007448D3" w:rsidRPr="0010796C">
        <w:rPr>
          <w:rFonts w:ascii="Cambria" w:hAnsi="Cambria"/>
          <w:sz w:val="20"/>
          <w:szCs w:val="20"/>
          <w:lang w:val="es-ES"/>
        </w:rPr>
        <w:t xml:space="preserve"> recurso</w:t>
      </w:r>
      <w:r w:rsidRPr="0010796C">
        <w:rPr>
          <w:rFonts w:ascii="Cambria" w:hAnsi="Cambria"/>
          <w:sz w:val="20"/>
          <w:szCs w:val="20"/>
          <w:lang w:val="es-ES"/>
        </w:rPr>
        <w:t xml:space="preserve"> de casación </w:t>
      </w:r>
      <w:r w:rsidR="00F87EB7" w:rsidRPr="0010796C">
        <w:rPr>
          <w:rFonts w:ascii="Cambria" w:hAnsi="Cambria"/>
          <w:sz w:val="20"/>
          <w:szCs w:val="20"/>
          <w:lang w:val="es-ES"/>
        </w:rPr>
        <w:t>ante la C</w:t>
      </w:r>
      <w:r w:rsidR="003B1052" w:rsidRPr="0010796C">
        <w:rPr>
          <w:rFonts w:ascii="Cambria" w:hAnsi="Cambria"/>
          <w:sz w:val="20"/>
          <w:szCs w:val="20"/>
          <w:lang w:val="es-ES"/>
        </w:rPr>
        <w:t>ámara en lo Criminal no</w:t>
      </w:r>
      <w:r w:rsidR="002A34C2" w:rsidRPr="0010796C">
        <w:rPr>
          <w:rFonts w:ascii="Cambria" w:hAnsi="Cambria"/>
          <w:sz w:val="20"/>
          <w:szCs w:val="20"/>
          <w:lang w:val="es-ES"/>
        </w:rPr>
        <w:t>.</w:t>
      </w:r>
      <w:r w:rsidR="003B1052" w:rsidRPr="0010796C">
        <w:rPr>
          <w:rFonts w:ascii="Cambria" w:hAnsi="Cambria"/>
          <w:sz w:val="20"/>
          <w:szCs w:val="20"/>
          <w:lang w:val="es-ES"/>
        </w:rPr>
        <w:t xml:space="preserve"> 2</w:t>
      </w:r>
      <w:r w:rsidR="004D2176" w:rsidRPr="0010796C">
        <w:rPr>
          <w:rStyle w:val="FootnoteReference"/>
          <w:rFonts w:ascii="Cambria" w:hAnsi="Cambria"/>
          <w:sz w:val="20"/>
          <w:szCs w:val="20"/>
          <w:lang w:val="es-ES"/>
        </w:rPr>
        <w:footnoteReference w:id="37"/>
      </w:r>
      <w:r w:rsidR="002A34C2" w:rsidRPr="0010796C">
        <w:rPr>
          <w:rFonts w:ascii="Cambria" w:hAnsi="Cambria"/>
          <w:sz w:val="20"/>
          <w:szCs w:val="20"/>
          <w:lang w:val="es-ES"/>
        </w:rPr>
        <w:t>. Se solicitó que se deje sin efecto su</w:t>
      </w:r>
      <w:r w:rsidR="003B1052" w:rsidRPr="0010796C">
        <w:rPr>
          <w:rFonts w:ascii="Cambria" w:hAnsi="Cambria"/>
          <w:sz w:val="20"/>
          <w:szCs w:val="20"/>
          <w:lang w:val="es-ES"/>
        </w:rPr>
        <w:t xml:space="preserve"> </w:t>
      </w:r>
      <w:r w:rsidR="007448D3" w:rsidRPr="0010796C">
        <w:rPr>
          <w:rFonts w:ascii="Cambria" w:hAnsi="Cambria"/>
          <w:sz w:val="20"/>
          <w:szCs w:val="20"/>
          <w:lang w:val="es-ES"/>
        </w:rPr>
        <w:t xml:space="preserve">resolución </w:t>
      </w:r>
      <w:r w:rsidR="002A34C2" w:rsidRPr="0010796C">
        <w:rPr>
          <w:rFonts w:ascii="Cambria" w:hAnsi="Cambria"/>
          <w:sz w:val="20"/>
          <w:szCs w:val="20"/>
          <w:lang w:val="es-ES"/>
        </w:rPr>
        <w:t>de</w:t>
      </w:r>
      <w:r w:rsidR="00A13A59" w:rsidRPr="0010796C">
        <w:rPr>
          <w:rFonts w:ascii="Cambria" w:hAnsi="Cambria"/>
          <w:sz w:val="20"/>
          <w:szCs w:val="20"/>
          <w:lang w:val="es-ES"/>
        </w:rPr>
        <w:t xml:space="preserve"> 20</w:t>
      </w:r>
      <w:r w:rsidR="007448D3" w:rsidRPr="0010796C">
        <w:rPr>
          <w:rFonts w:ascii="Cambria" w:hAnsi="Cambria"/>
          <w:sz w:val="20"/>
          <w:szCs w:val="20"/>
          <w:lang w:val="es-ES"/>
        </w:rPr>
        <w:t xml:space="preserve"> de junio de 2001</w:t>
      </w:r>
      <w:r w:rsidR="002A34C2" w:rsidRPr="0010796C">
        <w:rPr>
          <w:rFonts w:ascii="Cambria" w:hAnsi="Cambria"/>
          <w:sz w:val="20"/>
          <w:szCs w:val="20"/>
          <w:lang w:val="es-ES"/>
        </w:rPr>
        <w:t>, y que se devuelva</w:t>
      </w:r>
      <w:r w:rsidR="002A1906" w:rsidRPr="0010796C">
        <w:rPr>
          <w:rFonts w:ascii="Cambria" w:hAnsi="Cambria"/>
          <w:sz w:val="20"/>
          <w:szCs w:val="20"/>
          <w:lang w:val="es-ES"/>
        </w:rPr>
        <w:t>n</w:t>
      </w:r>
      <w:r w:rsidR="00F950B1" w:rsidRPr="0010796C">
        <w:rPr>
          <w:rFonts w:ascii="Cambria" w:hAnsi="Cambria"/>
          <w:sz w:val="20"/>
          <w:szCs w:val="20"/>
          <w:lang w:val="es-ES"/>
        </w:rPr>
        <w:t xml:space="preserve"> los autos a la instancia anterior para que se dicte un nuevo pron</w:t>
      </w:r>
      <w:r w:rsidR="0007031D" w:rsidRPr="0010796C">
        <w:rPr>
          <w:rFonts w:ascii="Cambria" w:hAnsi="Cambria"/>
          <w:sz w:val="20"/>
          <w:szCs w:val="20"/>
          <w:lang w:val="es-ES"/>
        </w:rPr>
        <w:t>unciamiento debidamente fundado</w:t>
      </w:r>
      <w:r w:rsidR="0007031D" w:rsidRPr="0010796C">
        <w:rPr>
          <w:rStyle w:val="FootnoteReference"/>
          <w:rFonts w:ascii="Cambria" w:hAnsi="Cambria"/>
          <w:sz w:val="20"/>
          <w:szCs w:val="20"/>
          <w:lang w:val="es-ES"/>
        </w:rPr>
        <w:footnoteReference w:id="38"/>
      </w:r>
      <w:r w:rsidR="002A34C2" w:rsidRPr="0010796C">
        <w:rPr>
          <w:rFonts w:ascii="Cambria" w:hAnsi="Cambria"/>
          <w:sz w:val="20"/>
          <w:szCs w:val="20"/>
          <w:lang w:val="es-ES"/>
        </w:rPr>
        <w:t xml:space="preserve">. </w:t>
      </w:r>
      <w:r w:rsidR="00F87EB7" w:rsidRPr="0010796C">
        <w:rPr>
          <w:rFonts w:ascii="Cambria" w:hAnsi="Cambria"/>
          <w:sz w:val="20"/>
          <w:szCs w:val="20"/>
          <w:lang w:val="es-ES"/>
        </w:rPr>
        <w:t xml:space="preserve">Dos días después </w:t>
      </w:r>
      <w:r w:rsidR="00F87EB7" w:rsidRPr="0010796C">
        <w:rPr>
          <w:rFonts w:ascii="Cambria" w:hAnsi="Cambria"/>
          <w:sz w:val="20"/>
          <w:szCs w:val="20"/>
          <w:lang w:val="es-ES"/>
        </w:rPr>
        <w:lastRenderedPageBreak/>
        <w:t>la Cámara en lo Criminal no. 2 emitió una resolución en la que declaró inadmisible el recurso de casación</w:t>
      </w:r>
      <w:r w:rsidR="00F87EB7" w:rsidRPr="0010796C">
        <w:rPr>
          <w:rStyle w:val="FootnoteReference"/>
          <w:rFonts w:ascii="Cambria" w:hAnsi="Cambria"/>
          <w:sz w:val="20"/>
          <w:szCs w:val="20"/>
          <w:lang w:val="es-ES"/>
        </w:rPr>
        <w:footnoteReference w:id="39"/>
      </w:r>
      <w:r w:rsidR="00F87EB7" w:rsidRPr="0010796C">
        <w:rPr>
          <w:rFonts w:ascii="Cambria" w:hAnsi="Cambria"/>
          <w:sz w:val="20"/>
          <w:szCs w:val="20"/>
          <w:lang w:val="es-ES"/>
        </w:rPr>
        <w:t>. Ello en tanto “la resolución atacada no está especialmente prevista como objeto del recurso intentado</w:t>
      </w:r>
      <w:r w:rsidR="00ED1568" w:rsidRPr="0010796C">
        <w:rPr>
          <w:rFonts w:ascii="Cambria" w:hAnsi="Cambria"/>
          <w:sz w:val="20"/>
          <w:szCs w:val="20"/>
          <w:lang w:val="es-ES"/>
        </w:rPr>
        <w:t>”</w:t>
      </w:r>
      <w:r w:rsidR="00F87EB7" w:rsidRPr="0010796C">
        <w:rPr>
          <w:rStyle w:val="FootnoteReference"/>
          <w:rFonts w:ascii="Cambria" w:hAnsi="Cambria"/>
          <w:sz w:val="20"/>
          <w:szCs w:val="20"/>
          <w:lang w:val="es-ES"/>
        </w:rPr>
        <w:footnoteReference w:id="40"/>
      </w:r>
      <w:r w:rsidR="00F87EB7" w:rsidRPr="0010796C">
        <w:rPr>
          <w:rFonts w:ascii="Cambria" w:hAnsi="Cambria"/>
          <w:sz w:val="20"/>
          <w:szCs w:val="20"/>
          <w:lang w:val="es-ES"/>
        </w:rPr>
        <w:t>.</w:t>
      </w:r>
    </w:p>
    <w:p w:rsidR="00327B35" w:rsidRPr="0010796C" w:rsidRDefault="00327B35" w:rsidP="00F87EB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D35833" w:rsidRPr="0010796C" w:rsidRDefault="00F87EB7" w:rsidP="00D3583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E</w:t>
      </w:r>
      <w:r w:rsidR="00327B35" w:rsidRPr="0010796C">
        <w:rPr>
          <w:rFonts w:ascii="Cambria" w:hAnsi="Cambria"/>
          <w:sz w:val="20"/>
          <w:szCs w:val="20"/>
          <w:lang w:val="es-ES"/>
        </w:rPr>
        <w:t xml:space="preserve">l 20 de febrero de 2002  la defensa </w:t>
      </w:r>
      <w:r w:rsidR="00E37848" w:rsidRPr="0010796C">
        <w:rPr>
          <w:rFonts w:ascii="Cambria" w:hAnsi="Cambria"/>
          <w:sz w:val="20"/>
          <w:szCs w:val="20"/>
          <w:lang w:val="es-ES"/>
        </w:rPr>
        <w:t>presentó un escrito a la Cámara en lo Criminal no. 2 en donde se alegó la nulidad absoluta por la nueva conformación de dicho tribunal</w:t>
      </w:r>
      <w:r w:rsidR="00E37848" w:rsidRPr="0010796C">
        <w:rPr>
          <w:rStyle w:val="FootnoteReference"/>
          <w:rFonts w:ascii="Cambria" w:hAnsi="Cambria"/>
          <w:sz w:val="20"/>
          <w:szCs w:val="20"/>
          <w:lang w:val="es-ES"/>
        </w:rPr>
        <w:footnoteReference w:id="41"/>
      </w:r>
      <w:r w:rsidR="00E37848" w:rsidRPr="0010796C">
        <w:rPr>
          <w:rFonts w:ascii="Cambria" w:hAnsi="Cambria"/>
          <w:sz w:val="20"/>
          <w:szCs w:val="20"/>
          <w:lang w:val="es-ES"/>
        </w:rPr>
        <w:t>. La defensa alegó lo siguiente:</w:t>
      </w:r>
      <w:r w:rsidR="00D35833" w:rsidRPr="0010796C">
        <w:rPr>
          <w:rFonts w:ascii="Cambria" w:hAnsi="Cambria"/>
          <w:sz w:val="20"/>
          <w:szCs w:val="20"/>
          <w:lang w:val="es-ES"/>
        </w:rPr>
        <w:t xml:space="preserve"> </w:t>
      </w:r>
    </w:p>
    <w:p w:rsidR="00E37848" w:rsidRPr="0010796C" w:rsidRDefault="00E37848" w:rsidP="00E3784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E37848" w:rsidRPr="0010796C" w:rsidRDefault="00D35833" w:rsidP="0084295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lang w:val="es-ES"/>
        </w:rPr>
      </w:pPr>
      <w:r w:rsidRPr="0010796C">
        <w:rPr>
          <w:rFonts w:ascii="Cambria" w:hAnsi="Cambria"/>
          <w:color w:val="auto"/>
          <w:sz w:val="20"/>
          <w:szCs w:val="20"/>
          <w:lang w:val="es-ES"/>
        </w:rPr>
        <w:t xml:space="preserve">Los </w:t>
      </w:r>
      <w:r w:rsidRPr="0010796C">
        <w:rPr>
          <w:rFonts w:ascii="Cambria" w:hAnsi="Cambria" w:cs="Arial"/>
          <w:color w:val="auto"/>
          <w:sz w:val="20"/>
          <w:szCs w:val="20"/>
          <w:bdr w:val="none" w:sz="0" w:space="0" w:color="auto"/>
          <w:shd w:val="clear" w:color="auto" w:fill="FFFFFF"/>
          <w:lang w:val="es-ES"/>
        </w:rPr>
        <w:t>[</w:t>
      </w:r>
      <w:r w:rsidRPr="0010796C">
        <w:rPr>
          <w:rFonts w:ascii="Cambria" w:hAnsi="Cambria"/>
          <w:color w:val="auto"/>
          <w:sz w:val="20"/>
          <w:szCs w:val="20"/>
          <w:lang w:val="es-ES"/>
        </w:rPr>
        <w:t>tres jueces</w:t>
      </w:r>
      <w:r w:rsidRPr="0010796C">
        <w:rPr>
          <w:rFonts w:ascii="Cambria" w:hAnsi="Cambria" w:cs="Arial"/>
          <w:color w:val="auto"/>
          <w:sz w:val="20"/>
          <w:szCs w:val="20"/>
          <w:bdr w:val="none" w:sz="0" w:space="0" w:color="auto"/>
          <w:shd w:val="clear" w:color="auto" w:fill="FFFFFF"/>
          <w:lang w:val="es-ES"/>
        </w:rPr>
        <w:t>]</w:t>
      </w:r>
      <w:r w:rsidRPr="0010796C">
        <w:rPr>
          <w:rFonts w:ascii="Cambria" w:hAnsi="Cambria"/>
          <w:color w:val="auto"/>
          <w:sz w:val="20"/>
          <w:szCs w:val="20"/>
          <w:lang w:val="es-ES"/>
        </w:rPr>
        <w:t xml:space="preserve"> nombrados (...) no pueden ser considerados “jueces naturales” de la causa, en los términos de los artículos 18 de la Constitución Nacional y 1 del Código Procesal Penal, en razón de que su designación como Magistrados ha sido efectuada en clara contravención al artículo 142 de la Constitución de la Provincia de Corrientes. (...) El aspecto fundamental de dicha objeción fue que, al realizarse el nombramiento de designación de los Magistrados que </w:t>
      </w:r>
      <w:r w:rsidR="00036E1B" w:rsidRPr="0010796C">
        <w:rPr>
          <w:rFonts w:ascii="Cambria" w:hAnsi="Cambria"/>
          <w:color w:val="auto"/>
          <w:sz w:val="20"/>
          <w:szCs w:val="20"/>
          <w:lang w:val="es-ES"/>
        </w:rPr>
        <w:t>debían ocupar los cargos de Juez de Cámara en lo Criminal no. 2 (...), el Poder Ejecutivo de la Provincia (...) vi</w:t>
      </w:r>
      <w:r w:rsidR="00C338FF" w:rsidRPr="0010796C">
        <w:rPr>
          <w:rFonts w:ascii="Cambria" w:hAnsi="Cambria"/>
          <w:color w:val="auto"/>
          <w:sz w:val="20"/>
          <w:szCs w:val="20"/>
          <w:lang w:val="es-ES"/>
        </w:rPr>
        <w:t>oló el texto constitucional des</w:t>
      </w:r>
      <w:r w:rsidR="00036E1B" w:rsidRPr="0010796C">
        <w:rPr>
          <w:rFonts w:ascii="Cambria" w:hAnsi="Cambria"/>
          <w:color w:val="auto"/>
          <w:sz w:val="20"/>
          <w:szCs w:val="20"/>
          <w:lang w:val="es-ES"/>
        </w:rPr>
        <w:t>i</w:t>
      </w:r>
      <w:r w:rsidR="00C338FF" w:rsidRPr="0010796C">
        <w:rPr>
          <w:rFonts w:ascii="Cambria" w:hAnsi="Cambria"/>
          <w:color w:val="auto"/>
          <w:sz w:val="20"/>
          <w:szCs w:val="20"/>
          <w:lang w:val="es-ES"/>
        </w:rPr>
        <w:t>g</w:t>
      </w:r>
      <w:r w:rsidR="00036E1B" w:rsidRPr="0010796C">
        <w:rPr>
          <w:rFonts w:ascii="Cambria" w:hAnsi="Cambria"/>
          <w:color w:val="auto"/>
          <w:sz w:val="20"/>
          <w:szCs w:val="20"/>
          <w:lang w:val="es-ES"/>
        </w:rPr>
        <w:t>nando Magistrados en comisión cuando la Cámara de Senadores se encuentra en funciones (período de Sesiones Extraordinarias) y no en receso, lo cual convierte a dichas designaciones en absolutamente nulas y arbitraria</w:t>
      </w:r>
      <w:r w:rsidR="00A13A59" w:rsidRPr="0010796C">
        <w:rPr>
          <w:rFonts w:ascii="Cambria" w:hAnsi="Cambria"/>
          <w:color w:val="auto"/>
          <w:sz w:val="20"/>
          <w:szCs w:val="20"/>
          <w:lang w:val="es-ES"/>
        </w:rPr>
        <w:t>s</w:t>
      </w:r>
      <w:r w:rsidR="00036E1B" w:rsidRPr="0010796C">
        <w:rPr>
          <w:rStyle w:val="FootnoteReference"/>
          <w:rFonts w:ascii="Cambria" w:hAnsi="Cambria"/>
          <w:sz w:val="20"/>
          <w:szCs w:val="20"/>
          <w:lang w:val="es-ES"/>
        </w:rPr>
        <w:footnoteReference w:id="42"/>
      </w:r>
      <w:r w:rsidR="00036E1B" w:rsidRPr="0010796C">
        <w:rPr>
          <w:rFonts w:ascii="Cambria" w:hAnsi="Cambria"/>
          <w:color w:val="auto"/>
          <w:sz w:val="20"/>
          <w:szCs w:val="20"/>
          <w:lang w:val="es-ES"/>
        </w:rPr>
        <w:t xml:space="preserve">. </w:t>
      </w:r>
      <w:r w:rsidRPr="0010796C">
        <w:rPr>
          <w:rFonts w:ascii="Cambria" w:hAnsi="Cambria"/>
          <w:color w:val="auto"/>
          <w:sz w:val="20"/>
          <w:szCs w:val="20"/>
          <w:lang w:val="es-ES"/>
        </w:rPr>
        <w:t xml:space="preserve"> </w:t>
      </w:r>
    </w:p>
    <w:p w:rsidR="00080EC7" w:rsidRPr="0010796C" w:rsidRDefault="00080EC7" w:rsidP="00080EC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2F0E93" w:rsidRPr="0010796C" w:rsidRDefault="0010796C" w:rsidP="00910EC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 xml:space="preserve">El 22 de febrero de 2002 la Cámara en lo Criminal no. 2 emitió una resolución en donde “rechazó </w:t>
      </w:r>
      <w:r w:rsidRPr="0010796C">
        <w:rPr>
          <w:rFonts w:ascii="Cambria" w:hAnsi="Cambria"/>
          <w:i/>
          <w:sz w:val="20"/>
          <w:szCs w:val="20"/>
          <w:lang w:val="es-ES"/>
        </w:rPr>
        <w:t xml:space="preserve">in </w:t>
      </w:r>
      <w:proofErr w:type="spellStart"/>
      <w:r w:rsidRPr="0010796C">
        <w:rPr>
          <w:rFonts w:ascii="Cambria" w:hAnsi="Cambria"/>
          <w:i/>
          <w:sz w:val="20"/>
          <w:szCs w:val="20"/>
          <w:lang w:val="es-ES"/>
        </w:rPr>
        <w:t>limine</w:t>
      </w:r>
      <w:proofErr w:type="spellEnd"/>
      <w:r w:rsidRPr="0010796C">
        <w:rPr>
          <w:rFonts w:ascii="Cambria" w:hAnsi="Cambria"/>
          <w:sz w:val="20"/>
          <w:szCs w:val="20"/>
          <w:lang w:val="es-ES"/>
        </w:rPr>
        <w:t>, por improce</w:t>
      </w:r>
      <w:r>
        <w:rPr>
          <w:rFonts w:ascii="Cambria" w:hAnsi="Cambria"/>
          <w:sz w:val="20"/>
          <w:szCs w:val="20"/>
          <w:lang w:val="es-ES"/>
        </w:rPr>
        <w:t>de</w:t>
      </w:r>
      <w:r w:rsidRPr="0010796C">
        <w:rPr>
          <w:rFonts w:ascii="Cambria" w:hAnsi="Cambria"/>
          <w:sz w:val="20"/>
          <w:szCs w:val="20"/>
          <w:lang w:val="es-ES"/>
        </w:rPr>
        <w:t xml:space="preserve">nte, el planteo de nulidad referente a la constitución de este Tribunal, por no ser la vía escogida idónea para ello, y pudiendo los </w:t>
      </w:r>
      <w:proofErr w:type="spellStart"/>
      <w:r w:rsidRPr="0010796C">
        <w:rPr>
          <w:rFonts w:ascii="Cambria" w:hAnsi="Cambria"/>
          <w:sz w:val="20"/>
          <w:szCs w:val="20"/>
          <w:lang w:val="es-ES"/>
        </w:rPr>
        <w:t>peticionantes</w:t>
      </w:r>
      <w:proofErr w:type="spellEnd"/>
      <w:r w:rsidRPr="0010796C">
        <w:rPr>
          <w:rFonts w:ascii="Cambria" w:hAnsi="Cambria"/>
          <w:sz w:val="20"/>
          <w:szCs w:val="20"/>
          <w:lang w:val="es-ES"/>
        </w:rPr>
        <w:t xml:space="preserve"> ocurrir por la vía que corresponda”</w:t>
      </w:r>
      <w:r w:rsidRPr="0010796C">
        <w:rPr>
          <w:rStyle w:val="FootnoteReference"/>
          <w:rFonts w:ascii="Cambria" w:hAnsi="Cambria"/>
          <w:sz w:val="20"/>
          <w:szCs w:val="20"/>
          <w:lang w:val="es-ES"/>
        </w:rPr>
        <w:footnoteReference w:id="43"/>
      </w:r>
      <w:r w:rsidRPr="0010796C">
        <w:rPr>
          <w:rFonts w:ascii="Cambria" w:hAnsi="Cambria"/>
          <w:sz w:val="20"/>
          <w:szCs w:val="20"/>
          <w:lang w:val="es-ES"/>
        </w:rPr>
        <w:t xml:space="preserve">. </w:t>
      </w:r>
      <w:r w:rsidR="002F0E93" w:rsidRPr="0010796C">
        <w:rPr>
          <w:rFonts w:ascii="Cambria" w:hAnsi="Cambria"/>
          <w:sz w:val="20"/>
          <w:szCs w:val="20"/>
          <w:lang w:val="es-ES"/>
        </w:rPr>
        <w:t>La Cámara sostuvo lo siguiente:</w:t>
      </w:r>
    </w:p>
    <w:p w:rsidR="002F0E93" w:rsidRPr="0010796C" w:rsidRDefault="002F0E93" w:rsidP="002F0E9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2F0E93" w:rsidRPr="0010796C" w:rsidRDefault="00C44E82" w:rsidP="0084295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10796C">
        <w:rPr>
          <w:rFonts w:ascii="Cambria" w:hAnsi="Cambria"/>
          <w:sz w:val="20"/>
          <w:szCs w:val="20"/>
          <w:lang w:val="es-ES"/>
        </w:rPr>
        <w:t xml:space="preserve">(...) el planteo en cuestión no se dirige contra un acto procesal, dictado o producido en esta causa, sino contra un acto político emanado del Poder Ejecutivo Provincial, en ejercicio de facultades legales que </w:t>
      </w:r>
      <w:r w:rsidR="0001778A" w:rsidRPr="0010796C">
        <w:rPr>
          <w:rFonts w:ascii="Cambria" w:hAnsi="Cambria"/>
          <w:sz w:val="20"/>
          <w:szCs w:val="20"/>
          <w:lang w:val="es-ES"/>
        </w:rPr>
        <w:t>entiende le son propias. (...) L</w:t>
      </w:r>
      <w:r w:rsidRPr="0010796C">
        <w:rPr>
          <w:rFonts w:ascii="Cambria" w:hAnsi="Cambria"/>
          <w:sz w:val="20"/>
          <w:szCs w:val="20"/>
          <w:lang w:val="es-ES"/>
        </w:rPr>
        <w:t>a articulación de nulidad absoluta de la constitución de este Tribunal deviene en procesalmente improcedente, por no resultar la vía escogida la idónea para impugnar la validez y/o constitucionalidad de un acto dictado por otro Poder del Estado, para la cual existen otras vías y otros remedios procedimentales a los cuales podrán re</w:t>
      </w:r>
      <w:r w:rsidR="0001778A" w:rsidRPr="0010796C">
        <w:rPr>
          <w:rFonts w:ascii="Cambria" w:hAnsi="Cambria"/>
          <w:sz w:val="20"/>
          <w:szCs w:val="20"/>
          <w:lang w:val="es-ES"/>
        </w:rPr>
        <w:t xml:space="preserve">currir los </w:t>
      </w:r>
      <w:proofErr w:type="spellStart"/>
      <w:r w:rsidR="0001778A" w:rsidRPr="0010796C">
        <w:rPr>
          <w:rFonts w:ascii="Cambria" w:hAnsi="Cambria"/>
          <w:sz w:val="20"/>
          <w:szCs w:val="20"/>
          <w:lang w:val="es-ES"/>
        </w:rPr>
        <w:t>nulidicentes</w:t>
      </w:r>
      <w:proofErr w:type="spellEnd"/>
      <w:r w:rsidR="0001778A" w:rsidRPr="0010796C">
        <w:rPr>
          <w:rFonts w:ascii="Cambria" w:hAnsi="Cambria"/>
          <w:sz w:val="20"/>
          <w:szCs w:val="20"/>
          <w:lang w:val="es-ES"/>
        </w:rPr>
        <w:t>. (...) C</w:t>
      </w:r>
      <w:r w:rsidRPr="0010796C">
        <w:rPr>
          <w:rFonts w:ascii="Cambria" w:hAnsi="Cambria"/>
          <w:sz w:val="20"/>
          <w:szCs w:val="20"/>
          <w:lang w:val="es-ES"/>
        </w:rPr>
        <w:t xml:space="preserve">abe señalar que los únicos presupuestos que autorizarían al juez a separarse del conocimiento de la causa sometida a su decisión sería su apartamiento legal, sea por vía de su evidente incompetencia para entender en la misma, sea por las vías de la recusación o de la excusación o inhibición, cuestiones estas no planteadas por las partes. </w:t>
      </w:r>
      <w:r w:rsidR="00DE3EE1" w:rsidRPr="0010796C">
        <w:rPr>
          <w:rFonts w:ascii="Cambria" w:hAnsi="Cambria"/>
          <w:sz w:val="20"/>
          <w:szCs w:val="20"/>
          <w:lang w:val="es-ES"/>
        </w:rPr>
        <w:t>No se ha señalado en momento alguno que este Tribunal sea incompetente, ni sus integrantes se consideran así; no se los ha recusado ni existe motivo para que ellos se excusen, por lo que tal planteo de subrogación deviene impertinente</w:t>
      </w:r>
      <w:r w:rsidR="00DE3EE1" w:rsidRPr="0010796C">
        <w:rPr>
          <w:rStyle w:val="FootnoteReference"/>
          <w:rFonts w:ascii="Cambria" w:hAnsi="Cambria"/>
          <w:sz w:val="20"/>
          <w:szCs w:val="20"/>
          <w:lang w:val="es-ES"/>
        </w:rPr>
        <w:footnoteReference w:id="44"/>
      </w:r>
      <w:r w:rsidR="00DE3EE1" w:rsidRPr="0010796C">
        <w:rPr>
          <w:rFonts w:ascii="Cambria" w:hAnsi="Cambria"/>
          <w:sz w:val="20"/>
          <w:szCs w:val="20"/>
          <w:lang w:val="es-ES"/>
        </w:rPr>
        <w:t>.</w:t>
      </w:r>
    </w:p>
    <w:p w:rsidR="002F0E93" w:rsidRPr="0010796C" w:rsidRDefault="002F0E93" w:rsidP="002F0E9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080EC7" w:rsidRPr="0010796C" w:rsidRDefault="002F0E93" w:rsidP="00910EC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Asimismo, la Cámara recomendó a la defensa del señor Romero “adecuar sus planteos y peticiones procesales a las normas constitucionales y de fondo y forma vigentes y aplicables, para evitar un inútil desgaste de jurisdicción y la demora en la tramitación de las causas en las que intervienen”.</w:t>
      </w:r>
    </w:p>
    <w:p w:rsidR="002E0528" w:rsidRPr="0010796C" w:rsidRDefault="002E0528" w:rsidP="002E052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DE3EE1" w:rsidRPr="0010796C" w:rsidRDefault="00B26C2B" w:rsidP="00DE3EE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lastRenderedPageBreak/>
        <w:t xml:space="preserve">El 8 de marzo de 2002 la defensa interpuso </w:t>
      </w:r>
      <w:r w:rsidR="00DE3EE1" w:rsidRPr="0010796C">
        <w:rPr>
          <w:rFonts w:ascii="Cambria" w:hAnsi="Cambria"/>
          <w:sz w:val="20"/>
          <w:szCs w:val="20"/>
          <w:lang w:val="es-ES"/>
        </w:rPr>
        <w:t xml:space="preserve">un </w:t>
      </w:r>
      <w:r w:rsidRPr="0010796C">
        <w:rPr>
          <w:rFonts w:ascii="Cambria" w:hAnsi="Cambria"/>
          <w:sz w:val="20"/>
          <w:szCs w:val="20"/>
          <w:lang w:val="es-ES"/>
        </w:rPr>
        <w:t xml:space="preserve">recurso de casación contra </w:t>
      </w:r>
      <w:r w:rsidR="00DE3EE1" w:rsidRPr="0010796C">
        <w:rPr>
          <w:rFonts w:ascii="Cambria" w:hAnsi="Cambria"/>
          <w:sz w:val="20"/>
          <w:szCs w:val="20"/>
          <w:lang w:val="es-ES"/>
        </w:rPr>
        <w:t>dicha</w:t>
      </w:r>
      <w:r w:rsidRPr="0010796C">
        <w:rPr>
          <w:rFonts w:ascii="Cambria" w:hAnsi="Cambria"/>
          <w:sz w:val="20"/>
          <w:szCs w:val="20"/>
          <w:lang w:val="es-ES"/>
        </w:rPr>
        <w:t xml:space="preserve"> resolución</w:t>
      </w:r>
      <w:r w:rsidR="00965671" w:rsidRPr="0010796C">
        <w:rPr>
          <w:rStyle w:val="FootnoteReference"/>
          <w:rFonts w:ascii="Cambria" w:hAnsi="Cambria"/>
          <w:sz w:val="20"/>
          <w:szCs w:val="20"/>
          <w:lang w:val="es-ES"/>
        </w:rPr>
        <w:footnoteReference w:id="45"/>
      </w:r>
      <w:r w:rsidR="00DE3EE1" w:rsidRPr="0010796C">
        <w:rPr>
          <w:rFonts w:ascii="Cambria" w:hAnsi="Cambria"/>
          <w:sz w:val="20"/>
          <w:szCs w:val="20"/>
          <w:lang w:val="es-ES"/>
        </w:rPr>
        <w:t>. El 14 de marzo de 2002 la Cámara declaró inadmisible dicho recurso</w:t>
      </w:r>
      <w:r w:rsidR="00DE3EE1" w:rsidRPr="0010796C">
        <w:rPr>
          <w:rStyle w:val="FootnoteReference"/>
          <w:rFonts w:ascii="Cambria" w:hAnsi="Cambria"/>
          <w:sz w:val="20"/>
          <w:szCs w:val="20"/>
          <w:lang w:val="es-ES"/>
        </w:rPr>
        <w:footnoteReference w:id="46"/>
      </w:r>
      <w:r w:rsidR="00DE3EE1" w:rsidRPr="0010796C">
        <w:rPr>
          <w:rFonts w:ascii="Cambria" w:hAnsi="Cambria"/>
          <w:sz w:val="20"/>
          <w:szCs w:val="20"/>
          <w:lang w:val="es-ES"/>
        </w:rPr>
        <w:t>. Ello en tanto la “resolución atacada no reviste el carácter de sentencia definitiva”</w:t>
      </w:r>
      <w:r w:rsidR="00DE3EE1" w:rsidRPr="0010796C">
        <w:rPr>
          <w:rStyle w:val="FootnoteReference"/>
          <w:rFonts w:ascii="Cambria" w:hAnsi="Cambria"/>
          <w:sz w:val="20"/>
          <w:szCs w:val="20"/>
          <w:lang w:val="es-ES"/>
        </w:rPr>
        <w:footnoteReference w:id="47"/>
      </w:r>
      <w:r w:rsidR="00DE3EE1" w:rsidRPr="0010796C">
        <w:rPr>
          <w:rFonts w:ascii="Cambria" w:hAnsi="Cambria"/>
          <w:sz w:val="20"/>
          <w:szCs w:val="20"/>
          <w:lang w:val="es-ES"/>
        </w:rPr>
        <w:t>.</w:t>
      </w:r>
    </w:p>
    <w:p w:rsidR="002C7EC8" w:rsidRPr="0010796C" w:rsidRDefault="002C7EC8" w:rsidP="002C7EC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D255CB" w:rsidRPr="0010796C" w:rsidRDefault="002C7EC8" w:rsidP="00910EC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El 19 de marzo de 2002 la def</w:t>
      </w:r>
      <w:r w:rsidR="000C22AF" w:rsidRPr="0010796C">
        <w:rPr>
          <w:rFonts w:ascii="Cambria" w:hAnsi="Cambria"/>
          <w:sz w:val="20"/>
          <w:szCs w:val="20"/>
          <w:lang w:val="es-ES"/>
        </w:rPr>
        <w:t xml:space="preserve">ensa interpuso </w:t>
      </w:r>
      <w:r w:rsidR="00DE3EE1" w:rsidRPr="0010796C">
        <w:rPr>
          <w:rFonts w:ascii="Cambria" w:hAnsi="Cambria"/>
          <w:sz w:val="20"/>
          <w:szCs w:val="20"/>
          <w:lang w:val="es-ES"/>
        </w:rPr>
        <w:t xml:space="preserve">un </w:t>
      </w:r>
      <w:r w:rsidR="000C22AF" w:rsidRPr="0010796C">
        <w:rPr>
          <w:rFonts w:ascii="Cambria" w:hAnsi="Cambria"/>
          <w:sz w:val="20"/>
          <w:szCs w:val="20"/>
          <w:lang w:val="es-ES"/>
        </w:rPr>
        <w:t>recurso de queja</w:t>
      </w:r>
      <w:r w:rsidRPr="0010796C">
        <w:rPr>
          <w:rFonts w:ascii="Cambria" w:hAnsi="Cambria"/>
          <w:sz w:val="20"/>
          <w:szCs w:val="20"/>
          <w:lang w:val="es-ES"/>
        </w:rPr>
        <w:t xml:space="preserve"> en contra de la resolución anterior ante el Superior Tribunal de Justicia de Corrientes</w:t>
      </w:r>
      <w:r w:rsidRPr="0010796C">
        <w:rPr>
          <w:rStyle w:val="FootnoteReference"/>
          <w:rFonts w:ascii="Cambria" w:hAnsi="Cambria"/>
          <w:sz w:val="20"/>
          <w:szCs w:val="20"/>
          <w:lang w:val="es-ES"/>
        </w:rPr>
        <w:footnoteReference w:id="48"/>
      </w:r>
      <w:r w:rsidR="00DE3EE1" w:rsidRPr="0010796C">
        <w:rPr>
          <w:rFonts w:ascii="Cambria" w:hAnsi="Cambria"/>
          <w:sz w:val="20"/>
          <w:szCs w:val="20"/>
          <w:lang w:val="es-ES"/>
        </w:rPr>
        <w:t xml:space="preserve">. Se solicitó que </w:t>
      </w:r>
      <w:r w:rsidR="00AD574A" w:rsidRPr="0010796C">
        <w:rPr>
          <w:rFonts w:ascii="Cambria" w:hAnsi="Cambria"/>
          <w:sz w:val="20"/>
          <w:szCs w:val="20"/>
          <w:lang w:val="es-ES"/>
        </w:rPr>
        <w:t xml:space="preserve">se dejara sin efecto la resolución </w:t>
      </w:r>
      <w:r w:rsidR="00DE3EE1" w:rsidRPr="0010796C">
        <w:rPr>
          <w:rFonts w:ascii="Cambria" w:hAnsi="Cambria"/>
          <w:sz w:val="20"/>
          <w:szCs w:val="20"/>
          <w:lang w:val="es-ES"/>
        </w:rPr>
        <w:t>ya mencionada</w:t>
      </w:r>
      <w:r w:rsidR="00AD574A" w:rsidRPr="0010796C">
        <w:rPr>
          <w:rFonts w:ascii="Cambria" w:hAnsi="Cambria"/>
          <w:sz w:val="20"/>
          <w:szCs w:val="20"/>
          <w:lang w:val="es-ES"/>
        </w:rPr>
        <w:t xml:space="preserve"> y que alte</w:t>
      </w:r>
      <w:r w:rsidR="00844254" w:rsidRPr="0010796C">
        <w:rPr>
          <w:rFonts w:ascii="Cambria" w:hAnsi="Cambria"/>
          <w:sz w:val="20"/>
          <w:szCs w:val="20"/>
          <w:lang w:val="es-ES"/>
        </w:rPr>
        <w:t>rnativamente resolviera el fond</w:t>
      </w:r>
      <w:r w:rsidR="00AD574A" w:rsidRPr="0010796C">
        <w:rPr>
          <w:rFonts w:ascii="Cambria" w:hAnsi="Cambria"/>
          <w:sz w:val="20"/>
          <w:szCs w:val="20"/>
          <w:lang w:val="es-ES"/>
        </w:rPr>
        <w:t>o del asunto declarándose la nulidad</w:t>
      </w:r>
      <w:r w:rsidR="00D255CB" w:rsidRPr="0010796C">
        <w:rPr>
          <w:rFonts w:ascii="Cambria" w:hAnsi="Cambria"/>
          <w:sz w:val="20"/>
          <w:szCs w:val="20"/>
          <w:lang w:val="es-ES"/>
        </w:rPr>
        <w:t xml:space="preserve"> de</w:t>
      </w:r>
      <w:r w:rsidR="00AD574A" w:rsidRPr="0010796C">
        <w:rPr>
          <w:rFonts w:ascii="Cambria" w:hAnsi="Cambria"/>
          <w:sz w:val="20"/>
          <w:szCs w:val="20"/>
          <w:lang w:val="es-ES"/>
        </w:rPr>
        <w:t xml:space="preserve"> todo lo actuado por la Cámara </w:t>
      </w:r>
      <w:r w:rsidR="00D255CB" w:rsidRPr="0010796C">
        <w:rPr>
          <w:rFonts w:ascii="Cambria" w:hAnsi="Cambria"/>
          <w:sz w:val="20"/>
          <w:szCs w:val="20"/>
          <w:lang w:val="es-ES"/>
        </w:rPr>
        <w:t xml:space="preserve">en lo Criminal no. </w:t>
      </w:r>
      <w:r w:rsidR="00AD574A" w:rsidRPr="0010796C">
        <w:rPr>
          <w:rFonts w:ascii="Cambria" w:hAnsi="Cambria"/>
          <w:sz w:val="20"/>
          <w:szCs w:val="20"/>
          <w:lang w:val="es-ES"/>
        </w:rPr>
        <w:t>2</w:t>
      </w:r>
      <w:r w:rsidR="00AD574A" w:rsidRPr="0010796C">
        <w:rPr>
          <w:rStyle w:val="FootnoteReference"/>
          <w:rFonts w:ascii="Cambria" w:hAnsi="Cambria"/>
          <w:sz w:val="20"/>
          <w:szCs w:val="20"/>
          <w:lang w:val="es-ES"/>
        </w:rPr>
        <w:footnoteReference w:id="49"/>
      </w:r>
      <w:r w:rsidR="00252316" w:rsidRPr="0010796C">
        <w:rPr>
          <w:rFonts w:ascii="Cambria" w:hAnsi="Cambria"/>
          <w:sz w:val="20"/>
          <w:szCs w:val="20"/>
          <w:lang w:val="es-ES"/>
        </w:rPr>
        <w:t>.</w:t>
      </w:r>
      <w:r w:rsidR="00F762EE" w:rsidRPr="0010796C">
        <w:rPr>
          <w:rFonts w:ascii="Cambria" w:hAnsi="Cambria"/>
          <w:sz w:val="20"/>
          <w:szCs w:val="20"/>
          <w:lang w:val="es-ES"/>
        </w:rPr>
        <w:t xml:space="preserve"> </w:t>
      </w:r>
    </w:p>
    <w:p w:rsidR="00D255CB" w:rsidRPr="0010796C" w:rsidRDefault="00D255CB" w:rsidP="00D255C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D02F1E" w:rsidRPr="0010796C" w:rsidRDefault="00D255CB" w:rsidP="00D02F1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E</w:t>
      </w:r>
      <w:r w:rsidR="00F762EE" w:rsidRPr="0010796C">
        <w:rPr>
          <w:rFonts w:ascii="Cambria" w:hAnsi="Cambria"/>
          <w:sz w:val="20"/>
          <w:szCs w:val="20"/>
          <w:lang w:val="es-ES"/>
        </w:rPr>
        <w:t xml:space="preserve">l 7 de mayo de 2002 el </w:t>
      </w:r>
      <w:r w:rsidR="00960EBF" w:rsidRPr="0010796C">
        <w:rPr>
          <w:rFonts w:ascii="Cambria" w:hAnsi="Cambria"/>
          <w:sz w:val="20"/>
          <w:szCs w:val="20"/>
          <w:lang w:val="es-ES"/>
        </w:rPr>
        <w:t xml:space="preserve">Superior </w:t>
      </w:r>
      <w:r w:rsidR="00F762EE" w:rsidRPr="0010796C">
        <w:rPr>
          <w:rFonts w:ascii="Cambria" w:hAnsi="Cambria"/>
          <w:sz w:val="20"/>
          <w:szCs w:val="20"/>
          <w:lang w:val="es-ES"/>
        </w:rPr>
        <w:t xml:space="preserve">Tribunal de Justicia de Corrientes </w:t>
      </w:r>
      <w:r w:rsidR="00CC7BF3" w:rsidRPr="0010796C">
        <w:rPr>
          <w:rFonts w:ascii="Cambria" w:hAnsi="Cambria"/>
          <w:sz w:val="20"/>
          <w:szCs w:val="20"/>
          <w:lang w:val="es-ES"/>
        </w:rPr>
        <w:t>emitió u</w:t>
      </w:r>
      <w:r w:rsidRPr="0010796C">
        <w:rPr>
          <w:rFonts w:ascii="Cambria" w:hAnsi="Cambria"/>
          <w:sz w:val="20"/>
          <w:szCs w:val="20"/>
          <w:lang w:val="es-ES"/>
        </w:rPr>
        <w:t>na resolución donde indicó lo siguiente:</w:t>
      </w:r>
      <w:r w:rsidR="00D02F1E" w:rsidRPr="0010796C">
        <w:rPr>
          <w:rFonts w:ascii="Cambria" w:hAnsi="Cambria"/>
          <w:sz w:val="20"/>
          <w:szCs w:val="20"/>
          <w:lang w:val="es-ES"/>
        </w:rPr>
        <w:t xml:space="preserve"> </w:t>
      </w:r>
    </w:p>
    <w:p w:rsidR="00D02F1E" w:rsidRPr="0010796C" w:rsidRDefault="00D02F1E" w:rsidP="00D02F1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D02F1E" w:rsidRPr="0010796C" w:rsidRDefault="00D02F1E" w:rsidP="0084295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10796C">
        <w:rPr>
          <w:rFonts w:ascii="Cambria" w:hAnsi="Cambria"/>
          <w:sz w:val="20"/>
          <w:szCs w:val="20"/>
          <w:lang w:val="es-ES"/>
        </w:rPr>
        <w:t>Los quejosos señalan que se encuentra en tela de juicio la garantía del “juez natural e imparcial” por la inconstitucional designación de los miembros del Tribunal, así como la competencia de los mism</w:t>
      </w:r>
      <w:r w:rsidR="006B5C32" w:rsidRPr="0010796C">
        <w:rPr>
          <w:rFonts w:ascii="Cambria" w:hAnsi="Cambria"/>
          <w:sz w:val="20"/>
          <w:szCs w:val="20"/>
          <w:lang w:val="es-ES"/>
        </w:rPr>
        <w:t>os en cuanto</w:t>
      </w:r>
      <w:r w:rsidRPr="0010796C">
        <w:rPr>
          <w:rFonts w:ascii="Cambria" w:hAnsi="Cambria"/>
          <w:sz w:val="20"/>
          <w:szCs w:val="20"/>
          <w:lang w:val="es-ES"/>
        </w:rPr>
        <w:t xml:space="preserve"> a la decisión asumida, debido haber sido otro el tribunal que resolviera el planteo de nulidad e inconstitucionalidad oportunamente formulado por su parte. (...) El recurrente expresa con suficiencia los fundamentos que “prima facie” hacen procedente la vía directa estableciendo los motivos que invalidarían la providencia denegatoria, sin que se trate de una mera discrepancia subjetiva, cumpliendo de esta manera con su carga procesal. (...) atento a que “la interposición de la queja tiene efecto suspensivo respecto de la resolución denegatoria atacada, más no impide la continuidad del trámite de la causa, sobretodo porque el tribunal (...) no ha perdido su jurisdicción en el proceso” es que el mismo ha de ser concedido al mero efecto devolutivo</w:t>
      </w:r>
      <w:r w:rsidRPr="0010796C">
        <w:rPr>
          <w:rStyle w:val="FootnoteReference"/>
          <w:rFonts w:ascii="Cambria" w:hAnsi="Cambria"/>
          <w:sz w:val="20"/>
          <w:szCs w:val="20"/>
          <w:lang w:val="es-ES"/>
        </w:rPr>
        <w:footnoteReference w:id="50"/>
      </w:r>
      <w:r w:rsidRPr="0010796C">
        <w:rPr>
          <w:rFonts w:ascii="Cambria" w:hAnsi="Cambria"/>
          <w:sz w:val="20"/>
          <w:szCs w:val="20"/>
          <w:lang w:val="es-ES"/>
        </w:rPr>
        <w:t>.</w:t>
      </w:r>
    </w:p>
    <w:p w:rsidR="00252316" w:rsidRPr="0010796C" w:rsidRDefault="00252316" w:rsidP="00D02F1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7E0419" w:rsidRPr="0010796C" w:rsidRDefault="007E0419" w:rsidP="0077646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Por lo señalado, el Tribunal remitió las actuaciones a la Cámara en lo Criminal no. 2 “a fin de que impriman el trámite de ley”</w:t>
      </w:r>
      <w:r w:rsidRPr="0010796C">
        <w:rPr>
          <w:rStyle w:val="FootnoteReference"/>
          <w:rFonts w:ascii="Cambria" w:hAnsi="Cambria"/>
          <w:sz w:val="20"/>
          <w:szCs w:val="20"/>
          <w:lang w:val="es-ES"/>
        </w:rPr>
        <w:footnoteReference w:id="51"/>
      </w:r>
      <w:r w:rsidRPr="0010796C">
        <w:rPr>
          <w:rFonts w:ascii="Cambria" w:hAnsi="Cambria"/>
          <w:sz w:val="20"/>
          <w:szCs w:val="20"/>
          <w:lang w:val="es-ES"/>
        </w:rPr>
        <w:t>.</w:t>
      </w:r>
      <w:r w:rsidR="00960EBF" w:rsidRPr="0010796C">
        <w:rPr>
          <w:rFonts w:ascii="Cambria" w:hAnsi="Cambria"/>
          <w:sz w:val="20"/>
          <w:szCs w:val="20"/>
          <w:lang w:val="es-ES"/>
        </w:rPr>
        <w:t xml:space="preserve"> La CIDH no cuenta con información sobre lo decidido por la Cámara.</w:t>
      </w:r>
    </w:p>
    <w:p w:rsidR="007E0419" w:rsidRPr="0010796C" w:rsidRDefault="007E0419" w:rsidP="007E041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8C6597" w:rsidRPr="0010796C" w:rsidRDefault="000024B1" w:rsidP="0077646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 xml:space="preserve">El 25 de abril de 2002 la defensa formuló recusación </w:t>
      </w:r>
      <w:r w:rsidR="00D02F1E" w:rsidRPr="0010796C">
        <w:rPr>
          <w:rFonts w:ascii="Cambria" w:hAnsi="Cambria"/>
          <w:sz w:val="20"/>
          <w:szCs w:val="20"/>
          <w:lang w:val="es-ES"/>
        </w:rPr>
        <w:t>en contra de los jueces que integran la Cámara en lo Criminal no. 2</w:t>
      </w:r>
      <w:r w:rsidRPr="0010796C">
        <w:rPr>
          <w:rStyle w:val="FootnoteReference"/>
          <w:rFonts w:ascii="Cambria" w:hAnsi="Cambria"/>
          <w:sz w:val="20"/>
          <w:szCs w:val="20"/>
          <w:lang w:val="es-ES"/>
        </w:rPr>
        <w:footnoteReference w:id="52"/>
      </w:r>
      <w:r w:rsidR="00D02F1E" w:rsidRPr="0010796C">
        <w:rPr>
          <w:rFonts w:ascii="Cambria" w:hAnsi="Cambria"/>
          <w:sz w:val="20"/>
          <w:szCs w:val="20"/>
          <w:lang w:val="es-ES"/>
        </w:rPr>
        <w:t>.</w:t>
      </w:r>
      <w:r w:rsidR="0015352E" w:rsidRPr="0010796C">
        <w:rPr>
          <w:rFonts w:ascii="Cambria" w:hAnsi="Cambria"/>
          <w:sz w:val="20"/>
          <w:szCs w:val="20"/>
          <w:lang w:val="es-ES"/>
        </w:rPr>
        <w:t xml:space="preserve"> </w:t>
      </w:r>
      <w:r w:rsidR="008C6597" w:rsidRPr="0010796C">
        <w:rPr>
          <w:rFonts w:ascii="Cambria" w:hAnsi="Cambria"/>
          <w:sz w:val="20"/>
          <w:szCs w:val="20"/>
          <w:lang w:val="es-ES"/>
        </w:rPr>
        <w:t>Se alegó la falta de imparcialidad de los jueces en tanto algunos testimonios y prueba documental presentados por la defensa fueron declarados inadmisibles</w:t>
      </w:r>
      <w:r w:rsidR="008C6597" w:rsidRPr="0010796C">
        <w:rPr>
          <w:rStyle w:val="FootnoteReference"/>
          <w:rFonts w:ascii="Cambria" w:hAnsi="Cambria"/>
          <w:sz w:val="20"/>
          <w:szCs w:val="20"/>
          <w:lang w:val="es-ES"/>
        </w:rPr>
        <w:footnoteReference w:id="53"/>
      </w:r>
      <w:r w:rsidR="008C6597" w:rsidRPr="0010796C">
        <w:rPr>
          <w:rFonts w:ascii="Cambria" w:hAnsi="Cambria"/>
          <w:sz w:val="20"/>
          <w:szCs w:val="20"/>
          <w:lang w:val="es-ES"/>
        </w:rPr>
        <w:t>.</w:t>
      </w:r>
    </w:p>
    <w:p w:rsidR="000925C6" w:rsidRPr="0010796C" w:rsidRDefault="000925C6" w:rsidP="000925C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0925C6" w:rsidRPr="0010796C" w:rsidRDefault="000925C6" w:rsidP="0077646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 xml:space="preserve">Al día siguiente la Cámara en lo Criminal no. 2 emitió una resolución </w:t>
      </w:r>
      <w:r w:rsidR="00E155B7" w:rsidRPr="0010796C">
        <w:rPr>
          <w:rFonts w:ascii="Cambria" w:hAnsi="Cambria"/>
          <w:sz w:val="20"/>
          <w:szCs w:val="20"/>
          <w:lang w:val="es-ES"/>
        </w:rPr>
        <w:t xml:space="preserve">mediante la cual </w:t>
      </w:r>
      <w:r w:rsidRPr="0010796C">
        <w:rPr>
          <w:rFonts w:ascii="Cambria" w:hAnsi="Cambria"/>
          <w:sz w:val="20"/>
          <w:szCs w:val="20"/>
          <w:lang w:val="es-ES"/>
        </w:rPr>
        <w:t>declaró inadmisible la recusación presentada</w:t>
      </w:r>
      <w:r w:rsidRPr="0010796C">
        <w:rPr>
          <w:rStyle w:val="FootnoteReference"/>
          <w:rFonts w:ascii="Cambria" w:hAnsi="Cambria"/>
          <w:sz w:val="20"/>
          <w:szCs w:val="20"/>
          <w:lang w:val="es-ES"/>
        </w:rPr>
        <w:footnoteReference w:id="54"/>
      </w:r>
      <w:r w:rsidRPr="0010796C">
        <w:rPr>
          <w:rFonts w:ascii="Cambria" w:hAnsi="Cambria"/>
          <w:sz w:val="20"/>
          <w:szCs w:val="20"/>
          <w:lang w:val="es-ES"/>
        </w:rPr>
        <w:t>. La Cámara indicó que los alegatos de la defensa no se circunscriben a una de las causales para la recusación, conforme al artículo 59 del Código Procesal Penal</w:t>
      </w:r>
      <w:r w:rsidRPr="0010796C">
        <w:rPr>
          <w:rStyle w:val="FootnoteReference"/>
          <w:rFonts w:ascii="Cambria" w:hAnsi="Cambria"/>
          <w:sz w:val="20"/>
          <w:szCs w:val="20"/>
          <w:lang w:val="es-ES"/>
        </w:rPr>
        <w:footnoteReference w:id="55"/>
      </w:r>
      <w:r w:rsidRPr="0010796C">
        <w:rPr>
          <w:rFonts w:ascii="Cambria" w:hAnsi="Cambria"/>
          <w:sz w:val="20"/>
          <w:szCs w:val="20"/>
          <w:lang w:val="es-ES"/>
        </w:rPr>
        <w:t>.</w:t>
      </w:r>
    </w:p>
    <w:p w:rsidR="005F1420" w:rsidRPr="0010796C" w:rsidRDefault="005F1420" w:rsidP="005F142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0925C6" w:rsidRPr="0010796C" w:rsidRDefault="005F1420" w:rsidP="00641C9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 xml:space="preserve">El 17 de mayo de 2002 </w:t>
      </w:r>
      <w:r w:rsidRPr="0010796C">
        <w:rPr>
          <w:rFonts w:ascii="Cambria" w:hAnsi="Cambria" w:cs="Calibri"/>
          <w:sz w:val="20"/>
          <w:szCs w:val="20"/>
          <w:lang w:val="es-ES"/>
        </w:rPr>
        <w:t xml:space="preserve">la Cámara en lo Criminal no. 2 emitió una sentencia condenatoria en contra del señor Romero como autor penalmente responsable del delito de </w:t>
      </w:r>
      <w:r w:rsidR="00960EBF" w:rsidRPr="0010796C">
        <w:rPr>
          <w:rFonts w:ascii="Cambria" w:hAnsi="Cambria" w:cs="Calibri"/>
          <w:sz w:val="20"/>
          <w:szCs w:val="20"/>
          <w:lang w:val="es-ES"/>
        </w:rPr>
        <w:t>“</w:t>
      </w:r>
      <w:r w:rsidRPr="0010796C">
        <w:rPr>
          <w:rFonts w:ascii="Cambria" w:hAnsi="Cambria" w:cs="Calibri"/>
          <w:sz w:val="20"/>
          <w:szCs w:val="20"/>
          <w:lang w:val="es-ES"/>
        </w:rPr>
        <w:t>administración infiel</w:t>
      </w:r>
      <w:r w:rsidR="00960EBF" w:rsidRPr="0010796C">
        <w:rPr>
          <w:rFonts w:ascii="Cambria" w:hAnsi="Cambria" w:cs="Calibri"/>
          <w:sz w:val="20"/>
          <w:szCs w:val="20"/>
          <w:lang w:val="es-ES"/>
        </w:rPr>
        <w:t>”</w:t>
      </w:r>
      <w:r w:rsidRPr="0010796C">
        <w:rPr>
          <w:rFonts w:ascii="Cambria" w:hAnsi="Cambria" w:cs="Calibri"/>
          <w:sz w:val="20"/>
          <w:szCs w:val="20"/>
          <w:lang w:val="es-ES"/>
        </w:rPr>
        <w:t xml:space="preserve"> en perjuicio de la Administración Pública</w:t>
      </w:r>
      <w:r w:rsidRPr="0010796C">
        <w:rPr>
          <w:rStyle w:val="FootnoteReference"/>
          <w:rFonts w:ascii="Cambria" w:hAnsi="Cambria" w:cs="Calibri"/>
          <w:sz w:val="20"/>
          <w:szCs w:val="20"/>
          <w:lang w:val="es-ES"/>
        </w:rPr>
        <w:footnoteReference w:id="56"/>
      </w:r>
      <w:r w:rsidRPr="0010796C">
        <w:rPr>
          <w:rFonts w:ascii="Cambria" w:hAnsi="Cambria" w:cs="Calibri"/>
          <w:sz w:val="20"/>
          <w:szCs w:val="20"/>
          <w:lang w:val="es-ES"/>
        </w:rPr>
        <w:t>. La Cámara condenó al señor Romero a una pena de siete años de prisión y la inhabilitación especial perpetua para asumir cargos públicos</w:t>
      </w:r>
      <w:r w:rsidRPr="0010796C">
        <w:rPr>
          <w:rStyle w:val="FootnoteReference"/>
          <w:rFonts w:ascii="Cambria" w:hAnsi="Cambria" w:cs="Calibri"/>
          <w:sz w:val="20"/>
          <w:szCs w:val="20"/>
          <w:lang w:val="es-ES"/>
        </w:rPr>
        <w:footnoteReference w:id="57"/>
      </w:r>
      <w:r w:rsidRPr="0010796C">
        <w:rPr>
          <w:rFonts w:ascii="Cambria" w:hAnsi="Cambria" w:cs="Calibri"/>
          <w:sz w:val="20"/>
          <w:szCs w:val="20"/>
          <w:lang w:val="es-ES"/>
        </w:rPr>
        <w:t>. Asimismo, la Cámara dio lugar a la acción civil interpuesta y condenó al señor Romero a pagar a la Municipalidad de la ciudad de Corrientes la suma de $8,790,</w:t>
      </w:r>
      <w:r w:rsidR="00641C9C" w:rsidRPr="0010796C">
        <w:rPr>
          <w:rFonts w:ascii="Cambria" w:hAnsi="Cambria" w:cs="Calibri"/>
          <w:sz w:val="20"/>
          <w:szCs w:val="20"/>
          <w:lang w:val="es-ES"/>
        </w:rPr>
        <w:t>900 pesos argentinos por concepto de indemnización</w:t>
      </w:r>
      <w:r w:rsidR="00641C9C" w:rsidRPr="0010796C">
        <w:rPr>
          <w:rStyle w:val="FootnoteReference"/>
          <w:rFonts w:ascii="Cambria" w:hAnsi="Cambria" w:cs="Calibri"/>
          <w:sz w:val="20"/>
          <w:szCs w:val="20"/>
          <w:lang w:val="es-ES"/>
        </w:rPr>
        <w:footnoteReference w:id="58"/>
      </w:r>
      <w:r w:rsidR="00641C9C" w:rsidRPr="0010796C">
        <w:rPr>
          <w:rFonts w:ascii="Cambria" w:hAnsi="Cambria" w:cs="Calibri"/>
          <w:sz w:val="20"/>
          <w:szCs w:val="20"/>
          <w:lang w:val="es-ES"/>
        </w:rPr>
        <w:t>.</w:t>
      </w:r>
    </w:p>
    <w:p w:rsidR="00BF0143" w:rsidRPr="0010796C" w:rsidRDefault="00BF0143" w:rsidP="00BF014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565F4F" w:rsidRPr="0010796C" w:rsidRDefault="00E902F5" w:rsidP="008E34F0">
      <w:pPr>
        <w:pStyle w:val="LightGrid-Accent31"/>
        <w:numPr>
          <w:ilvl w:val="0"/>
          <w:numId w:val="55"/>
        </w:numPr>
        <w:ind w:left="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10</w:t>
      </w:r>
      <w:r w:rsidR="0057684E" w:rsidRPr="0010796C">
        <w:rPr>
          <w:rFonts w:ascii="Cambria" w:hAnsi="Cambria" w:cs="Calibri"/>
          <w:color w:val="000000"/>
          <w:sz w:val="20"/>
          <w:szCs w:val="20"/>
          <w:lang w:val="es-ES"/>
        </w:rPr>
        <w:t xml:space="preserve"> de junio de 2002 la d</w:t>
      </w:r>
      <w:r w:rsidRPr="0010796C">
        <w:rPr>
          <w:rFonts w:ascii="Cambria" w:hAnsi="Cambria" w:cs="Calibri"/>
          <w:color w:val="000000"/>
          <w:sz w:val="20"/>
          <w:szCs w:val="20"/>
          <w:lang w:val="es-ES"/>
        </w:rPr>
        <w:t xml:space="preserve">efensa interpuso </w:t>
      </w:r>
      <w:r w:rsidR="00641C9C" w:rsidRPr="0010796C">
        <w:rPr>
          <w:rFonts w:ascii="Cambria" w:hAnsi="Cambria" w:cs="Calibri"/>
          <w:color w:val="000000"/>
          <w:sz w:val="20"/>
          <w:szCs w:val="20"/>
          <w:lang w:val="es-ES"/>
        </w:rPr>
        <w:t>un recurso de casación en contra la sentencia dictada por la Cámara</w:t>
      </w:r>
      <w:r w:rsidR="00641C9C" w:rsidRPr="0010796C">
        <w:rPr>
          <w:rStyle w:val="FootnoteReference"/>
          <w:rFonts w:ascii="Cambria" w:hAnsi="Cambria" w:cs="Calibri"/>
          <w:color w:val="000000"/>
          <w:sz w:val="20"/>
          <w:szCs w:val="20"/>
          <w:lang w:val="es-ES"/>
        </w:rPr>
        <w:footnoteReference w:id="59"/>
      </w:r>
      <w:r w:rsidR="00641C9C" w:rsidRPr="0010796C">
        <w:rPr>
          <w:rFonts w:ascii="Cambria" w:hAnsi="Cambria" w:cs="Calibri"/>
          <w:color w:val="000000"/>
          <w:sz w:val="20"/>
          <w:szCs w:val="20"/>
          <w:lang w:val="es-ES"/>
        </w:rPr>
        <w:t xml:space="preserve">. </w:t>
      </w:r>
      <w:r w:rsidRPr="0010796C">
        <w:rPr>
          <w:rFonts w:ascii="Cambria" w:hAnsi="Cambria" w:cs="Calibri"/>
          <w:color w:val="000000"/>
          <w:sz w:val="20"/>
          <w:szCs w:val="20"/>
          <w:lang w:val="es-ES"/>
        </w:rPr>
        <w:t>El 13 de junio de 2002 la Cámara de l</w:t>
      </w:r>
      <w:r w:rsidR="00FE325E" w:rsidRPr="0010796C">
        <w:rPr>
          <w:rFonts w:ascii="Cambria" w:hAnsi="Cambria" w:cs="Calibri"/>
          <w:color w:val="000000"/>
          <w:sz w:val="20"/>
          <w:szCs w:val="20"/>
          <w:lang w:val="es-ES"/>
        </w:rPr>
        <w:t xml:space="preserve">o Criminal no. 2 de Corrientes </w:t>
      </w:r>
      <w:r w:rsidRPr="0010796C">
        <w:rPr>
          <w:rFonts w:ascii="Cambria" w:hAnsi="Cambria" w:cs="Calibri"/>
          <w:color w:val="000000"/>
          <w:sz w:val="20"/>
          <w:szCs w:val="20"/>
          <w:lang w:val="es-ES"/>
        </w:rPr>
        <w:t xml:space="preserve">dictó </w:t>
      </w:r>
      <w:r w:rsidR="00641C9C" w:rsidRPr="0010796C">
        <w:rPr>
          <w:rFonts w:ascii="Cambria" w:hAnsi="Cambria" w:cs="Calibri"/>
          <w:color w:val="000000"/>
          <w:sz w:val="20"/>
          <w:szCs w:val="20"/>
          <w:lang w:val="es-ES"/>
        </w:rPr>
        <w:t>una</w:t>
      </w:r>
      <w:r w:rsidRPr="0010796C">
        <w:rPr>
          <w:rFonts w:ascii="Cambria" w:hAnsi="Cambria" w:cs="Calibri"/>
          <w:color w:val="000000"/>
          <w:sz w:val="20"/>
          <w:szCs w:val="20"/>
          <w:lang w:val="es-ES"/>
        </w:rPr>
        <w:t xml:space="preserve"> resolución </w:t>
      </w:r>
      <w:r w:rsidR="00641C9C" w:rsidRPr="0010796C">
        <w:rPr>
          <w:rFonts w:ascii="Cambria" w:hAnsi="Cambria" w:cs="Calibri"/>
          <w:color w:val="000000"/>
          <w:sz w:val="20"/>
          <w:szCs w:val="20"/>
          <w:lang w:val="es-ES"/>
        </w:rPr>
        <w:t>mediante la cual se concedió</w:t>
      </w:r>
      <w:r w:rsidRPr="0010796C">
        <w:rPr>
          <w:rFonts w:ascii="Cambria" w:hAnsi="Cambria" w:cs="Calibri"/>
          <w:color w:val="000000"/>
          <w:sz w:val="20"/>
          <w:szCs w:val="20"/>
          <w:lang w:val="es-ES"/>
        </w:rPr>
        <w:t xml:space="preserve"> el recurso de casación </w:t>
      </w:r>
      <w:r w:rsidR="00565F4F" w:rsidRPr="0010796C">
        <w:rPr>
          <w:rFonts w:ascii="Cambria" w:hAnsi="Cambria" w:cs="Calibri"/>
          <w:color w:val="000000"/>
          <w:sz w:val="20"/>
          <w:szCs w:val="20"/>
          <w:lang w:val="es-ES"/>
        </w:rPr>
        <w:t>interpuesto</w:t>
      </w:r>
      <w:r w:rsidR="00641C9C" w:rsidRPr="0010796C">
        <w:rPr>
          <w:rStyle w:val="FootnoteReference"/>
          <w:rFonts w:ascii="Cambria" w:hAnsi="Cambria" w:cs="Calibri"/>
          <w:color w:val="000000"/>
          <w:sz w:val="20"/>
          <w:szCs w:val="20"/>
          <w:lang w:val="es-ES"/>
        </w:rPr>
        <w:footnoteReference w:id="60"/>
      </w:r>
      <w:r w:rsidR="00641C9C" w:rsidRPr="0010796C">
        <w:rPr>
          <w:rFonts w:ascii="Cambria" w:hAnsi="Cambria" w:cs="Calibri"/>
          <w:color w:val="000000"/>
          <w:sz w:val="20"/>
          <w:szCs w:val="20"/>
          <w:lang w:val="es-ES"/>
        </w:rPr>
        <w:t>.</w:t>
      </w:r>
      <w:r w:rsidR="00565F4F" w:rsidRPr="0010796C">
        <w:rPr>
          <w:rFonts w:ascii="Cambria" w:hAnsi="Cambria" w:cs="Calibri"/>
          <w:color w:val="000000"/>
          <w:sz w:val="20"/>
          <w:szCs w:val="20"/>
          <w:lang w:val="es-ES"/>
        </w:rPr>
        <w:t xml:space="preserve"> </w:t>
      </w:r>
      <w:r w:rsidR="008E34F0" w:rsidRPr="0010796C">
        <w:rPr>
          <w:rFonts w:ascii="Cambria" w:hAnsi="Cambria" w:cs="Calibri"/>
          <w:color w:val="000000"/>
          <w:sz w:val="20"/>
          <w:szCs w:val="20"/>
          <w:lang w:val="es-ES"/>
        </w:rPr>
        <w:t>La Cámara emplazó a las partes a comparecer ante el Superior Tribunal de Justicia</w:t>
      </w:r>
      <w:r w:rsidR="008E34F0" w:rsidRPr="0010796C">
        <w:rPr>
          <w:rStyle w:val="FootnoteReference"/>
          <w:rFonts w:ascii="Cambria" w:hAnsi="Cambria" w:cs="Calibri"/>
          <w:color w:val="000000"/>
          <w:sz w:val="20"/>
          <w:szCs w:val="20"/>
          <w:lang w:val="es-ES"/>
        </w:rPr>
        <w:footnoteReference w:id="61"/>
      </w:r>
      <w:r w:rsidR="008E34F0" w:rsidRPr="0010796C">
        <w:rPr>
          <w:rFonts w:ascii="Cambria" w:hAnsi="Cambria" w:cs="Calibri"/>
          <w:color w:val="000000"/>
          <w:sz w:val="20"/>
          <w:szCs w:val="20"/>
          <w:lang w:val="es-ES"/>
        </w:rPr>
        <w:t xml:space="preserve">. </w:t>
      </w:r>
    </w:p>
    <w:p w:rsidR="00E902F5" w:rsidRPr="0010796C" w:rsidRDefault="00E902F5" w:rsidP="00565F4F">
      <w:pPr>
        <w:pStyle w:val="LightGrid-Accent31"/>
        <w:ind w:left="0"/>
        <w:contextualSpacing/>
        <w:jc w:val="both"/>
        <w:rPr>
          <w:rFonts w:ascii="Cambria" w:hAnsi="Cambria" w:cs="Calibri"/>
          <w:color w:val="000000"/>
          <w:sz w:val="20"/>
          <w:szCs w:val="20"/>
          <w:lang w:val="es-ES"/>
        </w:rPr>
      </w:pPr>
    </w:p>
    <w:p w:rsidR="00E902F5" w:rsidRPr="0010796C" w:rsidRDefault="00E902F5" w:rsidP="00E902F5">
      <w:pPr>
        <w:pStyle w:val="LightGrid-Accent31"/>
        <w:numPr>
          <w:ilvl w:val="0"/>
          <w:numId w:val="55"/>
        </w:numPr>
        <w:ind w:left="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18 de febrero de 2003 </w:t>
      </w:r>
      <w:r w:rsidR="008E34F0" w:rsidRPr="0010796C">
        <w:rPr>
          <w:rFonts w:ascii="Cambria" w:hAnsi="Cambria" w:cs="Calibri"/>
          <w:color w:val="000000"/>
          <w:sz w:val="20"/>
          <w:szCs w:val="20"/>
          <w:lang w:val="es-ES"/>
        </w:rPr>
        <w:t xml:space="preserve">la defensa </w:t>
      </w:r>
      <w:r w:rsidRPr="0010796C">
        <w:rPr>
          <w:rFonts w:ascii="Cambria" w:hAnsi="Cambria" w:cs="Calibri"/>
          <w:color w:val="000000"/>
          <w:sz w:val="20"/>
          <w:szCs w:val="20"/>
          <w:lang w:val="es-ES"/>
        </w:rPr>
        <w:t xml:space="preserve">planteó </w:t>
      </w:r>
      <w:r w:rsidR="00044AAB" w:rsidRPr="0010796C">
        <w:rPr>
          <w:rFonts w:ascii="Cambria" w:hAnsi="Cambria" w:cs="Calibri"/>
          <w:color w:val="000000"/>
          <w:sz w:val="20"/>
          <w:szCs w:val="20"/>
          <w:lang w:val="es-ES"/>
        </w:rPr>
        <w:t xml:space="preserve">un recurso ante el </w:t>
      </w:r>
      <w:r w:rsidRPr="0010796C">
        <w:rPr>
          <w:rFonts w:ascii="Cambria" w:hAnsi="Cambria" w:cs="Calibri"/>
          <w:color w:val="000000"/>
          <w:sz w:val="20"/>
          <w:szCs w:val="20"/>
          <w:lang w:val="es-ES"/>
        </w:rPr>
        <w:t>Superior Tribunal de Justicia</w:t>
      </w:r>
      <w:r w:rsidR="00044AAB" w:rsidRPr="0010796C">
        <w:rPr>
          <w:rStyle w:val="FootnoteReference"/>
          <w:rFonts w:ascii="Cambria" w:hAnsi="Cambria" w:cs="Calibri"/>
          <w:color w:val="000000"/>
          <w:sz w:val="20"/>
          <w:szCs w:val="20"/>
          <w:lang w:val="es-ES"/>
        </w:rPr>
        <w:footnoteReference w:id="62"/>
      </w:r>
      <w:r w:rsidR="00044AAB" w:rsidRPr="0010796C">
        <w:rPr>
          <w:rFonts w:ascii="Cambria" w:hAnsi="Cambria" w:cs="Calibri"/>
          <w:color w:val="000000"/>
          <w:sz w:val="20"/>
          <w:szCs w:val="20"/>
          <w:lang w:val="es-ES"/>
        </w:rPr>
        <w:t>. Se indicó que tres de los jueces que conforman dicho Tribunal no fueron nombrados de conformidad al procedimiento establecido  por la Constitución de la Provincia</w:t>
      </w:r>
      <w:r w:rsidR="00044AAB" w:rsidRPr="0010796C">
        <w:rPr>
          <w:rStyle w:val="FootnoteReference"/>
          <w:rFonts w:ascii="Cambria" w:hAnsi="Cambria" w:cs="Calibri"/>
          <w:color w:val="000000"/>
          <w:sz w:val="20"/>
          <w:szCs w:val="20"/>
          <w:lang w:val="es-ES"/>
        </w:rPr>
        <w:footnoteReference w:id="63"/>
      </w:r>
      <w:r w:rsidR="00044AAB" w:rsidRPr="0010796C">
        <w:rPr>
          <w:rFonts w:ascii="Cambria" w:hAnsi="Cambria" w:cs="Calibri"/>
          <w:color w:val="000000"/>
          <w:sz w:val="20"/>
          <w:szCs w:val="20"/>
          <w:lang w:val="es-ES"/>
        </w:rPr>
        <w:t xml:space="preserve">. La defensa del señor Romero agregó lo siguiente: </w:t>
      </w:r>
    </w:p>
    <w:p w:rsidR="00044AAB" w:rsidRPr="0010796C" w:rsidRDefault="00044AAB" w:rsidP="00044AAB">
      <w:pPr>
        <w:pStyle w:val="LightGrid-Accent31"/>
        <w:ind w:left="0"/>
        <w:contextualSpacing/>
        <w:jc w:val="both"/>
        <w:rPr>
          <w:rFonts w:ascii="Cambria" w:hAnsi="Cambria" w:cs="Calibri"/>
          <w:color w:val="000000"/>
          <w:sz w:val="20"/>
          <w:szCs w:val="20"/>
          <w:lang w:val="es-ES"/>
        </w:rPr>
      </w:pPr>
    </w:p>
    <w:p w:rsidR="007E4CA3" w:rsidRPr="0010796C" w:rsidRDefault="007E4CA3" w:rsidP="00842956">
      <w:pPr>
        <w:ind w:left="720" w:right="720"/>
        <w:jc w:val="both"/>
        <w:rPr>
          <w:rFonts w:ascii="Cambria" w:eastAsia="Times New Roman" w:hAnsi="Cambria"/>
          <w:sz w:val="20"/>
          <w:szCs w:val="20"/>
          <w:lang w:val="es-ES"/>
        </w:rPr>
      </w:pPr>
      <w:r w:rsidRPr="0010796C">
        <w:rPr>
          <w:rFonts w:ascii="Cambria" w:hAnsi="Cambria" w:cs="Calibri"/>
          <w:sz w:val="20"/>
          <w:szCs w:val="20"/>
          <w:lang w:val="es-ES"/>
        </w:rPr>
        <w:t xml:space="preserve">(...) por regla, los miembros del Superior Tribunal son nombrados por el Poder Ejecutivo con acuerdo del Senado (artículo 142 de la Constitución de la Provincia de Corrientes). La potestad, del Poder Ejecutivo, de llenar las vacantes con funcionarios en comisión queda subordinada a la situación, de excepción, que está dada por el hecho de la vacante se produzca durante el receso del Senado (...). De modo entonces que, estando en funciones el Senado de la Provincia, no cabe el nombramiento de jueces de comisión. El nombramiento de </w:t>
      </w:r>
      <w:r w:rsidRPr="0010796C">
        <w:rPr>
          <w:rFonts w:ascii="Cambria" w:eastAsia="Times New Roman" w:hAnsi="Cambria" w:cs="Arial"/>
          <w:sz w:val="20"/>
          <w:szCs w:val="20"/>
          <w:shd w:val="clear" w:color="auto" w:fill="FFFFFF"/>
          <w:lang w:val="es-ES"/>
        </w:rPr>
        <w:t> [tres de los jueces que conforman el Superior Tribunal] al haberse realizado, estando en funciones el Cuerpo antes referido, exige (...) su acuerdo, puesto que, amén de ser redundantes, sólo en caso de que el Senado estuviese en receso, su designación en comisión hubiese sido posible</w:t>
      </w:r>
      <w:r w:rsidRPr="0010796C">
        <w:rPr>
          <w:rStyle w:val="FootnoteReference"/>
          <w:rFonts w:ascii="Cambria" w:hAnsi="Cambria" w:cs="Calibri"/>
          <w:color w:val="000000"/>
          <w:sz w:val="20"/>
          <w:szCs w:val="20"/>
          <w:lang w:val="es-ES"/>
        </w:rPr>
        <w:footnoteReference w:id="64"/>
      </w:r>
      <w:r w:rsidRPr="0010796C">
        <w:rPr>
          <w:rFonts w:ascii="Cambria" w:eastAsia="Times New Roman" w:hAnsi="Cambria" w:cs="Arial"/>
          <w:sz w:val="20"/>
          <w:szCs w:val="20"/>
          <w:shd w:val="clear" w:color="auto" w:fill="FFFFFF"/>
          <w:lang w:val="es-ES"/>
        </w:rPr>
        <w:t>.</w:t>
      </w:r>
    </w:p>
    <w:p w:rsidR="00E902F5" w:rsidRPr="0010796C" w:rsidRDefault="00E902F5" w:rsidP="00E902F5">
      <w:pPr>
        <w:pStyle w:val="LightGrid-Accent31"/>
        <w:ind w:left="0"/>
        <w:contextualSpacing/>
        <w:jc w:val="both"/>
        <w:rPr>
          <w:rFonts w:ascii="Cambria" w:hAnsi="Cambria" w:cs="Calibri"/>
          <w:color w:val="000000"/>
          <w:sz w:val="20"/>
          <w:szCs w:val="20"/>
          <w:lang w:val="es-ES"/>
        </w:rPr>
      </w:pPr>
    </w:p>
    <w:p w:rsidR="007A6048" w:rsidRPr="0010796C" w:rsidRDefault="007A6048" w:rsidP="002150F6">
      <w:pPr>
        <w:pStyle w:val="LightGrid-Accent31"/>
        <w:numPr>
          <w:ilvl w:val="0"/>
          <w:numId w:val="55"/>
        </w:numPr>
        <w:ind w:left="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10 de abril de 2003 el Superior Tribunal de Justicia emitió una resolución donde fijó una audiencia para el 14 de abril del mismo año a efectos de proceder al sorteo para la integración del Tribunal</w:t>
      </w:r>
      <w:r w:rsidRPr="0010796C">
        <w:rPr>
          <w:rStyle w:val="FootnoteReference"/>
          <w:rFonts w:ascii="Cambria" w:hAnsi="Cambria" w:cs="Calibri"/>
          <w:color w:val="000000"/>
          <w:sz w:val="20"/>
          <w:szCs w:val="20"/>
          <w:lang w:val="es-ES"/>
        </w:rPr>
        <w:footnoteReference w:id="65"/>
      </w:r>
      <w:r w:rsidRPr="0010796C">
        <w:rPr>
          <w:rFonts w:ascii="Cambria" w:hAnsi="Cambria" w:cs="Calibri"/>
          <w:color w:val="000000"/>
          <w:sz w:val="20"/>
          <w:szCs w:val="20"/>
          <w:lang w:val="es-ES"/>
        </w:rPr>
        <w:t>.</w:t>
      </w:r>
    </w:p>
    <w:p w:rsidR="007A6048" w:rsidRPr="0010796C" w:rsidRDefault="007A6048" w:rsidP="007A6048">
      <w:pPr>
        <w:pStyle w:val="LightGrid-Accent31"/>
        <w:ind w:left="720"/>
        <w:contextualSpacing/>
        <w:jc w:val="both"/>
        <w:rPr>
          <w:rFonts w:ascii="Cambria" w:hAnsi="Cambria" w:cs="Calibri"/>
          <w:color w:val="000000"/>
          <w:sz w:val="20"/>
          <w:szCs w:val="20"/>
          <w:lang w:val="es-ES"/>
        </w:rPr>
      </w:pPr>
    </w:p>
    <w:p w:rsidR="00A37D4D" w:rsidRPr="0010796C" w:rsidRDefault="00E902F5" w:rsidP="002150F6">
      <w:pPr>
        <w:pStyle w:val="LightGrid-Accent31"/>
        <w:numPr>
          <w:ilvl w:val="0"/>
          <w:numId w:val="55"/>
        </w:numPr>
        <w:ind w:left="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14 de abril de 20</w:t>
      </w:r>
      <w:r w:rsidR="00B1632C" w:rsidRPr="0010796C">
        <w:rPr>
          <w:rFonts w:ascii="Cambria" w:hAnsi="Cambria" w:cs="Calibri"/>
          <w:color w:val="000000"/>
          <w:sz w:val="20"/>
          <w:szCs w:val="20"/>
          <w:lang w:val="es-ES"/>
        </w:rPr>
        <w:t xml:space="preserve">03 </w:t>
      </w:r>
      <w:r w:rsidR="00A37D4D" w:rsidRPr="0010796C">
        <w:rPr>
          <w:rFonts w:ascii="Cambria" w:hAnsi="Cambria" w:cs="Calibri"/>
          <w:color w:val="000000"/>
          <w:sz w:val="20"/>
          <w:szCs w:val="20"/>
          <w:lang w:val="es-ES"/>
        </w:rPr>
        <w:t>la defensa del señor Romero</w:t>
      </w:r>
      <w:r w:rsidR="00B1632C" w:rsidRPr="0010796C">
        <w:rPr>
          <w:rFonts w:ascii="Cambria" w:hAnsi="Cambria" w:cs="Calibri"/>
          <w:color w:val="000000"/>
          <w:sz w:val="20"/>
          <w:szCs w:val="20"/>
          <w:lang w:val="es-ES"/>
        </w:rPr>
        <w:t xml:space="preserve"> interpuso </w:t>
      </w:r>
      <w:r w:rsidR="00A37D4D" w:rsidRPr="0010796C">
        <w:rPr>
          <w:rFonts w:ascii="Cambria" w:hAnsi="Cambria" w:cs="Calibri"/>
          <w:color w:val="000000"/>
          <w:sz w:val="20"/>
          <w:szCs w:val="20"/>
          <w:lang w:val="es-ES"/>
        </w:rPr>
        <w:t xml:space="preserve">una </w:t>
      </w:r>
      <w:r w:rsidR="0006063C" w:rsidRPr="0010796C">
        <w:rPr>
          <w:rFonts w:ascii="Cambria" w:hAnsi="Cambria" w:cs="Calibri"/>
          <w:color w:val="000000"/>
          <w:sz w:val="20"/>
          <w:szCs w:val="20"/>
          <w:lang w:val="es-ES"/>
        </w:rPr>
        <w:t xml:space="preserve">aclaratoria </w:t>
      </w:r>
      <w:r w:rsidRPr="0010796C">
        <w:rPr>
          <w:rFonts w:ascii="Cambria" w:hAnsi="Cambria" w:cs="Calibri"/>
          <w:color w:val="000000"/>
          <w:sz w:val="20"/>
          <w:szCs w:val="20"/>
          <w:lang w:val="es-ES"/>
        </w:rPr>
        <w:t>ante el Superior Trib</w:t>
      </w:r>
      <w:r w:rsidR="00F404DD" w:rsidRPr="0010796C">
        <w:rPr>
          <w:rFonts w:ascii="Cambria" w:hAnsi="Cambria" w:cs="Calibri"/>
          <w:color w:val="000000"/>
          <w:sz w:val="20"/>
          <w:szCs w:val="20"/>
          <w:lang w:val="es-ES"/>
        </w:rPr>
        <w:t xml:space="preserve">unal de Justicia de Corrientes </w:t>
      </w:r>
      <w:r w:rsidR="00A37D4D" w:rsidRPr="0010796C">
        <w:rPr>
          <w:rFonts w:ascii="Cambria" w:hAnsi="Cambria" w:cs="Calibri"/>
          <w:color w:val="000000"/>
          <w:sz w:val="20"/>
          <w:szCs w:val="20"/>
          <w:lang w:val="es-ES"/>
        </w:rPr>
        <w:t xml:space="preserve">por la </w:t>
      </w:r>
      <w:r w:rsidR="0010796C" w:rsidRPr="0010796C">
        <w:rPr>
          <w:rFonts w:ascii="Cambria" w:hAnsi="Cambria" w:cs="Calibri"/>
          <w:color w:val="000000"/>
          <w:sz w:val="20"/>
          <w:szCs w:val="20"/>
          <w:lang w:val="es-ES"/>
        </w:rPr>
        <w:t>resolución</w:t>
      </w:r>
      <w:r w:rsidR="00A37D4D" w:rsidRPr="0010796C">
        <w:rPr>
          <w:rFonts w:ascii="Cambria" w:hAnsi="Cambria" w:cs="Calibri"/>
          <w:color w:val="000000"/>
          <w:sz w:val="20"/>
          <w:szCs w:val="20"/>
          <w:lang w:val="es-ES"/>
        </w:rPr>
        <w:t xml:space="preserve"> ya señalada</w:t>
      </w:r>
      <w:r w:rsidR="00F404DD" w:rsidRPr="0010796C">
        <w:rPr>
          <w:rStyle w:val="FootnoteReference"/>
          <w:rFonts w:ascii="Cambria" w:hAnsi="Cambria" w:cs="Calibri"/>
          <w:color w:val="000000"/>
          <w:sz w:val="20"/>
          <w:szCs w:val="20"/>
          <w:lang w:val="es-ES"/>
        </w:rPr>
        <w:footnoteReference w:id="66"/>
      </w:r>
      <w:r w:rsidR="00A37D4D" w:rsidRPr="0010796C">
        <w:rPr>
          <w:rFonts w:ascii="Cambria" w:hAnsi="Cambria" w:cs="Calibri"/>
          <w:color w:val="000000"/>
          <w:sz w:val="20"/>
          <w:szCs w:val="20"/>
          <w:lang w:val="es-ES"/>
        </w:rPr>
        <w:t>. S</w:t>
      </w:r>
      <w:r w:rsidR="007544E4" w:rsidRPr="0010796C">
        <w:rPr>
          <w:rFonts w:ascii="Cambria" w:hAnsi="Cambria" w:cs="Calibri"/>
          <w:color w:val="000000"/>
          <w:sz w:val="20"/>
          <w:szCs w:val="20"/>
          <w:lang w:val="es-ES"/>
        </w:rPr>
        <w:t xml:space="preserve">olicitó </w:t>
      </w:r>
      <w:r w:rsidR="00A37D4D" w:rsidRPr="0010796C">
        <w:rPr>
          <w:rFonts w:ascii="Cambria" w:hAnsi="Cambria" w:cs="Calibri"/>
          <w:color w:val="000000"/>
          <w:sz w:val="20"/>
          <w:szCs w:val="20"/>
          <w:lang w:val="es-ES"/>
        </w:rPr>
        <w:t xml:space="preserve">que en dicho sorteo se tome en cuenta la solicitud de apartamiento de </w:t>
      </w:r>
      <w:r w:rsidR="005127BD" w:rsidRPr="0010796C">
        <w:rPr>
          <w:rFonts w:ascii="Cambria" w:hAnsi="Cambria" w:cs="Calibri"/>
          <w:color w:val="000000"/>
          <w:sz w:val="20"/>
          <w:szCs w:val="20"/>
          <w:lang w:val="es-ES"/>
        </w:rPr>
        <w:t xml:space="preserve">los jueces antes referidos y que adicionalmente, se excluyan “a </w:t>
      </w:r>
      <w:r w:rsidR="005127BD" w:rsidRPr="0010796C">
        <w:rPr>
          <w:rFonts w:ascii="Cambria" w:hAnsi="Cambria" w:cs="Calibri"/>
          <w:color w:val="000000"/>
          <w:sz w:val="20"/>
          <w:szCs w:val="20"/>
          <w:lang w:val="es-ES"/>
        </w:rPr>
        <w:lastRenderedPageBreak/>
        <w:t>todos los profesionales designados en comisión y que se encuentran en idénticas condiciones de los cuestionados en este incidente y, consecuentemente, imposibilitados de integrar un tribunal imparcial para resolver la nulidad planteada”</w:t>
      </w:r>
      <w:r w:rsidR="005127BD" w:rsidRPr="0010796C">
        <w:rPr>
          <w:rStyle w:val="FootnoteReference"/>
          <w:rFonts w:ascii="Cambria" w:hAnsi="Cambria" w:cs="Calibri"/>
          <w:color w:val="000000"/>
          <w:sz w:val="20"/>
          <w:szCs w:val="20"/>
          <w:lang w:val="es-ES"/>
        </w:rPr>
        <w:footnoteReference w:id="67"/>
      </w:r>
      <w:r w:rsidR="005127BD" w:rsidRPr="0010796C">
        <w:rPr>
          <w:rFonts w:ascii="Cambria" w:hAnsi="Cambria" w:cs="Calibri"/>
          <w:color w:val="000000"/>
          <w:sz w:val="20"/>
          <w:szCs w:val="20"/>
          <w:lang w:val="es-ES"/>
        </w:rPr>
        <w:t>.</w:t>
      </w:r>
      <w:r w:rsidR="00A37D4D" w:rsidRPr="0010796C">
        <w:rPr>
          <w:rFonts w:ascii="Cambria" w:hAnsi="Cambria" w:cs="Calibri"/>
          <w:color w:val="000000"/>
          <w:sz w:val="20"/>
          <w:szCs w:val="20"/>
          <w:lang w:val="es-ES"/>
        </w:rPr>
        <w:t xml:space="preserve"> </w:t>
      </w:r>
      <w:r w:rsidR="00C6528F" w:rsidRPr="0010796C">
        <w:rPr>
          <w:rFonts w:ascii="Cambria" w:hAnsi="Cambria" w:cs="Calibri"/>
          <w:color w:val="000000"/>
          <w:sz w:val="20"/>
          <w:szCs w:val="20"/>
          <w:lang w:val="es-ES"/>
        </w:rPr>
        <w:t xml:space="preserve"> </w:t>
      </w:r>
    </w:p>
    <w:p w:rsidR="00E902F5" w:rsidRPr="0010796C" w:rsidRDefault="00E902F5" w:rsidP="005127BD">
      <w:pPr>
        <w:pStyle w:val="LightGrid-Accent31"/>
        <w:ind w:left="0"/>
        <w:contextualSpacing/>
        <w:jc w:val="both"/>
        <w:rPr>
          <w:rFonts w:ascii="Cambria" w:hAnsi="Cambria" w:cs="Calibri"/>
          <w:color w:val="000000"/>
          <w:sz w:val="20"/>
          <w:szCs w:val="20"/>
          <w:lang w:val="es-ES"/>
        </w:rPr>
      </w:pPr>
    </w:p>
    <w:p w:rsidR="005127BD" w:rsidRPr="0010796C" w:rsidRDefault="00E902F5" w:rsidP="00E902F5">
      <w:pPr>
        <w:pStyle w:val="LightGrid-Accent31"/>
        <w:numPr>
          <w:ilvl w:val="0"/>
          <w:numId w:val="55"/>
        </w:numPr>
        <w:ind w:left="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7 de mayo de 2003 el </w:t>
      </w:r>
      <w:r w:rsidR="006944B0" w:rsidRPr="0010796C">
        <w:rPr>
          <w:rFonts w:ascii="Cambria" w:hAnsi="Cambria" w:cs="Calibri"/>
          <w:color w:val="000000"/>
          <w:sz w:val="20"/>
          <w:szCs w:val="20"/>
          <w:lang w:val="es-ES"/>
        </w:rPr>
        <w:t>Presi</w:t>
      </w:r>
      <w:r w:rsidR="00AE2E86" w:rsidRPr="0010796C">
        <w:rPr>
          <w:rFonts w:ascii="Cambria" w:hAnsi="Cambria" w:cs="Calibri"/>
          <w:color w:val="000000"/>
          <w:sz w:val="20"/>
          <w:szCs w:val="20"/>
          <w:lang w:val="es-ES"/>
        </w:rPr>
        <w:t>d</w:t>
      </w:r>
      <w:r w:rsidR="006944B0" w:rsidRPr="0010796C">
        <w:rPr>
          <w:rFonts w:ascii="Cambria" w:hAnsi="Cambria" w:cs="Calibri"/>
          <w:color w:val="000000"/>
          <w:sz w:val="20"/>
          <w:szCs w:val="20"/>
          <w:lang w:val="es-ES"/>
        </w:rPr>
        <w:t xml:space="preserve">ente del </w:t>
      </w:r>
      <w:r w:rsidRPr="0010796C">
        <w:rPr>
          <w:rFonts w:ascii="Cambria" w:hAnsi="Cambria" w:cs="Calibri"/>
          <w:color w:val="000000"/>
          <w:sz w:val="20"/>
          <w:szCs w:val="20"/>
          <w:lang w:val="es-ES"/>
        </w:rPr>
        <w:t>Superior Trib</w:t>
      </w:r>
      <w:r w:rsidR="000A1CB6" w:rsidRPr="0010796C">
        <w:rPr>
          <w:rFonts w:ascii="Cambria" w:hAnsi="Cambria" w:cs="Calibri"/>
          <w:color w:val="000000"/>
          <w:sz w:val="20"/>
          <w:szCs w:val="20"/>
          <w:lang w:val="es-ES"/>
        </w:rPr>
        <w:t xml:space="preserve">unal de Justicia de Corrientes </w:t>
      </w:r>
      <w:r w:rsidR="005127BD" w:rsidRPr="0010796C">
        <w:rPr>
          <w:rFonts w:ascii="Cambria" w:hAnsi="Cambria" w:cs="Calibri"/>
          <w:color w:val="000000"/>
          <w:sz w:val="20"/>
          <w:szCs w:val="20"/>
          <w:lang w:val="es-ES"/>
        </w:rPr>
        <w:t xml:space="preserve">dictó una </w:t>
      </w:r>
      <w:r w:rsidRPr="0010796C">
        <w:rPr>
          <w:rFonts w:ascii="Cambria" w:hAnsi="Cambria" w:cs="Calibri"/>
          <w:color w:val="000000"/>
          <w:sz w:val="20"/>
          <w:szCs w:val="20"/>
          <w:lang w:val="es-ES"/>
        </w:rPr>
        <w:t xml:space="preserve">resolución </w:t>
      </w:r>
      <w:r w:rsidR="005127BD" w:rsidRPr="0010796C">
        <w:rPr>
          <w:rFonts w:ascii="Cambria" w:hAnsi="Cambria" w:cs="Calibri"/>
          <w:color w:val="000000"/>
          <w:sz w:val="20"/>
          <w:szCs w:val="20"/>
          <w:lang w:val="es-ES"/>
        </w:rPr>
        <w:t>donde rechazó</w:t>
      </w:r>
      <w:r w:rsidRPr="0010796C">
        <w:rPr>
          <w:rFonts w:ascii="Cambria" w:hAnsi="Cambria" w:cs="Calibri"/>
          <w:color w:val="000000"/>
          <w:sz w:val="20"/>
          <w:szCs w:val="20"/>
          <w:lang w:val="es-ES"/>
        </w:rPr>
        <w:t xml:space="preserve"> la aclaratoria interpuesta</w:t>
      </w:r>
      <w:r w:rsidR="005127BD" w:rsidRPr="0010796C">
        <w:rPr>
          <w:rStyle w:val="FootnoteReference"/>
          <w:rFonts w:ascii="Cambria" w:hAnsi="Cambria" w:cs="Calibri"/>
          <w:color w:val="000000"/>
          <w:sz w:val="20"/>
          <w:szCs w:val="20"/>
          <w:lang w:val="es-ES"/>
        </w:rPr>
        <w:footnoteReference w:id="68"/>
      </w:r>
      <w:r w:rsidR="005127BD" w:rsidRPr="0010796C">
        <w:rPr>
          <w:rFonts w:ascii="Cambria" w:hAnsi="Cambria" w:cs="Calibri"/>
          <w:color w:val="000000"/>
          <w:sz w:val="20"/>
          <w:szCs w:val="20"/>
          <w:lang w:val="es-ES"/>
        </w:rPr>
        <w:t>.</w:t>
      </w:r>
      <w:r w:rsidRPr="0010796C">
        <w:rPr>
          <w:rFonts w:ascii="Cambria" w:hAnsi="Cambria" w:cs="Calibri"/>
          <w:color w:val="000000"/>
          <w:sz w:val="20"/>
          <w:szCs w:val="20"/>
          <w:lang w:val="es-ES"/>
        </w:rPr>
        <w:t xml:space="preserve"> </w:t>
      </w:r>
      <w:r w:rsidR="005127BD" w:rsidRPr="0010796C">
        <w:rPr>
          <w:rFonts w:ascii="Cambria" w:hAnsi="Cambria" w:cs="Calibri"/>
          <w:color w:val="000000"/>
          <w:sz w:val="20"/>
          <w:szCs w:val="20"/>
          <w:lang w:val="es-ES"/>
        </w:rPr>
        <w:t xml:space="preserve">Ello en tanto </w:t>
      </w:r>
      <w:r w:rsidR="002F5DB4" w:rsidRPr="0010796C">
        <w:rPr>
          <w:rFonts w:ascii="Cambria" w:hAnsi="Cambria" w:cs="Calibri"/>
          <w:color w:val="000000"/>
          <w:sz w:val="20"/>
          <w:szCs w:val="20"/>
          <w:lang w:val="es-ES"/>
        </w:rPr>
        <w:t>no se trata de un error u omisión material que requiera subsanar el contenido de su resolución</w:t>
      </w:r>
      <w:r w:rsidRPr="0010796C">
        <w:rPr>
          <w:rStyle w:val="FootnoteReference"/>
          <w:rFonts w:ascii="Cambria" w:hAnsi="Cambria" w:cs="Calibri"/>
          <w:color w:val="000000"/>
          <w:sz w:val="20"/>
          <w:szCs w:val="20"/>
          <w:lang w:val="es-ES"/>
        </w:rPr>
        <w:footnoteReference w:id="69"/>
      </w:r>
      <w:r w:rsidR="005E7011" w:rsidRPr="0010796C">
        <w:rPr>
          <w:rFonts w:ascii="Cambria" w:hAnsi="Cambria" w:cs="Calibri"/>
          <w:color w:val="000000"/>
          <w:sz w:val="20"/>
          <w:szCs w:val="20"/>
          <w:lang w:val="es-ES"/>
        </w:rPr>
        <w:t xml:space="preserve"> </w:t>
      </w:r>
      <w:r w:rsidR="002F5DB4" w:rsidRPr="0010796C">
        <w:rPr>
          <w:rFonts w:ascii="Cambria" w:hAnsi="Cambria" w:cs="Calibri"/>
          <w:color w:val="000000"/>
          <w:sz w:val="20"/>
          <w:szCs w:val="20"/>
          <w:lang w:val="es-ES"/>
        </w:rPr>
        <w:t xml:space="preserve">. </w:t>
      </w:r>
      <w:r w:rsidR="005127BD" w:rsidRPr="0010796C">
        <w:rPr>
          <w:rFonts w:ascii="Cambria" w:hAnsi="Cambria" w:cs="Calibri"/>
          <w:color w:val="000000"/>
          <w:sz w:val="20"/>
          <w:szCs w:val="20"/>
          <w:lang w:val="es-ES"/>
        </w:rPr>
        <w:t>Frente a ello, e</w:t>
      </w:r>
      <w:r w:rsidR="002F5DB4" w:rsidRPr="0010796C">
        <w:rPr>
          <w:rFonts w:ascii="Cambria" w:hAnsi="Cambria" w:cs="Calibri"/>
          <w:color w:val="000000"/>
          <w:sz w:val="20"/>
          <w:szCs w:val="20"/>
          <w:lang w:val="es-ES"/>
        </w:rPr>
        <w:t>l 14 de mayo de 2003 la d</w:t>
      </w:r>
      <w:r w:rsidRPr="0010796C">
        <w:rPr>
          <w:rFonts w:ascii="Cambria" w:hAnsi="Cambria" w:cs="Calibri"/>
          <w:color w:val="000000"/>
          <w:sz w:val="20"/>
          <w:szCs w:val="20"/>
          <w:lang w:val="es-ES"/>
        </w:rPr>
        <w:t>efensa interpuso</w:t>
      </w:r>
      <w:r w:rsidR="005127BD" w:rsidRPr="0010796C">
        <w:rPr>
          <w:rFonts w:ascii="Cambria" w:hAnsi="Cambria" w:cs="Calibri"/>
          <w:color w:val="000000"/>
          <w:sz w:val="20"/>
          <w:szCs w:val="20"/>
          <w:lang w:val="es-ES"/>
        </w:rPr>
        <w:t xml:space="preserve"> ante el Superior Tribunal de Justicia un</w:t>
      </w:r>
      <w:r w:rsidRPr="0010796C">
        <w:rPr>
          <w:rFonts w:ascii="Cambria" w:hAnsi="Cambria" w:cs="Calibri"/>
          <w:color w:val="000000"/>
          <w:sz w:val="20"/>
          <w:szCs w:val="20"/>
          <w:lang w:val="es-ES"/>
        </w:rPr>
        <w:t xml:space="preserve"> recurso de revocatoria</w:t>
      </w:r>
      <w:r w:rsidR="00B26882" w:rsidRPr="0010796C">
        <w:rPr>
          <w:rFonts w:ascii="Cambria" w:hAnsi="Cambria" w:cs="Calibri"/>
          <w:color w:val="000000"/>
          <w:sz w:val="20"/>
          <w:szCs w:val="20"/>
          <w:lang w:val="es-ES"/>
        </w:rPr>
        <w:t xml:space="preserve"> </w:t>
      </w:r>
      <w:r w:rsidR="005127BD" w:rsidRPr="0010796C">
        <w:rPr>
          <w:rFonts w:ascii="Cambria" w:hAnsi="Cambria" w:cs="Calibri"/>
          <w:color w:val="000000"/>
          <w:sz w:val="20"/>
          <w:szCs w:val="20"/>
          <w:lang w:val="es-ES"/>
        </w:rPr>
        <w:t>indicando lo siguiente:</w:t>
      </w:r>
    </w:p>
    <w:p w:rsidR="005127BD" w:rsidRPr="0010796C" w:rsidRDefault="005127BD" w:rsidP="005127BD">
      <w:pPr>
        <w:pStyle w:val="LightGrid-Accent31"/>
        <w:ind w:left="0"/>
        <w:contextualSpacing/>
        <w:jc w:val="both"/>
        <w:rPr>
          <w:rFonts w:ascii="Cambria" w:hAnsi="Cambria" w:cs="Calibri"/>
          <w:color w:val="000000"/>
          <w:sz w:val="20"/>
          <w:szCs w:val="20"/>
          <w:lang w:val="es-ES"/>
        </w:rPr>
      </w:pPr>
    </w:p>
    <w:p w:rsidR="00E902F5" w:rsidRPr="0010796C" w:rsidRDefault="005127BD" w:rsidP="00842956">
      <w:pPr>
        <w:pStyle w:val="LightGrid-Accent31"/>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 la aclaratoria interpuesta debió ser resuelta por el Tribunal con sus miembros titulares que no se encuentran designados en comisión, integrándose </w:t>
      </w:r>
      <w:r w:rsidR="006944B0" w:rsidRPr="0010796C">
        <w:rPr>
          <w:rFonts w:ascii="Cambria" w:hAnsi="Cambria" w:cs="Calibri"/>
          <w:color w:val="000000"/>
          <w:sz w:val="20"/>
          <w:szCs w:val="20"/>
          <w:lang w:val="es-ES"/>
        </w:rPr>
        <w:t>el mismo con los magistrados de segunda instancia que cuentan con acuerdo del Senado y no como ha ocurrido en autos que su rechazo ha sido resuelto por Presidente, la que por otra parte no tiene dicha atribución puesto que de conformidad al texto de la Ley Orgánica, artículo 24 no se encuentra entre las atribuciones de la Presidencia</w:t>
      </w:r>
      <w:r w:rsidR="00E902F5" w:rsidRPr="0010796C">
        <w:rPr>
          <w:rStyle w:val="FootnoteReference"/>
          <w:rFonts w:ascii="Cambria" w:hAnsi="Cambria" w:cs="Calibri"/>
          <w:color w:val="000000"/>
          <w:sz w:val="20"/>
          <w:szCs w:val="20"/>
          <w:lang w:val="es-ES"/>
        </w:rPr>
        <w:footnoteReference w:id="70"/>
      </w:r>
      <w:r w:rsidR="00E902F5" w:rsidRPr="0010796C">
        <w:rPr>
          <w:rFonts w:ascii="Cambria" w:hAnsi="Cambria" w:cs="Calibri"/>
          <w:color w:val="000000"/>
          <w:sz w:val="20"/>
          <w:szCs w:val="20"/>
          <w:lang w:val="es-ES"/>
        </w:rPr>
        <w:t>.</w:t>
      </w:r>
    </w:p>
    <w:p w:rsidR="00E902F5" w:rsidRPr="0010796C" w:rsidRDefault="00E902F5" w:rsidP="000A1D14">
      <w:pPr>
        <w:pStyle w:val="LightGrid-Accent31"/>
        <w:ind w:left="0"/>
        <w:contextualSpacing/>
        <w:jc w:val="both"/>
        <w:rPr>
          <w:rFonts w:ascii="Cambria" w:hAnsi="Cambria" w:cs="Calibri"/>
          <w:color w:val="000000"/>
          <w:sz w:val="20"/>
          <w:szCs w:val="20"/>
          <w:lang w:val="es-ES"/>
        </w:rPr>
      </w:pPr>
    </w:p>
    <w:p w:rsidR="006944B0" w:rsidRPr="0010796C" w:rsidRDefault="00AE2E86" w:rsidP="00E902F5">
      <w:pPr>
        <w:pStyle w:val="LightGrid-Accent31"/>
        <w:numPr>
          <w:ilvl w:val="0"/>
          <w:numId w:val="55"/>
        </w:numPr>
        <w:ind w:left="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w:t>
      </w:r>
      <w:r w:rsidR="000A1D14" w:rsidRPr="0010796C">
        <w:rPr>
          <w:rFonts w:ascii="Cambria" w:hAnsi="Cambria" w:cs="Calibri"/>
          <w:color w:val="000000"/>
          <w:sz w:val="20"/>
          <w:szCs w:val="20"/>
          <w:lang w:val="es-ES"/>
        </w:rPr>
        <w:t>2 de junio de 2003 el Fiscal General de C</w:t>
      </w:r>
      <w:r w:rsidR="006944B0" w:rsidRPr="0010796C">
        <w:rPr>
          <w:rFonts w:ascii="Cambria" w:hAnsi="Cambria" w:cs="Calibri"/>
          <w:color w:val="000000"/>
          <w:sz w:val="20"/>
          <w:szCs w:val="20"/>
          <w:lang w:val="es-ES"/>
        </w:rPr>
        <w:t>orrientes presentó un escrito al Superior Tribunal de Justicia</w:t>
      </w:r>
      <w:r w:rsidR="006944B0" w:rsidRPr="0010796C">
        <w:rPr>
          <w:rStyle w:val="FootnoteReference"/>
          <w:rFonts w:ascii="Cambria" w:hAnsi="Cambria" w:cs="Calibri"/>
          <w:color w:val="000000"/>
          <w:sz w:val="20"/>
          <w:szCs w:val="20"/>
          <w:lang w:val="es-ES"/>
        </w:rPr>
        <w:footnoteReference w:id="71"/>
      </w:r>
      <w:r w:rsidR="006944B0" w:rsidRPr="0010796C">
        <w:rPr>
          <w:rFonts w:ascii="Cambria" w:hAnsi="Cambria" w:cs="Calibri"/>
          <w:color w:val="000000"/>
          <w:sz w:val="20"/>
          <w:szCs w:val="20"/>
          <w:lang w:val="es-ES"/>
        </w:rPr>
        <w:t xml:space="preserve">. El Fiscal indicó que </w:t>
      </w:r>
      <w:r w:rsidR="000A1D14" w:rsidRPr="0010796C">
        <w:rPr>
          <w:rFonts w:ascii="Cambria" w:hAnsi="Cambria" w:cs="Calibri"/>
          <w:color w:val="000000"/>
          <w:sz w:val="20"/>
          <w:szCs w:val="20"/>
          <w:lang w:val="es-ES"/>
        </w:rPr>
        <w:t>asiste razón</w:t>
      </w:r>
      <w:r w:rsidR="006944B0" w:rsidRPr="0010796C">
        <w:rPr>
          <w:rFonts w:ascii="Cambria" w:hAnsi="Cambria" w:cs="Calibri"/>
          <w:color w:val="000000"/>
          <w:sz w:val="20"/>
          <w:szCs w:val="20"/>
          <w:lang w:val="es-ES"/>
        </w:rPr>
        <w:t xml:space="preserve"> a la defensa en tanto la resolución emitida por el Presidente del Superior Tribunal de Justicia excede de sus facultades conforme a la legislación interna</w:t>
      </w:r>
      <w:r w:rsidR="006944B0" w:rsidRPr="0010796C">
        <w:rPr>
          <w:rStyle w:val="FootnoteReference"/>
          <w:rFonts w:ascii="Cambria" w:hAnsi="Cambria" w:cs="Calibri"/>
          <w:color w:val="000000"/>
          <w:sz w:val="20"/>
          <w:szCs w:val="20"/>
          <w:lang w:val="es-ES"/>
        </w:rPr>
        <w:footnoteReference w:id="72"/>
      </w:r>
      <w:r w:rsidR="006944B0" w:rsidRPr="0010796C">
        <w:rPr>
          <w:rFonts w:ascii="Cambria" w:hAnsi="Cambria" w:cs="Calibri"/>
          <w:color w:val="000000"/>
          <w:sz w:val="20"/>
          <w:szCs w:val="20"/>
          <w:lang w:val="es-ES"/>
        </w:rPr>
        <w:t xml:space="preserve">. </w:t>
      </w:r>
      <w:r w:rsidR="009376A6" w:rsidRPr="0010796C">
        <w:rPr>
          <w:rFonts w:ascii="Cambria" w:hAnsi="Cambria" w:cs="Calibri"/>
          <w:color w:val="000000"/>
          <w:sz w:val="20"/>
          <w:szCs w:val="20"/>
          <w:lang w:val="es-ES"/>
        </w:rPr>
        <w:t>En relación con la conformación de dicho Tribunal, el Fiscal indicó lo siguiente:</w:t>
      </w:r>
    </w:p>
    <w:p w:rsidR="009376A6" w:rsidRPr="0010796C" w:rsidRDefault="009376A6" w:rsidP="009376A6">
      <w:pPr>
        <w:pStyle w:val="LightGrid-Accent31"/>
        <w:ind w:left="720"/>
        <w:contextualSpacing/>
        <w:jc w:val="both"/>
        <w:rPr>
          <w:rFonts w:ascii="Cambria" w:hAnsi="Cambria" w:cs="Calibri"/>
          <w:color w:val="000000"/>
          <w:sz w:val="20"/>
          <w:szCs w:val="20"/>
          <w:lang w:val="es-ES"/>
        </w:rPr>
      </w:pPr>
    </w:p>
    <w:p w:rsidR="009376A6" w:rsidRPr="0010796C" w:rsidRDefault="009376A6" w:rsidP="00842956">
      <w:pPr>
        <w:pStyle w:val="LightGrid-Accent31"/>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 corresponde </w:t>
      </w:r>
      <w:proofErr w:type="spellStart"/>
      <w:r w:rsidRPr="0010796C">
        <w:rPr>
          <w:rFonts w:ascii="Cambria" w:hAnsi="Cambria" w:cs="Calibri"/>
          <w:color w:val="000000"/>
          <w:sz w:val="20"/>
          <w:szCs w:val="20"/>
          <w:lang w:val="es-ES"/>
        </w:rPr>
        <w:t>recepcionar</w:t>
      </w:r>
      <w:proofErr w:type="spellEnd"/>
      <w:r w:rsidRPr="0010796C">
        <w:rPr>
          <w:rFonts w:ascii="Cambria" w:hAnsi="Cambria" w:cs="Calibri"/>
          <w:color w:val="000000"/>
          <w:sz w:val="20"/>
          <w:szCs w:val="20"/>
          <w:lang w:val="es-ES"/>
        </w:rPr>
        <w:t xml:space="preserve"> el planteo de nulidad, toda vez que se haya comprometido el procedimiento establecido en la Constitución Provincial para el nombramiento de los jueces, lo cual importa una lesión a la garantía del juez natural y al principio de la inviolabilidad de la defensa en juicio. (...) corresponde excluirse a quienes son ministros en comisión. Que, en atención a ello, deberá practicarse el sorteo de ley entre los subrogantes legales nombrados en orden a la Constitución, dejando de lado a los magistrados nombrados en comisión (...)</w:t>
      </w:r>
      <w:r w:rsidRPr="0010796C">
        <w:rPr>
          <w:rStyle w:val="FootnoteReference"/>
          <w:rFonts w:ascii="Cambria" w:hAnsi="Cambria" w:cs="Calibri"/>
          <w:color w:val="000000"/>
          <w:sz w:val="20"/>
          <w:szCs w:val="20"/>
          <w:lang w:val="es-ES"/>
        </w:rPr>
        <w:footnoteReference w:id="73"/>
      </w:r>
      <w:r w:rsidRPr="0010796C">
        <w:rPr>
          <w:rFonts w:ascii="Cambria" w:hAnsi="Cambria" w:cs="Calibri"/>
          <w:color w:val="000000"/>
          <w:sz w:val="20"/>
          <w:szCs w:val="20"/>
          <w:lang w:val="es-ES"/>
        </w:rPr>
        <w:t>.</w:t>
      </w:r>
    </w:p>
    <w:p w:rsidR="000A1D14" w:rsidRPr="0010796C" w:rsidRDefault="000A1D14" w:rsidP="007C4FCC">
      <w:pPr>
        <w:pStyle w:val="LightGrid-Accent31"/>
        <w:ind w:left="0"/>
        <w:contextualSpacing/>
        <w:jc w:val="both"/>
        <w:rPr>
          <w:rFonts w:ascii="Cambria" w:hAnsi="Cambria" w:cs="Calibri"/>
          <w:color w:val="000000"/>
          <w:sz w:val="20"/>
          <w:szCs w:val="20"/>
          <w:lang w:val="es-ES"/>
        </w:rPr>
      </w:pPr>
    </w:p>
    <w:p w:rsidR="00BF2719" w:rsidRPr="0010796C" w:rsidRDefault="00E902F5" w:rsidP="00BF2719">
      <w:pPr>
        <w:pStyle w:val="LightGrid-Accent31"/>
        <w:numPr>
          <w:ilvl w:val="0"/>
          <w:numId w:val="55"/>
        </w:numPr>
        <w:ind w:left="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11 de junio de 2003 el Superior Trib</w:t>
      </w:r>
      <w:r w:rsidR="00EC6F46" w:rsidRPr="0010796C">
        <w:rPr>
          <w:rFonts w:ascii="Cambria" w:hAnsi="Cambria" w:cs="Calibri"/>
          <w:color w:val="000000"/>
          <w:sz w:val="20"/>
          <w:szCs w:val="20"/>
          <w:lang w:val="es-ES"/>
        </w:rPr>
        <w:t xml:space="preserve">unal de Justicia de Corrientes </w:t>
      </w:r>
      <w:r w:rsidRPr="0010796C">
        <w:rPr>
          <w:rFonts w:ascii="Cambria" w:hAnsi="Cambria" w:cs="Calibri"/>
          <w:color w:val="000000"/>
          <w:sz w:val="20"/>
          <w:szCs w:val="20"/>
          <w:lang w:val="es-ES"/>
        </w:rPr>
        <w:t xml:space="preserve">dictó </w:t>
      </w:r>
      <w:r w:rsidR="00FB618A" w:rsidRPr="0010796C">
        <w:rPr>
          <w:rFonts w:ascii="Cambria" w:hAnsi="Cambria" w:cs="Calibri"/>
          <w:color w:val="000000"/>
          <w:sz w:val="20"/>
          <w:szCs w:val="20"/>
          <w:lang w:val="es-ES"/>
        </w:rPr>
        <w:t>una resolución mediante la cual rechazó los recursos planteados por la defensa</w:t>
      </w:r>
      <w:r w:rsidR="00FB618A" w:rsidRPr="0010796C">
        <w:rPr>
          <w:rStyle w:val="FootnoteReference"/>
          <w:rFonts w:ascii="Cambria" w:hAnsi="Cambria" w:cs="Calibri"/>
          <w:color w:val="000000"/>
          <w:sz w:val="20"/>
          <w:szCs w:val="20"/>
          <w:lang w:val="es-ES"/>
        </w:rPr>
        <w:footnoteReference w:id="74"/>
      </w:r>
      <w:r w:rsidR="00FB618A" w:rsidRPr="0010796C">
        <w:rPr>
          <w:rFonts w:ascii="Cambria" w:hAnsi="Cambria" w:cs="Calibri"/>
          <w:color w:val="000000"/>
          <w:sz w:val="20"/>
          <w:szCs w:val="20"/>
          <w:lang w:val="es-ES"/>
        </w:rPr>
        <w:t xml:space="preserve">. </w:t>
      </w:r>
      <w:r w:rsidR="00BF2719" w:rsidRPr="0010796C">
        <w:rPr>
          <w:rFonts w:ascii="Cambria" w:hAnsi="Cambria" w:cs="Calibri"/>
          <w:color w:val="000000"/>
          <w:sz w:val="20"/>
          <w:szCs w:val="20"/>
          <w:lang w:val="es-ES"/>
        </w:rPr>
        <w:t>El Superior Tribunal de Justicia indicó lo siguiente:</w:t>
      </w:r>
    </w:p>
    <w:p w:rsidR="00BF2719" w:rsidRPr="0010796C" w:rsidRDefault="00BF2719" w:rsidP="00BF2719">
      <w:pPr>
        <w:pStyle w:val="LightGrid-Accent31"/>
        <w:contextualSpacing/>
        <w:jc w:val="both"/>
        <w:rPr>
          <w:rFonts w:ascii="Cambria" w:hAnsi="Cambria" w:cs="Calibri"/>
          <w:color w:val="000000"/>
          <w:sz w:val="20"/>
          <w:szCs w:val="20"/>
          <w:lang w:val="es-ES"/>
        </w:rPr>
      </w:pPr>
    </w:p>
    <w:p w:rsidR="00BF2719" w:rsidRPr="0010796C" w:rsidRDefault="00BF2719" w:rsidP="00842956">
      <w:pPr>
        <w:pStyle w:val="LightGrid-Accent31"/>
        <w:ind w:left="720" w:right="72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Alegan los </w:t>
      </w:r>
      <w:r w:rsidR="0010796C" w:rsidRPr="0010796C">
        <w:rPr>
          <w:rFonts w:ascii="Cambria" w:hAnsi="Cambria" w:cs="Calibri"/>
          <w:color w:val="000000"/>
          <w:sz w:val="20"/>
          <w:szCs w:val="20"/>
          <w:lang w:val="es-ES"/>
        </w:rPr>
        <w:t>impugnantes</w:t>
      </w:r>
      <w:r w:rsidRPr="0010796C">
        <w:rPr>
          <w:rFonts w:ascii="Cambria" w:hAnsi="Cambria" w:cs="Calibri"/>
          <w:color w:val="000000"/>
          <w:sz w:val="20"/>
          <w:szCs w:val="20"/>
          <w:lang w:val="es-ES"/>
        </w:rPr>
        <w:t xml:space="preserve"> que los ministros que integran el Tribunal (Maldonado y Monzón) no han sido nombrados de conformidad al procedimiento establecido por la Constitución de la Provincia, por haberse realizado estando en funciones el Senado, circunstancia que impide al Poder Ejecutivo la designación de jueces en comisión. (...) Resulta así indiscutible que el Poder Ejecutivo de la Provincia ha formalizado la designación de tres de los ministros del Superior Tribunal de Justicia durante el receso del Senado, cubriendo los cargos respectivos </w:t>
      </w:r>
      <w:r w:rsidRPr="0010796C">
        <w:rPr>
          <w:rFonts w:ascii="Cambria" w:hAnsi="Cambria" w:cs="Calibri"/>
          <w:color w:val="000000"/>
          <w:sz w:val="20"/>
          <w:szCs w:val="20"/>
          <w:lang w:val="es-ES"/>
        </w:rPr>
        <w:lastRenderedPageBreak/>
        <w:t xml:space="preserve">con magistrados en comisión, y por tiempo limitado. </w:t>
      </w:r>
      <w:r w:rsidR="001C4AF3" w:rsidRPr="0010796C">
        <w:rPr>
          <w:rFonts w:ascii="Cambria" w:hAnsi="Cambria" w:cs="Calibri"/>
          <w:color w:val="000000"/>
          <w:sz w:val="20"/>
          <w:szCs w:val="20"/>
          <w:lang w:val="es-ES"/>
        </w:rPr>
        <w:t>Tal decisión constituye un acto político privativo de ese poder del Estado y por tanto ajeno a la competencia de los órganos judiciales</w:t>
      </w:r>
      <w:r w:rsidR="001C4AF3" w:rsidRPr="0010796C">
        <w:rPr>
          <w:rStyle w:val="FootnoteReference"/>
          <w:rFonts w:ascii="Cambria" w:hAnsi="Cambria" w:cs="Calibri"/>
          <w:color w:val="000000"/>
          <w:sz w:val="20"/>
          <w:szCs w:val="20"/>
          <w:lang w:val="es-ES"/>
        </w:rPr>
        <w:footnoteReference w:id="75"/>
      </w:r>
      <w:r w:rsidR="001C4AF3" w:rsidRPr="0010796C">
        <w:rPr>
          <w:rFonts w:ascii="Cambria" w:hAnsi="Cambria" w:cs="Calibri"/>
          <w:color w:val="000000"/>
          <w:sz w:val="20"/>
          <w:szCs w:val="20"/>
          <w:lang w:val="es-ES"/>
        </w:rPr>
        <w:t>.</w:t>
      </w:r>
    </w:p>
    <w:p w:rsidR="00BF2719" w:rsidRPr="0010796C" w:rsidRDefault="00BF2719" w:rsidP="00BF2719">
      <w:pPr>
        <w:pStyle w:val="LightGrid-Accent31"/>
        <w:ind w:left="720"/>
        <w:contextualSpacing/>
        <w:jc w:val="both"/>
        <w:rPr>
          <w:rFonts w:ascii="Cambria" w:hAnsi="Cambria" w:cs="Calibri"/>
          <w:color w:val="000000"/>
          <w:sz w:val="20"/>
          <w:szCs w:val="20"/>
          <w:lang w:val="es-ES"/>
        </w:rPr>
      </w:pPr>
    </w:p>
    <w:p w:rsidR="00BF2719" w:rsidRPr="0010796C" w:rsidRDefault="00BF2719" w:rsidP="00BF2719">
      <w:pPr>
        <w:pStyle w:val="LightGrid-Accent31"/>
        <w:numPr>
          <w:ilvl w:val="0"/>
          <w:numId w:val="55"/>
        </w:numPr>
        <w:ind w:left="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Asimismo, el Superior Tribunal de Justicia dispuso el apartamiento del Fiscal de esta causa y de todas las acumuladas por conexidad</w:t>
      </w:r>
      <w:r w:rsidRPr="0010796C">
        <w:rPr>
          <w:rStyle w:val="FootnoteReference"/>
          <w:rFonts w:ascii="Cambria" w:hAnsi="Cambria" w:cs="Calibri"/>
          <w:color w:val="000000"/>
          <w:sz w:val="20"/>
          <w:szCs w:val="20"/>
          <w:lang w:val="es-ES"/>
        </w:rPr>
        <w:footnoteReference w:id="76"/>
      </w:r>
      <w:r w:rsidRPr="0010796C">
        <w:rPr>
          <w:rFonts w:ascii="Cambria" w:hAnsi="Cambria" w:cs="Calibri"/>
          <w:color w:val="000000"/>
          <w:sz w:val="20"/>
          <w:szCs w:val="20"/>
          <w:lang w:val="es-ES"/>
        </w:rPr>
        <w:t>.</w:t>
      </w:r>
      <w:r w:rsidR="001C4AF3" w:rsidRPr="0010796C">
        <w:rPr>
          <w:rFonts w:ascii="Cambria" w:hAnsi="Cambria" w:cs="Calibri"/>
          <w:color w:val="000000"/>
          <w:sz w:val="20"/>
          <w:szCs w:val="20"/>
          <w:lang w:val="es-ES"/>
        </w:rPr>
        <w:t xml:space="preserve"> Indicó lo siguiente:</w:t>
      </w:r>
    </w:p>
    <w:p w:rsidR="001C4AF3" w:rsidRPr="0010796C" w:rsidRDefault="001C4AF3" w:rsidP="001C4AF3">
      <w:pPr>
        <w:pStyle w:val="LightGrid-Accent31"/>
        <w:ind w:left="720"/>
        <w:contextualSpacing/>
        <w:jc w:val="both"/>
        <w:rPr>
          <w:rFonts w:ascii="Cambria" w:hAnsi="Cambria" w:cs="Calibri"/>
          <w:color w:val="000000"/>
          <w:sz w:val="20"/>
          <w:szCs w:val="20"/>
          <w:lang w:val="es-ES"/>
        </w:rPr>
      </w:pPr>
    </w:p>
    <w:p w:rsidR="001C4AF3" w:rsidRPr="0010796C" w:rsidRDefault="001C4AF3" w:rsidP="001C4AF3">
      <w:pPr>
        <w:pStyle w:val="LightGrid-Accent31"/>
        <w:ind w:left="720" w:right="72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Siendo evidente el cambio de criterio del señor Fiscal adjunto y su fundamentación en premisas falsas, tan insólita actitud afecta gravemente la garantía de imparcialidad exigible al Ministerio Público en el ejercicio de funciones que integran el acto jurisdiccional, aun cuando ellas no tengan carácter vinculante para las decisiones del Tribunal</w:t>
      </w:r>
      <w:r w:rsidRPr="0010796C">
        <w:rPr>
          <w:rStyle w:val="FootnoteReference"/>
          <w:rFonts w:ascii="Cambria" w:hAnsi="Cambria" w:cs="Calibri"/>
          <w:color w:val="000000"/>
          <w:sz w:val="20"/>
          <w:szCs w:val="20"/>
          <w:lang w:val="es-ES"/>
        </w:rPr>
        <w:footnoteReference w:id="77"/>
      </w:r>
      <w:r w:rsidRPr="0010796C">
        <w:rPr>
          <w:rFonts w:ascii="Cambria" w:hAnsi="Cambria" w:cs="Calibri"/>
          <w:color w:val="000000"/>
          <w:sz w:val="20"/>
          <w:szCs w:val="20"/>
          <w:lang w:val="es-ES"/>
        </w:rPr>
        <w:t>.</w:t>
      </w:r>
    </w:p>
    <w:p w:rsidR="00E902F5" w:rsidRPr="0010796C" w:rsidRDefault="00E902F5" w:rsidP="00E902F5">
      <w:pPr>
        <w:pStyle w:val="LightGrid-Accent31"/>
        <w:ind w:left="0"/>
        <w:contextualSpacing/>
        <w:jc w:val="both"/>
        <w:rPr>
          <w:rFonts w:ascii="Cambria" w:hAnsi="Cambria" w:cs="Calibri"/>
          <w:color w:val="000000"/>
          <w:sz w:val="20"/>
          <w:szCs w:val="20"/>
          <w:lang w:val="es-ES"/>
        </w:rPr>
      </w:pPr>
    </w:p>
    <w:p w:rsidR="00E902F5" w:rsidRPr="0010796C" w:rsidRDefault="00E902F5" w:rsidP="00164E44">
      <w:pPr>
        <w:pStyle w:val="LightGrid-Accent31"/>
        <w:numPr>
          <w:ilvl w:val="0"/>
          <w:numId w:val="55"/>
        </w:numPr>
        <w:ind w:left="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26 de junio de 2003 </w:t>
      </w:r>
      <w:r w:rsidR="00BD41EA" w:rsidRPr="0010796C">
        <w:rPr>
          <w:rFonts w:ascii="Cambria" w:hAnsi="Cambria" w:cs="Calibri"/>
          <w:color w:val="000000"/>
          <w:sz w:val="20"/>
          <w:szCs w:val="20"/>
          <w:lang w:val="es-ES"/>
        </w:rPr>
        <w:t xml:space="preserve">la defensa </w:t>
      </w:r>
      <w:r w:rsidRPr="0010796C">
        <w:rPr>
          <w:rFonts w:ascii="Cambria" w:hAnsi="Cambria" w:cs="Calibri"/>
          <w:color w:val="000000"/>
          <w:sz w:val="20"/>
          <w:szCs w:val="20"/>
          <w:lang w:val="es-ES"/>
        </w:rPr>
        <w:t xml:space="preserve">interpuso </w:t>
      </w:r>
      <w:r w:rsidR="001C4AF3" w:rsidRPr="0010796C">
        <w:rPr>
          <w:rFonts w:ascii="Cambria" w:hAnsi="Cambria" w:cs="Calibri"/>
          <w:color w:val="000000"/>
          <w:sz w:val="20"/>
          <w:szCs w:val="20"/>
          <w:lang w:val="es-ES"/>
        </w:rPr>
        <w:t xml:space="preserve">un </w:t>
      </w:r>
      <w:r w:rsidRPr="0010796C">
        <w:rPr>
          <w:rFonts w:ascii="Cambria" w:hAnsi="Cambria" w:cs="Calibri"/>
          <w:color w:val="000000"/>
          <w:sz w:val="20"/>
          <w:szCs w:val="20"/>
          <w:lang w:val="es-ES"/>
        </w:rPr>
        <w:t>recurso extraordinario ante el Superior Tribunal de Ju</w:t>
      </w:r>
      <w:r w:rsidR="00BD41EA" w:rsidRPr="0010796C">
        <w:rPr>
          <w:rFonts w:ascii="Cambria" w:hAnsi="Cambria" w:cs="Calibri"/>
          <w:color w:val="000000"/>
          <w:sz w:val="20"/>
          <w:szCs w:val="20"/>
          <w:lang w:val="es-ES"/>
        </w:rPr>
        <w:t xml:space="preserve">sticia de Corrientes contra </w:t>
      </w:r>
      <w:r w:rsidR="001C4AF3" w:rsidRPr="0010796C">
        <w:rPr>
          <w:rFonts w:ascii="Cambria" w:hAnsi="Cambria" w:cs="Calibri"/>
          <w:color w:val="000000"/>
          <w:sz w:val="20"/>
          <w:szCs w:val="20"/>
          <w:lang w:val="es-ES"/>
        </w:rPr>
        <w:t>la resolución de</w:t>
      </w:r>
      <w:r w:rsidRPr="0010796C">
        <w:rPr>
          <w:rFonts w:ascii="Cambria" w:hAnsi="Cambria" w:cs="Calibri"/>
          <w:color w:val="000000"/>
          <w:sz w:val="20"/>
          <w:szCs w:val="20"/>
          <w:lang w:val="es-ES"/>
        </w:rPr>
        <w:t xml:space="preserve"> 11 de juni</w:t>
      </w:r>
      <w:r w:rsidR="00BD41EA" w:rsidRPr="0010796C">
        <w:rPr>
          <w:rFonts w:ascii="Cambria" w:hAnsi="Cambria" w:cs="Calibri"/>
          <w:color w:val="000000"/>
          <w:sz w:val="20"/>
          <w:szCs w:val="20"/>
          <w:lang w:val="es-ES"/>
        </w:rPr>
        <w:t>o de 2003</w:t>
      </w:r>
      <w:r w:rsidRPr="0010796C">
        <w:rPr>
          <w:rStyle w:val="FootnoteReference"/>
          <w:rFonts w:ascii="Cambria" w:hAnsi="Cambria" w:cs="Calibri"/>
          <w:color w:val="000000"/>
          <w:sz w:val="20"/>
          <w:szCs w:val="20"/>
          <w:lang w:val="es-ES"/>
        </w:rPr>
        <w:footnoteReference w:id="78"/>
      </w:r>
      <w:r w:rsidR="001C4AF3" w:rsidRPr="0010796C">
        <w:rPr>
          <w:rFonts w:ascii="Cambria" w:hAnsi="Cambria" w:cs="Calibri"/>
          <w:color w:val="000000"/>
          <w:sz w:val="20"/>
          <w:szCs w:val="20"/>
          <w:lang w:val="es-ES"/>
        </w:rPr>
        <w:t>. Se alegó que</w:t>
      </w:r>
      <w:r w:rsidR="00783862" w:rsidRPr="0010796C">
        <w:rPr>
          <w:rFonts w:ascii="Cambria" w:hAnsi="Cambria" w:cs="Calibri"/>
          <w:color w:val="000000"/>
          <w:sz w:val="20"/>
          <w:szCs w:val="20"/>
          <w:lang w:val="es-ES"/>
        </w:rPr>
        <w:t xml:space="preserve"> en</w:t>
      </w:r>
      <w:r w:rsidR="001C4AF3" w:rsidRPr="0010796C">
        <w:rPr>
          <w:rFonts w:ascii="Cambria" w:hAnsi="Cambria" w:cs="Calibri"/>
          <w:color w:val="000000"/>
          <w:sz w:val="20"/>
          <w:szCs w:val="20"/>
          <w:lang w:val="es-ES"/>
        </w:rPr>
        <w:t xml:space="preserve"> dicha resolución se vulneraron diversas disposiciones</w:t>
      </w:r>
      <w:r w:rsidR="006217C8" w:rsidRPr="0010796C">
        <w:rPr>
          <w:rFonts w:ascii="Cambria" w:hAnsi="Cambria" w:cs="Calibri"/>
          <w:color w:val="000000"/>
          <w:sz w:val="20"/>
          <w:szCs w:val="20"/>
          <w:lang w:val="es-ES"/>
        </w:rPr>
        <w:t xml:space="preserve"> de la Constitución </w:t>
      </w:r>
      <w:r w:rsidR="001C4AF3" w:rsidRPr="0010796C">
        <w:rPr>
          <w:rFonts w:ascii="Cambria" w:hAnsi="Cambria" w:cs="Calibri"/>
          <w:color w:val="000000"/>
          <w:sz w:val="20"/>
          <w:szCs w:val="20"/>
          <w:lang w:val="es-ES"/>
        </w:rPr>
        <w:t>de la República argentina</w:t>
      </w:r>
      <w:r w:rsidR="006217C8" w:rsidRPr="0010796C">
        <w:rPr>
          <w:rFonts w:ascii="Cambria" w:hAnsi="Cambria" w:cs="Calibri"/>
          <w:color w:val="000000"/>
          <w:sz w:val="20"/>
          <w:szCs w:val="20"/>
          <w:lang w:val="es-ES"/>
        </w:rPr>
        <w:t xml:space="preserve"> que regula la manera en la que se designan</w:t>
      </w:r>
      <w:r w:rsidR="001A294E" w:rsidRPr="0010796C">
        <w:rPr>
          <w:rFonts w:ascii="Cambria" w:hAnsi="Cambria" w:cs="Calibri"/>
          <w:color w:val="000000"/>
          <w:sz w:val="20"/>
          <w:szCs w:val="20"/>
          <w:lang w:val="es-ES"/>
        </w:rPr>
        <w:t xml:space="preserve"> los magistrados locales</w:t>
      </w:r>
      <w:r w:rsidR="00446230" w:rsidRPr="0010796C">
        <w:rPr>
          <w:rStyle w:val="FootnoteReference"/>
          <w:rFonts w:ascii="Cambria" w:hAnsi="Cambria" w:cs="Calibri"/>
          <w:color w:val="000000"/>
          <w:sz w:val="20"/>
          <w:szCs w:val="20"/>
          <w:lang w:val="es-ES"/>
        </w:rPr>
        <w:footnoteReference w:id="79"/>
      </w:r>
      <w:r w:rsidR="001C4AF3" w:rsidRPr="0010796C">
        <w:rPr>
          <w:rFonts w:ascii="Cambria" w:hAnsi="Cambria" w:cs="Calibri"/>
          <w:color w:val="000000"/>
          <w:sz w:val="20"/>
          <w:szCs w:val="20"/>
          <w:lang w:val="es-ES"/>
        </w:rPr>
        <w:t xml:space="preserve">. </w:t>
      </w:r>
      <w:r w:rsidR="00164E44" w:rsidRPr="0010796C">
        <w:rPr>
          <w:rFonts w:ascii="Cambria" w:hAnsi="Cambria" w:cs="Calibri"/>
          <w:color w:val="000000"/>
          <w:sz w:val="20"/>
          <w:szCs w:val="20"/>
          <w:lang w:val="es-ES"/>
        </w:rPr>
        <w:t>Asimismo, e</w:t>
      </w:r>
      <w:r w:rsidR="00AE2E86" w:rsidRPr="0010796C">
        <w:rPr>
          <w:rFonts w:ascii="Cambria" w:hAnsi="Cambria" w:cs="Calibri"/>
          <w:color w:val="000000"/>
          <w:sz w:val="20"/>
          <w:szCs w:val="20"/>
          <w:lang w:val="es-ES"/>
        </w:rPr>
        <w:t xml:space="preserve">l </w:t>
      </w:r>
      <w:r w:rsidRPr="0010796C">
        <w:rPr>
          <w:rFonts w:ascii="Cambria" w:hAnsi="Cambria" w:cs="Calibri"/>
          <w:color w:val="000000"/>
          <w:sz w:val="20"/>
          <w:szCs w:val="20"/>
          <w:lang w:val="es-ES"/>
        </w:rPr>
        <w:t>7</w:t>
      </w:r>
      <w:r w:rsidR="00164E44" w:rsidRPr="0010796C">
        <w:rPr>
          <w:rFonts w:ascii="Cambria" w:hAnsi="Cambria" w:cs="Calibri"/>
          <w:color w:val="000000"/>
          <w:sz w:val="20"/>
          <w:szCs w:val="20"/>
          <w:lang w:val="es-ES"/>
        </w:rPr>
        <w:t xml:space="preserve"> y 22 de agosto de 2003 la d</w:t>
      </w:r>
      <w:r w:rsidRPr="0010796C">
        <w:rPr>
          <w:rFonts w:ascii="Cambria" w:hAnsi="Cambria" w:cs="Calibri"/>
          <w:color w:val="000000"/>
          <w:sz w:val="20"/>
          <w:szCs w:val="20"/>
          <w:lang w:val="es-ES"/>
        </w:rPr>
        <w:t xml:space="preserve">efensa </w:t>
      </w:r>
      <w:r w:rsidR="00164E44" w:rsidRPr="0010796C">
        <w:rPr>
          <w:rFonts w:ascii="Cambria" w:hAnsi="Cambria" w:cs="Calibri"/>
          <w:color w:val="000000"/>
          <w:sz w:val="20"/>
          <w:szCs w:val="20"/>
          <w:lang w:val="es-ES"/>
        </w:rPr>
        <w:t>presentó solicitudes ante el Superior Tribunal de Justicia para</w:t>
      </w:r>
      <w:r w:rsidR="00C61A94" w:rsidRPr="0010796C">
        <w:rPr>
          <w:rFonts w:ascii="Cambria" w:hAnsi="Cambria" w:cs="Calibri"/>
          <w:color w:val="000000"/>
          <w:sz w:val="20"/>
          <w:szCs w:val="20"/>
          <w:lang w:val="es-ES"/>
        </w:rPr>
        <w:t xml:space="preserve"> la constitución de un</w:t>
      </w:r>
      <w:r w:rsidR="00164E44" w:rsidRPr="0010796C">
        <w:rPr>
          <w:rFonts w:ascii="Cambria" w:hAnsi="Cambria" w:cs="Calibri"/>
          <w:color w:val="000000"/>
          <w:sz w:val="20"/>
          <w:szCs w:val="20"/>
          <w:lang w:val="es-ES"/>
        </w:rPr>
        <w:t>a</w:t>
      </w:r>
      <w:r w:rsidR="00C61A94" w:rsidRPr="0010796C">
        <w:rPr>
          <w:rFonts w:ascii="Cambria" w:hAnsi="Cambria" w:cs="Calibri"/>
          <w:color w:val="000000"/>
          <w:sz w:val="20"/>
          <w:szCs w:val="20"/>
          <w:lang w:val="es-ES"/>
        </w:rPr>
        <w:t xml:space="preserve"> </w:t>
      </w:r>
      <w:r w:rsidR="00164E44" w:rsidRPr="0010796C">
        <w:rPr>
          <w:rFonts w:ascii="Cambria" w:hAnsi="Cambria" w:cs="Calibri"/>
          <w:color w:val="000000"/>
          <w:sz w:val="20"/>
          <w:szCs w:val="20"/>
          <w:lang w:val="es-ES"/>
        </w:rPr>
        <w:t>nueva conformación</w:t>
      </w:r>
      <w:r w:rsidRPr="0010796C">
        <w:rPr>
          <w:rFonts w:ascii="Cambria" w:hAnsi="Cambria" w:cs="Calibri"/>
          <w:color w:val="000000"/>
          <w:sz w:val="20"/>
          <w:szCs w:val="20"/>
          <w:lang w:val="es-ES"/>
        </w:rPr>
        <w:t xml:space="preserve"> </w:t>
      </w:r>
      <w:r w:rsidR="00164E44" w:rsidRPr="0010796C">
        <w:rPr>
          <w:rFonts w:ascii="Cambria" w:hAnsi="Cambria" w:cs="Calibri"/>
          <w:color w:val="000000"/>
          <w:sz w:val="20"/>
          <w:szCs w:val="20"/>
          <w:lang w:val="es-ES"/>
        </w:rPr>
        <w:t>de éste</w:t>
      </w:r>
      <w:r w:rsidR="003033B6" w:rsidRPr="0010796C">
        <w:rPr>
          <w:rStyle w:val="FootnoteReference"/>
          <w:rFonts w:ascii="Cambria" w:hAnsi="Cambria" w:cs="Calibri"/>
          <w:color w:val="000000"/>
          <w:sz w:val="20"/>
          <w:szCs w:val="20"/>
          <w:lang w:val="es-ES"/>
        </w:rPr>
        <w:footnoteReference w:id="80"/>
      </w:r>
      <w:r w:rsidR="00164E44" w:rsidRPr="0010796C">
        <w:rPr>
          <w:rFonts w:ascii="Cambria" w:hAnsi="Cambria" w:cs="Calibri"/>
          <w:color w:val="000000"/>
          <w:sz w:val="20"/>
          <w:szCs w:val="20"/>
          <w:lang w:val="es-ES"/>
        </w:rPr>
        <w:t xml:space="preserve">. </w:t>
      </w:r>
    </w:p>
    <w:p w:rsidR="00164E44" w:rsidRPr="0010796C" w:rsidRDefault="00164E44" w:rsidP="00164E44">
      <w:pPr>
        <w:pStyle w:val="LightGrid-Accent31"/>
        <w:ind w:left="720"/>
        <w:contextualSpacing/>
        <w:jc w:val="both"/>
        <w:rPr>
          <w:rFonts w:ascii="Cambria" w:hAnsi="Cambria" w:cs="Calibri"/>
          <w:color w:val="000000"/>
          <w:sz w:val="20"/>
          <w:szCs w:val="20"/>
          <w:lang w:val="es-ES"/>
        </w:rPr>
      </w:pPr>
    </w:p>
    <w:p w:rsidR="00164E44" w:rsidRPr="0010796C" w:rsidRDefault="00AE2E86" w:rsidP="00E902F5">
      <w:pPr>
        <w:pStyle w:val="LightGrid-Accent31"/>
        <w:numPr>
          <w:ilvl w:val="0"/>
          <w:numId w:val="55"/>
        </w:numPr>
        <w:ind w:left="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w:t>
      </w:r>
      <w:r w:rsidR="00E902F5" w:rsidRPr="0010796C">
        <w:rPr>
          <w:rFonts w:ascii="Cambria" w:hAnsi="Cambria" w:cs="Calibri"/>
          <w:color w:val="000000"/>
          <w:sz w:val="20"/>
          <w:szCs w:val="20"/>
          <w:lang w:val="es-ES"/>
        </w:rPr>
        <w:t xml:space="preserve">7 de abril de 2004 el Superior Tribunal de Justicia de Corrientes dictó </w:t>
      </w:r>
      <w:r w:rsidR="00164E44" w:rsidRPr="0010796C">
        <w:rPr>
          <w:rFonts w:ascii="Cambria" w:hAnsi="Cambria" w:cs="Calibri"/>
          <w:color w:val="000000"/>
          <w:sz w:val="20"/>
          <w:szCs w:val="20"/>
          <w:lang w:val="es-ES"/>
        </w:rPr>
        <w:t xml:space="preserve">una sentencia mediante la cual i) declaró abstracta la cuestión relativa a la integración del Superior Tribunal de Justicia; ii) rechazó los recursos </w:t>
      </w:r>
      <w:r w:rsidR="00153A68" w:rsidRPr="0010796C">
        <w:rPr>
          <w:rFonts w:ascii="Cambria" w:hAnsi="Cambria" w:cs="Calibri"/>
          <w:color w:val="000000"/>
          <w:sz w:val="20"/>
          <w:szCs w:val="20"/>
          <w:lang w:val="es-ES"/>
        </w:rPr>
        <w:t>interpuestos por la defensa concernientes a los jueces en comisión y a la designación del Juez de Instrucción no. 1</w:t>
      </w:r>
      <w:r w:rsidR="00153A68" w:rsidRPr="0010796C">
        <w:rPr>
          <w:rStyle w:val="FootnoteReference"/>
          <w:rFonts w:ascii="Cambria" w:hAnsi="Cambria" w:cs="Calibri"/>
          <w:color w:val="000000"/>
          <w:sz w:val="20"/>
          <w:szCs w:val="20"/>
          <w:lang w:val="es-ES"/>
        </w:rPr>
        <w:footnoteReference w:id="81"/>
      </w:r>
      <w:r w:rsidR="00153A68" w:rsidRPr="0010796C">
        <w:rPr>
          <w:rFonts w:ascii="Cambria" w:hAnsi="Cambria" w:cs="Calibri"/>
          <w:color w:val="000000"/>
          <w:sz w:val="20"/>
          <w:szCs w:val="20"/>
          <w:lang w:val="es-ES"/>
        </w:rPr>
        <w:t>. El Superior Tribunal de Justicia</w:t>
      </w:r>
      <w:r w:rsidR="00893F2E" w:rsidRPr="0010796C">
        <w:rPr>
          <w:rFonts w:ascii="Cambria" w:hAnsi="Cambria" w:cs="Calibri"/>
          <w:color w:val="000000"/>
          <w:sz w:val="20"/>
          <w:szCs w:val="20"/>
          <w:lang w:val="es-ES"/>
        </w:rPr>
        <w:t xml:space="preserve"> motivó</w:t>
      </w:r>
      <w:r w:rsidR="00153A68" w:rsidRPr="0010796C">
        <w:rPr>
          <w:rFonts w:ascii="Cambria" w:hAnsi="Cambria" w:cs="Calibri"/>
          <w:color w:val="000000"/>
          <w:sz w:val="20"/>
          <w:szCs w:val="20"/>
          <w:lang w:val="es-ES"/>
        </w:rPr>
        <w:t xml:space="preserve"> lo siguiente:</w:t>
      </w:r>
    </w:p>
    <w:p w:rsidR="00153A68" w:rsidRPr="0010796C" w:rsidRDefault="00153A68" w:rsidP="00153A68">
      <w:pPr>
        <w:pStyle w:val="LightGrid-Accent31"/>
        <w:ind w:left="0"/>
        <w:contextualSpacing/>
        <w:jc w:val="both"/>
        <w:rPr>
          <w:rFonts w:ascii="Cambria" w:hAnsi="Cambria" w:cs="Calibri"/>
          <w:color w:val="000000"/>
          <w:sz w:val="20"/>
          <w:szCs w:val="20"/>
          <w:lang w:val="es-ES"/>
        </w:rPr>
      </w:pPr>
    </w:p>
    <w:p w:rsidR="00DE4993" w:rsidRPr="0010796C" w:rsidRDefault="00D53D45" w:rsidP="006B7EB8">
      <w:pPr>
        <w:pStyle w:val="LightGrid-Accent31"/>
        <w:ind w:left="720" w:right="72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a)</w:t>
      </w:r>
      <w:r w:rsidR="003022D3" w:rsidRPr="0010796C">
        <w:rPr>
          <w:rFonts w:ascii="Cambria" w:hAnsi="Cambria" w:cs="Calibri"/>
          <w:color w:val="000000"/>
          <w:sz w:val="20"/>
          <w:szCs w:val="20"/>
          <w:lang w:val="es-ES"/>
        </w:rPr>
        <w:tab/>
      </w:r>
      <w:r w:rsidRPr="0010796C">
        <w:rPr>
          <w:rFonts w:ascii="Cambria" w:hAnsi="Cambria" w:cs="Calibri"/>
          <w:color w:val="000000"/>
          <w:sz w:val="20"/>
          <w:szCs w:val="20"/>
          <w:lang w:val="es-ES"/>
        </w:rPr>
        <w:t xml:space="preserve"> </w:t>
      </w:r>
      <w:r w:rsidR="00DE4993" w:rsidRPr="0010796C">
        <w:rPr>
          <w:rFonts w:ascii="Cambria" w:hAnsi="Cambria" w:cs="Calibri"/>
          <w:color w:val="000000"/>
          <w:sz w:val="20"/>
          <w:szCs w:val="20"/>
          <w:lang w:val="es-ES"/>
        </w:rPr>
        <w:t>Respecto de la nulidad de la constitución del Tribunal plante</w:t>
      </w:r>
      <w:r w:rsidR="007960C0" w:rsidRPr="0010796C">
        <w:rPr>
          <w:rFonts w:ascii="Cambria" w:hAnsi="Cambria" w:cs="Calibri"/>
          <w:color w:val="000000"/>
          <w:sz w:val="20"/>
          <w:szCs w:val="20"/>
          <w:lang w:val="es-ES"/>
        </w:rPr>
        <w:t>ada por la defensa</w:t>
      </w:r>
      <w:r w:rsidR="00071884" w:rsidRPr="0010796C">
        <w:rPr>
          <w:rFonts w:ascii="Cambria" w:hAnsi="Cambria" w:cs="Calibri"/>
          <w:color w:val="000000"/>
          <w:sz w:val="20"/>
          <w:szCs w:val="20"/>
          <w:lang w:val="es-ES"/>
        </w:rPr>
        <w:t xml:space="preserve">: </w:t>
      </w:r>
      <w:r w:rsidR="00380AED" w:rsidRPr="0010796C">
        <w:rPr>
          <w:rFonts w:ascii="Cambria" w:hAnsi="Cambria" w:cs="Calibri"/>
          <w:color w:val="000000"/>
          <w:sz w:val="20"/>
          <w:szCs w:val="20"/>
          <w:lang w:val="es-ES"/>
        </w:rPr>
        <w:t xml:space="preserve">(…) a la fecha de designación de los ministros en comisión… la legislatura se hallaba en receso, siendo evidente que la pretendida </w:t>
      </w:r>
      <w:proofErr w:type="spellStart"/>
      <w:r w:rsidR="00380AED" w:rsidRPr="0010796C">
        <w:rPr>
          <w:rFonts w:ascii="Cambria" w:hAnsi="Cambria" w:cs="Calibri"/>
          <w:color w:val="000000"/>
          <w:sz w:val="20"/>
          <w:szCs w:val="20"/>
          <w:lang w:val="es-ES"/>
        </w:rPr>
        <w:t>autoconvocatoria</w:t>
      </w:r>
      <w:proofErr w:type="spellEnd"/>
      <w:r w:rsidR="00380AED" w:rsidRPr="0010796C">
        <w:rPr>
          <w:rFonts w:ascii="Cambria" w:hAnsi="Cambria" w:cs="Calibri"/>
          <w:color w:val="000000"/>
          <w:sz w:val="20"/>
          <w:szCs w:val="20"/>
          <w:lang w:val="es-ES"/>
        </w:rPr>
        <w:t xml:space="preserve"> por parte de una mayoría accidental de legisladores, carecía de idoneidad legal para desvirtuar o sustituir aquella situación,… el art. 169 del Código Procesal Penal dispone que los actos procesales serán nulos </w:t>
      </w:r>
      <w:r w:rsidR="00BA0CD8" w:rsidRPr="0010796C">
        <w:rPr>
          <w:rFonts w:ascii="Cambria" w:hAnsi="Cambria" w:cs="Calibri"/>
          <w:color w:val="000000"/>
          <w:sz w:val="20"/>
          <w:szCs w:val="20"/>
          <w:lang w:val="es-ES"/>
        </w:rPr>
        <w:t>cuando no se hubieren observado</w:t>
      </w:r>
      <w:r w:rsidR="00380AED" w:rsidRPr="0010796C">
        <w:rPr>
          <w:rFonts w:ascii="Cambria" w:hAnsi="Cambria" w:cs="Calibri"/>
          <w:color w:val="000000"/>
          <w:sz w:val="20"/>
          <w:szCs w:val="20"/>
          <w:lang w:val="es-ES"/>
        </w:rPr>
        <w:t xml:space="preserve"> las disposiciones expresamente prescriptas bajo pena de nulidad. Pues bien, la declaración de nulidad interesada en autos se refiere al mecanismo de designación de magistrados judiciales. A diferencia de otras constituciones provinciales, la de Corrientes no contiene conminación específica de nulidad para el supuesto de inobservancia en este punto, resultando inaplicable la conminación genérica del art. 170 del C.P.P. </w:t>
      </w:r>
      <w:r w:rsidR="00F974B1" w:rsidRPr="0010796C">
        <w:rPr>
          <w:rFonts w:ascii="Cambria" w:hAnsi="Cambria" w:cs="Calibri"/>
          <w:color w:val="000000"/>
          <w:sz w:val="20"/>
          <w:szCs w:val="20"/>
          <w:lang w:val="es-ES"/>
        </w:rPr>
        <w:t>(…). Resulta así indiscutible que el P.E. de la Provincia ha formalizado la designación… durante el receso del Senado cubriendo los cargos respectivos con magistrados en comisión y por tiempo limitado</w:t>
      </w:r>
      <w:r w:rsidR="00F974B1" w:rsidRPr="0010796C">
        <w:rPr>
          <w:rStyle w:val="FootnoteReference"/>
          <w:rFonts w:ascii="Cambria" w:hAnsi="Cambria" w:cs="Calibri"/>
          <w:color w:val="000000"/>
          <w:sz w:val="20"/>
          <w:szCs w:val="20"/>
          <w:lang w:val="es-ES"/>
        </w:rPr>
        <w:footnoteReference w:id="82"/>
      </w:r>
      <w:r w:rsidR="00F974B1" w:rsidRPr="0010796C">
        <w:rPr>
          <w:rFonts w:ascii="Cambria" w:hAnsi="Cambria" w:cs="Calibri"/>
          <w:color w:val="000000"/>
          <w:sz w:val="20"/>
          <w:szCs w:val="20"/>
          <w:lang w:val="es-ES"/>
        </w:rPr>
        <w:t xml:space="preserve">. </w:t>
      </w:r>
    </w:p>
    <w:p w:rsidR="00071884" w:rsidRPr="0010796C" w:rsidRDefault="00071884" w:rsidP="006B7EB8">
      <w:pPr>
        <w:pStyle w:val="LightGrid-Accent31"/>
        <w:ind w:left="720" w:right="720"/>
        <w:contextualSpacing/>
        <w:jc w:val="both"/>
        <w:rPr>
          <w:rFonts w:ascii="Cambria" w:hAnsi="Cambria" w:cs="Calibri"/>
          <w:color w:val="000000"/>
          <w:sz w:val="20"/>
          <w:szCs w:val="20"/>
          <w:lang w:val="es-ES"/>
        </w:rPr>
      </w:pPr>
    </w:p>
    <w:p w:rsidR="00071884" w:rsidRPr="0010796C" w:rsidRDefault="00071884" w:rsidP="006B7EB8">
      <w:pPr>
        <w:pStyle w:val="LightGrid-Accent31"/>
        <w:ind w:left="720" w:right="72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lastRenderedPageBreak/>
        <w:t>b)</w:t>
      </w:r>
      <w:r w:rsidR="003022D3" w:rsidRPr="0010796C">
        <w:rPr>
          <w:rFonts w:ascii="Cambria" w:hAnsi="Cambria" w:cs="Calibri"/>
          <w:color w:val="000000"/>
          <w:sz w:val="20"/>
          <w:szCs w:val="20"/>
          <w:lang w:val="es-ES"/>
        </w:rPr>
        <w:tab/>
      </w:r>
      <w:r w:rsidRPr="0010796C">
        <w:rPr>
          <w:rFonts w:ascii="Cambria" w:hAnsi="Cambria" w:cs="Calibri"/>
          <w:color w:val="000000"/>
          <w:sz w:val="20"/>
          <w:szCs w:val="20"/>
          <w:lang w:val="es-ES"/>
        </w:rPr>
        <w:t xml:space="preserve"> Con respecto a la violación del principio de Juez Natural el Tribunal: éste modo de objetar su designación, mediante el planteo de nulidad de actuaciones reposa en cuestiones no justiciables cuya resolución no corresponde a este Superior Tribunal, siendo materia de “juicio político”. La falta del requisito de “Juez Natural: es una apreciación subjetiva, carente de realidad y el tratamiento al juez con los calificativos de “especial” y “encubierto”, raya con la falta de decoro hacia la investidura del Magistrado. Cuando se alude en teoría a esta expresión, no se hace referencia a la persona </w:t>
      </w:r>
      <w:proofErr w:type="gramStart"/>
      <w:r w:rsidRPr="0010796C">
        <w:rPr>
          <w:rFonts w:ascii="Cambria" w:hAnsi="Cambria" w:cs="Calibri"/>
          <w:color w:val="000000"/>
          <w:sz w:val="20"/>
          <w:szCs w:val="20"/>
          <w:lang w:val="es-ES"/>
        </w:rPr>
        <w:t>del juez, física</w:t>
      </w:r>
      <w:proofErr w:type="gramEnd"/>
      <w:r w:rsidRPr="0010796C">
        <w:rPr>
          <w:rFonts w:ascii="Cambria" w:hAnsi="Cambria" w:cs="Calibri"/>
          <w:color w:val="000000"/>
          <w:sz w:val="20"/>
          <w:szCs w:val="20"/>
          <w:lang w:val="es-ES"/>
        </w:rPr>
        <w:t>, sino al Tribunal u órgano judicial, creado “ex post facto” para el juzgamiento accidental o circunstancial especial para el caso</w:t>
      </w:r>
      <w:r w:rsidR="00E043D8" w:rsidRPr="0010796C">
        <w:rPr>
          <w:rStyle w:val="FootnoteReference"/>
          <w:rFonts w:ascii="Cambria" w:hAnsi="Cambria" w:cs="Calibri"/>
          <w:color w:val="000000"/>
          <w:sz w:val="20"/>
          <w:szCs w:val="20"/>
          <w:lang w:val="es-ES"/>
        </w:rPr>
        <w:footnoteReference w:id="83"/>
      </w:r>
      <w:r w:rsidRPr="0010796C">
        <w:rPr>
          <w:rFonts w:ascii="Cambria" w:hAnsi="Cambria" w:cs="Calibri"/>
          <w:color w:val="000000"/>
          <w:sz w:val="20"/>
          <w:szCs w:val="20"/>
          <w:lang w:val="es-ES"/>
        </w:rPr>
        <w:t xml:space="preserve">. </w:t>
      </w:r>
    </w:p>
    <w:p w:rsidR="007960C0" w:rsidRPr="0010796C" w:rsidRDefault="007960C0" w:rsidP="006B7EB8">
      <w:pPr>
        <w:pStyle w:val="LightGrid-Accent31"/>
        <w:ind w:left="720" w:right="720"/>
        <w:contextualSpacing/>
        <w:jc w:val="both"/>
        <w:rPr>
          <w:rFonts w:ascii="Cambria" w:hAnsi="Cambria" w:cs="Calibri"/>
          <w:color w:val="000000"/>
          <w:sz w:val="20"/>
          <w:szCs w:val="20"/>
          <w:lang w:val="es-ES"/>
        </w:rPr>
      </w:pPr>
    </w:p>
    <w:p w:rsidR="007960C0" w:rsidRPr="0010796C" w:rsidRDefault="007960C0" w:rsidP="006B7EB8">
      <w:pPr>
        <w:pStyle w:val="LightGrid-Accent31"/>
        <w:ind w:left="720" w:right="72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c)</w:t>
      </w:r>
      <w:r w:rsidRPr="0010796C">
        <w:rPr>
          <w:rFonts w:ascii="Cambria" w:hAnsi="Cambria" w:cs="Calibri"/>
          <w:color w:val="000000"/>
          <w:sz w:val="20"/>
          <w:szCs w:val="20"/>
          <w:lang w:val="es-ES"/>
        </w:rPr>
        <w:tab/>
        <w:t xml:space="preserve">En lo que concierne a la competencia del Juzgado de Instrucción no. 1: </w:t>
      </w:r>
      <w:r w:rsidR="00665626" w:rsidRPr="0010796C">
        <w:rPr>
          <w:rFonts w:ascii="Cambria" w:hAnsi="Cambria" w:cs="Calibri"/>
          <w:color w:val="000000"/>
          <w:sz w:val="20"/>
          <w:szCs w:val="20"/>
          <w:lang w:val="es-ES"/>
        </w:rPr>
        <w:t>la misma fue fijada por la Resolución no. 177 de fecha 3 de diciembre de 1999 conforme a las pa</w:t>
      </w:r>
      <w:r w:rsidR="00333C07" w:rsidRPr="0010796C">
        <w:rPr>
          <w:rFonts w:ascii="Cambria" w:hAnsi="Cambria" w:cs="Calibri"/>
          <w:color w:val="000000"/>
          <w:sz w:val="20"/>
          <w:szCs w:val="20"/>
          <w:lang w:val="es-ES"/>
        </w:rPr>
        <w:t>utas del delito más grave (…) “la distribución de la jurisdicción entre los jueces no depende del art. 18 de la C.N. sino de las respectivas leyes procesales, la garantía constitucional de no ser sacados de sus jueces naturales, es ajena a las cuestiones referentes a la distribución de la competencia sobre los Magistrados ordinarios de la Nación o de las Provincias”. Por lo que siendo Juez Natural no pueden ser nulos los actos</w:t>
      </w:r>
      <w:r w:rsidR="00E043D8" w:rsidRPr="0010796C">
        <w:rPr>
          <w:rStyle w:val="FootnoteReference"/>
          <w:rFonts w:ascii="Cambria" w:hAnsi="Cambria" w:cs="Calibri"/>
          <w:color w:val="000000"/>
          <w:sz w:val="20"/>
          <w:szCs w:val="20"/>
          <w:lang w:val="es-ES"/>
        </w:rPr>
        <w:footnoteReference w:id="84"/>
      </w:r>
      <w:r w:rsidR="000B2F3C" w:rsidRPr="0010796C">
        <w:rPr>
          <w:rFonts w:ascii="Cambria" w:hAnsi="Cambria" w:cs="Calibri"/>
          <w:color w:val="000000"/>
          <w:sz w:val="20"/>
          <w:szCs w:val="20"/>
          <w:lang w:val="es-ES"/>
        </w:rPr>
        <w:t xml:space="preserve">. </w:t>
      </w:r>
    </w:p>
    <w:p w:rsidR="00E902F5" w:rsidRPr="0010796C" w:rsidRDefault="00E902F5" w:rsidP="00153A68">
      <w:pPr>
        <w:pStyle w:val="LightGrid-Accent31"/>
        <w:ind w:left="0"/>
        <w:contextualSpacing/>
        <w:jc w:val="both"/>
        <w:rPr>
          <w:rFonts w:ascii="Cambria" w:hAnsi="Cambria" w:cs="Calibri"/>
          <w:color w:val="000000"/>
          <w:sz w:val="20"/>
          <w:szCs w:val="20"/>
          <w:lang w:val="es-ES"/>
        </w:rPr>
      </w:pPr>
    </w:p>
    <w:p w:rsidR="00E902F5" w:rsidRPr="0010796C" w:rsidRDefault="008F4742" w:rsidP="00E902F5">
      <w:pPr>
        <w:pStyle w:val="LightGrid-Accent31"/>
        <w:numPr>
          <w:ilvl w:val="0"/>
          <w:numId w:val="55"/>
        </w:numPr>
        <w:ind w:left="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26 de abril de 2004 </w:t>
      </w:r>
      <w:r w:rsidR="00153A68" w:rsidRPr="0010796C">
        <w:rPr>
          <w:rFonts w:ascii="Cambria" w:hAnsi="Cambria" w:cs="Calibri"/>
          <w:color w:val="000000"/>
          <w:sz w:val="20"/>
          <w:szCs w:val="20"/>
          <w:lang w:val="es-ES"/>
        </w:rPr>
        <w:t xml:space="preserve">la defensa </w:t>
      </w:r>
      <w:r w:rsidR="00E902F5" w:rsidRPr="0010796C">
        <w:rPr>
          <w:rFonts w:ascii="Cambria" w:hAnsi="Cambria" w:cs="Calibri"/>
          <w:color w:val="000000"/>
          <w:sz w:val="20"/>
          <w:szCs w:val="20"/>
          <w:lang w:val="es-ES"/>
        </w:rPr>
        <w:t xml:space="preserve">interpuso </w:t>
      </w:r>
      <w:r w:rsidR="00153A68" w:rsidRPr="0010796C">
        <w:rPr>
          <w:rFonts w:ascii="Cambria" w:hAnsi="Cambria" w:cs="Calibri"/>
          <w:color w:val="000000"/>
          <w:sz w:val="20"/>
          <w:szCs w:val="20"/>
          <w:lang w:val="es-ES"/>
        </w:rPr>
        <w:t>un recurso extraordinario f</w:t>
      </w:r>
      <w:r w:rsidR="00E902F5" w:rsidRPr="0010796C">
        <w:rPr>
          <w:rFonts w:ascii="Cambria" w:hAnsi="Cambria" w:cs="Calibri"/>
          <w:color w:val="000000"/>
          <w:sz w:val="20"/>
          <w:szCs w:val="20"/>
          <w:lang w:val="es-ES"/>
        </w:rPr>
        <w:t>ederal ante el Superior Tribunal de Justicia de Corrie</w:t>
      </w:r>
      <w:r w:rsidR="000A2818" w:rsidRPr="0010796C">
        <w:rPr>
          <w:rFonts w:ascii="Cambria" w:hAnsi="Cambria" w:cs="Calibri"/>
          <w:color w:val="000000"/>
          <w:sz w:val="20"/>
          <w:szCs w:val="20"/>
          <w:lang w:val="es-ES"/>
        </w:rPr>
        <w:t xml:space="preserve">ntes contra la sentencia </w:t>
      </w:r>
      <w:r w:rsidR="00153A68" w:rsidRPr="0010796C">
        <w:rPr>
          <w:rFonts w:ascii="Cambria" w:hAnsi="Cambria" w:cs="Calibri"/>
          <w:color w:val="000000"/>
          <w:sz w:val="20"/>
          <w:szCs w:val="20"/>
          <w:lang w:val="es-ES"/>
        </w:rPr>
        <w:t>de 4 de abril de 2004</w:t>
      </w:r>
      <w:r w:rsidRPr="0010796C">
        <w:rPr>
          <w:rStyle w:val="FootnoteReference"/>
          <w:rFonts w:ascii="Cambria" w:hAnsi="Cambria" w:cs="Calibri"/>
          <w:color w:val="000000"/>
          <w:sz w:val="20"/>
          <w:szCs w:val="20"/>
          <w:lang w:val="es-ES"/>
        </w:rPr>
        <w:footnoteReference w:id="85"/>
      </w:r>
      <w:r w:rsidR="00153A68" w:rsidRPr="0010796C">
        <w:rPr>
          <w:rFonts w:ascii="Cambria" w:hAnsi="Cambria" w:cs="Calibri"/>
          <w:color w:val="000000"/>
          <w:sz w:val="20"/>
          <w:szCs w:val="20"/>
          <w:lang w:val="es-ES"/>
        </w:rPr>
        <w:t>. Se</w:t>
      </w:r>
      <w:r w:rsidR="000A2818" w:rsidRPr="0010796C">
        <w:rPr>
          <w:rFonts w:ascii="Cambria" w:hAnsi="Cambria" w:cs="Calibri"/>
          <w:color w:val="000000"/>
          <w:sz w:val="20"/>
          <w:szCs w:val="20"/>
          <w:lang w:val="es-ES"/>
        </w:rPr>
        <w:t xml:space="preserve"> solicitó</w:t>
      </w:r>
      <w:r w:rsidR="00E902F5" w:rsidRPr="0010796C">
        <w:rPr>
          <w:rFonts w:ascii="Cambria" w:hAnsi="Cambria" w:cs="Calibri"/>
          <w:color w:val="000000"/>
          <w:sz w:val="20"/>
          <w:szCs w:val="20"/>
          <w:lang w:val="es-ES"/>
        </w:rPr>
        <w:t xml:space="preserve"> </w:t>
      </w:r>
      <w:r w:rsidR="00153A68" w:rsidRPr="0010796C">
        <w:rPr>
          <w:rFonts w:ascii="Cambria" w:hAnsi="Cambria" w:cs="Calibri"/>
          <w:color w:val="000000"/>
          <w:sz w:val="20"/>
          <w:szCs w:val="20"/>
          <w:lang w:val="es-ES"/>
        </w:rPr>
        <w:t>que se eleven</w:t>
      </w:r>
      <w:r w:rsidR="00E902F5" w:rsidRPr="0010796C">
        <w:rPr>
          <w:rFonts w:ascii="Cambria" w:hAnsi="Cambria" w:cs="Calibri"/>
          <w:color w:val="000000"/>
          <w:sz w:val="20"/>
          <w:szCs w:val="20"/>
          <w:lang w:val="es-ES"/>
        </w:rPr>
        <w:t xml:space="preserve"> los autos a la Corte Suprema de Justicia de la Nación</w:t>
      </w:r>
      <w:r w:rsidR="00153A68" w:rsidRPr="0010796C">
        <w:rPr>
          <w:rFonts w:ascii="Cambria" w:hAnsi="Cambria" w:cs="Calibri"/>
          <w:color w:val="000000"/>
          <w:sz w:val="20"/>
          <w:szCs w:val="20"/>
          <w:lang w:val="es-ES"/>
        </w:rPr>
        <w:t xml:space="preserve"> puesto que </w:t>
      </w:r>
      <w:r w:rsidR="000A2818" w:rsidRPr="0010796C">
        <w:rPr>
          <w:rFonts w:ascii="Cambria" w:hAnsi="Cambria" w:cs="Calibri"/>
          <w:color w:val="000000"/>
          <w:sz w:val="20"/>
          <w:szCs w:val="20"/>
          <w:lang w:val="es-ES"/>
        </w:rPr>
        <w:t>el Superior Tribunal de Justicia se encontraba integrado en violación a las disposiciones legales que regulan su funcionamiento</w:t>
      </w:r>
      <w:r w:rsidR="00E902F5" w:rsidRPr="0010796C">
        <w:rPr>
          <w:rStyle w:val="FootnoteReference"/>
          <w:rFonts w:ascii="Cambria" w:hAnsi="Cambria" w:cs="Calibri"/>
          <w:color w:val="000000"/>
          <w:sz w:val="20"/>
          <w:szCs w:val="20"/>
          <w:lang w:val="es-ES"/>
        </w:rPr>
        <w:footnoteReference w:id="86"/>
      </w:r>
      <w:r w:rsidR="00E902F5" w:rsidRPr="0010796C">
        <w:rPr>
          <w:rFonts w:ascii="Cambria" w:hAnsi="Cambria" w:cs="Calibri"/>
          <w:color w:val="000000"/>
          <w:sz w:val="20"/>
          <w:szCs w:val="20"/>
          <w:lang w:val="es-ES"/>
        </w:rPr>
        <w:t xml:space="preserve">.  </w:t>
      </w:r>
    </w:p>
    <w:p w:rsidR="00E902F5" w:rsidRPr="0010796C" w:rsidRDefault="00E902F5" w:rsidP="00E902F5">
      <w:pPr>
        <w:pStyle w:val="LightGrid-Accent31"/>
        <w:ind w:left="720"/>
        <w:contextualSpacing/>
        <w:jc w:val="both"/>
        <w:rPr>
          <w:rFonts w:ascii="Cambria" w:hAnsi="Cambria" w:cs="Calibri"/>
          <w:color w:val="000000"/>
          <w:sz w:val="20"/>
          <w:szCs w:val="20"/>
          <w:lang w:val="es-ES"/>
        </w:rPr>
      </w:pPr>
    </w:p>
    <w:p w:rsidR="00E902F5" w:rsidRPr="0010796C" w:rsidRDefault="00E902F5" w:rsidP="00E902F5">
      <w:pPr>
        <w:pStyle w:val="LightGrid-Accent31"/>
        <w:numPr>
          <w:ilvl w:val="0"/>
          <w:numId w:val="55"/>
        </w:numPr>
        <w:ind w:left="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15 de septiembre de 2004 el Superior Tribunal de Justicia de Corrientes dictó </w:t>
      </w:r>
      <w:r w:rsidR="00153A68" w:rsidRPr="0010796C">
        <w:rPr>
          <w:rFonts w:ascii="Cambria" w:hAnsi="Cambria" w:cs="Calibri"/>
          <w:color w:val="000000"/>
          <w:sz w:val="20"/>
          <w:szCs w:val="20"/>
          <w:lang w:val="es-ES"/>
        </w:rPr>
        <w:t>una resolución mediante</w:t>
      </w:r>
      <w:r w:rsidRPr="0010796C">
        <w:rPr>
          <w:rFonts w:ascii="Cambria" w:hAnsi="Cambria" w:cs="Calibri"/>
          <w:color w:val="000000"/>
          <w:sz w:val="20"/>
          <w:szCs w:val="20"/>
          <w:lang w:val="es-ES"/>
        </w:rPr>
        <w:t xml:space="preserve"> la cual concedió </w:t>
      </w:r>
      <w:r w:rsidR="00153A68" w:rsidRPr="0010796C">
        <w:rPr>
          <w:rFonts w:ascii="Cambria" w:hAnsi="Cambria" w:cs="Calibri"/>
          <w:color w:val="000000"/>
          <w:sz w:val="20"/>
          <w:szCs w:val="20"/>
          <w:lang w:val="es-ES"/>
        </w:rPr>
        <w:t xml:space="preserve">el recurso extraordinario interpuesto y elevó </w:t>
      </w:r>
      <w:r w:rsidRPr="0010796C">
        <w:rPr>
          <w:rFonts w:ascii="Cambria" w:hAnsi="Cambria" w:cs="Calibri"/>
          <w:color w:val="000000"/>
          <w:sz w:val="20"/>
          <w:szCs w:val="20"/>
          <w:lang w:val="es-ES"/>
        </w:rPr>
        <w:t xml:space="preserve">los autos a la </w:t>
      </w:r>
      <w:r w:rsidR="00153A68" w:rsidRPr="0010796C">
        <w:rPr>
          <w:rFonts w:ascii="Cambria" w:hAnsi="Cambria" w:cs="Calibri"/>
          <w:color w:val="000000"/>
          <w:sz w:val="20"/>
          <w:szCs w:val="20"/>
          <w:lang w:val="es-ES"/>
        </w:rPr>
        <w:t xml:space="preserve">Corte Suprema </w:t>
      </w:r>
      <w:r w:rsidRPr="0010796C">
        <w:rPr>
          <w:rFonts w:ascii="Cambria" w:hAnsi="Cambria" w:cs="Calibri"/>
          <w:color w:val="000000"/>
          <w:sz w:val="20"/>
          <w:szCs w:val="20"/>
          <w:lang w:val="es-ES"/>
        </w:rPr>
        <w:t>de Justicia de la Nación</w:t>
      </w:r>
      <w:r w:rsidRPr="0010796C">
        <w:rPr>
          <w:rStyle w:val="FootnoteReference"/>
          <w:rFonts w:ascii="Cambria" w:hAnsi="Cambria" w:cs="Calibri"/>
          <w:color w:val="000000"/>
          <w:sz w:val="20"/>
          <w:szCs w:val="20"/>
          <w:lang w:val="es-ES"/>
        </w:rPr>
        <w:footnoteReference w:id="87"/>
      </w:r>
      <w:r w:rsidRPr="0010796C">
        <w:rPr>
          <w:rFonts w:ascii="Cambria" w:hAnsi="Cambria" w:cs="Calibri"/>
          <w:color w:val="000000"/>
          <w:sz w:val="20"/>
          <w:szCs w:val="20"/>
          <w:lang w:val="es-ES"/>
        </w:rPr>
        <w:t>.</w:t>
      </w:r>
    </w:p>
    <w:p w:rsidR="00E902F5" w:rsidRPr="0010796C" w:rsidRDefault="00E902F5" w:rsidP="00E902F5">
      <w:pPr>
        <w:pStyle w:val="LightGrid-Accent31"/>
        <w:ind w:left="720"/>
        <w:contextualSpacing/>
        <w:jc w:val="both"/>
        <w:rPr>
          <w:rFonts w:ascii="Cambria" w:hAnsi="Cambria" w:cs="Calibri"/>
          <w:color w:val="000000"/>
          <w:sz w:val="20"/>
          <w:szCs w:val="20"/>
          <w:lang w:val="es-ES"/>
        </w:rPr>
      </w:pPr>
    </w:p>
    <w:p w:rsidR="00E902F5" w:rsidRPr="0010796C" w:rsidRDefault="00E902F5" w:rsidP="00E902F5">
      <w:pPr>
        <w:pStyle w:val="LightGrid-Accent31"/>
        <w:numPr>
          <w:ilvl w:val="0"/>
          <w:numId w:val="55"/>
        </w:numPr>
        <w:ind w:left="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31 de octubre de 2005 el Procurador General de la Nación emitió un dictamen</w:t>
      </w:r>
      <w:r w:rsidR="00153A68" w:rsidRPr="0010796C">
        <w:rPr>
          <w:rFonts w:ascii="Cambria" w:hAnsi="Cambria" w:cs="Calibri"/>
          <w:color w:val="000000"/>
          <w:sz w:val="20"/>
          <w:szCs w:val="20"/>
          <w:lang w:val="es-ES"/>
        </w:rPr>
        <w:t xml:space="preserve"> dirigido a la Corte Suprema</w:t>
      </w:r>
      <w:r w:rsidRPr="0010796C">
        <w:rPr>
          <w:rFonts w:ascii="Cambria" w:hAnsi="Cambria" w:cs="Calibri"/>
          <w:color w:val="000000"/>
          <w:sz w:val="20"/>
          <w:szCs w:val="20"/>
          <w:lang w:val="es-ES"/>
        </w:rPr>
        <w:t xml:space="preserve"> en </w:t>
      </w:r>
      <w:r w:rsidR="00153A68" w:rsidRPr="0010796C">
        <w:rPr>
          <w:rFonts w:ascii="Cambria" w:hAnsi="Cambria" w:cs="Calibri"/>
          <w:color w:val="000000"/>
          <w:sz w:val="20"/>
          <w:szCs w:val="20"/>
          <w:lang w:val="es-ES"/>
        </w:rPr>
        <w:t>donde</w:t>
      </w:r>
      <w:r w:rsidRPr="0010796C">
        <w:rPr>
          <w:rFonts w:ascii="Cambria" w:hAnsi="Cambria" w:cs="Calibri"/>
          <w:color w:val="000000"/>
          <w:sz w:val="20"/>
          <w:szCs w:val="20"/>
          <w:lang w:val="es-ES"/>
        </w:rPr>
        <w:t xml:space="preserve"> señaló que en el caso no existe cuestión federal por resolver</w:t>
      </w:r>
      <w:r w:rsidR="00890933" w:rsidRPr="0010796C">
        <w:rPr>
          <w:rStyle w:val="FootnoteReference"/>
          <w:rFonts w:ascii="Cambria" w:hAnsi="Cambria" w:cs="Calibri"/>
          <w:color w:val="000000"/>
          <w:sz w:val="20"/>
          <w:szCs w:val="20"/>
          <w:lang w:val="es-ES"/>
        </w:rPr>
        <w:footnoteReference w:id="88"/>
      </w:r>
      <w:r w:rsidR="00153A68" w:rsidRPr="0010796C">
        <w:rPr>
          <w:rFonts w:ascii="Cambria" w:hAnsi="Cambria" w:cs="Calibri"/>
          <w:color w:val="000000"/>
          <w:sz w:val="20"/>
          <w:szCs w:val="20"/>
          <w:lang w:val="es-ES"/>
        </w:rPr>
        <w:t xml:space="preserve">. </w:t>
      </w:r>
      <w:r w:rsidR="0050278C" w:rsidRPr="0010796C">
        <w:rPr>
          <w:rFonts w:ascii="Cambria" w:hAnsi="Cambria" w:cs="Calibri"/>
          <w:color w:val="000000"/>
          <w:sz w:val="20"/>
          <w:szCs w:val="20"/>
          <w:lang w:val="es-ES"/>
        </w:rPr>
        <w:t xml:space="preserve">Ello en tanto no </w:t>
      </w:r>
      <w:r w:rsidRPr="0010796C">
        <w:rPr>
          <w:rFonts w:ascii="Cambria" w:hAnsi="Cambria" w:cs="Calibri"/>
          <w:color w:val="000000"/>
          <w:sz w:val="20"/>
          <w:szCs w:val="20"/>
          <w:lang w:val="es-ES"/>
        </w:rPr>
        <w:t>concurren los requisitos de fundamentación autónoma y materia federal</w:t>
      </w:r>
      <w:r w:rsidR="00C77533" w:rsidRPr="0010796C">
        <w:rPr>
          <w:rStyle w:val="FootnoteReference"/>
          <w:rFonts w:ascii="Cambria" w:hAnsi="Cambria" w:cs="Calibri"/>
          <w:color w:val="000000"/>
          <w:sz w:val="20"/>
          <w:szCs w:val="20"/>
          <w:lang w:val="es-ES"/>
        </w:rPr>
        <w:footnoteReference w:id="89"/>
      </w:r>
      <w:r w:rsidR="0050278C" w:rsidRPr="0010796C">
        <w:rPr>
          <w:rFonts w:ascii="Cambria" w:hAnsi="Cambria" w:cs="Calibri"/>
          <w:color w:val="000000"/>
          <w:sz w:val="20"/>
          <w:szCs w:val="20"/>
          <w:lang w:val="es-ES"/>
        </w:rPr>
        <w:t>. Por tanto,</w:t>
      </w:r>
      <w:r w:rsidRPr="0010796C">
        <w:rPr>
          <w:rFonts w:ascii="Cambria" w:hAnsi="Cambria" w:cs="Calibri"/>
          <w:color w:val="000000"/>
          <w:sz w:val="20"/>
          <w:szCs w:val="20"/>
          <w:lang w:val="es-ES"/>
        </w:rPr>
        <w:t xml:space="preserve"> </w:t>
      </w:r>
      <w:r w:rsidR="0050278C" w:rsidRPr="0010796C">
        <w:rPr>
          <w:rFonts w:ascii="Cambria" w:hAnsi="Cambria" w:cs="Calibri"/>
          <w:color w:val="000000"/>
          <w:sz w:val="20"/>
          <w:szCs w:val="20"/>
          <w:lang w:val="es-ES"/>
        </w:rPr>
        <w:t>consideró</w:t>
      </w:r>
      <w:r w:rsidRPr="0010796C">
        <w:rPr>
          <w:rFonts w:ascii="Cambria" w:hAnsi="Cambria" w:cs="Calibri"/>
          <w:color w:val="000000"/>
          <w:sz w:val="20"/>
          <w:szCs w:val="20"/>
          <w:lang w:val="es-ES"/>
        </w:rPr>
        <w:t xml:space="preserve"> que los recursos interpuestos por la defensa fueron mal concedidos por el Superior Tribunal de Justicia de Corrientes</w:t>
      </w:r>
      <w:r w:rsidRPr="0010796C">
        <w:rPr>
          <w:rStyle w:val="FootnoteReference"/>
          <w:rFonts w:ascii="Cambria" w:hAnsi="Cambria" w:cs="Calibri"/>
          <w:color w:val="000000"/>
          <w:sz w:val="20"/>
          <w:szCs w:val="20"/>
          <w:lang w:val="es-ES"/>
        </w:rPr>
        <w:footnoteReference w:id="90"/>
      </w:r>
      <w:r w:rsidRPr="0010796C">
        <w:rPr>
          <w:rFonts w:ascii="Cambria" w:hAnsi="Cambria" w:cs="Calibri"/>
          <w:color w:val="000000"/>
          <w:sz w:val="20"/>
          <w:szCs w:val="20"/>
          <w:lang w:val="es-ES"/>
        </w:rPr>
        <w:t xml:space="preserve">.    </w:t>
      </w:r>
    </w:p>
    <w:p w:rsidR="00E902F5" w:rsidRPr="0010796C" w:rsidRDefault="00E902F5" w:rsidP="00E902F5">
      <w:pPr>
        <w:pStyle w:val="LightGrid-Accent31"/>
        <w:ind w:left="720"/>
        <w:contextualSpacing/>
        <w:jc w:val="both"/>
        <w:rPr>
          <w:rFonts w:ascii="Cambria" w:hAnsi="Cambria" w:cs="Calibri"/>
          <w:color w:val="000000"/>
          <w:sz w:val="20"/>
          <w:szCs w:val="20"/>
          <w:lang w:val="es-ES"/>
        </w:rPr>
      </w:pPr>
    </w:p>
    <w:p w:rsidR="00E902F5" w:rsidRPr="0010796C" w:rsidRDefault="00E902F5" w:rsidP="00E902F5">
      <w:pPr>
        <w:pStyle w:val="LightGrid-Accent31"/>
        <w:numPr>
          <w:ilvl w:val="0"/>
          <w:numId w:val="55"/>
        </w:numPr>
        <w:ind w:left="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lastRenderedPageBreak/>
        <w:t>El 13 de febrero de 2007 la Corte Suprema de</w:t>
      </w:r>
      <w:r w:rsidR="0050278C" w:rsidRPr="0010796C">
        <w:rPr>
          <w:rFonts w:ascii="Cambria" w:hAnsi="Cambria" w:cs="Calibri"/>
          <w:color w:val="000000"/>
          <w:sz w:val="20"/>
          <w:szCs w:val="20"/>
          <w:lang w:val="es-ES"/>
        </w:rPr>
        <w:t xml:space="preserve"> Justicia de la Nación dictó una sentencia en donde declaró que los recursos presentados por la defensa resultan inadmisibles</w:t>
      </w:r>
      <w:r w:rsidR="007D2143" w:rsidRPr="0010796C">
        <w:rPr>
          <w:rStyle w:val="FootnoteReference"/>
          <w:rFonts w:ascii="Cambria" w:hAnsi="Cambria" w:cs="Calibri"/>
          <w:color w:val="000000"/>
          <w:sz w:val="20"/>
          <w:szCs w:val="20"/>
          <w:lang w:val="es-ES"/>
        </w:rPr>
        <w:footnoteReference w:id="91"/>
      </w:r>
      <w:r w:rsidRPr="0010796C">
        <w:rPr>
          <w:rFonts w:ascii="Cambria" w:hAnsi="Cambria" w:cs="Calibri"/>
          <w:color w:val="000000"/>
          <w:sz w:val="20"/>
          <w:szCs w:val="20"/>
          <w:lang w:val="es-ES"/>
        </w:rPr>
        <w:t>.</w:t>
      </w:r>
      <w:r w:rsidR="0050278C" w:rsidRPr="0010796C">
        <w:rPr>
          <w:rFonts w:ascii="Cambria" w:hAnsi="Cambria" w:cs="Calibri"/>
          <w:color w:val="000000"/>
          <w:sz w:val="20"/>
          <w:szCs w:val="20"/>
          <w:lang w:val="es-ES"/>
        </w:rPr>
        <w:t xml:space="preserve"> La CIDH nota que </w:t>
      </w:r>
      <w:r w:rsidR="00C759F7" w:rsidRPr="0010796C">
        <w:rPr>
          <w:rFonts w:ascii="Cambria" w:hAnsi="Cambria" w:cs="Calibri"/>
          <w:color w:val="000000"/>
          <w:sz w:val="20"/>
          <w:szCs w:val="20"/>
          <w:lang w:val="es-ES"/>
        </w:rPr>
        <w:t>más allá de invocar el artículo 280 del Código Procesal Civil y Comercial de la Nación, e</w:t>
      </w:r>
      <w:r w:rsidR="0050278C" w:rsidRPr="0010796C">
        <w:rPr>
          <w:rFonts w:ascii="Cambria" w:hAnsi="Cambria" w:cs="Calibri"/>
          <w:color w:val="000000"/>
          <w:sz w:val="20"/>
          <w:szCs w:val="20"/>
          <w:lang w:val="es-ES"/>
        </w:rPr>
        <w:t>n dicha sentencia no se indican las razones por las cuales los recursos fueron declarados inadmisibles.</w:t>
      </w:r>
    </w:p>
    <w:p w:rsidR="002F5685" w:rsidRPr="0010796C" w:rsidRDefault="002F5685" w:rsidP="002F5685">
      <w:pPr>
        <w:pStyle w:val="LightGrid-Accent31"/>
        <w:ind w:left="720"/>
        <w:contextualSpacing/>
        <w:jc w:val="both"/>
        <w:rPr>
          <w:rFonts w:ascii="Cambria" w:hAnsi="Cambria" w:cs="Calibri"/>
          <w:color w:val="000000"/>
          <w:sz w:val="20"/>
          <w:szCs w:val="20"/>
          <w:lang w:val="es-ES"/>
        </w:rPr>
      </w:pPr>
    </w:p>
    <w:p w:rsidR="002F5685" w:rsidRPr="0010796C" w:rsidRDefault="00A26EAA" w:rsidP="00A26E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ES"/>
        </w:rPr>
      </w:pPr>
      <w:r w:rsidRPr="0010796C">
        <w:rPr>
          <w:rFonts w:ascii="Cambria" w:hAnsi="Cambria"/>
          <w:b/>
          <w:sz w:val="20"/>
          <w:szCs w:val="20"/>
          <w:lang w:val="es-ES"/>
        </w:rPr>
        <w:t xml:space="preserve">2. </w:t>
      </w:r>
      <w:r w:rsidRPr="0010796C">
        <w:rPr>
          <w:rFonts w:ascii="Cambria" w:hAnsi="Cambria"/>
          <w:b/>
          <w:sz w:val="20"/>
          <w:szCs w:val="20"/>
          <w:lang w:val="es-ES"/>
        </w:rPr>
        <w:tab/>
      </w:r>
      <w:r w:rsidR="002F5685" w:rsidRPr="0010796C">
        <w:rPr>
          <w:rFonts w:ascii="Cambria" w:hAnsi="Cambria"/>
          <w:b/>
          <w:sz w:val="20"/>
          <w:szCs w:val="20"/>
          <w:lang w:val="es-ES"/>
        </w:rPr>
        <w:t xml:space="preserve">Causa - </w:t>
      </w:r>
      <w:r w:rsidR="002F5685" w:rsidRPr="0010796C">
        <w:rPr>
          <w:rFonts w:ascii="Cambria" w:hAnsi="Cambria" w:cs="Calibri"/>
          <w:b/>
          <w:sz w:val="20"/>
          <w:szCs w:val="20"/>
          <w:lang w:val="es-ES"/>
        </w:rPr>
        <w:t xml:space="preserve">Romero </w:t>
      </w:r>
      <w:proofErr w:type="spellStart"/>
      <w:r w:rsidR="002F5685" w:rsidRPr="0010796C">
        <w:rPr>
          <w:rFonts w:ascii="Cambria" w:hAnsi="Cambria" w:cs="Calibri"/>
          <w:b/>
          <w:sz w:val="20"/>
          <w:szCs w:val="20"/>
          <w:lang w:val="es-ES"/>
        </w:rPr>
        <w:t>Feris</w:t>
      </w:r>
      <w:proofErr w:type="spellEnd"/>
      <w:r w:rsidR="002F5685" w:rsidRPr="0010796C">
        <w:rPr>
          <w:rFonts w:ascii="Cambria" w:hAnsi="Cambria" w:cs="Calibri"/>
          <w:b/>
          <w:sz w:val="20"/>
          <w:szCs w:val="20"/>
          <w:lang w:val="es-ES"/>
        </w:rPr>
        <w:t xml:space="preserve"> Raúl Rolando y </w:t>
      </w:r>
      <w:proofErr w:type="spellStart"/>
      <w:r w:rsidR="002F5685" w:rsidRPr="0010796C">
        <w:rPr>
          <w:rFonts w:ascii="Cambria" w:hAnsi="Cambria" w:cs="Calibri"/>
          <w:b/>
          <w:sz w:val="20"/>
          <w:szCs w:val="20"/>
          <w:lang w:val="es-ES"/>
        </w:rPr>
        <w:t>Zidianakis</w:t>
      </w:r>
      <w:proofErr w:type="spellEnd"/>
      <w:r w:rsidR="002F5685" w:rsidRPr="0010796C">
        <w:rPr>
          <w:rFonts w:ascii="Cambria" w:hAnsi="Cambria" w:cs="Calibri"/>
          <w:b/>
          <w:sz w:val="20"/>
          <w:szCs w:val="20"/>
          <w:lang w:val="es-ES"/>
        </w:rPr>
        <w:t>, Andrés P/Peculado-Capital</w:t>
      </w:r>
    </w:p>
    <w:p w:rsidR="00591B2F" w:rsidRPr="0010796C" w:rsidRDefault="00591B2F" w:rsidP="00A359AD">
      <w:pPr>
        <w:pStyle w:val="LightGrid-Accent31"/>
        <w:ind w:left="0"/>
        <w:contextualSpacing/>
        <w:jc w:val="both"/>
        <w:rPr>
          <w:rFonts w:ascii="Cambria" w:hAnsi="Cambria" w:cs="Calibri"/>
          <w:color w:val="000000"/>
          <w:sz w:val="20"/>
          <w:szCs w:val="20"/>
          <w:lang w:val="es-ES"/>
        </w:rPr>
      </w:pPr>
    </w:p>
    <w:p w:rsidR="000A63B1" w:rsidRPr="0010796C" w:rsidRDefault="000A63B1" w:rsidP="000A63B1">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La CIDH observa que en esta causa, al igual que en la anterior, la defensa del señor Romero </w:t>
      </w:r>
      <w:proofErr w:type="spellStart"/>
      <w:r w:rsidRPr="0010796C">
        <w:rPr>
          <w:rFonts w:ascii="Cambria" w:hAnsi="Cambria" w:cs="Calibri"/>
          <w:color w:val="000000"/>
          <w:sz w:val="20"/>
          <w:szCs w:val="20"/>
          <w:lang w:val="es-ES"/>
        </w:rPr>
        <w:t>Feris</w:t>
      </w:r>
      <w:proofErr w:type="spellEnd"/>
      <w:r w:rsidRPr="0010796C">
        <w:rPr>
          <w:rFonts w:ascii="Cambria" w:hAnsi="Cambria" w:cs="Calibri"/>
          <w:color w:val="000000"/>
          <w:sz w:val="20"/>
          <w:szCs w:val="20"/>
          <w:lang w:val="es-ES"/>
        </w:rPr>
        <w:t xml:space="preserve"> presentó un incidente de nulidad con apelación en subsidio ante el Juez de Instrucción no. 1</w:t>
      </w:r>
      <w:r w:rsidRPr="0010796C">
        <w:rPr>
          <w:rStyle w:val="FootnoteReference"/>
          <w:rFonts w:ascii="Cambria" w:hAnsi="Cambria" w:cs="Calibri"/>
          <w:color w:val="000000"/>
          <w:sz w:val="20"/>
          <w:szCs w:val="20"/>
          <w:lang w:val="es-ES"/>
        </w:rPr>
        <w:footnoteReference w:id="92"/>
      </w:r>
      <w:r w:rsidRPr="0010796C">
        <w:rPr>
          <w:rFonts w:ascii="Cambria" w:hAnsi="Cambria" w:cs="Calibri"/>
          <w:color w:val="000000"/>
          <w:sz w:val="20"/>
          <w:szCs w:val="20"/>
          <w:lang w:val="es-ES"/>
        </w:rPr>
        <w:t>, el cual fue rechazado por dicha instancia</w:t>
      </w:r>
      <w:r w:rsidRPr="0010796C">
        <w:rPr>
          <w:rStyle w:val="FootnoteReference"/>
          <w:rFonts w:ascii="Cambria" w:hAnsi="Cambria" w:cs="Calibri"/>
          <w:color w:val="000000"/>
          <w:sz w:val="20"/>
          <w:szCs w:val="20"/>
          <w:lang w:val="es-ES"/>
        </w:rPr>
        <w:footnoteReference w:id="93"/>
      </w:r>
      <w:r w:rsidRPr="0010796C">
        <w:rPr>
          <w:rFonts w:ascii="Cambria" w:hAnsi="Cambria" w:cs="Calibri"/>
          <w:color w:val="000000"/>
          <w:sz w:val="20"/>
          <w:szCs w:val="20"/>
          <w:lang w:val="es-ES"/>
        </w:rPr>
        <w:t>. La Comisión nota que los argumentos presentados tanto en el recurso como en la resolución de rechazo son sustancialmente similares a los de la causa anterior.</w:t>
      </w:r>
    </w:p>
    <w:p w:rsidR="000A63B1" w:rsidRPr="0010796C" w:rsidRDefault="000A63B1" w:rsidP="000A63B1">
      <w:pPr>
        <w:contextualSpacing/>
        <w:jc w:val="both"/>
        <w:rPr>
          <w:rFonts w:ascii="Cambria" w:hAnsi="Cambria" w:cs="Calibri"/>
          <w:color w:val="000000"/>
          <w:sz w:val="20"/>
          <w:szCs w:val="20"/>
          <w:lang w:val="es-ES"/>
        </w:rPr>
      </w:pPr>
    </w:p>
    <w:p w:rsidR="000A63B1" w:rsidRPr="0010796C" w:rsidRDefault="00AE2E86" w:rsidP="000A63B1">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w:t>
      </w:r>
      <w:r w:rsidR="000A63B1" w:rsidRPr="0010796C">
        <w:rPr>
          <w:rFonts w:ascii="Cambria" w:hAnsi="Cambria" w:cs="Calibri"/>
          <w:color w:val="000000"/>
          <w:sz w:val="20"/>
          <w:szCs w:val="20"/>
          <w:lang w:val="es-ES"/>
        </w:rPr>
        <w:t>7 de septiembre de 2001 la defensa planteó ante el Juez de Instrucción no. 1,</w:t>
      </w:r>
      <w:r w:rsidR="000A63B1" w:rsidRPr="0010796C">
        <w:rPr>
          <w:rFonts w:ascii="Cambria" w:hAnsi="Cambria" w:cs="Calibri"/>
          <w:b/>
          <w:color w:val="000000"/>
          <w:sz w:val="20"/>
          <w:szCs w:val="20"/>
          <w:lang w:val="es-ES"/>
        </w:rPr>
        <w:t xml:space="preserve"> </w:t>
      </w:r>
      <w:r w:rsidR="000A63B1" w:rsidRPr="0010796C">
        <w:rPr>
          <w:rFonts w:ascii="Cambria" w:hAnsi="Cambria" w:cs="Calibri"/>
          <w:color w:val="000000"/>
          <w:sz w:val="20"/>
          <w:szCs w:val="20"/>
          <w:lang w:val="es-ES"/>
        </w:rPr>
        <w:t>la excepción de falta de jurisdicción y competencia</w:t>
      </w:r>
      <w:r w:rsidR="000A63B1" w:rsidRPr="0010796C">
        <w:rPr>
          <w:rStyle w:val="FootnoteReference"/>
          <w:rFonts w:ascii="Cambria" w:hAnsi="Cambria" w:cs="Calibri"/>
          <w:color w:val="000000"/>
          <w:sz w:val="20"/>
          <w:szCs w:val="20"/>
          <w:lang w:val="es-ES"/>
        </w:rPr>
        <w:footnoteReference w:id="94"/>
      </w:r>
      <w:r w:rsidR="000A63B1" w:rsidRPr="0010796C">
        <w:rPr>
          <w:rFonts w:ascii="Cambria" w:hAnsi="Cambria" w:cs="Calibri"/>
          <w:color w:val="000000"/>
          <w:sz w:val="20"/>
          <w:szCs w:val="20"/>
          <w:lang w:val="es-ES"/>
        </w:rPr>
        <w:t xml:space="preserve">. El 18 de marzo de 2004 la Jueza de Instrucción no. 6 declaró inadmisible el planteo de la defensa al indicar lo siguiente: </w:t>
      </w:r>
    </w:p>
    <w:p w:rsidR="000A63B1" w:rsidRPr="0010796C" w:rsidRDefault="000A63B1" w:rsidP="000A63B1">
      <w:pPr>
        <w:contextualSpacing/>
        <w:jc w:val="both"/>
        <w:rPr>
          <w:rFonts w:ascii="Cambria" w:hAnsi="Cambria" w:cs="Calibri"/>
          <w:color w:val="000000"/>
          <w:sz w:val="20"/>
          <w:szCs w:val="20"/>
          <w:lang w:val="es-ES"/>
        </w:rPr>
      </w:pPr>
    </w:p>
    <w:p w:rsidR="000A63B1" w:rsidRPr="0010796C" w:rsidRDefault="000A63B1" w:rsidP="00842956">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Debe tenerse presente además que la cuestión planteada ya fue resuelta por el Excmo. Superior Tribunal de Justicia en el </w:t>
      </w:r>
      <w:proofErr w:type="spellStart"/>
      <w:r w:rsidRPr="0010796C">
        <w:rPr>
          <w:rFonts w:ascii="Cambria" w:hAnsi="Cambria" w:cs="Calibri"/>
          <w:color w:val="000000"/>
          <w:sz w:val="20"/>
          <w:szCs w:val="20"/>
          <w:lang w:val="es-ES"/>
        </w:rPr>
        <w:t>expte</w:t>
      </w:r>
      <w:proofErr w:type="spellEnd"/>
      <w:r w:rsidRPr="0010796C">
        <w:rPr>
          <w:rFonts w:ascii="Cambria" w:hAnsi="Cambria" w:cs="Calibri"/>
          <w:color w:val="000000"/>
          <w:sz w:val="20"/>
          <w:szCs w:val="20"/>
          <w:lang w:val="es-ES"/>
        </w:rPr>
        <w:t>. “RECURSO DE QUEJA POR CASACION DENEGADA EN EXPTE. No 5085 (38.707)” (…) resolución no. 107 de fecha 08 de Agosto de 2001, por la cual se rechazó el recurso de queja por casación denegada por inexistencia de cuestión federal por “arbitrariedad de sentencia” El EXPTE No. 38707 del registro de este Juzgado es conexo al presente</w:t>
      </w:r>
      <w:r w:rsidRPr="0010796C">
        <w:rPr>
          <w:rStyle w:val="FootnoteReference"/>
          <w:rFonts w:ascii="Cambria" w:hAnsi="Cambria" w:cs="Calibri"/>
          <w:color w:val="000000"/>
          <w:sz w:val="20"/>
          <w:szCs w:val="20"/>
          <w:lang w:val="es-ES"/>
        </w:rPr>
        <w:footnoteReference w:id="95"/>
      </w:r>
      <w:r w:rsidRPr="0010796C">
        <w:rPr>
          <w:rFonts w:ascii="Cambria" w:hAnsi="Cambria" w:cs="Calibri"/>
          <w:color w:val="000000"/>
          <w:sz w:val="20"/>
          <w:szCs w:val="20"/>
          <w:lang w:val="es-ES"/>
        </w:rPr>
        <w:t xml:space="preserve">. </w:t>
      </w:r>
    </w:p>
    <w:p w:rsidR="000A63B1" w:rsidRPr="0010796C" w:rsidRDefault="000A63B1" w:rsidP="000A63B1">
      <w:pPr>
        <w:contextualSpacing/>
        <w:jc w:val="both"/>
        <w:rPr>
          <w:rFonts w:ascii="Cambria" w:hAnsi="Cambria" w:cs="Calibri"/>
          <w:color w:val="000000"/>
          <w:sz w:val="20"/>
          <w:szCs w:val="20"/>
          <w:lang w:val="es-ES"/>
        </w:rPr>
      </w:pPr>
    </w:p>
    <w:p w:rsidR="000A63B1" w:rsidRPr="0010796C" w:rsidRDefault="000A63B1" w:rsidP="000A63B1">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24 de marzo de 2004 la defensa del señor Romero </w:t>
      </w:r>
      <w:proofErr w:type="spellStart"/>
      <w:r w:rsidRPr="0010796C">
        <w:rPr>
          <w:rFonts w:ascii="Cambria" w:hAnsi="Cambria" w:cs="Calibri"/>
          <w:color w:val="000000"/>
          <w:sz w:val="20"/>
          <w:szCs w:val="20"/>
          <w:lang w:val="es-ES"/>
        </w:rPr>
        <w:t>Feris</w:t>
      </w:r>
      <w:proofErr w:type="spellEnd"/>
      <w:r w:rsidRPr="0010796C">
        <w:rPr>
          <w:rFonts w:ascii="Cambria" w:hAnsi="Cambria" w:cs="Calibri"/>
          <w:color w:val="000000"/>
          <w:sz w:val="20"/>
          <w:szCs w:val="20"/>
          <w:lang w:val="es-ES"/>
        </w:rPr>
        <w:t xml:space="preserve"> presentó un recurso de apelación en el que indicó que no se había dado debido tratamiento a la cuestión planteada y solicitó el sobreseimiento de la causa</w:t>
      </w:r>
      <w:r w:rsidRPr="0010796C">
        <w:rPr>
          <w:rStyle w:val="FootnoteReference"/>
          <w:rFonts w:ascii="Cambria" w:hAnsi="Cambria" w:cs="Calibri"/>
          <w:color w:val="000000"/>
          <w:sz w:val="20"/>
          <w:szCs w:val="20"/>
          <w:lang w:val="es-ES"/>
        </w:rPr>
        <w:footnoteReference w:id="96"/>
      </w:r>
      <w:r w:rsidRPr="0010796C">
        <w:rPr>
          <w:rFonts w:ascii="Cambria" w:hAnsi="Cambria" w:cs="Calibri"/>
          <w:color w:val="000000"/>
          <w:sz w:val="20"/>
          <w:szCs w:val="20"/>
          <w:lang w:val="es-ES"/>
        </w:rPr>
        <w:t xml:space="preserve">. La defensa también solicitó que se eleve la causa a la Cámara de lo Criminal que corresponda. La defensa agregó lo siguiente: </w:t>
      </w:r>
    </w:p>
    <w:p w:rsidR="000A63B1" w:rsidRPr="0010796C" w:rsidRDefault="000A63B1" w:rsidP="000A63B1">
      <w:pPr>
        <w:contextualSpacing/>
        <w:jc w:val="both"/>
        <w:rPr>
          <w:rFonts w:ascii="Cambria" w:hAnsi="Cambria" w:cs="Calibri"/>
          <w:color w:val="000000"/>
          <w:sz w:val="20"/>
          <w:szCs w:val="20"/>
          <w:lang w:val="es-ES"/>
        </w:rPr>
      </w:pPr>
    </w:p>
    <w:p w:rsidR="000A63B1" w:rsidRPr="0010796C" w:rsidRDefault="000A63B1" w:rsidP="000A63B1">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Por una parte las causas no han sido acumuladas en los términos del art. 40 del C.P.P., por lo tanto las decisiones que se dicten en las causas conexas – que solo marca la intervención de un mismo tribunal para la pluralidad de causas que se tramitan-, no resultan operativas, entiéndase, ejecutivas en los autos de referencia</w:t>
      </w:r>
      <w:r w:rsidRPr="0010796C">
        <w:rPr>
          <w:rStyle w:val="FootnoteReference"/>
          <w:rFonts w:ascii="Cambria" w:hAnsi="Cambria" w:cs="Calibri"/>
          <w:color w:val="000000"/>
          <w:sz w:val="20"/>
          <w:szCs w:val="20"/>
          <w:lang w:val="es-ES"/>
        </w:rPr>
        <w:footnoteReference w:id="97"/>
      </w:r>
      <w:r w:rsidRPr="0010796C">
        <w:rPr>
          <w:rFonts w:ascii="Cambria" w:hAnsi="Cambria" w:cs="Calibri"/>
          <w:color w:val="000000"/>
          <w:sz w:val="20"/>
          <w:szCs w:val="20"/>
          <w:lang w:val="es-ES"/>
        </w:rPr>
        <w:t xml:space="preserve">.    </w:t>
      </w:r>
    </w:p>
    <w:p w:rsidR="000A63B1" w:rsidRPr="0010796C" w:rsidRDefault="000A63B1" w:rsidP="000A63B1">
      <w:pPr>
        <w:ind w:left="720"/>
        <w:contextualSpacing/>
        <w:jc w:val="both"/>
        <w:rPr>
          <w:rFonts w:ascii="Cambria" w:hAnsi="Cambria" w:cs="Calibri"/>
          <w:color w:val="000000"/>
          <w:sz w:val="20"/>
          <w:szCs w:val="20"/>
          <w:lang w:val="es-ES"/>
        </w:rPr>
      </w:pPr>
    </w:p>
    <w:p w:rsidR="000A63B1" w:rsidRPr="0010796C" w:rsidRDefault="000A63B1" w:rsidP="000A63B1">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12 de abril de 2004 el Juez de Instrucción no. 1 dictó un auto mediante el cual rechazó la solicitud de sobreseimiento y ordenó elevar la causa a la Cámara de lo Criminal no. 2 de la ciudad de Corrientes</w:t>
      </w:r>
      <w:r w:rsidRPr="0010796C">
        <w:rPr>
          <w:rStyle w:val="FootnoteReference"/>
          <w:rFonts w:ascii="Cambria" w:hAnsi="Cambria" w:cs="Calibri"/>
          <w:color w:val="000000"/>
          <w:sz w:val="20"/>
          <w:szCs w:val="20"/>
          <w:lang w:val="es-ES"/>
        </w:rPr>
        <w:footnoteReference w:id="98"/>
      </w:r>
      <w:r w:rsidRPr="0010796C">
        <w:rPr>
          <w:rFonts w:ascii="Cambria" w:hAnsi="Cambria" w:cs="Calibri"/>
          <w:color w:val="000000"/>
          <w:sz w:val="20"/>
          <w:szCs w:val="20"/>
          <w:lang w:val="es-ES"/>
        </w:rPr>
        <w:t xml:space="preserve">. El Juez indicó lo siguiente: </w:t>
      </w:r>
    </w:p>
    <w:p w:rsidR="000A63B1" w:rsidRPr="0010796C" w:rsidRDefault="000A63B1" w:rsidP="000A63B1">
      <w:pPr>
        <w:contextualSpacing/>
        <w:jc w:val="both"/>
        <w:rPr>
          <w:rFonts w:ascii="Cambria" w:hAnsi="Cambria" w:cs="Calibri"/>
          <w:color w:val="000000"/>
          <w:sz w:val="20"/>
          <w:szCs w:val="20"/>
          <w:lang w:val="es-ES"/>
        </w:rPr>
      </w:pPr>
    </w:p>
    <w:p w:rsidR="000A63B1" w:rsidRPr="0010796C" w:rsidRDefault="000A63B1" w:rsidP="000A63B1">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lastRenderedPageBreak/>
        <w:t xml:space="preserve">En cuanto al pedido de sobreseimiento de la defensa, (…), que tanto los elementos volitivos como cognoscitivos del dolo imputado a Romero </w:t>
      </w:r>
      <w:proofErr w:type="spellStart"/>
      <w:r w:rsidRPr="0010796C">
        <w:rPr>
          <w:rFonts w:ascii="Cambria" w:hAnsi="Cambria" w:cs="Calibri"/>
          <w:color w:val="000000"/>
          <w:sz w:val="20"/>
          <w:szCs w:val="20"/>
          <w:lang w:val="es-ES"/>
        </w:rPr>
        <w:t>Feris</w:t>
      </w:r>
      <w:proofErr w:type="spellEnd"/>
      <w:r w:rsidRPr="0010796C">
        <w:rPr>
          <w:rFonts w:ascii="Cambria" w:hAnsi="Cambria" w:cs="Calibri"/>
          <w:color w:val="000000"/>
          <w:sz w:val="20"/>
          <w:szCs w:val="20"/>
          <w:lang w:val="es-ES"/>
        </w:rPr>
        <w:t>, como autor del delito de peculado de bienes, están debidamente demostrados en autos (…)</w:t>
      </w:r>
      <w:r w:rsidRPr="0010796C">
        <w:rPr>
          <w:rStyle w:val="FootnoteReference"/>
          <w:rFonts w:ascii="Cambria" w:hAnsi="Cambria" w:cs="Calibri"/>
          <w:color w:val="000000"/>
          <w:sz w:val="20"/>
          <w:szCs w:val="20"/>
          <w:lang w:val="es-ES"/>
        </w:rPr>
        <w:footnoteReference w:id="99"/>
      </w:r>
      <w:r w:rsidRPr="0010796C">
        <w:rPr>
          <w:rFonts w:ascii="Cambria" w:hAnsi="Cambria" w:cs="Calibri"/>
          <w:color w:val="000000"/>
          <w:sz w:val="20"/>
          <w:szCs w:val="20"/>
          <w:lang w:val="es-ES"/>
        </w:rPr>
        <w:t>.</w:t>
      </w:r>
    </w:p>
    <w:p w:rsidR="000A63B1" w:rsidRPr="0010796C" w:rsidRDefault="000A63B1" w:rsidP="000A63B1">
      <w:pPr>
        <w:ind w:left="1080" w:right="990"/>
        <w:contextualSpacing/>
        <w:jc w:val="both"/>
        <w:rPr>
          <w:rFonts w:ascii="Cambria" w:hAnsi="Cambria" w:cs="Calibri"/>
          <w:color w:val="000000"/>
          <w:sz w:val="20"/>
          <w:szCs w:val="20"/>
          <w:lang w:val="es-ES"/>
        </w:rPr>
      </w:pPr>
    </w:p>
    <w:p w:rsidR="000A63B1" w:rsidRPr="0010796C" w:rsidRDefault="000A63B1" w:rsidP="000A63B1">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En cuanto al requerimiento de elevación a juicio y de las constancias de autos, he llegado a la conclusión del rechazo de la oposición formulada por la defensa por entender que existen en autos elementos de mérito suficiente para la presente etapa procesal que avalan la elevación de la c</w:t>
      </w:r>
      <w:r w:rsidR="0010796C">
        <w:rPr>
          <w:rFonts w:ascii="Cambria" w:hAnsi="Cambria" w:cs="Calibri"/>
          <w:color w:val="000000"/>
          <w:sz w:val="20"/>
          <w:szCs w:val="20"/>
          <w:lang w:val="es-ES"/>
        </w:rPr>
        <w:t>ausa a juicio, momento donde deberá</w:t>
      </w:r>
      <w:r w:rsidRPr="0010796C">
        <w:rPr>
          <w:rFonts w:ascii="Cambria" w:hAnsi="Cambria" w:cs="Calibri"/>
          <w:color w:val="000000"/>
          <w:sz w:val="20"/>
          <w:szCs w:val="20"/>
          <w:lang w:val="es-ES"/>
        </w:rPr>
        <w:t xml:space="preserve"> resolverse en definitiva sobre el hecho, la autoría y las pruebas producidas</w:t>
      </w:r>
      <w:r w:rsidRPr="0010796C">
        <w:rPr>
          <w:rStyle w:val="FootnoteReference"/>
          <w:rFonts w:ascii="Cambria" w:hAnsi="Cambria" w:cs="Calibri"/>
          <w:color w:val="000000"/>
          <w:sz w:val="20"/>
          <w:szCs w:val="20"/>
          <w:lang w:val="es-ES"/>
        </w:rPr>
        <w:footnoteReference w:id="100"/>
      </w:r>
      <w:r w:rsidRPr="0010796C">
        <w:rPr>
          <w:rFonts w:ascii="Cambria" w:hAnsi="Cambria" w:cs="Calibri"/>
          <w:color w:val="000000"/>
          <w:sz w:val="20"/>
          <w:szCs w:val="20"/>
          <w:lang w:val="es-ES"/>
        </w:rPr>
        <w:t xml:space="preserve">. </w:t>
      </w:r>
    </w:p>
    <w:p w:rsidR="000A63B1" w:rsidRPr="0010796C" w:rsidRDefault="000A63B1" w:rsidP="000A63B1">
      <w:pPr>
        <w:ind w:left="720"/>
        <w:contextualSpacing/>
        <w:jc w:val="both"/>
        <w:rPr>
          <w:rFonts w:ascii="Cambria" w:hAnsi="Cambria" w:cs="Calibri"/>
          <w:color w:val="000000"/>
          <w:sz w:val="20"/>
          <w:szCs w:val="20"/>
          <w:lang w:val="es-ES"/>
        </w:rPr>
      </w:pPr>
    </w:p>
    <w:p w:rsidR="000A63B1" w:rsidRPr="0010796C" w:rsidRDefault="000A63B1" w:rsidP="000A63B1">
      <w:pPr>
        <w:numPr>
          <w:ilvl w:val="0"/>
          <w:numId w:val="55"/>
        </w:numPr>
        <w:contextualSpacing/>
        <w:jc w:val="both"/>
        <w:rPr>
          <w:rFonts w:ascii="Cambria" w:hAnsi="Cambria" w:cs="Calibri"/>
          <w:color w:val="000000"/>
          <w:sz w:val="20"/>
          <w:szCs w:val="20"/>
          <w:lang w:val="es-ES"/>
        </w:rPr>
      </w:pPr>
      <w:r w:rsidRPr="0010796C">
        <w:rPr>
          <w:rFonts w:ascii="Cambria" w:hAnsi="Cambria" w:cs="Calibri"/>
          <w:sz w:val="20"/>
          <w:szCs w:val="20"/>
          <w:lang w:val="es-ES"/>
        </w:rPr>
        <w:t xml:space="preserve">El 16 de abril de 2004 la defensa del señor Romero </w:t>
      </w:r>
      <w:proofErr w:type="spellStart"/>
      <w:r w:rsidRPr="0010796C">
        <w:rPr>
          <w:rFonts w:ascii="Cambria" w:hAnsi="Cambria" w:cs="Calibri"/>
          <w:sz w:val="20"/>
          <w:szCs w:val="20"/>
          <w:lang w:val="es-ES"/>
        </w:rPr>
        <w:t>Feris</w:t>
      </w:r>
      <w:proofErr w:type="spellEnd"/>
      <w:r w:rsidRPr="0010796C">
        <w:rPr>
          <w:rFonts w:ascii="Cambria" w:hAnsi="Cambria" w:cs="Calibri"/>
          <w:sz w:val="20"/>
          <w:szCs w:val="20"/>
          <w:lang w:val="es-ES"/>
        </w:rPr>
        <w:t>, interpuso un recurso de nulidad y subsidiariamente un recurso de apelación en contra de lo planteado por el Juez de Instrucción no. 1</w:t>
      </w:r>
      <w:r w:rsidRPr="0010796C">
        <w:rPr>
          <w:rStyle w:val="FootnoteReference"/>
          <w:rFonts w:ascii="Cambria" w:hAnsi="Cambria" w:cs="Calibri"/>
          <w:sz w:val="20"/>
          <w:szCs w:val="20"/>
          <w:lang w:val="es-ES"/>
        </w:rPr>
        <w:footnoteReference w:id="101"/>
      </w:r>
      <w:r w:rsidRPr="0010796C">
        <w:rPr>
          <w:rFonts w:ascii="Cambria" w:hAnsi="Cambria" w:cs="Calibri"/>
          <w:sz w:val="20"/>
          <w:szCs w:val="20"/>
          <w:lang w:val="es-ES"/>
        </w:rPr>
        <w:t>. El 28 de junio de 2004 el Juez de instrucción no. 1 rechazó en todas sus partes el planteo de nulidad y declaró inadmisible la interposición del recurso de apelación en subsidio</w:t>
      </w:r>
      <w:r w:rsidRPr="0010796C">
        <w:rPr>
          <w:rStyle w:val="FootnoteReference"/>
          <w:rFonts w:ascii="Cambria" w:hAnsi="Cambria" w:cs="Calibri"/>
          <w:color w:val="000000"/>
          <w:sz w:val="20"/>
          <w:szCs w:val="20"/>
          <w:lang w:val="es-ES"/>
        </w:rPr>
        <w:footnoteReference w:id="102"/>
      </w:r>
      <w:r w:rsidRPr="0010796C">
        <w:rPr>
          <w:rFonts w:ascii="Cambria" w:hAnsi="Cambria" w:cs="Calibri"/>
          <w:color w:val="000000"/>
          <w:sz w:val="20"/>
          <w:szCs w:val="20"/>
          <w:lang w:val="es-ES"/>
        </w:rPr>
        <w:t xml:space="preserve">. El Juez argumentó lo siguiente: </w:t>
      </w:r>
    </w:p>
    <w:p w:rsidR="000A63B1" w:rsidRPr="0010796C" w:rsidRDefault="000A63B1" w:rsidP="000A63B1">
      <w:pPr>
        <w:contextualSpacing/>
        <w:jc w:val="both"/>
        <w:rPr>
          <w:rFonts w:ascii="Cambria" w:hAnsi="Cambria" w:cs="Calibri"/>
          <w:color w:val="000000"/>
          <w:sz w:val="20"/>
          <w:szCs w:val="20"/>
          <w:lang w:val="es-ES"/>
        </w:rPr>
      </w:pPr>
    </w:p>
    <w:p w:rsidR="000A63B1" w:rsidRPr="0010796C" w:rsidRDefault="000A63B1" w:rsidP="00842956">
      <w:pPr>
        <w:ind w:left="720" w:right="72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Debe tenerse presente que la “Excepción”, no es un instituto a disposición del imputado para impedir el fundamento de la pretensión penal incriminadora. Por ello es que el imputado por vía de excepción no puede oponer resistencia tendiente a desviar el fundamento mismo de la pre</w:t>
      </w:r>
      <w:r w:rsidR="008A6B1C" w:rsidRPr="0010796C">
        <w:rPr>
          <w:rFonts w:ascii="Cambria" w:hAnsi="Cambria" w:cs="Calibri"/>
          <w:color w:val="000000"/>
          <w:sz w:val="20"/>
          <w:szCs w:val="20"/>
          <w:lang w:val="es-ES"/>
        </w:rPr>
        <w:t>te</w:t>
      </w:r>
      <w:r w:rsidRPr="0010796C">
        <w:rPr>
          <w:rFonts w:ascii="Cambria" w:hAnsi="Cambria" w:cs="Calibri"/>
          <w:color w:val="000000"/>
          <w:sz w:val="20"/>
          <w:szCs w:val="20"/>
          <w:lang w:val="es-ES"/>
        </w:rPr>
        <w:t>nsión penal incriminadora</w:t>
      </w:r>
      <w:r w:rsidR="0010796C">
        <w:rPr>
          <w:rFonts w:ascii="Cambria" w:hAnsi="Cambria" w:cs="Calibri"/>
          <w:color w:val="000000"/>
          <w:sz w:val="20"/>
          <w:szCs w:val="20"/>
          <w:lang w:val="es-ES"/>
        </w:rPr>
        <w:t xml:space="preserve"> </w:t>
      </w:r>
      <w:r w:rsidRPr="0010796C">
        <w:rPr>
          <w:rFonts w:ascii="Cambria" w:hAnsi="Cambria" w:cs="Calibri"/>
          <w:color w:val="000000"/>
          <w:sz w:val="20"/>
          <w:szCs w:val="20"/>
          <w:lang w:val="es-ES"/>
        </w:rPr>
        <w:t>(…). No surge disposición alguna que prescriba la nulidad del acto jurisdiccional dictado en el tiempo y forma en que se realizó (…) y el presente, no advierto la existencia de violación constitucional ni lesión a derecho alguno del imputado, por lo que puedo concluir que no surge violación al legítimo ejercicio del derecho de defensa y que el auto impugnado es plenamente v</w:t>
      </w:r>
      <w:r w:rsidR="00782E4C" w:rsidRPr="0010796C">
        <w:rPr>
          <w:rFonts w:ascii="Cambria" w:hAnsi="Cambria" w:cs="Calibri"/>
          <w:color w:val="000000"/>
          <w:sz w:val="20"/>
          <w:szCs w:val="20"/>
          <w:lang w:val="es-ES"/>
        </w:rPr>
        <w:t>á</w:t>
      </w:r>
      <w:r w:rsidRPr="0010796C">
        <w:rPr>
          <w:rFonts w:ascii="Cambria" w:hAnsi="Cambria" w:cs="Calibri"/>
          <w:color w:val="000000"/>
          <w:sz w:val="20"/>
          <w:szCs w:val="20"/>
          <w:lang w:val="es-ES"/>
        </w:rPr>
        <w:t>lido y realizado de conformidad a expresas normas procedimentales de la Provincia, como así también constitucionales</w:t>
      </w:r>
      <w:r w:rsidRPr="0010796C">
        <w:rPr>
          <w:rStyle w:val="FootnoteReference"/>
          <w:rFonts w:ascii="Cambria" w:hAnsi="Cambria" w:cs="Calibri"/>
          <w:color w:val="000000"/>
          <w:sz w:val="20"/>
          <w:szCs w:val="20"/>
          <w:lang w:val="es-ES"/>
        </w:rPr>
        <w:footnoteReference w:id="103"/>
      </w:r>
      <w:r w:rsidRPr="0010796C">
        <w:rPr>
          <w:rFonts w:ascii="Cambria" w:hAnsi="Cambria" w:cs="Calibri"/>
          <w:color w:val="000000"/>
          <w:sz w:val="20"/>
          <w:szCs w:val="20"/>
          <w:lang w:val="es-ES"/>
        </w:rPr>
        <w:t xml:space="preserve">. </w:t>
      </w:r>
    </w:p>
    <w:p w:rsidR="000A63B1" w:rsidRPr="0010796C" w:rsidRDefault="000A63B1" w:rsidP="000A63B1">
      <w:pPr>
        <w:ind w:left="720"/>
        <w:contextualSpacing/>
        <w:jc w:val="both"/>
        <w:rPr>
          <w:rFonts w:ascii="Cambria" w:hAnsi="Cambria" w:cs="Calibri"/>
          <w:color w:val="000000"/>
          <w:sz w:val="20"/>
          <w:szCs w:val="20"/>
          <w:lang w:val="es-ES"/>
        </w:rPr>
      </w:pPr>
    </w:p>
    <w:p w:rsidR="000A63B1" w:rsidRPr="0010796C" w:rsidRDefault="000A63B1" w:rsidP="000A63B1">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14 de febrero de 2005 la Cámara en lo Criminal No. 2 emitió tres autos en donde resolvió rechazar el recurso de apelación, confirmando la resolución de </w:t>
      </w:r>
      <w:r w:rsidRPr="0010796C">
        <w:rPr>
          <w:rFonts w:ascii="Cambria" w:hAnsi="Cambria"/>
          <w:sz w:val="20"/>
          <w:szCs w:val="20"/>
          <w:lang w:val="es-ES"/>
        </w:rPr>
        <w:t>18 de marzo de 2004</w:t>
      </w:r>
      <w:r w:rsidRPr="0010796C">
        <w:rPr>
          <w:rStyle w:val="FootnoteReference"/>
          <w:rFonts w:ascii="Cambria" w:hAnsi="Cambria" w:cs="Calibri"/>
          <w:color w:val="000000"/>
          <w:sz w:val="20"/>
          <w:szCs w:val="20"/>
          <w:lang w:val="es-ES"/>
        </w:rPr>
        <w:footnoteReference w:id="104"/>
      </w:r>
      <w:r w:rsidRPr="0010796C">
        <w:rPr>
          <w:rFonts w:ascii="Cambria" w:hAnsi="Cambria" w:cs="Calibri"/>
          <w:color w:val="000000"/>
          <w:sz w:val="20"/>
          <w:szCs w:val="20"/>
          <w:lang w:val="es-ES"/>
        </w:rPr>
        <w:t xml:space="preserve">. </w:t>
      </w:r>
    </w:p>
    <w:p w:rsidR="000A63B1" w:rsidRPr="0010796C" w:rsidRDefault="000A63B1" w:rsidP="000A63B1">
      <w:pPr>
        <w:ind w:left="720"/>
        <w:contextualSpacing/>
        <w:jc w:val="both"/>
        <w:rPr>
          <w:rFonts w:ascii="Cambria" w:hAnsi="Cambria" w:cs="Calibri"/>
          <w:color w:val="000000"/>
          <w:sz w:val="20"/>
          <w:szCs w:val="20"/>
          <w:lang w:val="es-ES"/>
        </w:rPr>
      </w:pPr>
    </w:p>
    <w:p w:rsidR="000A63B1" w:rsidRPr="0010796C" w:rsidRDefault="00AE2E86" w:rsidP="000A63B1">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w:t>
      </w:r>
      <w:r w:rsidR="000A63B1" w:rsidRPr="0010796C">
        <w:rPr>
          <w:rFonts w:ascii="Cambria" w:hAnsi="Cambria" w:cs="Calibri"/>
          <w:color w:val="000000"/>
          <w:sz w:val="20"/>
          <w:szCs w:val="20"/>
          <w:lang w:val="es-ES"/>
        </w:rPr>
        <w:t>4 de agosto de 2005 la defensa formuló recusación en contra de los jueces integrantes de la Cámara de lo Criminal no. 2</w:t>
      </w:r>
      <w:r w:rsidR="000A63B1" w:rsidRPr="0010796C">
        <w:rPr>
          <w:rStyle w:val="FootnoteReference"/>
          <w:rFonts w:ascii="Cambria" w:hAnsi="Cambria" w:cs="Calibri"/>
          <w:color w:val="000000"/>
          <w:sz w:val="20"/>
          <w:szCs w:val="20"/>
          <w:lang w:val="es-ES"/>
        </w:rPr>
        <w:footnoteReference w:id="105"/>
      </w:r>
      <w:r w:rsidR="000A63B1" w:rsidRPr="0010796C">
        <w:rPr>
          <w:rFonts w:ascii="Cambria" w:hAnsi="Cambria" w:cs="Calibri"/>
          <w:color w:val="000000"/>
          <w:sz w:val="20"/>
          <w:szCs w:val="20"/>
          <w:lang w:val="es-ES"/>
        </w:rPr>
        <w:t xml:space="preserve">. La defensa alegó lo siguiente: </w:t>
      </w:r>
      <w:r w:rsidR="002A11E7" w:rsidRPr="0010796C">
        <w:rPr>
          <w:rFonts w:ascii="Cambria" w:hAnsi="Cambria" w:cs="Calibri"/>
          <w:color w:val="000000"/>
          <w:sz w:val="20"/>
          <w:szCs w:val="20"/>
          <w:lang w:val="es-ES"/>
        </w:rPr>
        <w:t xml:space="preserve"> </w:t>
      </w:r>
    </w:p>
    <w:p w:rsidR="000A63B1" w:rsidRPr="0010796C" w:rsidRDefault="000A63B1" w:rsidP="000A63B1">
      <w:pPr>
        <w:contextualSpacing/>
        <w:jc w:val="both"/>
        <w:rPr>
          <w:rFonts w:ascii="Cambria" w:hAnsi="Cambria" w:cs="Calibri"/>
          <w:color w:val="000000"/>
          <w:sz w:val="20"/>
          <w:szCs w:val="20"/>
          <w:lang w:val="es-ES"/>
        </w:rPr>
      </w:pPr>
    </w:p>
    <w:p w:rsidR="000A63B1" w:rsidRPr="0010796C" w:rsidRDefault="000A63B1" w:rsidP="00842956">
      <w:pPr>
        <w:ind w:left="720" w:right="72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La presente recusación se funda en que este Tribunal ha sido cuestionado, en lo que a su imparcialidad se refiere, en los autos caratulados: “ROMERO FERIS, RAUL ROLANDO; ORTEGA LUCIA PLACIDA; ISETTA, JORGE EDUARDO Y MAGRAN ALBERO P/ASOCIACION ILICITA – CAPITAL” </w:t>
      </w:r>
      <w:proofErr w:type="spellStart"/>
      <w:r w:rsidRPr="0010796C">
        <w:rPr>
          <w:rFonts w:ascii="Cambria" w:hAnsi="Cambria" w:cs="Calibri"/>
          <w:color w:val="000000"/>
          <w:sz w:val="20"/>
          <w:szCs w:val="20"/>
          <w:lang w:val="es-ES"/>
        </w:rPr>
        <w:t>Expte</w:t>
      </w:r>
      <w:proofErr w:type="spellEnd"/>
      <w:r w:rsidRPr="0010796C">
        <w:rPr>
          <w:rFonts w:ascii="Cambria" w:hAnsi="Cambria" w:cs="Calibri"/>
          <w:color w:val="000000"/>
          <w:sz w:val="20"/>
          <w:szCs w:val="20"/>
          <w:lang w:val="es-ES"/>
        </w:rPr>
        <w:t xml:space="preserve"> no. 5014 que tramita ante esta misma Cámara con idéntica integración. (…) la recusación formulada en el expediente 5014 se fundó en que los jueces (…) habían emitido opinión anticipada respecto a cuestiones que estaban estrechamente relacionadas con el </w:t>
      </w:r>
      <w:proofErr w:type="spellStart"/>
      <w:r w:rsidRPr="0010796C">
        <w:rPr>
          <w:rFonts w:ascii="Cambria" w:hAnsi="Cambria" w:cs="Calibri"/>
          <w:i/>
          <w:color w:val="000000"/>
          <w:sz w:val="20"/>
          <w:szCs w:val="20"/>
          <w:lang w:val="es-ES"/>
        </w:rPr>
        <w:t>thema</w:t>
      </w:r>
      <w:proofErr w:type="spellEnd"/>
      <w:r w:rsidRPr="0010796C">
        <w:rPr>
          <w:rFonts w:ascii="Cambria" w:hAnsi="Cambria" w:cs="Calibri"/>
          <w:i/>
          <w:color w:val="000000"/>
          <w:sz w:val="20"/>
          <w:szCs w:val="20"/>
          <w:lang w:val="es-ES"/>
        </w:rPr>
        <w:t xml:space="preserve"> </w:t>
      </w:r>
      <w:proofErr w:type="spellStart"/>
      <w:r w:rsidRPr="0010796C">
        <w:rPr>
          <w:rFonts w:ascii="Cambria" w:hAnsi="Cambria" w:cs="Calibri"/>
          <w:i/>
          <w:color w:val="000000"/>
          <w:sz w:val="20"/>
          <w:szCs w:val="20"/>
          <w:lang w:val="es-ES"/>
        </w:rPr>
        <w:t>decidendum</w:t>
      </w:r>
      <w:proofErr w:type="spellEnd"/>
      <w:r w:rsidRPr="0010796C">
        <w:rPr>
          <w:rFonts w:ascii="Cambria" w:hAnsi="Cambria" w:cs="Calibri"/>
          <w:color w:val="000000"/>
          <w:sz w:val="20"/>
          <w:szCs w:val="20"/>
          <w:lang w:val="es-ES"/>
        </w:rPr>
        <w:t xml:space="preserve"> de tales actuaciones (…) obviamente, que la constitución de un único Tribunal determina que al ser cuestionado en su imparcialidad </w:t>
      </w:r>
      <w:r w:rsidRPr="0010796C">
        <w:rPr>
          <w:rFonts w:ascii="Cambria" w:hAnsi="Cambria" w:cs="Calibri"/>
          <w:color w:val="000000"/>
          <w:sz w:val="20"/>
          <w:szCs w:val="20"/>
          <w:lang w:val="es-ES"/>
        </w:rPr>
        <w:lastRenderedPageBreak/>
        <w:t>respeto de una causa sus efectos se extienden a todas las causas en las que el Tribunal impugnado intervenga (…)</w:t>
      </w:r>
      <w:r w:rsidRPr="0010796C">
        <w:rPr>
          <w:rStyle w:val="FootnoteReference"/>
          <w:rFonts w:ascii="Cambria" w:hAnsi="Cambria" w:cs="Calibri"/>
          <w:color w:val="000000"/>
          <w:sz w:val="20"/>
          <w:szCs w:val="20"/>
          <w:lang w:val="es-ES"/>
        </w:rPr>
        <w:footnoteReference w:id="106"/>
      </w:r>
      <w:r w:rsidRPr="0010796C">
        <w:rPr>
          <w:rFonts w:ascii="Cambria" w:hAnsi="Cambria" w:cs="Calibri"/>
          <w:color w:val="000000"/>
          <w:sz w:val="20"/>
          <w:szCs w:val="20"/>
          <w:lang w:val="es-ES"/>
        </w:rPr>
        <w:t>.</w:t>
      </w:r>
    </w:p>
    <w:p w:rsidR="000A63B1" w:rsidRPr="0010796C" w:rsidRDefault="000A63B1" w:rsidP="000A63B1">
      <w:pPr>
        <w:ind w:left="720"/>
        <w:contextualSpacing/>
        <w:jc w:val="both"/>
        <w:rPr>
          <w:rFonts w:ascii="Cambria" w:hAnsi="Cambria" w:cs="Calibri"/>
          <w:color w:val="000000"/>
          <w:sz w:val="20"/>
          <w:szCs w:val="20"/>
          <w:lang w:val="es-ES"/>
        </w:rPr>
      </w:pPr>
    </w:p>
    <w:p w:rsidR="00174C67" w:rsidRPr="0010796C" w:rsidRDefault="000A63B1" w:rsidP="000A63B1">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10 de agosto de 2005 la Cámara en lo Criminal no. 2 rechazó la recusación interpuesta por la defensa</w:t>
      </w:r>
      <w:r w:rsidRPr="0010796C">
        <w:rPr>
          <w:rStyle w:val="FootnoteReference"/>
          <w:rFonts w:ascii="Cambria" w:hAnsi="Cambria" w:cs="Calibri"/>
          <w:color w:val="000000"/>
          <w:sz w:val="20"/>
          <w:szCs w:val="20"/>
          <w:lang w:val="es-ES"/>
        </w:rPr>
        <w:footnoteReference w:id="107"/>
      </w:r>
      <w:r w:rsidRPr="0010796C">
        <w:rPr>
          <w:rFonts w:ascii="Cambria" w:hAnsi="Cambria" w:cs="Calibri"/>
          <w:color w:val="000000"/>
          <w:sz w:val="20"/>
          <w:szCs w:val="20"/>
          <w:lang w:val="es-ES"/>
        </w:rPr>
        <w:t>.</w:t>
      </w:r>
      <w:r w:rsidR="00174C67" w:rsidRPr="0010796C">
        <w:rPr>
          <w:rFonts w:ascii="Cambria" w:hAnsi="Cambria" w:cs="Calibri"/>
          <w:color w:val="000000"/>
          <w:sz w:val="20"/>
          <w:szCs w:val="20"/>
          <w:lang w:val="es-ES"/>
        </w:rPr>
        <w:t xml:space="preserve"> La Cámara indicó lo siguiente:</w:t>
      </w:r>
    </w:p>
    <w:p w:rsidR="00174C67" w:rsidRPr="0010796C" w:rsidRDefault="00174C67" w:rsidP="00174C67">
      <w:pPr>
        <w:ind w:left="720"/>
        <w:contextualSpacing/>
        <w:jc w:val="both"/>
        <w:rPr>
          <w:rFonts w:ascii="Cambria" w:hAnsi="Cambria" w:cs="Calibri"/>
          <w:color w:val="000000"/>
          <w:sz w:val="20"/>
          <w:szCs w:val="20"/>
          <w:lang w:val="es-ES"/>
        </w:rPr>
      </w:pPr>
    </w:p>
    <w:p w:rsidR="00174C67" w:rsidRPr="0010796C" w:rsidRDefault="00174C67" w:rsidP="00842956">
      <w:pPr>
        <w:ind w:left="720" w:right="72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Que compulsado el </w:t>
      </w:r>
      <w:proofErr w:type="spellStart"/>
      <w:r w:rsidRPr="0010796C">
        <w:rPr>
          <w:rFonts w:ascii="Cambria" w:hAnsi="Cambria" w:cs="Calibri"/>
          <w:color w:val="000000"/>
          <w:sz w:val="20"/>
          <w:szCs w:val="20"/>
          <w:lang w:val="es-ES"/>
        </w:rPr>
        <w:t>expte</w:t>
      </w:r>
      <w:proofErr w:type="spellEnd"/>
      <w:r w:rsidRPr="0010796C">
        <w:rPr>
          <w:rFonts w:ascii="Cambria" w:hAnsi="Cambria" w:cs="Calibri"/>
          <w:color w:val="000000"/>
          <w:sz w:val="20"/>
          <w:szCs w:val="20"/>
          <w:lang w:val="es-ES"/>
        </w:rPr>
        <w:t xml:space="preserve"> referido (…) y habiéndose formulado idéntico planteamiento que el de autos,  practicado el mismo imputado –Raúl Romero </w:t>
      </w:r>
      <w:proofErr w:type="spellStart"/>
      <w:r w:rsidRPr="0010796C">
        <w:rPr>
          <w:rFonts w:ascii="Cambria" w:hAnsi="Cambria" w:cs="Calibri"/>
          <w:color w:val="000000"/>
          <w:sz w:val="20"/>
          <w:szCs w:val="20"/>
          <w:lang w:val="es-ES"/>
        </w:rPr>
        <w:t>Feris</w:t>
      </w:r>
      <w:proofErr w:type="spellEnd"/>
      <w:r w:rsidRPr="0010796C">
        <w:rPr>
          <w:rFonts w:ascii="Cambria" w:hAnsi="Cambria" w:cs="Calibri"/>
          <w:color w:val="000000"/>
          <w:sz w:val="20"/>
          <w:szCs w:val="20"/>
          <w:lang w:val="es-ES"/>
        </w:rPr>
        <w:t>-, respecto a similares situaciones, el cual fuera resuelto por auto no. 265 de fecha 13 de junio de 2005 y la conexidad subjetiva existente entre las causas seguidas contra el mencionado imputado, se estima que corresponde revocar por contrario imperio la providencia de fecha 5-8-05, dejándose, en consecuencia, sin efecto la integración del tribunal y el sorteo pertinente</w:t>
      </w:r>
      <w:r w:rsidRPr="0010796C">
        <w:rPr>
          <w:rStyle w:val="FootnoteReference"/>
          <w:rFonts w:ascii="Cambria" w:hAnsi="Cambria" w:cs="Calibri"/>
          <w:color w:val="000000"/>
          <w:sz w:val="20"/>
          <w:szCs w:val="20"/>
          <w:lang w:val="es-ES"/>
        </w:rPr>
        <w:footnoteReference w:id="108"/>
      </w:r>
      <w:r w:rsidRPr="0010796C">
        <w:rPr>
          <w:rFonts w:ascii="Cambria" w:hAnsi="Cambria" w:cs="Calibri"/>
          <w:color w:val="000000"/>
          <w:sz w:val="20"/>
          <w:szCs w:val="20"/>
          <w:lang w:val="es-ES"/>
        </w:rPr>
        <w:t xml:space="preserve">. </w:t>
      </w:r>
    </w:p>
    <w:p w:rsidR="000A63B1" w:rsidRPr="0010796C" w:rsidRDefault="000A63B1" w:rsidP="00174C67">
      <w:pPr>
        <w:contextualSpacing/>
        <w:jc w:val="both"/>
        <w:rPr>
          <w:rFonts w:ascii="Cambria" w:hAnsi="Cambria" w:cs="Calibri"/>
          <w:color w:val="000000"/>
          <w:sz w:val="20"/>
          <w:szCs w:val="20"/>
          <w:lang w:val="es-ES"/>
        </w:rPr>
      </w:pPr>
    </w:p>
    <w:p w:rsidR="000A63B1" w:rsidRPr="0010796C" w:rsidRDefault="000A63B1" w:rsidP="000A63B1">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20 de diciembre de 2005</w:t>
      </w:r>
      <w:r w:rsidR="00174C67" w:rsidRPr="0010796C">
        <w:rPr>
          <w:rFonts w:ascii="Cambria" w:hAnsi="Cambria" w:cs="Calibri"/>
          <w:color w:val="000000"/>
          <w:sz w:val="20"/>
          <w:szCs w:val="20"/>
          <w:lang w:val="es-ES"/>
        </w:rPr>
        <w:t xml:space="preserve"> la Cámara en lo Criminal no. 2 </w:t>
      </w:r>
      <w:r w:rsidRPr="0010796C">
        <w:rPr>
          <w:rFonts w:ascii="Cambria" w:hAnsi="Cambria" w:cs="Calibri"/>
          <w:color w:val="000000"/>
          <w:sz w:val="20"/>
          <w:szCs w:val="20"/>
          <w:lang w:val="es-ES"/>
        </w:rPr>
        <w:t xml:space="preserve"> dictó la sentencia no. 139 mediante la cual se condenó a Raúl Rolando Romero </w:t>
      </w:r>
      <w:proofErr w:type="spellStart"/>
      <w:r w:rsidRPr="0010796C">
        <w:rPr>
          <w:rFonts w:ascii="Cambria" w:hAnsi="Cambria" w:cs="Calibri"/>
          <w:color w:val="000000"/>
          <w:sz w:val="20"/>
          <w:szCs w:val="20"/>
          <w:lang w:val="es-ES"/>
        </w:rPr>
        <w:t>Feris</w:t>
      </w:r>
      <w:proofErr w:type="spellEnd"/>
      <w:r w:rsidRPr="0010796C">
        <w:rPr>
          <w:rFonts w:ascii="Cambria" w:hAnsi="Cambria" w:cs="Calibri"/>
          <w:color w:val="000000"/>
          <w:sz w:val="20"/>
          <w:szCs w:val="20"/>
          <w:lang w:val="es-ES"/>
        </w:rPr>
        <w:t xml:space="preserve"> a la pena de cinco años de prisión e inhabilitación absoluta perpetua como coautor del delito de peculado</w:t>
      </w:r>
      <w:r w:rsidRPr="0010796C">
        <w:rPr>
          <w:rStyle w:val="FootnoteReference"/>
          <w:rFonts w:ascii="Cambria" w:hAnsi="Cambria" w:cs="Calibri"/>
          <w:color w:val="000000"/>
          <w:sz w:val="20"/>
          <w:szCs w:val="20"/>
          <w:lang w:val="es-ES"/>
        </w:rPr>
        <w:footnoteReference w:id="109"/>
      </w:r>
      <w:r w:rsidRPr="0010796C">
        <w:rPr>
          <w:rFonts w:ascii="Cambria" w:hAnsi="Cambria" w:cs="Calibri"/>
          <w:color w:val="000000"/>
          <w:sz w:val="20"/>
          <w:szCs w:val="20"/>
          <w:lang w:val="es-ES"/>
        </w:rPr>
        <w:t xml:space="preserve">.  </w:t>
      </w:r>
    </w:p>
    <w:p w:rsidR="000A63B1" w:rsidRPr="0010796C" w:rsidRDefault="000A63B1" w:rsidP="000A63B1">
      <w:pPr>
        <w:ind w:left="720"/>
        <w:contextualSpacing/>
        <w:jc w:val="both"/>
        <w:rPr>
          <w:rFonts w:ascii="Cambria" w:hAnsi="Cambria" w:cs="Calibri"/>
          <w:color w:val="000000"/>
          <w:sz w:val="20"/>
          <w:szCs w:val="20"/>
          <w:lang w:val="es-ES"/>
        </w:rPr>
      </w:pPr>
    </w:p>
    <w:p w:rsidR="000A63B1" w:rsidRPr="0010796C" w:rsidRDefault="000A63B1" w:rsidP="000A63B1">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20 de febrero de 2006 la defensa interpuso un recurso de casación</w:t>
      </w:r>
      <w:r w:rsidRPr="0010796C">
        <w:rPr>
          <w:rStyle w:val="FootnoteReference"/>
          <w:rFonts w:ascii="Cambria" w:hAnsi="Cambria" w:cs="Calibri"/>
          <w:color w:val="000000"/>
          <w:sz w:val="20"/>
          <w:szCs w:val="20"/>
          <w:lang w:val="es-ES"/>
        </w:rPr>
        <w:footnoteReference w:id="110"/>
      </w:r>
      <w:r w:rsidRPr="0010796C">
        <w:rPr>
          <w:rFonts w:ascii="Cambria" w:hAnsi="Cambria" w:cs="Calibri"/>
          <w:color w:val="000000"/>
          <w:sz w:val="20"/>
          <w:szCs w:val="20"/>
          <w:lang w:val="es-ES"/>
        </w:rPr>
        <w:t>. La defensa solicitó la nulidad de la causa por la intervención de la Magistrada Cintia Teresita Doctora Godoy Prats en los siguientes términos:</w:t>
      </w:r>
    </w:p>
    <w:p w:rsidR="000A63B1" w:rsidRPr="0010796C" w:rsidRDefault="000A63B1" w:rsidP="000A63B1">
      <w:pPr>
        <w:ind w:left="720"/>
        <w:contextualSpacing/>
        <w:jc w:val="both"/>
        <w:rPr>
          <w:rFonts w:ascii="Cambria" w:hAnsi="Cambria" w:cs="Calibri"/>
          <w:color w:val="000000"/>
          <w:sz w:val="20"/>
          <w:szCs w:val="20"/>
          <w:lang w:val="es-ES"/>
        </w:rPr>
      </w:pPr>
    </w:p>
    <w:p w:rsidR="000A63B1" w:rsidRPr="0010796C" w:rsidRDefault="000A63B1" w:rsidP="000A63B1">
      <w:pPr>
        <w:ind w:left="720" w:right="72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Dr. Luis Godoy Prats, padre de la Señora Magistrado (…) la actuación como </w:t>
      </w:r>
      <w:r w:rsidR="00CE0B39" w:rsidRPr="0010796C">
        <w:rPr>
          <w:rFonts w:ascii="Cambria" w:hAnsi="Cambria" w:cs="Calibri"/>
          <w:color w:val="000000"/>
          <w:sz w:val="20"/>
          <w:szCs w:val="20"/>
          <w:lang w:val="es-ES"/>
        </w:rPr>
        <w:t>mandata</w:t>
      </w:r>
      <w:r w:rsidRPr="0010796C">
        <w:rPr>
          <w:rFonts w:ascii="Cambria" w:hAnsi="Cambria" w:cs="Calibri"/>
          <w:color w:val="000000"/>
          <w:sz w:val="20"/>
          <w:szCs w:val="20"/>
          <w:lang w:val="es-ES"/>
        </w:rPr>
        <w:t xml:space="preserve">rio de la querellante en conjunto en la causa “AGENTE FISCAL No. 2S/NOTITIA CRIMINIS-CAPITAL”. </w:t>
      </w:r>
      <w:proofErr w:type="spellStart"/>
      <w:r w:rsidR="00174C67" w:rsidRPr="0010796C">
        <w:rPr>
          <w:rFonts w:ascii="Cambria" w:hAnsi="Cambria" w:cs="Calibri"/>
          <w:color w:val="000000"/>
          <w:sz w:val="20"/>
          <w:szCs w:val="20"/>
          <w:lang w:val="es-ES"/>
        </w:rPr>
        <w:t>Exp</w:t>
      </w:r>
      <w:r w:rsidRPr="0010796C">
        <w:rPr>
          <w:rFonts w:ascii="Cambria" w:hAnsi="Cambria" w:cs="Calibri"/>
          <w:color w:val="000000"/>
          <w:sz w:val="20"/>
          <w:szCs w:val="20"/>
          <w:lang w:val="es-ES"/>
        </w:rPr>
        <w:t>te</w:t>
      </w:r>
      <w:proofErr w:type="spellEnd"/>
      <w:r w:rsidRPr="0010796C">
        <w:rPr>
          <w:rFonts w:ascii="Cambria" w:hAnsi="Cambria" w:cs="Calibri"/>
          <w:color w:val="000000"/>
          <w:sz w:val="20"/>
          <w:szCs w:val="20"/>
          <w:lang w:val="es-ES"/>
        </w:rPr>
        <w:t xml:space="preserve"> </w:t>
      </w:r>
      <w:proofErr w:type="spellStart"/>
      <w:r w:rsidRPr="0010796C">
        <w:rPr>
          <w:rFonts w:ascii="Cambria" w:hAnsi="Cambria" w:cs="Calibri"/>
          <w:color w:val="000000"/>
          <w:sz w:val="20"/>
          <w:szCs w:val="20"/>
          <w:lang w:val="es-ES"/>
        </w:rPr>
        <w:t>Mp</w:t>
      </w:r>
      <w:proofErr w:type="spellEnd"/>
      <w:r w:rsidRPr="0010796C">
        <w:rPr>
          <w:rFonts w:ascii="Cambria" w:hAnsi="Cambria" w:cs="Calibri"/>
          <w:color w:val="000000"/>
          <w:sz w:val="20"/>
          <w:szCs w:val="20"/>
          <w:lang w:val="es-ES"/>
        </w:rPr>
        <w:t xml:space="preserve">/ 33.509 hecha referencia “supra”, aun cuando no se ha dispuesto la acumulación de procesos, no puede ser ignorada en virtud de la existencia de conexión subjetiva entre dicha causa y la presente, y las demás en las que se encuentra imputado Raúl Rolando Romero </w:t>
      </w:r>
      <w:proofErr w:type="spellStart"/>
      <w:r w:rsidRPr="0010796C">
        <w:rPr>
          <w:rFonts w:ascii="Cambria" w:hAnsi="Cambria" w:cs="Calibri"/>
          <w:color w:val="000000"/>
          <w:sz w:val="20"/>
          <w:szCs w:val="20"/>
          <w:lang w:val="es-ES"/>
        </w:rPr>
        <w:t>Feris</w:t>
      </w:r>
      <w:proofErr w:type="spellEnd"/>
      <w:r w:rsidRPr="0010796C">
        <w:rPr>
          <w:rFonts w:ascii="Cambria" w:hAnsi="Cambria" w:cs="Calibri"/>
          <w:color w:val="000000"/>
          <w:sz w:val="20"/>
          <w:szCs w:val="20"/>
          <w:lang w:val="es-ES"/>
        </w:rPr>
        <w:t xml:space="preserve"> (…) conexión que, atento a la expresa previsión del art. 40 primera parte del C.P.P, determina –no obstante la no acumulación de proceso,- la intervención de un mismo tribunal, debiendo entenderse por tal al de idéntica integración para todas las causas que resulten conexas, se encuentre o no acumuladas (…)</w:t>
      </w:r>
      <w:r w:rsidRPr="0010796C">
        <w:rPr>
          <w:rStyle w:val="FootnoteReference"/>
          <w:rFonts w:ascii="Cambria" w:hAnsi="Cambria" w:cs="Calibri"/>
          <w:color w:val="000000"/>
          <w:sz w:val="20"/>
          <w:szCs w:val="20"/>
          <w:lang w:val="es-ES"/>
        </w:rPr>
        <w:footnoteReference w:id="111"/>
      </w:r>
      <w:r w:rsidRPr="0010796C">
        <w:rPr>
          <w:rFonts w:ascii="Cambria" w:hAnsi="Cambria" w:cs="Calibri"/>
          <w:color w:val="000000"/>
          <w:sz w:val="20"/>
          <w:szCs w:val="20"/>
          <w:lang w:val="es-ES"/>
        </w:rPr>
        <w:t>.</w:t>
      </w:r>
    </w:p>
    <w:p w:rsidR="000A63B1" w:rsidRPr="0010796C" w:rsidRDefault="000A63B1" w:rsidP="00174C67">
      <w:p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 </w:t>
      </w:r>
    </w:p>
    <w:p w:rsidR="000A63B1" w:rsidRPr="0010796C" w:rsidRDefault="000A63B1" w:rsidP="000A63B1">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19 de octubre de 2006 el Superior Tribunal de Justicia de Corrientes rechazó el recurso de casación interpuesto por la defensa</w:t>
      </w:r>
      <w:r w:rsidRPr="0010796C">
        <w:rPr>
          <w:rStyle w:val="FootnoteReference"/>
          <w:rFonts w:ascii="Cambria" w:hAnsi="Cambria" w:cs="Calibri"/>
          <w:color w:val="000000"/>
          <w:sz w:val="20"/>
          <w:szCs w:val="20"/>
          <w:lang w:val="es-ES"/>
        </w:rPr>
        <w:footnoteReference w:id="112"/>
      </w:r>
      <w:r w:rsidRPr="0010796C">
        <w:rPr>
          <w:rFonts w:ascii="Cambria" w:hAnsi="Cambria" w:cs="Calibri"/>
          <w:color w:val="000000"/>
          <w:sz w:val="20"/>
          <w:szCs w:val="20"/>
          <w:lang w:val="es-ES"/>
        </w:rPr>
        <w:t>. El Superior Tribunal indicó lo siguiente:</w:t>
      </w:r>
    </w:p>
    <w:p w:rsidR="000A63B1" w:rsidRPr="0010796C" w:rsidRDefault="000A63B1" w:rsidP="000A63B1">
      <w:pPr>
        <w:ind w:left="720"/>
        <w:contextualSpacing/>
        <w:jc w:val="both"/>
        <w:rPr>
          <w:rFonts w:ascii="Cambria" w:hAnsi="Cambria" w:cs="Calibri"/>
          <w:color w:val="000000"/>
          <w:sz w:val="20"/>
          <w:szCs w:val="20"/>
          <w:lang w:val="es-ES"/>
        </w:rPr>
      </w:pPr>
    </w:p>
    <w:p w:rsidR="000A63B1" w:rsidRPr="0010796C" w:rsidRDefault="000A63B1" w:rsidP="000A63B1">
      <w:pPr>
        <w:ind w:left="720" w:right="72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En cuanto a la intervención en el juicio de la Juez Godoy Prats la estimo completamente válida, pues como lo aclara la siguiente opinión doctrinaria, al tratar este tema (…) el inciso segundo impide que en un mismo proceso intervengan dos magistrados que sean parientes dentro de los límites establecidos (…). </w:t>
      </w:r>
    </w:p>
    <w:p w:rsidR="000A63B1" w:rsidRPr="0010796C" w:rsidRDefault="000A63B1" w:rsidP="000A63B1">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w:t>
      </w:r>
    </w:p>
    <w:p w:rsidR="000A63B1" w:rsidRPr="0010796C" w:rsidRDefault="000A63B1" w:rsidP="000A63B1">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Los pretensos recusantes no han demostrado que en estos autos o en otros conexos, uno y otro camarista, ligados por el lazo de consanguinidad hayan concurrido a dictar </w:t>
      </w:r>
      <w:r w:rsidRPr="0010796C">
        <w:rPr>
          <w:rFonts w:ascii="Cambria" w:hAnsi="Cambria" w:cs="Calibri"/>
          <w:color w:val="000000"/>
          <w:sz w:val="20"/>
          <w:szCs w:val="20"/>
          <w:lang w:val="es-ES"/>
        </w:rPr>
        <w:lastRenderedPageBreak/>
        <w:t>disposiciones contradictorias o contrarias al acusado, que es el motivo exigido para que prospere esta causal de recusación</w:t>
      </w:r>
      <w:r w:rsidRPr="0010796C">
        <w:rPr>
          <w:rStyle w:val="FootnoteReference"/>
          <w:rFonts w:ascii="Cambria" w:hAnsi="Cambria" w:cs="Calibri"/>
          <w:color w:val="000000"/>
          <w:sz w:val="20"/>
          <w:szCs w:val="20"/>
          <w:lang w:val="es-ES"/>
        </w:rPr>
        <w:footnoteReference w:id="113"/>
      </w:r>
      <w:r w:rsidRPr="0010796C">
        <w:rPr>
          <w:rFonts w:ascii="Cambria" w:hAnsi="Cambria" w:cs="Calibri"/>
          <w:color w:val="000000"/>
          <w:sz w:val="20"/>
          <w:szCs w:val="20"/>
          <w:lang w:val="es-ES"/>
        </w:rPr>
        <w:t xml:space="preserve">. </w:t>
      </w:r>
    </w:p>
    <w:p w:rsidR="000A63B1" w:rsidRPr="0010796C" w:rsidRDefault="000A63B1" w:rsidP="000A63B1">
      <w:pPr>
        <w:ind w:left="720"/>
        <w:contextualSpacing/>
        <w:jc w:val="both"/>
        <w:rPr>
          <w:rFonts w:ascii="Cambria" w:hAnsi="Cambria" w:cs="Calibri"/>
          <w:color w:val="000000"/>
          <w:sz w:val="20"/>
          <w:szCs w:val="20"/>
          <w:lang w:val="es-ES"/>
        </w:rPr>
      </w:pPr>
    </w:p>
    <w:p w:rsidR="000A63B1" w:rsidRPr="0010796C" w:rsidRDefault="00AE2E86" w:rsidP="000A63B1">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w:t>
      </w:r>
      <w:r w:rsidR="000A63B1" w:rsidRPr="0010796C">
        <w:rPr>
          <w:rFonts w:ascii="Cambria" w:hAnsi="Cambria" w:cs="Calibri"/>
          <w:color w:val="000000"/>
          <w:sz w:val="20"/>
          <w:szCs w:val="20"/>
          <w:lang w:val="es-ES"/>
        </w:rPr>
        <w:t>3 de noviembre de 2006 la defensa interpuso un recurso extraordinario ante el Superior Tribunal de Justicia de la Provincia de Corrientes</w:t>
      </w:r>
      <w:r w:rsidR="00174C67" w:rsidRPr="0010796C">
        <w:rPr>
          <w:rFonts w:ascii="Cambria" w:hAnsi="Cambria" w:cs="Calibri"/>
          <w:color w:val="000000"/>
          <w:sz w:val="20"/>
          <w:szCs w:val="20"/>
          <w:lang w:val="es-ES"/>
        </w:rPr>
        <w:t xml:space="preserve"> contra la resolución de 19 de octubre de 2006</w:t>
      </w:r>
      <w:r w:rsidR="000A63B1" w:rsidRPr="0010796C">
        <w:rPr>
          <w:rStyle w:val="FootnoteReference"/>
          <w:rFonts w:ascii="Cambria" w:hAnsi="Cambria" w:cs="Calibri"/>
          <w:color w:val="000000"/>
          <w:sz w:val="20"/>
          <w:szCs w:val="20"/>
          <w:lang w:val="es-ES"/>
        </w:rPr>
        <w:footnoteReference w:id="114"/>
      </w:r>
      <w:r w:rsidR="000A63B1" w:rsidRPr="0010796C">
        <w:rPr>
          <w:rFonts w:ascii="Cambria" w:hAnsi="Cambria" w:cs="Calibri"/>
          <w:color w:val="000000"/>
          <w:sz w:val="20"/>
          <w:szCs w:val="20"/>
          <w:lang w:val="es-ES"/>
        </w:rPr>
        <w:t xml:space="preserve">. </w:t>
      </w:r>
      <w:r w:rsidR="009B1548" w:rsidRPr="0010796C">
        <w:rPr>
          <w:rFonts w:ascii="Cambria" w:hAnsi="Cambria" w:cs="Calibri"/>
          <w:color w:val="000000"/>
          <w:sz w:val="20"/>
          <w:szCs w:val="20"/>
          <w:lang w:val="es-ES"/>
        </w:rPr>
        <w:t xml:space="preserve"> La defensa alegó lo siguiente:</w:t>
      </w:r>
    </w:p>
    <w:p w:rsidR="009B1548" w:rsidRPr="0010796C" w:rsidRDefault="009B1548" w:rsidP="009B1548">
      <w:pPr>
        <w:ind w:left="720"/>
        <w:contextualSpacing/>
        <w:jc w:val="both"/>
        <w:rPr>
          <w:rFonts w:ascii="Cambria" w:hAnsi="Cambria" w:cs="Calibri"/>
          <w:color w:val="000000"/>
          <w:sz w:val="20"/>
          <w:szCs w:val="20"/>
          <w:lang w:val="es-ES"/>
        </w:rPr>
      </w:pPr>
    </w:p>
    <w:p w:rsidR="009B1548" w:rsidRPr="0010796C" w:rsidRDefault="009B1548" w:rsidP="009B1548">
      <w:pPr>
        <w:ind w:left="720" w:right="72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la intervención de la magistrada impugnada como integrante del tribunal que condenó a nuestro defendido configura una causal de falta de imparcialidad subjetiva en los términos de los artículos 18 de la Constitución Nacional y 8.1 de la Convención Americana ya que su relación de parentesco con el anterior magistrado que integró el mismo tribunal en la misma configuró un conflicto de intereses que determinaba la necesidad de inhibirse en seguir entendiendo el caso (…)</w:t>
      </w:r>
      <w:r w:rsidRPr="0010796C">
        <w:rPr>
          <w:rStyle w:val="FootnoteReference"/>
          <w:rFonts w:ascii="Cambria" w:hAnsi="Cambria" w:cs="Calibri"/>
          <w:color w:val="000000"/>
          <w:sz w:val="20"/>
          <w:szCs w:val="20"/>
          <w:lang w:val="es-ES"/>
        </w:rPr>
        <w:footnoteReference w:id="115"/>
      </w:r>
      <w:r w:rsidRPr="0010796C">
        <w:rPr>
          <w:rFonts w:ascii="Cambria" w:hAnsi="Cambria" w:cs="Calibri"/>
          <w:color w:val="000000"/>
          <w:sz w:val="20"/>
          <w:szCs w:val="20"/>
          <w:lang w:val="es-ES"/>
        </w:rPr>
        <w:t xml:space="preserve">. </w:t>
      </w:r>
    </w:p>
    <w:p w:rsidR="000A63B1" w:rsidRPr="0010796C" w:rsidRDefault="000A63B1" w:rsidP="000A63B1">
      <w:pPr>
        <w:ind w:left="720"/>
        <w:contextualSpacing/>
        <w:jc w:val="both"/>
        <w:rPr>
          <w:rFonts w:ascii="Cambria" w:hAnsi="Cambria" w:cs="Calibri"/>
          <w:color w:val="000000"/>
          <w:sz w:val="20"/>
          <w:szCs w:val="20"/>
          <w:lang w:val="es-ES"/>
        </w:rPr>
      </w:pPr>
    </w:p>
    <w:p w:rsidR="000A63B1" w:rsidRPr="0010796C" w:rsidRDefault="000A63B1" w:rsidP="000A63B1">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20 de febrero de 2007 el Superior Tribunal de Justicia de Corrientes resolvió no conceder el recurso extraordinario presentado por la defensa</w:t>
      </w:r>
      <w:r w:rsidRPr="0010796C">
        <w:rPr>
          <w:rStyle w:val="FootnoteReference"/>
          <w:rFonts w:ascii="Cambria" w:hAnsi="Cambria" w:cs="Calibri"/>
          <w:color w:val="000000"/>
          <w:sz w:val="20"/>
          <w:szCs w:val="20"/>
          <w:lang w:val="es-ES"/>
        </w:rPr>
        <w:footnoteReference w:id="116"/>
      </w:r>
      <w:r w:rsidRPr="0010796C">
        <w:rPr>
          <w:rFonts w:ascii="Cambria" w:hAnsi="Cambria" w:cs="Calibri"/>
          <w:color w:val="000000"/>
          <w:sz w:val="20"/>
          <w:szCs w:val="20"/>
          <w:lang w:val="es-ES"/>
        </w:rPr>
        <w:t>. El Superior Tribunal estableció lo siguiente:</w:t>
      </w:r>
    </w:p>
    <w:p w:rsidR="000A63B1" w:rsidRPr="0010796C" w:rsidRDefault="000A63B1" w:rsidP="000A63B1">
      <w:pPr>
        <w:ind w:left="720"/>
        <w:contextualSpacing/>
        <w:jc w:val="both"/>
        <w:rPr>
          <w:rFonts w:ascii="Cambria" w:hAnsi="Cambria" w:cs="Calibri"/>
          <w:color w:val="000000"/>
          <w:sz w:val="20"/>
          <w:szCs w:val="20"/>
          <w:lang w:val="es-ES"/>
        </w:rPr>
      </w:pPr>
    </w:p>
    <w:p w:rsidR="000A63B1" w:rsidRPr="0010796C" w:rsidRDefault="000A63B1" w:rsidP="000A63B1">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Asumiendo la regla jurisprudencial frecuentemente mencionada por la Corte “(…) que la tacha de arbitrariedad no cubre meras discrepancias entre lo decidido por el juzgador y lo sostenido por las partes (…)”, se observa que la defensa del condenado Romero </w:t>
      </w:r>
      <w:proofErr w:type="spellStart"/>
      <w:r w:rsidRPr="0010796C">
        <w:rPr>
          <w:rFonts w:ascii="Cambria" w:hAnsi="Cambria" w:cs="Calibri"/>
          <w:color w:val="000000"/>
          <w:sz w:val="20"/>
          <w:szCs w:val="20"/>
          <w:lang w:val="es-ES"/>
        </w:rPr>
        <w:t>Feris</w:t>
      </w:r>
      <w:proofErr w:type="spellEnd"/>
      <w:r w:rsidRPr="0010796C">
        <w:rPr>
          <w:rFonts w:ascii="Cambria" w:hAnsi="Cambria" w:cs="Calibri"/>
          <w:color w:val="000000"/>
          <w:sz w:val="20"/>
          <w:szCs w:val="20"/>
          <w:lang w:val="es-ES"/>
        </w:rPr>
        <w:t>, reitera en las distintas instancia</w:t>
      </w:r>
      <w:r w:rsidR="00AE2E86" w:rsidRPr="0010796C">
        <w:rPr>
          <w:rFonts w:ascii="Cambria" w:hAnsi="Cambria" w:cs="Calibri"/>
          <w:color w:val="000000"/>
          <w:sz w:val="20"/>
          <w:szCs w:val="20"/>
          <w:lang w:val="es-ES"/>
        </w:rPr>
        <w:t>s</w:t>
      </w:r>
      <w:r w:rsidRPr="0010796C">
        <w:rPr>
          <w:rFonts w:ascii="Cambria" w:hAnsi="Cambria" w:cs="Calibri"/>
          <w:color w:val="000000"/>
          <w:sz w:val="20"/>
          <w:szCs w:val="20"/>
          <w:lang w:val="es-ES"/>
        </w:rPr>
        <w:t>, argumentos análogos en cada una de sus presentaciones y al no compartir las respuestas negativas a sus críticas al proceso y a las decisiones jurídicas arribadas, continua insistiendo en la existencia de presuntas faltas a los principios de raigambre constitucional (…)</w:t>
      </w:r>
      <w:r w:rsidRPr="0010796C">
        <w:rPr>
          <w:rStyle w:val="FootnoteReference"/>
          <w:rFonts w:ascii="Cambria" w:hAnsi="Cambria" w:cs="Calibri"/>
          <w:color w:val="000000"/>
          <w:sz w:val="20"/>
          <w:szCs w:val="20"/>
          <w:lang w:val="es-ES"/>
        </w:rPr>
        <w:footnoteReference w:id="117"/>
      </w:r>
      <w:r w:rsidRPr="0010796C">
        <w:rPr>
          <w:rFonts w:ascii="Cambria" w:hAnsi="Cambria" w:cs="Calibri"/>
          <w:color w:val="000000"/>
          <w:sz w:val="20"/>
          <w:szCs w:val="20"/>
          <w:lang w:val="es-ES"/>
        </w:rPr>
        <w:t>.</w:t>
      </w:r>
    </w:p>
    <w:p w:rsidR="000A63B1" w:rsidRPr="0010796C" w:rsidRDefault="000A63B1" w:rsidP="000A63B1">
      <w:pPr>
        <w:ind w:right="1106"/>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ab/>
        <w:t>(…)</w:t>
      </w:r>
    </w:p>
    <w:p w:rsidR="000A63B1" w:rsidRPr="0010796C" w:rsidRDefault="000A63B1" w:rsidP="000A63B1">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Tampoco la defensa indica cuales fueron los extremos planteados en casación que se omitieron resolver o que resueltos, la motivación contradijera abiertamente la normativa aplicable o cualquiera de las otras causales (…)</w:t>
      </w:r>
      <w:r w:rsidRPr="0010796C">
        <w:rPr>
          <w:rStyle w:val="FootnoteReference"/>
          <w:rFonts w:ascii="Cambria" w:hAnsi="Cambria" w:cs="Calibri"/>
          <w:color w:val="000000"/>
          <w:sz w:val="20"/>
          <w:szCs w:val="20"/>
          <w:lang w:val="es-ES"/>
        </w:rPr>
        <w:footnoteReference w:id="118"/>
      </w:r>
      <w:r w:rsidRPr="0010796C">
        <w:rPr>
          <w:rFonts w:ascii="Cambria" w:hAnsi="Cambria" w:cs="Calibri"/>
          <w:color w:val="000000"/>
          <w:sz w:val="20"/>
          <w:szCs w:val="20"/>
          <w:lang w:val="es-ES"/>
        </w:rPr>
        <w:t>.</w:t>
      </w:r>
    </w:p>
    <w:p w:rsidR="000A63B1" w:rsidRPr="0010796C" w:rsidRDefault="000A63B1" w:rsidP="000A63B1">
      <w:pPr>
        <w:ind w:left="720"/>
        <w:contextualSpacing/>
        <w:jc w:val="both"/>
        <w:rPr>
          <w:rFonts w:ascii="Cambria" w:hAnsi="Cambria" w:cs="Calibri"/>
          <w:color w:val="000000"/>
          <w:sz w:val="20"/>
          <w:szCs w:val="20"/>
          <w:lang w:val="es-ES"/>
        </w:rPr>
      </w:pPr>
    </w:p>
    <w:p w:rsidR="000A63B1" w:rsidRPr="0010796C" w:rsidRDefault="00AE2E86" w:rsidP="000A63B1">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w:t>
      </w:r>
      <w:r w:rsidR="000A63B1" w:rsidRPr="0010796C">
        <w:rPr>
          <w:rFonts w:ascii="Cambria" w:hAnsi="Cambria" w:cs="Calibri"/>
          <w:color w:val="000000"/>
          <w:sz w:val="20"/>
          <w:szCs w:val="20"/>
          <w:lang w:val="es-ES"/>
        </w:rPr>
        <w:t>5 de marzo de 2007 la defensa interpuso un recurso de queja ante la Corte Suprema de Justicia de la Nación en contra de la resolución del Superior Tribunal Provincial de Corrientes</w:t>
      </w:r>
      <w:r w:rsidR="000A63B1" w:rsidRPr="0010796C">
        <w:rPr>
          <w:rStyle w:val="FootnoteReference"/>
          <w:rFonts w:ascii="Cambria" w:hAnsi="Cambria" w:cs="Calibri"/>
          <w:color w:val="000000"/>
          <w:sz w:val="20"/>
          <w:szCs w:val="20"/>
          <w:lang w:val="es-ES"/>
        </w:rPr>
        <w:footnoteReference w:id="119"/>
      </w:r>
      <w:r w:rsidR="000A63B1" w:rsidRPr="0010796C">
        <w:rPr>
          <w:rFonts w:ascii="Cambria" w:hAnsi="Cambria" w:cs="Calibri"/>
          <w:color w:val="000000"/>
          <w:sz w:val="20"/>
          <w:szCs w:val="20"/>
          <w:lang w:val="es-ES"/>
        </w:rPr>
        <w:t xml:space="preserve">. Ello a efectos de dejar sin efecto la condena impuesta en contra del señor Romero </w:t>
      </w:r>
      <w:proofErr w:type="spellStart"/>
      <w:r w:rsidR="000A63B1" w:rsidRPr="0010796C">
        <w:rPr>
          <w:rFonts w:ascii="Cambria" w:hAnsi="Cambria" w:cs="Calibri"/>
          <w:color w:val="000000"/>
          <w:sz w:val="20"/>
          <w:szCs w:val="20"/>
          <w:lang w:val="es-ES"/>
        </w:rPr>
        <w:t>Fe</w:t>
      </w:r>
      <w:r w:rsidRPr="0010796C">
        <w:rPr>
          <w:rFonts w:ascii="Cambria" w:hAnsi="Cambria" w:cs="Calibri"/>
          <w:color w:val="000000"/>
          <w:sz w:val="20"/>
          <w:szCs w:val="20"/>
          <w:lang w:val="es-ES"/>
        </w:rPr>
        <w:t>ri</w:t>
      </w:r>
      <w:r w:rsidR="000A63B1" w:rsidRPr="0010796C">
        <w:rPr>
          <w:rFonts w:ascii="Cambria" w:hAnsi="Cambria" w:cs="Calibri"/>
          <w:color w:val="000000"/>
          <w:sz w:val="20"/>
          <w:szCs w:val="20"/>
          <w:lang w:val="es-ES"/>
        </w:rPr>
        <w:t>s</w:t>
      </w:r>
      <w:proofErr w:type="spellEnd"/>
      <w:r w:rsidR="000A63B1" w:rsidRPr="0010796C">
        <w:rPr>
          <w:rStyle w:val="FootnoteReference"/>
          <w:rFonts w:ascii="Cambria" w:hAnsi="Cambria" w:cs="Calibri"/>
          <w:color w:val="000000"/>
          <w:sz w:val="20"/>
          <w:szCs w:val="20"/>
          <w:lang w:val="es-ES"/>
        </w:rPr>
        <w:footnoteReference w:id="120"/>
      </w:r>
      <w:r w:rsidR="000A63B1" w:rsidRPr="0010796C">
        <w:rPr>
          <w:rFonts w:ascii="Cambria" w:hAnsi="Cambria" w:cs="Calibri"/>
          <w:color w:val="000000"/>
          <w:sz w:val="20"/>
          <w:szCs w:val="20"/>
          <w:lang w:val="es-ES"/>
        </w:rPr>
        <w:t>.</w:t>
      </w:r>
    </w:p>
    <w:p w:rsidR="000A63B1" w:rsidRPr="0010796C" w:rsidRDefault="000A63B1" w:rsidP="000A63B1">
      <w:pPr>
        <w:ind w:left="720"/>
        <w:contextualSpacing/>
        <w:jc w:val="both"/>
        <w:rPr>
          <w:rFonts w:ascii="Cambria" w:hAnsi="Cambria" w:cs="Calibri"/>
          <w:color w:val="000000"/>
          <w:sz w:val="20"/>
          <w:szCs w:val="20"/>
          <w:lang w:val="es-ES"/>
        </w:rPr>
      </w:pPr>
    </w:p>
    <w:p w:rsidR="000A63B1" w:rsidRPr="0010796C" w:rsidRDefault="000A63B1" w:rsidP="000A63B1">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28 de septiembre de 2007 el Ministerio Público</w:t>
      </w:r>
      <w:r w:rsidR="002B1FC6" w:rsidRPr="0010796C">
        <w:rPr>
          <w:rFonts w:ascii="Cambria" w:hAnsi="Cambria" w:cs="Calibri"/>
          <w:color w:val="000000"/>
          <w:sz w:val="20"/>
          <w:szCs w:val="20"/>
          <w:lang w:val="es-ES"/>
        </w:rPr>
        <w:t>, a través del Procurador Fiscal,</w:t>
      </w:r>
      <w:r w:rsidRPr="0010796C">
        <w:rPr>
          <w:rFonts w:ascii="Cambria" w:hAnsi="Cambria" w:cs="Calibri"/>
          <w:color w:val="000000"/>
          <w:sz w:val="20"/>
          <w:szCs w:val="20"/>
          <w:lang w:val="es-ES"/>
        </w:rPr>
        <w:t xml:space="preserve"> </w:t>
      </w:r>
      <w:r w:rsidR="005E151E" w:rsidRPr="0010796C">
        <w:rPr>
          <w:rFonts w:ascii="Cambria" w:hAnsi="Cambria" w:cs="Calibri"/>
          <w:color w:val="000000"/>
          <w:sz w:val="20"/>
          <w:szCs w:val="20"/>
          <w:lang w:val="es-ES"/>
        </w:rPr>
        <w:t>solicitó</w:t>
      </w:r>
      <w:r w:rsidRPr="0010796C">
        <w:rPr>
          <w:rFonts w:ascii="Cambria" w:hAnsi="Cambria" w:cs="Calibri"/>
          <w:color w:val="000000"/>
          <w:sz w:val="20"/>
          <w:szCs w:val="20"/>
          <w:lang w:val="es-ES"/>
        </w:rPr>
        <w:t xml:space="preserve"> a la Corte Suprema de Justicia de la Nación a rechazar la queja interpuesta por la Defensa de Romero </w:t>
      </w:r>
      <w:proofErr w:type="spellStart"/>
      <w:r w:rsidRPr="0010796C">
        <w:rPr>
          <w:rFonts w:ascii="Cambria" w:hAnsi="Cambria" w:cs="Calibri"/>
          <w:color w:val="000000"/>
          <w:sz w:val="20"/>
          <w:szCs w:val="20"/>
          <w:lang w:val="es-ES"/>
        </w:rPr>
        <w:t>Feris</w:t>
      </w:r>
      <w:proofErr w:type="spellEnd"/>
      <w:r w:rsidRPr="0010796C">
        <w:rPr>
          <w:rFonts w:ascii="Cambria" w:hAnsi="Cambria" w:cs="Calibri"/>
          <w:color w:val="000000"/>
          <w:sz w:val="20"/>
          <w:szCs w:val="20"/>
          <w:lang w:val="es-ES"/>
        </w:rPr>
        <w:t xml:space="preserve"> debido a l</w:t>
      </w:r>
      <w:r w:rsidR="00AE2E86" w:rsidRPr="0010796C">
        <w:rPr>
          <w:rFonts w:ascii="Cambria" w:hAnsi="Cambria" w:cs="Calibri"/>
          <w:color w:val="000000"/>
          <w:sz w:val="20"/>
          <w:szCs w:val="20"/>
          <w:lang w:val="es-ES"/>
        </w:rPr>
        <w:t>o</w:t>
      </w:r>
      <w:r w:rsidRPr="0010796C">
        <w:rPr>
          <w:rFonts w:ascii="Cambria" w:hAnsi="Cambria" w:cs="Calibri"/>
          <w:color w:val="000000"/>
          <w:sz w:val="20"/>
          <w:szCs w:val="20"/>
          <w:lang w:val="es-ES"/>
        </w:rPr>
        <w:t>s siguientes argumentos:</w:t>
      </w:r>
    </w:p>
    <w:p w:rsidR="000A63B1" w:rsidRPr="0010796C" w:rsidRDefault="000A63B1" w:rsidP="000A63B1">
      <w:pPr>
        <w:contextualSpacing/>
        <w:jc w:val="both"/>
        <w:rPr>
          <w:rFonts w:ascii="Cambria" w:hAnsi="Cambria" w:cs="Calibri"/>
          <w:color w:val="000000"/>
          <w:sz w:val="20"/>
          <w:szCs w:val="20"/>
          <w:lang w:val="es-ES"/>
        </w:rPr>
      </w:pPr>
    </w:p>
    <w:p w:rsidR="000A63B1" w:rsidRPr="0010796C" w:rsidRDefault="000A63B1" w:rsidP="000A63B1">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lastRenderedPageBreak/>
        <w:t xml:space="preserve">No estamos ante un caso donde se haya lesionado la intangibilidad de los hechos sometidos a la decisión judicial, sino ante puntos de vista diferentes sobre la adecuación en el tipo de la participación de la conducta de peculado que se atribuye a Romero </w:t>
      </w:r>
      <w:proofErr w:type="spellStart"/>
      <w:r w:rsidRPr="0010796C">
        <w:rPr>
          <w:rFonts w:ascii="Cambria" w:hAnsi="Cambria" w:cs="Calibri"/>
          <w:color w:val="000000"/>
          <w:sz w:val="20"/>
          <w:szCs w:val="20"/>
          <w:lang w:val="es-ES"/>
        </w:rPr>
        <w:t>Feris</w:t>
      </w:r>
      <w:proofErr w:type="spellEnd"/>
      <w:r w:rsidRPr="0010796C">
        <w:rPr>
          <w:rFonts w:ascii="Cambria" w:hAnsi="Cambria" w:cs="Calibri"/>
          <w:color w:val="000000"/>
          <w:sz w:val="20"/>
          <w:szCs w:val="20"/>
          <w:lang w:val="es-ES"/>
        </w:rPr>
        <w:t xml:space="preserve">. De esa manera, considero que, (…) no se encuentran afectados aquí los derechos y garantías federales. </w:t>
      </w:r>
    </w:p>
    <w:p w:rsidR="000A63B1" w:rsidRPr="0010796C" w:rsidRDefault="000A63B1" w:rsidP="000A63B1">
      <w:pPr>
        <w:ind w:right="117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ab/>
        <w:t>(…)</w:t>
      </w:r>
    </w:p>
    <w:p w:rsidR="000A63B1" w:rsidRPr="0010796C" w:rsidRDefault="000A63B1" w:rsidP="000A63B1">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Considero que dilucidar el alcance del artículo 52, inciso 11 del Código Procesal Penal de Corrientes (¿abarca las intervenciones de parientes en causas ligadas por conexidad subjetiva?) es una cuestión de derecho local que, en principio, no tiene trascendencia suficiente para ser considerada como caso federal</w:t>
      </w:r>
      <w:r w:rsidRPr="0010796C">
        <w:rPr>
          <w:rStyle w:val="FootnoteReference"/>
          <w:rFonts w:ascii="Cambria" w:hAnsi="Cambria" w:cs="Calibri"/>
          <w:color w:val="000000"/>
          <w:sz w:val="20"/>
          <w:szCs w:val="20"/>
          <w:lang w:val="es-ES"/>
        </w:rPr>
        <w:footnoteReference w:id="121"/>
      </w:r>
      <w:r w:rsidRPr="0010796C">
        <w:rPr>
          <w:rFonts w:ascii="Cambria" w:hAnsi="Cambria" w:cs="Calibri"/>
          <w:color w:val="000000"/>
          <w:sz w:val="20"/>
          <w:szCs w:val="20"/>
          <w:lang w:val="es-ES"/>
        </w:rPr>
        <w:t>.</w:t>
      </w:r>
    </w:p>
    <w:p w:rsidR="000A63B1" w:rsidRPr="0010796C" w:rsidRDefault="000A63B1" w:rsidP="000A63B1">
      <w:pPr>
        <w:ind w:left="1350" w:right="1170" w:hanging="63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w:t>
      </w:r>
    </w:p>
    <w:p w:rsidR="000A63B1" w:rsidRPr="0010796C" w:rsidRDefault="000A63B1" w:rsidP="000A63B1">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En mi opinión, la recurrente no demuestra una construcción arbitraria del juicio de responsabilidad (…)</w:t>
      </w:r>
      <w:r w:rsidRPr="0010796C">
        <w:rPr>
          <w:rStyle w:val="FootnoteReference"/>
          <w:rFonts w:ascii="Cambria" w:hAnsi="Cambria" w:cs="Calibri"/>
          <w:color w:val="000000"/>
          <w:sz w:val="20"/>
          <w:szCs w:val="20"/>
          <w:lang w:val="es-ES"/>
        </w:rPr>
        <w:footnoteReference w:id="122"/>
      </w:r>
      <w:r w:rsidRPr="0010796C">
        <w:rPr>
          <w:rFonts w:ascii="Cambria" w:hAnsi="Cambria" w:cs="Calibri"/>
          <w:color w:val="000000"/>
          <w:sz w:val="20"/>
          <w:szCs w:val="20"/>
          <w:lang w:val="es-ES"/>
        </w:rPr>
        <w:t>.</w:t>
      </w:r>
    </w:p>
    <w:p w:rsidR="000A63B1" w:rsidRPr="0010796C" w:rsidRDefault="000A63B1" w:rsidP="000A63B1">
      <w:pPr>
        <w:ind w:left="720"/>
        <w:contextualSpacing/>
        <w:jc w:val="both"/>
        <w:rPr>
          <w:rFonts w:ascii="Cambria" w:hAnsi="Cambria" w:cs="Calibri"/>
          <w:color w:val="000000"/>
          <w:sz w:val="20"/>
          <w:szCs w:val="20"/>
          <w:lang w:val="es-ES"/>
        </w:rPr>
      </w:pPr>
    </w:p>
    <w:p w:rsidR="000A63B1" w:rsidRPr="0010796C" w:rsidRDefault="000A63B1" w:rsidP="000A63B1">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18 de diciembre de 2007 la Corte Suprema de Justicia de la Nación desestimó la queja interpuesta por la defensa</w:t>
      </w:r>
      <w:r w:rsidRPr="0010796C">
        <w:rPr>
          <w:rStyle w:val="FootnoteReference"/>
          <w:rFonts w:ascii="Cambria" w:hAnsi="Cambria" w:cs="Calibri"/>
          <w:color w:val="000000"/>
          <w:sz w:val="20"/>
          <w:szCs w:val="20"/>
          <w:lang w:val="es-ES"/>
        </w:rPr>
        <w:footnoteReference w:id="123"/>
      </w:r>
      <w:r w:rsidRPr="0010796C">
        <w:rPr>
          <w:rFonts w:ascii="Cambria" w:hAnsi="Cambria" w:cs="Calibri"/>
          <w:color w:val="000000"/>
          <w:sz w:val="20"/>
          <w:szCs w:val="20"/>
          <w:lang w:val="es-ES"/>
        </w:rPr>
        <w:t xml:space="preserve">. La Corte Suprema indicó lo siguiente: </w:t>
      </w:r>
    </w:p>
    <w:p w:rsidR="000A63B1" w:rsidRPr="0010796C" w:rsidRDefault="000A63B1" w:rsidP="000A63B1">
      <w:pPr>
        <w:contextualSpacing/>
        <w:jc w:val="both"/>
        <w:rPr>
          <w:rFonts w:ascii="Cambria" w:hAnsi="Cambria" w:cs="Calibri"/>
          <w:color w:val="000000"/>
          <w:sz w:val="20"/>
          <w:szCs w:val="20"/>
          <w:lang w:val="es-ES"/>
        </w:rPr>
      </w:pPr>
    </w:p>
    <w:p w:rsidR="000A63B1" w:rsidRPr="000422F6" w:rsidRDefault="000A63B1" w:rsidP="002B1FC6">
      <w:pPr>
        <w:ind w:left="720" w:right="720"/>
        <w:jc w:val="both"/>
        <w:rPr>
          <w:rFonts w:ascii="Cambria" w:hAnsi="Cambria" w:cs="Calibri"/>
          <w:color w:val="000000"/>
          <w:sz w:val="20"/>
          <w:szCs w:val="20"/>
          <w:lang w:val="pt-BR"/>
        </w:rPr>
      </w:pPr>
      <w:r w:rsidRPr="0010796C">
        <w:rPr>
          <w:rFonts w:ascii="Cambria" w:hAnsi="Cambria" w:cs="Calibri"/>
          <w:color w:val="000000"/>
          <w:sz w:val="20"/>
          <w:szCs w:val="20"/>
          <w:lang w:val="es-ES"/>
        </w:rPr>
        <w:t>Que el recurso extraordinario, cuya denegación origina esta queja, es inadmisible (art. 280 del código Procesal Civil y comercial de la Nación)</w:t>
      </w:r>
      <w:r w:rsidR="002B1FC6" w:rsidRPr="0010796C">
        <w:rPr>
          <w:rFonts w:ascii="Cambria" w:hAnsi="Cambria" w:cs="Calibri"/>
          <w:color w:val="000000"/>
          <w:sz w:val="20"/>
          <w:szCs w:val="20"/>
          <w:lang w:val="es-ES"/>
        </w:rPr>
        <w:t xml:space="preserve">. (…) </w:t>
      </w:r>
      <w:r w:rsidRPr="0010796C">
        <w:rPr>
          <w:rFonts w:ascii="Cambria" w:hAnsi="Cambria" w:cs="Calibri"/>
          <w:color w:val="000000"/>
          <w:sz w:val="20"/>
          <w:szCs w:val="20"/>
          <w:lang w:val="es-ES"/>
        </w:rPr>
        <w:t>Por ello, oído el señor Procurador Fiscal, se desestima la queja (…)</w:t>
      </w:r>
      <w:r w:rsidRPr="0010796C">
        <w:rPr>
          <w:rStyle w:val="FootnoteReference"/>
          <w:rFonts w:ascii="Cambria" w:hAnsi="Cambria" w:cs="Calibri"/>
          <w:color w:val="000000"/>
          <w:sz w:val="20"/>
          <w:szCs w:val="20"/>
          <w:lang w:val="es-ES"/>
        </w:rPr>
        <w:footnoteReference w:id="124"/>
      </w:r>
      <w:r w:rsidRPr="000422F6">
        <w:rPr>
          <w:rFonts w:ascii="Cambria" w:hAnsi="Cambria" w:cs="Calibri"/>
          <w:color w:val="000000"/>
          <w:sz w:val="20"/>
          <w:szCs w:val="20"/>
          <w:lang w:val="pt-BR"/>
        </w:rPr>
        <w:t xml:space="preserve">. </w:t>
      </w:r>
    </w:p>
    <w:p w:rsidR="00BC7FEF" w:rsidRPr="000422F6" w:rsidRDefault="00BC7FEF" w:rsidP="00BC7FEF">
      <w:pPr>
        <w:pStyle w:val="LightGrid-Accent31"/>
        <w:ind w:left="0"/>
        <w:contextualSpacing/>
        <w:jc w:val="both"/>
        <w:rPr>
          <w:rFonts w:ascii="Cambria" w:hAnsi="Cambria" w:cs="Calibri"/>
          <w:color w:val="000000"/>
          <w:sz w:val="20"/>
          <w:szCs w:val="20"/>
          <w:lang w:val="pt-BR"/>
        </w:rPr>
      </w:pPr>
    </w:p>
    <w:p w:rsidR="009B1548" w:rsidRPr="000422F6" w:rsidRDefault="00A26EAA" w:rsidP="00A26EAA">
      <w:pPr>
        <w:ind w:left="1440" w:hanging="720"/>
        <w:contextualSpacing/>
        <w:jc w:val="both"/>
        <w:rPr>
          <w:rFonts w:ascii="Cambria" w:hAnsi="Cambria" w:cs="Calibri"/>
          <w:b/>
          <w:sz w:val="20"/>
          <w:szCs w:val="20"/>
          <w:lang w:val="pt-BR"/>
        </w:rPr>
      </w:pPr>
      <w:r w:rsidRPr="000422F6">
        <w:rPr>
          <w:rFonts w:ascii="Cambria" w:hAnsi="Cambria"/>
          <w:b/>
          <w:sz w:val="20"/>
          <w:szCs w:val="20"/>
          <w:lang w:val="pt-BR"/>
        </w:rPr>
        <w:t xml:space="preserve">3. </w:t>
      </w:r>
      <w:r w:rsidRPr="000422F6">
        <w:rPr>
          <w:rFonts w:ascii="Cambria" w:hAnsi="Cambria"/>
          <w:b/>
          <w:sz w:val="20"/>
          <w:szCs w:val="20"/>
          <w:lang w:val="pt-BR"/>
        </w:rPr>
        <w:tab/>
      </w:r>
      <w:r w:rsidR="009B1548" w:rsidRPr="000422F6">
        <w:rPr>
          <w:rFonts w:ascii="Cambria" w:hAnsi="Cambria"/>
          <w:b/>
          <w:sz w:val="20"/>
          <w:szCs w:val="20"/>
          <w:lang w:val="pt-BR"/>
        </w:rPr>
        <w:t xml:space="preserve">Causa - </w:t>
      </w:r>
      <w:r w:rsidR="009B1548" w:rsidRPr="000422F6">
        <w:rPr>
          <w:rFonts w:ascii="Cambria" w:hAnsi="Cambria" w:cs="Calibri"/>
          <w:b/>
          <w:sz w:val="20"/>
          <w:szCs w:val="20"/>
          <w:lang w:val="pt-BR"/>
        </w:rPr>
        <w:t>Romero Feris, Raúl Rolando; Isetta, Jorge Eduardo; Magram, Manuel Alberto P/Peculado; Ortega, Lucía Placida P/Peculado y uso de documento falso – Capital</w:t>
      </w:r>
    </w:p>
    <w:p w:rsidR="009B1548" w:rsidRPr="000422F6" w:rsidRDefault="009B1548" w:rsidP="009B1548">
      <w:pPr>
        <w:ind w:left="720"/>
        <w:contextualSpacing/>
        <w:jc w:val="both"/>
        <w:rPr>
          <w:rFonts w:ascii="Cambria" w:hAnsi="Cambria" w:cs="Calibri"/>
          <w:color w:val="000000"/>
          <w:sz w:val="20"/>
          <w:szCs w:val="20"/>
          <w:lang w:val="pt-BR"/>
        </w:rPr>
      </w:pPr>
    </w:p>
    <w:p w:rsidR="009B1548" w:rsidRPr="0010796C" w:rsidRDefault="009B1548" w:rsidP="009B154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9 de marzo de 2001 la defensa planteó ante el Juez de Instrucción no. 1 de Corrientes la excepción de falta de jurisdicción y competencia</w:t>
      </w:r>
      <w:r w:rsidRPr="0010796C">
        <w:rPr>
          <w:rStyle w:val="FootnoteReference"/>
          <w:rFonts w:ascii="Cambria" w:hAnsi="Cambria" w:cs="Calibri"/>
          <w:color w:val="000000"/>
          <w:sz w:val="20"/>
          <w:szCs w:val="20"/>
          <w:lang w:val="es-ES"/>
        </w:rPr>
        <w:footnoteReference w:id="125"/>
      </w:r>
      <w:r w:rsidRPr="0010796C">
        <w:rPr>
          <w:rFonts w:ascii="Cambria" w:hAnsi="Cambria" w:cs="Calibri"/>
          <w:color w:val="000000"/>
          <w:sz w:val="20"/>
          <w:szCs w:val="20"/>
          <w:lang w:val="es-ES"/>
        </w:rPr>
        <w:t xml:space="preserve">. Se alegó que la selección del juez vulneró la garantía </w:t>
      </w:r>
      <w:proofErr w:type="gramStart"/>
      <w:r w:rsidRPr="0010796C">
        <w:rPr>
          <w:rFonts w:ascii="Cambria" w:hAnsi="Cambria" w:cs="Calibri"/>
          <w:color w:val="000000"/>
          <w:sz w:val="20"/>
          <w:szCs w:val="20"/>
          <w:lang w:val="es-ES"/>
        </w:rPr>
        <w:t>del juez natural prevista</w:t>
      </w:r>
      <w:proofErr w:type="gramEnd"/>
      <w:r w:rsidRPr="0010796C">
        <w:rPr>
          <w:rFonts w:ascii="Cambria" w:hAnsi="Cambria" w:cs="Calibri"/>
          <w:color w:val="000000"/>
          <w:sz w:val="20"/>
          <w:szCs w:val="20"/>
          <w:lang w:val="es-ES"/>
        </w:rPr>
        <w:t xml:space="preserve"> por la Constitución argentina</w:t>
      </w:r>
      <w:r w:rsidRPr="0010796C">
        <w:rPr>
          <w:rStyle w:val="FootnoteReference"/>
          <w:rFonts w:ascii="Cambria" w:hAnsi="Cambria" w:cs="Calibri"/>
          <w:color w:val="000000"/>
          <w:sz w:val="20"/>
          <w:szCs w:val="20"/>
          <w:lang w:val="es-ES"/>
        </w:rPr>
        <w:footnoteReference w:id="126"/>
      </w:r>
      <w:r w:rsidRPr="0010796C">
        <w:rPr>
          <w:rFonts w:ascii="Cambria" w:hAnsi="Cambria" w:cs="Calibri"/>
          <w:color w:val="000000"/>
          <w:sz w:val="20"/>
          <w:szCs w:val="20"/>
          <w:lang w:val="es-ES"/>
        </w:rPr>
        <w:t>.</w:t>
      </w:r>
      <w:r w:rsidR="00E20ED6" w:rsidRPr="0010796C">
        <w:rPr>
          <w:rFonts w:ascii="Cambria" w:hAnsi="Cambria" w:cs="Calibri"/>
          <w:color w:val="000000"/>
          <w:sz w:val="20"/>
          <w:szCs w:val="20"/>
          <w:lang w:val="es-ES"/>
        </w:rPr>
        <w:t xml:space="preserve"> La CIDH nota que en la documentación aportada por los peticionarios no se encuentra la decisión sobre dicho recurso.</w:t>
      </w:r>
      <w:r w:rsidRPr="0010796C">
        <w:rPr>
          <w:rFonts w:ascii="Cambria" w:hAnsi="Cambria" w:cs="Calibri"/>
          <w:color w:val="000000"/>
          <w:sz w:val="20"/>
          <w:szCs w:val="20"/>
          <w:lang w:val="es-ES"/>
        </w:rPr>
        <w:t xml:space="preserve">  </w:t>
      </w:r>
    </w:p>
    <w:p w:rsidR="009B1548" w:rsidRPr="0010796C" w:rsidRDefault="009B1548" w:rsidP="009B1548">
      <w:pPr>
        <w:contextualSpacing/>
        <w:jc w:val="both"/>
        <w:rPr>
          <w:rFonts w:ascii="Cambria" w:hAnsi="Cambria" w:cs="Calibri"/>
          <w:color w:val="000000"/>
          <w:sz w:val="20"/>
          <w:szCs w:val="20"/>
          <w:lang w:val="es-ES"/>
        </w:rPr>
      </w:pPr>
    </w:p>
    <w:p w:rsidR="009B1548" w:rsidRPr="0010796C" w:rsidRDefault="00AE2E86" w:rsidP="009B154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w:t>
      </w:r>
      <w:r w:rsidR="009B1548" w:rsidRPr="0010796C">
        <w:rPr>
          <w:rFonts w:ascii="Cambria" w:hAnsi="Cambria" w:cs="Calibri"/>
          <w:color w:val="000000"/>
          <w:sz w:val="20"/>
          <w:szCs w:val="20"/>
          <w:lang w:val="es-ES"/>
        </w:rPr>
        <w:t>6 de agosto de 2001 la defensa planteó recusación en contra de los integrantes de la Cámara de lo Criminal no. 2</w:t>
      </w:r>
      <w:r w:rsidR="009B1548" w:rsidRPr="0010796C">
        <w:rPr>
          <w:rStyle w:val="FootnoteReference"/>
          <w:rFonts w:ascii="Cambria" w:hAnsi="Cambria" w:cs="Calibri"/>
          <w:color w:val="000000"/>
          <w:sz w:val="20"/>
          <w:szCs w:val="20"/>
          <w:lang w:val="es-ES"/>
        </w:rPr>
        <w:footnoteReference w:id="127"/>
      </w:r>
      <w:r w:rsidR="009B1548" w:rsidRPr="0010796C">
        <w:rPr>
          <w:rFonts w:ascii="Cambria" w:hAnsi="Cambria" w:cs="Calibri"/>
          <w:color w:val="000000"/>
          <w:sz w:val="20"/>
          <w:szCs w:val="20"/>
          <w:lang w:val="es-ES"/>
        </w:rPr>
        <w:t>. La defensa señaló lo siguiente:</w:t>
      </w:r>
    </w:p>
    <w:p w:rsidR="009B1548" w:rsidRPr="0010796C" w:rsidRDefault="009B1548" w:rsidP="009B1548">
      <w:pPr>
        <w:ind w:left="720"/>
        <w:contextualSpacing/>
        <w:jc w:val="both"/>
        <w:rPr>
          <w:rFonts w:ascii="Cambria" w:hAnsi="Cambria" w:cs="Calibri"/>
          <w:color w:val="000000"/>
          <w:sz w:val="20"/>
          <w:szCs w:val="20"/>
          <w:lang w:val="es-ES"/>
        </w:rPr>
      </w:pPr>
    </w:p>
    <w:p w:rsidR="009B1548" w:rsidRPr="0010796C" w:rsidRDefault="00BD561A" w:rsidP="009B154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 los señores Jueces integrantes de este Excma. Cámara, han intervenido durante la instrucción como Tribunal de Alzada, conociendo en grado de apelación en la totalidad de los incidentes producidos durante dicha etapa en relación a las resoluciones adoptadas por el Instructor. Habiendo en tal carácter confirmado el Auto de Procesamiento dictado respecto </w:t>
      </w:r>
      <w:r w:rsidRPr="0010796C">
        <w:rPr>
          <w:rFonts w:ascii="Cambria" w:hAnsi="Cambria" w:cs="Calibri"/>
          <w:color w:val="000000"/>
          <w:sz w:val="20"/>
          <w:szCs w:val="20"/>
          <w:lang w:val="es-ES"/>
        </w:rPr>
        <w:lastRenderedPageBreak/>
        <w:t>de nuestro defendido, como así también confirmado el pertinente Auto de Elevación a Juicio</w:t>
      </w:r>
      <w:r w:rsidR="009B1548" w:rsidRPr="0010796C">
        <w:rPr>
          <w:rStyle w:val="FootnoteReference"/>
          <w:rFonts w:ascii="Cambria" w:hAnsi="Cambria" w:cs="Calibri"/>
          <w:color w:val="000000"/>
          <w:sz w:val="20"/>
          <w:szCs w:val="20"/>
          <w:lang w:val="es-ES"/>
        </w:rPr>
        <w:footnoteReference w:id="128"/>
      </w:r>
      <w:r w:rsidR="009B1548" w:rsidRPr="0010796C">
        <w:rPr>
          <w:rFonts w:ascii="Cambria" w:hAnsi="Cambria" w:cs="Calibri"/>
          <w:color w:val="000000"/>
          <w:sz w:val="20"/>
          <w:szCs w:val="20"/>
          <w:lang w:val="es-ES"/>
        </w:rPr>
        <w:t>.</w:t>
      </w:r>
    </w:p>
    <w:p w:rsidR="009B1548" w:rsidRPr="0010796C" w:rsidRDefault="009B1548" w:rsidP="009B1548">
      <w:pPr>
        <w:contextualSpacing/>
        <w:jc w:val="both"/>
        <w:rPr>
          <w:rFonts w:ascii="Cambria" w:hAnsi="Cambria" w:cs="Calibri"/>
          <w:color w:val="000000"/>
          <w:sz w:val="20"/>
          <w:szCs w:val="20"/>
          <w:lang w:val="es-ES"/>
        </w:rPr>
      </w:pPr>
    </w:p>
    <w:p w:rsidR="00E20ED6" w:rsidRPr="0010796C" w:rsidRDefault="009B1548" w:rsidP="009B154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17 de agosto de 2001 la Cámara en lo Criminal no. 2 declaró inadmisible la recusación formulada</w:t>
      </w:r>
      <w:r w:rsidRPr="0010796C">
        <w:rPr>
          <w:rStyle w:val="FootnoteReference"/>
          <w:rFonts w:ascii="Cambria" w:hAnsi="Cambria" w:cs="Calibri"/>
          <w:color w:val="000000"/>
          <w:sz w:val="20"/>
          <w:szCs w:val="20"/>
          <w:lang w:val="es-ES"/>
        </w:rPr>
        <w:footnoteReference w:id="129"/>
      </w:r>
      <w:r w:rsidRPr="0010796C">
        <w:rPr>
          <w:rFonts w:ascii="Cambria" w:hAnsi="Cambria" w:cs="Calibri"/>
          <w:color w:val="000000"/>
          <w:sz w:val="20"/>
          <w:szCs w:val="20"/>
          <w:lang w:val="es-ES"/>
        </w:rPr>
        <w:t xml:space="preserve">. La Cámara </w:t>
      </w:r>
      <w:r w:rsidR="00E20ED6" w:rsidRPr="0010796C">
        <w:rPr>
          <w:rFonts w:ascii="Cambria" w:hAnsi="Cambria" w:cs="Calibri"/>
          <w:color w:val="000000"/>
          <w:sz w:val="20"/>
          <w:szCs w:val="20"/>
          <w:lang w:val="es-ES"/>
        </w:rPr>
        <w:t>indicó lo siguiente:</w:t>
      </w:r>
    </w:p>
    <w:p w:rsidR="00E20ED6" w:rsidRPr="0010796C" w:rsidRDefault="00E20ED6" w:rsidP="00E20ED6">
      <w:pPr>
        <w:ind w:left="720"/>
        <w:contextualSpacing/>
        <w:jc w:val="both"/>
        <w:rPr>
          <w:rFonts w:ascii="Cambria" w:hAnsi="Cambria" w:cs="Calibri"/>
          <w:color w:val="000000"/>
          <w:sz w:val="20"/>
          <w:szCs w:val="20"/>
          <w:lang w:val="es-ES"/>
        </w:rPr>
      </w:pPr>
    </w:p>
    <w:p w:rsidR="00E20ED6" w:rsidRPr="0010796C" w:rsidRDefault="00E20ED6" w:rsidP="00A91E34">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planteo </w:t>
      </w:r>
      <w:proofErr w:type="spellStart"/>
      <w:r w:rsidRPr="0010796C">
        <w:rPr>
          <w:rFonts w:ascii="Cambria" w:hAnsi="Cambria" w:cs="Calibri"/>
          <w:color w:val="000000"/>
          <w:sz w:val="20"/>
          <w:szCs w:val="20"/>
          <w:lang w:val="es-ES"/>
        </w:rPr>
        <w:t>recusatorio</w:t>
      </w:r>
      <w:proofErr w:type="spellEnd"/>
      <w:r w:rsidRPr="0010796C">
        <w:rPr>
          <w:rFonts w:ascii="Cambria" w:hAnsi="Cambria" w:cs="Calibri"/>
          <w:color w:val="000000"/>
          <w:sz w:val="20"/>
          <w:szCs w:val="20"/>
          <w:lang w:val="es-ES"/>
        </w:rPr>
        <w:t xml:space="preserve"> debe ser declarado inadmisible. En el art. 59 del código ritual, que pauta la forma que debe exhibir el planteo </w:t>
      </w:r>
      <w:proofErr w:type="spellStart"/>
      <w:r w:rsidRPr="0010796C">
        <w:rPr>
          <w:rFonts w:ascii="Cambria" w:hAnsi="Cambria" w:cs="Calibri"/>
          <w:color w:val="000000"/>
          <w:sz w:val="20"/>
          <w:szCs w:val="20"/>
          <w:lang w:val="es-ES"/>
        </w:rPr>
        <w:t>recusatorio</w:t>
      </w:r>
      <w:proofErr w:type="spellEnd"/>
      <w:r w:rsidRPr="0010796C">
        <w:rPr>
          <w:rFonts w:ascii="Cambria" w:hAnsi="Cambria" w:cs="Calibri"/>
          <w:color w:val="000000"/>
          <w:sz w:val="20"/>
          <w:szCs w:val="20"/>
          <w:lang w:val="es-ES"/>
        </w:rPr>
        <w:t>, se establece que la parte que formula una recusación debe señalar, entre otros recaudos, los motivos en que se basa [art. 52 del mismo cuerpo legal].  La presentación de los recusantes (…) deviene inadmisible en razón de que su presentación no cumplimenta la normativa antes citada. Invocar, en efecto, un motivo que no se halla (sic) previsto como causa de recusación en nuestro ordenamiento ritual es inobservar la normativa procesal antes referida</w:t>
      </w:r>
      <w:r w:rsidRPr="0010796C">
        <w:rPr>
          <w:rStyle w:val="FootnoteReference"/>
          <w:rFonts w:ascii="Cambria" w:hAnsi="Cambria" w:cs="Calibri"/>
          <w:color w:val="000000"/>
          <w:sz w:val="20"/>
          <w:szCs w:val="20"/>
          <w:lang w:val="es-ES"/>
        </w:rPr>
        <w:footnoteReference w:id="130"/>
      </w:r>
      <w:r w:rsidRPr="0010796C">
        <w:rPr>
          <w:rFonts w:ascii="Cambria" w:hAnsi="Cambria" w:cs="Calibri"/>
          <w:color w:val="000000"/>
          <w:sz w:val="20"/>
          <w:szCs w:val="20"/>
          <w:lang w:val="es-ES"/>
        </w:rPr>
        <w:t xml:space="preserve">. </w:t>
      </w:r>
    </w:p>
    <w:p w:rsidR="009B1548" w:rsidRPr="0010796C" w:rsidRDefault="009B1548" w:rsidP="009B1548">
      <w:pPr>
        <w:contextualSpacing/>
        <w:jc w:val="both"/>
        <w:rPr>
          <w:rFonts w:ascii="Cambria" w:hAnsi="Cambria" w:cs="Calibri"/>
          <w:color w:val="000000"/>
          <w:sz w:val="20"/>
          <w:szCs w:val="20"/>
          <w:lang w:val="es-ES"/>
        </w:rPr>
      </w:pPr>
    </w:p>
    <w:p w:rsidR="009B1548" w:rsidRPr="0010796C" w:rsidRDefault="009B1548" w:rsidP="009B154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31 de octubre de 2001 la Cámara en lo Criminal no. 2 dictó la sentencia no. 116 en la que condenó al señor Romero a la pena de tres años y seis meses de prisión, y siete años de inhabilitación especial como autor responsable del delito de abuso de autoridad</w:t>
      </w:r>
      <w:r w:rsidRPr="0010796C">
        <w:rPr>
          <w:rStyle w:val="FootnoteReference"/>
          <w:rFonts w:ascii="Cambria" w:hAnsi="Cambria" w:cs="Calibri"/>
          <w:color w:val="000000"/>
          <w:sz w:val="20"/>
          <w:szCs w:val="20"/>
          <w:lang w:val="es-ES"/>
        </w:rPr>
        <w:footnoteReference w:id="131"/>
      </w:r>
      <w:r w:rsidRPr="0010796C">
        <w:rPr>
          <w:rFonts w:ascii="Cambria" w:hAnsi="Cambria" w:cs="Calibri"/>
          <w:color w:val="000000"/>
          <w:sz w:val="20"/>
          <w:szCs w:val="20"/>
          <w:lang w:val="es-ES"/>
        </w:rPr>
        <w:t>. La Cámara también dio lugar a la acción civil resarcitoria condenando al señor Romero, en forma solidaria, a pagar la suma de 222,500 pesos</w:t>
      </w:r>
      <w:r w:rsidRPr="0010796C">
        <w:rPr>
          <w:rStyle w:val="FootnoteReference"/>
          <w:rFonts w:ascii="Cambria" w:hAnsi="Cambria" w:cs="Calibri"/>
          <w:color w:val="000000"/>
          <w:sz w:val="20"/>
          <w:szCs w:val="20"/>
          <w:lang w:val="es-ES"/>
        </w:rPr>
        <w:footnoteReference w:id="132"/>
      </w:r>
      <w:r w:rsidRPr="0010796C">
        <w:rPr>
          <w:rFonts w:ascii="Cambria" w:hAnsi="Cambria" w:cs="Calibri"/>
          <w:color w:val="000000"/>
          <w:sz w:val="20"/>
          <w:szCs w:val="20"/>
          <w:lang w:val="es-ES"/>
        </w:rPr>
        <w:t xml:space="preserve">. </w:t>
      </w:r>
    </w:p>
    <w:p w:rsidR="009B1548" w:rsidRPr="0010796C" w:rsidRDefault="009B1548" w:rsidP="009B1548">
      <w:pPr>
        <w:contextualSpacing/>
        <w:jc w:val="both"/>
        <w:rPr>
          <w:rFonts w:ascii="Cambria" w:hAnsi="Cambria" w:cs="Calibri"/>
          <w:color w:val="000000"/>
          <w:sz w:val="20"/>
          <w:szCs w:val="20"/>
          <w:lang w:val="es-ES"/>
        </w:rPr>
      </w:pPr>
    </w:p>
    <w:p w:rsidR="009B1548" w:rsidRPr="0010796C" w:rsidRDefault="009B1548" w:rsidP="009B154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27 de noviembre de 2001 la defensa interpuso recurso de casación en contra de la sentencia dictada por la Cámara</w:t>
      </w:r>
      <w:r w:rsidRPr="0010796C">
        <w:rPr>
          <w:rStyle w:val="FootnoteReference"/>
          <w:rFonts w:ascii="Cambria" w:hAnsi="Cambria" w:cs="Calibri"/>
          <w:color w:val="000000"/>
          <w:sz w:val="20"/>
          <w:szCs w:val="20"/>
          <w:lang w:val="es-ES"/>
        </w:rPr>
        <w:footnoteReference w:id="133"/>
      </w:r>
      <w:r w:rsidRPr="0010796C">
        <w:rPr>
          <w:rFonts w:ascii="Cambria" w:hAnsi="Cambria" w:cs="Calibri"/>
          <w:color w:val="000000"/>
          <w:sz w:val="20"/>
          <w:szCs w:val="20"/>
          <w:lang w:val="es-ES"/>
        </w:rPr>
        <w:t>. Se solicitó que se elevaran las actuaciones al Superior Tribunal de Justicia Provincial</w:t>
      </w:r>
      <w:r w:rsidRPr="0010796C">
        <w:rPr>
          <w:rStyle w:val="FootnoteReference"/>
          <w:rFonts w:ascii="Cambria" w:hAnsi="Cambria" w:cs="Calibri"/>
          <w:color w:val="000000"/>
          <w:sz w:val="20"/>
          <w:szCs w:val="20"/>
          <w:lang w:val="es-ES"/>
        </w:rPr>
        <w:footnoteReference w:id="134"/>
      </w:r>
      <w:r w:rsidRPr="0010796C">
        <w:rPr>
          <w:rFonts w:ascii="Cambria" w:hAnsi="Cambria" w:cs="Calibri"/>
          <w:color w:val="000000"/>
          <w:sz w:val="20"/>
          <w:szCs w:val="20"/>
          <w:lang w:val="es-ES"/>
        </w:rPr>
        <w:t xml:space="preserve">. </w:t>
      </w:r>
      <w:r w:rsidR="00BD561A" w:rsidRPr="0010796C">
        <w:rPr>
          <w:rFonts w:ascii="Cambria" w:hAnsi="Cambria" w:cs="Calibri"/>
          <w:color w:val="000000"/>
          <w:sz w:val="20"/>
          <w:szCs w:val="20"/>
          <w:lang w:val="es-ES"/>
        </w:rPr>
        <w:t xml:space="preserve">La CIDH nota que en la documentación aportada por los peticionarios no se encuentra la decisión sobre dicho recurso.  </w:t>
      </w:r>
    </w:p>
    <w:p w:rsidR="009B1548" w:rsidRPr="0010796C" w:rsidRDefault="009B1548" w:rsidP="009B1548">
      <w:pPr>
        <w:ind w:left="720"/>
        <w:contextualSpacing/>
        <w:jc w:val="both"/>
        <w:rPr>
          <w:rFonts w:ascii="Cambria" w:hAnsi="Cambria" w:cs="Calibri"/>
          <w:color w:val="000000"/>
          <w:sz w:val="20"/>
          <w:szCs w:val="20"/>
          <w:lang w:val="es-ES"/>
        </w:rPr>
      </w:pPr>
    </w:p>
    <w:p w:rsidR="009B1548" w:rsidRPr="0010796C" w:rsidRDefault="00AE2E86" w:rsidP="009B154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w:t>
      </w:r>
      <w:r w:rsidR="009B1548" w:rsidRPr="0010796C">
        <w:rPr>
          <w:rFonts w:ascii="Cambria" w:hAnsi="Cambria" w:cs="Calibri"/>
          <w:color w:val="000000"/>
          <w:sz w:val="20"/>
          <w:szCs w:val="20"/>
          <w:lang w:val="es-ES"/>
        </w:rPr>
        <w:t>6 de febrero de 2002 la defensa planteó un recurso de nulidad absoluta ante el Superior Tribunal de Justicia de la Provincia de Corrientes</w:t>
      </w:r>
      <w:r w:rsidR="009B1548" w:rsidRPr="0010796C">
        <w:rPr>
          <w:rStyle w:val="FootnoteReference"/>
          <w:rFonts w:ascii="Cambria" w:hAnsi="Cambria" w:cs="Calibri"/>
          <w:color w:val="000000"/>
          <w:sz w:val="20"/>
          <w:szCs w:val="20"/>
          <w:lang w:val="es-ES"/>
        </w:rPr>
        <w:footnoteReference w:id="135"/>
      </w:r>
      <w:r w:rsidR="009B1548" w:rsidRPr="0010796C">
        <w:rPr>
          <w:rFonts w:ascii="Cambria" w:hAnsi="Cambria" w:cs="Calibri"/>
          <w:color w:val="000000"/>
          <w:sz w:val="20"/>
          <w:szCs w:val="20"/>
          <w:lang w:val="es-ES"/>
        </w:rPr>
        <w:t xml:space="preserve">. El argumento de la defensa se centró que la totalidad  de actos </w:t>
      </w:r>
      <w:proofErr w:type="spellStart"/>
      <w:r w:rsidR="009B1548" w:rsidRPr="0010796C">
        <w:rPr>
          <w:rFonts w:ascii="Cambria" w:hAnsi="Cambria" w:cs="Calibri"/>
          <w:color w:val="000000"/>
          <w:sz w:val="20"/>
          <w:szCs w:val="20"/>
          <w:lang w:val="es-ES"/>
        </w:rPr>
        <w:t>instructorios</w:t>
      </w:r>
      <w:proofErr w:type="spellEnd"/>
      <w:r w:rsidR="009B1548" w:rsidRPr="0010796C">
        <w:rPr>
          <w:rFonts w:ascii="Cambria" w:hAnsi="Cambria" w:cs="Calibri"/>
          <w:color w:val="000000"/>
          <w:sz w:val="20"/>
          <w:szCs w:val="20"/>
          <w:lang w:val="es-ES"/>
        </w:rPr>
        <w:t xml:space="preserve"> y medidas procesales llevadas a cabo en la causa por el entonces Juez de Instrucción no. 1 son ilícitos. Ello en tanto su nombramiento vulneró la garantía constitución del debido proceso y el principio del juez natural</w:t>
      </w:r>
      <w:r w:rsidR="009B1548" w:rsidRPr="0010796C">
        <w:rPr>
          <w:rStyle w:val="FootnoteReference"/>
          <w:rFonts w:ascii="Cambria" w:hAnsi="Cambria" w:cs="Calibri"/>
          <w:color w:val="000000"/>
          <w:sz w:val="20"/>
          <w:szCs w:val="20"/>
          <w:lang w:val="es-ES"/>
        </w:rPr>
        <w:footnoteReference w:id="136"/>
      </w:r>
      <w:r w:rsidR="009B1548" w:rsidRPr="0010796C">
        <w:rPr>
          <w:rFonts w:ascii="Cambria" w:hAnsi="Cambria" w:cs="Calibri"/>
          <w:color w:val="000000"/>
          <w:sz w:val="20"/>
          <w:szCs w:val="20"/>
          <w:lang w:val="es-ES"/>
        </w:rPr>
        <w:t>.</w:t>
      </w:r>
    </w:p>
    <w:p w:rsidR="009B1548" w:rsidRPr="0010796C" w:rsidRDefault="009B1548" w:rsidP="00BD561A">
      <w:pPr>
        <w:contextualSpacing/>
        <w:jc w:val="both"/>
        <w:rPr>
          <w:rFonts w:ascii="Cambria" w:hAnsi="Cambria" w:cs="Calibri"/>
          <w:color w:val="000000"/>
          <w:sz w:val="20"/>
          <w:szCs w:val="20"/>
          <w:lang w:val="es-ES"/>
        </w:rPr>
      </w:pPr>
    </w:p>
    <w:p w:rsidR="009B1548" w:rsidRPr="0010796C" w:rsidRDefault="009B1548" w:rsidP="009B154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12 de febrero de 2002 el Fiscal General de Corrientes presentó un escrito al Superior Tribunal de Justicia indicando lo siguiente: </w:t>
      </w:r>
    </w:p>
    <w:p w:rsidR="009B1548" w:rsidRPr="0010796C" w:rsidRDefault="009B1548" w:rsidP="009B1548">
      <w:pPr>
        <w:ind w:left="720"/>
        <w:contextualSpacing/>
        <w:jc w:val="both"/>
        <w:rPr>
          <w:rFonts w:ascii="Cambria" w:hAnsi="Cambria" w:cs="Calibri"/>
          <w:color w:val="000000"/>
          <w:sz w:val="20"/>
          <w:szCs w:val="20"/>
          <w:lang w:val="es-ES"/>
        </w:rPr>
      </w:pPr>
    </w:p>
    <w:p w:rsidR="009B1548" w:rsidRPr="0010796C" w:rsidRDefault="009B1548" w:rsidP="009B154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En opinión de esta Fiscalía General, la materia traída a estudio es una cuestión a tratar por medio de un incidente con tramite independiente del que se tienen el principal (confrontar art. 173, último párrafo, 483 del CPP) por lo que previamente y para mejor dictaminar, </w:t>
      </w:r>
      <w:r w:rsidRPr="0010796C">
        <w:rPr>
          <w:rFonts w:ascii="Cambria" w:hAnsi="Cambria" w:cs="Calibri"/>
          <w:color w:val="000000"/>
          <w:sz w:val="20"/>
          <w:szCs w:val="20"/>
          <w:lang w:val="es-ES"/>
        </w:rPr>
        <w:lastRenderedPageBreak/>
        <w:t xml:space="preserve">corresponde que V.E. ordene el desglose del planteo </w:t>
      </w:r>
      <w:proofErr w:type="spellStart"/>
      <w:r w:rsidRPr="0010796C">
        <w:rPr>
          <w:rFonts w:ascii="Cambria" w:hAnsi="Cambria" w:cs="Calibri"/>
          <w:color w:val="000000"/>
          <w:sz w:val="20"/>
          <w:szCs w:val="20"/>
          <w:lang w:val="es-ES"/>
        </w:rPr>
        <w:t>nulificante</w:t>
      </w:r>
      <w:proofErr w:type="spellEnd"/>
      <w:r w:rsidRPr="0010796C">
        <w:rPr>
          <w:rFonts w:ascii="Cambria" w:hAnsi="Cambria" w:cs="Calibri"/>
          <w:color w:val="000000"/>
          <w:sz w:val="20"/>
          <w:szCs w:val="20"/>
          <w:lang w:val="es-ES"/>
        </w:rPr>
        <w:t xml:space="preserve"> y forme incidente, debiendo continuar la causa principal según su estado</w:t>
      </w:r>
      <w:r w:rsidRPr="0010796C">
        <w:rPr>
          <w:rStyle w:val="FootnoteReference"/>
          <w:rFonts w:ascii="Cambria" w:hAnsi="Cambria" w:cs="Calibri"/>
          <w:color w:val="000000"/>
          <w:sz w:val="20"/>
          <w:szCs w:val="20"/>
          <w:lang w:val="es-ES"/>
        </w:rPr>
        <w:footnoteReference w:id="137"/>
      </w:r>
      <w:r w:rsidRPr="0010796C">
        <w:rPr>
          <w:rFonts w:ascii="Cambria" w:hAnsi="Cambria" w:cs="Calibri"/>
          <w:color w:val="000000"/>
          <w:sz w:val="20"/>
          <w:szCs w:val="20"/>
          <w:lang w:val="es-ES"/>
        </w:rPr>
        <w:t xml:space="preserve">. </w:t>
      </w:r>
    </w:p>
    <w:p w:rsidR="009B1548" w:rsidRPr="0010796C" w:rsidRDefault="009B1548" w:rsidP="00BD561A">
      <w:pPr>
        <w:contextualSpacing/>
        <w:jc w:val="both"/>
        <w:rPr>
          <w:rFonts w:ascii="Cambria" w:hAnsi="Cambria" w:cs="Calibri"/>
          <w:color w:val="000000"/>
          <w:sz w:val="20"/>
          <w:szCs w:val="20"/>
          <w:lang w:val="es-ES"/>
        </w:rPr>
      </w:pPr>
    </w:p>
    <w:p w:rsidR="009B1548" w:rsidRPr="0010796C" w:rsidRDefault="009B1548" w:rsidP="009B154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20 de febrero de 2003 la defensa planteó un recurso de nulidad absoluta ante el Superior Tribunal de Justicia de Corrientes</w:t>
      </w:r>
      <w:r w:rsidRPr="0010796C">
        <w:rPr>
          <w:rStyle w:val="FootnoteReference"/>
          <w:rFonts w:ascii="Cambria" w:hAnsi="Cambria" w:cs="Calibri"/>
          <w:color w:val="000000"/>
          <w:sz w:val="20"/>
          <w:szCs w:val="20"/>
          <w:lang w:val="es-ES"/>
        </w:rPr>
        <w:footnoteReference w:id="138"/>
      </w:r>
      <w:r w:rsidRPr="0010796C">
        <w:rPr>
          <w:rFonts w:ascii="Cambria" w:hAnsi="Cambria" w:cs="Calibri"/>
          <w:color w:val="000000"/>
          <w:sz w:val="20"/>
          <w:szCs w:val="20"/>
          <w:lang w:val="es-ES"/>
        </w:rPr>
        <w:t>. Se solicitó que se resuelva la integración del Superior Tribunal de Justicia con los subrogantes legales correspondientes</w:t>
      </w:r>
      <w:r w:rsidRPr="0010796C">
        <w:rPr>
          <w:rStyle w:val="FootnoteReference"/>
          <w:rFonts w:ascii="Cambria" w:hAnsi="Cambria" w:cs="Calibri"/>
          <w:color w:val="000000"/>
          <w:sz w:val="20"/>
          <w:szCs w:val="20"/>
          <w:lang w:val="es-ES"/>
        </w:rPr>
        <w:footnoteReference w:id="139"/>
      </w:r>
      <w:r w:rsidRPr="0010796C">
        <w:rPr>
          <w:rFonts w:ascii="Cambria" w:hAnsi="Cambria" w:cs="Calibri"/>
          <w:color w:val="000000"/>
          <w:sz w:val="20"/>
          <w:szCs w:val="20"/>
          <w:lang w:val="es-ES"/>
        </w:rPr>
        <w:t>. Ello debido a que jueces Elpidio Monzón y Clemente Maldonado no fueron nombrados de conformidad al procedimiento establecido por la Constitución de la Provincia. La defensa alegó lo siguiente:</w:t>
      </w:r>
    </w:p>
    <w:p w:rsidR="009B1548" w:rsidRPr="0010796C" w:rsidRDefault="009B1548" w:rsidP="009B1548">
      <w:pPr>
        <w:contextualSpacing/>
        <w:jc w:val="both"/>
        <w:rPr>
          <w:rFonts w:ascii="Cambria" w:hAnsi="Cambria" w:cs="Calibri"/>
          <w:color w:val="000000"/>
          <w:sz w:val="20"/>
          <w:szCs w:val="20"/>
          <w:lang w:val="es-ES"/>
        </w:rPr>
      </w:pPr>
    </w:p>
    <w:p w:rsidR="009B1548" w:rsidRPr="0010796C" w:rsidRDefault="009B1548" w:rsidP="009B154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Se genera así un vicio que se encuentra sancionado con una nulidad de carácter absoluta. El vicio dado a partir del nombramiento de los jueces indicados sin respetar el procedimiento establecido por la Constitución Provincial importa, a su vez, una lesión a la garantía del juez natural y al principio de la inviolabilidad de la defensa en juicio (…)</w:t>
      </w:r>
      <w:r w:rsidRPr="0010796C">
        <w:rPr>
          <w:rStyle w:val="FootnoteReference"/>
          <w:rFonts w:ascii="Cambria" w:hAnsi="Cambria" w:cs="Calibri"/>
          <w:color w:val="000000"/>
          <w:sz w:val="20"/>
          <w:szCs w:val="20"/>
          <w:lang w:val="es-ES"/>
        </w:rPr>
        <w:footnoteReference w:id="140"/>
      </w:r>
      <w:r w:rsidRPr="0010796C">
        <w:rPr>
          <w:rFonts w:ascii="Cambria" w:hAnsi="Cambria" w:cs="Calibri"/>
          <w:color w:val="000000"/>
          <w:sz w:val="20"/>
          <w:szCs w:val="20"/>
          <w:lang w:val="es-ES"/>
        </w:rPr>
        <w:t>.</w:t>
      </w:r>
    </w:p>
    <w:p w:rsidR="009B1548" w:rsidRPr="0010796C" w:rsidRDefault="009B1548" w:rsidP="009B1548">
      <w:pPr>
        <w:contextualSpacing/>
        <w:jc w:val="both"/>
        <w:rPr>
          <w:rFonts w:ascii="Cambria" w:hAnsi="Cambria" w:cs="Calibri"/>
          <w:color w:val="000000"/>
          <w:sz w:val="20"/>
          <w:szCs w:val="20"/>
          <w:lang w:val="es-ES"/>
        </w:rPr>
      </w:pPr>
    </w:p>
    <w:p w:rsidR="009B1548" w:rsidRPr="0010796C" w:rsidRDefault="009B1548" w:rsidP="009B154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10 de abril de 2003 el Superior Tribunal de Justicia dictó una resolución en donde dispuso que, debido a la </w:t>
      </w:r>
      <w:r w:rsidR="0010796C" w:rsidRPr="0010796C">
        <w:rPr>
          <w:rFonts w:ascii="Cambria" w:hAnsi="Cambria" w:cs="Calibri"/>
          <w:color w:val="000000"/>
          <w:sz w:val="20"/>
          <w:szCs w:val="20"/>
          <w:lang w:val="es-ES"/>
        </w:rPr>
        <w:t>inhibición</w:t>
      </w:r>
      <w:r w:rsidRPr="0010796C">
        <w:rPr>
          <w:rFonts w:ascii="Cambria" w:hAnsi="Cambria" w:cs="Calibri"/>
          <w:color w:val="000000"/>
          <w:sz w:val="20"/>
          <w:szCs w:val="20"/>
          <w:lang w:val="es-ES"/>
        </w:rPr>
        <w:t xml:space="preserve"> del juez Carlos José </w:t>
      </w:r>
      <w:proofErr w:type="spellStart"/>
      <w:r w:rsidRPr="0010796C">
        <w:rPr>
          <w:rFonts w:ascii="Cambria" w:hAnsi="Cambria" w:cs="Calibri"/>
          <w:color w:val="000000"/>
          <w:sz w:val="20"/>
          <w:szCs w:val="20"/>
          <w:lang w:val="es-ES"/>
        </w:rPr>
        <w:t>Simonelli</w:t>
      </w:r>
      <w:proofErr w:type="spellEnd"/>
      <w:r w:rsidRPr="0010796C">
        <w:rPr>
          <w:rFonts w:ascii="Cambria" w:hAnsi="Cambria" w:cs="Calibri"/>
          <w:color w:val="000000"/>
          <w:sz w:val="20"/>
          <w:szCs w:val="20"/>
          <w:lang w:val="es-ES"/>
        </w:rPr>
        <w:t>, se proceda al “sorteo para la integración del Superior Tribunal de Justicia”</w:t>
      </w:r>
      <w:r w:rsidRPr="0010796C">
        <w:rPr>
          <w:rStyle w:val="FootnoteReference"/>
          <w:rFonts w:ascii="Cambria" w:hAnsi="Cambria" w:cs="Calibri"/>
          <w:color w:val="000000"/>
          <w:sz w:val="20"/>
          <w:szCs w:val="20"/>
          <w:lang w:val="es-ES"/>
        </w:rPr>
        <w:footnoteReference w:id="141"/>
      </w:r>
      <w:r w:rsidRPr="0010796C">
        <w:rPr>
          <w:rFonts w:ascii="Cambria" w:hAnsi="Cambria" w:cs="Calibri"/>
          <w:color w:val="000000"/>
          <w:sz w:val="20"/>
          <w:szCs w:val="20"/>
          <w:lang w:val="es-ES"/>
        </w:rPr>
        <w:t xml:space="preserve">.  El 14 de abril de 2003 la defensa interpuso un recurso de aclaratoria en los siguientes términos: </w:t>
      </w:r>
    </w:p>
    <w:p w:rsidR="009B1548" w:rsidRPr="0010796C" w:rsidRDefault="009B1548" w:rsidP="009B1548">
      <w:pPr>
        <w:contextualSpacing/>
        <w:jc w:val="both"/>
        <w:rPr>
          <w:rFonts w:ascii="Cambria" w:hAnsi="Cambria" w:cs="Calibri"/>
          <w:color w:val="000000"/>
          <w:sz w:val="20"/>
          <w:szCs w:val="20"/>
          <w:lang w:val="es-ES"/>
        </w:rPr>
      </w:pPr>
    </w:p>
    <w:p w:rsidR="009B1548" w:rsidRPr="0010796C" w:rsidRDefault="009B1548" w:rsidP="009B154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 se dispuso la audiencia (...) a los fines de proceder al sorteo para la integración del Superior Tribunal, en atención a la inhibición formulada por el Dr. </w:t>
      </w:r>
      <w:proofErr w:type="spellStart"/>
      <w:r w:rsidRPr="0010796C">
        <w:rPr>
          <w:rFonts w:ascii="Cambria" w:hAnsi="Cambria" w:cs="Calibri"/>
          <w:color w:val="000000"/>
          <w:sz w:val="20"/>
          <w:szCs w:val="20"/>
          <w:lang w:val="es-ES"/>
        </w:rPr>
        <w:t>Liberato</w:t>
      </w:r>
      <w:proofErr w:type="spellEnd"/>
      <w:r w:rsidRPr="0010796C">
        <w:rPr>
          <w:rFonts w:ascii="Cambria" w:hAnsi="Cambria" w:cs="Calibri"/>
          <w:color w:val="000000"/>
          <w:sz w:val="20"/>
          <w:szCs w:val="20"/>
          <w:lang w:val="es-ES"/>
        </w:rPr>
        <w:t xml:space="preserve"> Carlos José </w:t>
      </w:r>
      <w:proofErr w:type="spellStart"/>
      <w:r w:rsidRPr="0010796C">
        <w:rPr>
          <w:rFonts w:ascii="Cambria" w:hAnsi="Cambria" w:cs="Calibri"/>
          <w:color w:val="000000"/>
          <w:sz w:val="20"/>
          <w:szCs w:val="20"/>
          <w:lang w:val="es-ES"/>
        </w:rPr>
        <w:t>Simonelli</w:t>
      </w:r>
      <w:proofErr w:type="spellEnd"/>
      <w:r w:rsidRPr="0010796C">
        <w:rPr>
          <w:rFonts w:ascii="Cambria" w:hAnsi="Cambria" w:cs="Calibri"/>
          <w:color w:val="000000"/>
          <w:sz w:val="20"/>
          <w:szCs w:val="20"/>
          <w:lang w:val="es-ES"/>
        </w:rPr>
        <w:t>. La resolución mencionada omite, integrar el Tribunal, también, en atención al pedido de apartamiento formulado, con relación a los Dres. Elpidio Monzón y Clemente Maldonado. Por ello solicito se aclare la resolución indicada señalándose que el sorteo previsto para el día 14 de abril de 2003 deberá serlo también en atención al pedido de apartamiento expresamente formulado por esta defensa al momento de deducir la instancia de nulidad por cuanto, obviamente, los Dres. Elpidio R. Monzón y Clemente Maldonado no pueden intervenir en el tratamiento y resolución del planteo en el que se cuestiona su intervención como Jueces en Comisión</w:t>
      </w:r>
      <w:r w:rsidRPr="0010796C">
        <w:rPr>
          <w:rStyle w:val="FootnoteReference"/>
          <w:rFonts w:ascii="Cambria" w:hAnsi="Cambria" w:cs="Calibri"/>
          <w:color w:val="000000"/>
          <w:sz w:val="20"/>
          <w:szCs w:val="20"/>
          <w:lang w:val="es-ES"/>
        </w:rPr>
        <w:footnoteReference w:id="142"/>
      </w:r>
      <w:r w:rsidRPr="0010796C">
        <w:rPr>
          <w:rFonts w:ascii="Cambria" w:hAnsi="Cambria" w:cs="Calibri"/>
          <w:color w:val="000000"/>
          <w:sz w:val="20"/>
          <w:szCs w:val="20"/>
          <w:lang w:val="es-ES"/>
        </w:rPr>
        <w:t xml:space="preserve">.  </w:t>
      </w:r>
    </w:p>
    <w:p w:rsidR="009B1548" w:rsidRPr="0010796C" w:rsidRDefault="009B1548" w:rsidP="009B1548">
      <w:pPr>
        <w:contextualSpacing/>
        <w:jc w:val="both"/>
        <w:rPr>
          <w:rFonts w:ascii="Cambria" w:hAnsi="Cambria" w:cs="Calibri"/>
          <w:color w:val="000000"/>
          <w:sz w:val="20"/>
          <w:szCs w:val="20"/>
          <w:lang w:val="es-ES"/>
        </w:rPr>
      </w:pPr>
    </w:p>
    <w:p w:rsidR="009B1548" w:rsidRPr="0010796C" w:rsidRDefault="009B1548" w:rsidP="009B154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28 de abril de 2003 el Fiscal General de Corrientes presentó un escrito al Superior Tribunal de Justicia Provincial indicando lo siguiente: </w:t>
      </w:r>
    </w:p>
    <w:p w:rsidR="009B1548" w:rsidRPr="0010796C" w:rsidRDefault="009B1548" w:rsidP="009B1548">
      <w:pPr>
        <w:contextualSpacing/>
        <w:jc w:val="both"/>
        <w:rPr>
          <w:rFonts w:ascii="Cambria" w:hAnsi="Cambria" w:cs="Calibri"/>
          <w:color w:val="000000"/>
          <w:sz w:val="20"/>
          <w:szCs w:val="20"/>
          <w:lang w:val="es-ES"/>
        </w:rPr>
      </w:pPr>
    </w:p>
    <w:p w:rsidR="009B1548" w:rsidRPr="0010796C" w:rsidRDefault="009B1548" w:rsidP="009B154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en lo que respecta a la integración del Tribunal para resolver las cuestiones planteadas  en los escritos (…), obviamente corresponde excluirse a quienes son ministros en comisión, ya que no pueden resolver la cuestión que previamente los involucraron y se les cuestiona. Que, en atención a ello deberá practicarse el sorteo de ley entre los subrogantes legales, excluyendo a los ministros designados en comisión</w:t>
      </w:r>
      <w:r w:rsidRPr="0010796C">
        <w:rPr>
          <w:rStyle w:val="FootnoteReference"/>
          <w:rFonts w:ascii="Cambria" w:hAnsi="Cambria" w:cs="Calibri"/>
          <w:color w:val="000000"/>
          <w:sz w:val="20"/>
          <w:szCs w:val="20"/>
          <w:lang w:val="es-ES"/>
        </w:rPr>
        <w:footnoteReference w:id="143"/>
      </w:r>
      <w:r w:rsidRPr="0010796C">
        <w:rPr>
          <w:rFonts w:ascii="Cambria" w:hAnsi="Cambria" w:cs="Calibri"/>
          <w:color w:val="000000"/>
          <w:sz w:val="20"/>
          <w:szCs w:val="20"/>
          <w:lang w:val="es-ES"/>
        </w:rPr>
        <w:t xml:space="preserve">. </w:t>
      </w:r>
    </w:p>
    <w:p w:rsidR="009B1548" w:rsidRPr="0010796C" w:rsidRDefault="009B1548" w:rsidP="009B1548">
      <w:pPr>
        <w:contextualSpacing/>
        <w:jc w:val="both"/>
        <w:rPr>
          <w:rFonts w:ascii="Cambria" w:hAnsi="Cambria" w:cs="Calibri"/>
          <w:color w:val="000000"/>
          <w:sz w:val="20"/>
          <w:szCs w:val="20"/>
          <w:lang w:val="es-ES"/>
        </w:rPr>
      </w:pPr>
    </w:p>
    <w:p w:rsidR="009B1548" w:rsidRPr="0010796C" w:rsidRDefault="009B1548" w:rsidP="009B154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18 de junio de 2003 el Superior Tribunal de Justicia de Corrientes dictó una resolución en la que rechazó los recursos de nulidad y </w:t>
      </w:r>
      <w:r w:rsidR="0010796C" w:rsidRPr="0010796C">
        <w:rPr>
          <w:rFonts w:ascii="Cambria" w:hAnsi="Cambria" w:cs="Calibri"/>
          <w:color w:val="000000"/>
          <w:sz w:val="20"/>
          <w:szCs w:val="20"/>
          <w:lang w:val="es-ES"/>
        </w:rPr>
        <w:t>acla</w:t>
      </w:r>
      <w:r w:rsidR="0010796C">
        <w:rPr>
          <w:rFonts w:ascii="Cambria" w:hAnsi="Cambria" w:cs="Calibri"/>
          <w:color w:val="000000"/>
          <w:sz w:val="20"/>
          <w:szCs w:val="20"/>
          <w:lang w:val="es-ES"/>
        </w:rPr>
        <w:t>ra</w:t>
      </w:r>
      <w:r w:rsidR="0010796C" w:rsidRPr="0010796C">
        <w:rPr>
          <w:rFonts w:ascii="Cambria" w:hAnsi="Cambria" w:cs="Calibri"/>
          <w:color w:val="000000"/>
          <w:sz w:val="20"/>
          <w:szCs w:val="20"/>
          <w:lang w:val="es-ES"/>
        </w:rPr>
        <w:t>toria</w:t>
      </w:r>
      <w:r w:rsidRPr="0010796C">
        <w:rPr>
          <w:rFonts w:ascii="Cambria" w:hAnsi="Cambria" w:cs="Calibri"/>
          <w:color w:val="000000"/>
          <w:sz w:val="20"/>
          <w:szCs w:val="20"/>
          <w:lang w:val="es-ES"/>
        </w:rPr>
        <w:t xml:space="preserve"> de la defensa</w:t>
      </w:r>
      <w:r w:rsidRPr="0010796C">
        <w:rPr>
          <w:rStyle w:val="FootnoteReference"/>
          <w:rFonts w:ascii="Cambria" w:hAnsi="Cambria" w:cs="Calibri"/>
          <w:color w:val="000000"/>
          <w:sz w:val="20"/>
          <w:szCs w:val="20"/>
          <w:lang w:val="es-ES"/>
        </w:rPr>
        <w:footnoteReference w:id="144"/>
      </w:r>
      <w:r w:rsidRPr="0010796C">
        <w:rPr>
          <w:rFonts w:ascii="Cambria" w:hAnsi="Cambria" w:cs="Calibri"/>
          <w:color w:val="000000"/>
          <w:sz w:val="20"/>
          <w:szCs w:val="20"/>
          <w:lang w:val="es-ES"/>
        </w:rPr>
        <w:t>. El Superior Tribunal argumentó lo siguiente:</w:t>
      </w:r>
    </w:p>
    <w:p w:rsidR="009B1548" w:rsidRPr="0010796C" w:rsidRDefault="009B1548" w:rsidP="009B1548">
      <w:pPr>
        <w:ind w:left="990" w:right="450"/>
        <w:contextualSpacing/>
        <w:jc w:val="both"/>
        <w:rPr>
          <w:rFonts w:ascii="Cambria" w:hAnsi="Cambria" w:cs="Calibri"/>
          <w:color w:val="000000"/>
          <w:sz w:val="20"/>
          <w:szCs w:val="20"/>
          <w:lang w:val="es-ES"/>
        </w:rPr>
      </w:pPr>
    </w:p>
    <w:p w:rsidR="009B1548" w:rsidRPr="0010796C" w:rsidRDefault="009B1548" w:rsidP="009B154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Como ya se ha manifestado al resolver planteos similares en otras causas, resulta indiscutible que el Poder Ejecutivo de la Provincia ha formalizado la designación de tres de los ministros del Superior Tribunal durante el receso del Senado, cubriendo los cargos respectivos con magistrados en comisión  y por tiempo limitado (Const. Prov. art. 142). Tal decisión constituye un acto político privativo de ese poder del Estado y por tanto ajeno a la competencia de los órganos judiciales (…)</w:t>
      </w:r>
      <w:r w:rsidRPr="0010796C">
        <w:rPr>
          <w:rStyle w:val="FootnoteReference"/>
          <w:rFonts w:ascii="Cambria" w:hAnsi="Cambria" w:cs="Calibri"/>
          <w:color w:val="000000"/>
          <w:sz w:val="20"/>
          <w:szCs w:val="20"/>
          <w:lang w:val="es-ES"/>
        </w:rPr>
        <w:footnoteReference w:id="145"/>
      </w:r>
      <w:r w:rsidRPr="0010796C">
        <w:rPr>
          <w:rFonts w:ascii="Cambria" w:hAnsi="Cambria" w:cs="Calibri"/>
          <w:color w:val="000000"/>
          <w:sz w:val="20"/>
          <w:szCs w:val="20"/>
          <w:lang w:val="es-ES"/>
        </w:rPr>
        <w:t>.</w:t>
      </w:r>
    </w:p>
    <w:p w:rsidR="009B1548" w:rsidRPr="0010796C" w:rsidRDefault="009B1548" w:rsidP="009B1548">
      <w:pPr>
        <w:ind w:left="720"/>
        <w:contextualSpacing/>
        <w:jc w:val="both"/>
        <w:rPr>
          <w:rFonts w:ascii="Cambria" w:hAnsi="Cambria" w:cs="Calibri"/>
          <w:color w:val="000000"/>
          <w:sz w:val="20"/>
          <w:szCs w:val="20"/>
          <w:lang w:val="es-ES"/>
        </w:rPr>
      </w:pPr>
    </w:p>
    <w:p w:rsidR="009B1548" w:rsidRPr="0010796C" w:rsidRDefault="00AE2E86" w:rsidP="009B154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w:t>
      </w:r>
      <w:r w:rsidR="009B1548" w:rsidRPr="0010796C">
        <w:rPr>
          <w:rFonts w:ascii="Cambria" w:hAnsi="Cambria" w:cs="Calibri"/>
          <w:color w:val="000000"/>
          <w:sz w:val="20"/>
          <w:szCs w:val="20"/>
          <w:lang w:val="es-ES"/>
        </w:rPr>
        <w:t>3 de julio de 2003  la defensa interpuso un recurso extraordinario federal ante el Superior Tribunal de Justicia</w:t>
      </w:r>
      <w:r w:rsidR="009B1548" w:rsidRPr="0010796C">
        <w:rPr>
          <w:rStyle w:val="FootnoteReference"/>
          <w:rFonts w:ascii="Cambria" w:hAnsi="Cambria" w:cs="Calibri"/>
          <w:color w:val="000000"/>
          <w:sz w:val="20"/>
          <w:szCs w:val="20"/>
          <w:lang w:val="es-ES"/>
        </w:rPr>
        <w:footnoteReference w:id="146"/>
      </w:r>
      <w:r w:rsidR="009B1548" w:rsidRPr="0010796C">
        <w:rPr>
          <w:rFonts w:ascii="Cambria" w:hAnsi="Cambria" w:cs="Calibri"/>
          <w:color w:val="000000"/>
          <w:sz w:val="20"/>
          <w:szCs w:val="20"/>
          <w:lang w:val="es-ES"/>
        </w:rPr>
        <w:t>. La defensa manifestó lo siguiente:</w:t>
      </w:r>
    </w:p>
    <w:p w:rsidR="009B1548" w:rsidRPr="0010796C" w:rsidRDefault="009B1548" w:rsidP="009B1548">
      <w:pPr>
        <w:ind w:left="720"/>
        <w:contextualSpacing/>
        <w:jc w:val="both"/>
        <w:rPr>
          <w:rFonts w:ascii="Cambria" w:hAnsi="Cambria" w:cs="Calibri"/>
          <w:color w:val="000000"/>
          <w:sz w:val="20"/>
          <w:szCs w:val="20"/>
          <w:lang w:val="es-ES"/>
        </w:rPr>
      </w:pPr>
    </w:p>
    <w:p w:rsidR="009B1548" w:rsidRPr="0010796C" w:rsidRDefault="009B1548" w:rsidP="009B154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Corresponde señalar, en primer lugar, la evidente </w:t>
      </w:r>
      <w:proofErr w:type="spellStart"/>
      <w:r w:rsidRPr="0010796C">
        <w:rPr>
          <w:rFonts w:ascii="Cambria" w:hAnsi="Cambria" w:cs="Calibri"/>
          <w:color w:val="000000"/>
          <w:sz w:val="20"/>
          <w:szCs w:val="20"/>
          <w:lang w:val="es-ES"/>
        </w:rPr>
        <w:t>autocontradicci</w:t>
      </w:r>
      <w:r w:rsidR="00B31EE1" w:rsidRPr="0010796C">
        <w:rPr>
          <w:rFonts w:ascii="Cambria" w:hAnsi="Cambria" w:cs="Calibri"/>
          <w:color w:val="000000"/>
          <w:sz w:val="20"/>
          <w:szCs w:val="20"/>
          <w:lang w:val="es-ES"/>
        </w:rPr>
        <w:t>ó</w:t>
      </w:r>
      <w:r w:rsidRPr="0010796C">
        <w:rPr>
          <w:rFonts w:ascii="Cambria" w:hAnsi="Cambria" w:cs="Calibri"/>
          <w:color w:val="000000"/>
          <w:sz w:val="20"/>
          <w:szCs w:val="20"/>
          <w:lang w:val="es-ES"/>
        </w:rPr>
        <w:t>n</w:t>
      </w:r>
      <w:proofErr w:type="spellEnd"/>
      <w:r w:rsidRPr="0010796C">
        <w:rPr>
          <w:rFonts w:ascii="Cambria" w:hAnsi="Cambria" w:cs="Calibri"/>
          <w:color w:val="000000"/>
          <w:sz w:val="20"/>
          <w:szCs w:val="20"/>
          <w:lang w:val="es-ES"/>
        </w:rPr>
        <w:t xml:space="preserve"> que incurre el Superior Tribunal ya que, por un lado, sostuvo que la cuestión planteada por esta defensa es de naturaleza “política no justiciable” y, por el otro, ingresó al fondo del asunto rechazando dicho planteo. (…) en igual sentido, la decisión impugnada, en tanto considera como  “no justiciable” el planteo de esta defensa vinculado con la transgresión de la garantía constitucional de defensa en juicio, configura una violación a los artículos 8 y 25 de la Convención Americana Sobre Derechos Humanos</w:t>
      </w:r>
      <w:r w:rsidRPr="0010796C">
        <w:rPr>
          <w:rStyle w:val="FootnoteReference"/>
          <w:rFonts w:ascii="Cambria" w:hAnsi="Cambria" w:cs="Calibri"/>
          <w:color w:val="000000"/>
          <w:sz w:val="20"/>
          <w:szCs w:val="20"/>
          <w:lang w:val="es-ES"/>
        </w:rPr>
        <w:footnoteReference w:id="147"/>
      </w:r>
      <w:r w:rsidRPr="0010796C">
        <w:rPr>
          <w:rFonts w:ascii="Cambria" w:hAnsi="Cambria" w:cs="Calibri"/>
          <w:color w:val="000000"/>
          <w:sz w:val="20"/>
          <w:szCs w:val="20"/>
          <w:lang w:val="es-ES"/>
        </w:rPr>
        <w:t xml:space="preserve">. </w:t>
      </w:r>
    </w:p>
    <w:p w:rsidR="009B1548" w:rsidRPr="0010796C" w:rsidRDefault="009B1548" w:rsidP="009B1548">
      <w:pPr>
        <w:contextualSpacing/>
        <w:jc w:val="both"/>
        <w:rPr>
          <w:rFonts w:ascii="Cambria" w:hAnsi="Cambria" w:cs="Calibri"/>
          <w:color w:val="000000"/>
          <w:sz w:val="20"/>
          <w:szCs w:val="20"/>
          <w:lang w:val="es-ES"/>
        </w:rPr>
      </w:pPr>
    </w:p>
    <w:p w:rsidR="009B1548" w:rsidRPr="0010796C" w:rsidRDefault="009B1548" w:rsidP="009B154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16 de marzo de 2004 el Superior Tribunal de Justicia de Corrientes declaró abstracta la cuestión relativa a la integración del Superior Tribunal de Justicia</w:t>
      </w:r>
      <w:r w:rsidRPr="0010796C">
        <w:rPr>
          <w:rStyle w:val="FootnoteReference"/>
          <w:rFonts w:ascii="Cambria" w:hAnsi="Cambria" w:cs="Calibri"/>
          <w:color w:val="000000"/>
          <w:sz w:val="20"/>
          <w:szCs w:val="20"/>
          <w:lang w:val="es-ES"/>
        </w:rPr>
        <w:footnoteReference w:id="148"/>
      </w:r>
      <w:r w:rsidRPr="0010796C">
        <w:rPr>
          <w:rFonts w:ascii="Cambria" w:hAnsi="Cambria" w:cs="Calibri"/>
          <w:color w:val="000000"/>
          <w:sz w:val="20"/>
          <w:szCs w:val="20"/>
          <w:lang w:val="es-ES"/>
        </w:rPr>
        <w:t>. El Superior Tribunal indicó lo siguiente:</w:t>
      </w:r>
    </w:p>
    <w:p w:rsidR="009B1548" w:rsidRPr="0010796C" w:rsidRDefault="009B1548" w:rsidP="009B1548">
      <w:pPr>
        <w:contextualSpacing/>
        <w:jc w:val="both"/>
        <w:rPr>
          <w:rFonts w:ascii="Cambria" w:hAnsi="Cambria" w:cs="Calibri"/>
          <w:color w:val="000000"/>
          <w:sz w:val="20"/>
          <w:szCs w:val="20"/>
          <w:lang w:val="es-ES"/>
        </w:rPr>
      </w:pPr>
    </w:p>
    <w:p w:rsidR="009B1548" w:rsidRPr="0010796C" w:rsidRDefault="00337918" w:rsidP="000F4849">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[De acuerdo al] Decreto No. 10.641 del 20 de noviembre del 2003</w:t>
      </w:r>
      <w:r w:rsidR="00081910" w:rsidRPr="0010796C">
        <w:rPr>
          <w:rFonts w:ascii="Cambria" w:hAnsi="Cambria" w:cs="Calibri"/>
          <w:color w:val="000000"/>
          <w:sz w:val="20"/>
          <w:szCs w:val="20"/>
          <w:lang w:val="es-ES"/>
        </w:rPr>
        <w:t>, en virtud del cual se hace sa</w:t>
      </w:r>
      <w:r w:rsidRPr="0010796C">
        <w:rPr>
          <w:rFonts w:ascii="Cambria" w:hAnsi="Cambria" w:cs="Calibri"/>
          <w:color w:val="000000"/>
          <w:sz w:val="20"/>
          <w:szCs w:val="20"/>
          <w:lang w:val="es-ES"/>
        </w:rPr>
        <w:t>ber una nueva integración de éste Tribunal</w:t>
      </w:r>
      <w:r w:rsidR="000F4849" w:rsidRPr="0010796C">
        <w:rPr>
          <w:rFonts w:ascii="Cambria" w:hAnsi="Cambria" w:cs="Calibri"/>
          <w:color w:val="000000"/>
          <w:sz w:val="20"/>
          <w:szCs w:val="20"/>
          <w:lang w:val="es-ES"/>
        </w:rPr>
        <w:t>, encontrándose firme al estar debidamente notificado (…).</w:t>
      </w:r>
      <w:r w:rsidRPr="0010796C">
        <w:rPr>
          <w:rFonts w:ascii="Cambria" w:hAnsi="Cambria" w:cs="Calibri"/>
          <w:color w:val="000000"/>
          <w:sz w:val="20"/>
          <w:szCs w:val="20"/>
          <w:lang w:val="es-ES"/>
        </w:rPr>
        <w:t xml:space="preserve"> </w:t>
      </w:r>
      <w:r w:rsidR="000F4849" w:rsidRPr="0010796C">
        <w:rPr>
          <w:rFonts w:ascii="Cambria" w:hAnsi="Cambria" w:cs="Calibri"/>
          <w:color w:val="000000"/>
          <w:sz w:val="20"/>
          <w:szCs w:val="20"/>
          <w:lang w:val="es-ES"/>
        </w:rPr>
        <w:t>[E]</w:t>
      </w:r>
      <w:r w:rsidR="009B1548" w:rsidRPr="0010796C">
        <w:rPr>
          <w:rFonts w:ascii="Cambria" w:hAnsi="Cambria" w:cs="Calibri"/>
          <w:color w:val="000000"/>
          <w:sz w:val="20"/>
          <w:szCs w:val="20"/>
          <w:lang w:val="es-ES"/>
        </w:rPr>
        <w:t xml:space="preserve">l Ministerio Público dictamina que el recurso extraordinario debe ser rechazado, al entender que se ha tornado abstracta la cuestión. </w:t>
      </w:r>
      <w:r w:rsidR="000F4849" w:rsidRPr="0010796C">
        <w:rPr>
          <w:rFonts w:ascii="Cambria" w:hAnsi="Cambria" w:cs="Calibri"/>
          <w:color w:val="000000"/>
          <w:sz w:val="20"/>
          <w:szCs w:val="20"/>
          <w:lang w:val="es-ES"/>
        </w:rPr>
        <w:t xml:space="preserve">(…) </w:t>
      </w:r>
      <w:r w:rsidR="009B1548" w:rsidRPr="0010796C">
        <w:rPr>
          <w:rFonts w:ascii="Cambria" w:hAnsi="Cambria" w:cs="Calibri"/>
          <w:color w:val="000000"/>
          <w:sz w:val="20"/>
          <w:szCs w:val="20"/>
          <w:lang w:val="es-ES"/>
        </w:rPr>
        <w:t>Que efectivamente la pretensión del recurrente se tornó abstracta, correspondiendo la declaración en tal sentido y continuar el trámite de la instancia recursiva</w:t>
      </w:r>
      <w:r w:rsidR="009B1548" w:rsidRPr="0010796C">
        <w:rPr>
          <w:rStyle w:val="FootnoteReference"/>
          <w:rFonts w:ascii="Cambria" w:hAnsi="Cambria" w:cs="Calibri"/>
          <w:color w:val="000000"/>
          <w:sz w:val="20"/>
          <w:szCs w:val="20"/>
          <w:lang w:val="es-ES"/>
        </w:rPr>
        <w:footnoteReference w:id="149"/>
      </w:r>
      <w:r w:rsidR="009B1548" w:rsidRPr="0010796C">
        <w:rPr>
          <w:rFonts w:ascii="Cambria" w:hAnsi="Cambria" w:cs="Calibri"/>
          <w:color w:val="000000"/>
          <w:sz w:val="20"/>
          <w:szCs w:val="20"/>
          <w:lang w:val="es-ES"/>
        </w:rPr>
        <w:t xml:space="preserve">. </w:t>
      </w:r>
    </w:p>
    <w:p w:rsidR="009B1548" w:rsidRPr="0010796C" w:rsidRDefault="009B1548" w:rsidP="009B1548">
      <w:pPr>
        <w:ind w:left="720"/>
        <w:contextualSpacing/>
        <w:jc w:val="both"/>
        <w:rPr>
          <w:rFonts w:ascii="Cambria" w:hAnsi="Cambria" w:cs="Calibri"/>
          <w:color w:val="000000"/>
          <w:sz w:val="20"/>
          <w:szCs w:val="20"/>
          <w:lang w:val="es-ES"/>
        </w:rPr>
      </w:pPr>
    </w:p>
    <w:p w:rsidR="009B1548" w:rsidRPr="0010796C" w:rsidRDefault="00AE2E86" w:rsidP="009B154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w:t>
      </w:r>
      <w:r w:rsidR="009B1548" w:rsidRPr="0010796C">
        <w:rPr>
          <w:rFonts w:ascii="Cambria" w:hAnsi="Cambria" w:cs="Calibri"/>
          <w:color w:val="000000"/>
          <w:sz w:val="20"/>
          <w:szCs w:val="20"/>
          <w:lang w:val="es-ES"/>
        </w:rPr>
        <w:t>9 de septiembre de 2004 la defensa interpuso un recurso extraordinario federal solicitando que se elevaran los autos a la Corte Suprema de Justicia de la Nación</w:t>
      </w:r>
      <w:r w:rsidR="009B1548" w:rsidRPr="0010796C">
        <w:rPr>
          <w:rStyle w:val="FootnoteReference"/>
          <w:rFonts w:ascii="Cambria" w:hAnsi="Cambria" w:cs="Calibri"/>
          <w:color w:val="000000"/>
          <w:sz w:val="20"/>
          <w:szCs w:val="20"/>
          <w:lang w:val="es-ES"/>
        </w:rPr>
        <w:footnoteReference w:id="150"/>
      </w:r>
      <w:r w:rsidR="009B1548" w:rsidRPr="0010796C">
        <w:rPr>
          <w:rFonts w:ascii="Cambria" w:hAnsi="Cambria" w:cs="Calibri"/>
          <w:color w:val="000000"/>
          <w:sz w:val="20"/>
          <w:szCs w:val="20"/>
          <w:lang w:val="es-ES"/>
        </w:rPr>
        <w:t xml:space="preserve">. </w:t>
      </w:r>
    </w:p>
    <w:p w:rsidR="009B1548" w:rsidRPr="0010796C" w:rsidRDefault="009B1548" w:rsidP="009B1548">
      <w:pPr>
        <w:ind w:left="720"/>
        <w:contextualSpacing/>
        <w:jc w:val="both"/>
        <w:rPr>
          <w:rFonts w:ascii="Cambria" w:hAnsi="Cambria" w:cs="Calibri"/>
          <w:color w:val="000000"/>
          <w:sz w:val="20"/>
          <w:szCs w:val="20"/>
          <w:lang w:val="es-ES"/>
        </w:rPr>
      </w:pPr>
    </w:p>
    <w:p w:rsidR="009B1548" w:rsidRPr="0010796C" w:rsidRDefault="009B1548" w:rsidP="009B154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31 de mayo de 2005 el Superior Tribunal de Justicia de Corrientes declaró inadmisible dicho recurso</w:t>
      </w:r>
      <w:r w:rsidRPr="0010796C">
        <w:rPr>
          <w:rStyle w:val="FootnoteReference"/>
          <w:rFonts w:ascii="Cambria" w:hAnsi="Cambria" w:cs="Calibri"/>
          <w:color w:val="000000"/>
          <w:sz w:val="20"/>
          <w:szCs w:val="20"/>
          <w:lang w:val="es-ES"/>
        </w:rPr>
        <w:footnoteReference w:id="151"/>
      </w:r>
      <w:r w:rsidRPr="0010796C">
        <w:rPr>
          <w:rFonts w:ascii="Cambria" w:hAnsi="Cambria" w:cs="Calibri"/>
          <w:color w:val="000000"/>
          <w:sz w:val="20"/>
          <w:szCs w:val="20"/>
          <w:lang w:val="es-ES"/>
        </w:rPr>
        <w:t xml:space="preserve">. El Superior Tribunal sostuvo lo siguiente: </w:t>
      </w:r>
    </w:p>
    <w:p w:rsidR="009B1548" w:rsidRPr="0010796C" w:rsidRDefault="009B1548" w:rsidP="009B1548">
      <w:pPr>
        <w:contextualSpacing/>
        <w:jc w:val="both"/>
        <w:rPr>
          <w:rFonts w:ascii="Cambria" w:hAnsi="Cambria" w:cs="Calibri"/>
          <w:color w:val="000000"/>
          <w:sz w:val="20"/>
          <w:szCs w:val="20"/>
          <w:lang w:val="es-ES"/>
        </w:rPr>
      </w:pPr>
    </w:p>
    <w:p w:rsidR="009B1548" w:rsidRPr="0010796C" w:rsidRDefault="009B1548" w:rsidP="009B154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se desprende que la defensa cuestiona la decisión de este Tribunal, en base a razones de hecho, prueba y derecho común ajenas al remedio federal. La viabilidad de la apelación extraordinaria, supone como vía de gravamen por arbitrariedad, la demostración de un apartamiento inequívoco de la solución prevista por la ley o una absoluta falta de fundamentación (…). En consecuencia, al no demostrarse los vicios referidos, el medio impugnativo resulta inepto para habilitar la apertura de la instancia pretendida, en la cual se discute y decide en definitiva cuestiones federales no vertidas ni advertidas en dicha presentación</w:t>
      </w:r>
      <w:r w:rsidRPr="0010796C">
        <w:rPr>
          <w:rStyle w:val="FootnoteReference"/>
          <w:rFonts w:ascii="Cambria" w:hAnsi="Cambria" w:cs="Calibri"/>
          <w:color w:val="000000"/>
          <w:sz w:val="20"/>
          <w:szCs w:val="20"/>
          <w:lang w:val="es-ES"/>
        </w:rPr>
        <w:footnoteReference w:id="152"/>
      </w:r>
      <w:r w:rsidRPr="0010796C">
        <w:rPr>
          <w:rFonts w:ascii="Cambria" w:hAnsi="Cambria" w:cs="Calibri"/>
          <w:color w:val="000000"/>
          <w:sz w:val="20"/>
          <w:szCs w:val="20"/>
          <w:lang w:val="es-ES"/>
        </w:rPr>
        <w:t xml:space="preserve">.  </w:t>
      </w:r>
    </w:p>
    <w:p w:rsidR="009B1548" w:rsidRPr="0010796C" w:rsidRDefault="009B1548" w:rsidP="009B1548">
      <w:pPr>
        <w:contextualSpacing/>
        <w:jc w:val="both"/>
        <w:rPr>
          <w:rFonts w:ascii="Cambria" w:hAnsi="Cambria" w:cs="Calibri"/>
          <w:color w:val="000000"/>
          <w:sz w:val="20"/>
          <w:szCs w:val="20"/>
          <w:lang w:val="es-ES"/>
        </w:rPr>
      </w:pPr>
    </w:p>
    <w:p w:rsidR="009B1548" w:rsidRPr="0010796C" w:rsidRDefault="009B1548" w:rsidP="009B1548">
      <w:pPr>
        <w:numPr>
          <w:ilvl w:val="0"/>
          <w:numId w:val="55"/>
        </w:numPr>
        <w:contextualSpacing/>
        <w:jc w:val="both"/>
        <w:rPr>
          <w:lang w:val="es-ES"/>
        </w:rPr>
      </w:pPr>
      <w:r w:rsidRPr="0010796C">
        <w:rPr>
          <w:rFonts w:ascii="Cambria" w:hAnsi="Cambria" w:cs="Calibri"/>
          <w:color w:val="000000"/>
          <w:sz w:val="20"/>
          <w:szCs w:val="20"/>
          <w:lang w:val="es-ES"/>
        </w:rPr>
        <w:t>El 14 de junio de 2005 la defensa interpuso un recurso de queja ante la Corte Suprema de Justicia de la Nación en contra de la resolución de 31 de mayo de 2005.</w:t>
      </w:r>
      <w:r w:rsidRPr="0010796C">
        <w:rPr>
          <w:rStyle w:val="FootnoteReference"/>
          <w:rFonts w:ascii="Cambria" w:hAnsi="Cambria" w:cs="Calibri"/>
          <w:color w:val="000000"/>
          <w:sz w:val="20"/>
          <w:szCs w:val="20"/>
          <w:lang w:val="es-ES"/>
        </w:rPr>
        <w:footnoteReference w:id="153"/>
      </w:r>
      <w:r w:rsidRPr="0010796C">
        <w:rPr>
          <w:rFonts w:ascii="Cambria" w:hAnsi="Cambria" w:cs="Calibri"/>
          <w:color w:val="000000"/>
          <w:sz w:val="20"/>
          <w:szCs w:val="20"/>
          <w:lang w:val="es-ES"/>
        </w:rPr>
        <w:t>. Al día siguiente la defensa también planteó un recurso extraordinario federal formulando recusación en contra de los magistrados de dicho tribunal señalando lo siguiente:</w:t>
      </w:r>
    </w:p>
    <w:p w:rsidR="009B1548" w:rsidRPr="0010796C" w:rsidRDefault="009B1548" w:rsidP="009B1548">
      <w:pPr>
        <w:contextualSpacing/>
        <w:jc w:val="both"/>
        <w:rPr>
          <w:rFonts w:ascii="Cambria" w:hAnsi="Cambria" w:cs="Calibri"/>
          <w:color w:val="000000"/>
          <w:sz w:val="20"/>
          <w:szCs w:val="20"/>
          <w:lang w:val="es-ES"/>
        </w:rPr>
      </w:pPr>
    </w:p>
    <w:p w:rsidR="009B1548" w:rsidRPr="0010796C" w:rsidRDefault="009B1548" w:rsidP="009B154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fundamento central de esta recusación, es que los Sres. Ministros ya mencionados, concurrieron al dictado del Resolutorio </w:t>
      </w:r>
      <w:r w:rsidR="00DA33F2" w:rsidRPr="0010796C">
        <w:rPr>
          <w:rFonts w:ascii="Cambria" w:hAnsi="Cambria" w:cs="Calibri"/>
          <w:color w:val="000000"/>
          <w:sz w:val="20"/>
          <w:szCs w:val="20"/>
          <w:lang w:val="es-ES"/>
        </w:rPr>
        <w:t xml:space="preserve">[de 31 de mayo de 2015] </w:t>
      </w:r>
      <w:r w:rsidRPr="0010796C">
        <w:rPr>
          <w:rFonts w:ascii="Cambria" w:hAnsi="Cambria" w:cs="Calibri"/>
          <w:color w:val="000000"/>
          <w:sz w:val="20"/>
          <w:szCs w:val="20"/>
          <w:lang w:val="es-ES"/>
        </w:rPr>
        <w:t>cuyo punto 2) aquí se cuestiona; y obviamente que, para garantizar el derecho a la doble instancia que le asiste a esta parte, no pueden ser esos mismo jueces quienes entiendan y juzguen acerca de la procedencia o no del remedio extraordinario federal que aquí se intenta; reitero, ello como una cuestión básica y elemental para garantizar el derecho a la doble instancia que debe observarse dentro del marco procesal penal como “garantía mínima” para “toda persona inculpada de delito” (…)</w:t>
      </w:r>
      <w:r w:rsidRPr="0010796C">
        <w:rPr>
          <w:rStyle w:val="FootnoteReference"/>
          <w:rFonts w:ascii="Cambria" w:hAnsi="Cambria" w:cs="Calibri"/>
          <w:color w:val="000000"/>
          <w:sz w:val="20"/>
          <w:szCs w:val="20"/>
          <w:lang w:val="es-ES"/>
        </w:rPr>
        <w:footnoteReference w:id="154"/>
      </w:r>
      <w:r w:rsidRPr="0010796C">
        <w:rPr>
          <w:rFonts w:ascii="Cambria" w:hAnsi="Cambria" w:cs="Calibri"/>
          <w:color w:val="000000"/>
          <w:sz w:val="20"/>
          <w:szCs w:val="20"/>
          <w:lang w:val="es-ES"/>
        </w:rPr>
        <w:t xml:space="preserve">. </w:t>
      </w:r>
    </w:p>
    <w:p w:rsidR="009B1548" w:rsidRPr="0010796C" w:rsidRDefault="009B1548" w:rsidP="009B1548">
      <w:pPr>
        <w:contextualSpacing/>
        <w:jc w:val="both"/>
        <w:rPr>
          <w:rFonts w:ascii="Cambria" w:hAnsi="Cambria" w:cs="Calibri"/>
          <w:color w:val="000000"/>
          <w:sz w:val="20"/>
          <w:szCs w:val="20"/>
          <w:lang w:val="es-ES"/>
        </w:rPr>
      </w:pPr>
    </w:p>
    <w:p w:rsidR="009B1548" w:rsidRPr="0010796C" w:rsidRDefault="009B1548" w:rsidP="009B154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14 de septiembre de 2005 el Superior Tribunal de Justicia de Corrientes rechazó el recurso considerando lo siguiente:</w:t>
      </w:r>
    </w:p>
    <w:p w:rsidR="009B1548" w:rsidRPr="0010796C" w:rsidRDefault="009B1548" w:rsidP="009B1548">
      <w:p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 </w:t>
      </w:r>
      <w:r w:rsidRPr="0010796C">
        <w:rPr>
          <w:rFonts w:ascii="Cambria" w:hAnsi="Cambria" w:cs="Calibri"/>
          <w:color w:val="000000"/>
          <w:sz w:val="20"/>
          <w:szCs w:val="20"/>
          <w:lang w:val="es-ES"/>
        </w:rPr>
        <w:tab/>
      </w:r>
    </w:p>
    <w:p w:rsidR="009B1548" w:rsidRPr="0010796C" w:rsidRDefault="009B1548" w:rsidP="009B154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Que ante este Tribunal, se pretende articular instancia recursiva y en atención a que la causa se encuentra con sentencia firme, corresponde el rechazo “in </w:t>
      </w:r>
      <w:proofErr w:type="spellStart"/>
      <w:r w:rsidRPr="0010796C">
        <w:rPr>
          <w:rFonts w:ascii="Cambria" w:hAnsi="Cambria" w:cs="Calibri"/>
          <w:color w:val="000000"/>
          <w:sz w:val="20"/>
          <w:szCs w:val="20"/>
          <w:lang w:val="es-ES"/>
        </w:rPr>
        <w:t>limine</w:t>
      </w:r>
      <w:proofErr w:type="spellEnd"/>
      <w:r w:rsidRPr="0010796C">
        <w:rPr>
          <w:rFonts w:ascii="Cambria" w:hAnsi="Cambria" w:cs="Calibri"/>
          <w:color w:val="000000"/>
          <w:sz w:val="20"/>
          <w:szCs w:val="20"/>
          <w:lang w:val="es-ES"/>
        </w:rPr>
        <w:t>”, por haber finalizado el proceso y remitir al tribunal de Ejecución. (…) “por uno de los caracteres específicos del recurso de casación, resulta admisible contra resoluciones definitivas de los tribunales de mérito. Los casos contemplados en el artículo se refieren concretamente a situaciones previas a la sentencia, pero que por el contenido de la resolución tiene efecto procesal de la cosa juzgada (...)”</w:t>
      </w:r>
      <w:r w:rsidRPr="0010796C">
        <w:rPr>
          <w:rStyle w:val="FootnoteReference"/>
          <w:rFonts w:ascii="Cambria" w:hAnsi="Cambria" w:cs="Calibri"/>
          <w:color w:val="000000"/>
          <w:sz w:val="20"/>
          <w:szCs w:val="20"/>
          <w:lang w:val="es-ES"/>
        </w:rPr>
        <w:footnoteReference w:id="155"/>
      </w:r>
      <w:r w:rsidRPr="0010796C">
        <w:rPr>
          <w:rFonts w:ascii="Cambria" w:hAnsi="Cambria" w:cs="Calibri"/>
          <w:color w:val="000000"/>
          <w:sz w:val="20"/>
          <w:szCs w:val="20"/>
          <w:lang w:val="es-ES"/>
        </w:rPr>
        <w:t>.</w:t>
      </w:r>
    </w:p>
    <w:p w:rsidR="009B1548" w:rsidRPr="0010796C" w:rsidRDefault="009B1548" w:rsidP="009B1548">
      <w:pPr>
        <w:ind w:right="108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ab/>
        <w:t>(...)</w:t>
      </w:r>
    </w:p>
    <w:p w:rsidR="009B1548" w:rsidRPr="0010796C" w:rsidRDefault="009B1548" w:rsidP="009B154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La recusación de los jueces de la Corte Suprema, formulada después del dictado de un pronunciamiento, es inadmisible y debe ser rechazada de plano; de lo contrario la recusación inoportuna y no basada en ninguna de las causales legales –ya que no lo es la doctrina sentada en la sentencia- se constituiría en un inadmisible subterfugio para lograr que </w:t>
      </w:r>
      <w:r w:rsidRPr="0010796C">
        <w:rPr>
          <w:rFonts w:ascii="Cambria" w:hAnsi="Cambria" w:cs="Calibri"/>
          <w:color w:val="000000"/>
          <w:sz w:val="20"/>
          <w:szCs w:val="20"/>
          <w:lang w:val="es-ES"/>
        </w:rPr>
        <w:lastRenderedPageBreak/>
        <w:t>cualquier decisión regularmente dictada fuese revertida por jueces subrogante, eliminando así el carácter supremo que la constitución atribuye al tribunal.”</w:t>
      </w:r>
      <w:r w:rsidRPr="0010796C">
        <w:rPr>
          <w:rStyle w:val="FootnoteReference"/>
          <w:rFonts w:ascii="Cambria" w:hAnsi="Cambria" w:cs="Calibri"/>
          <w:color w:val="000000"/>
          <w:sz w:val="20"/>
          <w:szCs w:val="20"/>
          <w:lang w:val="es-ES"/>
        </w:rPr>
        <w:footnoteReference w:id="156"/>
      </w:r>
      <w:r w:rsidRPr="0010796C">
        <w:rPr>
          <w:rFonts w:ascii="Cambria" w:hAnsi="Cambria" w:cs="Calibri"/>
          <w:color w:val="000000"/>
          <w:sz w:val="20"/>
          <w:szCs w:val="20"/>
          <w:lang w:val="es-ES"/>
        </w:rPr>
        <w:t xml:space="preserve"> </w:t>
      </w:r>
    </w:p>
    <w:p w:rsidR="009B1548" w:rsidRPr="0010796C" w:rsidRDefault="009B1548" w:rsidP="009B1548">
      <w:pPr>
        <w:ind w:left="720"/>
        <w:contextualSpacing/>
        <w:jc w:val="both"/>
        <w:rPr>
          <w:rFonts w:ascii="Cambria" w:hAnsi="Cambria" w:cs="Calibri"/>
          <w:color w:val="000000"/>
          <w:sz w:val="20"/>
          <w:szCs w:val="20"/>
          <w:lang w:val="es-ES"/>
        </w:rPr>
      </w:pPr>
    </w:p>
    <w:p w:rsidR="009B1548" w:rsidRPr="0010796C" w:rsidRDefault="009B1548" w:rsidP="009B154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23 de septiembre de 2005 la defensa interpuso un recurso de queja ante la Corte Suprema de Justicia de la Nación</w:t>
      </w:r>
      <w:r w:rsidRPr="0010796C">
        <w:rPr>
          <w:rStyle w:val="FootnoteReference"/>
          <w:rFonts w:ascii="Cambria" w:hAnsi="Cambria" w:cs="Calibri"/>
          <w:color w:val="000000"/>
          <w:sz w:val="20"/>
          <w:szCs w:val="20"/>
          <w:lang w:val="es-ES"/>
        </w:rPr>
        <w:footnoteReference w:id="157"/>
      </w:r>
      <w:r w:rsidRPr="0010796C">
        <w:rPr>
          <w:rFonts w:ascii="Cambria" w:hAnsi="Cambria" w:cs="Calibri"/>
          <w:color w:val="000000"/>
          <w:sz w:val="20"/>
          <w:szCs w:val="20"/>
          <w:lang w:val="es-ES"/>
        </w:rPr>
        <w:t>. La defensa alegó lo siguiente:</w:t>
      </w:r>
    </w:p>
    <w:p w:rsidR="009B1548" w:rsidRPr="0010796C" w:rsidRDefault="009B1548" w:rsidP="009B1548">
      <w:pPr>
        <w:ind w:left="1440"/>
        <w:contextualSpacing/>
        <w:jc w:val="both"/>
        <w:rPr>
          <w:rFonts w:ascii="Cambria" w:hAnsi="Cambria" w:cs="Calibri"/>
          <w:color w:val="000000"/>
          <w:sz w:val="20"/>
          <w:szCs w:val="20"/>
          <w:lang w:val="es-ES"/>
        </w:rPr>
      </w:pPr>
    </w:p>
    <w:p w:rsidR="009B1548" w:rsidRPr="0010796C" w:rsidRDefault="009B1548" w:rsidP="009B154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En primer lugar, resulta obvio que el pronunciamiento recurrido es nulo en razón de que el Superior Tribunal, al dictar el mismo, se encontraba integrado en violación de las disposiciones legales que regulan su funcionamiento. La Ley Orgánica de la Administración de Justicia de la Provincia de Corrientes (…) establece lo siguiente: “Art. 20.- El Superior Tribunal de Justicia estará integrado por cinco Ministros. Para constituir Tribunal bastará la presencia de tres de sus miembros pero solo podrá tomar decisiones por mayoría absoluta de todos los Ministros (…) Sin embargo el fallo del Superior Tribunal (…) que se impugna a través del presente recurso extraordinario, fue suscripto tan solo por tres de los cinco magistrados que componen dicho tribunal, sin que se dispusiera la integración del mismo en la forma dispuesta por el Decreto Ley 26/00</w:t>
      </w:r>
      <w:r w:rsidRPr="0010796C">
        <w:rPr>
          <w:rStyle w:val="FootnoteReference"/>
          <w:rFonts w:ascii="Cambria" w:hAnsi="Cambria" w:cs="Calibri"/>
          <w:color w:val="000000"/>
          <w:sz w:val="20"/>
          <w:szCs w:val="20"/>
          <w:lang w:val="es-ES"/>
        </w:rPr>
        <w:footnoteReference w:id="158"/>
      </w:r>
      <w:r w:rsidRPr="0010796C">
        <w:rPr>
          <w:rFonts w:ascii="Cambria" w:hAnsi="Cambria" w:cs="Calibri"/>
          <w:color w:val="000000"/>
          <w:sz w:val="20"/>
          <w:szCs w:val="20"/>
          <w:lang w:val="es-ES"/>
        </w:rPr>
        <w:t xml:space="preserve">. </w:t>
      </w:r>
    </w:p>
    <w:p w:rsidR="009B1548" w:rsidRPr="0010796C" w:rsidRDefault="009B1548" w:rsidP="009B1548">
      <w:pPr>
        <w:contextualSpacing/>
        <w:jc w:val="both"/>
        <w:rPr>
          <w:rFonts w:ascii="Cambria" w:hAnsi="Cambria" w:cs="Calibri"/>
          <w:color w:val="000000"/>
          <w:sz w:val="20"/>
          <w:szCs w:val="20"/>
          <w:lang w:val="es-ES"/>
        </w:rPr>
      </w:pPr>
    </w:p>
    <w:p w:rsidR="009B1548" w:rsidRPr="0010796C" w:rsidRDefault="009B1548" w:rsidP="009B154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30 de noviembre de 2006 el Procurador General de la Nación emitió un dictamen dirigido a la Suprema Corte de Justicia de Argentina donde concluyó que no existe una crítica real al fundamento del fallo recurrido por la defensa</w:t>
      </w:r>
      <w:r w:rsidRPr="0010796C">
        <w:rPr>
          <w:rStyle w:val="FootnoteReference"/>
          <w:rFonts w:ascii="Cambria" w:hAnsi="Cambria" w:cs="Calibri"/>
          <w:color w:val="000000"/>
          <w:sz w:val="20"/>
          <w:szCs w:val="20"/>
          <w:lang w:val="es-ES"/>
        </w:rPr>
        <w:footnoteReference w:id="159"/>
      </w:r>
      <w:r w:rsidRPr="0010796C">
        <w:rPr>
          <w:rFonts w:ascii="Cambria" w:hAnsi="Cambria" w:cs="Calibri"/>
          <w:color w:val="000000"/>
          <w:sz w:val="20"/>
          <w:szCs w:val="20"/>
          <w:lang w:val="es-ES"/>
        </w:rPr>
        <w:t>. El Procurador alegó lo siguiente:</w:t>
      </w:r>
    </w:p>
    <w:p w:rsidR="009B1548" w:rsidRPr="0010796C" w:rsidRDefault="009B1548" w:rsidP="009B1548">
      <w:pPr>
        <w:ind w:left="720"/>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 </w:t>
      </w:r>
    </w:p>
    <w:p w:rsidR="009B1548" w:rsidRPr="0010796C" w:rsidRDefault="009B1548" w:rsidP="009B154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El recurso extraordinario (…) no cumple con el requisito de adecuada fundamentación (...). Sin perjuicio de ello, el quejoso no alcanza a demostrar cuál es el perjuicio que le ha provocado la invocada violación de las reglas de integración del tribunal. En efecto, el fallo del Superior Tribunal que rechazó el recurso de casación fue firmado por los tres miembros del tribunal, sin disidencias. El recurrente no atina a demostrar qué habría cambiado si el tribunal hubiera sido integrado por cinco miembros, tal como él sostiene que legalmente debería haber sucedido. (…) Al momento de expresar agravios en su recurso extraordinario, tampoco se advierte, en realidad, una argumentación, por parte de la defensa, que sea una crítica razonada del pronunciamiento impugnado. (…)</w:t>
      </w:r>
      <w:r w:rsidRPr="0010796C">
        <w:rPr>
          <w:rStyle w:val="FootnoteReference"/>
          <w:rFonts w:ascii="Cambria" w:hAnsi="Cambria" w:cs="Calibri"/>
          <w:color w:val="000000"/>
          <w:sz w:val="20"/>
          <w:szCs w:val="20"/>
          <w:lang w:val="es-ES"/>
        </w:rPr>
        <w:footnoteReference w:id="160"/>
      </w:r>
    </w:p>
    <w:p w:rsidR="009B1548" w:rsidRPr="0010796C" w:rsidRDefault="009B1548" w:rsidP="009B1548">
      <w:pPr>
        <w:contextualSpacing/>
        <w:jc w:val="both"/>
        <w:rPr>
          <w:rFonts w:ascii="Cambria" w:hAnsi="Cambria" w:cs="Calibri"/>
          <w:color w:val="000000"/>
          <w:sz w:val="20"/>
          <w:szCs w:val="20"/>
          <w:lang w:val="es-ES"/>
        </w:rPr>
      </w:pPr>
    </w:p>
    <w:p w:rsidR="009B1548" w:rsidRPr="0010796C" w:rsidRDefault="009B1548" w:rsidP="009B154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20 de marzo de 2007 la Corte Suprema de Justicia de la Nación emitió una sentencia en la cual declaró inadmisible el recurso extraordinario presentado por la defensa</w:t>
      </w:r>
      <w:r w:rsidRPr="0010796C">
        <w:rPr>
          <w:rStyle w:val="FootnoteReference"/>
          <w:rFonts w:ascii="Cambria" w:hAnsi="Cambria" w:cs="Calibri"/>
          <w:color w:val="000000"/>
          <w:sz w:val="20"/>
          <w:szCs w:val="20"/>
          <w:lang w:val="es-ES"/>
        </w:rPr>
        <w:footnoteReference w:id="161"/>
      </w:r>
      <w:r w:rsidRPr="0010796C">
        <w:rPr>
          <w:rFonts w:ascii="Cambria" w:hAnsi="Cambria" w:cs="Calibri"/>
          <w:color w:val="000000"/>
          <w:sz w:val="20"/>
          <w:szCs w:val="20"/>
          <w:lang w:val="es-ES"/>
        </w:rPr>
        <w:t>. La Corte Suprema manifestó lo siguiente:</w:t>
      </w:r>
    </w:p>
    <w:p w:rsidR="009B1548" w:rsidRPr="0010796C" w:rsidRDefault="009B1548" w:rsidP="009B1548">
      <w:pPr>
        <w:contextualSpacing/>
        <w:jc w:val="both"/>
        <w:rPr>
          <w:rFonts w:ascii="Cambria" w:hAnsi="Cambria" w:cs="Calibri"/>
          <w:color w:val="000000"/>
          <w:sz w:val="20"/>
          <w:szCs w:val="20"/>
          <w:lang w:val="es-ES"/>
        </w:rPr>
      </w:pPr>
    </w:p>
    <w:p w:rsidR="009B1548" w:rsidRPr="0010796C" w:rsidRDefault="009B1548" w:rsidP="0016765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Que el recurso extraordinario, cuya denegación dio origen a la presente queja, es inadmisible (art. 280 del Código Procesal Civil y Comercial de la Nación). (…)</w:t>
      </w:r>
      <w:r w:rsidR="00167658" w:rsidRPr="0010796C">
        <w:rPr>
          <w:rFonts w:ascii="Cambria" w:hAnsi="Cambria" w:cs="Calibri"/>
          <w:color w:val="000000"/>
          <w:sz w:val="20"/>
          <w:szCs w:val="20"/>
          <w:lang w:val="es-ES"/>
        </w:rPr>
        <w:t xml:space="preserve"> </w:t>
      </w:r>
      <w:r w:rsidRPr="0010796C">
        <w:rPr>
          <w:rFonts w:ascii="Cambria" w:hAnsi="Cambria" w:cs="Calibri"/>
          <w:color w:val="000000"/>
          <w:sz w:val="20"/>
          <w:szCs w:val="20"/>
          <w:lang w:val="es-ES"/>
        </w:rPr>
        <w:t>Por ello, se la desestima. (...) Hágase saber y archívese</w:t>
      </w:r>
      <w:r w:rsidRPr="0010796C">
        <w:rPr>
          <w:rStyle w:val="FootnoteReference"/>
          <w:rFonts w:ascii="Cambria" w:hAnsi="Cambria" w:cs="Calibri"/>
          <w:color w:val="000000"/>
          <w:sz w:val="20"/>
          <w:szCs w:val="20"/>
          <w:lang w:val="es-ES"/>
        </w:rPr>
        <w:footnoteReference w:id="162"/>
      </w:r>
      <w:r w:rsidRPr="0010796C">
        <w:rPr>
          <w:rFonts w:ascii="Cambria" w:hAnsi="Cambria" w:cs="Calibri"/>
          <w:color w:val="000000"/>
          <w:sz w:val="20"/>
          <w:szCs w:val="20"/>
          <w:lang w:val="es-ES"/>
        </w:rPr>
        <w:t xml:space="preserve">. </w:t>
      </w:r>
    </w:p>
    <w:p w:rsidR="00636CFB" w:rsidRPr="0010796C" w:rsidRDefault="00636CFB" w:rsidP="00636CFB">
      <w:pPr>
        <w:pStyle w:val="LightGrid-Accent31"/>
        <w:ind w:left="0"/>
        <w:contextualSpacing/>
        <w:jc w:val="both"/>
        <w:rPr>
          <w:rFonts w:ascii="Cambria" w:hAnsi="Cambria" w:cs="Calibri"/>
          <w:color w:val="000000"/>
          <w:sz w:val="20"/>
          <w:szCs w:val="20"/>
          <w:lang w:val="es-ES"/>
        </w:rPr>
      </w:pPr>
    </w:p>
    <w:p w:rsidR="00167658" w:rsidRPr="0010796C" w:rsidRDefault="00A26EAA" w:rsidP="00A26EAA">
      <w:pPr>
        <w:ind w:left="1440" w:hanging="720"/>
        <w:contextualSpacing/>
        <w:jc w:val="both"/>
        <w:rPr>
          <w:rFonts w:ascii="Cambria" w:hAnsi="Cambria"/>
          <w:b/>
          <w:sz w:val="20"/>
          <w:szCs w:val="20"/>
          <w:lang w:val="es-ES"/>
        </w:rPr>
      </w:pPr>
      <w:r w:rsidRPr="0010796C">
        <w:rPr>
          <w:rFonts w:ascii="Cambria" w:hAnsi="Cambria"/>
          <w:b/>
          <w:sz w:val="20"/>
          <w:szCs w:val="20"/>
          <w:lang w:val="es-ES"/>
        </w:rPr>
        <w:t>4.</w:t>
      </w:r>
      <w:r w:rsidRPr="0010796C">
        <w:rPr>
          <w:rFonts w:ascii="Cambria" w:hAnsi="Cambria"/>
          <w:b/>
          <w:sz w:val="20"/>
          <w:szCs w:val="20"/>
          <w:lang w:val="es-ES"/>
        </w:rPr>
        <w:tab/>
      </w:r>
      <w:r w:rsidR="00167658" w:rsidRPr="0010796C">
        <w:rPr>
          <w:rFonts w:ascii="Cambria" w:hAnsi="Cambria"/>
          <w:b/>
          <w:sz w:val="20"/>
          <w:szCs w:val="20"/>
          <w:lang w:val="es-ES"/>
        </w:rPr>
        <w:t>Causa – Comisionado Interventor de la municipalidad de la ciudad de Corrientes, Juan Carlos Zubieta S/Denuncia</w:t>
      </w:r>
    </w:p>
    <w:p w:rsidR="00167658" w:rsidRPr="0010796C" w:rsidRDefault="00167658" w:rsidP="00167658">
      <w:pPr>
        <w:contextualSpacing/>
        <w:jc w:val="both"/>
        <w:rPr>
          <w:rFonts w:ascii="Cambria" w:hAnsi="Cambria" w:cs="Calibri"/>
          <w:color w:val="000000"/>
          <w:sz w:val="20"/>
          <w:szCs w:val="20"/>
          <w:lang w:val="es-ES"/>
        </w:rPr>
      </w:pPr>
    </w:p>
    <w:p w:rsidR="00167658" w:rsidRPr="0010796C" w:rsidRDefault="00167658" w:rsidP="0016765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24 de julio de 2000 la defensa planteó un recurso de nulidad con apelación en subsidio en contra de las resoluciones dictadas en autos por el Juez de Instrucción no. 1 de Corrientes</w:t>
      </w:r>
      <w:r w:rsidRPr="0010796C">
        <w:rPr>
          <w:rStyle w:val="FootnoteReference"/>
          <w:rFonts w:ascii="Cambria" w:hAnsi="Cambria" w:cs="Calibri"/>
          <w:color w:val="000000"/>
          <w:sz w:val="20"/>
          <w:szCs w:val="20"/>
          <w:lang w:val="es-ES"/>
        </w:rPr>
        <w:footnoteReference w:id="163"/>
      </w:r>
      <w:r w:rsidRPr="0010796C">
        <w:rPr>
          <w:rFonts w:ascii="Cambria" w:hAnsi="Cambria" w:cs="Calibri"/>
          <w:color w:val="000000"/>
          <w:sz w:val="20"/>
          <w:szCs w:val="20"/>
          <w:lang w:val="es-ES"/>
        </w:rPr>
        <w:t>. Ello en tanto la designación de</w:t>
      </w:r>
      <w:r w:rsidR="00AE2E86" w:rsidRPr="0010796C">
        <w:rPr>
          <w:rFonts w:ascii="Cambria" w:hAnsi="Cambria" w:cs="Calibri"/>
          <w:color w:val="000000"/>
          <w:sz w:val="20"/>
          <w:szCs w:val="20"/>
          <w:lang w:val="es-ES"/>
        </w:rPr>
        <w:t xml:space="preserve"> dicho juez fue irregular al hab</w:t>
      </w:r>
      <w:r w:rsidRPr="0010796C">
        <w:rPr>
          <w:rFonts w:ascii="Cambria" w:hAnsi="Cambria" w:cs="Calibri"/>
          <w:color w:val="000000"/>
          <w:sz w:val="20"/>
          <w:szCs w:val="20"/>
          <w:lang w:val="es-ES"/>
        </w:rPr>
        <w:t>er ocupado la novena posición en la tabla de puntajes del concurso para el cargo de juez. Asimismo, se alegó que se vulneró las reglas de competencia por turno al haber atribuido competencia al juez de Instrucción no. 1 para que interviniera en todas las c</w:t>
      </w:r>
      <w:r w:rsidR="007542EF" w:rsidRPr="0010796C">
        <w:rPr>
          <w:rFonts w:ascii="Cambria" w:hAnsi="Cambria" w:cs="Calibri"/>
          <w:color w:val="000000"/>
          <w:sz w:val="20"/>
          <w:szCs w:val="20"/>
          <w:lang w:val="es-ES"/>
        </w:rPr>
        <w:t>a</w:t>
      </w:r>
      <w:r w:rsidRPr="0010796C">
        <w:rPr>
          <w:rFonts w:ascii="Cambria" w:hAnsi="Cambria" w:cs="Calibri"/>
          <w:color w:val="000000"/>
          <w:sz w:val="20"/>
          <w:szCs w:val="20"/>
          <w:lang w:val="es-ES"/>
        </w:rPr>
        <w:t xml:space="preserve">usas contra el señor Romero </w:t>
      </w:r>
      <w:proofErr w:type="spellStart"/>
      <w:r w:rsidRPr="0010796C">
        <w:rPr>
          <w:rFonts w:ascii="Cambria" w:hAnsi="Cambria" w:cs="Calibri"/>
          <w:color w:val="000000"/>
          <w:sz w:val="20"/>
          <w:szCs w:val="20"/>
          <w:lang w:val="es-ES"/>
        </w:rPr>
        <w:t>Feris</w:t>
      </w:r>
      <w:proofErr w:type="spellEnd"/>
      <w:r w:rsidRPr="0010796C">
        <w:rPr>
          <w:rStyle w:val="FootnoteReference"/>
          <w:rFonts w:ascii="Cambria" w:hAnsi="Cambria" w:cs="Calibri"/>
          <w:color w:val="000000"/>
          <w:sz w:val="20"/>
          <w:szCs w:val="20"/>
          <w:lang w:val="es-ES"/>
        </w:rPr>
        <w:footnoteReference w:id="164"/>
      </w:r>
      <w:r w:rsidRPr="0010796C">
        <w:rPr>
          <w:rFonts w:ascii="Cambria" w:hAnsi="Cambria" w:cs="Calibri"/>
          <w:color w:val="000000"/>
          <w:sz w:val="20"/>
          <w:szCs w:val="20"/>
          <w:lang w:val="es-ES"/>
        </w:rPr>
        <w:t xml:space="preserve">. </w:t>
      </w:r>
    </w:p>
    <w:p w:rsidR="00167658" w:rsidRPr="0010796C" w:rsidRDefault="00167658" w:rsidP="00167658">
      <w:pPr>
        <w:ind w:left="720"/>
        <w:contextualSpacing/>
        <w:jc w:val="both"/>
        <w:rPr>
          <w:rFonts w:ascii="Cambria" w:hAnsi="Cambria" w:cs="Calibri"/>
          <w:color w:val="000000"/>
          <w:sz w:val="20"/>
          <w:szCs w:val="20"/>
          <w:lang w:val="es-ES"/>
        </w:rPr>
      </w:pPr>
    </w:p>
    <w:p w:rsidR="00167658" w:rsidRPr="0010796C" w:rsidRDefault="00167658" w:rsidP="0016765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  Dentro de sus alegatos la defensa puntualizó lo siguiente:</w:t>
      </w:r>
    </w:p>
    <w:p w:rsidR="00167658" w:rsidRPr="0010796C" w:rsidRDefault="00167658" w:rsidP="00167658">
      <w:pPr>
        <w:contextualSpacing/>
        <w:jc w:val="both"/>
        <w:rPr>
          <w:rFonts w:ascii="Cambria" w:hAnsi="Cambria" w:cs="Calibri"/>
          <w:color w:val="000000"/>
          <w:sz w:val="20"/>
          <w:szCs w:val="20"/>
          <w:lang w:val="es-ES"/>
        </w:rPr>
      </w:pPr>
    </w:p>
    <w:p w:rsidR="00167658" w:rsidRPr="0010796C" w:rsidRDefault="00167658" w:rsidP="0016765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 el Dr. Mario Payes, quién había figurado en el 9° lugar en el Orden de Mérito realizado por el Consejo de la Magistratura, que al momento de ser propuesto por el P.E., se desempeñaba como asesor del Ministro de Gobierno, que tuvo la opinión de la Asociación de Magistrados y del Colegio de Abogados, expresadas públicamente en contra, que fue propuesto por el Senador </w:t>
      </w:r>
      <w:proofErr w:type="spellStart"/>
      <w:r w:rsidRPr="0010796C">
        <w:rPr>
          <w:rFonts w:ascii="Cambria" w:hAnsi="Cambria" w:cs="Calibri"/>
          <w:color w:val="000000"/>
          <w:sz w:val="20"/>
          <w:szCs w:val="20"/>
          <w:lang w:val="es-ES"/>
        </w:rPr>
        <w:t>Perié</w:t>
      </w:r>
      <w:proofErr w:type="spellEnd"/>
      <w:r w:rsidRPr="0010796C">
        <w:rPr>
          <w:rFonts w:ascii="Cambria" w:hAnsi="Cambria" w:cs="Calibri"/>
          <w:color w:val="000000"/>
          <w:sz w:val="20"/>
          <w:szCs w:val="20"/>
          <w:lang w:val="es-ES"/>
        </w:rPr>
        <w:t xml:space="preserve"> a cargo del P.E. y es este mismo Senador que lo propone, el que da el voto decisivo para el “acuerdo” exigido por la Constitución Provincial, ahora en calidad de Senador, es el que llega al conocimiento de todas las causas que se sustancian contra Raúl Rolando Romero </w:t>
      </w:r>
      <w:proofErr w:type="spellStart"/>
      <w:r w:rsidRPr="0010796C">
        <w:rPr>
          <w:rFonts w:ascii="Cambria" w:hAnsi="Cambria" w:cs="Calibri"/>
          <w:color w:val="000000"/>
          <w:sz w:val="20"/>
          <w:szCs w:val="20"/>
          <w:lang w:val="es-ES"/>
        </w:rPr>
        <w:t>Feris</w:t>
      </w:r>
      <w:proofErr w:type="spellEnd"/>
      <w:r w:rsidRPr="0010796C">
        <w:rPr>
          <w:rFonts w:ascii="Cambria" w:hAnsi="Cambria" w:cs="Calibri"/>
          <w:color w:val="000000"/>
          <w:sz w:val="20"/>
          <w:szCs w:val="20"/>
          <w:lang w:val="es-ES"/>
        </w:rPr>
        <w:t>; tras la violación flagrante por parte del Superior Tribunal de Justicia, de las normas procesales relativas a la competencia por conexión y a las reglas de competencia por turno</w:t>
      </w:r>
      <w:r w:rsidRPr="0010796C">
        <w:rPr>
          <w:rStyle w:val="FootnoteReference"/>
          <w:rFonts w:ascii="Cambria" w:hAnsi="Cambria" w:cs="Calibri"/>
          <w:color w:val="000000"/>
          <w:sz w:val="20"/>
          <w:szCs w:val="20"/>
          <w:lang w:val="es-ES"/>
        </w:rPr>
        <w:footnoteReference w:id="165"/>
      </w:r>
      <w:r w:rsidRPr="0010796C">
        <w:rPr>
          <w:rFonts w:ascii="Cambria" w:hAnsi="Cambria" w:cs="Calibri"/>
          <w:color w:val="000000"/>
          <w:sz w:val="20"/>
          <w:szCs w:val="20"/>
          <w:lang w:val="es-ES"/>
        </w:rPr>
        <w:t xml:space="preserve">. </w:t>
      </w:r>
    </w:p>
    <w:p w:rsidR="00167658" w:rsidRPr="0010796C" w:rsidRDefault="00167658" w:rsidP="00167658">
      <w:pPr>
        <w:ind w:left="720"/>
        <w:contextualSpacing/>
        <w:jc w:val="both"/>
        <w:rPr>
          <w:rFonts w:ascii="Cambria" w:hAnsi="Cambria" w:cs="Calibri"/>
          <w:color w:val="000000"/>
          <w:sz w:val="20"/>
          <w:szCs w:val="20"/>
          <w:lang w:val="es-ES"/>
        </w:rPr>
      </w:pPr>
    </w:p>
    <w:p w:rsidR="00167658" w:rsidRPr="0010796C" w:rsidRDefault="00167658" w:rsidP="0016765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18 de agosto de 2000 el Fiscal de Instrucción no. 1 presentó un escrito al Juez en el que rechazó el planteo de nulidad interpuesta por la defensa</w:t>
      </w:r>
      <w:r w:rsidRPr="0010796C">
        <w:rPr>
          <w:rStyle w:val="FootnoteReference"/>
          <w:rFonts w:ascii="Cambria" w:hAnsi="Cambria" w:cs="Calibri"/>
          <w:color w:val="000000"/>
          <w:sz w:val="20"/>
          <w:szCs w:val="20"/>
          <w:lang w:val="es-ES"/>
        </w:rPr>
        <w:footnoteReference w:id="166"/>
      </w:r>
      <w:r w:rsidRPr="0010796C">
        <w:rPr>
          <w:rFonts w:ascii="Cambria" w:hAnsi="Cambria" w:cs="Calibri"/>
          <w:color w:val="000000"/>
          <w:sz w:val="20"/>
          <w:szCs w:val="20"/>
          <w:lang w:val="es-ES"/>
        </w:rPr>
        <w:t xml:space="preserve">. El Fiscal sostuvo lo siguiente: </w:t>
      </w:r>
    </w:p>
    <w:p w:rsidR="00167658" w:rsidRPr="0010796C" w:rsidRDefault="00167658" w:rsidP="00167658">
      <w:pPr>
        <w:ind w:right="810"/>
        <w:contextualSpacing/>
        <w:jc w:val="both"/>
        <w:rPr>
          <w:rFonts w:ascii="Cambria" w:hAnsi="Cambria" w:cs="Calibri"/>
          <w:color w:val="000000"/>
          <w:sz w:val="20"/>
          <w:szCs w:val="20"/>
          <w:lang w:val="es-ES"/>
        </w:rPr>
      </w:pPr>
    </w:p>
    <w:p w:rsidR="00167658" w:rsidRPr="0010796C" w:rsidRDefault="00167658" w:rsidP="0016765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Que, el planteo de los </w:t>
      </w:r>
      <w:proofErr w:type="spellStart"/>
      <w:r w:rsidRPr="0010796C">
        <w:rPr>
          <w:rFonts w:ascii="Cambria" w:hAnsi="Cambria" w:cs="Calibri"/>
          <w:color w:val="000000"/>
          <w:sz w:val="20"/>
          <w:szCs w:val="20"/>
          <w:lang w:val="es-ES"/>
        </w:rPr>
        <w:t>nulidicentes</w:t>
      </w:r>
      <w:proofErr w:type="spellEnd"/>
      <w:r w:rsidRPr="0010796C">
        <w:rPr>
          <w:rFonts w:ascii="Cambria" w:hAnsi="Cambria" w:cs="Calibri"/>
          <w:color w:val="000000"/>
          <w:sz w:val="20"/>
          <w:szCs w:val="20"/>
          <w:lang w:val="es-ES"/>
        </w:rPr>
        <w:t xml:space="preserve"> engloba cuestiones políticas y procesales, en el afán de hacer aparecer a V. S. como un “Juez Especial”, es decir, como si nuestro cargo hubiera sido creado con el único propósito de juzgar todas las causas de corrupción administrativa que se denunciara, antes y después de la destitución de los entonces, Gobernador y Vice Gobernador de la Provincia, y del Intendente Municipal de la ciudad de Corrientes</w:t>
      </w:r>
      <w:r w:rsidRPr="0010796C">
        <w:rPr>
          <w:rStyle w:val="FootnoteReference"/>
          <w:rFonts w:ascii="Cambria" w:hAnsi="Cambria" w:cs="Calibri"/>
          <w:color w:val="000000"/>
          <w:sz w:val="20"/>
          <w:szCs w:val="20"/>
          <w:lang w:val="es-ES"/>
        </w:rPr>
        <w:footnoteReference w:id="167"/>
      </w:r>
      <w:r w:rsidRPr="0010796C">
        <w:rPr>
          <w:rFonts w:ascii="Cambria" w:hAnsi="Cambria" w:cs="Calibri"/>
          <w:color w:val="000000"/>
          <w:sz w:val="20"/>
          <w:szCs w:val="20"/>
          <w:lang w:val="es-ES"/>
        </w:rPr>
        <w:t xml:space="preserve">. </w:t>
      </w:r>
    </w:p>
    <w:p w:rsidR="00167658" w:rsidRPr="0010796C" w:rsidRDefault="00167658" w:rsidP="0016765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w:t>
      </w:r>
    </w:p>
    <w:p w:rsidR="00167658" w:rsidRPr="0010796C" w:rsidRDefault="00167658" w:rsidP="0016765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Que, en relación a la designación de los jueces y el trámite de la misma, dicha materia está especialmente reglada por el art. 142 de la Constitución de la Provincia de Corrientes, y no puede una ley acotar la facultad que la constitución le otorga sin ninguna restricción, de allí que la ley de creación del Consejo de la Magistratura no impone al Poder Ejecutivo la obligación de designar al primero de la lista, ni siquiera dentro de los tres primeros</w:t>
      </w:r>
      <w:r w:rsidRPr="0010796C">
        <w:rPr>
          <w:rStyle w:val="FootnoteReference"/>
          <w:rFonts w:ascii="Cambria" w:hAnsi="Cambria" w:cs="Calibri"/>
          <w:color w:val="000000"/>
          <w:sz w:val="20"/>
          <w:szCs w:val="20"/>
          <w:lang w:val="es-ES"/>
        </w:rPr>
        <w:footnoteReference w:id="168"/>
      </w:r>
      <w:r w:rsidRPr="0010796C">
        <w:rPr>
          <w:rFonts w:ascii="Cambria" w:hAnsi="Cambria" w:cs="Calibri"/>
          <w:color w:val="000000"/>
          <w:sz w:val="20"/>
          <w:szCs w:val="20"/>
          <w:lang w:val="es-ES"/>
        </w:rPr>
        <w:t xml:space="preserve">. </w:t>
      </w:r>
    </w:p>
    <w:p w:rsidR="00167658" w:rsidRPr="0010796C" w:rsidRDefault="00167658" w:rsidP="0016765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w:t>
      </w:r>
    </w:p>
    <w:p w:rsidR="00167658" w:rsidRPr="0010796C" w:rsidRDefault="00167658" w:rsidP="0016765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Que, con lo hasta aquí expuesto, es suficiente para rechazar el planteo de Nulidad de todo lo actuado en virtud de las disposiciones del art. 170 inc. 2° del Código Procesal Penal, pero es </w:t>
      </w:r>
      <w:r w:rsidRPr="0010796C">
        <w:rPr>
          <w:rFonts w:ascii="Cambria" w:hAnsi="Cambria" w:cs="Calibri"/>
          <w:color w:val="000000"/>
          <w:sz w:val="20"/>
          <w:szCs w:val="20"/>
          <w:lang w:val="es-ES"/>
        </w:rPr>
        <w:lastRenderedPageBreak/>
        <w:t>necesario ahondar aún más en el escrito de la defensa para poner en descubierto la maniobra dilatoria que intenta</w:t>
      </w:r>
      <w:r w:rsidRPr="0010796C">
        <w:rPr>
          <w:rStyle w:val="FootnoteReference"/>
          <w:rFonts w:ascii="Cambria" w:hAnsi="Cambria" w:cs="Calibri"/>
          <w:color w:val="000000"/>
          <w:sz w:val="20"/>
          <w:szCs w:val="20"/>
          <w:lang w:val="es-ES"/>
        </w:rPr>
        <w:footnoteReference w:id="169"/>
      </w:r>
      <w:r w:rsidRPr="0010796C">
        <w:rPr>
          <w:rFonts w:ascii="Cambria" w:hAnsi="Cambria" w:cs="Calibri"/>
          <w:color w:val="000000"/>
          <w:sz w:val="20"/>
          <w:szCs w:val="20"/>
          <w:lang w:val="es-ES"/>
        </w:rPr>
        <w:t xml:space="preserve">. </w:t>
      </w:r>
    </w:p>
    <w:p w:rsidR="00167658" w:rsidRPr="0010796C" w:rsidRDefault="00167658" w:rsidP="00167658">
      <w:pPr>
        <w:contextualSpacing/>
        <w:jc w:val="both"/>
        <w:rPr>
          <w:rFonts w:ascii="Cambria" w:hAnsi="Cambria" w:cs="Calibri"/>
          <w:color w:val="000000"/>
          <w:sz w:val="20"/>
          <w:szCs w:val="20"/>
          <w:lang w:val="es-ES"/>
        </w:rPr>
      </w:pPr>
    </w:p>
    <w:p w:rsidR="00167658" w:rsidRPr="0010796C" w:rsidRDefault="00167658" w:rsidP="0016765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w:t>
      </w:r>
      <w:r w:rsidR="00AE2E86" w:rsidRPr="0010796C">
        <w:rPr>
          <w:rFonts w:ascii="Cambria" w:hAnsi="Cambria" w:cs="Calibri"/>
          <w:color w:val="000000"/>
          <w:sz w:val="20"/>
          <w:szCs w:val="20"/>
          <w:lang w:val="es-ES"/>
        </w:rPr>
        <w:t xml:space="preserve"> </w:t>
      </w:r>
      <w:r w:rsidRPr="0010796C">
        <w:rPr>
          <w:rFonts w:ascii="Cambria" w:hAnsi="Cambria" w:cs="Calibri"/>
          <w:color w:val="000000"/>
          <w:sz w:val="20"/>
          <w:szCs w:val="20"/>
          <w:lang w:val="es-ES"/>
        </w:rPr>
        <w:t>5 de abril de 2001 el Juez de Instrucción no. 1 de Corrientes rechazó el recurso de nulidad</w:t>
      </w:r>
      <w:r w:rsidRPr="0010796C">
        <w:rPr>
          <w:rStyle w:val="FootnoteReference"/>
          <w:rFonts w:ascii="Cambria" w:hAnsi="Cambria" w:cs="Calibri"/>
          <w:color w:val="000000"/>
          <w:sz w:val="20"/>
          <w:szCs w:val="20"/>
          <w:lang w:val="es-ES"/>
        </w:rPr>
        <w:footnoteReference w:id="170"/>
      </w:r>
      <w:r w:rsidRPr="0010796C">
        <w:rPr>
          <w:rFonts w:ascii="Cambria" w:hAnsi="Cambria" w:cs="Calibri"/>
          <w:color w:val="000000"/>
          <w:sz w:val="20"/>
          <w:szCs w:val="20"/>
          <w:lang w:val="es-ES"/>
        </w:rPr>
        <w:t xml:space="preserve">. El Juez argumentó lo siguiente: </w:t>
      </w:r>
    </w:p>
    <w:p w:rsidR="00167658" w:rsidRPr="0010796C" w:rsidRDefault="00167658" w:rsidP="00167658">
      <w:pPr>
        <w:contextualSpacing/>
        <w:jc w:val="both"/>
        <w:rPr>
          <w:rFonts w:ascii="Cambria" w:hAnsi="Cambria" w:cs="Calibri"/>
          <w:color w:val="000000"/>
          <w:sz w:val="20"/>
          <w:szCs w:val="20"/>
          <w:lang w:val="es-ES"/>
        </w:rPr>
      </w:pPr>
    </w:p>
    <w:p w:rsidR="00167658" w:rsidRPr="0010796C" w:rsidRDefault="00167658" w:rsidP="0016765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debo afirmar que además de que la designación del suscripto lo fue de conformidad a las previsiones constitucionales (art. 142 de la Constitución de la Provincia de Corrientes), la designación de los jueces hace a la exclusiva competencia de los poderes políticos, cuyo regular ejercicio es fiscalizado mediante otros instrumentos, como los que corresponden al derecho procesal constitucional: acción autónoma de inconstitucionalidad, por ejemplo</w:t>
      </w:r>
      <w:r w:rsidRPr="0010796C">
        <w:rPr>
          <w:rStyle w:val="FootnoteReference"/>
          <w:rFonts w:ascii="Cambria" w:hAnsi="Cambria" w:cs="Calibri"/>
          <w:color w:val="000000"/>
          <w:sz w:val="20"/>
          <w:szCs w:val="20"/>
          <w:lang w:val="es-ES"/>
        </w:rPr>
        <w:footnoteReference w:id="171"/>
      </w:r>
      <w:r w:rsidRPr="0010796C">
        <w:rPr>
          <w:rFonts w:ascii="Cambria" w:hAnsi="Cambria" w:cs="Calibri"/>
          <w:color w:val="000000"/>
          <w:sz w:val="20"/>
          <w:szCs w:val="20"/>
          <w:lang w:val="es-ES"/>
        </w:rPr>
        <w:t xml:space="preserve">. </w:t>
      </w:r>
    </w:p>
    <w:p w:rsidR="00167658" w:rsidRPr="0010796C" w:rsidRDefault="00167658" w:rsidP="0016765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w:t>
      </w:r>
    </w:p>
    <w:p w:rsidR="00167658" w:rsidRPr="0010796C" w:rsidRDefault="00167658" w:rsidP="0016765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El Excmo. Superior Tribunal de justicia (…) ha resuelto (…) Declarar la competencia y radicación de las causas conexas seguidas contra el imputado Raúl Rolando Romero </w:t>
      </w:r>
      <w:proofErr w:type="spellStart"/>
      <w:r w:rsidRPr="0010796C">
        <w:rPr>
          <w:rFonts w:ascii="Cambria" w:hAnsi="Cambria" w:cs="Calibri"/>
          <w:color w:val="000000"/>
          <w:sz w:val="20"/>
          <w:szCs w:val="20"/>
          <w:lang w:val="es-ES"/>
        </w:rPr>
        <w:t>Feris</w:t>
      </w:r>
      <w:proofErr w:type="spellEnd"/>
      <w:r w:rsidRPr="0010796C">
        <w:rPr>
          <w:rFonts w:ascii="Cambria" w:hAnsi="Cambria" w:cs="Calibri"/>
          <w:color w:val="000000"/>
          <w:sz w:val="20"/>
          <w:szCs w:val="20"/>
          <w:lang w:val="es-ES"/>
        </w:rPr>
        <w:t>, en el Juzgado de Instrucción N° 1...., decisorio que, a la fecha, se encuentra firme y consentido, (…) Así las cosas, se encuentra afuera de la competencia del suscripto reexaminar un fallo del Superior Tribunal, ya que lo decidido por el Alto Cuerpo (…) debe ser, en caso de disconformidad, materia de recurso ante mayor juez –Corte Federal- (…)</w:t>
      </w:r>
      <w:r w:rsidRPr="0010796C">
        <w:rPr>
          <w:rStyle w:val="FootnoteReference"/>
          <w:rFonts w:ascii="Cambria" w:hAnsi="Cambria" w:cs="Calibri"/>
          <w:color w:val="000000"/>
          <w:sz w:val="20"/>
          <w:szCs w:val="20"/>
          <w:lang w:val="es-ES"/>
        </w:rPr>
        <w:footnoteReference w:id="172"/>
      </w:r>
      <w:r w:rsidRPr="0010796C">
        <w:rPr>
          <w:rFonts w:ascii="Cambria" w:hAnsi="Cambria" w:cs="Calibri"/>
          <w:color w:val="000000"/>
          <w:sz w:val="20"/>
          <w:szCs w:val="20"/>
          <w:lang w:val="es-ES"/>
        </w:rPr>
        <w:t xml:space="preserve">. </w:t>
      </w:r>
    </w:p>
    <w:p w:rsidR="00167658" w:rsidRPr="0010796C" w:rsidRDefault="00167658" w:rsidP="00167658">
      <w:pPr>
        <w:ind w:left="720"/>
        <w:contextualSpacing/>
        <w:jc w:val="both"/>
        <w:rPr>
          <w:rFonts w:ascii="Cambria" w:hAnsi="Cambria" w:cs="Calibri"/>
          <w:color w:val="000000"/>
          <w:sz w:val="20"/>
          <w:szCs w:val="20"/>
          <w:lang w:val="es-ES"/>
        </w:rPr>
      </w:pPr>
    </w:p>
    <w:p w:rsidR="00167658" w:rsidRPr="0010796C" w:rsidRDefault="00167658" w:rsidP="0016765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La defensa presentó un rec</w:t>
      </w:r>
      <w:r w:rsidR="00541102" w:rsidRPr="0010796C">
        <w:rPr>
          <w:rFonts w:ascii="Cambria" w:hAnsi="Cambria" w:cs="Calibri"/>
          <w:color w:val="000000"/>
          <w:sz w:val="20"/>
          <w:szCs w:val="20"/>
          <w:lang w:val="es-ES"/>
        </w:rPr>
        <w:t>urso de apelación frente a dicha</w:t>
      </w:r>
      <w:r w:rsidRPr="0010796C">
        <w:rPr>
          <w:rFonts w:ascii="Cambria" w:hAnsi="Cambria" w:cs="Calibri"/>
          <w:color w:val="000000"/>
          <w:sz w:val="20"/>
          <w:szCs w:val="20"/>
          <w:lang w:val="es-ES"/>
        </w:rPr>
        <w:t xml:space="preserve"> resolución alegando lo siguiente:</w:t>
      </w:r>
    </w:p>
    <w:p w:rsidR="00167658" w:rsidRPr="0010796C" w:rsidRDefault="00167658" w:rsidP="00167658">
      <w:pPr>
        <w:contextualSpacing/>
        <w:jc w:val="both"/>
        <w:rPr>
          <w:rFonts w:ascii="Cambria" w:hAnsi="Cambria" w:cs="Calibri"/>
          <w:color w:val="000000"/>
          <w:sz w:val="20"/>
          <w:szCs w:val="20"/>
          <w:lang w:val="es-ES"/>
        </w:rPr>
      </w:pPr>
    </w:p>
    <w:p w:rsidR="00167658" w:rsidRPr="0010796C" w:rsidRDefault="00167658" w:rsidP="0016765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La nulidad interpuesta estaba dirigida a todos los actos procesales realizados por el Juez de Instrucción y la causal de nulidad invocada contra la violación de la garantía constitucional del Juez Natural. (…) Las modalidades y las irregularidades existentes en el proceso de designación y la inobservancia de las reglas de competencia por conexión y por turno son los elementos que hacen al Juez Payes un Juez Especial encubierto y esta última circunstancia la que hace devenir absolutamente nulos todos los actos</w:t>
      </w:r>
      <w:r w:rsidRPr="0010796C">
        <w:rPr>
          <w:rStyle w:val="FootnoteReference"/>
          <w:rFonts w:ascii="Cambria" w:hAnsi="Cambria" w:cs="Calibri"/>
          <w:color w:val="000000"/>
          <w:sz w:val="20"/>
          <w:szCs w:val="20"/>
          <w:lang w:val="es-ES"/>
        </w:rPr>
        <w:footnoteReference w:id="173"/>
      </w:r>
      <w:r w:rsidRPr="0010796C">
        <w:rPr>
          <w:rFonts w:ascii="Cambria" w:hAnsi="Cambria" w:cs="Calibri"/>
          <w:color w:val="000000"/>
          <w:sz w:val="20"/>
          <w:szCs w:val="20"/>
          <w:lang w:val="es-ES"/>
        </w:rPr>
        <w:t xml:space="preserve">. </w:t>
      </w:r>
    </w:p>
    <w:p w:rsidR="00167658" w:rsidRPr="0010796C" w:rsidRDefault="00167658" w:rsidP="00167658">
      <w:pPr>
        <w:contextualSpacing/>
        <w:jc w:val="both"/>
        <w:rPr>
          <w:rFonts w:ascii="Cambria" w:hAnsi="Cambria" w:cs="Calibri"/>
          <w:color w:val="000000"/>
          <w:sz w:val="20"/>
          <w:szCs w:val="20"/>
          <w:lang w:val="es-ES"/>
        </w:rPr>
      </w:pPr>
    </w:p>
    <w:p w:rsidR="00167658" w:rsidRPr="0010796C" w:rsidRDefault="00167658" w:rsidP="0016765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31 de mayo de 2001 la Cámara de lo Criminal no. 2 emitió un auto que resolvió no dar lugar al recurso de apelación</w:t>
      </w:r>
      <w:r w:rsidRPr="0010796C">
        <w:rPr>
          <w:rStyle w:val="FootnoteReference"/>
          <w:rFonts w:ascii="Cambria" w:hAnsi="Cambria" w:cs="Calibri"/>
          <w:color w:val="000000"/>
          <w:sz w:val="20"/>
          <w:szCs w:val="20"/>
          <w:lang w:val="es-ES"/>
        </w:rPr>
        <w:footnoteReference w:id="174"/>
      </w:r>
      <w:r w:rsidRPr="0010796C">
        <w:rPr>
          <w:rFonts w:ascii="Cambria" w:hAnsi="Cambria" w:cs="Calibri"/>
          <w:color w:val="000000"/>
          <w:sz w:val="20"/>
          <w:szCs w:val="20"/>
          <w:lang w:val="es-ES"/>
        </w:rPr>
        <w:t>. Asimismo, la Cámara confirmó la resolución</w:t>
      </w:r>
      <w:r w:rsidR="00AE2E86" w:rsidRPr="0010796C">
        <w:rPr>
          <w:rFonts w:ascii="Cambria" w:hAnsi="Cambria" w:cs="Calibri"/>
          <w:color w:val="000000"/>
          <w:sz w:val="20"/>
          <w:szCs w:val="20"/>
          <w:lang w:val="es-ES"/>
        </w:rPr>
        <w:t xml:space="preserve"> del </w:t>
      </w:r>
      <w:r w:rsidRPr="0010796C">
        <w:rPr>
          <w:rFonts w:ascii="Cambria" w:hAnsi="Cambria" w:cs="Calibri"/>
          <w:color w:val="000000"/>
          <w:sz w:val="20"/>
          <w:szCs w:val="20"/>
          <w:lang w:val="es-ES"/>
        </w:rPr>
        <w:t>5 de abril de 2001 del Juez de Instrucción no. 1</w:t>
      </w:r>
      <w:r w:rsidRPr="0010796C">
        <w:rPr>
          <w:rStyle w:val="FootnoteReference"/>
          <w:rFonts w:ascii="Cambria" w:hAnsi="Cambria" w:cs="Calibri"/>
          <w:color w:val="000000"/>
          <w:sz w:val="20"/>
          <w:szCs w:val="20"/>
          <w:lang w:val="es-ES"/>
        </w:rPr>
        <w:footnoteReference w:id="175"/>
      </w:r>
      <w:r w:rsidRPr="0010796C">
        <w:rPr>
          <w:rFonts w:ascii="Cambria" w:hAnsi="Cambria" w:cs="Calibri"/>
          <w:color w:val="000000"/>
          <w:sz w:val="20"/>
          <w:szCs w:val="20"/>
          <w:lang w:val="es-ES"/>
        </w:rPr>
        <w:t xml:space="preserve">. La Cámara sostuvo lo siguiente: </w:t>
      </w:r>
    </w:p>
    <w:p w:rsidR="00167658" w:rsidRPr="0010796C" w:rsidRDefault="00167658" w:rsidP="00167658">
      <w:pPr>
        <w:contextualSpacing/>
        <w:jc w:val="both"/>
        <w:rPr>
          <w:rFonts w:ascii="Cambria" w:hAnsi="Cambria" w:cs="Calibri"/>
          <w:color w:val="000000"/>
          <w:sz w:val="20"/>
          <w:szCs w:val="20"/>
          <w:lang w:val="es-ES"/>
        </w:rPr>
      </w:pPr>
    </w:p>
    <w:p w:rsidR="00167658" w:rsidRPr="0010796C" w:rsidRDefault="00167658" w:rsidP="0016765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Cabe tener presente, respecto de estas cuestiones, que el apelante ya ocurrió ante el Superior Tribunal de Justicia obteniendo una respuesta desfavorable a sus pretensiones. Otro escollo para que el Juez inferior se pronuncie respecto de las nulidades deducidas</w:t>
      </w:r>
      <w:r w:rsidRPr="0010796C">
        <w:rPr>
          <w:rStyle w:val="FootnoteReference"/>
          <w:rFonts w:ascii="Cambria" w:hAnsi="Cambria" w:cs="Calibri"/>
          <w:color w:val="000000"/>
          <w:sz w:val="20"/>
          <w:szCs w:val="20"/>
          <w:lang w:val="es-ES"/>
        </w:rPr>
        <w:footnoteReference w:id="176"/>
      </w:r>
      <w:r w:rsidRPr="0010796C">
        <w:rPr>
          <w:rFonts w:ascii="Cambria" w:hAnsi="Cambria" w:cs="Calibri"/>
          <w:color w:val="000000"/>
          <w:sz w:val="20"/>
          <w:szCs w:val="20"/>
          <w:lang w:val="es-ES"/>
        </w:rPr>
        <w:t xml:space="preserve">. </w:t>
      </w:r>
    </w:p>
    <w:p w:rsidR="00167658" w:rsidRPr="0010796C" w:rsidRDefault="00167658" w:rsidP="0016765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w:t>
      </w:r>
    </w:p>
    <w:p w:rsidR="00167658" w:rsidRPr="0010796C" w:rsidRDefault="00167658" w:rsidP="0016765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lastRenderedPageBreak/>
        <w:t xml:space="preserve">No debe olvidarse, por otra parte, que por imperio del art. 3, in fine, de la ley N° 25.236, que declaró la intervención de la provincia de Corrientes, se dispuso el estado de comisión de los miembros del Poder Judicial. En consecuencia, quedó </w:t>
      </w:r>
      <w:r w:rsidR="0010796C" w:rsidRPr="0010796C">
        <w:rPr>
          <w:rFonts w:ascii="Cambria" w:hAnsi="Cambria" w:cs="Calibri"/>
          <w:color w:val="000000"/>
          <w:sz w:val="20"/>
          <w:szCs w:val="20"/>
          <w:lang w:val="es-ES"/>
        </w:rPr>
        <w:t>legitimada</w:t>
      </w:r>
      <w:r w:rsidRPr="0010796C">
        <w:rPr>
          <w:rFonts w:ascii="Cambria" w:hAnsi="Cambria" w:cs="Calibri"/>
          <w:color w:val="000000"/>
          <w:sz w:val="20"/>
          <w:szCs w:val="20"/>
          <w:lang w:val="es-ES"/>
        </w:rPr>
        <w:t xml:space="preserve"> la remoción de algunos magistrados y funcionarios judiciales, en tanto que el resto fueron tácitamente confirmados al dictarse la Ley N° 25343, que exceptúa al Poder Judicial de la prórroga a la intervención</w:t>
      </w:r>
      <w:r w:rsidRPr="0010796C">
        <w:rPr>
          <w:rStyle w:val="FootnoteReference"/>
          <w:rFonts w:ascii="Cambria" w:hAnsi="Cambria" w:cs="Calibri"/>
          <w:color w:val="000000"/>
          <w:sz w:val="20"/>
          <w:szCs w:val="20"/>
          <w:lang w:val="es-ES"/>
        </w:rPr>
        <w:footnoteReference w:id="177"/>
      </w:r>
      <w:r w:rsidRPr="0010796C">
        <w:rPr>
          <w:rFonts w:ascii="Cambria" w:hAnsi="Cambria" w:cs="Calibri"/>
          <w:color w:val="000000"/>
          <w:sz w:val="20"/>
          <w:szCs w:val="20"/>
          <w:lang w:val="es-ES"/>
        </w:rPr>
        <w:t xml:space="preserve">. </w:t>
      </w:r>
    </w:p>
    <w:p w:rsidR="00167658" w:rsidRPr="0010796C" w:rsidRDefault="00167658" w:rsidP="00167658">
      <w:pPr>
        <w:ind w:left="720"/>
        <w:contextualSpacing/>
        <w:jc w:val="both"/>
        <w:rPr>
          <w:rFonts w:ascii="Cambria" w:hAnsi="Cambria" w:cs="Calibri"/>
          <w:color w:val="000000"/>
          <w:sz w:val="20"/>
          <w:szCs w:val="20"/>
          <w:lang w:val="es-ES"/>
        </w:rPr>
      </w:pPr>
    </w:p>
    <w:p w:rsidR="00167658" w:rsidRPr="0010796C" w:rsidRDefault="00167658" w:rsidP="0016765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El 14 de junio de 2001 la defensa interpuso un recurso de casación ante la Cámara de lo Criminal no. 2</w:t>
      </w:r>
      <w:r w:rsidRPr="0010796C">
        <w:rPr>
          <w:rStyle w:val="FootnoteReference"/>
          <w:rFonts w:ascii="Cambria" w:hAnsi="Cambria" w:cs="Calibri"/>
          <w:color w:val="000000"/>
          <w:sz w:val="20"/>
          <w:szCs w:val="20"/>
          <w:lang w:val="es-ES"/>
        </w:rPr>
        <w:footnoteReference w:id="178"/>
      </w:r>
      <w:r w:rsidRPr="0010796C">
        <w:rPr>
          <w:rFonts w:ascii="Cambria" w:hAnsi="Cambria" w:cs="Calibri"/>
          <w:color w:val="000000"/>
          <w:sz w:val="20"/>
          <w:szCs w:val="20"/>
          <w:lang w:val="es-ES"/>
        </w:rPr>
        <w:t xml:space="preserve">. </w:t>
      </w:r>
      <w:r w:rsidR="00A95E22" w:rsidRPr="0010796C">
        <w:rPr>
          <w:rFonts w:ascii="Cambria" w:hAnsi="Cambria" w:cs="Calibri"/>
          <w:color w:val="000000"/>
          <w:sz w:val="20"/>
          <w:szCs w:val="20"/>
          <w:lang w:val="es-ES"/>
        </w:rPr>
        <w:t>En dicho recurso agregó que “prístinamente se puntualizar</w:t>
      </w:r>
      <w:r w:rsidR="005509A1" w:rsidRPr="0010796C">
        <w:rPr>
          <w:rFonts w:ascii="Cambria" w:hAnsi="Cambria" w:cs="Calibri"/>
          <w:color w:val="000000"/>
          <w:sz w:val="20"/>
          <w:szCs w:val="20"/>
          <w:lang w:val="es-ES"/>
        </w:rPr>
        <w:t>o</w:t>
      </w:r>
      <w:r w:rsidR="00A95E22" w:rsidRPr="0010796C">
        <w:rPr>
          <w:rFonts w:ascii="Cambria" w:hAnsi="Cambria" w:cs="Calibri"/>
          <w:color w:val="000000"/>
          <w:sz w:val="20"/>
          <w:szCs w:val="20"/>
          <w:lang w:val="es-ES"/>
        </w:rPr>
        <w:t>n en forma objetiva una clara y patente definición con una parcialidad que ma</w:t>
      </w:r>
      <w:r w:rsidR="0010796C" w:rsidRPr="0010796C">
        <w:rPr>
          <w:rFonts w:ascii="Cambria" w:hAnsi="Cambria" w:cs="Calibri"/>
          <w:color w:val="000000"/>
          <w:sz w:val="20"/>
          <w:szCs w:val="20"/>
          <w:lang w:val="es-ES"/>
        </w:rPr>
        <w:t>ntenía y mantiene el magistrado</w:t>
      </w:r>
      <w:r w:rsidR="00A95E22" w:rsidRPr="0010796C">
        <w:rPr>
          <w:rFonts w:ascii="Cambria" w:hAnsi="Cambria" w:cs="Calibri"/>
          <w:color w:val="000000"/>
          <w:sz w:val="20"/>
          <w:szCs w:val="20"/>
          <w:lang w:val="es-ES"/>
        </w:rPr>
        <w:t>, con tenaz encono que hunden sus raíces en un fuerte contenido polític</w:t>
      </w:r>
      <w:r w:rsidR="0010796C" w:rsidRPr="0010796C">
        <w:rPr>
          <w:rFonts w:ascii="Cambria" w:hAnsi="Cambria" w:cs="Calibri"/>
          <w:color w:val="000000"/>
          <w:sz w:val="20"/>
          <w:szCs w:val="20"/>
          <w:lang w:val="es-ES"/>
        </w:rPr>
        <w:t>o y que indudablemente trasciend</w:t>
      </w:r>
      <w:r w:rsidR="00A95E22" w:rsidRPr="0010796C">
        <w:rPr>
          <w:rFonts w:ascii="Cambria" w:hAnsi="Cambria" w:cs="Calibri"/>
          <w:color w:val="000000"/>
          <w:sz w:val="20"/>
          <w:szCs w:val="20"/>
          <w:lang w:val="es-ES"/>
        </w:rPr>
        <w:t xml:space="preserve">e en desmedro de la imparcialidad que debe caracterizar al juez”. </w:t>
      </w:r>
      <w:r w:rsidRPr="0010796C">
        <w:rPr>
          <w:rFonts w:ascii="Cambria" w:hAnsi="Cambria" w:cs="Calibri"/>
          <w:color w:val="000000"/>
          <w:sz w:val="20"/>
          <w:szCs w:val="20"/>
          <w:lang w:val="es-ES"/>
        </w:rPr>
        <w:t>Al día siguiente la Cámara de lo Criminal no. 2 resolvió declarar inadmisible el recurso</w:t>
      </w:r>
      <w:r w:rsidRPr="0010796C">
        <w:rPr>
          <w:rStyle w:val="FootnoteReference"/>
          <w:rFonts w:ascii="Cambria" w:hAnsi="Cambria" w:cs="Calibri"/>
          <w:color w:val="000000"/>
          <w:sz w:val="20"/>
          <w:szCs w:val="20"/>
          <w:lang w:val="es-ES"/>
        </w:rPr>
        <w:footnoteReference w:id="179"/>
      </w:r>
      <w:r w:rsidRPr="0010796C">
        <w:rPr>
          <w:rFonts w:ascii="Cambria" w:hAnsi="Cambria" w:cs="Calibri"/>
          <w:color w:val="000000"/>
          <w:sz w:val="20"/>
          <w:szCs w:val="20"/>
          <w:lang w:val="es-ES"/>
        </w:rPr>
        <w:t xml:space="preserve">. La Cámara argumentó lo siguiente: </w:t>
      </w:r>
    </w:p>
    <w:p w:rsidR="00167658" w:rsidRPr="0010796C" w:rsidRDefault="00167658" w:rsidP="00167658">
      <w:pPr>
        <w:contextualSpacing/>
        <w:jc w:val="both"/>
        <w:rPr>
          <w:rFonts w:ascii="Cambria" w:hAnsi="Cambria" w:cs="Calibri"/>
          <w:color w:val="000000"/>
          <w:sz w:val="20"/>
          <w:szCs w:val="20"/>
          <w:lang w:val="es-ES"/>
        </w:rPr>
      </w:pPr>
    </w:p>
    <w:p w:rsidR="00167658" w:rsidRPr="0010796C" w:rsidRDefault="00167658" w:rsidP="0016765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 xml:space="preserve">Estimamos que el recurso interpuesto en ésta instancia resulta inadmisible </w:t>
      </w:r>
      <w:r w:rsidR="0010796C" w:rsidRPr="0010796C">
        <w:rPr>
          <w:rFonts w:ascii="Cambria" w:hAnsi="Cambria" w:cs="Calibri"/>
          <w:color w:val="000000"/>
          <w:sz w:val="20"/>
          <w:szCs w:val="20"/>
          <w:lang w:val="es-ES"/>
        </w:rPr>
        <w:t xml:space="preserve">(arts. 469 y 480, primer </w:t>
      </w:r>
      <w:proofErr w:type="spellStart"/>
      <w:r w:rsidR="0010796C" w:rsidRPr="0010796C">
        <w:rPr>
          <w:rFonts w:ascii="Cambria" w:hAnsi="Cambria" w:cs="Calibri"/>
          <w:color w:val="000000"/>
          <w:sz w:val="20"/>
          <w:szCs w:val="20"/>
          <w:lang w:val="es-ES"/>
        </w:rPr>
        <w:t>apart</w:t>
      </w:r>
      <w:proofErr w:type="spellEnd"/>
      <w:r w:rsidR="0010796C" w:rsidRPr="0010796C">
        <w:rPr>
          <w:rFonts w:ascii="Cambria" w:hAnsi="Cambria" w:cs="Calibri"/>
          <w:color w:val="000000"/>
          <w:sz w:val="20"/>
          <w:szCs w:val="20"/>
          <w:lang w:val="es-ES"/>
        </w:rPr>
        <w:t>.</w:t>
      </w:r>
      <w:r w:rsidRPr="0010796C">
        <w:rPr>
          <w:rFonts w:ascii="Cambria" w:hAnsi="Cambria" w:cs="Calibri"/>
          <w:color w:val="000000"/>
          <w:sz w:val="20"/>
          <w:szCs w:val="20"/>
          <w:lang w:val="es-ES"/>
        </w:rPr>
        <w:t xml:space="preserve"> C.P.P.). Ello en razón de que la resolución atacada no está especialmente prevista como objeto del recurso intentado (art. 494 C.P.P.)</w:t>
      </w:r>
      <w:r w:rsidRPr="0010796C">
        <w:rPr>
          <w:rStyle w:val="FootnoteReference"/>
          <w:rFonts w:ascii="Cambria" w:hAnsi="Cambria" w:cs="Calibri"/>
          <w:color w:val="000000"/>
          <w:sz w:val="20"/>
          <w:szCs w:val="20"/>
          <w:lang w:val="es-ES"/>
        </w:rPr>
        <w:footnoteReference w:id="180"/>
      </w:r>
      <w:r w:rsidRPr="0010796C">
        <w:rPr>
          <w:rFonts w:ascii="Cambria" w:hAnsi="Cambria" w:cs="Calibri"/>
          <w:color w:val="000000"/>
          <w:sz w:val="20"/>
          <w:szCs w:val="20"/>
          <w:lang w:val="es-ES"/>
        </w:rPr>
        <w:t xml:space="preserve">. </w:t>
      </w:r>
    </w:p>
    <w:p w:rsidR="00167658" w:rsidRPr="0010796C" w:rsidRDefault="00167658" w:rsidP="00167658">
      <w:pPr>
        <w:contextualSpacing/>
        <w:jc w:val="both"/>
        <w:rPr>
          <w:rFonts w:ascii="Cambria" w:hAnsi="Cambria" w:cs="Calibri"/>
          <w:color w:val="000000"/>
          <w:sz w:val="20"/>
          <w:szCs w:val="20"/>
          <w:lang w:val="es-ES"/>
        </w:rPr>
      </w:pPr>
    </w:p>
    <w:p w:rsidR="00167658" w:rsidRPr="0010796C" w:rsidRDefault="00167658" w:rsidP="00167658">
      <w:pPr>
        <w:numPr>
          <w:ilvl w:val="0"/>
          <w:numId w:val="55"/>
        </w:numPr>
        <w:contextualSpacing/>
        <w:jc w:val="both"/>
        <w:rPr>
          <w:rFonts w:ascii="Cambria" w:hAnsi="Cambria" w:cs="Calibri"/>
          <w:color w:val="000000"/>
          <w:sz w:val="20"/>
          <w:szCs w:val="20"/>
          <w:lang w:val="es-ES"/>
        </w:rPr>
      </w:pPr>
      <w:r w:rsidRPr="0010796C">
        <w:rPr>
          <w:rFonts w:ascii="Cambria" w:hAnsi="Cambria" w:cs="Calibri"/>
          <w:color w:val="000000"/>
          <w:sz w:val="20"/>
          <w:szCs w:val="20"/>
          <w:lang w:val="es-ES"/>
        </w:rPr>
        <w:t>Frente a dicha decisión, la defensa del señor Romero interpuso un recurso de queja por casación</w:t>
      </w:r>
      <w:r w:rsidRPr="0010796C">
        <w:rPr>
          <w:rStyle w:val="FootnoteReference"/>
          <w:rFonts w:ascii="Cambria" w:hAnsi="Cambria" w:cs="Calibri"/>
          <w:color w:val="000000"/>
          <w:sz w:val="20"/>
          <w:szCs w:val="20"/>
          <w:lang w:val="es-ES"/>
        </w:rPr>
        <w:footnoteReference w:id="181"/>
      </w:r>
      <w:r w:rsidRPr="0010796C">
        <w:rPr>
          <w:rFonts w:ascii="Cambria" w:hAnsi="Cambria" w:cs="Calibri"/>
          <w:color w:val="000000"/>
          <w:sz w:val="20"/>
          <w:szCs w:val="20"/>
          <w:lang w:val="es-ES"/>
        </w:rPr>
        <w:t xml:space="preserve">. El 14 de agosto de 2001 el Superior Tribunal </w:t>
      </w:r>
      <w:r w:rsidR="008A6259" w:rsidRPr="0010796C">
        <w:rPr>
          <w:rFonts w:ascii="Cambria" w:hAnsi="Cambria" w:cs="Calibri"/>
          <w:color w:val="000000"/>
          <w:sz w:val="20"/>
          <w:szCs w:val="20"/>
          <w:lang w:val="es-ES"/>
        </w:rPr>
        <w:t>de Justicia</w:t>
      </w:r>
      <w:r w:rsidRPr="0010796C">
        <w:rPr>
          <w:rFonts w:ascii="Cambria" w:hAnsi="Cambria" w:cs="Calibri"/>
          <w:color w:val="000000"/>
          <w:sz w:val="20"/>
          <w:szCs w:val="20"/>
          <w:lang w:val="es-ES"/>
        </w:rPr>
        <w:t xml:space="preserve"> rechazó la queja por “inexistencia de cuestión federal”</w:t>
      </w:r>
      <w:r w:rsidRPr="0010796C">
        <w:rPr>
          <w:rStyle w:val="FootnoteReference"/>
          <w:rFonts w:ascii="Cambria" w:hAnsi="Cambria" w:cs="Calibri"/>
          <w:color w:val="000000"/>
          <w:sz w:val="20"/>
          <w:szCs w:val="20"/>
          <w:lang w:val="es-ES"/>
        </w:rPr>
        <w:footnoteReference w:id="182"/>
      </w:r>
      <w:r w:rsidRPr="0010796C">
        <w:rPr>
          <w:rFonts w:ascii="Cambria" w:hAnsi="Cambria" w:cs="Calibri"/>
          <w:color w:val="000000"/>
          <w:sz w:val="20"/>
          <w:szCs w:val="20"/>
          <w:lang w:val="es-ES"/>
        </w:rPr>
        <w:t xml:space="preserve">. El Superior Tribunal indicó lo siguiente: </w:t>
      </w:r>
    </w:p>
    <w:p w:rsidR="00167658" w:rsidRPr="0010796C" w:rsidRDefault="00167658" w:rsidP="00167658">
      <w:pPr>
        <w:ind w:left="1890" w:right="1440"/>
        <w:contextualSpacing/>
        <w:jc w:val="both"/>
        <w:rPr>
          <w:rFonts w:ascii="Cambria" w:hAnsi="Cambria" w:cs="Calibri"/>
          <w:color w:val="000000"/>
          <w:sz w:val="20"/>
          <w:szCs w:val="20"/>
          <w:lang w:val="es-ES"/>
        </w:rPr>
      </w:pPr>
    </w:p>
    <w:p w:rsidR="00167658" w:rsidRPr="0010796C" w:rsidRDefault="00167658" w:rsidP="0016765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La falta del requisito de “Juez Natural” es una apreciación subjetiva, carente de realidad, y el tratamiento al Juez con los calificativos de: “Especial” y “encubierto”, raya con la falta de decoro hacia la investidura del Magistrado. (…)</w:t>
      </w:r>
    </w:p>
    <w:p w:rsidR="00167658" w:rsidRPr="0010796C" w:rsidRDefault="00167658" w:rsidP="00167658">
      <w:pPr>
        <w:ind w:left="720" w:right="720"/>
        <w:jc w:val="both"/>
        <w:rPr>
          <w:rFonts w:ascii="Cambria" w:hAnsi="Cambria" w:cs="Calibri"/>
          <w:color w:val="000000"/>
          <w:sz w:val="20"/>
          <w:szCs w:val="20"/>
          <w:lang w:val="es-ES"/>
        </w:rPr>
      </w:pPr>
      <w:r w:rsidRPr="0010796C">
        <w:rPr>
          <w:rFonts w:ascii="Cambria" w:hAnsi="Cambria" w:cs="Calibri"/>
          <w:color w:val="000000"/>
          <w:sz w:val="20"/>
          <w:szCs w:val="20"/>
          <w:lang w:val="es-ES"/>
        </w:rPr>
        <w:t>Tampoco se han violado las reglas generales y subsidiarias del turno, incumbencia exclusiva de este Superior Tribunal, como lo es la facultad de prorrogar, reducir o excusar el turno de avocamiento del Juez, sin que ello afecte la garantía del “Juez Natural”, pues solo tiene como fundamento y consecuencia una mejor división del trabajo y administración de justicia. Que al estar firmes estas decisiones, vencidos todos los plazos legales de oposición, por principio de seguridad jurídica que redunda en beneficio de las partes no pueden ellas luego, modificarlas a su antojo (…)</w:t>
      </w:r>
      <w:r w:rsidRPr="0010796C">
        <w:rPr>
          <w:rStyle w:val="FootnoteReference"/>
          <w:rFonts w:ascii="Cambria" w:hAnsi="Cambria" w:cs="Calibri"/>
          <w:color w:val="000000"/>
          <w:sz w:val="20"/>
          <w:szCs w:val="20"/>
          <w:lang w:val="es-ES"/>
        </w:rPr>
        <w:footnoteReference w:id="183"/>
      </w:r>
      <w:r w:rsidRPr="0010796C">
        <w:rPr>
          <w:rFonts w:ascii="Cambria" w:hAnsi="Cambria" w:cs="Calibri"/>
          <w:color w:val="000000"/>
          <w:sz w:val="20"/>
          <w:szCs w:val="20"/>
          <w:lang w:val="es-ES"/>
        </w:rPr>
        <w:t>.</w:t>
      </w:r>
    </w:p>
    <w:p w:rsidR="00871E95" w:rsidRPr="0010796C" w:rsidRDefault="00871E95" w:rsidP="00E25967">
      <w:pPr>
        <w:rPr>
          <w:rFonts w:ascii="Cambria" w:hAnsi="Cambria"/>
          <w:sz w:val="20"/>
          <w:szCs w:val="20"/>
          <w:lang w:val="es-ES"/>
        </w:rPr>
      </w:pPr>
      <w:bookmarkStart w:id="39" w:name="_Toc370830574"/>
      <w:bookmarkStart w:id="40" w:name="_Toc370831287"/>
      <w:bookmarkEnd w:id="34"/>
      <w:bookmarkEnd w:id="35"/>
    </w:p>
    <w:p w:rsidR="00D31A7B" w:rsidRPr="0010796C" w:rsidRDefault="00D31A7B" w:rsidP="006B7EB8">
      <w:pPr>
        <w:pStyle w:val="Heading1"/>
        <w:rPr>
          <w:lang w:val="es-ES"/>
        </w:rPr>
      </w:pPr>
      <w:bookmarkStart w:id="41" w:name="_Toc346449089"/>
      <w:bookmarkStart w:id="42" w:name="_Toc474398496"/>
      <w:bookmarkStart w:id="43" w:name="_Toc486526410"/>
      <w:bookmarkEnd w:id="39"/>
      <w:bookmarkEnd w:id="40"/>
      <w:r w:rsidRPr="0010796C">
        <w:rPr>
          <w:lang w:val="es-ES"/>
        </w:rPr>
        <w:t>ANÁLISIS DE FONDO</w:t>
      </w:r>
      <w:bookmarkEnd w:id="41"/>
      <w:bookmarkEnd w:id="42"/>
      <w:bookmarkEnd w:id="43"/>
    </w:p>
    <w:p w:rsidR="00453315" w:rsidRPr="0010796C" w:rsidRDefault="00453315" w:rsidP="006F33F9">
      <w:pPr>
        <w:rPr>
          <w:rFonts w:ascii="Cambria" w:hAnsi="Cambria"/>
          <w:b/>
          <w:sz w:val="20"/>
          <w:szCs w:val="20"/>
          <w:lang w:val="es-ES"/>
        </w:rPr>
      </w:pPr>
      <w:bookmarkStart w:id="44" w:name="_Toc413687836"/>
    </w:p>
    <w:p w:rsidR="00E93E0E" w:rsidRPr="0010796C" w:rsidRDefault="00E93E0E" w:rsidP="00740B52">
      <w:pPr>
        <w:numPr>
          <w:ilvl w:val="0"/>
          <w:numId w:val="55"/>
        </w:numPr>
        <w:contextualSpacing/>
        <w:jc w:val="both"/>
        <w:rPr>
          <w:rFonts w:ascii="Cambria" w:hAnsi="Cambria"/>
          <w:sz w:val="20"/>
          <w:szCs w:val="20"/>
          <w:lang w:val="es-ES"/>
        </w:rPr>
      </w:pPr>
      <w:r w:rsidRPr="0010796C">
        <w:rPr>
          <w:rFonts w:ascii="Cambria" w:hAnsi="Cambria"/>
          <w:sz w:val="20"/>
          <w:szCs w:val="20"/>
          <w:lang w:val="es-ES"/>
        </w:rPr>
        <w:t>A la luz de las posiciones de las partes y de los hechos establecidos, la Comisión efectuará su análisis de derecho</w:t>
      </w:r>
      <w:r w:rsidR="00A92FAA" w:rsidRPr="0010796C">
        <w:rPr>
          <w:rFonts w:ascii="Cambria" w:hAnsi="Cambria"/>
          <w:sz w:val="20"/>
          <w:szCs w:val="20"/>
          <w:lang w:val="es-ES"/>
        </w:rPr>
        <w:t xml:space="preserve"> pronunciándose, en primer lugar, sobre la detención preventiva del señor Romero </w:t>
      </w:r>
      <w:proofErr w:type="spellStart"/>
      <w:r w:rsidR="00A92FAA" w:rsidRPr="0010796C">
        <w:rPr>
          <w:rFonts w:ascii="Cambria" w:hAnsi="Cambria"/>
          <w:sz w:val="20"/>
          <w:szCs w:val="20"/>
          <w:lang w:val="es-ES"/>
        </w:rPr>
        <w:t>Feris</w:t>
      </w:r>
      <w:proofErr w:type="spellEnd"/>
      <w:r w:rsidR="00A92FAA" w:rsidRPr="0010796C">
        <w:rPr>
          <w:rFonts w:ascii="Cambria" w:hAnsi="Cambria"/>
          <w:sz w:val="20"/>
          <w:szCs w:val="20"/>
          <w:lang w:val="es-ES"/>
        </w:rPr>
        <w:t xml:space="preserve"> y, en segundo lugar, sobre las alegadas violaciones al debido proceso y la efectividad de los recursos interpuestos para impugnar tales alegadas violaciones. </w:t>
      </w:r>
    </w:p>
    <w:p w:rsidR="009C5A06" w:rsidRPr="0010796C" w:rsidRDefault="009C5A06" w:rsidP="006F33F9">
      <w:pPr>
        <w:rPr>
          <w:rFonts w:ascii="Cambria" w:hAnsi="Cambria"/>
          <w:b/>
          <w:sz w:val="20"/>
          <w:szCs w:val="20"/>
          <w:lang w:val="es-ES"/>
        </w:rPr>
      </w:pPr>
    </w:p>
    <w:p w:rsidR="00FB5552" w:rsidRPr="0010796C" w:rsidRDefault="00722EEA" w:rsidP="00740B52">
      <w:pPr>
        <w:pStyle w:val="Heading2"/>
        <w:numPr>
          <w:ilvl w:val="0"/>
          <w:numId w:val="57"/>
        </w:numPr>
        <w:jc w:val="both"/>
        <w:rPr>
          <w:szCs w:val="20"/>
          <w:lang w:val="es-ES"/>
        </w:rPr>
      </w:pPr>
      <w:r w:rsidRPr="0010796C">
        <w:rPr>
          <w:szCs w:val="20"/>
          <w:lang w:val="es-ES"/>
        </w:rPr>
        <w:br w:type="page"/>
      </w:r>
      <w:bookmarkStart w:id="45" w:name="_Toc486526411"/>
      <w:r w:rsidR="00B62E2A" w:rsidRPr="0010796C">
        <w:rPr>
          <w:szCs w:val="20"/>
          <w:lang w:val="es-ES"/>
        </w:rPr>
        <w:lastRenderedPageBreak/>
        <w:t>Derecho a la libertad personal</w:t>
      </w:r>
      <w:r w:rsidR="00AE2E86" w:rsidRPr="0010796C">
        <w:rPr>
          <w:szCs w:val="20"/>
          <w:lang w:val="es-ES"/>
        </w:rPr>
        <w:t xml:space="preserve"> </w:t>
      </w:r>
      <w:r w:rsidR="00E37A75" w:rsidRPr="0010796C">
        <w:rPr>
          <w:szCs w:val="20"/>
          <w:lang w:val="es-ES"/>
        </w:rPr>
        <w:t xml:space="preserve">y a la presunción de inocencia respecto de la detención preventiva del señor Romero </w:t>
      </w:r>
      <w:proofErr w:type="spellStart"/>
      <w:r w:rsidR="00E37A75" w:rsidRPr="0010796C">
        <w:rPr>
          <w:szCs w:val="20"/>
          <w:lang w:val="es-ES"/>
        </w:rPr>
        <w:t>Feris</w:t>
      </w:r>
      <w:proofErr w:type="spellEnd"/>
      <w:r w:rsidR="00E37A75" w:rsidRPr="0010796C">
        <w:rPr>
          <w:szCs w:val="20"/>
          <w:lang w:val="es-ES"/>
        </w:rPr>
        <w:t xml:space="preserve"> </w:t>
      </w:r>
      <w:r w:rsidR="00AE2E86" w:rsidRPr="0010796C">
        <w:rPr>
          <w:szCs w:val="20"/>
          <w:lang w:val="es-ES"/>
        </w:rPr>
        <w:t>(artículo</w:t>
      </w:r>
      <w:r w:rsidR="00E37A75" w:rsidRPr="0010796C">
        <w:rPr>
          <w:szCs w:val="20"/>
          <w:lang w:val="es-ES"/>
        </w:rPr>
        <w:t>s</w:t>
      </w:r>
      <w:r w:rsidR="00AE2E86" w:rsidRPr="0010796C">
        <w:rPr>
          <w:szCs w:val="20"/>
          <w:lang w:val="es-ES"/>
        </w:rPr>
        <w:t xml:space="preserve"> 7</w:t>
      </w:r>
      <w:r w:rsidR="00E37A75" w:rsidRPr="0010796C">
        <w:rPr>
          <w:szCs w:val="20"/>
          <w:lang w:val="es-ES"/>
        </w:rPr>
        <w:t>.1,</w:t>
      </w:r>
      <w:r w:rsidR="004366A3" w:rsidRPr="0010796C">
        <w:rPr>
          <w:szCs w:val="20"/>
          <w:lang w:val="es-ES"/>
        </w:rPr>
        <w:t xml:space="preserve"> 7.2,</w:t>
      </w:r>
      <w:r w:rsidR="00E37A75" w:rsidRPr="0010796C">
        <w:rPr>
          <w:szCs w:val="20"/>
          <w:lang w:val="es-ES"/>
        </w:rPr>
        <w:t xml:space="preserve"> 7.3, 7.5, </w:t>
      </w:r>
      <w:r w:rsidR="00870744" w:rsidRPr="0010796C">
        <w:rPr>
          <w:szCs w:val="20"/>
          <w:lang w:val="es-ES"/>
        </w:rPr>
        <w:t>7.6</w:t>
      </w:r>
      <w:r w:rsidR="00051A80" w:rsidRPr="0010796C">
        <w:rPr>
          <w:rStyle w:val="FootnoteReference"/>
          <w:szCs w:val="20"/>
          <w:lang w:val="es-ES"/>
        </w:rPr>
        <w:footnoteReference w:id="184"/>
      </w:r>
      <w:r w:rsidR="00E37A75" w:rsidRPr="0010796C">
        <w:rPr>
          <w:szCs w:val="20"/>
          <w:lang w:val="es-ES"/>
        </w:rPr>
        <w:t xml:space="preserve"> y 8.2</w:t>
      </w:r>
      <w:r w:rsidR="0018761F" w:rsidRPr="0010796C">
        <w:rPr>
          <w:rStyle w:val="FootnoteReference"/>
          <w:szCs w:val="20"/>
          <w:lang w:val="es-ES"/>
        </w:rPr>
        <w:footnoteReference w:id="185"/>
      </w:r>
      <w:r w:rsidR="00AE2E86" w:rsidRPr="0010796C">
        <w:rPr>
          <w:szCs w:val="20"/>
          <w:lang w:val="es-ES"/>
        </w:rPr>
        <w:t xml:space="preserve"> de la Convención Americana)</w:t>
      </w:r>
      <w:bookmarkEnd w:id="45"/>
    </w:p>
    <w:p w:rsidR="00670C12" w:rsidRPr="0010796C" w:rsidRDefault="00670C12" w:rsidP="00D24845">
      <w:pPr>
        <w:rPr>
          <w:rFonts w:ascii="Cambria" w:hAnsi="Cambria"/>
          <w:b/>
          <w:sz w:val="20"/>
          <w:szCs w:val="20"/>
          <w:lang w:val="es-ES"/>
        </w:rPr>
      </w:pPr>
    </w:p>
    <w:p w:rsidR="00714476" w:rsidRPr="0010796C" w:rsidRDefault="00714476" w:rsidP="00D91E02">
      <w:pPr>
        <w:pStyle w:val="Heading3"/>
        <w:keepLines/>
        <w:numPr>
          <w:ilvl w:val="1"/>
          <w:numId w:val="67"/>
        </w:numPr>
        <w:pBdr>
          <w:top w:val="nil"/>
          <w:left w:val="nil"/>
          <w:bottom w:val="nil"/>
          <w:right w:val="nil"/>
          <w:between w:val="nil"/>
          <w:bar w:val="nil"/>
        </w:pBdr>
        <w:tabs>
          <w:tab w:val="clear" w:pos="1800"/>
          <w:tab w:val="num" w:pos="720"/>
        </w:tabs>
        <w:ind w:left="720" w:firstLine="0"/>
        <w:rPr>
          <w:lang w:val="es-ES"/>
        </w:rPr>
      </w:pPr>
      <w:bookmarkStart w:id="46" w:name="_Toc469409098"/>
      <w:bookmarkStart w:id="47" w:name="_Toc482278245"/>
      <w:bookmarkStart w:id="48" w:name="_Toc486526412"/>
      <w:r w:rsidRPr="0010796C">
        <w:rPr>
          <w:lang w:val="es-ES"/>
        </w:rPr>
        <w:t>Consideraciones generales sobre la detención preventiva</w:t>
      </w:r>
      <w:bookmarkEnd w:id="46"/>
      <w:bookmarkEnd w:id="47"/>
      <w:bookmarkEnd w:id="48"/>
      <w:r w:rsidRPr="0010796C">
        <w:rPr>
          <w:lang w:val="es-ES"/>
        </w:rPr>
        <w:tab/>
      </w:r>
    </w:p>
    <w:p w:rsidR="00714476" w:rsidRPr="0010796C" w:rsidRDefault="00714476" w:rsidP="00714476">
      <w:pPr>
        <w:pStyle w:val="ColorfulList-Accent12"/>
        <w:tabs>
          <w:tab w:val="left" w:pos="3087"/>
        </w:tabs>
        <w:rPr>
          <w:sz w:val="20"/>
          <w:szCs w:val="20"/>
          <w:lang w:val="es-ES"/>
        </w:rPr>
      </w:pPr>
      <w:r w:rsidRPr="0010796C">
        <w:rPr>
          <w:sz w:val="20"/>
          <w:szCs w:val="20"/>
          <w:lang w:val="es-ES"/>
        </w:rPr>
        <w:tab/>
      </w:r>
    </w:p>
    <w:p w:rsidR="00714476" w:rsidRPr="0010796C" w:rsidRDefault="00714476" w:rsidP="00714476">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cs="Arial"/>
          <w:sz w:val="20"/>
          <w:szCs w:val="20"/>
          <w:lang w:val="es-ES"/>
        </w:rPr>
        <w:t xml:space="preserve">La Comisión y la Corte han señalado que la detención preventiva se encuentra limitada </w:t>
      </w:r>
      <w:r w:rsidRPr="0010796C">
        <w:rPr>
          <w:rFonts w:ascii="Cambria" w:hAnsi="Cambria"/>
          <w:sz w:val="20"/>
          <w:szCs w:val="20"/>
          <w:lang w:val="es-ES"/>
        </w:rPr>
        <w:t>por los principios de legalidad, presunción de inocencia, necesidad y proporcionalidad</w:t>
      </w:r>
      <w:r w:rsidRPr="0010796C">
        <w:rPr>
          <w:rStyle w:val="FootnoteReference"/>
          <w:rFonts w:ascii="Cambria" w:hAnsi="Cambria"/>
          <w:sz w:val="20"/>
          <w:szCs w:val="20"/>
          <w:lang w:val="es-ES"/>
        </w:rPr>
        <w:footnoteReference w:id="186"/>
      </w:r>
      <w:r w:rsidRPr="0010796C">
        <w:rPr>
          <w:rFonts w:ascii="Cambria" w:hAnsi="Cambria"/>
          <w:sz w:val="20"/>
          <w:szCs w:val="20"/>
          <w:lang w:val="es-ES"/>
        </w:rPr>
        <w:t>. Asimismo, ha indicado que se trata de una medida cautelar y no punitiva</w:t>
      </w:r>
      <w:r w:rsidRPr="0010796C">
        <w:rPr>
          <w:rStyle w:val="FootnoteReference"/>
          <w:rFonts w:ascii="Cambria" w:hAnsi="Cambria"/>
          <w:sz w:val="20"/>
          <w:szCs w:val="20"/>
          <w:lang w:val="es-ES"/>
        </w:rPr>
        <w:footnoteReference w:id="187"/>
      </w:r>
      <w:r w:rsidRPr="0010796C">
        <w:rPr>
          <w:rFonts w:ascii="Cambria" w:hAnsi="Cambria"/>
          <w:sz w:val="20"/>
          <w:szCs w:val="20"/>
          <w:lang w:val="es-ES"/>
        </w:rPr>
        <w:t xml:space="preserve"> y que es la más severa que se puede imponer al imputado por lo que debe aplicarse excepcionalmente. En consideración de ambos órganos del sistema interamericano, la regla debe ser la libertad del procesado mientras se resuelve acerca de su responsabilidad penal</w:t>
      </w:r>
      <w:r w:rsidRPr="0010796C">
        <w:rPr>
          <w:rStyle w:val="FootnoteReference"/>
          <w:rFonts w:ascii="Cambria" w:hAnsi="Cambria"/>
          <w:sz w:val="20"/>
          <w:szCs w:val="20"/>
          <w:lang w:val="es-ES"/>
        </w:rPr>
        <w:footnoteReference w:id="188"/>
      </w:r>
      <w:r w:rsidRPr="0010796C">
        <w:rPr>
          <w:rFonts w:ascii="Cambria" w:hAnsi="Cambria"/>
          <w:sz w:val="20"/>
          <w:szCs w:val="20"/>
          <w:lang w:val="es-ES"/>
        </w:rPr>
        <w:t xml:space="preserve">. </w:t>
      </w:r>
    </w:p>
    <w:p w:rsidR="00F65ADB" w:rsidRPr="0010796C" w:rsidRDefault="00F65ADB" w:rsidP="00740B52">
      <w:pPr>
        <w:jc w:val="both"/>
        <w:rPr>
          <w:rFonts w:ascii="Cambria" w:hAnsi="Cambria"/>
          <w:sz w:val="20"/>
          <w:szCs w:val="20"/>
          <w:lang w:val="es-ES"/>
        </w:rPr>
      </w:pPr>
    </w:p>
    <w:p w:rsidR="00714476" w:rsidRPr="0010796C" w:rsidRDefault="00714476" w:rsidP="00714476">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La Corte y la Comisión han resaltado que las características personales del supuesto autor y la gravedad del delito que se le imputa no son, por sí mismos, justificación suficiente de la prisión preventiva</w:t>
      </w:r>
      <w:r w:rsidRPr="0010796C">
        <w:rPr>
          <w:rStyle w:val="FootnoteReference"/>
          <w:rFonts w:ascii="Cambria" w:hAnsi="Cambria"/>
          <w:sz w:val="20"/>
          <w:szCs w:val="20"/>
          <w:lang w:val="es-ES"/>
        </w:rPr>
        <w:footnoteReference w:id="189"/>
      </w:r>
      <w:r w:rsidRPr="0010796C">
        <w:rPr>
          <w:rFonts w:ascii="Cambria" w:hAnsi="Cambria"/>
          <w:sz w:val="20"/>
          <w:szCs w:val="20"/>
          <w:lang w:val="es-ES"/>
        </w:rPr>
        <w:t>.</w:t>
      </w:r>
      <w:r w:rsidRPr="0010796C">
        <w:rPr>
          <w:rFonts w:ascii="Cambria" w:hAnsi="Cambria" w:cs="Univers"/>
          <w:sz w:val="20"/>
          <w:szCs w:val="20"/>
          <w:lang w:val="es-ES"/>
        </w:rPr>
        <w:t xml:space="preserve"> </w:t>
      </w:r>
      <w:r w:rsidRPr="0010796C">
        <w:rPr>
          <w:rFonts w:ascii="Cambria" w:hAnsi="Cambria"/>
          <w:sz w:val="20"/>
          <w:szCs w:val="20"/>
          <w:lang w:val="es-ES"/>
        </w:rPr>
        <w:t xml:space="preserve">Respecto de las razones que pueden justificar la detención preventiva, los órganos del sistema han interpretado el artículo 7.3 de la Convención Americana en el sentido de que los indicios de responsabilidad son condición necesaria pero no suficiente para imponer tal medida. En palabras de la Corte: </w:t>
      </w:r>
      <w:bookmarkStart w:id="49" w:name="_Ref242782550"/>
    </w:p>
    <w:p w:rsidR="00714476" w:rsidRPr="0010796C" w:rsidRDefault="00714476" w:rsidP="00714476">
      <w:pPr>
        <w:ind w:left="720" w:right="720"/>
        <w:jc w:val="both"/>
        <w:rPr>
          <w:rFonts w:ascii="Cambria" w:hAnsi="Cambria"/>
          <w:sz w:val="20"/>
          <w:szCs w:val="20"/>
          <w:lang w:val="es-ES"/>
        </w:rPr>
      </w:pPr>
    </w:p>
    <w:p w:rsidR="00714476" w:rsidRPr="0010796C" w:rsidRDefault="00714476" w:rsidP="00714476">
      <w:pPr>
        <w:ind w:left="720" w:right="720"/>
        <w:jc w:val="both"/>
        <w:rPr>
          <w:rFonts w:ascii="Cambria" w:hAnsi="Cambria"/>
          <w:sz w:val="20"/>
          <w:szCs w:val="20"/>
          <w:lang w:val="es-ES"/>
        </w:rPr>
      </w:pPr>
      <w:r w:rsidRPr="0010796C">
        <w:rPr>
          <w:rFonts w:ascii="Cambria" w:hAnsi="Cambria"/>
          <w:sz w:val="20"/>
          <w:szCs w:val="20"/>
          <w:lang w:val="es-ES"/>
        </w:rPr>
        <w:t>(…) deben existir indicios suficientes que permitan suponer razonablemente que la persona sometida a proceso ha participado en el ilícito que se investiga</w:t>
      </w:r>
      <w:bookmarkStart w:id="50" w:name="_Ref247965465"/>
      <w:r w:rsidRPr="0010796C">
        <w:rPr>
          <w:rStyle w:val="FootnoteReference"/>
          <w:rFonts w:ascii="Cambria" w:hAnsi="Cambria"/>
          <w:sz w:val="20"/>
          <w:szCs w:val="20"/>
          <w:lang w:val="es-ES"/>
        </w:rPr>
        <w:footnoteReference w:id="190"/>
      </w:r>
      <w:bookmarkEnd w:id="50"/>
      <w:r w:rsidRPr="0010796C">
        <w:rPr>
          <w:rFonts w:ascii="Cambria" w:hAnsi="Cambria"/>
          <w:sz w:val="20"/>
          <w:szCs w:val="20"/>
          <w:lang w:val="es-ES"/>
        </w:rPr>
        <w:t xml:space="preserve">. Sin embargo, “aún </w:t>
      </w:r>
      <w:r w:rsidRPr="0010796C">
        <w:rPr>
          <w:rFonts w:ascii="Cambria" w:hAnsi="Cambria"/>
          <w:sz w:val="20"/>
          <w:szCs w:val="20"/>
          <w:lang w:val="es-ES"/>
        </w:rPr>
        <w:lastRenderedPageBreak/>
        <w:t>verificado este extremo, la privación de libertad del imputado no puede residir en fines preventivo-generales o preventivo-especiales atribuibles a la pena, sino que sólo se puede fundamentar […] en un fin legítimo, a saber: asegurar que el acusado no impedirá el desarrollo del procedimiento ni eludirá la acción de la justicia</w:t>
      </w:r>
      <w:r w:rsidRPr="0010796C">
        <w:rPr>
          <w:rStyle w:val="FootnoteReference"/>
          <w:rFonts w:ascii="Cambria" w:hAnsi="Cambria"/>
          <w:sz w:val="20"/>
          <w:szCs w:val="20"/>
          <w:lang w:val="es-ES"/>
        </w:rPr>
        <w:footnoteReference w:id="191"/>
      </w:r>
      <w:r w:rsidRPr="0010796C">
        <w:rPr>
          <w:rFonts w:ascii="Cambria" w:hAnsi="Cambria"/>
          <w:sz w:val="20"/>
          <w:szCs w:val="20"/>
          <w:lang w:val="es-ES"/>
        </w:rPr>
        <w:t>.</w:t>
      </w:r>
      <w:bookmarkEnd w:id="49"/>
    </w:p>
    <w:p w:rsidR="00714476" w:rsidRPr="0010796C" w:rsidRDefault="00714476" w:rsidP="00714476">
      <w:pPr>
        <w:pStyle w:val="ColorfulList-Accent12"/>
        <w:rPr>
          <w:sz w:val="20"/>
          <w:szCs w:val="20"/>
          <w:lang w:val="es-ES"/>
        </w:rPr>
      </w:pPr>
    </w:p>
    <w:p w:rsidR="00714476" w:rsidRPr="0010796C" w:rsidRDefault="00714476" w:rsidP="00714476">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cs="Calibri"/>
          <w:sz w:val="20"/>
          <w:szCs w:val="20"/>
          <w:lang w:val="es-ES"/>
        </w:rPr>
        <w:t xml:space="preserve">En esta línea, toda decisión por medio de la cual se restrinja el derecho a la libertad personal por medio de la </w:t>
      </w:r>
      <w:r w:rsidRPr="0010796C">
        <w:rPr>
          <w:rFonts w:ascii="Cambria" w:hAnsi="Cambria"/>
          <w:sz w:val="20"/>
          <w:szCs w:val="20"/>
          <w:lang w:val="es-ES"/>
        </w:rPr>
        <w:t>aplicación</w:t>
      </w:r>
      <w:r w:rsidRPr="0010796C">
        <w:rPr>
          <w:rFonts w:ascii="Cambria" w:hAnsi="Cambria" w:cs="Calibri"/>
          <w:sz w:val="20"/>
          <w:szCs w:val="20"/>
          <w:lang w:val="es-ES"/>
        </w:rPr>
        <w:t xml:space="preserve"> de la prisión preventiva deberá contener una motivación suficiente e individualizada que permita evaluar si tal detención se ajusta a las condiciones necesarias para su aplicación</w:t>
      </w:r>
      <w:r w:rsidRPr="0010796C">
        <w:rPr>
          <w:rStyle w:val="FootnoteReference"/>
          <w:rFonts w:ascii="Cambria" w:hAnsi="Cambria" w:cs="Calibri"/>
          <w:sz w:val="20"/>
          <w:szCs w:val="20"/>
          <w:lang w:val="es-ES"/>
        </w:rPr>
        <w:footnoteReference w:id="192"/>
      </w:r>
      <w:r w:rsidRPr="0010796C">
        <w:rPr>
          <w:rFonts w:ascii="Cambria" w:hAnsi="Cambria" w:cs="Calibri"/>
          <w:sz w:val="20"/>
          <w:szCs w:val="20"/>
          <w:lang w:val="es-ES"/>
        </w:rPr>
        <w:t xml:space="preserve">. </w:t>
      </w:r>
    </w:p>
    <w:p w:rsidR="00714476" w:rsidRPr="0010796C" w:rsidRDefault="00714476" w:rsidP="00714476">
      <w:pPr>
        <w:tabs>
          <w:tab w:val="left" w:pos="1440"/>
        </w:tabs>
        <w:ind w:left="720"/>
        <w:jc w:val="both"/>
        <w:rPr>
          <w:rFonts w:ascii="Cambria" w:hAnsi="Cambria"/>
          <w:sz w:val="20"/>
          <w:szCs w:val="20"/>
          <w:lang w:val="es-ES"/>
        </w:rPr>
      </w:pPr>
    </w:p>
    <w:p w:rsidR="00714476" w:rsidRPr="0010796C" w:rsidRDefault="00714476" w:rsidP="00714476">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sz w:val="20"/>
          <w:szCs w:val="20"/>
          <w:lang w:val="es-ES"/>
        </w:rPr>
      </w:pPr>
      <w:r w:rsidRPr="0010796C">
        <w:rPr>
          <w:rFonts w:ascii="Cambria" w:hAnsi="Cambria"/>
          <w:sz w:val="20"/>
          <w:szCs w:val="20"/>
          <w:lang w:val="es-ES"/>
        </w:rPr>
        <w:t>Por otra parte, el artículo 7.5 de la Convención Americana impone límites temporales a la duración de la prisión preventiva y, en consecuencia, a las facultades del Estado para proteger los fines del proceso mediante este tipo de medida cautelar. Como ha indicado la Corte Interamericana “cuando el plazo de la prisión preventiva sobrepasa lo razonable, el Estado podrá limitar la libertad del imputado con otras medidas menos lesivas que aseguren su comparecencia al juicio, distintas de la privación de libertad”</w:t>
      </w:r>
      <w:r w:rsidRPr="0010796C">
        <w:rPr>
          <w:rStyle w:val="FootnoteReference"/>
          <w:rFonts w:ascii="Cambria" w:hAnsi="Cambria"/>
          <w:sz w:val="20"/>
          <w:szCs w:val="20"/>
          <w:lang w:val="es-ES"/>
        </w:rPr>
        <w:footnoteReference w:id="193"/>
      </w:r>
      <w:r w:rsidRPr="0010796C">
        <w:rPr>
          <w:rFonts w:ascii="Cambria" w:hAnsi="Cambria"/>
          <w:sz w:val="20"/>
          <w:szCs w:val="20"/>
          <w:lang w:val="es-ES"/>
        </w:rPr>
        <w:t xml:space="preserve">. La Corte ha indicado que aun cuando medien razones para mantener a una persona en prisión preventiva, </w:t>
      </w:r>
      <w:r w:rsidRPr="0010796C">
        <w:rPr>
          <w:rFonts w:ascii="Cambria" w:hAnsi="Cambria" w:cs="Calibri"/>
          <w:sz w:val="20"/>
          <w:szCs w:val="20"/>
          <w:lang w:val="es-ES"/>
        </w:rPr>
        <w:t>el</w:t>
      </w:r>
      <w:r w:rsidRPr="0010796C">
        <w:rPr>
          <w:rFonts w:ascii="Cambria" w:hAnsi="Cambria"/>
          <w:sz w:val="20"/>
          <w:szCs w:val="20"/>
          <w:lang w:val="es-ES"/>
        </w:rPr>
        <w:t xml:space="preserve"> período de la detención no debe exceder el límite de lo razonable</w:t>
      </w:r>
      <w:r w:rsidRPr="0010796C">
        <w:rPr>
          <w:rStyle w:val="FootnoteReference"/>
          <w:rFonts w:ascii="Cambria" w:hAnsi="Cambria"/>
          <w:sz w:val="20"/>
          <w:szCs w:val="20"/>
          <w:lang w:val="es-ES"/>
        </w:rPr>
        <w:footnoteReference w:id="194"/>
      </w:r>
      <w:r w:rsidRPr="0010796C">
        <w:rPr>
          <w:rFonts w:ascii="Cambria" w:hAnsi="Cambria"/>
          <w:sz w:val="20"/>
          <w:szCs w:val="20"/>
          <w:lang w:val="es-ES"/>
        </w:rPr>
        <w:t>.</w:t>
      </w:r>
    </w:p>
    <w:p w:rsidR="00714476" w:rsidRPr="0010796C" w:rsidRDefault="00714476" w:rsidP="00714476">
      <w:pPr>
        <w:pStyle w:val="ColorfulList-Accent12"/>
        <w:rPr>
          <w:sz w:val="20"/>
          <w:szCs w:val="20"/>
          <w:lang w:val="es-ES"/>
        </w:rPr>
      </w:pPr>
    </w:p>
    <w:p w:rsidR="00714476" w:rsidRPr="0010796C" w:rsidRDefault="00714476" w:rsidP="00714476">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 xml:space="preserve">En cuanto a la necesidad de una revisión periódica de los fundamentos de la detención preventiva y de su tiempo de duración, la Corte ha indicado que: </w:t>
      </w:r>
    </w:p>
    <w:p w:rsidR="00714476" w:rsidRPr="0010796C" w:rsidRDefault="00714476" w:rsidP="00714476">
      <w:pPr>
        <w:pStyle w:val="ColorfulList-Accent12"/>
        <w:rPr>
          <w:sz w:val="20"/>
          <w:szCs w:val="20"/>
          <w:lang w:val="es-ES"/>
        </w:rPr>
      </w:pPr>
    </w:p>
    <w:p w:rsidR="00714476" w:rsidRPr="0010796C" w:rsidRDefault="00714476" w:rsidP="00714476">
      <w:pPr>
        <w:tabs>
          <w:tab w:val="left" w:pos="1440"/>
        </w:tabs>
        <w:ind w:left="720" w:right="720"/>
        <w:jc w:val="both"/>
        <w:rPr>
          <w:rFonts w:ascii="Cambria" w:hAnsi="Cambria"/>
          <w:sz w:val="20"/>
          <w:szCs w:val="20"/>
          <w:lang w:val="es-ES"/>
        </w:rPr>
      </w:pPr>
      <w:r w:rsidRPr="0010796C">
        <w:rPr>
          <w:rFonts w:ascii="Cambria" w:hAnsi="Cambria"/>
          <w:sz w:val="20"/>
          <w:szCs w:val="20"/>
          <w:lang w:val="es-ES"/>
        </w:rPr>
        <w:t>(…) una detención o prisión preventiva debe estar sometida a revisión periódica, de tal forma que no se prolongue cuando no subsistan las razones que motivaron su adopción (…). En cualquier momento en que aparezca que la prisión preventiva no satisface estas condiciones, deberá decretarse la libertad, sin perjuicio de que el proceso respectivo continúe</w:t>
      </w:r>
      <w:r w:rsidRPr="0010796C">
        <w:rPr>
          <w:rStyle w:val="FootnoteReference"/>
          <w:rFonts w:ascii="Cambria" w:hAnsi="Cambria"/>
          <w:sz w:val="20"/>
          <w:szCs w:val="20"/>
          <w:lang w:val="es-ES"/>
        </w:rPr>
        <w:footnoteReference w:id="195"/>
      </w:r>
      <w:r w:rsidRPr="0010796C">
        <w:rPr>
          <w:rFonts w:ascii="Cambria" w:hAnsi="Cambria"/>
          <w:sz w:val="20"/>
          <w:szCs w:val="20"/>
          <w:lang w:val="es-ES"/>
        </w:rPr>
        <w:t xml:space="preserve">. </w:t>
      </w:r>
    </w:p>
    <w:p w:rsidR="00714476" w:rsidRPr="0010796C" w:rsidRDefault="00714476" w:rsidP="00714476">
      <w:pPr>
        <w:pStyle w:val="ColorfulList-Accent12"/>
        <w:rPr>
          <w:sz w:val="20"/>
          <w:szCs w:val="20"/>
          <w:lang w:val="es-ES"/>
        </w:rPr>
      </w:pPr>
    </w:p>
    <w:p w:rsidR="00714476" w:rsidRPr="0010796C" w:rsidRDefault="00714476" w:rsidP="00714476">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sz w:val="20"/>
          <w:szCs w:val="20"/>
          <w:lang w:val="es-ES"/>
        </w:rPr>
        <w:t xml:space="preserve">Además de sus efectos en el ejercicio del derecho a la libertad personal, tanto la Comisión como la Corte han indicado que el uso indebido de la detención preventiva puede tener un impacto en el principio de presunción de inocencia contenida en el artículo 8.2 de la Convención Americana. Al respecto se ha destacado </w:t>
      </w:r>
      <w:r w:rsidRPr="0010796C">
        <w:rPr>
          <w:rFonts w:ascii="Cambria" w:hAnsi="Cambria" w:cs="Calibri"/>
          <w:sz w:val="20"/>
          <w:szCs w:val="20"/>
          <w:lang w:val="es-ES"/>
        </w:rPr>
        <w:t>la importancia del</w:t>
      </w:r>
      <w:r w:rsidRPr="0010796C">
        <w:rPr>
          <w:rFonts w:ascii="Cambria" w:hAnsi="Cambria"/>
          <w:sz w:val="20"/>
          <w:szCs w:val="20"/>
          <w:lang w:val="es-ES"/>
        </w:rPr>
        <w:t xml:space="preserve"> </w:t>
      </w:r>
      <w:r w:rsidRPr="0010796C">
        <w:rPr>
          <w:rFonts w:ascii="Cambria" w:hAnsi="Cambria" w:cs="Calibri"/>
          <w:sz w:val="20"/>
          <w:szCs w:val="20"/>
          <w:lang w:val="es-ES"/>
        </w:rPr>
        <w:t>criterio de razonabilidad, pues mantener privada de libertad a una persona más allá del tiempo razonable para el cumplimiento de los fines que justifican su detención equivaldría, en los hechos, a una pena anticipada</w:t>
      </w:r>
      <w:r w:rsidRPr="0010796C">
        <w:rPr>
          <w:rStyle w:val="FootnoteReference"/>
          <w:rFonts w:ascii="Cambria" w:hAnsi="Cambria" w:cs="Calibri"/>
          <w:sz w:val="20"/>
          <w:szCs w:val="20"/>
          <w:lang w:val="es-ES"/>
        </w:rPr>
        <w:footnoteReference w:id="196"/>
      </w:r>
      <w:r w:rsidRPr="0010796C">
        <w:rPr>
          <w:rFonts w:ascii="Cambria" w:hAnsi="Cambria" w:cs="Calibri"/>
          <w:sz w:val="20"/>
          <w:szCs w:val="20"/>
          <w:lang w:val="es-ES"/>
        </w:rPr>
        <w:t xml:space="preserve">. </w:t>
      </w:r>
    </w:p>
    <w:p w:rsidR="00714476" w:rsidRPr="0010796C" w:rsidRDefault="00714476" w:rsidP="00714476">
      <w:pPr>
        <w:ind w:left="720"/>
        <w:jc w:val="both"/>
        <w:rPr>
          <w:rFonts w:ascii="Cambria" w:hAnsi="Cambria"/>
          <w:sz w:val="20"/>
          <w:szCs w:val="20"/>
          <w:lang w:val="es-ES"/>
        </w:rPr>
      </w:pPr>
    </w:p>
    <w:p w:rsidR="00714476" w:rsidRPr="0010796C" w:rsidRDefault="00714476" w:rsidP="00714476">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10796C">
        <w:rPr>
          <w:rFonts w:ascii="Cambria" w:hAnsi="Cambria" w:cs="Calibri"/>
          <w:sz w:val="20"/>
          <w:szCs w:val="20"/>
          <w:lang w:val="es-ES"/>
        </w:rPr>
        <w:t xml:space="preserve">En </w:t>
      </w:r>
      <w:r w:rsidRPr="0010796C">
        <w:rPr>
          <w:rFonts w:ascii="Cambria" w:hAnsi="Cambria"/>
          <w:sz w:val="20"/>
          <w:szCs w:val="20"/>
          <w:lang w:val="es-ES"/>
        </w:rPr>
        <w:t>palabras</w:t>
      </w:r>
      <w:r w:rsidRPr="0010796C">
        <w:rPr>
          <w:rFonts w:ascii="Cambria" w:hAnsi="Cambria" w:cs="Calibri"/>
          <w:sz w:val="20"/>
          <w:szCs w:val="20"/>
          <w:lang w:val="es-ES"/>
        </w:rPr>
        <w:t xml:space="preserve"> de la CIDH, la demora irrazonable de la detención preventiva:</w:t>
      </w:r>
    </w:p>
    <w:p w:rsidR="00714476" w:rsidRPr="0010796C" w:rsidRDefault="00714476" w:rsidP="00714476">
      <w:pPr>
        <w:ind w:left="720"/>
        <w:jc w:val="both"/>
        <w:rPr>
          <w:rFonts w:ascii="Cambria" w:hAnsi="Cambria"/>
          <w:sz w:val="20"/>
          <w:szCs w:val="20"/>
          <w:lang w:val="es-ES"/>
        </w:rPr>
      </w:pPr>
    </w:p>
    <w:p w:rsidR="00714476" w:rsidRPr="0010796C" w:rsidRDefault="00714476" w:rsidP="00714476">
      <w:pPr>
        <w:ind w:left="720" w:right="720"/>
        <w:jc w:val="both"/>
        <w:rPr>
          <w:rFonts w:ascii="Cambria" w:hAnsi="Cambria"/>
          <w:spacing w:val="-3"/>
          <w:sz w:val="20"/>
          <w:szCs w:val="20"/>
          <w:lang w:val="es-ES"/>
        </w:rPr>
      </w:pPr>
      <w:r w:rsidRPr="0010796C">
        <w:rPr>
          <w:rFonts w:ascii="Cambria" w:hAnsi="Cambria"/>
          <w:spacing w:val="-3"/>
          <w:sz w:val="20"/>
          <w:szCs w:val="20"/>
          <w:lang w:val="es-ES"/>
        </w:rPr>
        <w:t>Además, aumenta el riesgo de que se invierta el sentido de la presunción de inocencia cuando la detención previa al juicio es de duración no razonable.  La presunción de inocencia se torna cada vez más vacía y finalmente se convierte en una burla cuando la detención previa al juicio es excesivamente prolongada dado que, a pesar de la presunción, se está privando de la libertad a una persona todavía inocente, castigo severo que legítimamente se impone a los que han sido condenados</w:t>
      </w:r>
      <w:r w:rsidRPr="0010796C">
        <w:rPr>
          <w:rStyle w:val="FootnoteReference"/>
          <w:rFonts w:ascii="Cambria" w:hAnsi="Cambria"/>
          <w:spacing w:val="-3"/>
          <w:sz w:val="20"/>
          <w:szCs w:val="20"/>
          <w:lang w:val="es-ES"/>
        </w:rPr>
        <w:footnoteReference w:id="197"/>
      </w:r>
      <w:r w:rsidRPr="0010796C">
        <w:rPr>
          <w:rFonts w:ascii="Cambria" w:hAnsi="Cambria"/>
          <w:spacing w:val="-3"/>
          <w:sz w:val="20"/>
          <w:szCs w:val="20"/>
          <w:lang w:val="es-ES"/>
        </w:rPr>
        <w:t>.</w:t>
      </w:r>
    </w:p>
    <w:p w:rsidR="00714476" w:rsidRPr="0010796C" w:rsidRDefault="00714476" w:rsidP="00714476">
      <w:pPr>
        <w:ind w:left="720" w:right="720"/>
        <w:jc w:val="both"/>
        <w:rPr>
          <w:rFonts w:ascii="Cambria" w:hAnsi="Cambria"/>
          <w:spacing w:val="-3"/>
          <w:sz w:val="20"/>
          <w:szCs w:val="20"/>
          <w:lang w:val="es-ES"/>
        </w:rPr>
      </w:pPr>
    </w:p>
    <w:p w:rsidR="00714476" w:rsidRPr="0010796C" w:rsidRDefault="00714476" w:rsidP="00714476">
      <w:pPr>
        <w:ind w:left="720" w:right="720"/>
        <w:jc w:val="both"/>
        <w:rPr>
          <w:rFonts w:ascii="Cambria" w:hAnsi="Cambria"/>
          <w:spacing w:val="-3"/>
          <w:sz w:val="20"/>
          <w:szCs w:val="20"/>
          <w:lang w:val="es-ES"/>
        </w:rPr>
      </w:pPr>
      <w:r w:rsidRPr="0010796C">
        <w:rPr>
          <w:rFonts w:ascii="Cambria" w:hAnsi="Cambria"/>
          <w:spacing w:val="-3"/>
          <w:sz w:val="20"/>
          <w:szCs w:val="20"/>
          <w:lang w:val="es-ES"/>
        </w:rPr>
        <w:t>(…)</w:t>
      </w:r>
    </w:p>
    <w:p w:rsidR="00714476" w:rsidRPr="0010796C" w:rsidRDefault="00714476" w:rsidP="00714476">
      <w:pPr>
        <w:ind w:left="720" w:right="720"/>
        <w:jc w:val="both"/>
        <w:rPr>
          <w:rFonts w:ascii="Cambria" w:hAnsi="Cambria"/>
          <w:spacing w:val="-3"/>
          <w:sz w:val="20"/>
          <w:szCs w:val="20"/>
          <w:lang w:val="es-ES"/>
        </w:rPr>
      </w:pPr>
    </w:p>
    <w:p w:rsidR="00714476" w:rsidRPr="0010796C" w:rsidRDefault="00714476" w:rsidP="00714476">
      <w:pPr>
        <w:ind w:left="720" w:right="720"/>
        <w:jc w:val="both"/>
        <w:rPr>
          <w:rFonts w:ascii="Cambria" w:hAnsi="Cambria"/>
          <w:sz w:val="20"/>
          <w:szCs w:val="20"/>
          <w:lang w:val="es-ES"/>
        </w:rPr>
      </w:pPr>
      <w:r w:rsidRPr="0010796C">
        <w:rPr>
          <w:rFonts w:ascii="Cambria" w:hAnsi="Cambria"/>
          <w:spacing w:val="-3"/>
          <w:sz w:val="20"/>
          <w:szCs w:val="20"/>
          <w:lang w:val="es-ES"/>
        </w:rPr>
        <w:t>Si el Estado no determina el juicio de reproche dentro de un plazo razonable y justifica la prolongación de la privación de libertad del acusado sobre la base de la sospecha que existe en su contra, está, fundamentalmente, sustituyendo la pena con la prisión preventiva</w:t>
      </w:r>
      <w:r w:rsidRPr="0010796C">
        <w:rPr>
          <w:rStyle w:val="FootnoteReference"/>
          <w:rFonts w:ascii="Cambria" w:hAnsi="Cambria"/>
          <w:spacing w:val="-3"/>
          <w:sz w:val="20"/>
          <w:szCs w:val="20"/>
          <w:lang w:val="es-ES"/>
        </w:rPr>
        <w:footnoteReference w:id="198"/>
      </w:r>
      <w:r w:rsidRPr="0010796C">
        <w:rPr>
          <w:rFonts w:ascii="Cambria" w:hAnsi="Cambria"/>
          <w:spacing w:val="-3"/>
          <w:sz w:val="20"/>
          <w:szCs w:val="20"/>
          <w:lang w:val="es-ES"/>
        </w:rPr>
        <w:t>.</w:t>
      </w:r>
    </w:p>
    <w:p w:rsidR="00714476" w:rsidRPr="0010796C" w:rsidRDefault="00714476" w:rsidP="00714476">
      <w:pPr>
        <w:pStyle w:val="ColorfulList-Accent12"/>
        <w:jc w:val="both"/>
        <w:rPr>
          <w:rFonts w:cs="Calibri"/>
          <w:sz w:val="20"/>
          <w:szCs w:val="20"/>
          <w:lang w:val="es-ES"/>
        </w:rPr>
      </w:pPr>
    </w:p>
    <w:p w:rsidR="00714476" w:rsidRPr="0010796C" w:rsidRDefault="00714476" w:rsidP="00714476">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sz w:val="20"/>
          <w:szCs w:val="20"/>
          <w:lang w:val="es-ES"/>
        </w:rPr>
      </w:pPr>
      <w:r w:rsidRPr="0010796C">
        <w:rPr>
          <w:rFonts w:ascii="Cambria" w:hAnsi="Cambria" w:cs="Calibri"/>
          <w:sz w:val="20"/>
          <w:szCs w:val="20"/>
          <w:lang w:val="es-ES"/>
        </w:rPr>
        <w:t>El respeto al derecho a la presunción de inocencia exige igualmente que el Estado fundamente y acredite, de manera clara y motivada, según cada caso concreto, la existencia de los requisitos válidos de procedencia de la prisión preventiva</w:t>
      </w:r>
      <w:r w:rsidRPr="0010796C">
        <w:rPr>
          <w:rStyle w:val="FootnoteReference"/>
          <w:rFonts w:ascii="Cambria" w:hAnsi="Cambria" w:cs="Calibri"/>
          <w:sz w:val="20"/>
          <w:szCs w:val="20"/>
          <w:lang w:val="es-ES"/>
        </w:rPr>
        <w:footnoteReference w:id="199"/>
      </w:r>
      <w:r w:rsidRPr="0010796C">
        <w:rPr>
          <w:rFonts w:ascii="Cambria" w:hAnsi="Cambria" w:cs="Calibri"/>
          <w:sz w:val="20"/>
          <w:szCs w:val="20"/>
          <w:lang w:val="es-ES"/>
        </w:rPr>
        <w:t>. Por ende, también se viola el principio de presunción de inocencia cuando la prisión preventiva se impone arbitrariamente; o bien, cuando su aplicación está determinada esencialmente, por ejemplo, por el tipo de delito, la expectativa de la pena o la mera existencia de indicios razonables que vinculen al acusado</w:t>
      </w:r>
      <w:r w:rsidRPr="0010796C">
        <w:rPr>
          <w:rStyle w:val="FootnoteReference"/>
          <w:rFonts w:ascii="Cambria" w:hAnsi="Cambria" w:cs="Calibri"/>
          <w:sz w:val="20"/>
          <w:szCs w:val="20"/>
          <w:lang w:val="es-ES"/>
        </w:rPr>
        <w:footnoteReference w:id="200"/>
      </w:r>
      <w:r w:rsidRPr="0010796C">
        <w:rPr>
          <w:rFonts w:ascii="Cambria" w:hAnsi="Cambria" w:cs="Calibri"/>
          <w:sz w:val="20"/>
          <w:szCs w:val="20"/>
          <w:lang w:val="es-ES"/>
        </w:rPr>
        <w:t>.</w:t>
      </w:r>
    </w:p>
    <w:p w:rsidR="000B0119" w:rsidRPr="0010796C" w:rsidRDefault="000B0119" w:rsidP="000B011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sz w:val="20"/>
          <w:szCs w:val="20"/>
          <w:lang w:val="es-ES"/>
        </w:rPr>
      </w:pPr>
    </w:p>
    <w:p w:rsidR="000B0119" w:rsidRPr="0010796C" w:rsidRDefault="000B0119" w:rsidP="000B0119">
      <w:pPr>
        <w:numPr>
          <w:ilvl w:val="0"/>
          <w:numId w:val="55"/>
        </w:numPr>
        <w:jc w:val="both"/>
        <w:rPr>
          <w:rFonts w:ascii="Cambria" w:hAnsi="Cambria"/>
          <w:b/>
          <w:sz w:val="20"/>
          <w:szCs w:val="20"/>
          <w:lang w:val="es-ES"/>
        </w:rPr>
      </w:pPr>
      <w:r w:rsidRPr="0010796C">
        <w:rPr>
          <w:rFonts w:ascii="Cambria" w:hAnsi="Cambria" w:cs="Callibri"/>
          <w:sz w:val="20"/>
          <w:szCs w:val="20"/>
          <w:lang w:val="es-ES"/>
        </w:rPr>
        <w:t>Finalmente, el derecho establecido en el artículo 7.6 de la Convención Americana no se cumple con la sola existencia formal de los recursos que regula. Dichos recursos deben ser eficaces, pues su propósito, según el mismo artículo 7.6, es obtener una decisión pronta “</w:t>
      </w:r>
      <w:r w:rsidRPr="0010796C">
        <w:rPr>
          <w:rFonts w:ascii="Cambria" w:hAnsi="Cambria" w:cs="Callibri"/>
          <w:i/>
          <w:sz w:val="20"/>
          <w:szCs w:val="20"/>
          <w:lang w:val="es-ES"/>
        </w:rPr>
        <w:t xml:space="preserve">sobre la legalidad </w:t>
      </w:r>
      <w:r w:rsidRPr="0010796C">
        <w:rPr>
          <w:rFonts w:ascii="Cambria" w:hAnsi="Cambria" w:cs="Callibri"/>
          <w:sz w:val="20"/>
          <w:szCs w:val="20"/>
          <w:lang w:val="es-ES"/>
        </w:rPr>
        <w:t xml:space="preserve">[del] </w:t>
      </w:r>
      <w:r w:rsidRPr="0010796C">
        <w:rPr>
          <w:rFonts w:ascii="Cambria" w:hAnsi="Cambria" w:cs="Callibri"/>
          <w:i/>
          <w:sz w:val="20"/>
          <w:szCs w:val="20"/>
          <w:lang w:val="es-ES"/>
        </w:rPr>
        <w:t xml:space="preserve">arresto o </w:t>
      </w:r>
      <w:r w:rsidRPr="0010796C">
        <w:rPr>
          <w:rFonts w:ascii="Cambria" w:hAnsi="Cambria" w:cs="Callibri"/>
          <w:sz w:val="20"/>
          <w:szCs w:val="20"/>
          <w:lang w:val="es-ES"/>
        </w:rPr>
        <w:t xml:space="preserve">[la] </w:t>
      </w:r>
      <w:r w:rsidRPr="0010796C">
        <w:rPr>
          <w:rFonts w:ascii="Cambria" w:hAnsi="Cambria" w:cs="Callibri"/>
          <w:i/>
          <w:sz w:val="20"/>
          <w:szCs w:val="20"/>
          <w:lang w:val="es-ES"/>
        </w:rPr>
        <w:t>detención</w:t>
      </w:r>
      <w:r w:rsidRPr="0010796C">
        <w:rPr>
          <w:rFonts w:ascii="Cambria" w:hAnsi="Cambria" w:cs="Callibri"/>
          <w:sz w:val="20"/>
          <w:szCs w:val="20"/>
          <w:lang w:val="es-ES"/>
        </w:rPr>
        <w:t>” y, en caso de que éstos fuesen ilegales, la obtención, también sin demora, de una orden de libertad</w:t>
      </w:r>
      <w:r w:rsidRPr="0010796C">
        <w:rPr>
          <w:rStyle w:val="FootnoteReference"/>
          <w:rFonts w:ascii="Cambria" w:hAnsi="Cambria" w:cs="Callibri"/>
          <w:sz w:val="20"/>
          <w:szCs w:val="20"/>
          <w:lang w:val="es-ES"/>
        </w:rPr>
        <w:footnoteReference w:id="201"/>
      </w:r>
      <w:r w:rsidRPr="0010796C">
        <w:rPr>
          <w:rFonts w:ascii="Cambria" w:hAnsi="Cambria" w:cs="Callibri"/>
          <w:sz w:val="20"/>
          <w:szCs w:val="20"/>
          <w:lang w:val="es-ES"/>
        </w:rPr>
        <w:t>.</w:t>
      </w:r>
    </w:p>
    <w:p w:rsidR="00F221D5" w:rsidRPr="0010796C" w:rsidRDefault="00F221D5" w:rsidP="00337918">
      <w:pPr>
        <w:jc w:val="both"/>
        <w:rPr>
          <w:rFonts w:ascii="Cambria" w:hAnsi="Cambria"/>
          <w:sz w:val="20"/>
          <w:szCs w:val="20"/>
          <w:lang w:val="es-ES"/>
        </w:rPr>
      </w:pPr>
    </w:p>
    <w:p w:rsidR="00D24845" w:rsidRPr="0010796C" w:rsidRDefault="00D91E02" w:rsidP="00D91E02">
      <w:pPr>
        <w:pStyle w:val="Heading3"/>
        <w:keepLines/>
        <w:numPr>
          <w:ilvl w:val="1"/>
          <w:numId w:val="67"/>
        </w:numPr>
        <w:pBdr>
          <w:top w:val="nil"/>
          <w:left w:val="nil"/>
          <w:bottom w:val="nil"/>
          <w:right w:val="nil"/>
          <w:between w:val="nil"/>
          <w:bar w:val="nil"/>
        </w:pBdr>
        <w:tabs>
          <w:tab w:val="clear" w:pos="1800"/>
          <w:tab w:val="num" w:pos="720"/>
        </w:tabs>
        <w:ind w:left="720" w:firstLine="0"/>
        <w:rPr>
          <w:lang w:val="es-ES"/>
        </w:rPr>
      </w:pPr>
      <w:bookmarkStart w:id="51" w:name="_Toc486526413"/>
      <w:r w:rsidRPr="0010796C">
        <w:rPr>
          <w:lang w:val="es-ES"/>
        </w:rPr>
        <w:t>Análisis del presente caso</w:t>
      </w:r>
      <w:bookmarkEnd w:id="51"/>
    </w:p>
    <w:p w:rsidR="00D91E02" w:rsidRPr="0010796C" w:rsidRDefault="00D91E02" w:rsidP="00A27118">
      <w:pPr>
        <w:jc w:val="both"/>
        <w:rPr>
          <w:rFonts w:ascii="Cambria" w:hAnsi="Cambria"/>
          <w:sz w:val="20"/>
          <w:szCs w:val="20"/>
          <w:lang w:val="es-ES"/>
        </w:rPr>
      </w:pPr>
    </w:p>
    <w:p w:rsidR="00893EE3" w:rsidRPr="0010796C" w:rsidRDefault="0000761B" w:rsidP="00A27118">
      <w:pPr>
        <w:numPr>
          <w:ilvl w:val="0"/>
          <w:numId w:val="55"/>
        </w:numPr>
        <w:jc w:val="both"/>
        <w:rPr>
          <w:rFonts w:ascii="Cambria" w:hAnsi="Cambria"/>
          <w:sz w:val="20"/>
          <w:szCs w:val="20"/>
          <w:lang w:val="es-ES"/>
        </w:rPr>
      </w:pPr>
      <w:r w:rsidRPr="0010796C">
        <w:rPr>
          <w:rFonts w:ascii="Cambria" w:hAnsi="Cambria"/>
          <w:sz w:val="20"/>
          <w:szCs w:val="20"/>
          <w:lang w:val="es-ES"/>
        </w:rPr>
        <w:t xml:space="preserve">En primer lugar y en cuanto a la legalidad de la detención preventiva, la Comisión observa que </w:t>
      </w:r>
      <w:r w:rsidR="00C21F30" w:rsidRPr="0010796C">
        <w:rPr>
          <w:rFonts w:ascii="Cambria" w:hAnsi="Cambria"/>
          <w:sz w:val="20"/>
          <w:szCs w:val="20"/>
          <w:lang w:val="es-ES"/>
        </w:rPr>
        <w:t xml:space="preserve">el </w:t>
      </w:r>
      <w:r w:rsidR="00F221D5" w:rsidRPr="0010796C">
        <w:rPr>
          <w:rFonts w:ascii="Cambria" w:hAnsi="Cambria"/>
          <w:sz w:val="20"/>
          <w:szCs w:val="20"/>
          <w:lang w:val="es-ES"/>
        </w:rPr>
        <w:t xml:space="preserve">señor Romero </w:t>
      </w:r>
      <w:proofErr w:type="spellStart"/>
      <w:r w:rsidR="00F221D5" w:rsidRPr="0010796C">
        <w:rPr>
          <w:rFonts w:ascii="Cambria" w:hAnsi="Cambria"/>
          <w:sz w:val="20"/>
          <w:szCs w:val="20"/>
          <w:lang w:val="es-ES"/>
        </w:rPr>
        <w:t>Feris</w:t>
      </w:r>
      <w:proofErr w:type="spellEnd"/>
      <w:r w:rsidR="00F221D5" w:rsidRPr="0010796C">
        <w:rPr>
          <w:rFonts w:ascii="Cambria" w:hAnsi="Cambria"/>
          <w:sz w:val="20"/>
          <w:szCs w:val="20"/>
          <w:lang w:val="es-ES"/>
        </w:rPr>
        <w:t xml:space="preserve"> estuvo bajo detención preventiva entre el 3 de agosto de 1999 y el 11 de septiembre de 2002</w:t>
      </w:r>
      <w:r w:rsidR="00C21F30" w:rsidRPr="0010796C">
        <w:rPr>
          <w:rFonts w:ascii="Cambria" w:hAnsi="Cambria"/>
          <w:sz w:val="20"/>
          <w:szCs w:val="20"/>
          <w:lang w:val="es-ES"/>
        </w:rPr>
        <w:t xml:space="preserve">, es decir, durante tres años, un mes y ocho días. </w:t>
      </w:r>
      <w:r w:rsidR="00932027" w:rsidRPr="0010796C">
        <w:rPr>
          <w:rFonts w:ascii="Cambria" w:hAnsi="Cambria"/>
          <w:sz w:val="20"/>
          <w:szCs w:val="20"/>
          <w:lang w:val="es-ES"/>
        </w:rPr>
        <w:t xml:space="preserve">Como se estableció en los hechos probados, </w:t>
      </w:r>
      <w:r w:rsidR="000B5695" w:rsidRPr="0010796C">
        <w:rPr>
          <w:rFonts w:ascii="Cambria" w:hAnsi="Cambria"/>
          <w:sz w:val="20"/>
          <w:szCs w:val="20"/>
          <w:lang w:val="es-ES"/>
        </w:rPr>
        <w:t xml:space="preserve">de acuerdo a la ley sobre plazos de prisión preventiva, ésta no </w:t>
      </w:r>
      <w:r w:rsidR="00017110" w:rsidRPr="0010796C">
        <w:rPr>
          <w:rFonts w:ascii="Cambria" w:hAnsi="Cambria"/>
          <w:sz w:val="20"/>
          <w:szCs w:val="20"/>
          <w:lang w:val="es-ES"/>
        </w:rPr>
        <w:t xml:space="preserve"> podía</w:t>
      </w:r>
      <w:r w:rsidR="000B5695" w:rsidRPr="0010796C">
        <w:rPr>
          <w:rFonts w:ascii="Cambria" w:hAnsi="Cambria"/>
          <w:sz w:val="20"/>
          <w:szCs w:val="20"/>
          <w:lang w:val="es-ES"/>
        </w:rPr>
        <w:t xml:space="preserve"> exceder </w:t>
      </w:r>
      <w:r w:rsidR="00932027" w:rsidRPr="0010796C">
        <w:rPr>
          <w:rFonts w:ascii="Cambria" w:hAnsi="Cambria"/>
          <w:sz w:val="20"/>
          <w:szCs w:val="20"/>
          <w:lang w:val="es-ES"/>
        </w:rPr>
        <w:t>los</w:t>
      </w:r>
      <w:r w:rsidR="000B5695" w:rsidRPr="0010796C">
        <w:rPr>
          <w:rFonts w:ascii="Cambria" w:hAnsi="Cambria"/>
          <w:sz w:val="20"/>
          <w:szCs w:val="20"/>
          <w:lang w:val="es-ES"/>
        </w:rPr>
        <w:t xml:space="preserve"> dos años y, </w:t>
      </w:r>
      <w:r w:rsidR="003B3C19" w:rsidRPr="0010796C">
        <w:rPr>
          <w:rFonts w:ascii="Cambria" w:hAnsi="Cambria"/>
          <w:sz w:val="20"/>
          <w:szCs w:val="20"/>
          <w:lang w:val="es-ES"/>
        </w:rPr>
        <w:t xml:space="preserve">sólo en ciertas circunstancias y mediante decisión fundada, </w:t>
      </w:r>
      <w:r w:rsidR="000B5695" w:rsidRPr="0010796C">
        <w:rPr>
          <w:rFonts w:ascii="Cambria" w:hAnsi="Cambria"/>
          <w:sz w:val="20"/>
          <w:szCs w:val="20"/>
          <w:lang w:val="es-ES"/>
        </w:rPr>
        <w:t>p</w:t>
      </w:r>
      <w:r w:rsidR="00FF7C86" w:rsidRPr="0010796C">
        <w:rPr>
          <w:rFonts w:ascii="Cambria" w:hAnsi="Cambria"/>
          <w:sz w:val="20"/>
          <w:szCs w:val="20"/>
          <w:lang w:val="es-ES"/>
        </w:rPr>
        <w:t xml:space="preserve">odía </w:t>
      </w:r>
      <w:r w:rsidR="000B5695" w:rsidRPr="0010796C">
        <w:rPr>
          <w:rFonts w:ascii="Cambria" w:hAnsi="Cambria"/>
          <w:sz w:val="20"/>
          <w:szCs w:val="20"/>
          <w:lang w:val="es-ES"/>
        </w:rPr>
        <w:t xml:space="preserve">ser prorrogada por un </w:t>
      </w:r>
      <w:r w:rsidR="003B3C19" w:rsidRPr="0010796C">
        <w:rPr>
          <w:rFonts w:ascii="Cambria" w:hAnsi="Cambria"/>
          <w:sz w:val="20"/>
          <w:szCs w:val="20"/>
          <w:lang w:val="es-ES"/>
        </w:rPr>
        <w:t>año</w:t>
      </w:r>
      <w:r w:rsidR="000B5695" w:rsidRPr="0010796C">
        <w:rPr>
          <w:rFonts w:ascii="Cambria" w:hAnsi="Cambria"/>
          <w:sz w:val="20"/>
          <w:szCs w:val="20"/>
          <w:lang w:val="es-ES"/>
        </w:rPr>
        <w:t xml:space="preserve"> más. </w:t>
      </w:r>
    </w:p>
    <w:p w:rsidR="00893EE3" w:rsidRPr="0010796C" w:rsidRDefault="00893EE3" w:rsidP="00893EE3">
      <w:pPr>
        <w:ind w:left="720"/>
        <w:jc w:val="both"/>
        <w:rPr>
          <w:rFonts w:ascii="Cambria" w:hAnsi="Cambria"/>
          <w:sz w:val="20"/>
          <w:szCs w:val="20"/>
          <w:lang w:val="es-ES"/>
        </w:rPr>
      </w:pPr>
    </w:p>
    <w:p w:rsidR="00F221D5" w:rsidRPr="0010796C" w:rsidRDefault="00C051A8" w:rsidP="00A27118">
      <w:pPr>
        <w:numPr>
          <w:ilvl w:val="0"/>
          <w:numId w:val="55"/>
        </w:numPr>
        <w:jc w:val="both"/>
        <w:rPr>
          <w:rFonts w:ascii="Cambria" w:hAnsi="Cambria"/>
          <w:sz w:val="20"/>
          <w:szCs w:val="20"/>
          <w:lang w:val="es-ES"/>
        </w:rPr>
      </w:pPr>
      <w:r w:rsidRPr="0010796C">
        <w:rPr>
          <w:rFonts w:ascii="Cambria" w:hAnsi="Cambria"/>
          <w:sz w:val="20"/>
          <w:szCs w:val="20"/>
          <w:lang w:val="es-ES"/>
        </w:rPr>
        <w:t xml:space="preserve">Al respecto, </w:t>
      </w:r>
      <w:r w:rsidR="00DE6F38" w:rsidRPr="0010796C">
        <w:rPr>
          <w:rFonts w:ascii="Cambria" w:hAnsi="Cambria"/>
          <w:sz w:val="20"/>
          <w:szCs w:val="20"/>
          <w:lang w:val="es-ES"/>
        </w:rPr>
        <w:t xml:space="preserve">la CIDH observa que mediante decisión de 1 de agosto de 2001 se dispuso prorrogar la detención preventiva del señor Romero </w:t>
      </w:r>
      <w:proofErr w:type="spellStart"/>
      <w:r w:rsidR="00DE6F38" w:rsidRPr="0010796C">
        <w:rPr>
          <w:rFonts w:ascii="Cambria" w:hAnsi="Cambria"/>
          <w:sz w:val="20"/>
          <w:szCs w:val="20"/>
          <w:lang w:val="es-ES"/>
        </w:rPr>
        <w:t>Feris</w:t>
      </w:r>
      <w:proofErr w:type="spellEnd"/>
      <w:r w:rsidR="00DE6F38" w:rsidRPr="0010796C">
        <w:rPr>
          <w:rFonts w:ascii="Cambria" w:hAnsi="Cambria"/>
          <w:sz w:val="20"/>
          <w:szCs w:val="20"/>
          <w:lang w:val="es-ES"/>
        </w:rPr>
        <w:t xml:space="preserve"> por ocho meses. De lo anterior resulta: </w:t>
      </w:r>
      <w:r w:rsidR="00893EE3" w:rsidRPr="0010796C">
        <w:rPr>
          <w:rFonts w:ascii="Cambria" w:hAnsi="Cambria"/>
          <w:sz w:val="20"/>
          <w:szCs w:val="20"/>
          <w:lang w:val="es-ES"/>
        </w:rPr>
        <w:t xml:space="preserve">i) que el señor Romero </w:t>
      </w:r>
      <w:proofErr w:type="spellStart"/>
      <w:r w:rsidR="00893EE3" w:rsidRPr="0010796C">
        <w:rPr>
          <w:rFonts w:ascii="Cambria" w:hAnsi="Cambria"/>
          <w:sz w:val="20"/>
          <w:szCs w:val="20"/>
          <w:lang w:val="es-ES"/>
        </w:rPr>
        <w:t>Feris</w:t>
      </w:r>
      <w:proofErr w:type="spellEnd"/>
      <w:r w:rsidR="00893EE3" w:rsidRPr="0010796C">
        <w:rPr>
          <w:rFonts w:ascii="Cambria" w:hAnsi="Cambria"/>
          <w:sz w:val="20"/>
          <w:szCs w:val="20"/>
          <w:lang w:val="es-ES"/>
        </w:rPr>
        <w:t xml:space="preserve"> es</w:t>
      </w:r>
      <w:r w:rsidR="00DE6F38" w:rsidRPr="0010796C">
        <w:rPr>
          <w:rFonts w:ascii="Cambria" w:hAnsi="Cambria"/>
          <w:sz w:val="20"/>
          <w:szCs w:val="20"/>
          <w:lang w:val="es-ES"/>
        </w:rPr>
        <w:t xml:space="preserve">tuvo privado de libertad un mes y ocho días adicionales al máximo legal de dos años prorrogables por uno más; y ii) que el señor Romero </w:t>
      </w:r>
      <w:proofErr w:type="spellStart"/>
      <w:r w:rsidR="00DE6F38" w:rsidRPr="0010796C">
        <w:rPr>
          <w:rFonts w:ascii="Cambria" w:hAnsi="Cambria"/>
          <w:sz w:val="20"/>
          <w:szCs w:val="20"/>
          <w:lang w:val="es-ES"/>
        </w:rPr>
        <w:t>Feris</w:t>
      </w:r>
      <w:proofErr w:type="spellEnd"/>
      <w:r w:rsidR="00DE6F38" w:rsidRPr="0010796C">
        <w:rPr>
          <w:rFonts w:ascii="Cambria" w:hAnsi="Cambria"/>
          <w:sz w:val="20"/>
          <w:szCs w:val="20"/>
          <w:lang w:val="es-ES"/>
        </w:rPr>
        <w:t xml:space="preserve"> estuvo privado de libertad cinco meses adicionales al tiempo de prórroga de su detención preventiva. En consecuencia, la </w:t>
      </w:r>
      <w:r w:rsidR="005A1847" w:rsidRPr="0010796C">
        <w:rPr>
          <w:rFonts w:ascii="Cambria" w:hAnsi="Cambria"/>
          <w:sz w:val="20"/>
          <w:szCs w:val="20"/>
          <w:lang w:val="es-ES"/>
        </w:rPr>
        <w:t xml:space="preserve">duración </w:t>
      </w:r>
      <w:r w:rsidR="00596818" w:rsidRPr="0010796C">
        <w:rPr>
          <w:rFonts w:ascii="Cambria" w:hAnsi="Cambria"/>
          <w:sz w:val="20"/>
          <w:szCs w:val="20"/>
          <w:lang w:val="es-ES"/>
        </w:rPr>
        <w:t xml:space="preserve">de la </w:t>
      </w:r>
      <w:r w:rsidR="00DE6F38" w:rsidRPr="0010796C">
        <w:rPr>
          <w:rFonts w:ascii="Cambria" w:hAnsi="Cambria"/>
          <w:sz w:val="20"/>
          <w:szCs w:val="20"/>
          <w:lang w:val="es-ES"/>
        </w:rPr>
        <w:t xml:space="preserve">detención preventiva del señor Romero </w:t>
      </w:r>
      <w:proofErr w:type="spellStart"/>
      <w:r w:rsidR="00DE6F38" w:rsidRPr="0010796C">
        <w:rPr>
          <w:rFonts w:ascii="Cambria" w:hAnsi="Cambria"/>
          <w:sz w:val="20"/>
          <w:szCs w:val="20"/>
          <w:lang w:val="es-ES"/>
        </w:rPr>
        <w:t>Feris</w:t>
      </w:r>
      <w:proofErr w:type="spellEnd"/>
      <w:r w:rsidR="00DE6F38" w:rsidRPr="0010796C">
        <w:rPr>
          <w:rFonts w:ascii="Cambria" w:hAnsi="Cambria"/>
          <w:sz w:val="20"/>
          <w:szCs w:val="20"/>
          <w:lang w:val="es-ES"/>
        </w:rPr>
        <w:t xml:space="preserve"> no respetó los términos establecidos en legislació</w:t>
      </w:r>
      <w:r w:rsidR="00596818" w:rsidRPr="0010796C">
        <w:rPr>
          <w:rFonts w:ascii="Cambria" w:hAnsi="Cambria"/>
          <w:sz w:val="20"/>
          <w:szCs w:val="20"/>
          <w:lang w:val="es-ES"/>
        </w:rPr>
        <w:t xml:space="preserve">n aplicable. </w:t>
      </w:r>
      <w:r w:rsidR="00DE6F38" w:rsidRPr="0010796C">
        <w:rPr>
          <w:rFonts w:ascii="Cambria" w:hAnsi="Cambria"/>
          <w:sz w:val="20"/>
          <w:szCs w:val="20"/>
          <w:lang w:val="es-ES"/>
        </w:rPr>
        <w:t xml:space="preserve"> </w:t>
      </w:r>
      <w:r w:rsidR="000B5695" w:rsidRPr="0010796C">
        <w:rPr>
          <w:rFonts w:ascii="Cambria" w:hAnsi="Cambria"/>
          <w:sz w:val="20"/>
          <w:szCs w:val="20"/>
          <w:lang w:val="es-ES"/>
        </w:rPr>
        <w:tab/>
      </w:r>
    </w:p>
    <w:p w:rsidR="00CE0B39" w:rsidRPr="0010796C" w:rsidRDefault="00CE0B39" w:rsidP="00EF2402">
      <w:pPr>
        <w:jc w:val="both"/>
        <w:rPr>
          <w:rFonts w:ascii="Cambria" w:hAnsi="Cambria"/>
          <w:sz w:val="20"/>
          <w:szCs w:val="20"/>
          <w:lang w:val="es-ES"/>
        </w:rPr>
      </w:pPr>
    </w:p>
    <w:p w:rsidR="002C1E27" w:rsidRPr="0010796C" w:rsidRDefault="00893EE3" w:rsidP="00EF2402">
      <w:pPr>
        <w:numPr>
          <w:ilvl w:val="0"/>
          <w:numId w:val="55"/>
        </w:numPr>
        <w:jc w:val="both"/>
        <w:rPr>
          <w:rFonts w:ascii="Cambria" w:hAnsi="Cambria"/>
          <w:sz w:val="20"/>
          <w:szCs w:val="20"/>
          <w:lang w:val="es-ES"/>
        </w:rPr>
      </w:pPr>
      <w:r w:rsidRPr="0010796C">
        <w:rPr>
          <w:rFonts w:ascii="Cambria" w:hAnsi="Cambria"/>
          <w:sz w:val="20"/>
          <w:szCs w:val="20"/>
          <w:lang w:val="es-ES"/>
        </w:rPr>
        <w:t xml:space="preserve">En segundo lugar y en cuanto </w:t>
      </w:r>
      <w:r w:rsidR="00EE19AB" w:rsidRPr="0010796C">
        <w:rPr>
          <w:rFonts w:ascii="Cambria" w:hAnsi="Cambria"/>
          <w:sz w:val="20"/>
          <w:szCs w:val="20"/>
          <w:lang w:val="es-ES"/>
        </w:rPr>
        <w:t xml:space="preserve">a la motivación de la detención </w:t>
      </w:r>
      <w:r w:rsidR="00F221D5" w:rsidRPr="0010796C">
        <w:rPr>
          <w:rFonts w:ascii="Cambria" w:hAnsi="Cambria"/>
          <w:sz w:val="20"/>
          <w:szCs w:val="20"/>
          <w:lang w:val="es-ES"/>
        </w:rPr>
        <w:t>preventiva, la Comisión no cuenta con</w:t>
      </w:r>
      <w:r w:rsidR="00EE19AB" w:rsidRPr="0010796C">
        <w:rPr>
          <w:rFonts w:ascii="Cambria" w:hAnsi="Cambria"/>
          <w:sz w:val="20"/>
          <w:szCs w:val="20"/>
          <w:lang w:val="es-ES"/>
        </w:rPr>
        <w:t xml:space="preserve"> el auto inicial mediante el cual se estableció dicha medida cautelar, por lo que no es posible emitir </w:t>
      </w:r>
      <w:r w:rsidR="00EE19AB" w:rsidRPr="0010796C">
        <w:rPr>
          <w:rFonts w:ascii="Cambria" w:hAnsi="Cambria"/>
          <w:sz w:val="20"/>
          <w:szCs w:val="20"/>
          <w:lang w:val="es-ES"/>
        </w:rPr>
        <w:lastRenderedPageBreak/>
        <w:t xml:space="preserve">un pronunciamiento sobre la convencionalidad o no de dicha motivación inicial. </w:t>
      </w:r>
      <w:r w:rsidR="00A933D2" w:rsidRPr="0010796C">
        <w:rPr>
          <w:rFonts w:ascii="Cambria" w:hAnsi="Cambria"/>
          <w:sz w:val="20"/>
          <w:szCs w:val="20"/>
          <w:lang w:val="es-ES"/>
        </w:rPr>
        <w:t xml:space="preserve">Sin embargo, </w:t>
      </w:r>
      <w:r w:rsidR="00F221D5" w:rsidRPr="0010796C">
        <w:rPr>
          <w:rFonts w:ascii="Cambria" w:hAnsi="Cambria"/>
          <w:sz w:val="20"/>
          <w:szCs w:val="20"/>
          <w:lang w:val="es-ES"/>
        </w:rPr>
        <w:t>la CIDH</w:t>
      </w:r>
      <w:r w:rsidR="00334433" w:rsidRPr="0010796C">
        <w:rPr>
          <w:rFonts w:ascii="Cambria" w:hAnsi="Cambria"/>
          <w:sz w:val="20"/>
          <w:szCs w:val="20"/>
          <w:lang w:val="es-ES"/>
        </w:rPr>
        <w:t xml:space="preserve"> sí cuenta con la motivación d</w:t>
      </w:r>
      <w:r w:rsidR="00F221D5" w:rsidRPr="0010796C">
        <w:rPr>
          <w:rFonts w:ascii="Cambria" w:hAnsi="Cambria"/>
          <w:sz w:val="20"/>
          <w:szCs w:val="20"/>
          <w:lang w:val="es-ES"/>
        </w:rPr>
        <w:t>e</w:t>
      </w:r>
      <w:r w:rsidR="00334433" w:rsidRPr="0010796C">
        <w:rPr>
          <w:rFonts w:ascii="Cambria" w:hAnsi="Cambria"/>
          <w:sz w:val="20"/>
          <w:szCs w:val="20"/>
          <w:lang w:val="es-ES"/>
        </w:rPr>
        <w:t xml:space="preserve"> la decisión del Juez de Instrucción no. 1 </w:t>
      </w:r>
      <w:r w:rsidR="00F221D5" w:rsidRPr="0010796C">
        <w:rPr>
          <w:rFonts w:ascii="Cambria" w:hAnsi="Cambria"/>
          <w:sz w:val="20"/>
          <w:szCs w:val="20"/>
          <w:lang w:val="es-ES"/>
        </w:rPr>
        <w:t xml:space="preserve"> de 1 de agosto de 2001</w:t>
      </w:r>
      <w:r w:rsidR="00334433" w:rsidRPr="0010796C">
        <w:rPr>
          <w:rFonts w:ascii="Cambria" w:hAnsi="Cambria"/>
          <w:sz w:val="20"/>
          <w:szCs w:val="20"/>
          <w:lang w:val="es-ES"/>
        </w:rPr>
        <w:t xml:space="preserve">, mediante la cual se </w:t>
      </w:r>
      <w:r w:rsidR="00F221D5" w:rsidRPr="0010796C">
        <w:rPr>
          <w:rFonts w:ascii="Cambria" w:hAnsi="Cambria"/>
          <w:sz w:val="20"/>
          <w:szCs w:val="20"/>
          <w:lang w:val="es-ES"/>
        </w:rPr>
        <w:t xml:space="preserve">decidió prorrogar la </w:t>
      </w:r>
      <w:r w:rsidR="00C109F3" w:rsidRPr="0010796C">
        <w:rPr>
          <w:rFonts w:ascii="Cambria" w:hAnsi="Cambria"/>
          <w:sz w:val="20"/>
          <w:szCs w:val="20"/>
          <w:lang w:val="es-ES"/>
        </w:rPr>
        <w:t xml:space="preserve">detención </w:t>
      </w:r>
      <w:r w:rsidR="00F221D5" w:rsidRPr="0010796C">
        <w:rPr>
          <w:rFonts w:ascii="Cambria" w:hAnsi="Cambria"/>
          <w:sz w:val="20"/>
          <w:szCs w:val="20"/>
          <w:lang w:val="es-ES"/>
        </w:rPr>
        <w:t xml:space="preserve">preventiva del señor Romero </w:t>
      </w:r>
      <w:proofErr w:type="spellStart"/>
      <w:r w:rsidR="00F221D5" w:rsidRPr="0010796C">
        <w:rPr>
          <w:rFonts w:ascii="Cambria" w:hAnsi="Cambria"/>
          <w:sz w:val="20"/>
          <w:szCs w:val="20"/>
          <w:lang w:val="es-ES"/>
        </w:rPr>
        <w:t>Feris</w:t>
      </w:r>
      <w:proofErr w:type="spellEnd"/>
      <w:r w:rsidR="00F221D5" w:rsidRPr="0010796C">
        <w:rPr>
          <w:rFonts w:ascii="Cambria" w:hAnsi="Cambria"/>
          <w:sz w:val="20"/>
          <w:szCs w:val="20"/>
          <w:lang w:val="es-ES"/>
        </w:rPr>
        <w:t xml:space="preserve">. </w:t>
      </w:r>
      <w:r w:rsidR="00CF123B" w:rsidRPr="0010796C">
        <w:rPr>
          <w:rFonts w:ascii="Cambria" w:hAnsi="Cambria"/>
          <w:sz w:val="20"/>
          <w:szCs w:val="20"/>
          <w:lang w:val="es-ES"/>
        </w:rPr>
        <w:t xml:space="preserve">En dicho auto se indica que </w:t>
      </w:r>
      <w:r w:rsidR="000B5695" w:rsidRPr="0010796C">
        <w:rPr>
          <w:rFonts w:ascii="Cambria" w:hAnsi="Cambria"/>
          <w:sz w:val="20"/>
          <w:szCs w:val="20"/>
          <w:lang w:val="es-ES"/>
        </w:rPr>
        <w:t>la detención preventiva</w:t>
      </w:r>
      <w:r w:rsidR="009D23E0" w:rsidRPr="0010796C">
        <w:rPr>
          <w:rFonts w:ascii="Cambria" w:hAnsi="Cambria"/>
          <w:sz w:val="20"/>
          <w:szCs w:val="20"/>
          <w:lang w:val="es-ES"/>
        </w:rPr>
        <w:t xml:space="preserve"> </w:t>
      </w:r>
      <w:r w:rsidR="00CB35FD" w:rsidRPr="0010796C">
        <w:rPr>
          <w:rFonts w:ascii="Cambria" w:hAnsi="Cambria"/>
          <w:sz w:val="20"/>
          <w:szCs w:val="20"/>
          <w:lang w:val="es-ES"/>
        </w:rPr>
        <w:t>debía</w:t>
      </w:r>
      <w:r w:rsidR="009D23E0" w:rsidRPr="0010796C">
        <w:rPr>
          <w:rFonts w:ascii="Cambria" w:hAnsi="Cambria"/>
          <w:sz w:val="20"/>
          <w:szCs w:val="20"/>
          <w:lang w:val="es-ES"/>
        </w:rPr>
        <w:t xml:space="preserve"> ser mantenida </w:t>
      </w:r>
      <w:r w:rsidR="00CB35FD" w:rsidRPr="0010796C">
        <w:rPr>
          <w:rFonts w:ascii="Cambria" w:hAnsi="Cambria"/>
          <w:sz w:val="20"/>
          <w:szCs w:val="20"/>
          <w:lang w:val="es-ES"/>
        </w:rPr>
        <w:t xml:space="preserve">y prorrogada tomando en cuenta que </w:t>
      </w:r>
      <w:r w:rsidR="002C1E27" w:rsidRPr="0010796C">
        <w:rPr>
          <w:rFonts w:ascii="Cambria" w:hAnsi="Cambria"/>
          <w:sz w:val="20"/>
          <w:szCs w:val="20"/>
          <w:lang w:val="es-ES"/>
        </w:rPr>
        <w:t xml:space="preserve">la pena que podría </w:t>
      </w:r>
      <w:r w:rsidR="002E472F" w:rsidRPr="0010796C">
        <w:rPr>
          <w:rFonts w:ascii="Cambria" w:hAnsi="Cambria"/>
          <w:sz w:val="20"/>
          <w:szCs w:val="20"/>
          <w:lang w:val="es-ES"/>
        </w:rPr>
        <w:t xml:space="preserve">recibir el señor Romero </w:t>
      </w:r>
      <w:proofErr w:type="spellStart"/>
      <w:r w:rsidR="002E472F" w:rsidRPr="0010796C">
        <w:rPr>
          <w:rFonts w:ascii="Cambria" w:hAnsi="Cambria"/>
          <w:sz w:val="20"/>
          <w:szCs w:val="20"/>
          <w:lang w:val="es-ES"/>
        </w:rPr>
        <w:t>Feris</w:t>
      </w:r>
      <w:proofErr w:type="spellEnd"/>
      <w:r w:rsidR="002E472F" w:rsidRPr="0010796C">
        <w:rPr>
          <w:rFonts w:ascii="Cambria" w:hAnsi="Cambria"/>
          <w:sz w:val="20"/>
          <w:szCs w:val="20"/>
          <w:lang w:val="es-ES"/>
        </w:rPr>
        <w:t xml:space="preserve"> era</w:t>
      </w:r>
      <w:r w:rsidR="002C1E27" w:rsidRPr="0010796C">
        <w:rPr>
          <w:rFonts w:ascii="Cambria" w:hAnsi="Cambria"/>
          <w:sz w:val="20"/>
          <w:szCs w:val="20"/>
          <w:lang w:val="es-ES"/>
        </w:rPr>
        <w:t xml:space="preserve"> de</w:t>
      </w:r>
      <w:r w:rsidR="002E472F" w:rsidRPr="0010796C">
        <w:rPr>
          <w:rFonts w:ascii="Cambria" w:hAnsi="Cambria"/>
          <w:sz w:val="20"/>
          <w:szCs w:val="20"/>
          <w:lang w:val="es-ES"/>
        </w:rPr>
        <w:t xml:space="preserve"> hasta </w:t>
      </w:r>
      <w:r w:rsidR="002C1E27" w:rsidRPr="0010796C">
        <w:rPr>
          <w:rFonts w:ascii="Cambria" w:hAnsi="Cambria"/>
          <w:sz w:val="20"/>
          <w:szCs w:val="20"/>
          <w:lang w:val="es-ES"/>
        </w:rPr>
        <w:t>25 años. Asimismo, se indican otros dos motivos: i) la inminencia en la realización de juicios; y ii) las manifestaciones de</w:t>
      </w:r>
      <w:r w:rsidR="00B14E67" w:rsidRPr="0010796C">
        <w:rPr>
          <w:rFonts w:ascii="Cambria" w:hAnsi="Cambria"/>
          <w:sz w:val="20"/>
          <w:szCs w:val="20"/>
          <w:lang w:val="es-ES"/>
        </w:rPr>
        <w:t xml:space="preserve">l señor Romero </w:t>
      </w:r>
      <w:proofErr w:type="spellStart"/>
      <w:r w:rsidR="00B14E67" w:rsidRPr="0010796C">
        <w:rPr>
          <w:rFonts w:ascii="Cambria" w:hAnsi="Cambria"/>
          <w:sz w:val="20"/>
          <w:szCs w:val="20"/>
          <w:lang w:val="es-ES"/>
        </w:rPr>
        <w:t>Feris</w:t>
      </w:r>
      <w:proofErr w:type="spellEnd"/>
      <w:r w:rsidR="00B14E67" w:rsidRPr="0010796C">
        <w:rPr>
          <w:rFonts w:ascii="Cambria" w:hAnsi="Cambria"/>
          <w:sz w:val="20"/>
          <w:szCs w:val="20"/>
          <w:lang w:val="es-ES"/>
        </w:rPr>
        <w:t xml:space="preserve"> </w:t>
      </w:r>
      <w:r w:rsidR="002C1E27" w:rsidRPr="0010796C">
        <w:rPr>
          <w:rFonts w:ascii="Cambria" w:hAnsi="Cambria"/>
          <w:sz w:val="20"/>
          <w:szCs w:val="20"/>
          <w:lang w:val="es-ES"/>
        </w:rPr>
        <w:t>s</w:t>
      </w:r>
      <w:r w:rsidR="00E52C86" w:rsidRPr="0010796C">
        <w:rPr>
          <w:rFonts w:ascii="Cambria" w:hAnsi="Cambria"/>
          <w:sz w:val="20"/>
          <w:szCs w:val="20"/>
          <w:lang w:val="es-ES"/>
        </w:rPr>
        <w:t>obre la falta de independencia e</w:t>
      </w:r>
      <w:r w:rsidR="002C1E27" w:rsidRPr="0010796C">
        <w:rPr>
          <w:rFonts w:ascii="Cambria" w:hAnsi="Cambria"/>
          <w:sz w:val="20"/>
          <w:szCs w:val="20"/>
          <w:lang w:val="es-ES"/>
        </w:rPr>
        <w:t xml:space="preserve"> imparcialida</w:t>
      </w:r>
      <w:r w:rsidR="00E52C86" w:rsidRPr="0010796C">
        <w:rPr>
          <w:rFonts w:ascii="Cambria" w:hAnsi="Cambria"/>
          <w:sz w:val="20"/>
          <w:szCs w:val="20"/>
          <w:lang w:val="es-ES"/>
        </w:rPr>
        <w:t>d de las autoridades judiciales.</w:t>
      </w:r>
      <w:r w:rsidR="00011378" w:rsidRPr="0010796C">
        <w:rPr>
          <w:rFonts w:ascii="Cambria" w:hAnsi="Cambria"/>
          <w:sz w:val="20"/>
          <w:szCs w:val="20"/>
          <w:lang w:val="es-ES"/>
        </w:rPr>
        <w:t xml:space="preserve"> Con base en estos elementos, el Juez de Instrucción no. 1 </w:t>
      </w:r>
      <w:r w:rsidR="00F9610F" w:rsidRPr="0010796C">
        <w:rPr>
          <w:rFonts w:ascii="Cambria" w:hAnsi="Cambria"/>
          <w:sz w:val="20"/>
          <w:szCs w:val="20"/>
          <w:lang w:val="es-ES"/>
        </w:rPr>
        <w:t xml:space="preserve">presumió el peligro de “evasión judicial”. </w:t>
      </w:r>
    </w:p>
    <w:p w:rsidR="005971A6" w:rsidRPr="0010796C" w:rsidRDefault="005971A6" w:rsidP="00106062">
      <w:pPr>
        <w:jc w:val="both"/>
        <w:rPr>
          <w:rFonts w:ascii="Cambria" w:hAnsi="Cambria"/>
          <w:sz w:val="20"/>
          <w:szCs w:val="20"/>
          <w:lang w:val="es-ES"/>
        </w:rPr>
      </w:pPr>
    </w:p>
    <w:p w:rsidR="00893EE3" w:rsidRPr="0010796C" w:rsidRDefault="005971A6" w:rsidP="00106062">
      <w:pPr>
        <w:numPr>
          <w:ilvl w:val="0"/>
          <w:numId w:val="55"/>
        </w:numPr>
        <w:jc w:val="both"/>
        <w:rPr>
          <w:rFonts w:ascii="Cambria" w:hAnsi="Cambria"/>
          <w:sz w:val="20"/>
          <w:szCs w:val="20"/>
          <w:lang w:val="es-ES"/>
        </w:rPr>
      </w:pPr>
      <w:r w:rsidRPr="0010796C">
        <w:rPr>
          <w:rFonts w:ascii="Cambria" w:hAnsi="Cambria"/>
          <w:sz w:val="20"/>
          <w:szCs w:val="20"/>
          <w:lang w:val="es-ES"/>
        </w:rPr>
        <w:t>De los estándares descritos anteriormente se desprende que la detención preventiva sólo puede basarse en fines procesales</w:t>
      </w:r>
      <w:r w:rsidR="0065202B" w:rsidRPr="0010796C">
        <w:rPr>
          <w:rFonts w:ascii="Cambria" w:hAnsi="Cambria"/>
          <w:sz w:val="20"/>
          <w:szCs w:val="20"/>
          <w:lang w:val="es-ES"/>
        </w:rPr>
        <w:t xml:space="preserve"> tales como peligro</w:t>
      </w:r>
      <w:r w:rsidR="00017110" w:rsidRPr="0010796C">
        <w:rPr>
          <w:rFonts w:ascii="Cambria" w:hAnsi="Cambria"/>
          <w:sz w:val="20"/>
          <w:szCs w:val="20"/>
          <w:lang w:val="es-ES"/>
        </w:rPr>
        <w:t xml:space="preserve"> de fuga u obstaculización del proceso;</w:t>
      </w:r>
      <w:r w:rsidRPr="0010796C">
        <w:rPr>
          <w:rFonts w:ascii="Cambria" w:hAnsi="Cambria"/>
          <w:sz w:val="20"/>
          <w:szCs w:val="20"/>
          <w:lang w:val="es-ES"/>
        </w:rPr>
        <w:t xml:space="preserve"> y que tales fines deben ser establecidos de manera individualizada a la luz de las circunstancias concretas de la persona procesada. Además, los órganos del sistema han indicado claramente que la pena a imponer no puede ser un elemento para determinar el peligro de fuga, pues ello resulta contrario a la presunción de inocencia. </w:t>
      </w:r>
    </w:p>
    <w:p w:rsidR="00893EE3" w:rsidRPr="0010796C" w:rsidRDefault="00893EE3" w:rsidP="00893EE3">
      <w:pPr>
        <w:jc w:val="both"/>
        <w:rPr>
          <w:rFonts w:ascii="Cambria" w:hAnsi="Cambria"/>
          <w:sz w:val="20"/>
          <w:szCs w:val="20"/>
          <w:lang w:val="es-ES"/>
        </w:rPr>
      </w:pPr>
    </w:p>
    <w:p w:rsidR="00337918" w:rsidRPr="0010796C" w:rsidRDefault="002C1E27" w:rsidP="00106062">
      <w:pPr>
        <w:numPr>
          <w:ilvl w:val="0"/>
          <w:numId w:val="55"/>
        </w:numPr>
        <w:jc w:val="both"/>
        <w:rPr>
          <w:rFonts w:ascii="Cambria" w:hAnsi="Cambria"/>
          <w:sz w:val="20"/>
          <w:szCs w:val="20"/>
          <w:lang w:val="es-ES"/>
        </w:rPr>
      </w:pPr>
      <w:r w:rsidRPr="0010796C">
        <w:rPr>
          <w:rFonts w:ascii="Cambria" w:hAnsi="Cambria"/>
          <w:sz w:val="20"/>
          <w:szCs w:val="20"/>
          <w:lang w:val="es-ES"/>
        </w:rPr>
        <w:t>Por otra parte, la CIDH considera que las otras dos consideraciones efectuadas por el juez se refieren a elementos propios de un proceso</w:t>
      </w:r>
      <w:r w:rsidR="00D25642" w:rsidRPr="0010796C">
        <w:rPr>
          <w:rFonts w:ascii="Cambria" w:hAnsi="Cambria"/>
          <w:sz w:val="20"/>
          <w:szCs w:val="20"/>
          <w:lang w:val="es-ES"/>
        </w:rPr>
        <w:t xml:space="preserve"> penal.</w:t>
      </w:r>
      <w:r w:rsidRPr="0010796C">
        <w:rPr>
          <w:rFonts w:ascii="Cambria" w:hAnsi="Cambria"/>
          <w:sz w:val="20"/>
          <w:szCs w:val="20"/>
          <w:lang w:val="es-ES"/>
        </w:rPr>
        <w:t xml:space="preserve"> </w:t>
      </w:r>
      <w:r w:rsidR="004323AD" w:rsidRPr="0010796C">
        <w:rPr>
          <w:rFonts w:ascii="Cambria" w:hAnsi="Cambria"/>
          <w:sz w:val="20"/>
          <w:szCs w:val="20"/>
          <w:lang w:val="es-ES"/>
        </w:rPr>
        <w:t xml:space="preserve">La CIDH considera que la realización de audiencias públicas o juicios, los cuales son etapas de todo proceso, no pueden </w:t>
      </w:r>
      <w:r w:rsidR="00D25642" w:rsidRPr="0010796C">
        <w:rPr>
          <w:rFonts w:ascii="Cambria" w:hAnsi="Cambria"/>
          <w:sz w:val="20"/>
          <w:szCs w:val="20"/>
          <w:lang w:val="es-ES"/>
        </w:rPr>
        <w:t xml:space="preserve">sustentar la detención preventiva pues, en la práctica, dicha medida cautelar constituiría la regla y no la excepción. </w:t>
      </w:r>
      <w:r w:rsidR="004323AD" w:rsidRPr="0010796C">
        <w:rPr>
          <w:rFonts w:ascii="Cambria" w:hAnsi="Cambria"/>
          <w:sz w:val="20"/>
          <w:szCs w:val="20"/>
          <w:lang w:val="es-ES"/>
        </w:rPr>
        <w:t>Igualmente, el hecho de presentar recursos a efectos de cuestionar la independencia o imparcialidad de las autoridades judiciales a cargo de conocer los hechos</w:t>
      </w:r>
      <w:r w:rsidR="00D25642" w:rsidRPr="0010796C">
        <w:rPr>
          <w:rFonts w:ascii="Cambria" w:hAnsi="Cambria"/>
          <w:sz w:val="20"/>
          <w:szCs w:val="20"/>
          <w:lang w:val="es-ES"/>
        </w:rPr>
        <w:t xml:space="preserve">, es un derecho de toda persona sometida a proceso penal. </w:t>
      </w:r>
      <w:r w:rsidR="00337918" w:rsidRPr="0010796C">
        <w:rPr>
          <w:rFonts w:ascii="Cambria" w:hAnsi="Cambria"/>
          <w:sz w:val="20"/>
          <w:szCs w:val="20"/>
          <w:lang w:val="es-ES"/>
        </w:rPr>
        <w:t>De ninguna manera la presentación de recursos</w:t>
      </w:r>
      <w:r w:rsidR="00D25642" w:rsidRPr="0010796C">
        <w:rPr>
          <w:rFonts w:ascii="Cambria" w:hAnsi="Cambria"/>
          <w:sz w:val="20"/>
          <w:szCs w:val="20"/>
          <w:lang w:val="es-ES"/>
        </w:rPr>
        <w:t xml:space="preserve"> en el </w:t>
      </w:r>
      <w:r w:rsidR="00337918" w:rsidRPr="0010796C">
        <w:rPr>
          <w:rFonts w:ascii="Cambria" w:hAnsi="Cambria"/>
          <w:sz w:val="20"/>
          <w:szCs w:val="20"/>
          <w:lang w:val="es-ES"/>
        </w:rPr>
        <w:t xml:space="preserve">marco de un proceso penal puede </w:t>
      </w:r>
      <w:r w:rsidR="00D25642" w:rsidRPr="0010796C">
        <w:rPr>
          <w:rFonts w:ascii="Cambria" w:hAnsi="Cambria"/>
          <w:sz w:val="20"/>
          <w:szCs w:val="20"/>
          <w:lang w:val="es-ES"/>
        </w:rPr>
        <w:t xml:space="preserve">redundar en perjuicio de la persona procesada ni </w:t>
      </w:r>
      <w:r w:rsidR="00337918" w:rsidRPr="0010796C">
        <w:rPr>
          <w:rFonts w:ascii="Cambria" w:hAnsi="Cambria"/>
          <w:sz w:val="20"/>
          <w:szCs w:val="20"/>
          <w:lang w:val="es-ES"/>
        </w:rPr>
        <w:t xml:space="preserve">ser una justificación para </w:t>
      </w:r>
      <w:r w:rsidR="00D25642" w:rsidRPr="0010796C">
        <w:rPr>
          <w:rFonts w:ascii="Cambria" w:hAnsi="Cambria"/>
          <w:sz w:val="20"/>
          <w:szCs w:val="20"/>
          <w:lang w:val="es-ES"/>
        </w:rPr>
        <w:t xml:space="preserve">mantener </w:t>
      </w:r>
      <w:r w:rsidR="00337918" w:rsidRPr="0010796C">
        <w:rPr>
          <w:rFonts w:ascii="Cambria" w:hAnsi="Cambria"/>
          <w:sz w:val="20"/>
          <w:szCs w:val="20"/>
          <w:lang w:val="es-ES"/>
        </w:rPr>
        <w:t xml:space="preserve">la </w:t>
      </w:r>
      <w:r w:rsidR="00330F1F" w:rsidRPr="0010796C">
        <w:rPr>
          <w:rFonts w:ascii="Cambria" w:hAnsi="Cambria"/>
          <w:sz w:val="20"/>
          <w:szCs w:val="20"/>
          <w:lang w:val="es-ES"/>
        </w:rPr>
        <w:t>detención</w:t>
      </w:r>
      <w:r w:rsidR="00337918" w:rsidRPr="0010796C">
        <w:rPr>
          <w:rFonts w:ascii="Cambria" w:hAnsi="Cambria"/>
          <w:sz w:val="20"/>
          <w:szCs w:val="20"/>
          <w:lang w:val="es-ES"/>
        </w:rPr>
        <w:t xml:space="preserve"> preventiva.</w:t>
      </w:r>
      <w:r w:rsidR="004F6BEB" w:rsidRPr="0010796C">
        <w:rPr>
          <w:rFonts w:ascii="Cambria" w:hAnsi="Cambria"/>
          <w:sz w:val="20"/>
          <w:szCs w:val="20"/>
          <w:lang w:val="es-ES"/>
        </w:rPr>
        <w:t xml:space="preserve"> En consecuencia, el mantenimiento </w:t>
      </w:r>
      <w:r w:rsidR="00E84406" w:rsidRPr="0010796C">
        <w:rPr>
          <w:rFonts w:ascii="Cambria" w:hAnsi="Cambria"/>
          <w:sz w:val="20"/>
          <w:szCs w:val="20"/>
          <w:lang w:val="es-ES"/>
        </w:rPr>
        <w:t xml:space="preserve">y prórroga </w:t>
      </w:r>
      <w:r w:rsidR="004F6BEB" w:rsidRPr="0010796C">
        <w:rPr>
          <w:rFonts w:ascii="Cambria" w:hAnsi="Cambria"/>
          <w:sz w:val="20"/>
          <w:szCs w:val="20"/>
          <w:lang w:val="es-ES"/>
        </w:rPr>
        <w:t xml:space="preserve">de la detención preventiva del señor Romero </w:t>
      </w:r>
      <w:proofErr w:type="spellStart"/>
      <w:r w:rsidR="004F6BEB" w:rsidRPr="0010796C">
        <w:rPr>
          <w:rFonts w:ascii="Cambria" w:hAnsi="Cambria"/>
          <w:sz w:val="20"/>
          <w:szCs w:val="20"/>
          <w:lang w:val="es-ES"/>
        </w:rPr>
        <w:t>Feris</w:t>
      </w:r>
      <w:proofErr w:type="spellEnd"/>
      <w:r w:rsidR="004F6BEB" w:rsidRPr="0010796C">
        <w:rPr>
          <w:rFonts w:ascii="Cambria" w:hAnsi="Cambria"/>
          <w:sz w:val="20"/>
          <w:szCs w:val="20"/>
          <w:lang w:val="es-ES"/>
        </w:rPr>
        <w:t xml:space="preserve"> fue arbitrario y violatorio del principio de presunción de inocencia. </w:t>
      </w:r>
      <w:r w:rsidR="00944A8B" w:rsidRPr="0010796C">
        <w:rPr>
          <w:rFonts w:ascii="Cambria" w:hAnsi="Cambria"/>
          <w:sz w:val="20"/>
          <w:szCs w:val="20"/>
          <w:lang w:val="es-ES"/>
        </w:rPr>
        <w:t xml:space="preserve">Además, al basarse en fundamentos incompatibles con la Convención Americana, la decisión de 1 de agosto de 2001 mediante la cual se resolvió el pedido de libertad del señor Romero </w:t>
      </w:r>
      <w:proofErr w:type="spellStart"/>
      <w:r w:rsidR="00944A8B" w:rsidRPr="0010796C">
        <w:rPr>
          <w:rFonts w:ascii="Cambria" w:hAnsi="Cambria"/>
          <w:sz w:val="20"/>
          <w:szCs w:val="20"/>
          <w:lang w:val="es-ES"/>
        </w:rPr>
        <w:t>Feris</w:t>
      </w:r>
      <w:proofErr w:type="spellEnd"/>
      <w:r w:rsidR="00944A8B" w:rsidRPr="0010796C">
        <w:rPr>
          <w:rFonts w:ascii="Cambria" w:hAnsi="Cambria"/>
          <w:sz w:val="20"/>
          <w:szCs w:val="20"/>
          <w:lang w:val="es-ES"/>
        </w:rPr>
        <w:t>, no constituyó un recurso efectivo para cuestionar la privación de libertad.</w:t>
      </w:r>
    </w:p>
    <w:p w:rsidR="004323AD" w:rsidRPr="0010796C" w:rsidRDefault="004323AD" w:rsidP="00CE0B39">
      <w:pPr>
        <w:ind w:left="720"/>
        <w:jc w:val="both"/>
        <w:rPr>
          <w:rFonts w:ascii="Cambria" w:hAnsi="Cambria"/>
          <w:sz w:val="20"/>
          <w:szCs w:val="20"/>
          <w:lang w:val="es-ES"/>
        </w:rPr>
      </w:pPr>
    </w:p>
    <w:p w:rsidR="004323AD" w:rsidRPr="0010796C" w:rsidRDefault="004323AD" w:rsidP="00CE0B39">
      <w:pPr>
        <w:numPr>
          <w:ilvl w:val="0"/>
          <w:numId w:val="55"/>
        </w:numPr>
        <w:jc w:val="both"/>
        <w:rPr>
          <w:rFonts w:ascii="Cambria" w:hAnsi="Cambria"/>
          <w:sz w:val="20"/>
          <w:szCs w:val="20"/>
          <w:lang w:val="es-ES"/>
        </w:rPr>
      </w:pPr>
      <w:r w:rsidRPr="0010796C">
        <w:rPr>
          <w:rFonts w:ascii="Cambria" w:hAnsi="Cambria"/>
          <w:sz w:val="20"/>
          <w:szCs w:val="20"/>
          <w:lang w:val="es-ES"/>
        </w:rPr>
        <w:t>En vi</w:t>
      </w:r>
      <w:r w:rsidR="00E84406" w:rsidRPr="0010796C">
        <w:rPr>
          <w:rFonts w:ascii="Cambria" w:hAnsi="Cambria"/>
          <w:sz w:val="20"/>
          <w:szCs w:val="20"/>
          <w:lang w:val="es-ES"/>
        </w:rPr>
        <w:t xml:space="preserve">rtud de las anteriores consideraciones, </w:t>
      </w:r>
      <w:r w:rsidRPr="0010796C">
        <w:rPr>
          <w:rFonts w:ascii="Cambria" w:hAnsi="Cambria"/>
          <w:sz w:val="20"/>
          <w:szCs w:val="20"/>
          <w:lang w:val="es-ES"/>
        </w:rPr>
        <w:t xml:space="preserve">la Comisión concluye que el Estado vulneró </w:t>
      </w:r>
      <w:r w:rsidR="00AC0CEB" w:rsidRPr="0010796C">
        <w:rPr>
          <w:rFonts w:ascii="Cambria" w:hAnsi="Cambria"/>
          <w:sz w:val="20"/>
          <w:szCs w:val="20"/>
          <w:lang w:val="es-ES"/>
        </w:rPr>
        <w:t>los</w:t>
      </w:r>
      <w:r w:rsidRPr="0010796C">
        <w:rPr>
          <w:rFonts w:ascii="Cambria" w:hAnsi="Cambria"/>
          <w:sz w:val="20"/>
          <w:szCs w:val="20"/>
          <w:lang w:val="es-ES"/>
        </w:rPr>
        <w:t xml:space="preserve"> derecho</w:t>
      </w:r>
      <w:r w:rsidR="00AC0CEB" w:rsidRPr="0010796C">
        <w:rPr>
          <w:rFonts w:ascii="Cambria" w:hAnsi="Cambria"/>
          <w:sz w:val="20"/>
          <w:szCs w:val="20"/>
          <w:lang w:val="es-ES"/>
        </w:rPr>
        <w:t>s</w:t>
      </w:r>
      <w:r w:rsidRPr="0010796C">
        <w:rPr>
          <w:rFonts w:ascii="Cambria" w:hAnsi="Cambria"/>
          <w:sz w:val="20"/>
          <w:szCs w:val="20"/>
          <w:lang w:val="es-ES"/>
        </w:rPr>
        <w:t xml:space="preserve"> a la libertad personal</w:t>
      </w:r>
      <w:r w:rsidR="00AC0CEB" w:rsidRPr="0010796C">
        <w:rPr>
          <w:rFonts w:ascii="Cambria" w:hAnsi="Cambria"/>
          <w:sz w:val="20"/>
          <w:szCs w:val="20"/>
          <w:lang w:val="es-ES"/>
        </w:rPr>
        <w:t xml:space="preserve"> y al principio de presunción de inocencia</w:t>
      </w:r>
      <w:r w:rsidRPr="0010796C">
        <w:rPr>
          <w:rFonts w:ascii="Cambria" w:hAnsi="Cambria"/>
          <w:sz w:val="20"/>
          <w:szCs w:val="20"/>
          <w:lang w:val="es-ES"/>
        </w:rPr>
        <w:t>, establecido</w:t>
      </w:r>
      <w:r w:rsidR="00AC0CEB" w:rsidRPr="0010796C">
        <w:rPr>
          <w:rFonts w:ascii="Cambria" w:hAnsi="Cambria"/>
          <w:sz w:val="20"/>
          <w:szCs w:val="20"/>
          <w:lang w:val="es-ES"/>
        </w:rPr>
        <w:t>s</w:t>
      </w:r>
      <w:r w:rsidRPr="0010796C">
        <w:rPr>
          <w:rFonts w:ascii="Cambria" w:hAnsi="Cambria"/>
          <w:sz w:val="20"/>
          <w:szCs w:val="20"/>
          <w:lang w:val="es-ES"/>
        </w:rPr>
        <w:t xml:space="preserve"> en los artículos </w:t>
      </w:r>
      <w:r w:rsidR="00531D32" w:rsidRPr="0010796C">
        <w:rPr>
          <w:rFonts w:ascii="Cambria" w:hAnsi="Cambria"/>
          <w:sz w:val="20"/>
          <w:szCs w:val="20"/>
          <w:lang w:val="es-ES"/>
        </w:rPr>
        <w:t xml:space="preserve">7.1, 7.2, </w:t>
      </w:r>
      <w:r w:rsidRPr="0010796C">
        <w:rPr>
          <w:rFonts w:ascii="Cambria" w:hAnsi="Cambria"/>
          <w:sz w:val="20"/>
          <w:szCs w:val="20"/>
          <w:lang w:val="es-ES"/>
        </w:rPr>
        <w:t>7.3</w:t>
      </w:r>
      <w:r w:rsidR="00531D32" w:rsidRPr="0010796C">
        <w:rPr>
          <w:rFonts w:ascii="Cambria" w:hAnsi="Cambria"/>
          <w:sz w:val="20"/>
          <w:szCs w:val="20"/>
          <w:lang w:val="es-ES"/>
        </w:rPr>
        <w:t xml:space="preserve">, </w:t>
      </w:r>
      <w:r w:rsidRPr="0010796C">
        <w:rPr>
          <w:rFonts w:ascii="Cambria" w:hAnsi="Cambria"/>
          <w:sz w:val="20"/>
          <w:szCs w:val="20"/>
          <w:lang w:val="es-ES"/>
        </w:rPr>
        <w:t>7.5</w:t>
      </w:r>
      <w:r w:rsidR="00AC0CEB" w:rsidRPr="0010796C">
        <w:rPr>
          <w:rFonts w:ascii="Cambria" w:hAnsi="Cambria"/>
          <w:sz w:val="20"/>
          <w:szCs w:val="20"/>
          <w:lang w:val="es-ES"/>
        </w:rPr>
        <w:t xml:space="preserve">, </w:t>
      </w:r>
      <w:r w:rsidR="00531D32" w:rsidRPr="0010796C">
        <w:rPr>
          <w:rFonts w:ascii="Cambria" w:hAnsi="Cambria"/>
          <w:sz w:val="20"/>
          <w:szCs w:val="20"/>
          <w:lang w:val="es-ES"/>
        </w:rPr>
        <w:t xml:space="preserve">7.6 </w:t>
      </w:r>
      <w:r w:rsidR="00AC0CEB" w:rsidRPr="0010796C">
        <w:rPr>
          <w:rFonts w:ascii="Cambria" w:hAnsi="Cambria"/>
          <w:sz w:val="20"/>
          <w:szCs w:val="20"/>
          <w:lang w:val="es-ES"/>
        </w:rPr>
        <w:t xml:space="preserve">y 8.2 </w:t>
      </w:r>
      <w:r w:rsidRPr="0010796C">
        <w:rPr>
          <w:rFonts w:ascii="Cambria" w:hAnsi="Cambria"/>
          <w:sz w:val="20"/>
          <w:szCs w:val="20"/>
          <w:lang w:val="es-ES"/>
        </w:rPr>
        <w:t>de la Convención Americana, en relación con el artículo 1.1</w:t>
      </w:r>
      <w:r w:rsidR="0047245E" w:rsidRPr="0010796C">
        <w:rPr>
          <w:rFonts w:ascii="Cambria" w:hAnsi="Cambria"/>
          <w:sz w:val="20"/>
          <w:szCs w:val="20"/>
          <w:lang w:val="es-ES"/>
        </w:rPr>
        <w:t xml:space="preserve"> del mismo instrumento,</w:t>
      </w:r>
      <w:r w:rsidRPr="0010796C">
        <w:rPr>
          <w:rFonts w:ascii="Cambria" w:hAnsi="Cambria"/>
          <w:sz w:val="20"/>
          <w:szCs w:val="20"/>
          <w:lang w:val="es-ES"/>
        </w:rPr>
        <w:t xml:space="preserve"> en perjuicio de Raúl Rolando Romero </w:t>
      </w:r>
      <w:proofErr w:type="spellStart"/>
      <w:r w:rsidRPr="0010796C">
        <w:rPr>
          <w:rFonts w:ascii="Cambria" w:hAnsi="Cambria"/>
          <w:sz w:val="20"/>
          <w:szCs w:val="20"/>
          <w:lang w:val="es-ES"/>
        </w:rPr>
        <w:t>Feris</w:t>
      </w:r>
      <w:proofErr w:type="spellEnd"/>
      <w:r w:rsidRPr="0010796C">
        <w:rPr>
          <w:rFonts w:ascii="Cambria" w:hAnsi="Cambria"/>
          <w:sz w:val="20"/>
          <w:szCs w:val="20"/>
          <w:lang w:val="es-ES"/>
        </w:rPr>
        <w:t>.</w:t>
      </w:r>
    </w:p>
    <w:p w:rsidR="00F221D5" w:rsidRPr="0010796C" w:rsidRDefault="00F221D5" w:rsidP="006F33F9">
      <w:pPr>
        <w:rPr>
          <w:rFonts w:ascii="Cambria" w:hAnsi="Cambria"/>
          <w:b/>
          <w:sz w:val="20"/>
          <w:szCs w:val="20"/>
          <w:lang w:val="es-ES"/>
        </w:rPr>
      </w:pPr>
    </w:p>
    <w:p w:rsidR="00670C12" w:rsidRPr="0010796C" w:rsidRDefault="00337918" w:rsidP="006F33F9">
      <w:pPr>
        <w:pStyle w:val="Heading2"/>
        <w:numPr>
          <w:ilvl w:val="0"/>
          <w:numId w:val="57"/>
        </w:numPr>
        <w:jc w:val="both"/>
        <w:rPr>
          <w:szCs w:val="20"/>
          <w:lang w:val="es-ES"/>
        </w:rPr>
      </w:pPr>
      <w:bookmarkStart w:id="52" w:name="_Toc346449091"/>
      <w:bookmarkStart w:id="53" w:name="_Toc474398498"/>
      <w:bookmarkStart w:id="54" w:name="_Toc486526414"/>
      <w:r w:rsidRPr="0010796C">
        <w:rPr>
          <w:szCs w:val="20"/>
          <w:lang w:val="es-ES"/>
        </w:rPr>
        <w:t>Dere</w:t>
      </w:r>
      <w:r w:rsidR="00670C12" w:rsidRPr="0010796C">
        <w:rPr>
          <w:szCs w:val="20"/>
          <w:lang w:val="es-ES"/>
        </w:rPr>
        <w:t>c</w:t>
      </w:r>
      <w:r w:rsidR="00B62E2A" w:rsidRPr="0010796C">
        <w:rPr>
          <w:szCs w:val="20"/>
          <w:lang w:val="es-ES"/>
        </w:rPr>
        <w:t xml:space="preserve">hos a las garantías judiciales y </w:t>
      </w:r>
      <w:r w:rsidR="00670C12" w:rsidRPr="0010796C">
        <w:rPr>
          <w:szCs w:val="20"/>
          <w:lang w:val="es-ES"/>
        </w:rPr>
        <w:t xml:space="preserve">protección judicial </w:t>
      </w:r>
      <w:r w:rsidR="00505019" w:rsidRPr="0010796C">
        <w:rPr>
          <w:szCs w:val="20"/>
          <w:lang w:val="es-ES"/>
        </w:rPr>
        <w:t xml:space="preserve">en el marco de las causas penales seguidas al señor Romero </w:t>
      </w:r>
      <w:proofErr w:type="spellStart"/>
      <w:r w:rsidR="00505019" w:rsidRPr="0010796C">
        <w:rPr>
          <w:szCs w:val="20"/>
          <w:lang w:val="es-ES"/>
        </w:rPr>
        <w:t>Feris</w:t>
      </w:r>
      <w:proofErr w:type="spellEnd"/>
      <w:r w:rsidR="00505019" w:rsidRPr="0010796C">
        <w:rPr>
          <w:szCs w:val="20"/>
          <w:lang w:val="es-ES"/>
        </w:rPr>
        <w:t xml:space="preserve"> </w:t>
      </w:r>
      <w:r w:rsidR="00670C12" w:rsidRPr="0010796C">
        <w:rPr>
          <w:szCs w:val="20"/>
          <w:lang w:val="es-ES"/>
        </w:rPr>
        <w:t>(artículos 8</w:t>
      </w:r>
      <w:r w:rsidR="0026734D" w:rsidRPr="0010796C">
        <w:rPr>
          <w:szCs w:val="20"/>
          <w:lang w:val="es-ES"/>
        </w:rPr>
        <w:t>.1</w:t>
      </w:r>
      <w:r w:rsidR="00BE736C" w:rsidRPr="0010796C">
        <w:rPr>
          <w:rStyle w:val="FootnoteReference"/>
          <w:szCs w:val="20"/>
          <w:lang w:val="es-ES"/>
        </w:rPr>
        <w:footnoteReference w:id="202"/>
      </w:r>
      <w:r w:rsidR="00670C12" w:rsidRPr="0010796C">
        <w:rPr>
          <w:szCs w:val="20"/>
          <w:lang w:val="es-ES"/>
        </w:rPr>
        <w:t xml:space="preserve"> y 25</w:t>
      </w:r>
      <w:r w:rsidR="0026734D" w:rsidRPr="0010796C">
        <w:rPr>
          <w:szCs w:val="20"/>
          <w:lang w:val="es-ES"/>
        </w:rPr>
        <w:t>.</w:t>
      </w:r>
      <w:r w:rsidR="00B62E2A" w:rsidRPr="0010796C">
        <w:rPr>
          <w:szCs w:val="20"/>
          <w:lang w:val="es-ES"/>
        </w:rPr>
        <w:t>1</w:t>
      </w:r>
      <w:r w:rsidR="00405879" w:rsidRPr="0010796C">
        <w:rPr>
          <w:rStyle w:val="FootnoteReference"/>
          <w:lang w:val="es-ES"/>
        </w:rPr>
        <w:footnoteReference w:id="203"/>
      </w:r>
      <w:r w:rsidR="00951D59" w:rsidRPr="0010796C">
        <w:rPr>
          <w:szCs w:val="20"/>
          <w:lang w:val="es-ES"/>
        </w:rPr>
        <w:t xml:space="preserve"> de la Convención)</w:t>
      </w:r>
      <w:bookmarkEnd w:id="52"/>
      <w:bookmarkEnd w:id="53"/>
      <w:bookmarkEnd w:id="54"/>
    </w:p>
    <w:p w:rsidR="00F7556B" w:rsidRPr="0010796C" w:rsidRDefault="00F7556B" w:rsidP="006F33F9">
      <w:pPr>
        <w:rPr>
          <w:rFonts w:ascii="Cambria" w:hAnsi="Cambria"/>
          <w:b/>
          <w:sz w:val="20"/>
          <w:szCs w:val="20"/>
          <w:lang w:val="es-ES"/>
        </w:rPr>
      </w:pPr>
    </w:p>
    <w:p w:rsidR="004323AD" w:rsidRPr="0010796C" w:rsidRDefault="004323AD" w:rsidP="00AC0CEB">
      <w:pPr>
        <w:numPr>
          <w:ilvl w:val="3"/>
          <w:numId w:val="55"/>
        </w:numPr>
        <w:tabs>
          <w:tab w:val="clear" w:pos="2880"/>
          <w:tab w:val="num" w:pos="1440"/>
        </w:tabs>
        <w:ind w:left="1440" w:hanging="720"/>
        <w:jc w:val="both"/>
        <w:rPr>
          <w:rFonts w:ascii="Cambria" w:hAnsi="Cambria"/>
          <w:b/>
          <w:sz w:val="20"/>
          <w:szCs w:val="20"/>
          <w:lang w:val="es-ES"/>
        </w:rPr>
      </w:pPr>
      <w:r w:rsidRPr="0010796C">
        <w:rPr>
          <w:rFonts w:ascii="Cambria" w:hAnsi="Cambria"/>
          <w:b/>
          <w:sz w:val="20"/>
          <w:szCs w:val="20"/>
          <w:lang w:val="es-ES"/>
        </w:rPr>
        <w:t xml:space="preserve">Consideraciones </w:t>
      </w:r>
      <w:r w:rsidR="009B6264" w:rsidRPr="0010796C">
        <w:rPr>
          <w:rFonts w:ascii="Cambria" w:hAnsi="Cambria"/>
          <w:b/>
          <w:sz w:val="20"/>
          <w:szCs w:val="20"/>
          <w:lang w:val="es-ES"/>
        </w:rPr>
        <w:t xml:space="preserve">generales sobre el derecho a ser juzgado por autoridad competente, independiente e imparcial </w:t>
      </w:r>
    </w:p>
    <w:p w:rsidR="009D1F7A" w:rsidRPr="0010796C" w:rsidRDefault="009D1F7A" w:rsidP="009D1F7A">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firstLine="0"/>
        <w:jc w:val="both"/>
        <w:rPr>
          <w:rFonts w:ascii="Cambria" w:hAnsi="Cambria"/>
          <w:sz w:val="20"/>
          <w:szCs w:val="20"/>
          <w:lang w:val="es-ES"/>
        </w:rPr>
      </w:pPr>
    </w:p>
    <w:p w:rsidR="00A27118" w:rsidRPr="0010796C" w:rsidRDefault="00A27118" w:rsidP="0033791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jc w:val="both"/>
        <w:rPr>
          <w:rFonts w:ascii="Cambria" w:hAnsi="Cambria"/>
          <w:sz w:val="20"/>
          <w:szCs w:val="20"/>
          <w:lang w:val="es-ES"/>
        </w:rPr>
      </w:pPr>
      <w:r w:rsidRPr="0010796C">
        <w:rPr>
          <w:rFonts w:ascii="Cambria" w:hAnsi="Cambria" w:cs="Verdana"/>
          <w:sz w:val="20"/>
          <w:szCs w:val="20"/>
          <w:lang w:val="es-ES"/>
        </w:rPr>
        <w:t>El artículo 8.1 de la Convención consagra el derecho a ser juzgado por “un</w:t>
      </w:r>
      <w:r w:rsidRPr="0010796C">
        <w:rPr>
          <w:rFonts w:ascii="Cambria" w:hAnsi="Cambria"/>
          <w:bCs/>
          <w:sz w:val="20"/>
          <w:szCs w:val="20"/>
          <w:lang w:val="es-ES"/>
        </w:rPr>
        <w:t xml:space="preserve"> </w:t>
      </w:r>
      <w:r w:rsidR="00AC0CEB" w:rsidRPr="0010796C">
        <w:rPr>
          <w:rFonts w:ascii="Cambria" w:hAnsi="Cambria" w:cs="Verdana"/>
          <w:sz w:val="20"/>
          <w:szCs w:val="20"/>
          <w:lang w:val="es-ES"/>
        </w:rPr>
        <w:t>tribunal competente (…)</w:t>
      </w:r>
      <w:r w:rsidRPr="0010796C">
        <w:rPr>
          <w:rFonts w:ascii="Cambria" w:hAnsi="Cambria" w:cs="Verdana"/>
          <w:sz w:val="20"/>
          <w:szCs w:val="20"/>
          <w:lang w:val="es-ES"/>
        </w:rPr>
        <w:t xml:space="preserve"> establecido con anterioridad a la ley</w:t>
      </w:r>
      <w:r w:rsidRPr="0010796C">
        <w:rPr>
          <w:rFonts w:ascii="Cambria" w:hAnsi="Cambria"/>
          <w:bCs/>
          <w:sz w:val="20"/>
          <w:szCs w:val="20"/>
          <w:lang w:val="es-ES"/>
        </w:rPr>
        <w:t xml:space="preserve">. De esta forma, </w:t>
      </w:r>
      <w:r w:rsidRPr="0010796C">
        <w:rPr>
          <w:rFonts w:ascii="Cambria" w:hAnsi="Cambria"/>
          <w:sz w:val="20"/>
          <w:szCs w:val="20"/>
          <w:lang w:val="es-ES"/>
        </w:rPr>
        <w:t xml:space="preserve">las personas “tienen derecho a ser juzgadas por tribunales de justicia ordinarios con arreglo a procedimientos legalmente establecidos”. El Estado no debe crear tribunales que no apliquen normas procesales debidamente establecidas para sustituir </w:t>
      </w:r>
      <w:r w:rsidRPr="0010796C">
        <w:rPr>
          <w:rFonts w:ascii="Cambria" w:hAnsi="Cambria"/>
          <w:sz w:val="20"/>
          <w:szCs w:val="20"/>
          <w:lang w:val="es-ES"/>
        </w:rPr>
        <w:lastRenderedPageBreak/>
        <w:t>la jurisdicción que corresponda normalmente a los tribunales ordinarios”</w:t>
      </w:r>
      <w:r w:rsidRPr="0010796C">
        <w:rPr>
          <w:rStyle w:val="FootnoteReference"/>
          <w:rFonts w:ascii="Cambria" w:hAnsi="Cambria"/>
          <w:sz w:val="20"/>
          <w:szCs w:val="20"/>
          <w:lang w:val="es-ES"/>
        </w:rPr>
        <w:footnoteReference w:id="204"/>
      </w:r>
      <w:r w:rsidRPr="0010796C">
        <w:rPr>
          <w:rFonts w:ascii="Cambria" w:hAnsi="Cambria"/>
          <w:sz w:val="20"/>
          <w:szCs w:val="20"/>
          <w:lang w:val="es-ES"/>
        </w:rPr>
        <w:t xml:space="preserve">. Con esto se busca evitar que las personas sean juzgadas por tribunales especiales o </w:t>
      </w:r>
      <w:r w:rsidRPr="0010796C">
        <w:rPr>
          <w:rFonts w:ascii="Cambria" w:hAnsi="Cambria"/>
          <w:i/>
          <w:sz w:val="20"/>
          <w:szCs w:val="20"/>
          <w:lang w:val="es-ES"/>
        </w:rPr>
        <w:t>ad hoc</w:t>
      </w:r>
      <w:r w:rsidRPr="0010796C">
        <w:rPr>
          <w:rStyle w:val="FootnoteReference"/>
          <w:rFonts w:ascii="Cambria" w:hAnsi="Cambria"/>
          <w:sz w:val="20"/>
          <w:szCs w:val="20"/>
          <w:lang w:val="es-ES"/>
        </w:rPr>
        <w:footnoteReference w:id="205"/>
      </w:r>
      <w:r w:rsidRPr="0010796C">
        <w:rPr>
          <w:rFonts w:ascii="Cambria" w:hAnsi="Cambria"/>
          <w:sz w:val="20"/>
          <w:szCs w:val="20"/>
          <w:lang w:val="es-ES"/>
        </w:rPr>
        <w:t>.</w:t>
      </w:r>
    </w:p>
    <w:p w:rsidR="00A27118" w:rsidRPr="0010796C" w:rsidRDefault="00A27118" w:rsidP="00740B52">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firstLine="0"/>
        <w:jc w:val="both"/>
        <w:rPr>
          <w:rFonts w:ascii="Cambria" w:hAnsi="Cambria"/>
          <w:sz w:val="20"/>
          <w:szCs w:val="20"/>
          <w:lang w:val="es-ES"/>
        </w:rPr>
      </w:pPr>
    </w:p>
    <w:p w:rsidR="00EF2402" w:rsidRPr="0010796C" w:rsidRDefault="00EF2402" w:rsidP="00EF240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jc w:val="both"/>
        <w:rPr>
          <w:rFonts w:ascii="Cambria" w:hAnsi="Cambria"/>
          <w:sz w:val="20"/>
          <w:szCs w:val="20"/>
          <w:lang w:val="es-ES"/>
        </w:rPr>
      </w:pPr>
      <w:r w:rsidRPr="0010796C">
        <w:rPr>
          <w:rFonts w:ascii="Cambria" w:hAnsi="Cambria"/>
          <w:sz w:val="20"/>
          <w:szCs w:val="20"/>
          <w:lang w:val="es-ES"/>
        </w:rPr>
        <w:t>En cuanto al principio de independencia judicial, los órganos del sistema interamericano han indicado que es un requisito inherente a un sistema democrático y un prerrequisito fundamental para la protección de los derechos humanos</w:t>
      </w:r>
      <w:r w:rsidRPr="0010796C">
        <w:rPr>
          <w:rStyle w:val="FootnoteReference"/>
          <w:rFonts w:ascii="Cambria" w:hAnsi="Cambria"/>
          <w:sz w:val="20"/>
          <w:szCs w:val="20"/>
          <w:lang w:val="es-ES"/>
        </w:rPr>
        <w:footnoteReference w:id="206"/>
      </w:r>
      <w:r w:rsidRPr="0010796C">
        <w:rPr>
          <w:rFonts w:ascii="Cambria" w:hAnsi="Cambria"/>
          <w:sz w:val="20"/>
          <w:szCs w:val="20"/>
          <w:lang w:val="es-ES"/>
        </w:rPr>
        <w:t>. Tanto la Comisión como la Corte han interpretado el principio de independencia judicial en el sentido de incorporar los siguientes corolarios mínimos: adecuado proceso de nombramiento, inamovilidad en el cargo y garantía contra presiones externas</w:t>
      </w:r>
      <w:r w:rsidRPr="0010796C">
        <w:rPr>
          <w:rStyle w:val="FootnoteReference"/>
          <w:rFonts w:ascii="Cambria" w:hAnsi="Cambria"/>
          <w:sz w:val="20"/>
          <w:szCs w:val="20"/>
          <w:lang w:val="es-ES"/>
        </w:rPr>
        <w:footnoteReference w:id="207"/>
      </w:r>
      <w:r w:rsidRPr="0010796C">
        <w:rPr>
          <w:rFonts w:ascii="Cambria" w:hAnsi="Cambria"/>
          <w:sz w:val="20"/>
          <w:szCs w:val="20"/>
          <w:lang w:val="es-ES"/>
        </w:rPr>
        <w:t>.</w:t>
      </w:r>
    </w:p>
    <w:p w:rsidR="007D156A" w:rsidRPr="0010796C" w:rsidRDefault="007D156A" w:rsidP="007D156A">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firstLine="0"/>
        <w:jc w:val="both"/>
        <w:rPr>
          <w:rFonts w:ascii="Cambria" w:hAnsi="Cambria"/>
          <w:sz w:val="20"/>
          <w:szCs w:val="20"/>
          <w:lang w:val="es-ES"/>
        </w:rPr>
      </w:pPr>
    </w:p>
    <w:p w:rsidR="007D156A" w:rsidRPr="0010796C" w:rsidRDefault="00731C97" w:rsidP="007D156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jc w:val="both"/>
        <w:rPr>
          <w:rFonts w:ascii="Cambria" w:hAnsi="Cambria"/>
          <w:sz w:val="20"/>
          <w:szCs w:val="20"/>
          <w:lang w:val="es-ES"/>
        </w:rPr>
      </w:pPr>
      <w:r w:rsidRPr="0010796C">
        <w:rPr>
          <w:rFonts w:ascii="Cambria" w:hAnsi="Cambria"/>
          <w:sz w:val="20"/>
          <w:szCs w:val="20"/>
          <w:lang w:val="es-ES"/>
        </w:rPr>
        <w:t xml:space="preserve">Del derecho a ser juzgado por autoridad tanto competente como independiente, se desprende </w:t>
      </w:r>
      <w:r w:rsidR="007D156A" w:rsidRPr="0010796C">
        <w:rPr>
          <w:rFonts w:ascii="Cambria" w:hAnsi="Cambria"/>
          <w:sz w:val="20"/>
          <w:szCs w:val="20"/>
          <w:lang w:val="es-ES"/>
        </w:rPr>
        <w:t xml:space="preserve">la importancia de establecer normativamente procesos de selección y nombramiento que tengan </w:t>
      </w:r>
      <w:r w:rsidR="00DE0E0A" w:rsidRPr="0010796C">
        <w:rPr>
          <w:rFonts w:ascii="Cambria" w:hAnsi="Cambria"/>
          <w:sz w:val="20"/>
          <w:szCs w:val="20"/>
          <w:lang w:val="es-ES"/>
        </w:rPr>
        <w:t>como</w:t>
      </w:r>
      <w:r w:rsidR="007D156A" w:rsidRPr="0010796C">
        <w:rPr>
          <w:rFonts w:ascii="Cambria" w:hAnsi="Cambria"/>
          <w:sz w:val="20"/>
          <w:szCs w:val="20"/>
          <w:lang w:val="es-ES"/>
        </w:rPr>
        <w:t xml:space="preserve"> propósito seleccionar y designar a las y los operadores con base en el mérito y las capacidades profesionales</w:t>
      </w:r>
      <w:r w:rsidR="007D156A" w:rsidRPr="0010796C">
        <w:rPr>
          <w:rStyle w:val="FootnoteReference"/>
          <w:rFonts w:ascii="Cambria" w:hAnsi="Cambria"/>
          <w:sz w:val="20"/>
          <w:szCs w:val="20"/>
          <w:lang w:val="es-ES"/>
        </w:rPr>
        <w:footnoteReference w:id="208"/>
      </w:r>
      <w:r w:rsidR="007D156A" w:rsidRPr="0010796C">
        <w:rPr>
          <w:rFonts w:ascii="Cambria" w:hAnsi="Cambria"/>
          <w:sz w:val="20"/>
          <w:szCs w:val="20"/>
          <w:lang w:val="es-ES"/>
        </w:rPr>
        <w:t>. Tales procesos deben establecer criterios objetivos de selección y designación</w:t>
      </w:r>
      <w:r w:rsidR="007D156A" w:rsidRPr="0010796C">
        <w:rPr>
          <w:rStyle w:val="FootnoteReference"/>
          <w:rFonts w:ascii="Cambria" w:hAnsi="Cambria"/>
          <w:sz w:val="20"/>
          <w:szCs w:val="20"/>
          <w:lang w:val="es-ES"/>
        </w:rPr>
        <w:footnoteReference w:id="209"/>
      </w:r>
      <w:r w:rsidR="007D156A" w:rsidRPr="0010796C">
        <w:rPr>
          <w:rFonts w:ascii="Cambria" w:hAnsi="Cambria"/>
          <w:sz w:val="20"/>
          <w:szCs w:val="20"/>
          <w:lang w:val="es-ES"/>
        </w:rPr>
        <w:t>. La CIDH ha resalta</w:t>
      </w:r>
      <w:r w:rsidR="00611F77" w:rsidRPr="0010796C">
        <w:rPr>
          <w:rFonts w:ascii="Cambria" w:hAnsi="Cambria"/>
          <w:sz w:val="20"/>
          <w:szCs w:val="20"/>
          <w:lang w:val="es-ES"/>
        </w:rPr>
        <w:t>do</w:t>
      </w:r>
      <w:r w:rsidR="007D156A" w:rsidRPr="0010796C">
        <w:rPr>
          <w:rFonts w:ascii="Cambria" w:hAnsi="Cambria"/>
          <w:sz w:val="20"/>
          <w:szCs w:val="20"/>
          <w:lang w:val="es-ES"/>
        </w:rPr>
        <w:t xml:space="preserve"> que los concursos públicos de oposición y de mérito que prevean métodos, como los exámenes, permiten evaluar objetivamente y calificar la capacidad profesional y los méritos de las candidatas y candidatos a los cargos</w:t>
      </w:r>
      <w:r w:rsidR="007D156A" w:rsidRPr="0010796C">
        <w:rPr>
          <w:rStyle w:val="FootnoteReference"/>
          <w:rFonts w:ascii="Cambria" w:hAnsi="Cambria"/>
          <w:sz w:val="20"/>
          <w:szCs w:val="20"/>
          <w:lang w:val="es-ES"/>
        </w:rPr>
        <w:footnoteReference w:id="210"/>
      </w:r>
      <w:r w:rsidR="007D156A" w:rsidRPr="0010796C">
        <w:rPr>
          <w:rFonts w:ascii="Cambria" w:hAnsi="Cambria"/>
          <w:sz w:val="20"/>
          <w:szCs w:val="20"/>
          <w:lang w:val="es-ES"/>
        </w:rPr>
        <w:t xml:space="preserve">. </w:t>
      </w:r>
    </w:p>
    <w:p w:rsidR="009D1F7A" w:rsidRPr="0010796C" w:rsidRDefault="009D1F7A" w:rsidP="0014627A">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firstLine="0"/>
        <w:jc w:val="both"/>
        <w:rPr>
          <w:rFonts w:ascii="Cambria" w:hAnsi="Cambria"/>
          <w:sz w:val="20"/>
          <w:szCs w:val="20"/>
          <w:lang w:val="es-ES"/>
        </w:rPr>
      </w:pPr>
    </w:p>
    <w:p w:rsidR="007D156A" w:rsidRPr="0010796C" w:rsidRDefault="00321DC1" w:rsidP="00AD439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jc w:val="both"/>
        <w:rPr>
          <w:rFonts w:ascii="Cambria" w:hAnsi="Cambria"/>
          <w:sz w:val="20"/>
          <w:szCs w:val="20"/>
          <w:lang w:val="es-ES"/>
        </w:rPr>
      </w:pPr>
      <w:r w:rsidRPr="0010796C">
        <w:rPr>
          <w:rFonts w:ascii="Cambria" w:hAnsi="Cambria"/>
          <w:sz w:val="20"/>
          <w:szCs w:val="20"/>
          <w:lang w:val="es-ES"/>
        </w:rPr>
        <w:t>Respecto de</w:t>
      </w:r>
      <w:r w:rsidR="00F50E4B" w:rsidRPr="0010796C">
        <w:rPr>
          <w:rFonts w:ascii="Cambria" w:hAnsi="Cambria"/>
          <w:sz w:val="20"/>
          <w:szCs w:val="20"/>
          <w:lang w:val="es-ES"/>
        </w:rPr>
        <w:t>l derecho a ser juzgado por autoridad imparcial, éste</w:t>
      </w:r>
      <w:r w:rsidR="001D7332" w:rsidRPr="0010796C">
        <w:rPr>
          <w:rFonts w:ascii="Cambria" w:hAnsi="Cambria"/>
          <w:sz w:val="20"/>
          <w:szCs w:val="20"/>
          <w:lang w:val="es-ES"/>
        </w:rPr>
        <w:t xml:space="preserve"> exige que la autoridad que interviene se aproxime a los hechos careciendo, de manera subjetiva, de todo prejuicio y, ofreciendo garantías suficientes de índole objetiva que permitan desterrar toda duda que el justiciable o la comunidad puedan albergar respecto de</w:t>
      </w:r>
      <w:r w:rsidR="00210273" w:rsidRPr="0010796C">
        <w:rPr>
          <w:rFonts w:ascii="Cambria" w:hAnsi="Cambria"/>
          <w:sz w:val="20"/>
          <w:szCs w:val="20"/>
          <w:lang w:val="es-ES"/>
        </w:rPr>
        <w:t xml:space="preserve"> la ausencia de imparcialidad</w:t>
      </w:r>
      <w:r w:rsidR="00210273" w:rsidRPr="0010796C">
        <w:rPr>
          <w:rStyle w:val="FootnoteReference"/>
          <w:rFonts w:ascii="Cambria" w:hAnsi="Cambria"/>
          <w:sz w:val="20"/>
          <w:szCs w:val="20"/>
          <w:lang w:val="es-ES"/>
        </w:rPr>
        <w:footnoteReference w:id="211"/>
      </w:r>
      <w:r w:rsidR="001D7332" w:rsidRPr="0010796C">
        <w:rPr>
          <w:rFonts w:ascii="Cambria" w:hAnsi="Cambria"/>
          <w:sz w:val="20"/>
          <w:szCs w:val="20"/>
          <w:lang w:val="es-ES"/>
        </w:rPr>
        <w:t xml:space="preserve">. </w:t>
      </w:r>
      <w:r w:rsidR="00210273" w:rsidRPr="0010796C">
        <w:rPr>
          <w:rFonts w:ascii="Cambria" w:hAnsi="Cambria"/>
          <w:sz w:val="20"/>
          <w:szCs w:val="20"/>
          <w:lang w:val="es-ES"/>
        </w:rPr>
        <w:t>En ese sentido,</w:t>
      </w:r>
      <w:r w:rsidR="001D7332" w:rsidRPr="0010796C">
        <w:rPr>
          <w:rFonts w:ascii="Cambria" w:hAnsi="Cambria"/>
          <w:sz w:val="20"/>
          <w:szCs w:val="20"/>
          <w:lang w:val="es-ES"/>
        </w:rPr>
        <w:t xml:space="preserve"> la imparcialidad personal o subjetiva se presume a menos q</w:t>
      </w:r>
      <w:r w:rsidR="00210273" w:rsidRPr="0010796C">
        <w:rPr>
          <w:rFonts w:ascii="Cambria" w:hAnsi="Cambria"/>
          <w:sz w:val="20"/>
          <w:szCs w:val="20"/>
          <w:lang w:val="es-ES"/>
        </w:rPr>
        <w:t>ue exista prueba en contrario</w:t>
      </w:r>
      <w:r w:rsidR="00210273" w:rsidRPr="0010796C">
        <w:rPr>
          <w:rStyle w:val="FootnoteReference"/>
          <w:rFonts w:ascii="Cambria" w:hAnsi="Cambria"/>
          <w:sz w:val="20"/>
          <w:szCs w:val="20"/>
          <w:lang w:val="es-ES"/>
        </w:rPr>
        <w:footnoteReference w:id="212"/>
      </w:r>
      <w:r w:rsidR="001D7332" w:rsidRPr="0010796C">
        <w:rPr>
          <w:rFonts w:ascii="Cambria" w:hAnsi="Cambria"/>
          <w:sz w:val="20"/>
          <w:szCs w:val="20"/>
          <w:lang w:val="es-ES"/>
        </w:rPr>
        <w:t>. Por su parte, la denominada prueba objetiva consiste en determinar si la autoridad que realizó las funciones jurisdiccionales proporcionó elementos convincentes que permitan eliminar temores legítimos o fundadas sospechas de</w:t>
      </w:r>
      <w:r w:rsidR="00210273" w:rsidRPr="0010796C">
        <w:rPr>
          <w:rFonts w:ascii="Cambria" w:hAnsi="Cambria"/>
          <w:sz w:val="20"/>
          <w:szCs w:val="20"/>
          <w:lang w:val="es-ES"/>
        </w:rPr>
        <w:t xml:space="preserve"> parcialidad sobre su persona</w:t>
      </w:r>
      <w:r w:rsidR="00210273" w:rsidRPr="0010796C">
        <w:rPr>
          <w:rStyle w:val="FootnoteReference"/>
          <w:rFonts w:ascii="Cambria" w:hAnsi="Cambria"/>
          <w:sz w:val="20"/>
          <w:szCs w:val="20"/>
          <w:lang w:val="es-ES"/>
        </w:rPr>
        <w:footnoteReference w:id="213"/>
      </w:r>
      <w:r w:rsidR="001D7332" w:rsidRPr="0010796C">
        <w:rPr>
          <w:rFonts w:ascii="Cambria" w:hAnsi="Cambria"/>
          <w:sz w:val="20"/>
          <w:szCs w:val="20"/>
          <w:lang w:val="es-ES"/>
        </w:rPr>
        <w:t>.</w:t>
      </w:r>
      <w:r w:rsidR="00AD439F" w:rsidRPr="0010796C">
        <w:rPr>
          <w:rFonts w:ascii="Cambria" w:hAnsi="Cambria"/>
          <w:sz w:val="20"/>
          <w:szCs w:val="20"/>
          <w:lang w:val="es-ES"/>
        </w:rPr>
        <w:t xml:space="preserve"> </w:t>
      </w:r>
      <w:r w:rsidR="004C6F7F" w:rsidRPr="0010796C">
        <w:rPr>
          <w:rFonts w:ascii="Cambria" w:hAnsi="Cambria"/>
          <w:sz w:val="20"/>
          <w:szCs w:val="20"/>
          <w:lang w:val="es-ES"/>
        </w:rPr>
        <w:t>La</w:t>
      </w:r>
      <w:r w:rsidR="00F74D36" w:rsidRPr="0010796C">
        <w:rPr>
          <w:rFonts w:ascii="Cambria" w:hAnsi="Cambria"/>
          <w:sz w:val="20"/>
          <w:szCs w:val="20"/>
          <w:lang w:val="es-ES"/>
        </w:rPr>
        <w:t xml:space="preserve"> Corte Interamericana ha resaltado la importancia de la figura de la recusación </w:t>
      </w:r>
      <w:r w:rsidR="004C6F7F" w:rsidRPr="0010796C">
        <w:rPr>
          <w:rFonts w:ascii="Cambria" w:hAnsi="Cambria"/>
          <w:sz w:val="20"/>
          <w:szCs w:val="20"/>
          <w:lang w:val="es-ES"/>
        </w:rPr>
        <w:t>de jueces o juezas a efectos de impugnar la imparcialidad de los mismos</w:t>
      </w:r>
      <w:r w:rsidR="004C6F7F" w:rsidRPr="0010796C">
        <w:rPr>
          <w:rStyle w:val="FootnoteReference"/>
          <w:rFonts w:ascii="Cambria" w:hAnsi="Cambria"/>
          <w:sz w:val="20"/>
          <w:szCs w:val="20"/>
          <w:lang w:val="es-ES"/>
        </w:rPr>
        <w:footnoteReference w:id="214"/>
      </w:r>
      <w:r w:rsidR="004C6F7F" w:rsidRPr="0010796C">
        <w:rPr>
          <w:rFonts w:ascii="Cambria" w:hAnsi="Cambria"/>
          <w:sz w:val="20"/>
          <w:szCs w:val="20"/>
          <w:lang w:val="es-ES"/>
        </w:rPr>
        <w:t>.</w:t>
      </w:r>
    </w:p>
    <w:p w:rsidR="00106062" w:rsidRPr="0010796C" w:rsidRDefault="00106062" w:rsidP="0086378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firstLine="0"/>
        <w:jc w:val="both"/>
        <w:rPr>
          <w:rFonts w:ascii="Cambria" w:hAnsi="Cambria"/>
          <w:sz w:val="20"/>
          <w:szCs w:val="20"/>
          <w:lang w:val="es-ES"/>
        </w:rPr>
      </w:pPr>
    </w:p>
    <w:p w:rsidR="00106062" w:rsidRPr="0010796C" w:rsidRDefault="00106062" w:rsidP="00740B5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4770"/>
        </w:tabs>
        <w:autoSpaceDE w:val="0"/>
        <w:autoSpaceDN w:val="0"/>
        <w:adjustRightInd w:val="0"/>
        <w:ind w:left="0"/>
        <w:jc w:val="both"/>
        <w:rPr>
          <w:rFonts w:ascii="Cambria" w:hAnsi="Cambria"/>
          <w:bCs/>
          <w:sz w:val="20"/>
          <w:szCs w:val="20"/>
          <w:lang w:val="es-ES"/>
        </w:rPr>
      </w:pPr>
      <w:r w:rsidRPr="0010796C">
        <w:rPr>
          <w:rFonts w:ascii="Cambria" w:hAnsi="Cambria"/>
          <w:bCs/>
          <w:sz w:val="20"/>
          <w:szCs w:val="20"/>
          <w:lang w:val="es-ES"/>
        </w:rPr>
        <w:lastRenderedPageBreak/>
        <w:t>Por otra parte, e</w:t>
      </w:r>
      <w:r w:rsidRPr="0010796C">
        <w:rPr>
          <w:rFonts w:ascii="Cambria" w:hAnsi="Cambria"/>
          <w:sz w:val="20"/>
          <w:szCs w:val="20"/>
          <w:lang w:val="es-ES"/>
        </w:rPr>
        <w:t xml:space="preserve">n virtud del artículo 25 de la Convención, los Estados deben de ofrecer un recurso adecuado y efectivo contra actos violatorios de sus derechos, tanto los establecidos en la Convención como en la </w:t>
      </w:r>
      <w:r w:rsidR="00A35EED" w:rsidRPr="0010796C">
        <w:rPr>
          <w:rFonts w:ascii="Cambria" w:hAnsi="Cambria"/>
          <w:sz w:val="20"/>
          <w:szCs w:val="20"/>
          <w:lang w:val="es-ES"/>
        </w:rPr>
        <w:t xml:space="preserve">Constitución y la </w:t>
      </w:r>
      <w:r w:rsidRPr="0010796C">
        <w:rPr>
          <w:rFonts w:ascii="Cambria" w:hAnsi="Cambria"/>
          <w:sz w:val="20"/>
          <w:szCs w:val="20"/>
          <w:lang w:val="es-ES"/>
        </w:rPr>
        <w:t>ley</w:t>
      </w:r>
      <w:r w:rsidRPr="0010796C">
        <w:rPr>
          <w:rStyle w:val="FootnoteReference"/>
          <w:rFonts w:ascii="Cambria" w:hAnsi="Cambria"/>
          <w:sz w:val="20"/>
          <w:szCs w:val="20"/>
          <w:lang w:val="es-ES"/>
        </w:rPr>
        <w:footnoteReference w:id="215"/>
      </w:r>
      <w:r w:rsidRPr="0010796C">
        <w:rPr>
          <w:rFonts w:ascii="Cambria" w:hAnsi="Cambria"/>
          <w:sz w:val="20"/>
          <w:szCs w:val="20"/>
          <w:lang w:val="es-ES"/>
        </w:rPr>
        <w:t>.</w:t>
      </w:r>
      <w:r w:rsidRPr="0010796C">
        <w:rPr>
          <w:rFonts w:ascii="Cambria" w:hAnsi="Cambria"/>
          <w:bCs/>
          <w:sz w:val="20"/>
          <w:szCs w:val="20"/>
          <w:lang w:val="es-ES"/>
        </w:rPr>
        <w:t xml:space="preserve"> </w:t>
      </w:r>
      <w:r w:rsidR="00415B29" w:rsidRPr="0010796C">
        <w:rPr>
          <w:rFonts w:ascii="Cambria" w:hAnsi="Cambria"/>
          <w:bCs/>
          <w:sz w:val="20"/>
          <w:szCs w:val="20"/>
          <w:lang w:val="es-ES"/>
        </w:rPr>
        <w:t xml:space="preserve">En ese sentido, el Estado debe asegurar la existencia de recursos sencillos, rápidos y efectivos para que toda persona sometida a proceso penal, pueda cuestionar la competencia, independencia e </w:t>
      </w:r>
      <w:r w:rsidR="0010796C" w:rsidRPr="0010796C">
        <w:rPr>
          <w:rFonts w:ascii="Cambria" w:hAnsi="Cambria"/>
          <w:bCs/>
          <w:sz w:val="20"/>
          <w:szCs w:val="20"/>
          <w:lang w:val="es-ES"/>
        </w:rPr>
        <w:t>imparcialidad</w:t>
      </w:r>
      <w:r w:rsidR="00415B29" w:rsidRPr="0010796C">
        <w:rPr>
          <w:rFonts w:ascii="Cambria" w:hAnsi="Cambria"/>
          <w:bCs/>
          <w:sz w:val="20"/>
          <w:szCs w:val="20"/>
          <w:lang w:val="es-ES"/>
        </w:rPr>
        <w:t xml:space="preserve"> de las autoridad judiciales que están conociendo dicho proceso. </w:t>
      </w:r>
    </w:p>
    <w:p w:rsidR="00106062" w:rsidRPr="0010796C" w:rsidRDefault="00106062" w:rsidP="00CE0B39">
      <w:pPr>
        <w:rPr>
          <w:rFonts w:ascii="Cambria" w:hAnsi="Cambria"/>
          <w:b/>
          <w:sz w:val="20"/>
          <w:szCs w:val="20"/>
          <w:lang w:val="es-ES"/>
        </w:rPr>
      </w:pPr>
    </w:p>
    <w:p w:rsidR="004323AD" w:rsidRPr="0010796C" w:rsidRDefault="004323AD" w:rsidP="000633CC">
      <w:pPr>
        <w:numPr>
          <w:ilvl w:val="0"/>
          <w:numId w:val="60"/>
        </w:numPr>
        <w:ind w:hanging="2520"/>
        <w:rPr>
          <w:rFonts w:ascii="Cambria" w:hAnsi="Cambria"/>
          <w:b/>
          <w:sz w:val="20"/>
          <w:szCs w:val="20"/>
          <w:lang w:val="es-ES"/>
        </w:rPr>
      </w:pPr>
      <w:r w:rsidRPr="0010796C">
        <w:rPr>
          <w:rFonts w:ascii="Cambria" w:hAnsi="Cambria"/>
          <w:b/>
          <w:sz w:val="20"/>
          <w:szCs w:val="20"/>
          <w:lang w:val="es-ES"/>
        </w:rPr>
        <w:t xml:space="preserve">Análisis </w:t>
      </w:r>
      <w:r w:rsidR="000A1002" w:rsidRPr="0010796C">
        <w:rPr>
          <w:rFonts w:ascii="Cambria" w:hAnsi="Cambria"/>
          <w:b/>
          <w:sz w:val="20"/>
          <w:szCs w:val="20"/>
          <w:lang w:val="es-ES"/>
        </w:rPr>
        <w:t xml:space="preserve">del </w:t>
      </w:r>
      <w:r w:rsidRPr="0010796C">
        <w:rPr>
          <w:rFonts w:ascii="Cambria" w:hAnsi="Cambria"/>
          <w:b/>
          <w:sz w:val="20"/>
          <w:szCs w:val="20"/>
          <w:lang w:val="es-ES"/>
        </w:rPr>
        <w:t>presente caso</w:t>
      </w:r>
    </w:p>
    <w:p w:rsidR="004323AD" w:rsidRPr="0010796C" w:rsidRDefault="004323AD" w:rsidP="006F33F9">
      <w:pPr>
        <w:rPr>
          <w:rFonts w:ascii="Cambria" w:hAnsi="Cambria"/>
          <w:b/>
          <w:sz w:val="20"/>
          <w:szCs w:val="20"/>
          <w:lang w:val="es-ES"/>
        </w:rPr>
      </w:pPr>
    </w:p>
    <w:p w:rsidR="0014442A" w:rsidRPr="0010796C" w:rsidRDefault="0014442A" w:rsidP="0014442A">
      <w:pPr>
        <w:numPr>
          <w:ilvl w:val="0"/>
          <w:numId w:val="55"/>
        </w:numPr>
        <w:jc w:val="both"/>
        <w:rPr>
          <w:rFonts w:ascii="Cambria" w:hAnsi="Cambria"/>
          <w:sz w:val="20"/>
          <w:szCs w:val="20"/>
          <w:lang w:val="es-ES"/>
        </w:rPr>
      </w:pPr>
      <w:r w:rsidRPr="0010796C">
        <w:rPr>
          <w:rFonts w:ascii="Cambria" w:hAnsi="Cambria"/>
          <w:sz w:val="20"/>
          <w:szCs w:val="20"/>
          <w:lang w:val="es-ES"/>
        </w:rPr>
        <w:t xml:space="preserve">La Comisión observa que en el marco de las cuatro causas penales descritas en los hechos probados, la defensa del señor Romero </w:t>
      </w:r>
      <w:proofErr w:type="spellStart"/>
      <w:r w:rsidRPr="0010796C">
        <w:rPr>
          <w:rFonts w:ascii="Cambria" w:hAnsi="Cambria"/>
          <w:sz w:val="20"/>
          <w:szCs w:val="20"/>
          <w:lang w:val="es-ES"/>
        </w:rPr>
        <w:t>Feris</w:t>
      </w:r>
      <w:proofErr w:type="spellEnd"/>
      <w:r w:rsidRPr="0010796C">
        <w:rPr>
          <w:rFonts w:ascii="Cambria" w:hAnsi="Cambria"/>
          <w:sz w:val="20"/>
          <w:szCs w:val="20"/>
          <w:lang w:val="es-ES"/>
        </w:rPr>
        <w:t xml:space="preserve"> interpuso una serie de recursos cuestionando diferentes aspectos relacionados con la competencia, independencia e imparcialidad de las distintas autoridades judiciales que conocieron los procesos penales en su contra</w:t>
      </w:r>
      <w:r w:rsidR="008605D5" w:rsidRPr="0010796C">
        <w:rPr>
          <w:rFonts w:ascii="Cambria" w:hAnsi="Cambria"/>
          <w:sz w:val="20"/>
          <w:szCs w:val="20"/>
          <w:lang w:val="es-ES"/>
        </w:rPr>
        <w:t xml:space="preserve">. </w:t>
      </w:r>
      <w:r w:rsidR="0065202B" w:rsidRPr="0010796C">
        <w:rPr>
          <w:rFonts w:ascii="Cambria" w:hAnsi="Cambria"/>
          <w:sz w:val="20"/>
          <w:szCs w:val="20"/>
          <w:lang w:val="es-ES"/>
        </w:rPr>
        <w:t xml:space="preserve">A lo largo de dichos recursos, el señor Romero </w:t>
      </w:r>
      <w:proofErr w:type="spellStart"/>
      <w:r w:rsidR="0065202B" w:rsidRPr="0010796C">
        <w:rPr>
          <w:rFonts w:ascii="Cambria" w:hAnsi="Cambria"/>
          <w:sz w:val="20"/>
          <w:szCs w:val="20"/>
          <w:lang w:val="es-ES"/>
        </w:rPr>
        <w:t>Feris</w:t>
      </w:r>
      <w:proofErr w:type="spellEnd"/>
      <w:r w:rsidR="0065202B" w:rsidRPr="0010796C">
        <w:rPr>
          <w:rFonts w:ascii="Cambria" w:hAnsi="Cambria"/>
          <w:sz w:val="20"/>
          <w:szCs w:val="20"/>
          <w:lang w:val="es-ES"/>
        </w:rPr>
        <w:t xml:space="preserve"> vinculó estas violaciones con un trasfondo político conforme al cual se designaron a las autoridades que conocieron sus causas de manera irregular y específi</w:t>
      </w:r>
      <w:r w:rsidR="0097761C" w:rsidRPr="0010796C">
        <w:rPr>
          <w:rFonts w:ascii="Cambria" w:hAnsi="Cambria"/>
          <w:sz w:val="20"/>
          <w:szCs w:val="20"/>
          <w:lang w:val="es-ES"/>
        </w:rPr>
        <w:t xml:space="preserve">camente con la finalidad de procurar su persecución a través de la vía penal. </w:t>
      </w:r>
    </w:p>
    <w:p w:rsidR="008605D5" w:rsidRPr="0010796C" w:rsidRDefault="008605D5" w:rsidP="00E00770">
      <w:pPr>
        <w:ind w:left="720"/>
        <w:jc w:val="both"/>
        <w:rPr>
          <w:rFonts w:ascii="Cambria" w:hAnsi="Cambria"/>
          <w:sz w:val="20"/>
          <w:szCs w:val="20"/>
          <w:lang w:val="es-ES"/>
        </w:rPr>
      </w:pPr>
    </w:p>
    <w:p w:rsidR="008605D5" w:rsidRPr="0010796C" w:rsidRDefault="008605D5" w:rsidP="0014442A">
      <w:pPr>
        <w:numPr>
          <w:ilvl w:val="0"/>
          <w:numId w:val="55"/>
        </w:numPr>
        <w:jc w:val="both"/>
        <w:rPr>
          <w:rFonts w:ascii="Cambria" w:hAnsi="Cambria"/>
          <w:sz w:val="20"/>
          <w:szCs w:val="20"/>
          <w:lang w:val="es-ES"/>
        </w:rPr>
      </w:pPr>
      <w:r w:rsidRPr="0010796C">
        <w:rPr>
          <w:rFonts w:ascii="Cambria" w:hAnsi="Cambria"/>
          <w:sz w:val="20"/>
          <w:szCs w:val="20"/>
          <w:lang w:val="es-ES"/>
        </w:rPr>
        <w:t>La Comisión observa que los cuestionamientos efectuados a través de los referidos recursos se pueden recapitular de la siguiente manera: i) imp</w:t>
      </w:r>
      <w:r w:rsidR="003C286E" w:rsidRPr="0010796C">
        <w:rPr>
          <w:rFonts w:ascii="Cambria" w:hAnsi="Cambria"/>
          <w:sz w:val="20"/>
          <w:szCs w:val="20"/>
          <w:lang w:val="es-ES"/>
        </w:rPr>
        <w:t>ugnación del nombramiento del Juez de Instrucció</w:t>
      </w:r>
      <w:r w:rsidR="00B8106B" w:rsidRPr="0010796C">
        <w:rPr>
          <w:rFonts w:ascii="Cambria" w:hAnsi="Cambria"/>
          <w:sz w:val="20"/>
          <w:szCs w:val="20"/>
          <w:lang w:val="es-ES"/>
        </w:rPr>
        <w:t>n no. 1</w:t>
      </w:r>
      <w:r w:rsidR="000718C8" w:rsidRPr="0010796C">
        <w:rPr>
          <w:rFonts w:ascii="Cambria" w:hAnsi="Cambria"/>
          <w:sz w:val="20"/>
          <w:szCs w:val="20"/>
          <w:lang w:val="es-ES"/>
        </w:rPr>
        <w:t xml:space="preserve"> debido a que ocupó el noveno lugar en la tabla de puntajes del co</w:t>
      </w:r>
      <w:r w:rsidR="001F2F39" w:rsidRPr="0010796C">
        <w:rPr>
          <w:rFonts w:ascii="Cambria" w:hAnsi="Cambria"/>
          <w:sz w:val="20"/>
          <w:szCs w:val="20"/>
          <w:lang w:val="es-ES"/>
        </w:rPr>
        <w:t>ncurso respectivo; ii) impugnación de la aplicación de las reglas de competencia que dio lugar al conocimiento de las causas penales por parte del Juez de Instrucción no. 1</w:t>
      </w:r>
      <w:r w:rsidR="001F594C" w:rsidRPr="0010796C">
        <w:rPr>
          <w:rFonts w:ascii="Cambria" w:hAnsi="Cambria"/>
          <w:sz w:val="20"/>
          <w:szCs w:val="20"/>
          <w:lang w:val="es-ES"/>
        </w:rPr>
        <w:t xml:space="preserve">; iii) impugnación de la conformación de la </w:t>
      </w:r>
      <w:r w:rsidR="00A1526A" w:rsidRPr="0010796C">
        <w:rPr>
          <w:rFonts w:ascii="Cambria" w:hAnsi="Cambria"/>
          <w:sz w:val="20"/>
          <w:szCs w:val="20"/>
          <w:lang w:val="es-ES"/>
        </w:rPr>
        <w:t>Cá</w:t>
      </w:r>
      <w:r w:rsidR="00271C53" w:rsidRPr="0010796C">
        <w:rPr>
          <w:rFonts w:ascii="Cambria" w:hAnsi="Cambria"/>
          <w:sz w:val="20"/>
          <w:szCs w:val="20"/>
          <w:lang w:val="es-ES"/>
        </w:rPr>
        <w:t>mara en lo</w:t>
      </w:r>
      <w:r w:rsidR="00A1526A" w:rsidRPr="0010796C">
        <w:rPr>
          <w:rFonts w:ascii="Cambria" w:hAnsi="Cambria"/>
          <w:sz w:val="20"/>
          <w:szCs w:val="20"/>
          <w:lang w:val="es-ES"/>
        </w:rPr>
        <w:t xml:space="preserve"> Criminal no. 2 y del Superior Tribunal de Justicia</w:t>
      </w:r>
      <w:r w:rsidR="00CE7B45" w:rsidRPr="0010796C">
        <w:rPr>
          <w:rFonts w:ascii="Cambria" w:hAnsi="Cambria"/>
          <w:sz w:val="20"/>
          <w:szCs w:val="20"/>
          <w:lang w:val="es-ES"/>
        </w:rPr>
        <w:t>, pues algunos de sus miembros fueron nombrados en comisión por parte del Ejecutivo, no obstante el Senado no estaba en receso, tal como lo establecía el artículo 142 de la Constitución provincial;</w:t>
      </w:r>
      <w:r w:rsidR="00271C53" w:rsidRPr="0010796C">
        <w:rPr>
          <w:rFonts w:ascii="Cambria" w:hAnsi="Cambria"/>
          <w:sz w:val="20"/>
          <w:szCs w:val="20"/>
          <w:lang w:val="es-ES"/>
        </w:rPr>
        <w:t xml:space="preserve"> </w:t>
      </w:r>
      <w:r w:rsidR="00C548FB" w:rsidRPr="0010796C">
        <w:rPr>
          <w:rFonts w:ascii="Cambria" w:hAnsi="Cambria"/>
          <w:sz w:val="20"/>
          <w:szCs w:val="20"/>
          <w:lang w:val="es-ES"/>
        </w:rPr>
        <w:t>i</w:t>
      </w:r>
      <w:r w:rsidR="00F45774" w:rsidRPr="0010796C">
        <w:rPr>
          <w:rFonts w:ascii="Cambria" w:hAnsi="Cambria"/>
          <w:sz w:val="20"/>
          <w:szCs w:val="20"/>
          <w:lang w:val="es-ES"/>
        </w:rPr>
        <w:t xml:space="preserve">v) </w:t>
      </w:r>
      <w:r w:rsidR="00F07761" w:rsidRPr="0010796C">
        <w:rPr>
          <w:rFonts w:ascii="Cambria" w:hAnsi="Cambria"/>
          <w:sz w:val="20"/>
          <w:szCs w:val="20"/>
          <w:lang w:val="es-ES"/>
        </w:rPr>
        <w:t>impugnación de la actuación de</w:t>
      </w:r>
      <w:r w:rsidR="007E5710" w:rsidRPr="0010796C">
        <w:rPr>
          <w:rFonts w:ascii="Cambria" w:hAnsi="Cambria"/>
          <w:sz w:val="20"/>
          <w:szCs w:val="20"/>
          <w:lang w:val="es-ES"/>
        </w:rPr>
        <w:t xml:space="preserve"> </w:t>
      </w:r>
      <w:r w:rsidR="00F45774" w:rsidRPr="0010796C">
        <w:rPr>
          <w:rFonts w:ascii="Cambria" w:hAnsi="Cambria"/>
          <w:sz w:val="20"/>
          <w:szCs w:val="20"/>
          <w:lang w:val="es-ES"/>
        </w:rPr>
        <w:t xml:space="preserve">una magistrada de la Cámara en lo Criminal no. 2 por tener un familiar que había participado en causas conexas seguidas al señor Romero </w:t>
      </w:r>
      <w:proofErr w:type="spellStart"/>
      <w:r w:rsidR="00F45774" w:rsidRPr="0010796C">
        <w:rPr>
          <w:rFonts w:ascii="Cambria" w:hAnsi="Cambria"/>
          <w:sz w:val="20"/>
          <w:szCs w:val="20"/>
          <w:lang w:val="es-ES"/>
        </w:rPr>
        <w:t>Feris</w:t>
      </w:r>
      <w:proofErr w:type="spellEnd"/>
      <w:r w:rsidR="00F45774" w:rsidRPr="0010796C">
        <w:rPr>
          <w:rFonts w:ascii="Cambria" w:hAnsi="Cambria"/>
          <w:sz w:val="20"/>
          <w:szCs w:val="20"/>
          <w:lang w:val="es-ES"/>
        </w:rPr>
        <w:t xml:space="preserve">; </w:t>
      </w:r>
      <w:r w:rsidR="006D45E2" w:rsidRPr="0010796C">
        <w:rPr>
          <w:rFonts w:ascii="Cambria" w:hAnsi="Cambria"/>
          <w:sz w:val="20"/>
          <w:szCs w:val="20"/>
          <w:lang w:val="es-ES"/>
        </w:rPr>
        <w:t>v) recusación a miembros de la Cámara en lo Criminal no. 2 pues habían conocido en alzada algunos actos de instrucció</w:t>
      </w:r>
      <w:r w:rsidR="00C548FB" w:rsidRPr="0010796C">
        <w:rPr>
          <w:rFonts w:ascii="Cambria" w:hAnsi="Cambria"/>
          <w:sz w:val="20"/>
          <w:szCs w:val="20"/>
          <w:lang w:val="es-ES"/>
        </w:rPr>
        <w:t>n en las mismas causas; y v</w:t>
      </w:r>
      <w:r w:rsidR="006D45E2" w:rsidRPr="0010796C">
        <w:rPr>
          <w:rFonts w:ascii="Cambria" w:hAnsi="Cambria"/>
          <w:sz w:val="20"/>
          <w:szCs w:val="20"/>
          <w:lang w:val="es-ES"/>
        </w:rPr>
        <w:t xml:space="preserve">i) </w:t>
      </w:r>
      <w:r w:rsidR="004068CA" w:rsidRPr="0010796C">
        <w:rPr>
          <w:rFonts w:ascii="Cambria" w:hAnsi="Cambria"/>
          <w:sz w:val="20"/>
          <w:szCs w:val="20"/>
          <w:lang w:val="es-ES"/>
        </w:rPr>
        <w:t>impugnació</w:t>
      </w:r>
      <w:r w:rsidR="008D6F7E" w:rsidRPr="0010796C">
        <w:rPr>
          <w:rFonts w:ascii="Cambria" w:hAnsi="Cambria"/>
          <w:sz w:val="20"/>
          <w:szCs w:val="20"/>
          <w:lang w:val="es-ES"/>
        </w:rPr>
        <w:t>n contra el Superior Tribun</w:t>
      </w:r>
      <w:r w:rsidR="00B02B46" w:rsidRPr="0010796C">
        <w:rPr>
          <w:rFonts w:ascii="Cambria" w:hAnsi="Cambria"/>
          <w:sz w:val="20"/>
          <w:szCs w:val="20"/>
          <w:lang w:val="es-ES"/>
        </w:rPr>
        <w:t xml:space="preserve">al de Justicia, por haber adoptado una decisión sólo con tres de sus cinco miembros no obstante la Ley Orgánica de la Administración de Justicia establecía que debía ser por mayoría absoluta de todos sus miembros. </w:t>
      </w:r>
      <w:r w:rsidR="008D6F7E" w:rsidRPr="0010796C">
        <w:rPr>
          <w:rFonts w:ascii="Cambria" w:hAnsi="Cambria"/>
          <w:sz w:val="20"/>
          <w:szCs w:val="20"/>
          <w:lang w:val="es-ES"/>
        </w:rPr>
        <w:t xml:space="preserve"> </w:t>
      </w:r>
    </w:p>
    <w:p w:rsidR="00D731B4" w:rsidRPr="0010796C" w:rsidRDefault="00D731B4" w:rsidP="00E00770">
      <w:pPr>
        <w:jc w:val="both"/>
        <w:rPr>
          <w:rFonts w:ascii="Cambria" w:hAnsi="Cambria"/>
          <w:sz w:val="20"/>
          <w:szCs w:val="20"/>
          <w:lang w:val="es-ES"/>
        </w:rPr>
      </w:pPr>
    </w:p>
    <w:p w:rsidR="00105649" w:rsidRPr="0010796C" w:rsidRDefault="00D731B4" w:rsidP="00E00770">
      <w:pPr>
        <w:numPr>
          <w:ilvl w:val="0"/>
          <w:numId w:val="55"/>
        </w:numPr>
        <w:jc w:val="both"/>
        <w:rPr>
          <w:rFonts w:ascii="Cambria" w:hAnsi="Cambria"/>
          <w:sz w:val="20"/>
          <w:szCs w:val="20"/>
          <w:lang w:val="es-ES"/>
        </w:rPr>
      </w:pPr>
      <w:r w:rsidRPr="0010796C">
        <w:rPr>
          <w:rFonts w:ascii="Cambria" w:hAnsi="Cambria"/>
          <w:sz w:val="20"/>
          <w:szCs w:val="20"/>
          <w:lang w:val="es-ES"/>
        </w:rPr>
        <w:t xml:space="preserve">En términos generales, la Comisión observa que para que un recurso judicial sea efectivo  a efectos de cuestionar la competencia, independencia </w:t>
      </w:r>
      <w:r w:rsidR="00AC0CEB" w:rsidRPr="0010796C">
        <w:rPr>
          <w:rFonts w:ascii="Cambria" w:hAnsi="Cambria"/>
          <w:sz w:val="20"/>
          <w:szCs w:val="20"/>
          <w:lang w:val="es-ES"/>
        </w:rPr>
        <w:t xml:space="preserve">e imparcialidad, los Estados </w:t>
      </w:r>
      <w:r w:rsidRPr="0010796C">
        <w:rPr>
          <w:rFonts w:ascii="Cambria" w:hAnsi="Cambria"/>
          <w:sz w:val="20"/>
          <w:szCs w:val="20"/>
          <w:lang w:val="es-ES"/>
        </w:rPr>
        <w:t xml:space="preserve">deben asegurar que dichos recursos no sean conocidos por la misma autoridad cuya competencia, independencia e imparcialidad se está impugnando. </w:t>
      </w:r>
      <w:r w:rsidR="00BD16ED" w:rsidRPr="0010796C">
        <w:rPr>
          <w:rFonts w:ascii="Cambria" w:hAnsi="Cambria"/>
          <w:sz w:val="20"/>
          <w:szCs w:val="20"/>
          <w:lang w:val="es-ES"/>
        </w:rPr>
        <w:t>En el presente caso, la Comisión ob</w:t>
      </w:r>
      <w:r w:rsidR="00AC0CEB" w:rsidRPr="0010796C">
        <w:rPr>
          <w:rFonts w:ascii="Cambria" w:hAnsi="Cambria"/>
          <w:sz w:val="20"/>
          <w:szCs w:val="20"/>
          <w:lang w:val="es-ES"/>
        </w:rPr>
        <w:t>serva</w:t>
      </w:r>
      <w:r w:rsidR="00BD16ED" w:rsidRPr="0010796C">
        <w:rPr>
          <w:rFonts w:ascii="Cambria" w:hAnsi="Cambria"/>
          <w:sz w:val="20"/>
          <w:szCs w:val="20"/>
          <w:lang w:val="es-ES"/>
        </w:rPr>
        <w:t xml:space="preserve"> que varios de los recursos interpuestos fueron conocidos, al menos inicialmente, por la propia autoridad cuestionada. Este sólo hecho podría llevar a la Comisión a concluir que dichos recursos no fueron efectivos. Sin embargo, dado que en el marco de la mayoría de los recursos se interpusieron a su vez otros recursos que llegaron al conocimiento de autoridades superiores, la Comisión no cuenta con elementos </w:t>
      </w:r>
      <w:r w:rsidR="0059188E" w:rsidRPr="0010796C">
        <w:rPr>
          <w:rFonts w:ascii="Cambria" w:hAnsi="Cambria"/>
          <w:sz w:val="20"/>
          <w:szCs w:val="20"/>
          <w:lang w:val="es-ES"/>
        </w:rPr>
        <w:t>suficientes para establecer una violación a la Convención Americana sólo por esta razón.</w:t>
      </w:r>
    </w:p>
    <w:p w:rsidR="00105649" w:rsidRPr="0010796C" w:rsidRDefault="00105649" w:rsidP="00E00770">
      <w:pPr>
        <w:ind w:left="720"/>
        <w:jc w:val="both"/>
        <w:rPr>
          <w:rFonts w:ascii="Cambria" w:hAnsi="Cambria"/>
          <w:sz w:val="20"/>
          <w:szCs w:val="20"/>
          <w:lang w:val="es-ES"/>
        </w:rPr>
      </w:pPr>
    </w:p>
    <w:p w:rsidR="00105649" w:rsidRPr="0010796C" w:rsidRDefault="00105649" w:rsidP="00E00770">
      <w:pPr>
        <w:numPr>
          <w:ilvl w:val="0"/>
          <w:numId w:val="55"/>
        </w:numPr>
        <w:jc w:val="both"/>
        <w:rPr>
          <w:rFonts w:ascii="Cambria" w:hAnsi="Cambria"/>
          <w:sz w:val="20"/>
          <w:szCs w:val="20"/>
          <w:lang w:val="es-ES"/>
        </w:rPr>
      </w:pPr>
      <w:r w:rsidRPr="0010796C">
        <w:rPr>
          <w:rFonts w:ascii="Cambria" w:hAnsi="Cambria"/>
          <w:sz w:val="20"/>
          <w:szCs w:val="20"/>
          <w:lang w:val="es-ES"/>
        </w:rPr>
        <w:t xml:space="preserve">Sin perjuicio de lo anterior, a continuación, la CIDH se pronunciará sobre cada uno de estos extremos a la luz del derecho a ser juzgado por autoridad competente, independiente e imparcial, tomando en cuenta las respuestas dadas por las autoridades judiciales internas en el marco de los recursos interpuestos por la defensa del señor Romero </w:t>
      </w:r>
      <w:proofErr w:type="spellStart"/>
      <w:r w:rsidRPr="0010796C">
        <w:rPr>
          <w:rFonts w:ascii="Cambria" w:hAnsi="Cambria"/>
          <w:sz w:val="20"/>
          <w:szCs w:val="20"/>
          <w:lang w:val="es-ES"/>
        </w:rPr>
        <w:t>Feris</w:t>
      </w:r>
      <w:proofErr w:type="spellEnd"/>
      <w:r w:rsidRPr="0010796C">
        <w:rPr>
          <w:rFonts w:ascii="Cambria" w:hAnsi="Cambria"/>
          <w:sz w:val="20"/>
          <w:szCs w:val="20"/>
          <w:lang w:val="es-ES"/>
        </w:rPr>
        <w:t xml:space="preserve">. </w:t>
      </w:r>
    </w:p>
    <w:p w:rsidR="00535866" w:rsidRPr="0010796C" w:rsidRDefault="00535866" w:rsidP="00E00770">
      <w:pPr>
        <w:ind w:left="720"/>
        <w:jc w:val="both"/>
        <w:rPr>
          <w:rFonts w:ascii="Cambria" w:hAnsi="Cambria"/>
          <w:sz w:val="20"/>
          <w:szCs w:val="20"/>
          <w:lang w:val="es-ES"/>
        </w:rPr>
      </w:pPr>
    </w:p>
    <w:p w:rsidR="008D6F5E" w:rsidRPr="0010796C" w:rsidRDefault="006013F9" w:rsidP="00DE4C68">
      <w:pPr>
        <w:numPr>
          <w:ilvl w:val="0"/>
          <w:numId w:val="55"/>
        </w:numPr>
        <w:jc w:val="both"/>
        <w:rPr>
          <w:rFonts w:ascii="Cambria" w:hAnsi="Cambria"/>
          <w:sz w:val="20"/>
          <w:szCs w:val="20"/>
          <w:lang w:val="es-ES"/>
        </w:rPr>
      </w:pPr>
      <w:r w:rsidRPr="0010796C">
        <w:rPr>
          <w:rFonts w:ascii="Cambria" w:hAnsi="Cambria"/>
          <w:sz w:val="20"/>
          <w:szCs w:val="20"/>
          <w:lang w:val="es-ES"/>
        </w:rPr>
        <w:t>En primer lugar,</w:t>
      </w:r>
      <w:r w:rsidR="00535866" w:rsidRPr="0010796C">
        <w:rPr>
          <w:rFonts w:ascii="Cambria" w:hAnsi="Cambria"/>
          <w:sz w:val="20"/>
          <w:szCs w:val="20"/>
          <w:lang w:val="es-ES"/>
        </w:rPr>
        <w:t xml:space="preserve"> en cuanto a la</w:t>
      </w:r>
      <w:r w:rsidRPr="0010796C">
        <w:rPr>
          <w:rFonts w:ascii="Cambria" w:hAnsi="Cambria"/>
          <w:sz w:val="20"/>
          <w:szCs w:val="20"/>
          <w:lang w:val="es-ES"/>
        </w:rPr>
        <w:t xml:space="preserve"> </w:t>
      </w:r>
      <w:r w:rsidR="00535866" w:rsidRPr="0010796C">
        <w:rPr>
          <w:rFonts w:ascii="Cambria" w:hAnsi="Cambria"/>
          <w:sz w:val="20"/>
          <w:szCs w:val="20"/>
          <w:lang w:val="es-ES"/>
        </w:rPr>
        <w:t>impugnación del nombramiento del Juez de Instrucció</w:t>
      </w:r>
      <w:r w:rsidR="00B8106B" w:rsidRPr="0010796C">
        <w:rPr>
          <w:rFonts w:ascii="Cambria" w:hAnsi="Cambria"/>
          <w:sz w:val="20"/>
          <w:szCs w:val="20"/>
          <w:lang w:val="es-ES"/>
        </w:rPr>
        <w:t>n no. 1</w:t>
      </w:r>
      <w:r w:rsidR="0097761C" w:rsidRPr="0010796C">
        <w:rPr>
          <w:rFonts w:ascii="Cambria" w:hAnsi="Cambria"/>
          <w:sz w:val="20"/>
          <w:szCs w:val="20"/>
          <w:lang w:val="es-ES"/>
        </w:rPr>
        <w:t>, que consideró</w:t>
      </w:r>
      <w:r w:rsidR="005E2482" w:rsidRPr="0010796C">
        <w:rPr>
          <w:rFonts w:ascii="Cambria" w:hAnsi="Cambria"/>
          <w:sz w:val="20"/>
          <w:szCs w:val="20"/>
          <w:lang w:val="es-ES"/>
        </w:rPr>
        <w:t xml:space="preserve"> un nombramiento motivado políticamente </w:t>
      </w:r>
      <w:r w:rsidR="0097761C" w:rsidRPr="0010796C">
        <w:rPr>
          <w:rFonts w:ascii="Cambria" w:hAnsi="Cambria"/>
          <w:sz w:val="20"/>
          <w:szCs w:val="20"/>
          <w:lang w:val="es-ES"/>
        </w:rPr>
        <w:t>como un juez encubierto” para decidir sus causas</w:t>
      </w:r>
      <w:r w:rsidR="005E2482" w:rsidRPr="0010796C">
        <w:rPr>
          <w:rFonts w:ascii="Cambria" w:hAnsi="Cambria"/>
          <w:sz w:val="20"/>
          <w:szCs w:val="20"/>
          <w:lang w:val="es-ES"/>
        </w:rPr>
        <w:t>,</w:t>
      </w:r>
      <w:r w:rsidR="0097761C" w:rsidRPr="0010796C">
        <w:rPr>
          <w:rFonts w:ascii="Cambria" w:hAnsi="Cambria"/>
          <w:sz w:val="20"/>
          <w:szCs w:val="20"/>
          <w:lang w:val="es-ES"/>
        </w:rPr>
        <w:t xml:space="preserve"> no obstante </w:t>
      </w:r>
      <w:r w:rsidR="00535866" w:rsidRPr="0010796C">
        <w:rPr>
          <w:rFonts w:ascii="Cambria" w:hAnsi="Cambria"/>
          <w:sz w:val="20"/>
          <w:szCs w:val="20"/>
          <w:lang w:val="es-ES"/>
        </w:rPr>
        <w:t>ocupó el noveno lugar en la tabla de puntajes del concurso respectivo</w:t>
      </w:r>
      <w:r w:rsidR="00A432EF" w:rsidRPr="0010796C">
        <w:rPr>
          <w:rFonts w:ascii="Cambria" w:hAnsi="Cambria"/>
          <w:sz w:val="20"/>
          <w:szCs w:val="20"/>
          <w:lang w:val="es-ES"/>
        </w:rPr>
        <w:t>,</w:t>
      </w:r>
      <w:r w:rsidR="00535866" w:rsidRPr="0010796C">
        <w:rPr>
          <w:rFonts w:ascii="Cambria" w:hAnsi="Cambria"/>
          <w:sz w:val="20"/>
          <w:szCs w:val="20"/>
          <w:lang w:val="es-ES"/>
        </w:rPr>
        <w:t xml:space="preserve"> </w:t>
      </w:r>
      <w:r w:rsidR="00EA1CCD" w:rsidRPr="0010796C">
        <w:rPr>
          <w:rFonts w:ascii="Cambria" w:hAnsi="Cambria"/>
          <w:sz w:val="20"/>
          <w:szCs w:val="20"/>
          <w:lang w:val="es-ES"/>
        </w:rPr>
        <w:t xml:space="preserve">las autoridades judiciales rechazaron dicha impugnación </w:t>
      </w:r>
      <w:r w:rsidR="007A702C" w:rsidRPr="0010796C">
        <w:rPr>
          <w:rFonts w:ascii="Cambria" w:hAnsi="Cambria"/>
          <w:sz w:val="20"/>
          <w:szCs w:val="20"/>
          <w:lang w:val="es-ES"/>
        </w:rPr>
        <w:t xml:space="preserve">principalmente </w:t>
      </w:r>
      <w:r w:rsidR="00753318" w:rsidRPr="0010796C">
        <w:rPr>
          <w:rFonts w:ascii="Cambria" w:hAnsi="Cambria"/>
          <w:sz w:val="20"/>
          <w:szCs w:val="20"/>
          <w:lang w:val="es-ES"/>
        </w:rPr>
        <w:t xml:space="preserve">debido a que </w:t>
      </w:r>
      <w:r w:rsidR="00D33B8D" w:rsidRPr="0010796C">
        <w:rPr>
          <w:rFonts w:ascii="Cambria" w:hAnsi="Cambria"/>
          <w:sz w:val="20"/>
          <w:szCs w:val="20"/>
          <w:lang w:val="es-ES"/>
        </w:rPr>
        <w:t xml:space="preserve">la legislación interna </w:t>
      </w:r>
      <w:r w:rsidR="00753318" w:rsidRPr="0010796C">
        <w:rPr>
          <w:rFonts w:ascii="Cambria" w:hAnsi="Cambria"/>
          <w:sz w:val="20"/>
          <w:szCs w:val="20"/>
          <w:lang w:val="es-ES"/>
        </w:rPr>
        <w:t>no impone la obligación de designar “al primero de la lista, ni siquiera dentro de los tres primeros”.</w:t>
      </w:r>
      <w:r w:rsidR="00F15D05" w:rsidRPr="0010796C">
        <w:rPr>
          <w:rFonts w:ascii="Cambria" w:hAnsi="Cambria"/>
          <w:sz w:val="20"/>
          <w:szCs w:val="20"/>
          <w:lang w:val="es-ES"/>
        </w:rPr>
        <w:t xml:space="preserve"> </w:t>
      </w:r>
    </w:p>
    <w:p w:rsidR="008D6F5E" w:rsidRPr="0010796C" w:rsidRDefault="008D6F5E" w:rsidP="00E00770">
      <w:pPr>
        <w:jc w:val="both"/>
        <w:rPr>
          <w:rFonts w:ascii="Cambria" w:hAnsi="Cambria"/>
          <w:sz w:val="20"/>
          <w:szCs w:val="20"/>
          <w:lang w:val="es-ES"/>
        </w:rPr>
      </w:pPr>
    </w:p>
    <w:p w:rsidR="00DA50CC" w:rsidRPr="0010796C" w:rsidRDefault="00004B5E" w:rsidP="00DA50CC">
      <w:pPr>
        <w:numPr>
          <w:ilvl w:val="0"/>
          <w:numId w:val="55"/>
        </w:numPr>
        <w:jc w:val="both"/>
        <w:rPr>
          <w:rFonts w:ascii="Cambria" w:hAnsi="Cambria"/>
          <w:sz w:val="20"/>
          <w:szCs w:val="20"/>
          <w:lang w:val="es-ES"/>
        </w:rPr>
      </w:pPr>
      <w:r w:rsidRPr="0010796C">
        <w:rPr>
          <w:rFonts w:ascii="Cambria" w:hAnsi="Cambria"/>
          <w:sz w:val="20"/>
          <w:szCs w:val="20"/>
          <w:lang w:val="es-ES"/>
        </w:rPr>
        <w:t xml:space="preserve">Respecto del </w:t>
      </w:r>
      <w:r w:rsidR="00644E86" w:rsidRPr="0010796C">
        <w:rPr>
          <w:rFonts w:ascii="Cambria" w:hAnsi="Cambria"/>
          <w:sz w:val="20"/>
          <w:szCs w:val="20"/>
          <w:lang w:val="es-ES"/>
        </w:rPr>
        <w:t>derecho a contar con autoridad competente, la Comisión observa que dicho análisis remite a la legislación interna</w:t>
      </w:r>
      <w:r w:rsidR="008D6F5E" w:rsidRPr="0010796C">
        <w:rPr>
          <w:rFonts w:ascii="Cambria" w:hAnsi="Cambria"/>
          <w:sz w:val="20"/>
          <w:szCs w:val="20"/>
          <w:lang w:val="es-ES"/>
        </w:rPr>
        <w:t xml:space="preserve">. En ese sentido, al no estar regulada la obligación legal de nombrar a los jueces y juezas conforme a los puntajes mencionados, sobre este extremo no corresponde analizar tal derecho. Ahora bien, en términos del derecho a contar </w:t>
      </w:r>
      <w:r w:rsidR="008663E7" w:rsidRPr="0010796C">
        <w:rPr>
          <w:rFonts w:ascii="Cambria" w:hAnsi="Cambria"/>
          <w:sz w:val="20"/>
          <w:szCs w:val="20"/>
          <w:lang w:val="es-ES"/>
        </w:rPr>
        <w:t>con una autoridad independiente e imparcial,</w:t>
      </w:r>
      <w:r w:rsidR="008D6F5E" w:rsidRPr="0010796C">
        <w:rPr>
          <w:rFonts w:ascii="Cambria" w:hAnsi="Cambria"/>
          <w:sz w:val="20"/>
          <w:szCs w:val="20"/>
          <w:lang w:val="es-ES"/>
        </w:rPr>
        <w:t xml:space="preserve"> </w:t>
      </w:r>
      <w:r w:rsidR="00F15D05" w:rsidRPr="0010796C">
        <w:rPr>
          <w:rFonts w:ascii="Cambria" w:hAnsi="Cambria"/>
          <w:sz w:val="20"/>
          <w:szCs w:val="20"/>
          <w:lang w:val="es-ES"/>
        </w:rPr>
        <w:t>la Comisi</w:t>
      </w:r>
      <w:r w:rsidR="00B0756F" w:rsidRPr="0010796C">
        <w:rPr>
          <w:rFonts w:ascii="Cambria" w:hAnsi="Cambria"/>
          <w:sz w:val="20"/>
          <w:szCs w:val="20"/>
          <w:lang w:val="es-ES"/>
        </w:rPr>
        <w:t xml:space="preserve">ón reitera </w:t>
      </w:r>
      <w:r w:rsidR="005B4C75" w:rsidRPr="0010796C">
        <w:rPr>
          <w:rFonts w:ascii="Cambria" w:hAnsi="Cambria"/>
          <w:sz w:val="20"/>
          <w:szCs w:val="20"/>
          <w:lang w:val="es-ES"/>
        </w:rPr>
        <w:t>la importancia de la existencia de reglas claras de nombramiento de jueces y juezas</w:t>
      </w:r>
      <w:r w:rsidR="000A33F1" w:rsidRPr="0010796C">
        <w:rPr>
          <w:rFonts w:ascii="Cambria" w:hAnsi="Cambria"/>
          <w:sz w:val="20"/>
          <w:szCs w:val="20"/>
          <w:lang w:val="es-ES"/>
        </w:rPr>
        <w:t>;</w:t>
      </w:r>
      <w:r w:rsidR="005B4C75" w:rsidRPr="0010796C">
        <w:rPr>
          <w:rFonts w:ascii="Cambria" w:hAnsi="Cambria"/>
          <w:sz w:val="20"/>
          <w:szCs w:val="20"/>
          <w:lang w:val="es-ES"/>
        </w:rPr>
        <w:t xml:space="preserve"> y que tales procesos de nombramiento sean estrictamente cumplidos y obedezcan a razones de mérito. </w:t>
      </w:r>
      <w:r w:rsidR="00D55ABD" w:rsidRPr="0010796C">
        <w:rPr>
          <w:rFonts w:ascii="Cambria" w:hAnsi="Cambria"/>
          <w:sz w:val="20"/>
          <w:szCs w:val="20"/>
          <w:lang w:val="es-ES"/>
        </w:rPr>
        <w:t>L</w:t>
      </w:r>
      <w:r w:rsidR="00B6412A" w:rsidRPr="0010796C">
        <w:rPr>
          <w:rFonts w:ascii="Cambria" w:hAnsi="Cambria"/>
          <w:sz w:val="20"/>
          <w:szCs w:val="20"/>
          <w:lang w:val="es-ES"/>
        </w:rPr>
        <w:t>a Comisió</w:t>
      </w:r>
      <w:r w:rsidR="00B26FEB" w:rsidRPr="0010796C">
        <w:rPr>
          <w:rFonts w:ascii="Cambria" w:hAnsi="Cambria"/>
          <w:sz w:val="20"/>
          <w:szCs w:val="20"/>
          <w:lang w:val="es-ES"/>
        </w:rPr>
        <w:t>n considera que la existencia de un concurso de mérito por sí sólo no garantiza la idoneidad</w:t>
      </w:r>
      <w:r w:rsidR="000A33F1" w:rsidRPr="0010796C">
        <w:rPr>
          <w:rFonts w:ascii="Cambria" w:hAnsi="Cambria"/>
          <w:sz w:val="20"/>
          <w:szCs w:val="20"/>
          <w:lang w:val="es-ES"/>
        </w:rPr>
        <w:t xml:space="preserve"> e independencia</w:t>
      </w:r>
      <w:r w:rsidR="00B26FEB" w:rsidRPr="0010796C">
        <w:rPr>
          <w:rFonts w:ascii="Cambria" w:hAnsi="Cambria"/>
          <w:sz w:val="20"/>
          <w:szCs w:val="20"/>
          <w:lang w:val="es-ES"/>
        </w:rPr>
        <w:t xml:space="preserve"> de los operadores judiciales si el nombramiento no se basa en los resultados de dicho concurso. </w:t>
      </w:r>
      <w:r w:rsidR="00D55ABD" w:rsidRPr="0010796C">
        <w:rPr>
          <w:rFonts w:ascii="Cambria" w:hAnsi="Cambria"/>
          <w:sz w:val="20"/>
          <w:szCs w:val="20"/>
          <w:lang w:val="es-ES"/>
        </w:rPr>
        <w:t xml:space="preserve">En ese sentido, el nombramiento de una autoridad judicial que ocupó el noveno lugar en un concurso de mérito debe ser evaluado con especial cautela. </w:t>
      </w:r>
    </w:p>
    <w:p w:rsidR="00DA50CC" w:rsidRPr="0010796C" w:rsidRDefault="00DA50CC" w:rsidP="00DA50CC">
      <w:pPr>
        <w:pStyle w:val="ListParagraph"/>
        <w:rPr>
          <w:rFonts w:ascii="Cambria" w:hAnsi="Cambria"/>
          <w:sz w:val="20"/>
          <w:szCs w:val="20"/>
          <w:lang w:val="es-ES"/>
        </w:rPr>
      </w:pPr>
    </w:p>
    <w:p w:rsidR="00AD3894" w:rsidRPr="0010796C" w:rsidRDefault="00EF691E" w:rsidP="00DA50CC">
      <w:pPr>
        <w:numPr>
          <w:ilvl w:val="0"/>
          <w:numId w:val="55"/>
        </w:numPr>
        <w:jc w:val="both"/>
        <w:rPr>
          <w:rFonts w:ascii="Cambria" w:hAnsi="Cambria"/>
          <w:sz w:val="20"/>
          <w:szCs w:val="20"/>
          <w:lang w:val="es-ES"/>
        </w:rPr>
      </w:pPr>
      <w:r w:rsidRPr="0010796C">
        <w:rPr>
          <w:rFonts w:ascii="Cambria" w:hAnsi="Cambria"/>
          <w:sz w:val="20"/>
          <w:szCs w:val="20"/>
          <w:lang w:val="es-ES"/>
        </w:rPr>
        <w:t xml:space="preserve">Al respecto, la CIDH observa que el señor Romero </w:t>
      </w:r>
      <w:proofErr w:type="spellStart"/>
      <w:r w:rsidRPr="0010796C">
        <w:rPr>
          <w:rFonts w:ascii="Cambria" w:hAnsi="Cambria"/>
          <w:sz w:val="20"/>
          <w:szCs w:val="20"/>
          <w:lang w:val="es-ES"/>
        </w:rPr>
        <w:t>Fe</w:t>
      </w:r>
      <w:r w:rsidR="005701C3" w:rsidRPr="0010796C">
        <w:rPr>
          <w:rFonts w:ascii="Cambria" w:hAnsi="Cambria"/>
          <w:sz w:val="20"/>
          <w:szCs w:val="20"/>
          <w:lang w:val="es-ES"/>
        </w:rPr>
        <w:t>ris</w:t>
      </w:r>
      <w:proofErr w:type="spellEnd"/>
      <w:r w:rsidR="005701C3" w:rsidRPr="0010796C">
        <w:rPr>
          <w:rFonts w:ascii="Cambria" w:hAnsi="Cambria"/>
          <w:sz w:val="20"/>
          <w:szCs w:val="20"/>
          <w:lang w:val="es-ES"/>
        </w:rPr>
        <w:t>, más allá de la invocación de</w:t>
      </w:r>
      <w:r w:rsidRPr="0010796C">
        <w:rPr>
          <w:rFonts w:ascii="Cambria" w:hAnsi="Cambria"/>
          <w:sz w:val="20"/>
          <w:szCs w:val="20"/>
          <w:lang w:val="es-ES"/>
        </w:rPr>
        <w:t xml:space="preserve"> la falta de exigencia legal de nombrar a las personas que ocuparon las primeras posiciones </w:t>
      </w:r>
      <w:r w:rsidR="00BF5549" w:rsidRPr="0010796C">
        <w:rPr>
          <w:rFonts w:ascii="Cambria" w:hAnsi="Cambria"/>
          <w:sz w:val="20"/>
          <w:szCs w:val="20"/>
          <w:lang w:val="es-ES"/>
        </w:rPr>
        <w:t>en el concurso de mé</w:t>
      </w:r>
      <w:r w:rsidR="004671F0" w:rsidRPr="0010796C">
        <w:rPr>
          <w:rFonts w:ascii="Cambria" w:hAnsi="Cambria"/>
          <w:sz w:val="20"/>
          <w:szCs w:val="20"/>
          <w:lang w:val="es-ES"/>
        </w:rPr>
        <w:t xml:space="preserve">rito, no recibió una explicación sobre las razones por las cuales se optó por la persona </w:t>
      </w:r>
      <w:r w:rsidR="00016693" w:rsidRPr="0010796C">
        <w:rPr>
          <w:rFonts w:ascii="Cambria" w:hAnsi="Cambria"/>
          <w:sz w:val="20"/>
          <w:szCs w:val="20"/>
          <w:lang w:val="es-ES"/>
        </w:rPr>
        <w:t xml:space="preserve">cuestionada a pesar del resultado del concurso de mérito, </w:t>
      </w:r>
      <w:r w:rsidR="004671F0" w:rsidRPr="0010796C">
        <w:rPr>
          <w:rFonts w:ascii="Cambria" w:hAnsi="Cambria"/>
          <w:sz w:val="20"/>
          <w:szCs w:val="20"/>
          <w:lang w:val="es-ES"/>
        </w:rPr>
        <w:t>ni se le indicaron otras posibles vías a través de las cuales pudiera haber</w:t>
      </w:r>
      <w:r w:rsidR="00016693" w:rsidRPr="0010796C">
        <w:rPr>
          <w:rFonts w:ascii="Cambria" w:hAnsi="Cambria"/>
          <w:sz w:val="20"/>
          <w:szCs w:val="20"/>
          <w:lang w:val="es-ES"/>
        </w:rPr>
        <w:t xml:space="preserve"> podido impugnar esta situación. Tampoco se dio respuesta al argumento del señor Romero </w:t>
      </w:r>
      <w:proofErr w:type="spellStart"/>
      <w:r w:rsidR="00016693" w:rsidRPr="0010796C">
        <w:rPr>
          <w:rFonts w:ascii="Cambria" w:hAnsi="Cambria"/>
          <w:sz w:val="20"/>
          <w:szCs w:val="20"/>
          <w:lang w:val="es-ES"/>
        </w:rPr>
        <w:t>Feris</w:t>
      </w:r>
      <w:proofErr w:type="spellEnd"/>
      <w:r w:rsidR="00016693" w:rsidRPr="0010796C">
        <w:rPr>
          <w:rFonts w:ascii="Cambria" w:hAnsi="Cambria"/>
          <w:sz w:val="20"/>
          <w:szCs w:val="20"/>
          <w:lang w:val="es-ES"/>
        </w:rPr>
        <w:t xml:space="preserve"> sobre el trasfondo político del nombramiento que explicaría la irregularidad cometida en el mismo.</w:t>
      </w:r>
      <w:r w:rsidR="00DA50CC" w:rsidRPr="0010796C">
        <w:rPr>
          <w:rFonts w:ascii="Cambria" w:hAnsi="Cambria"/>
          <w:sz w:val="20"/>
          <w:szCs w:val="20"/>
          <w:lang w:val="es-ES"/>
        </w:rPr>
        <w:t xml:space="preserve"> La ausencia de respuesta sustancial sobre las cuestiones planteadas por el señor Romero </w:t>
      </w:r>
      <w:proofErr w:type="spellStart"/>
      <w:r w:rsidR="00DA50CC" w:rsidRPr="0010796C">
        <w:rPr>
          <w:rFonts w:ascii="Cambria" w:hAnsi="Cambria"/>
          <w:sz w:val="20"/>
          <w:szCs w:val="20"/>
          <w:lang w:val="es-ES"/>
        </w:rPr>
        <w:t>Feris</w:t>
      </w:r>
      <w:proofErr w:type="spellEnd"/>
      <w:r w:rsidR="00DA50CC" w:rsidRPr="0010796C">
        <w:rPr>
          <w:rFonts w:ascii="Cambria" w:hAnsi="Cambria"/>
          <w:sz w:val="20"/>
          <w:szCs w:val="20"/>
          <w:lang w:val="es-ES"/>
        </w:rPr>
        <w:t xml:space="preserve"> y su vínculo con una motivación política, resulta aún más problemático, tomando en cuenta que el Juez de Instrucción no. 1 cuya designación en el cargo como asignación de com</w:t>
      </w:r>
      <w:r w:rsidR="00FD2776" w:rsidRPr="0010796C">
        <w:rPr>
          <w:rFonts w:ascii="Cambria" w:hAnsi="Cambria"/>
          <w:sz w:val="20"/>
          <w:szCs w:val="20"/>
          <w:lang w:val="es-ES"/>
        </w:rPr>
        <w:t xml:space="preserve">petencia fue cuestionada a través de los recursos, fue la autoridad que conoció no sólo una sino las cuatro causas penales sobre las que la CIDH tiene información. </w:t>
      </w:r>
    </w:p>
    <w:p w:rsidR="00E037F5" w:rsidRPr="0010796C" w:rsidRDefault="00E037F5" w:rsidP="00E037F5">
      <w:pPr>
        <w:ind w:left="720"/>
        <w:jc w:val="both"/>
        <w:rPr>
          <w:rFonts w:ascii="Cambria" w:hAnsi="Cambria"/>
          <w:sz w:val="20"/>
          <w:szCs w:val="20"/>
          <w:lang w:val="es-ES"/>
        </w:rPr>
      </w:pPr>
    </w:p>
    <w:p w:rsidR="009D7F1F" w:rsidRPr="0010796C" w:rsidRDefault="00E037F5" w:rsidP="00AA7251">
      <w:pPr>
        <w:numPr>
          <w:ilvl w:val="0"/>
          <w:numId w:val="55"/>
        </w:numPr>
        <w:jc w:val="both"/>
        <w:rPr>
          <w:rFonts w:ascii="Cambria" w:hAnsi="Cambria"/>
          <w:sz w:val="20"/>
          <w:szCs w:val="20"/>
          <w:lang w:val="es-ES"/>
        </w:rPr>
      </w:pPr>
      <w:r w:rsidRPr="0010796C">
        <w:rPr>
          <w:rFonts w:ascii="Cambria" w:hAnsi="Cambria"/>
          <w:sz w:val="20"/>
          <w:szCs w:val="20"/>
          <w:lang w:val="es-ES"/>
        </w:rPr>
        <w:t xml:space="preserve">En segundo lugar, </w:t>
      </w:r>
      <w:r w:rsidR="00004B5E" w:rsidRPr="0010796C">
        <w:rPr>
          <w:rFonts w:ascii="Cambria" w:hAnsi="Cambria"/>
          <w:sz w:val="20"/>
          <w:szCs w:val="20"/>
          <w:lang w:val="es-ES"/>
        </w:rPr>
        <w:t>en cuanto a la impugnación de la aplicación de las reglas de competencia que dio lugar al conocimiento de las causas penales por parte del Juez de Instrucción no. 1</w:t>
      </w:r>
      <w:r w:rsidR="00674AC8" w:rsidRPr="0010796C">
        <w:rPr>
          <w:rFonts w:ascii="Cambria" w:hAnsi="Cambria"/>
          <w:sz w:val="20"/>
          <w:szCs w:val="20"/>
          <w:lang w:val="es-ES"/>
        </w:rPr>
        <w:t>,</w:t>
      </w:r>
      <w:r w:rsidR="00621479" w:rsidRPr="0010796C">
        <w:rPr>
          <w:rFonts w:ascii="Cambria" w:hAnsi="Cambria"/>
          <w:sz w:val="20"/>
          <w:szCs w:val="20"/>
          <w:lang w:val="es-ES"/>
        </w:rPr>
        <w:t xml:space="preserve"> el peticionario alegó</w:t>
      </w:r>
      <w:r w:rsidR="004D5F45" w:rsidRPr="0010796C">
        <w:rPr>
          <w:rFonts w:ascii="Cambria" w:hAnsi="Cambria"/>
          <w:sz w:val="20"/>
          <w:szCs w:val="20"/>
          <w:lang w:val="es-ES"/>
        </w:rPr>
        <w:t xml:space="preserve"> que a dicho Juez le dejaron de asignar causas para permitir que conociera todas las relativas al señor Romero </w:t>
      </w:r>
      <w:proofErr w:type="spellStart"/>
      <w:r w:rsidR="004D5F45" w:rsidRPr="0010796C">
        <w:rPr>
          <w:rFonts w:ascii="Cambria" w:hAnsi="Cambria"/>
          <w:sz w:val="20"/>
          <w:szCs w:val="20"/>
          <w:lang w:val="es-ES"/>
        </w:rPr>
        <w:t>Feris</w:t>
      </w:r>
      <w:proofErr w:type="spellEnd"/>
      <w:r w:rsidR="004D5F45" w:rsidRPr="0010796C">
        <w:rPr>
          <w:rFonts w:ascii="Cambria" w:hAnsi="Cambria"/>
          <w:sz w:val="20"/>
          <w:szCs w:val="20"/>
          <w:lang w:val="es-ES"/>
        </w:rPr>
        <w:t xml:space="preserve">. </w:t>
      </w:r>
      <w:r w:rsidR="00BD2D46" w:rsidRPr="0010796C">
        <w:rPr>
          <w:rFonts w:ascii="Cambria" w:hAnsi="Cambria"/>
          <w:sz w:val="20"/>
          <w:szCs w:val="20"/>
          <w:lang w:val="es-ES"/>
        </w:rPr>
        <w:t>Sobre este punto, la Comisión</w:t>
      </w:r>
      <w:r w:rsidR="00496703" w:rsidRPr="0010796C">
        <w:rPr>
          <w:rFonts w:ascii="Cambria" w:hAnsi="Cambria"/>
          <w:sz w:val="20"/>
          <w:szCs w:val="20"/>
          <w:lang w:val="es-ES"/>
        </w:rPr>
        <w:t xml:space="preserve"> considera que, en principio, corresponde </w:t>
      </w:r>
      <w:r w:rsidR="004F55D5" w:rsidRPr="0010796C">
        <w:rPr>
          <w:rFonts w:ascii="Cambria" w:hAnsi="Cambria"/>
          <w:sz w:val="20"/>
          <w:szCs w:val="20"/>
          <w:lang w:val="es-ES"/>
        </w:rPr>
        <w:t xml:space="preserve">a los Estados </w:t>
      </w:r>
      <w:r w:rsidR="00F64D7B" w:rsidRPr="0010796C">
        <w:rPr>
          <w:rFonts w:ascii="Cambria" w:hAnsi="Cambria"/>
          <w:sz w:val="20"/>
          <w:szCs w:val="20"/>
          <w:lang w:val="es-ES"/>
        </w:rPr>
        <w:t>establecer</w:t>
      </w:r>
      <w:r w:rsidR="004F55D5" w:rsidRPr="0010796C">
        <w:rPr>
          <w:rFonts w:ascii="Cambria" w:hAnsi="Cambria"/>
          <w:sz w:val="20"/>
          <w:szCs w:val="20"/>
          <w:lang w:val="es-ES"/>
        </w:rPr>
        <w:t xml:space="preserve"> las reglas</w:t>
      </w:r>
      <w:r w:rsidR="00496703" w:rsidRPr="0010796C">
        <w:rPr>
          <w:rFonts w:ascii="Cambria" w:hAnsi="Cambria"/>
          <w:sz w:val="20"/>
          <w:szCs w:val="20"/>
          <w:lang w:val="es-ES"/>
        </w:rPr>
        <w:t xml:space="preserve"> de competencia de sus operadores judicial y aplicarlas en los casos concretos. </w:t>
      </w:r>
      <w:r w:rsidR="00621479" w:rsidRPr="0010796C">
        <w:rPr>
          <w:rFonts w:ascii="Cambria" w:hAnsi="Cambria"/>
          <w:sz w:val="20"/>
          <w:szCs w:val="20"/>
          <w:lang w:val="es-ES"/>
        </w:rPr>
        <w:t>L</w:t>
      </w:r>
      <w:r w:rsidR="009D7F1F" w:rsidRPr="0010796C">
        <w:rPr>
          <w:rFonts w:ascii="Cambria" w:hAnsi="Cambria"/>
          <w:sz w:val="20"/>
          <w:szCs w:val="20"/>
          <w:lang w:val="es-ES"/>
        </w:rPr>
        <w:t>a violación de dichas reglas por parte de las autoridades internas puede dar lugar a una violación al derecho a ser j</w:t>
      </w:r>
      <w:r w:rsidR="00621479" w:rsidRPr="0010796C">
        <w:rPr>
          <w:rFonts w:ascii="Cambria" w:hAnsi="Cambria"/>
          <w:sz w:val="20"/>
          <w:szCs w:val="20"/>
          <w:lang w:val="es-ES"/>
        </w:rPr>
        <w:t xml:space="preserve">uzgado por autoridad competente. </w:t>
      </w:r>
      <w:r w:rsidR="00A76C95" w:rsidRPr="0010796C">
        <w:rPr>
          <w:rFonts w:ascii="Cambria" w:hAnsi="Cambria"/>
          <w:sz w:val="20"/>
          <w:szCs w:val="20"/>
          <w:lang w:val="es-ES"/>
        </w:rPr>
        <w:t xml:space="preserve">La Comisión observa que en diferentes momentos las autoridades judiciales se pronunciaron sobre la cuestión de las reglas de competencia, determinando que las mismas fueron respetadas e invocando el respectivo fundamento legal. Sin embargo, las autoridades judiciales no dieron respuesta concreta al planteamiento del peticionario sobre esta cuestión. Una respuesta explícita sobre la manera en que se habían aplicado las reglas de competencia era de especial relevancia tomando en cuenta las dudas que ya existían sobre el nombramiento del Juez de Instrucción no. 1, no obstante había ocupado el noveno lugar en el concurso de mérito, en los términos indicados arriba. </w:t>
      </w:r>
    </w:p>
    <w:p w:rsidR="00004B5E" w:rsidRPr="0010796C" w:rsidRDefault="00004B5E" w:rsidP="00E00770">
      <w:pPr>
        <w:jc w:val="both"/>
        <w:rPr>
          <w:rFonts w:ascii="Cambria" w:hAnsi="Cambria"/>
          <w:sz w:val="20"/>
          <w:szCs w:val="20"/>
          <w:lang w:val="es-ES"/>
        </w:rPr>
      </w:pPr>
    </w:p>
    <w:p w:rsidR="0038599E" w:rsidRPr="0010796C" w:rsidRDefault="00E31EB7" w:rsidP="00E00770">
      <w:pPr>
        <w:numPr>
          <w:ilvl w:val="0"/>
          <w:numId w:val="55"/>
        </w:numPr>
        <w:jc w:val="both"/>
        <w:rPr>
          <w:rFonts w:ascii="Cambria" w:hAnsi="Cambria"/>
          <w:sz w:val="20"/>
          <w:szCs w:val="20"/>
          <w:lang w:val="es-ES"/>
        </w:rPr>
      </w:pPr>
      <w:r w:rsidRPr="0010796C">
        <w:rPr>
          <w:rFonts w:ascii="Cambria" w:hAnsi="Cambria"/>
          <w:sz w:val="20"/>
          <w:szCs w:val="20"/>
          <w:lang w:val="es-ES"/>
        </w:rPr>
        <w:t>En tercer lug</w:t>
      </w:r>
      <w:r w:rsidR="008236FA" w:rsidRPr="0010796C">
        <w:rPr>
          <w:rFonts w:ascii="Cambria" w:hAnsi="Cambria"/>
          <w:sz w:val="20"/>
          <w:szCs w:val="20"/>
          <w:lang w:val="es-ES"/>
        </w:rPr>
        <w:t xml:space="preserve">ar se encuentra la impugnación de la conformación de la Cámara en lo Criminal no. 2 y del Superior Tribunal de Justicia, pues algunos de sus miembros fueron nombrados en comisión por parte del Ejecutivo, no obstante </w:t>
      </w:r>
      <w:r w:rsidR="000A1237" w:rsidRPr="0010796C">
        <w:rPr>
          <w:rFonts w:ascii="Cambria" w:hAnsi="Cambria"/>
          <w:sz w:val="20"/>
          <w:szCs w:val="20"/>
          <w:lang w:val="es-ES"/>
        </w:rPr>
        <w:t xml:space="preserve">se alegó que </w:t>
      </w:r>
      <w:r w:rsidR="008236FA" w:rsidRPr="0010796C">
        <w:rPr>
          <w:rFonts w:ascii="Cambria" w:hAnsi="Cambria"/>
          <w:sz w:val="20"/>
          <w:szCs w:val="20"/>
          <w:lang w:val="es-ES"/>
        </w:rPr>
        <w:t>el Senado no estaba en receso, tal como lo establecía el artículo 142 de la Constitución provincial</w:t>
      </w:r>
      <w:r w:rsidR="00FD6385" w:rsidRPr="0010796C">
        <w:rPr>
          <w:rFonts w:ascii="Cambria" w:hAnsi="Cambria"/>
          <w:sz w:val="20"/>
          <w:szCs w:val="20"/>
          <w:lang w:val="es-ES"/>
        </w:rPr>
        <w:t xml:space="preserve">. Al respecto, la Comisión </w:t>
      </w:r>
      <w:r w:rsidR="00D57A8B" w:rsidRPr="0010796C">
        <w:rPr>
          <w:rFonts w:ascii="Cambria" w:hAnsi="Cambria"/>
          <w:sz w:val="20"/>
          <w:szCs w:val="20"/>
          <w:lang w:val="es-ES"/>
        </w:rPr>
        <w:t>observa</w:t>
      </w:r>
      <w:r w:rsidR="00DB2D39" w:rsidRPr="0010796C">
        <w:rPr>
          <w:rFonts w:ascii="Cambria" w:hAnsi="Cambria"/>
          <w:sz w:val="20"/>
          <w:szCs w:val="20"/>
          <w:lang w:val="es-ES"/>
        </w:rPr>
        <w:t xml:space="preserve"> de los hechos probados</w:t>
      </w:r>
      <w:r w:rsidR="00D57A8B" w:rsidRPr="0010796C">
        <w:rPr>
          <w:rFonts w:ascii="Cambria" w:hAnsi="Cambria"/>
          <w:sz w:val="20"/>
          <w:szCs w:val="20"/>
          <w:lang w:val="es-ES"/>
        </w:rPr>
        <w:t xml:space="preserve"> que esta impugnación fue planteada de manera recurrente en el marco </w:t>
      </w:r>
      <w:r w:rsidR="00DB2D39" w:rsidRPr="0010796C">
        <w:rPr>
          <w:rFonts w:ascii="Cambria" w:hAnsi="Cambria"/>
          <w:sz w:val="20"/>
          <w:szCs w:val="20"/>
          <w:lang w:val="es-ES"/>
        </w:rPr>
        <w:t>de las causas seguidas a la pres</w:t>
      </w:r>
      <w:r w:rsidR="00D57A8B" w:rsidRPr="0010796C">
        <w:rPr>
          <w:rFonts w:ascii="Cambria" w:hAnsi="Cambria"/>
          <w:sz w:val="20"/>
          <w:szCs w:val="20"/>
          <w:lang w:val="es-ES"/>
        </w:rPr>
        <w:t>unta víctima</w:t>
      </w:r>
      <w:r w:rsidR="0017211F" w:rsidRPr="0010796C">
        <w:rPr>
          <w:rFonts w:ascii="Cambria" w:hAnsi="Cambria"/>
          <w:sz w:val="20"/>
          <w:szCs w:val="20"/>
          <w:lang w:val="es-ES"/>
        </w:rPr>
        <w:t xml:space="preserve">. </w:t>
      </w:r>
      <w:r w:rsidR="00DB2D39" w:rsidRPr="0010796C">
        <w:rPr>
          <w:rFonts w:ascii="Cambria" w:hAnsi="Cambria"/>
          <w:sz w:val="20"/>
          <w:szCs w:val="20"/>
          <w:lang w:val="es-ES"/>
        </w:rPr>
        <w:t>La</w:t>
      </w:r>
      <w:r w:rsidR="0017211F" w:rsidRPr="0010796C">
        <w:rPr>
          <w:rFonts w:ascii="Cambria" w:hAnsi="Cambria"/>
          <w:sz w:val="20"/>
          <w:szCs w:val="20"/>
          <w:lang w:val="es-ES"/>
        </w:rPr>
        <w:t xml:space="preserve"> </w:t>
      </w:r>
      <w:r w:rsidR="000A1237" w:rsidRPr="0010796C">
        <w:rPr>
          <w:rFonts w:ascii="Cambria" w:hAnsi="Cambria"/>
          <w:sz w:val="20"/>
          <w:szCs w:val="20"/>
          <w:lang w:val="es-ES"/>
        </w:rPr>
        <w:t xml:space="preserve">respuesta </w:t>
      </w:r>
      <w:r w:rsidR="0017211F" w:rsidRPr="0010796C">
        <w:rPr>
          <w:rFonts w:ascii="Cambria" w:hAnsi="Cambria"/>
          <w:sz w:val="20"/>
          <w:szCs w:val="20"/>
          <w:lang w:val="es-ES"/>
        </w:rPr>
        <w:t xml:space="preserve">común recibida por el señor Romero </w:t>
      </w:r>
      <w:proofErr w:type="spellStart"/>
      <w:r w:rsidR="0017211F" w:rsidRPr="0010796C">
        <w:rPr>
          <w:rFonts w:ascii="Cambria" w:hAnsi="Cambria"/>
          <w:sz w:val="20"/>
          <w:szCs w:val="20"/>
          <w:lang w:val="es-ES"/>
        </w:rPr>
        <w:t>Feris</w:t>
      </w:r>
      <w:proofErr w:type="spellEnd"/>
      <w:r w:rsidR="0017211F" w:rsidRPr="0010796C">
        <w:rPr>
          <w:rFonts w:ascii="Cambria" w:hAnsi="Cambria"/>
          <w:sz w:val="20"/>
          <w:szCs w:val="20"/>
          <w:lang w:val="es-ES"/>
        </w:rPr>
        <w:t xml:space="preserve"> fue que la designación de los miembros de dichos cuerpos colegiados fue un acto del Poder Ejecutivo y, por lo tanto, dicho acto estaba exento de control judicial. </w:t>
      </w:r>
      <w:r w:rsidR="00F63616" w:rsidRPr="0010796C">
        <w:rPr>
          <w:rFonts w:ascii="Cambria" w:hAnsi="Cambria"/>
          <w:sz w:val="20"/>
          <w:szCs w:val="20"/>
          <w:lang w:val="es-ES"/>
        </w:rPr>
        <w:t>Sólo en una oportunidad</w:t>
      </w:r>
      <w:r w:rsidR="008B6E30" w:rsidRPr="0010796C">
        <w:rPr>
          <w:rFonts w:ascii="Cambria" w:hAnsi="Cambria"/>
          <w:sz w:val="20"/>
          <w:szCs w:val="20"/>
          <w:lang w:val="es-ES"/>
        </w:rPr>
        <w:t xml:space="preserve"> se le indicó que el Senado sí se encontraba en receso al momento de unos de los nombramientos. </w:t>
      </w:r>
      <w:r w:rsidR="00BF5535" w:rsidRPr="0010796C">
        <w:rPr>
          <w:rFonts w:ascii="Cambria" w:hAnsi="Cambria"/>
          <w:sz w:val="20"/>
          <w:szCs w:val="20"/>
          <w:lang w:val="es-ES"/>
        </w:rPr>
        <w:t xml:space="preserve">La Comisión observa </w:t>
      </w:r>
      <w:r w:rsidR="00675648" w:rsidRPr="0010796C">
        <w:rPr>
          <w:rFonts w:ascii="Cambria" w:hAnsi="Cambria"/>
          <w:sz w:val="20"/>
          <w:szCs w:val="20"/>
          <w:lang w:val="es-ES"/>
        </w:rPr>
        <w:t xml:space="preserve">que incluso el Fiscal General de Corrientes </w:t>
      </w:r>
      <w:r w:rsidR="004364F4" w:rsidRPr="0010796C">
        <w:rPr>
          <w:rFonts w:ascii="Cambria" w:hAnsi="Cambria"/>
          <w:sz w:val="20"/>
          <w:szCs w:val="20"/>
          <w:lang w:val="es-ES"/>
        </w:rPr>
        <w:t xml:space="preserve">le dio razón a la defensa del señor Romero </w:t>
      </w:r>
      <w:proofErr w:type="spellStart"/>
      <w:r w:rsidR="004364F4" w:rsidRPr="0010796C">
        <w:rPr>
          <w:rFonts w:ascii="Cambria" w:hAnsi="Cambria"/>
          <w:sz w:val="20"/>
          <w:szCs w:val="20"/>
          <w:lang w:val="es-ES"/>
        </w:rPr>
        <w:t>Feris</w:t>
      </w:r>
      <w:proofErr w:type="spellEnd"/>
      <w:r w:rsidR="004364F4" w:rsidRPr="0010796C">
        <w:rPr>
          <w:rFonts w:ascii="Cambria" w:hAnsi="Cambria"/>
          <w:sz w:val="20"/>
          <w:szCs w:val="20"/>
          <w:lang w:val="es-ES"/>
        </w:rPr>
        <w:t xml:space="preserve"> e indicó que en virtud de la garantía de juez natural, los miembros </w:t>
      </w:r>
      <w:r w:rsidR="00675648" w:rsidRPr="0010796C">
        <w:rPr>
          <w:rFonts w:ascii="Cambria" w:hAnsi="Cambria"/>
          <w:sz w:val="20"/>
          <w:szCs w:val="20"/>
          <w:lang w:val="es-ES"/>
        </w:rPr>
        <w:t>designa</w:t>
      </w:r>
      <w:r w:rsidR="004364F4" w:rsidRPr="0010796C">
        <w:rPr>
          <w:rFonts w:ascii="Cambria" w:hAnsi="Cambria"/>
          <w:sz w:val="20"/>
          <w:szCs w:val="20"/>
          <w:lang w:val="es-ES"/>
        </w:rPr>
        <w:t>dos</w:t>
      </w:r>
      <w:r w:rsidR="00675648" w:rsidRPr="0010796C">
        <w:rPr>
          <w:rFonts w:ascii="Cambria" w:hAnsi="Cambria"/>
          <w:sz w:val="20"/>
          <w:szCs w:val="20"/>
          <w:lang w:val="es-ES"/>
        </w:rPr>
        <w:t xml:space="preserve"> en comisión </w:t>
      </w:r>
      <w:r w:rsidR="004364F4" w:rsidRPr="0010796C">
        <w:rPr>
          <w:rFonts w:ascii="Cambria" w:hAnsi="Cambria"/>
          <w:sz w:val="20"/>
          <w:szCs w:val="20"/>
          <w:lang w:val="es-ES"/>
        </w:rPr>
        <w:t xml:space="preserve">debían apartarse del conocimiento del caso. Debido a esta opinión, el referido Fiscal fue separado de su cargo. </w:t>
      </w:r>
    </w:p>
    <w:p w:rsidR="0038599E" w:rsidRPr="0010796C" w:rsidRDefault="0038599E" w:rsidP="00E00770">
      <w:pPr>
        <w:ind w:left="720"/>
        <w:jc w:val="both"/>
        <w:rPr>
          <w:rFonts w:ascii="Cambria" w:hAnsi="Cambria"/>
          <w:sz w:val="20"/>
          <w:szCs w:val="20"/>
          <w:lang w:val="es-ES"/>
        </w:rPr>
      </w:pPr>
    </w:p>
    <w:p w:rsidR="008236FA" w:rsidRPr="0010796C" w:rsidRDefault="0038599E" w:rsidP="00E00770">
      <w:pPr>
        <w:numPr>
          <w:ilvl w:val="0"/>
          <w:numId w:val="55"/>
        </w:numPr>
        <w:jc w:val="both"/>
        <w:rPr>
          <w:rFonts w:ascii="Cambria" w:hAnsi="Cambria"/>
          <w:sz w:val="20"/>
          <w:szCs w:val="20"/>
          <w:lang w:val="es-ES"/>
        </w:rPr>
      </w:pPr>
      <w:r w:rsidRPr="0010796C">
        <w:rPr>
          <w:rFonts w:ascii="Cambria" w:hAnsi="Cambria"/>
          <w:sz w:val="20"/>
          <w:szCs w:val="20"/>
          <w:lang w:val="es-ES"/>
        </w:rPr>
        <w:t>La Comisión no cuenta con elementos para establecer si los miembros de la Cámara en lo Criminal no. 2 y del Superior Tribunal de Justicia fueron o no nombrados conforme al artículo 142 de la Constitución provincial. Sin embargo, la Comisión considera que abstenerse de pronunciarse sobre</w:t>
      </w:r>
      <w:r w:rsidR="00E7444E" w:rsidRPr="0010796C">
        <w:rPr>
          <w:rFonts w:ascii="Cambria" w:hAnsi="Cambria"/>
          <w:sz w:val="20"/>
          <w:szCs w:val="20"/>
          <w:lang w:val="es-ES"/>
        </w:rPr>
        <w:t xml:space="preserve"> si en la designación </w:t>
      </w:r>
      <w:r w:rsidRPr="0010796C">
        <w:rPr>
          <w:rFonts w:ascii="Cambria" w:hAnsi="Cambria"/>
          <w:sz w:val="20"/>
          <w:szCs w:val="20"/>
          <w:lang w:val="es-ES"/>
        </w:rPr>
        <w:t xml:space="preserve">de autoridades judiciales </w:t>
      </w:r>
      <w:r w:rsidR="00E7444E" w:rsidRPr="0010796C">
        <w:rPr>
          <w:rFonts w:ascii="Cambria" w:hAnsi="Cambria"/>
          <w:sz w:val="20"/>
          <w:szCs w:val="20"/>
          <w:lang w:val="es-ES"/>
        </w:rPr>
        <w:t xml:space="preserve">se cumplieron los requisitos legales y constitucionales, </w:t>
      </w:r>
      <w:r w:rsidRPr="0010796C">
        <w:rPr>
          <w:rFonts w:ascii="Cambria" w:hAnsi="Cambria"/>
          <w:sz w:val="20"/>
          <w:szCs w:val="20"/>
          <w:lang w:val="es-ES"/>
        </w:rPr>
        <w:t xml:space="preserve">bajo el argumento de que se trata de un acto de otro Poder del Estado que no está sujeto a control judicial, resulta </w:t>
      </w:r>
      <w:r w:rsidRPr="0010796C">
        <w:rPr>
          <w:rFonts w:ascii="Cambria" w:hAnsi="Cambria"/>
          <w:sz w:val="20"/>
          <w:szCs w:val="20"/>
          <w:lang w:val="es-ES"/>
        </w:rPr>
        <w:lastRenderedPageBreak/>
        <w:t>violatorio del derecho a la protección judicial, en relación con el derec</w:t>
      </w:r>
      <w:r w:rsidR="00E7444E" w:rsidRPr="0010796C">
        <w:rPr>
          <w:rFonts w:ascii="Cambria" w:hAnsi="Cambria"/>
          <w:sz w:val="20"/>
          <w:szCs w:val="20"/>
          <w:lang w:val="es-ES"/>
        </w:rPr>
        <w:t xml:space="preserve">ho a ser nombrado por autoridad competente, independiente e imparcial. </w:t>
      </w:r>
    </w:p>
    <w:p w:rsidR="00556F34" w:rsidRPr="0010796C" w:rsidRDefault="00556F34" w:rsidP="006B7EB8">
      <w:pPr>
        <w:pStyle w:val="Heading1"/>
        <w:numPr>
          <w:ilvl w:val="0"/>
          <w:numId w:val="0"/>
        </w:numPr>
        <w:ind w:left="720"/>
        <w:rPr>
          <w:lang w:val="es-ES"/>
        </w:rPr>
      </w:pPr>
    </w:p>
    <w:p w:rsidR="005D6D52" w:rsidRPr="0010796C" w:rsidRDefault="004A33CD" w:rsidP="00E00770">
      <w:pPr>
        <w:numPr>
          <w:ilvl w:val="0"/>
          <w:numId w:val="55"/>
        </w:numPr>
        <w:jc w:val="both"/>
        <w:rPr>
          <w:rFonts w:ascii="Cambria" w:hAnsi="Cambria"/>
          <w:sz w:val="20"/>
          <w:szCs w:val="20"/>
          <w:lang w:val="es-ES"/>
        </w:rPr>
      </w:pPr>
      <w:r w:rsidRPr="0010796C">
        <w:rPr>
          <w:rFonts w:ascii="Cambria" w:hAnsi="Cambria"/>
          <w:sz w:val="20"/>
          <w:szCs w:val="20"/>
          <w:lang w:val="es-ES"/>
        </w:rPr>
        <w:t xml:space="preserve">En cuarto lugar, </w:t>
      </w:r>
      <w:r w:rsidR="00531384" w:rsidRPr="0010796C">
        <w:rPr>
          <w:rFonts w:ascii="Cambria" w:hAnsi="Cambria"/>
          <w:sz w:val="20"/>
          <w:szCs w:val="20"/>
          <w:lang w:val="es-ES"/>
        </w:rPr>
        <w:t xml:space="preserve">en cuanto a la </w:t>
      </w:r>
      <w:r w:rsidR="00050C53" w:rsidRPr="0010796C">
        <w:rPr>
          <w:rFonts w:ascii="Cambria" w:hAnsi="Cambria"/>
          <w:sz w:val="20"/>
          <w:szCs w:val="20"/>
          <w:lang w:val="es-ES"/>
        </w:rPr>
        <w:t>impugn</w:t>
      </w:r>
      <w:r w:rsidR="00163A49" w:rsidRPr="0010796C">
        <w:rPr>
          <w:rFonts w:ascii="Cambria" w:hAnsi="Cambria"/>
          <w:sz w:val="20"/>
          <w:szCs w:val="20"/>
          <w:lang w:val="es-ES"/>
        </w:rPr>
        <w:t>a</w:t>
      </w:r>
      <w:r w:rsidR="00050C53" w:rsidRPr="0010796C">
        <w:rPr>
          <w:rFonts w:ascii="Cambria" w:hAnsi="Cambria"/>
          <w:sz w:val="20"/>
          <w:szCs w:val="20"/>
          <w:lang w:val="es-ES"/>
        </w:rPr>
        <w:t xml:space="preserve">ción de la participación de </w:t>
      </w:r>
      <w:r w:rsidR="00531384" w:rsidRPr="0010796C">
        <w:rPr>
          <w:rFonts w:ascii="Cambria" w:hAnsi="Cambria"/>
          <w:sz w:val="20"/>
          <w:szCs w:val="20"/>
          <w:lang w:val="es-ES"/>
        </w:rPr>
        <w:t xml:space="preserve">una magistrada de la Cámara en lo Criminal no. 2 por tener un familiar que había participado en causas conexas seguidas al señor Romero </w:t>
      </w:r>
      <w:proofErr w:type="spellStart"/>
      <w:r w:rsidR="00531384" w:rsidRPr="0010796C">
        <w:rPr>
          <w:rFonts w:ascii="Cambria" w:hAnsi="Cambria"/>
          <w:sz w:val="20"/>
          <w:szCs w:val="20"/>
          <w:lang w:val="es-ES"/>
        </w:rPr>
        <w:t>Feris</w:t>
      </w:r>
      <w:proofErr w:type="spellEnd"/>
      <w:r w:rsidR="00270E40" w:rsidRPr="0010796C">
        <w:rPr>
          <w:rFonts w:ascii="Cambria" w:hAnsi="Cambria"/>
          <w:sz w:val="20"/>
          <w:szCs w:val="20"/>
          <w:lang w:val="es-ES"/>
        </w:rPr>
        <w:t xml:space="preserve">, la Comisión observa que </w:t>
      </w:r>
      <w:r w:rsidR="007E5710" w:rsidRPr="0010796C">
        <w:rPr>
          <w:rFonts w:ascii="Cambria" w:hAnsi="Cambria"/>
          <w:sz w:val="20"/>
          <w:szCs w:val="20"/>
          <w:lang w:val="es-ES"/>
        </w:rPr>
        <w:t xml:space="preserve">el Superior Tribunal de justicia </w:t>
      </w:r>
      <w:r w:rsidR="00BD1362" w:rsidRPr="0010796C">
        <w:rPr>
          <w:rFonts w:ascii="Cambria" w:hAnsi="Cambria"/>
          <w:sz w:val="20"/>
          <w:szCs w:val="20"/>
          <w:lang w:val="es-ES"/>
        </w:rPr>
        <w:t>rechazó dicha impugnación. Ello debido a que</w:t>
      </w:r>
      <w:r w:rsidR="00B4725F" w:rsidRPr="0010796C">
        <w:rPr>
          <w:rFonts w:ascii="Cambria" w:hAnsi="Cambria"/>
          <w:sz w:val="20"/>
          <w:szCs w:val="20"/>
          <w:lang w:val="es-ES"/>
        </w:rPr>
        <w:t xml:space="preserve"> </w:t>
      </w:r>
      <w:r w:rsidR="00215AEA" w:rsidRPr="0010796C">
        <w:rPr>
          <w:rFonts w:ascii="Cambria" w:hAnsi="Cambria"/>
          <w:sz w:val="20"/>
          <w:szCs w:val="20"/>
          <w:lang w:val="es-ES"/>
        </w:rPr>
        <w:t xml:space="preserve">la procedencia de la causal de recusación </w:t>
      </w:r>
      <w:r w:rsidR="00A148EA" w:rsidRPr="0010796C">
        <w:rPr>
          <w:rFonts w:ascii="Cambria" w:hAnsi="Cambria"/>
          <w:sz w:val="20"/>
          <w:szCs w:val="20"/>
          <w:lang w:val="es-ES"/>
        </w:rPr>
        <w:t>exige que los camaristas relacion</w:t>
      </w:r>
      <w:r w:rsidR="00926B2E" w:rsidRPr="0010796C">
        <w:rPr>
          <w:rFonts w:ascii="Cambria" w:hAnsi="Cambria"/>
          <w:sz w:val="20"/>
          <w:szCs w:val="20"/>
          <w:lang w:val="es-ES"/>
        </w:rPr>
        <w:t>ados con lazo de consanguinidad</w:t>
      </w:r>
      <w:r w:rsidR="00A148EA" w:rsidRPr="0010796C">
        <w:rPr>
          <w:rFonts w:ascii="Cambria" w:hAnsi="Cambria"/>
          <w:sz w:val="20"/>
          <w:szCs w:val="20"/>
          <w:lang w:val="es-ES"/>
        </w:rPr>
        <w:t xml:space="preserve"> deben </w:t>
      </w:r>
      <w:r w:rsidR="00E33850" w:rsidRPr="0010796C">
        <w:rPr>
          <w:rFonts w:ascii="Cambria" w:hAnsi="Cambria"/>
          <w:sz w:val="20"/>
          <w:szCs w:val="20"/>
          <w:lang w:val="es-ES"/>
        </w:rPr>
        <w:t>haber emitido disposiciones contradictorias o contrarias al acusado</w:t>
      </w:r>
      <w:r w:rsidR="003B57C1" w:rsidRPr="0010796C">
        <w:rPr>
          <w:rFonts w:ascii="Cambria" w:hAnsi="Cambria"/>
          <w:sz w:val="20"/>
          <w:szCs w:val="20"/>
          <w:lang w:val="es-ES"/>
        </w:rPr>
        <w:t xml:space="preserve">, lo que no se demostró en el caso. </w:t>
      </w:r>
      <w:r w:rsidR="009B53E0" w:rsidRPr="0010796C">
        <w:rPr>
          <w:rFonts w:ascii="Cambria" w:hAnsi="Cambria"/>
          <w:sz w:val="20"/>
          <w:szCs w:val="20"/>
          <w:lang w:val="es-ES"/>
        </w:rPr>
        <w:t xml:space="preserve">Cabe mencionar que dicho requisito no se encuentra contemplado en la legislación que regula la causal de recusación en el numeral 11 del artículo 52 del Código Procesal Penal en los siguientes términos: “cuando en la causa hubiera intervenido o interviniere como Juez algún pariente suyo dentro del segundo grado de consanguinidad”. </w:t>
      </w:r>
      <w:r w:rsidR="00926B2E" w:rsidRPr="0010796C">
        <w:rPr>
          <w:rFonts w:ascii="Cambria" w:hAnsi="Cambria"/>
          <w:sz w:val="20"/>
          <w:szCs w:val="20"/>
          <w:lang w:val="es-ES"/>
        </w:rPr>
        <w:t>Posteriormente, cuand</w:t>
      </w:r>
      <w:r w:rsidR="00CE6A39" w:rsidRPr="0010796C">
        <w:rPr>
          <w:rFonts w:ascii="Cambria" w:hAnsi="Cambria"/>
          <w:sz w:val="20"/>
          <w:szCs w:val="20"/>
          <w:lang w:val="es-ES"/>
        </w:rPr>
        <w:t xml:space="preserve">o la defensa del señor Romero </w:t>
      </w:r>
      <w:proofErr w:type="spellStart"/>
      <w:r w:rsidR="00CE6A39" w:rsidRPr="0010796C">
        <w:rPr>
          <w:rFonts w:ascii="Cambria" w:hAnsi="Cambria"/>
          <w:sz w:val="20"/>
          <w:szCs w:val="20"/>
          <w:lang w:val="es-ES"/>
        </w:rPr>
        <w:t>Feris</w:t>
      </w:r>
      <w:proofErr w:type="spellEnd"/>
      <w:r w:rsidR="00CE6A39" w:rsidRPr="0010796C">
        <w:rPr>
          <w:rFonts w:ascii="Cambria" w:hAnsi="Cambria"/>
          <w:sz w:val="20"/>
          <w:szCs w:val="20"/>
          <w:lang w:val="es-ES"/>
        </w:rPr>
        <w:t xml:space="preserve"> pretendió impugnar esta situación a través del recurso federal, se tomó en cuenta la opinión del Procurador Fiscal</w:t>
      </w:r>
      <w:r w:rsidR="009C547A" w:rsidRPr="0010796C">
        <w:rPr>
          <w:rFonts w:ascii="Cambria" w:hAnsi="Cambria"/>
          <w:sz w:val="20"/>
          <w:szCs w:val="20"/>
          <w:lang w:val="es-ES"/>
        </w:rPr>
        <w:t xml:space="preserve"> que indicó que la interpretación de la causal de recusación establecida en el numeral 11 del artículo 52 del Código Procesal Penal de Corriente</w:t>
      </w:r>
      <w:r w:rsidR="00AC2F2D" w:rsidRPr="0010796C">
        <w:rPr>
          <w:rFonts w:ascii="Cambria" w:hAnsi="Cambria"/>
          <w:sz w:val="20"/>
          <w:szCs w:val="20"/>
          <w:lang w:val="es-ES"/>
        </w:rPr>
        <w:t>s</w:t>
      </w:r>
      <w:r w:rsidR="009C547A" w:rsidRPr="0010796C">
        <w:rPr>
          <w:rFonts w:ascii="Cambria" w:hAnsi="Cambria"/>
          <w:sz w:val="20"/>
          <w:szCs w:val="20"/>
          <w:lang w:val="es-ES"/>
        </w:rPr>
        <w:t xml:space="preserve">, no tiene trascendencia suficiente. </w:t>
      </w:r>
    </w:p>
    <w:p w:rsidR="005D6D52" w:rsidRPr="0010796C" w:rsidRDefault="005D6D52" w:rsidP="00E00770">
      <w:pPr>
        <w:ind w:left="720"/>
        <w:jc w:val="both"/>
        <w:rPr>
          <w:rFonts w:ascii="Cambria" w:hAnsi="Cambria"/>
          <w:sz w:val="20"/>
          <w:szCs w:val="20"/>
          <w:lang w:val="es-ES"/>
        </w:rPr>
      </w:pPr>
    </w:p>
    <w:p w:rsidR="002D6E6C" w:rsidRPr="0010796C" w:rsidRDefault="00120176" w:rsidP="00E00770">
      <w:pPr>
        <w:numPr>
          <w:ilvl w:val="0"/>
          <w:numId w:val="55"/>
        </w:numPr>
        <w:jc w:val="both"/>
        <w:rPr>
          <w:rFonts w:ascii="Cambria" w:hAnsi="Cambria"/>
          <w:sz w:val="20"/>
          <w:szCs w:val="20"/>
          <w:lang w:val="es-ES"/>
        </w:rPr>
      </w:pPr>
      <w:r w:rsidRPr="0010796C">
        <w:rPr>
          <w:rFonts w:ascii="Cambria" w:hAnsi="Cambria"/>
          <w:sz w:val="20"/>
          <w:szCs w:val="20"/>
          <w:lang w:val="es-ES"/>
        </w:rPr>
        <w:t xml:space="preserve">De lo anterior resulta que </w:t>
      </w:r>
      <w:r w:rsidR="009B53E0" w:rsidRPr="0010796C">
        <w:rPr>
          <w:rFonts w:ascii="Cambria" w:hAnsi="Cambria"/>
          <w:sz w:val="20"/>
          <w:szCs w:val="20"/>
          <w:lang w:val="es-ES"/>
        </w:rPr>
        <w:t xml:space="preserve">en el ámbito </w:t>
      </w:r>
      <w:r w:rsidR="005D6D52" w:rsidRPr="0010796C">
        <w:rPr>
          <w:rFonts w:ascii="Cambria" w:hAnsi="Cambria"/>
          <w:sz w:val="20"/>
          <w:szCs w:val="20"/>
          <w:lang w:val="es-ES"/>
        </w:rPr>
        <w:t>provincial</w:t>
      </w:r>
      <w:r w:rsidRPr="0010796C">
        <w:rPr>
          <w:rFonts w:ascii="Cambria" w:hAnsi="Cambria"/>
          <w:sz w:val="20"/>
          <w:szCs w:val="20"/>
          <w:lang w:val="es-ES"/>
        </w:rPr>
        <w:t xml:space="preserve"> se le indicó al señor Romero </w:t>
      </w:r>
      <w:proofErr w:type="spellStart"/>
      <w:r w:rsidRPr="0010796C">
        <w:rPr>
          <w:rFonts w:ascii="Cambria" w:hAnsi="Cambria"/>
          <w:sz w:val="20"/>
          <w:szCs w:val="20"/>
          <w:lang w:val="es-ES"/>
        </w:rPr>
        <w:t>Feris</w:t>
      </w:r>
      <w:proofErr w:type="spellEnd"/>
      <w:r w:rsidRPr="0010796C">
        <w:rPr>
          <w:rFonts w:ascii="Cambria" w:hAnsi="Cambria"/>
          <w:sz w:val="20"/>
          <w:szCs w:val="20"/>
          <w:lang w:val="es-ES"/>
        </w:rPr>
        <w:t xml:space="preserve"> que no procedía la impugnación, invocando un requisito no contemplado en la ley; mientras que en el ámbito federal se </w:t>
      </w:r>
      <w:r w:rsidR="005167DF" w:rsidRPr="0010796C">
        <w:rPr>
          <w:rFonts w:ascii="Cambria" w:hAnsi="Cambria"/>
          <w:sz w:val="20"/>
          <w:szCs w:val="20"/>
          <w:lang w:val="es-ES"/>
        </w:rPr>
        <w:t xml:space="preserve">le </w:t>
      </w:r>
      <w:r w:rsidRPr="0010796C">
        <w:rPr>
          <w:rFonts w:ascii="Cambria" w:hAnsi="Cambria"/>
          <w:sz w:val="20"/>
          <w:szCs w:val="20"/>
          <w:lang w:val="es-ES"/>
        </w:rPr>
        <w:t>indicó que la interpretación de dicha norma no tenía suficiente relevancia</w:t>
      </w:r>
      <w:r w:rsidR="005167DF" w:rsidRPr="0010796C">
        <w:rPr>
          <w:rFonts w:ascii="Cambria" w:hAnsi="Cambria"/>
          <w:sz w:val="20"/>
          <w:szCs w:val="20"/>
          <w:lang w:val="es-ES"/>
        </w:rPr>
        <w:t xml:space="preserve"> federal. En ese sentido, la Comisión considera que respecto de dicho reclamo, el señor Romero </w:t>
      </w:r>
      <w:proofErr w:type="spellStart"/>
      <w:r w:rsidR="005167DF" w:rsidRPr="0010796C">
        <w:rPr>
          <w:rFonts w:ascii="Cambria" w:hAnsi="Cambria"/>
          <w:sz w:val="20"/>
          <w:szCs w:val="20"/>
          <w:lang w:val="es-ES"/>
        </w:rPr>
        <w:t>Feris</w:t>
      </w:r>
      <w:proofErr w:type="spellEnd"/>
      <w:r w:rsidR="005167DF" w:rsidRPr="0010796C">
        <w:rPr>
          <w:rFonts w:ascii="Cambria" w:hAnsi="Cambria"/>
          <w:sz w:val="20"/>
          <w:szCs w:val="20"/>
          <w:lang w:val="es-ES"/>
        </w:rPr>
        <w:t xml:space="preserve"> no contó con un recurso efectivo para impugnar la imparcialidad de la mencionada magistrada.</w:t>
      </w:r>
    </w:p>
    <w:p w:rsidR="009C547A" w:rsidRPr="0010796C" w:rsidRDefault="009C547A" w:rsidP="00E00770">
      <w:pPr>
        <w:jc w:val="both"/>
        <w:rPr>
          <w:rFonts w:ascii="Cambria" w:hAnsi="Cambria"/>
          <w:sz w:val="20"/>
          <w:szCs w:val="20"/>
          <w:lang w:val="es-ES"/>
        </w:rPr>
      </w:pPr>
    </w:p>
    <w:p w:rsidR="00BF6B72" w:rsidRPr="0010796C" w:rsidRDefault="00E00770" w:rsidP="000F4F0E">
      <w:pPr>
        <w:numPr>
          <w:ilvl w:val="0"/>
          <w:numId w:val="55"/>
        </w:numPr>
        <w:jc w:val="both"/>
        <w:rPr>
          <w:rFonts w:ascii="Cambria" w:hAnsi="Cambria"/>
          <w:sz w:val="20"/>
          <w:szCs w:val="20"/>
          <w:lang w:val="es-ES"/>
        </w:rPr>
      </w:pPr>
      <w:r w:rsidRPr="0010796C">
        <w:rPr>
          <w:rFonts w:ascii="Cambria" w:hAnsi="Cambria"/>
          <w:sz w:val="20"/>
          <w:szCs w:val="20"/>
          <w:lang w:val="es-ES"/>
        </w:rPr>
        <w:t xml:space="preserve">En quinto lugar, en cuanto a la </w:t>
      </w:r>
      <w:r w:rsidR="009C17D6" w:rsidRPr="0010796C">
        <w:rPr>
          <w:rFonts w:ascii="Cambria" w:hAnsi="Cambria"/>
          <w:sz w:val="20"/>
          <w:szCs w:val="20"/>
          <w:lang w:val="es-ES"/>
        </w:rPr>
        <w:t>recusación a miembros de la Cámara en lo Criminal no. 2 pues habían conocido en alzada algunos actos de instrucción en las mismas causas</w:t>
      </w:r>
      <w:r w:rsidR="0000423D" w:rsidRPr="0010796C">
        <w:rPr>
          <w:rFonts w:ascii="Cambria" w:hAnsi="Cambria"/>
          <w:sz w:val="20"/>
          <w:szCs w:val="20"/>
          <w:lang w:val="es-ES"/>
        </w:rPr>
        <w:t>, dicha recusación fue rechazada</w:t>
      </w:r>
      <w:r w:rsidR="005D5EA9" w:rsidRPr="0010796C">
        <w:rPr>
          <w:rFonts w:ascii="Cambria" w:hAnsi="Cambria"/>
          <w:sz w:val="20"/>
          <w:szCs w:val="20"/>
          <w:lang w:val="es-ES"/>
        </w:rPr>
        <w:t xml:space="preserve"> puesto que tal situación no estaba prevista como causal de recusación en la legislación interna. </w:t>
      </w:r>
      <w:r w:rsidR="00FE3F09" w:rsidRPr="0010796C">
        <w:rPr>
          <w:rFonts w:ascii="Cambria" w:hAnsi="Cambria"/>
          <w:sz w:val="20"/>
          <w:szCs w:val="20"/>
          <w:lang w:val="es-ES"/>
        </w:rPr>
        <w:t xml:space="preserve">La Comisión recuerda que la Corte indicó en el </w:t>
      </w:r>
      <w:r w:rsidR="009C7D40" w:rsidRPr="0010796C">
        <w:rPr>
          <w:rFonts w:ascii="Cambria" w:hAnsi="Cambria"/>
          <w:sz w:val="20"/>
          <w:szCs w:val="20"/>
          <w:lang w:val="es-ES"/>
        </w:rPr>
        <w:t>c</w:t>
      </w:r>
      <w:r w:rsidR="000F4F0E" w:rsidRPr="0010796C">
        <w:rPr>
          <w:rFonts w:ascii="Cambria" w:hAnsi="Cambria"/>
          <w:sz w:val="20"/>
          <w:szCs w:val="20"/>
          <w:lang w:val="es-ES"/>
        </w:rPr>
        <w:t>aso</w:t>
      </w:r>
      <w:r w:rsidR="000F4F0E" w:rsidRPr="0010796C">
        <w:rPr>
          <w:rFonts w:ascii="Cambria" w:hAnsi="Cambria"/>
          <w:i/>
          <w:sz w:val="20"/>
          <w:szCs w:val="20"/>
          <w:lang w:val="es-ES"/>
        </w:rPr>
        <w:t xml:space="preserve"> </w:t>
      </w:r>
      <w:r w:rsidR="009C7D40" w:rsidRPr="0010796C">
        <w:rPr>
          <w:rFonts w:ascii="Cambria" w:hAnsi="Cambria"/>
          <w:i/>
          <w:sz w:val="20"/>
          <w:szCs w:val="20"/>
          <w:lang w:val="es-ES"/>
        </w:rPr>
        <w:t>Herrera Ulloa V</w:t>
      </w:r>
      <w:r w:rsidR="00FE3F09" w:rsidRPr="0010796C">
        <w:rPr>
          <w:rFonts w:ascii="Cambria" w:hAnsi="Cambria"/>
          <w:i/>
          <w:sz w:val="20"/>
          <w:szCs w:val="20"/>
          <w:lang w:val="es-ES"/>
        </w:rPr>
        <w:t>s. Costa Rica</w:t>
      </w:r>
      <w:r w:rsidR="00FE3F09" w:rsidRPr="0010796C">
        <w:rPr>
          <w:rFonts w:ascii="Cambria" w:hAnsi="Cambria"/>
          <w:sz w:val="20"/>
          <w:szCs w:val="20"/>
          <w:lang w:val="es-ES"/>
        </w:rPr>
        <w:t xml:space="preserve"> que el hecho de que</w:t>
      </w:r>
      <w:r w:rsidR="00BF6B72" w:rsidRPr="0010796C">
        <w:rPr>
          <w:rFonts w:ascii="Cambria" w:hAnsi="Cambria"/>
          <w:sz w:val="20"/>
          <w:szCs w:val="20"/>
          <w:lang w:val="es-ES"/>
        </w:rPr>
        <w:t xml:space="preserve"> los</w:t>
      </w:r>
      <w:r w:rsidR="00FE3F09" w:rsidRPr="0010796C">
        <w:rPr>
          <w:rFonts w:ascii="Cambria" w:hAnsi="Cambria"/>
          <w:sz w:val="20"/>
          <w:szCs w:val="20"/>
          <w:lang w:val="es-ES"/>
        </w:rPr>
        <w:t xml:space="preserve"> mismos magistrados hayan integrado la Sala donde se presentó </w:t>
      </w:r>
      <w:r w:rsidR="00BF6B72" w:rsidRPr="0010796C">
        <w:rPr>
          <w:rFonts w:ascii="Cambria" w:hAnsi="Cambria"/>
          <w:sz w:val="20"/>
          <w:szCs w:val="20"/>
          <w:lang w:val="es-ES"/>
        </w:rPr>
        <w:t>más de un recurso relacionado con el</w:t>
      </w:r>
      <w:r w:rsidR="00FE3F09" w:rsidRPr="0010796C">
        <w:rPr>
          <w:rFonts w:ascii="Cambria" w:hAnsi="Cambria"/>
          <w:sz w:val="20"/>
          <w:szCs w:val="20"/>
          <w:lang w:val="es-ES"/>
        </w:rPr>
        <w:t xml:space="preserve"> mismo proceso y hayan a</w:t>
      </w:r>
      <w:r w:rsidR="00BF6B72" w:rsidRPr="0010796C">
        <w:rPr>
          <w:rFonts w:ascii="Cambria" w:hAnsi="Cambria"/>
          <w:sz w:val="20"/>
          <w:szCs w:val="20"/>
          <w:lang w:val="es-ES"/>
        </w:rPr>
        <w:t>nalizado parte del fondo y no só</w:t>
      </w:r>
      <w:r w:rsidR="00FE3F09" w:rsidRPr="0010796C">
        <w:rPr>
          <w:rFonts w:ascii="Cambria" w:hAnsi="Cambria"/>
          <w:sz w:val="20"/>
          <w:szCs w:val="20"/>
          <w:lang w:val="es-ES"/>
        </w:rPr>
        <w:t>lo la forma</w:t>
      </w:r>
      <w:r w:rsidR="00BF6B72" w:rsidRPr="0010796C">
        <w:rPr>
          <w:rFonts w:ascii="Cambria" w:hAnsi="Cambria"/>
          <w:sz w:val="20"/>
          <w:szCs w:val="20"/>
          <w:lang w:val="es-ES"/>
        </w:rPr>
        <w:t>,</w:t>
      </w:r>
      <w:r w:rsidR="00FE3F09" w:rsidRPr="0010796C">
        <w:rPr>
          <w:rFonts w:ascii="Cambria" w:hAnsi="Cambria"/>
          <w:sz w:val="20"/>
          <w:szCs w:val="20"/>
          <w:lang w:val="es-ES"/>
        </w:rPr>
        <w:t xml:space="preserve"> vulnera la exigencia de imparcialidad establecida en el artículo 8.1 de la Convención Americana</w:t>
      </w:r>
      <w:r w:rsidR="00FE3F09" w:rsidRPr="0010796C">
        <w:rPr>
          <w:rStyle w:val="FootnoteReference"/>
          <w:rFonts w:ascii="Cambria" w:hAnsi="Cambria"/>
          <w:sz w:val="20"/>
          <w:szCs w:val="20"/>
          <w:lang w:val="es-ES"/>
        </w:rPr>
        <w:footnoteReference w:id="216"/>
      </w:r>
      <w:r w:rsidR="00FE3F09" w:rsidRPr="0010796C">
        <w:rPr>
          <w:rFonts w:ascii="Cambria" w:hAnsi="Cambria"/>
          <w:sz w:val="20"/>
          <w:szCs w:val="20"/>
          <w:lang w:val="es-ES"/>
        </w:rPr>
        <w:t>.</w:t>
      </w:r>
      <w:r w:rsidR="001904A1" w:rsidRPr="0010796C">
        <w:rPr>
          <w:rFonts w:ascii="Cambria" w:hAnsi="Cambria"/>
          <w:sz w:val="20"/>
          <w:szCs w:val="20"/>
          <w:lang w:val="es-ES"/>
        </w:rPr>
        <w:t xml:space="preserve"> </w:t>
      </w:r>
    </w:p>
    <w:p w:rsidR="00BF6B72" w:rsidRPr="0010796C" w:rsidRDefault="00BF6B72" w:rsidP="00BF6B72">
      <w:pPr>
        <w:jc w:val="both"/>
        <w:rPr>
          <w:rFonts w:ascii="Cambria" w:hAnsi="Cambria"/>
          <w:sz w:val="20"/>
          <w:szCs w:val="20"/>
          <w:lang w:val="es-ES"/>
        </w:rPr>
      </w:pPr>
    </w:p>
    <w:p w:rsidR="00BF6B72" w:rsidRPr="0010796C" w:rsidRDefault="00BF6B72" w:rsidP="000F4F0E">
      <w:pPr>
        <w:numPr>
          <w:ilvl w:val="0"/>
          <w:numId w:val="55"/>
        </w:numPr>
        <w:jc w:val="both"/>
        <w:rPr>
          <w:rFonts w:ascii="Cambria" w:hAnsi="Cambria"/>
          <w:sz w:val="20"/>
          <w:szCs w:val="20"/>
          <w:lang w:val="es-ES"/>
        </w:rPr>
      </w:pPr>
      <w:r w:rsidRPr="0010796C">
        <w:rPr>
          <w:rFonts w:ascii="Cambria" w:hAnsi="Cambria"/>
          <w:sz w:val="20"/>
          <w:szCs w:val="20"/>
          <w:lang w:val="es-ES"/>
        </w:rPr>
        <w:t xml:space="preserve">La Comisión no cuenta con elementos suficientes para establecer cuáles fueron específicamente los pronunciamientos de la Cámara en lo Criminal no. 2 en la etapa instructiva. En ese sentido, la Comisión no se encuentra en posición de determinar si los mismos fueron </w:t>
      </w:r>
      <w:r w:rsidR="00196EB5" w:rsidRPr="0010796C">
        <w:rPr>
          <w:rFonts w:ascii="Cambria" w:hAnsi="Cambria"/>
          <w:sz w:val="20"/>
          <w:szCs w:val="20"/>
          <w:lang w:val="es-ES"/>
        </w:rPr>
        <w:t xml:space="preserve">suficientemente </w:t>
      </w:r>
      <w:r w:rsidRPr="0010796C">
        <w:rPr>
          <w:rFonts w:ascii="Cambria" w:hAnsi="Cambria"/>
          <w:sz w:val="20"/>
          <w:szCs w:val="20"/>
          <w:lang w:val="es-ES"/>
        </w:rPr>
        <w:t>atinentes al fondo de la cuestión, de manera que sea posible establecer una violación al derecho a ser juzgado por autoridad imparcial como consecuencia de esta situación. Sin embargo, la Comisió</w:t>
      </w:r>
      <w:r w:rsidR="00B2369D" w:rsidRPr="0010796C">
        <w:rPr>
          <w:rFonts w:ascii="Cambria" w:hAnsi="Cambria"/>
          <w:sz w:val="20"/>
          <w:szCs w:val="20"/>
          <w:lang w:val="es-ES"/>
        </w:rPr>
        <w:t>n considera que la manera en que fue resuelto al recurso, con indicación ú</w:t>
      </w:r>
      <w:r w:rsidR="00266D38" w:rsidRPr="0010796C">
        <w:rPr>
          <w:rFonts w:ascii="Cambria" w:hAnsi="Cambria"/>
          <w:sz w:val="20"/>
          <w:szCs w:val="20"/>
          <w:lang w:val="es-ES"/>
        </w:rPr>
        <w:t xml:space="preserve">nicamente de las causales de recusación de la legislación interna, permite afirmar que dicho recurso no fue efectivo </w:t>
      </w:r>
      <w:r w:rsidR="009A4052" w:rsidRPr="0010796C">
        <w:rPr>
          <w:rFonts w:ascii="Cambria" w:hAnsi="Cambria"/>
          <w:sz w:val="20"/>
          <w:szCs w:val="20"/>
          <w:lang w:val="es-ES"/>
        </w:rPr>
        <w:t xml:space="preserve">para establecer si la garantía de imparcialidad estuvo o no comprometida por la actuación de la Cámara en diferentes momentos de las mismas causas. </w:t>
      </w:r>
    </w:p>
    <w:p w:rsidR="00BF6B72" w:rsidRPr="0010796C" w:rsidRDefault="00BF6B72" w:rsidP="00BF6B72">
      <w:pPr>
        <w:jc w:val="both"/>
        <w:rPr>
          <w:rFonts w:ascii="Cambria" w:hAnsi="Cambria"/>
          <w:sz w:val="20"/>
          <w:szCs w:val="20"/>
          <w:lang w:val="es-ES"/>
        </w:rPr>
      </w:pPr>
    </w:p>
    <w:p w:rsidR="004A7734" w:rsidRPr="0010796C" w:rsidRDefault="001904A1" w:rsidP="00ED6238">
      <w:pPr>
        <w:numPr>
          <w:ilvl w:val="0"/>
          <w:numId w:val="55"/>
        </w:numPr>
        <w:jc w:val="both"/>
        <w:rPr>
          <w:rFonts w:ascii="Cambria" w:hAnsi="Cambria"/>
          <w:sz w:val="20"/>
          <w:szCs w:val="20"/>
          <w:lang w:val="es-ES"/>
        </w:rPr>
      </w:pPr>
      <w:r w:rsidRPr="0010796C">
        <w:rPr>
          <w:rFonts w:ascii="Cambria" w:hAnsi="Cambria"/>
          <w:sz w:val="20"/>
          <w:szCs w:val="20"/>
          <w:lang w:val="es-ES"/>
        </w:rPr>
        <w:t>En</w:t>
      </w:r>
      <w:r w:rsidR="00CC3A9C" w:rsidRPr="0010796C">
        <w:rPr>
          <w:rFonts w:ascii="Cambria" w:hAnsi="Cambria"/>
          <w:sz w:val="20"/>
          <w:szCs w:val="20"/>
          <w:lang w:val="es-ES"/>
        </w:rPr>
        <w:t xml:space="preserve"> sex</w:t>
      </w:r>
      <w:r w:rsidR="00490D4F" w:rsidRPr="0010796C">
        <w:rPr>
          <w:rFonts w:ascii="Cambria" w:hAnsi="Cambria"/>
          <w:sz w:val="20"/>
          <w:szCs w:val="20"/>
          <w:lang w:val="es-ES"/>
        </w:rPr>
        <w:t>t</w:t>
      </w:r>
      <w:r w:rsidR="00CC3A9C" w:rsidRPr="0010796C">
        <w:rPr>
          <w:rFonts w:ascii="Cambria" w:hAnsi="Cambria"/>
          <w:sz w:val="20"/>
          <w:szCs w:val="20"/>
          <w:lang w:val="es-ES"/>
        </w:rPr>
        <w:t>o lugar se encuentra la impugnación contra el Superior Tribunal de Justicia, por haber adoptado una decisión sólo con tres de sus cinco miembros no obstante</w:t>
      </w:r>
      <w:r w:rsidR="00641643" w:rsidRPr="0010796C">
        <w:rPr>
          <w:rFonts w:ascii="Cambria" w:hAnsi="Cambria"/>
          <w:sz w:val="20"/>
          <w:szCs w:val="20"/>
          <w:lang w:val="es-ES"/>
        </w:rPr>
        <w:t xml:space="preserve"> el artículo 20 de</w:t>
      </w:r>
      <w:r w:rsidR="00CC3A9C" w:rsidRPr="0010796C">
        <w:rPr>
          <w:rFonts w:ascii="Cambria" w:hAnsi="Cambria"/>
          <w:sz w:val="20"/>
          <w:szCs w:val="20"/>
          <w:lang w:val="es-ES"/>
        </w:rPr>
        <w:t xml:space="preserve"> la Ley Orgánica de la Administración de Justicia establecía que debía ser por mayoría absoluta de todos sus miembros. Al respecto, </w:t>
      </w:r>
      <w:r w:rsidR="00C17CC7" w:rsidRPr="0010796C">
        <w:rPr>
          <w:rFonts w:ascii="Cambria" w:hAnsi="Cambria"/>
          <w:sz w:val="20"/>
          <w:szCs w:val="20"/>
          <w:lang w:val="es-ES"/>
        </w:rPr>
        <w:t xml:space="preserve">la </w:t>
      </w:r>
      <w:r w:rsidR="00FD1BFB" w:rsidRPr="0010796C">
        <w:rPr>
          <w:rFonts w:ascii="Cambria" w:hAnsi="Cambria"/>
          <w:sz w:val="20"/>
          <w:szCs w:val="20"/>
          <w:lang w:val="es-ES"/>
        </w:rPr>
        <w:t xml:space="preserve">CIDH observa que el Procurador General de la Nación emitió un dictamen </w:t>
      </w:r>
      <w:r w:rsidR="002B0C88" w:rsidRPr="0010796C">
        <w:rPr>
          <w:rFonts w:ascii="Cambria" w:hAnsi="Cambria"/>
          <w:sz w:val="20"/>
          <w:szCs w:val="20"/>
          <w:lang w:val="es-ES"/>
        </w:rPr>
        <w:t xml:space="preserve">mediante el cual </w:t>
      </w:r>
      <w:r w:rsidR="00FD1BFB" w:rsidRPr="0010796C">
        <w:rPr>
          <w:rFonts w:ascii="Cambria" w:hAnsi="Cambria"/>
          <w:sz w:val="20"/>
          <w:szCs w:val="20"/>
          <w:lang w:val="es-ES"/>
        </w:rPr>
        <w:t xml:space="preserve">reconoció que </w:t>
      </w:r>
      <w:r w:rsidR="002B0C88" w:rsidRPr="0010796C">
        <w:rPr>
          <w:rFonts w:ascii="Cambria" w:hAnsi="Cambria"/>
          <w:sz w:val="20"/>
          <w:szCs w:val="20"/>
          <w:lang w:val="es-ES"/>
        </w:rPr>
        <w:t xml:space="preserve">la decisión fue adoptada sólo por tres miembros del Tribunal. </w:t>
      </w:r>
      <w:r w:rsidR="00FD1BFB" w:rsidRPr="0010796C">
        <w:rPr>
          <w:rFonts w:ascii="Cambria" w:hAnsi="Cambria"/>
          <w:sz w:val="20"/>
          <w:szCs w:val="20"/>
          <w:lang w:val="es-ES"/>
        </w:rPr>
        <w:t xml:space="preserve">El Procurador indicó que, no obstante ello, la decisión fue firmada sin disidencias por lo que no se demostró de qué forma se habría afectado al señor Romero </w:t>
      </w:r>
      <w:proofErr w:type="spellStart"/>
      <w:r w:rsidR="00FD1BFB" w:rsidRPr="0010796C">
        <w:rPr>
          <w:rFonts w:ascii="Cambria" w:hAnsi="Cambria"/>
          <w:sz w:val="20"/>
          <w:szCs w:val="20"/>
          <w:lang w:val="es-ES"/>
        </w:rPr>
        <w:t>Feris</w:t>
      </w:r>
      <w:proofErr w:type="spellEnd"/>
      <w:r w:rsidR="00FD1BFB" w:rsidRPr="0010796C">
        <w:rPr>
          <w:rFonts w:ascii="Cambria" w:hAnsi="Cambria"/>
          <w:sz w:val="20"/>
          <w:szCs w:val="20"/>
          <w:lang w:val="es-ES"/>
        </w:rPr>
        <w:t xml:space="preserve">. </w:t>
      </w:r>
      <w:r w:rsidR="00ED6238" w:rsidRPr="0010796C">
        <w:rPr>
          <w:rFonts w:ascii="Cambria" w:hAnsi="Cambria"/>
          <w:sz w:val="20"/>
          <w:szCs w:val="20"/>
          <w:lang w:val="es-ES"/>
        </w:rPr>
        <w:t xml:space="preserve">Por su parte, </w:t>
      </w:r>
      <w:r w:rsidR="00FD1BFB" w:rsidRPr="0010796C">
        <w:rPr>
          <w:rFonts w:ascii="Cambria" w:hAnsi="Cambria"/>
          <w:sz w:val="20"/>
          <w:szCs w:val="20"/>
          <w:lang w:val="es-ES"/>
        </w:rPr>
        <w:t xml:space="preserve">la Corte Suprema de Justicia </w:t>
      </w:r>
      <w:r w:rsidR="005B3204" w:rsidRPr="0010796C">
        <w:rPr>
          <w:rFonts w:ascii="Cambria" w:hAnsi="Cambria"/>
          <w:sz w:val="20"/>
          <w:szCs w:val="20"/>
          <w:lang w:val="es-ES"/>
        </w:rPr>
        <w:t>se limitó a declarar inadmisible el recurs</w:t>
      </w:r>
      <w:r w:rsidR="00ED6238" w:rsidRPr="0010796C">
        <w:rPr>
          <w:rFonts w:ascii="Cambria" w:hAnsi="Cambria"/>
          <w:sz w:val="20"/>
          <w:szCs w:val="20"/>
          <w:lang w:val="es-ES"/>
        </w:rPr>
        <w:t xml:space="preserve">o presentado sobre este alegato sin mayor motivación más allá de la invocación del artículo 280 </w:t>
      </w:r>
      <w:r w:rsidR="0074716C" w:rsidRPr="0010796C">
        <w:rPr>
          <w:rFonts w:ascii="Cambria" w:hAnsi="Cambria"/>
          <w:sz w:val="20"/>
          <w:szCs w:val="20"/>
          <w:lang w:val="es-ES"/>
        </w:rPr>
        <w:t xml:space="preserve">del Código Procesal Civil y Comercial de la Nación. </w:t>
      </w:r>
    </w:p>
    <w:p w:rsidR="004A7734" w:rsidRPr="0010796C" w:rsidRDefault="004A7734" w:rsidP="004A7734">
      <w:pPr>
        <w:jc w:val="both"/>
        <w:rPr>
          <w:rFonts w:ascii="Cambria" w:hAnsi="Cambria"/>
          <w:sz w:val="20"/>
          <w:szCs w:val="20"/>
          <w:lang w:val="es-ES"/>
        </w:rPr>
      </w:pPr>
    </w:p>
    <w:p w:rsidR="004A7734" w:rsidRPr="0010796C" w:rsidRDefault="004A7734" w:rsidP="00ED6238">
      <w:pPr>
        <w:numPr>
          <w:ilvl w:val="0"/>
          <w:numId w:val="55"/>
        </w:numPr>
        <w:jc w:val="both"/>
        <w:rPr>
          <w:rFonts w:ascii="Cambria" w:hAnsi="Cambria"/>
          <w:sz w:val="20"/>
          <w:szCs w:val="20"/>
          <w:lang w:val="es-ES"/>
        </w:rPr>
      </w:pPr>
      <w:r w:rsidRPr="0010796C">
        <w:rPr>
          <w:rFonts w:ascii="Cambria" w:hAnsi="Cambria"/>
          <w:sz w:val="20"/>
          <w:szCs w:val="20"/>
          <w:lang w:val="es-ES"/>
        </w:rPr>
        <w:lastRenderedPageBreak/>
        <w:t>La Comisió</w:t>
      </w:r>
      <w:r w:rsidR="00F85E71" w:rsidRPr="0010796C">
        <w:rPr>
          <w:rFonts w:ascii="Cambria" w:hAnsi="Cambria"/>
          <w:sz w:val="20"/>
          <w:szCs w:val="20"/>
          <w:lang w:val="es-ES"/>
        </w:rPr>
        <w:t xml:space="preserve">n reitera que el derecho a ser juzgado por autoridad competente se relaciona con el estricto cumplimiento de los procedimientos legalmente establecidos para dicho juzgamiento, lo cual resulta de especial relevancia </w:t>
      </w:r>
      <w:r w:rsidR="00DA18D3" w:rsidRPr="0010796C">
        <w:rPr>
          <w:rFonts w:ascii="Cambria" w:hAnsi="Cambria"/>
          <w:sz w:val="20"/>
          <w:szCs w:val="20"/>
          <w:lang w:val="es-ES"/>
        </w:rPr>
        <w:t xml:space="preserve">cuando se trata de un proceso penal. </w:t>
      </w:r>
      <w:r w:rsidR="00643501" w:rsidRPr="0010796C">
        <w:rPr>
          <w:rFonts w:ascii="Cambria" w:hAnsi="Cambria"/>
          <w:sz w:val="20"/>
          <w:szCs w:val="20"/>
          <w:lang w:val="es-ES"/>
        </w:rPr>
        <w:t xml:space="preserve">Sin perjuicio de lo anterior, la CIDH no cuenta con elementos suficientes para pronunciarse sobre este extremo. </w:t>
      </w:r>
    </w:p>
    <w:p w:rsidR="00FD1BFB" w:rsidRPr="0010796C" w:rsidRDefault="00FD1BFB" w:rsidP="006B7EB8">
      <w:pPr>
        <w:pStyle w:val="Heading1"/>
        <w:numPr>
          <w:ilvl w:val="0"/>
          <w:numId w:val="0"/>
        </w:numPr>
        <w:rPr>
          <w:lang w:val="es-ES"/>
        </w:rPr>
      </w:pPr>
    </w:p>
    <w:p w:rsidR="002C045E" w:rsidRPr="0010796C" w:rsidRDefault="00FD1BFB" w:rsidP="006F33F9">
      <w:pPr>
        <w:numPr>
          <w:ilvl w:val="0"/>
          <w:numId w:val="55"/>
        </w:numPr>
        <w:jc w:val="both"/>
        <w:rPr>
          <w:rFonts w:ascii="Cambria" w:hAnsi="Cambria"/>
          <w:sz w:val="20"/>
          <w:szCs w:val="20"/>
          <w:lang w:val="es-ES"/>
        </w:rPr>
      </w:pPr>
      <w:r w:rsidRPr="0010796C">
        <w:rPr>
          <w:rFonts w:ascii="Cambria" w:hAnsi="Cambria"/>
          <w:sz w:val="20"/>
          <w:szCs w:val="20"/>
          <w:lang w:val="es-ES"/>
        </w:rPr>
        <w:t xml:space="preserve">En </w:t>
      </w:r>
      <w:r w:rsidR="00814156" w:rsidRPr="0010796C">
        <w:rPr>
          <w:rFonts w:ascii="Cambria" w:hAnsi="Cambria"/>
          <w:sz w:val="20"/>
          <w:szCs w:val="20"/>
          <w:lang w:val="es-ES"/>
        </w:rPr>
        <w:t>virtud de todo lo indicado en la presente sección, la Comisió</w:t>
      </w:r>
      <w:r w:rsidR="005A4937" w:rsidRPr="0010796C">
        <w:rPr>
          <w:rFonts w:ascii="Cambria" w:hAnsi="Cambria"/>
          <w:sz w:val="20"/>
          <w:szCs w:val="20"/>
          <w:lang w:val="es-ES"/>
        </w:rPr>
        <w:t>n concluye que</w:t>
      </w:r>
      <w:r w:rsidR="002B0C88" w:rsidRPr="0010796C">
        <w:rPr>
          <w:rFonts w:ascii="Cambria" w:hAnsi="Cambria"/>
          <w:sz w:val="20"/>
          <w:szCs w:val="20"/>
          <w:lang w:val="es-ES"/>
        </w:rPr>
        <w:t xml:space="preserve"> a lo largo de las causas penales seguidas contra el señor Romero </w:t>
      </w:r>
      <w:proofErr w:type="spellStart"/>
      <w:r w:rsidR="002B0C88" w:rsidRPr="0010796C">
        <w:rPr>
          <w:rFonts w:ascii="Cambria" w:hAnsi="Cambria"/>
          <w:sz w:val="20"/>
          <w:szCs w:val="20"/>
          <w:lang w:val="es-ES"/>
        </w:rPr>
        <w:t>Feris</w:t>
      </w:r>
      <w:proofErr w:type="spellEnd"/>
      <w:r w:rsidR="002B0C88" w:rsidRPr="0010796C">
        <w:rPr>
          <w:rFonts w:ascii="Cambria" w:hAnsi="Cambria"/>
          <w:sz w:val="20"/>
          <w:szCs w:val="20"/>
          <w:lang w:val="es-ES"/>
        </w:rPr>
        <w:t xml:space="preserve">, su defensa presentó en múltiples oportunidades y a través de diferentes recursos una serie de cuestionamientos vinculados con el derecho a ser juzgado por autoridad competente, independiente e imparcial. </w:t>
      </w:r>
      <w:r w:rsidR="00BA49C0" w:rsidRPr="0010796C">
        <w:rPr>
          <w:rFonts w:ascii="Cambria" w:hAnsi="Cambria"/>
          <w:sz w:val="20"/>
          <w:szCs w:val="20"/>
          <w:lang w:val="es-ES"/>
        </w:rPr>
        <w:t xml:space="preserve">A pesar de ello, los recursos fueron rechazados mediante motivaciones en las cuales o bien se efectuaron invocaciones genéricas de la ley, o bien se planteó que la cuestión no era materia de análisis a través de la vía respectiva. Sin embargo, es un eje común de la documentación revisada por la CIDH que el señor Romero </w:t>
      </w:r>
      <w:proofErr w:type="spellStart"/>
      <w:r w:rsidR="00BA49C0" w:rsidRPr="0010796C">
        <w:rPr>
          <w:rFonts w:ascii="Cambria" w:hAnsi="Cambria"/>
          <w:sz w:val="20"/>
          <w:szCs w:val="20"/>
          <w:lang w:val="es-ES"/>
        </w:rPr>
        <w:t>Feris</w:t>
      </w:r>
      <w:proofErr w:type="spellEnd"/>
      <w:r w:rsidR="00BA49C0" w:rsidRPr="0010796C">
        <w:rPr>
          <w:rFonts w:ascii="Cambria" w:hAnsi="Cambria"/>
          <w:sz w:val="20"/>
          <w:szCs w:val="20"/>
          <w:lang w:val="es-ES"/>
        </w:rPr>
        <w:t xml:space="preserve"> no contó con una respuesta judicial efectiva respecto de su derecho a ser juzgado por autoridad competente, independiente e imparcial, puesto que no recibió respuesta concreta frente los cuestionamiento planteados, ni tampoco las autoridades judiciales explicaron </w:t>
      </w:r>
      <w:r w:rsidR="002C045E" w:rsidRPr="0010796C">
        <w:rPr>
          <w:rFonts w:ascii="Cambria" w:hAnsi="Cambria"/>
          <w:sz w:val="20"/>
          <w:szCs w:val="20"/>
          <w:lang w:val="es-ES"/>
        </w:rPr>
        <w:t xml:space="preserve">cuáles eran las vías adecuadas para plantear dichos cuestionamientos. Contar con recursos efectivos para cuestionar la competencia, independencia e imparcialidad de las autoridades judiciales que conocieron su caso era de especial relevancia, tomando en cuenta que el señor Romero </w:t>
      </w:r>
      <w:proofErr w:type="spellStart"/>
      <w:r w:rsidR="002C045E" w:rsidRPr="0010796C">
        <w:rPr>
          <w:rFonts w:ascii="Cambria" w:hAnsi="Cambria"/>
          <w:sz w:val="20"/>
          <w:szCs w:val="20"/>
          <w:lang w:val="es-ES"/>
        </w:rPr>
        <w:t>Feris</w:t>
      </w:r>
      <w:proofErr w:type="spellEnd"/>
      <w:r w:rsidR="002C045E" w:rsidRPr="0010796C">
        <w:rPr>
          <w:rFonts w:ascii="Cambria" w:hAnsi="Cambria"/>
          <w:sz w:val="20"/>
          <w:szCs w:val="20"/>
          <w:lang w:val="es-ES"/>
        </w:rPr>
        <w:t xml:space="preserve"> denunció que dichas autoridades judiciales fueron nombradas en violación de los procesos constitucional y legalmente establecidos, con la finalidad de conocer específicamente las causas en su contra, en un contexto político específico. </w:t>
      </w:r>
    </w:p>
    <w:p w:rsidR="002C045E" w:rsidRPr="0010796C" w:rsidRDefault="002C045E" w:rsidP="002C045E">
      <w:pPr>
        <w:ind w:left="720"/>
        <w:jc w:val="both"/>
        <w:rPr>
          <w:rFonts w:ascii="Cambria" w:hAnsi="Cambria"/>
          <w:sz w:val="20"/>
          <w:szCs w:val="20"/>
          <w:lang w:val="es-ES"/>
        </w:rPr>
      </w:pPr>
    </w:p>
    <w:bookmarkEnd w:id="44"/>
    <w:p w:rsidR="00BA24E6" w:rsidRPr="0010796C" w:rsidRDefault="0010796C" w:rsidP="006F33F9">
      <w:pPr>
        <w:numPr>
          <w:ilvl w:val="0"/>
          <w:numId w:val="55"/>
        </w:numPr>
        <w:jc w:val="both"/>
        <w:rPr>
          <w:rFonts w:ascii="Cambria" w:hAnsi="Cambria"/>
          <w:sz w:val="20"/>
          <w:szCs w:val="20"/>
          <w:lang w:val="es-ES"/>
        </w:rPr>
      </w:pPr>
      <w:r w:rsidRPr="0010796C">
        <w:rPr>
          <w:rFonts w:ascii="Cambria" w:hAnsi="Cambria"/>
          <w:sz w:val="20"/>
          <w:szCs w:val="20"/>
          <w:lang w:val="es-ES"/>
        </w:rPr>
        <w:t xml:space="preserve">En consecuencia, la CIDH concluye que el Estado de Argentina violó en perjuicio del señor Romero </w:t>
      </w:r>
      <w:proofErr w:type="spellStart"/>
      <w:r w:rsidRPr="0010796C">
        <w:rPr>
          <w:rFonts w:ascii="Cambria" w:hAnsi="Cambria"/>
          <w:sz w:val="20"/>
          <w:szCs w:val="20"/>
          <w:lang w:val="es-ES"/>
        </w:rPr>
        <w:t>Feris</w:t>
      </w:r>
      <w:proofErr w:type="spellEnd"/>
      <w:r w:rsidRPr="0010796C">
        <w:rPr>
          <w:rFonts w:ascii="Cambria" w:hAnsi="Cambria"/>
          <w:sz w:val="20"/>
          <w:szCs w:val="20"/>
          <w:lang w:val="es-ES"/>
        </w:rPr>
        <w:t>: i) el derecho a la protección judicial establecido en el artículo 25.1 de la Convención en relación con el derecho a ser juzgado por autoridad competente establecido en el artículo 8.1 del mismo instrumento, en cuanto a la impugnación de la conformación de la Cámara en lo Criminal no. 2 y del Superior Tribunal de Justicia; ii) el derecho a la protección judicial establecido en el artículo 25.1 de la Convención en relación con el derecho a ser juzgado por autoridad imparcial establecido en el artículo 8.1 del mismo instrumento, en cuanto a la impugnación de la participación de una magistrada de la Cámara en lo Criminal no. 2 por tener un familiar que había participado en causas conexas; iii) el derecho a la protección judicial establecido en el artículo 25.1 de la Convención en relación con el derecho a ser juzgado por autoridad imparcial establecido en el artículo 8.1 del mismo instrumento, en cuanto a la recusación a miembros de la Cámara en lo Criminal no. 2 pues habían conocido en alzada algunos actos de instrucción en las mismas causas; y iv) el derecho a ser juzgado por autoridad competente conforme a los procedimientos legalmente establecidos y el derecho a la protección judicial, consagrados en los artículos 8.1 y 25.1 de la Convención</w:t>
      </w:r>
      <w:r>
        <w:rPr>
          <w:rFonts w:ascii="Cambria" w:hAnsi="Cambria"/>
          <w:sz w:val="20"/>
          <w:szCs w:val="20"/>
          <w:lang w:val="es-ES"/>
        </w:rPr>
        <w:t>, en cuanto a la</w:t>
      </w:r>
      <w:r w:rsidRPr="0010796C">
        <w:rPr>
          <w:rFonts w:ascii="Cambria" w:hAnsi="Cambria"/>
          <w:sz w:val="20"/>
          <w:szCs w:val="20"/>
          <w:lang w:val="es-ES"/>
        </w:rPr>
        <w:t xml:space="preserve"> impugnación contra el Superior Tribunal de Justicia, por haber adoptado una decisión sólo con tres de sus cinco miembros en violación de la Ley Orgánica de la Administración de Justicia.</w:t>
      </w:r>
    </w:p>
    <w:p w:rsidR="00BA24E6" w:rsidRPr="0010796C" w:rsidRDefault="00BA24E6" w:rsidP="006F33F9">
      <w:pPr>
        <w:jc w:val="both"/>
        <w:rPr>
          <w:rFonts w:ascii="Cambria" w:hAnsi="Cambria"/>
          <w:sz w:val="20"/>
          <w:szCs w:val="20"/>
          <w:lang w:val="es-ES"/>
        </w:rPr>
      </w:pPr>
    </w:p>
    <w:p w:rsidR="00B62E2A" w:rsidRPr="0010796C" w:rsidRDefault="00B62E2A" w:rsidP="006B7EB8">
      <w:pPr>
        <w:pStyle w:val="Heading1"/>
        <w:rPr>
          <w:lang w:val="es-ES"/>
        </w:rPr>
      </w:pPr>
      <w:bookmarkStart w:id="55" w:name="_Toc486526415"/>
      <w:bookmarkStart w:id="56" w:name="_Toc346449098"/>
      <w:bookmarkStart w:id="57" w:name="_Toc474398504"/>
      <w:r w:rsidRPr="0010796C">
        <w:rPr>
          <w:lang w:val="es-ES"/>
        </w:rPr>
        <w:t>CONCLUSIONES</w:t>
      </w:r>
      <w:bookmarkEnd w:id="55"/>
    </w:p>
    <w:p w:rsidR="00B62E2A" w:rsidRPr="0010796C" w:rsidRDefault="00B62E2A" w:rsidP="006B7EB8">
      <w:pPr>
        <w:pStyle w:val="Heading1"/>
        <w:numPr>
          <w:ilvl w:val="0"/>
          <w:numId w:val="0"/>
        </w:numPr>
        <w:ind w:left="720"/>
        <w:rPr>
          <w:lang w:val="es-ES"/>
        </w:rPr>
      </w:pPr>
    </w:p>
    <w:p w:rsidR="00B62E2A" w:rsidRPr="0010796C" w:rsidRDefault="00AD3894" w:rsidP="00AD3894">
      <w:pPr>
        <w:numPr>
          <w:ilvl w:val="0"/>
          <w:numId w:val="55"/>
        </w:numPr>
        <w:jc w:val="both"/>
        <w:rPr>
          <w:rFonts w:ascii="Cambria" w:hAnsi="Cambria"/>
          <w:sz w:val="20"/>
          <w:szCs w:val="20"/>
          <w:lang w:val="es-ES"/>
        </w:rPr>
      </w:pPr>
      <w:r w:rsidRPr="0010796C">
        <w:rPr>
          <w:rFonts w:ascii="Cambria" w:hAnsi="Cambria"/>
          <w:sz w:val="20"/>
          <w:szCs w:val="20"/>
          <w:lang w:val="es-ES"/>
        </w:rPr>
        <w:t xml:space="preserve">Con base en las consideraciones de hecho y de derecho expuestas, la Comisión Interamericana concluye que el Estado argentino es responsable por la violación de los derechos a libertad personal, garantías judiciales y protección judicial, establecidos en los artículos </w:t>
      </w:r>
      <w:r w:rsidR="005A432F" w:rsidRPr="0010796C">
        <w:rPr>
          <w:rFonts w:ascii="Cambria" w:hAnsi="Cambria"/>
          <w:sz w:val="20"/>
          <w:szCs w:val="20"/>
          <w:lang w:val="es-ES"/>
        </w:rPr>
        <w:t xml:space="preserve">7.1, 7.2, </w:t>
      </w:r>
      <w:r w:rsidRPr="0010796C">
        <w:rPr>
          <w:rFonts w:ascii="Cambria" w:hAnsi="Cambria"/>
          <w:sz w:val="20"/>
          <w:szCs w:val="20"/>
          <w:lang w:val="es-ES"/>
        </w:rPr>
        <w:t>7.3, 7.5,</w:t>
      </w:r>
      <w:r w:rsidR="005A432F" w:rsidRPr="0010796C">
        <w:rPr>
          <w:rFonts w:ascii="Cambria" w:hAnsi="Cambria"/>
          <w:sz w:val="20"/>
          <w:szCs w:val="20"/>
          <w:lang w:val="es-ES"/>
        </w:rPr>
        <w:t xml:space="preserve"> 7.6,</w:t>
      </w:r>
      <w:r w:rsidRPr="0010796C">
        <w:rPr>
          <w:rFonts w:ascii="Cambria" w:hAnsi="Cambria"/>
          <w:sz w:val="20"/>
          <w:szCs w:val="20"/>
          <w:lang w:val="es-ES"/>
        </w:rPr>
        <w:t xml:space="preserve"> 8.1</w:t>
      </w:r>
      <w:r w:rsidR="005A432F" w:rsidRPr="0010796C">
        <w:rPr>
          <w:rFonts w:ascii="Cambria" w:hAnsi="Cambria"/>
          <w:sz w:val="20"/>
          <w:szCs w:val="20"/>
          <w:lang w:val="es-ES"/>
        </w:rPr>
        <w:t>, 8.2</w:t>
      </w:r>
      <w:r w:rsidRPr="0010796C">
        <w:rPr>
          <w:rFonts w:ascii="Cambria" w:hAnsi="Cambria"/>
          <w:sz w:val="20"/>
          <w:szCs w:val="20"/>
          <w:lang w:val="es-ES"/>
        </w:rPr>
        <w:t xml:space="preserve"> y 25.1 de la Convención Americana, en relación con las obligaciones establecidas en el artículo 1.1 del mismo instrumento, en perjuicio de Raúl Rolando Romero </w:t>
      </w:r>
      <w:proofErr w:type="spellStart"/>
      <w:r w:rsidRPr="0010796C">
        <w:rPr>
          <w:rFonts w:ascii="Cambria" w:hAnsi="Cambria"/>
          <w:sz w:val="20"/>
          <w:szCs w:val="20"/>
          <w:lang w:val="es-ES"/>
        </w:rPr>
        <w:t>Feris</w:t>
      </w:r>
      <w:proofErr w:type="spellEnd"/>
      <w:r w:rsidRPr="0010796C">
        <w:rPr>
          <w:rFonts w:ascii="Cambria" w:hAnsi="Cambria"/>
          <w:sz w:val="20"/>
          <w:szCs w:val="20"/>
          <w:lang w:val="es-ES"/>
        </w:rPr>
        <w:t xml:space="preserve">.  </w:t>
      </w:r>
    </w:p>
    <w:p w:rsidR="00AD3894" w:rsidRPr="0010796C" w:rsidRDefault="00AD3894" w:rsidP="006F33F9">
      <w:pPr>
        <w:rPr>
          <w:rFonts w:ascii="Cambria" w:hAnsi="Cambria"/>
          <w:sz w:val="20"/>
          <w:szCs w:val="20"/>
          <w:lang w:val="es-ES"/>
        </w:rPr>
      </w:pPr>
    </w:p>
    <w:p w:rsidR="001D385C" w:rsidRPr="0010796C" w:rsidRDefault="001D385C" w:rsidP="006B7EB8">
      <w:pPr>
        <w:pStyle w:val="Heading1"/>
        <w:rPr>
          <w:lang w:val="es-ES"/>
        </w:rPr>
      </w:pPr>
      <w:bookmarkStart w:id="58" w:name="_Toc486526416"/>
      <w:r w:rsidRPr="0010796C">
        <w:rPr>
          <w:lang w:val="es-ES"/>
        </w:rPr>
        <w:t>RECOMENDACIONES</w:t>
      </w:r>
      <w:bookmarkEnd w:id="56"/>
      <w:bookmarkEnd w:id="57"/>
      <w:bookmarkEnd w:id="58"/>
    </w:p>
    <w:p w:rsidR="001D385C" w:rsidRPr="0010796C" w:rsidRDefault="001D385C" w:rsidP="006F33F9">
      <w:pPr>
        <w:ind w:left="720"/>
        <w:jc w:val="both"/>
        <w:rPr>
          <w:rFonts w:ascii="Cambria" w:hAnsi="Cambria"/>
          <w:sz w:val="20"/>
          <w:szCs w:val="20"/>
          <w:lang w:val="es-ES"/>
        </w:rPr>
      </w:pPr>
    </w:p>
    <w:p w:rsidR="001D385C" w:rsidRPr="0010796C" w:rsidRDefault="001D385C" w:rsidP="00AA7251">
      <w:pPr>
        <w:numPr>
          <w:ilvl w:val="0"/>
          <w:numId w:val="55"/>
        </w:numPr>
        <w:jc w:val="both"/>
        <w:rPr>
          <w:rFonts w:ascii="Cambria" w:eastAsia="Times New Roman" w:hAnsi="Cambria"/>
          <w:sz w:val="20"/>
          <w:szCs w:val="20"/>
          <w:lang w:val="es-ES"/>
        </w:rPr>
      </w:pPr>
      <w:r w:rsidRPr="0010796C">
        <w:rPr>
          <w:rFonts w:ascii="Cambria" w:eastAsia="Times New Roman" w:hAnsi="Cambria"/>
          <w:sz w:val="20"/>
          <w:szCs w:val="20"/>
          <w:lang w:val="es-ES"/>
        </w:rPr>
        <w:t xml:space="preserve">En </w:t>
      </w:r>
      <w:r w:rsidRPr="0010796C">
        <w:rPr>
          <w:rFonts w:ascii="Cambria" w:hAnsi="Cambria"/>
          <w:sz w:val="20"/>
          <w:szCs w:val="20"/>
          <w:lang w:val="es-ES"/>
        </w:rPr>
        <w:t>virtud</w:t>
      </w:r>
      <w:r w:rsidRPr="0010796C">
        <w:rPr>
          <w:rFonts w:ascii="Cambria" w:eastAsia="Times New Roman" w:hAnsi="Cambria"/>
          <w:sz w:val="20"/>
          <w:szCs w:val="20"/>
          <w:lang w:val="es-ES"/>
        </w:rPr>
        <w:t xml:space="preserve"> de las anteriores conclusiones, </w:t>
      </w:r>
    </w:p>
    <w:p w:rsidR="001D385C" w:rsidRPr="0010796C" w:rsidRDefault="001D385C" w:rsidP="006F33F9">
      <w:pPr>
        <w:ind w:left="720"/>
        <w:jc w:val="both"/>
        <w:rPr>
          <w:rFonts w:ascii="Cambria" w:eastAsia="Times New Roman" w:hAnsi="Cambria"/>
          <w:sz w:val="20"/>
          <w:szCs w:val="20"/>
          <w:lang w:val="es-ES"/>
        </w:rPr>
      </w:pPr>
    </w:p>
    <w:p w:rsidR="001D385C" w:rsidRPr="0010796C" w:rsidRDefault="001D385C" w:rsidP="006F33F9">
      <w:pPr>
        <w:jc w:val="center"/>
        <w:rPr>
          <w:rFonts w:ascii="Cambria" w:eastAsia="Times New Roman" w:hAnsi="Cambria"/>
          <w:b/>
          <w:sz w:val="20"/>
          <w:szCs w:val="20"/>
          <w:lang w:val="es-ES"/>
        </w:rPr>
      </w:pPr>
      <w:r w:rsidRPr="0010796C">
        <w:rPr>
          <w:rFonts w:ascii="Cambria" w:eastAsia="Times New Roman" w:hAnsi="Cambria"/>
          <w:b/>
          <w:sz w:val="20"/>
          <w:szCs w:val="20"/>
          <w:lang w:val="es-ES"/>
        </w:rPr>
        <w:t>LA COMISIÓN INTERAMERICANA DE DERECHOS HUMANOS</w:t>
      </w:r>
    </w:p>
    <w:p w:rsidR="002A36B0" w:rsidRPr="0010796C" w:rsidRDefault="001D385C" w:rsidP="006F33F9">
      <w:pPr>
        <w:jc w:val="center"/>
        <w:rPr>
          <w:rFonts w:ascii="Cambria" w:eastAsia="Times New Roman" w:hAnsi="Cambria"/>
          <w:sz w:val="20"/>
          <w:szCs w:val="20"/>
          <w:lang w:val="es-ES"/>
        </w:rPr>
      </w:pPr>
      <w:r w:rsidRPr="0010796C">
        <w:rPr>
          <w:rFonts w:ascii="Cambria" w:eastAsia="Times New Roman" w:hAnsi="Cambria"/>
          <w:b/>
          <w:sz w:val="20"/>
          <w:szCs w:val="20"/>
          <w:lang w:val="es-ES"/>
        </w:rPr>
        <w:t xml:space="preserve">RECOMIENDA AL ESTADO DE </w:t>
      </w:r>
      <w:r w:rsidR="00B62E2A" w:rsidRPr="0010796C">
        <w:rPr>
          <w:rFonts w:ascii="Cambria" w:eastAsia="Times New Roman" w:hAnsi="Cambria"/>
          <w:b/>
          <w:sz w:val="20"/>
          <w:szCs w:val="20"/>
          <w:lang w:val="es-ES"/>
        </w:rPr>
        <w:t>ARGENTINA</w:t>
      </w:r>
      <w:r w:rsidRPr="0010796C">
        <w:rPr>
          <w:rFonts w:ascii="Cambria" w:eastAsia="Times New Roman" w:hAnsi="Cambria"/>
          <w:b/>
          <w:sz w:val="20"/>
          <w:szCs w:val="20"/>
          <w:lang w:val="es-ES"/>
        </w:rPr>
        <w:t>,</w:t>
      </w:r>
    </w:p>
    <w:p w:rsidR="002A36B0" w:rsidRPr="0010796C" w:rsidRDefault="002A36B0" w:rsidP="006F33F9">
      <w:pPr>
        <w:ind w:right="720"/>
        <w:jc w:val="both"/>
        <w:rPr>
          <w:rFonts w:ascii="Cambria" w:eastAsia="Times New Roman" w:hAnsi="Cambria"/>
          <w:sz w:val="20"/>
          <w:szCs w:val="20"/>
          <w:lang w:val="es-ES"/>
        </w:rPr>
      </w:pPr>
    </w:p>
    <w:p w:rsidR="002D4709" w:rsidRPr="0010796C" w:rsidRDefault="00AA7251" w:rsidP="00722EEA">
      <w:pPr>
        <w:pStyle w:val="BodyTextInden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0796C">
        <w:rPr>
          <w:rFonts w:ascii="Cambria" w:hAnsi="Cambria"/>
          <w:sz w:val="20"/>
          <w:szCs w:val="20"/>
          <w:lang w:val="es-ES"/>
        </w:rPr>
        <w:t>Reparar integralmente las violaciones de derechos humanos declaradas en el presente informe</w:t>
      </w:r>
      <w:r w:rsidR="00562FA6" w:rsidRPr="0010796C">
        <w:rPr>
          <w:rFonts w:ascii="Cambria" w:hAnsi="Cambria"/>
          <w:sz w:val="20"/>
          <w:szCs w:val="20"/>
          <w:lang w:val="es-ES"/>
        </w:rPr>
        <w:t xml:space="preserve"> en contra del señor Raúl Rolando Romero </w:t>
      </w:r>
      <w:proofErr w:type="spellStart"/>
      <w:r w:rsidR="00562FA6" w:rsidRPr="0010796C">
        <w:rPr>
          <w:rFonts w:ascii="Cambria" w:hAnsi="Cambria"/>
          <w:sz w:val="20"/>
          <w:szCs w:val="20"/>
          <w:lang w:val="es-ES"/>
        </w:rPr>
        <w:t>Feris</w:t>
      </w:r>
      <w:proofErr w:type="spellEnd"/>
      <w:r w:rsidR="00562FA6" w:rsidRPr="0010796C">
        <w:rPr>
          <w:rFonts w:ascii="Cambria" w:hAnsi="Cambria"/>
          <w:sz w:val="20"/>
          <w:szCs w:val="20"/>
          <w:lang w:val="es-ES"/>
        </w:rPr>
        <w:t>,</w:t>
      </w:r>
      <w:r w:rsidRPr="0010796C">
        <w:rPr>
          <w:rFonts w:ascii="Cambria" w:hAnsi="Cambria"/>
          <w:sz w:val="20"/>
          <w:szCs w:val="20"/>
          <w:lang w:val="es-ES"/>
        </w:rPr>
        <w:t xml:space="preserve"> tanto en el aspecto material como </w:t>
      </w:r>
      <w:r w:rsidR="00294FEA" w:rsidRPr="0010796C">
        <w:rPr>
          <w:rFonts w:ascii="Cambria" w:hAnsi="Cambria"/>
          <w:sz w:val="20"/>
          <w:szCs w:val="20"/>
          <w:lang w:val="es-ES"/>
        </w:rPr>
        <w:t xml:space="preserve">inmaterial, incluyendo una justa compensación. </w:t>
      </w:r>
    </w:p>
    <w:p w:rsidR="002D4709" w:rsidRPr="0010796C" w:rsidRDefault="002D4709" w:rsidP="00740B5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p>
    <w:p w:rsidR="00B93433" w:rsidRPr="0010796C" w:rsidRDefault="002D4709" w:rsidP="00722EEA">
      <w:pPr>
        <w:pStyle w:val="BodyTextInden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0796C">
        <w:rPr>
          <w:rFonts w:ascii="Cambria" w:hAnsi="Cambria"/>
          <w:sz w:val="20"/>
          <w:szCs w:val="20"/>
          <w:lang w:val="es-ES"/>
        </w:rPr>
        <w:t xml:space="preserve">Adoptar las medidas necesarias para asegurar la no repetición de las violaciones declaradas en el presente informe. En particular, el Estado deberá adoptar las medidas administrativas o de otra índole para asegurar el estricto cumplimiento de los plazos máximos legales de la detención preventiva, así como la motivación adecuada de la procedencia de la misma por parte de los operadores judiciales, a la luz de los estándares desarrollados en el presente informe. </w:t>
      </w:r>
    </w:p>
    <w:p w:rsidR="00B93433" w:rsidRPr="0010796C" w:rsidRDefault="00B93433" w:rsidP="00722EE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2D4709" w:rsidRPr="0010796C" w:rsidRDefault="002D4709" w:rsidP="00722EEA">
      <w:pPr>
        <w:pStyle w:val="BodyTextInden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0796C">
        <w:rPr>
          <w:rFonts w:ascii="Cambria" w:hAnsi="Cambria"/>
          <w:sz w:val="20"/>
          <w:szCs w:val="20"/>
          <w:lang w:val="es-ES"/>
        </w:rPr>
        <w:t xml:space="preserve">Además, el Estado deberá asegurar que existan mecanismos idóneos y efectivos para que las personas sometidas a proceso penal puedan impugnar, de manera sencilla y rápida, la competencia, independencia e imparcialidad de las autoridades judiciales. </w:t>
      </w:r>
      <w:bookmarkStart w:id="59" w:name="_GoBack"/>
      <w:bookmarkEnd w:id="59"/>
    </w:p>
    <w:sectPr w:rsidR="002D4709" w:rsidRPr="0010796C" w:rsidSect="00B142A3">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75" w:rsidRDefault="006A4D75">
      <w:r>
        <w:separator/>
      </w:r>
    </w:p>
  </w:endnote>
  <w:endnote w:type="continuationSeparator" w:id="0">
    <w:p w:rsidR="006A4D75" w:rsidRDefault="006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Calibri-Italic">
    <w:charset w:val="00"/>
    <w:family w:val="auto"/>
    <w:pitch w:val="variable"/>
    <w:sig w:usb0="E00002FF" w:usb1="4000ACFF" w:usb2="00000001" w:usb3="00000000" w:csb0="0000019F" w:csb1="00000000"/>
  </w:font>
  <w:font w:name="Callibri">
    <w:altName w:val="Times New Roman"/>
    <w:panose1 w:val="00000000000000000000"/>
    <w:charset w:val="00"/>
    <w:family w:val="roman"/>
    <w:notTrueType/>
    <w:pitch w:val="default"/>
  </w:font>
  <w:font w:name="Times-Roman">
    <w:charset w:val="00"/>
    <w:family w:val="auto"/>
    <w:pitch w:val="variable"/>
    <w:sig w:usb0="00000003" w:usb1="00000000" w:usb2="00000000" w:usb3="00000000" w:csb0="00000001" w:csb1="00000000"/>
  </w:font>
  <w:font w:name="Verdana-Bold">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75" w:rsidRPr="00934A2C" w:rsidRDefault="006A4D7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D4F62">
      <w:rPr>
        <w:noProof/>
        <w:sz w:val="16"/>
        <w:szCs w:val="22"/>
      </w:rPr>
      <w:t>36</w:t>
    </w:r>
    <w:r w:rsidRPr="00934A2C">
      <w:rPr>
        <w:noProof/>
        <w:sz w:val="16"/>
        <w:szCs w:val="22"/>
      </w:rPr>
      <w:fldChar w:fldCharType="end"/>
    </w:r>
  </w:p>
  <w:p w:rsidR="006A4D75" w:rsidRDefault="006A4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75" w:rsidRPr="00934A2C" w:rsidRDefault="006A4D75">
    <w:pPr>
      <w:pStyle w:val="Footer"/>
      <w:jc w:val="center"/>
      <w:rPr>
        <w:sz w:val="16"/>
        <w:szCs w:val="22"/>
      </w:rPr>
    </w:pPr>
  </w:p>
  <w:p w:rsidR="006A4D75" w:rsidRDefault="006A4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75" w:rsidRPr="00DB43BD" w:rsidRDefault="006A4D75">
      <w:pPr>
        <w:rPr>
          <w:rFonts w:ascii="Cambria" w:hAnsi="Cambria"/>
          <w:sz w:val="16"/>
          <w:szCs w:val="16"/>
        </w:rPr>
      </w:pPr>
      <w:r w:rsidRPr="00DB43BD">
        <w:rPr>
          <w:rFonts w:ascii="Cambria" w:hAnsi="Cambria"/>
          <w:sz w:val="16"/>
          <w:szCs w:val="16"/>
        </w:rPr>
        <w:separator/>
      </w:r>
    </w:p>
  </w:footnote>
  <w:footnote w:type="continuationSeparator" w:id="0">
    <w:p w:rsidR="006A4D75" w:rsidRPr="00DB43BD" w:rsidRDefault="006A4D75" w:rsidP="000F35ED">
      <w:pPr>
        <w:rPr>
          <w:rFonts w:ascii="Cambria" w:hAnsi="Cambria"/>
          <w:sz w:val="16"/>
          <w:szCs w:val="16"/>
        </w:rPr>
      </w:pPr>
      <w:r w:rsidRPr="00DB43BD">
        <w:rPr>
          <w:rFonts w:ascii="Cambria" w:hAnsi="Cambria"/>
          <w:sz w:val="16"/>
          <w:szCs w:val="16"/>
        </w:rPr>
        <w:separator/>
      </w:r>
    </w:p>
    <w:p w:rsidR="006A4D75" w:rsidRPr="00DB43BD" w:rsidRDefault="006A4D75" w:rsidP="000F35ED">
      <w:pPr>
        <w:pStyle w:val="Footer"/>
        <w:rPr>
          <w:sz w:val="16"/>
          <w:szCs w:val="16"/>
        </w:rPr>
      </w:pPr>
      <w:r w:rsidRPr="00DB43BD">
        <w:rPr>
          <w:sz w:val="16"/>
          <w:szCs w:val="16"/>
        </w:rPr>
        <w:t xml:space="preserve">[… </w:t>
      </w:r>
      <w:proofErr w:type="spellStart"/>
      <w:r w:rsidRPr="00DB43BD">
        <w:rPr>
          <w:sz w:val="16"/>
          <w:szCs w:val="16"/>
        </w:rPr>
        <w:t>continuación</w:t>
      </w:r>
      <w:proofErr w:type="spellEnd"/>
      <w:r w:rsidRPr="00DB43BD">
        <w:rPr>
          <w:sz w:val="16"/>
          <w:szCs w:val="16"/>
        </w:rPr>
        <w:t>]</w:t>
      </w:r>
    </w:p>
  </w:footnote>
  <w:footnote w:type="continuationNotice" w:id="1">
    <w:p w:rsidR="006A4D75" w:rsidRPr="00DB43BD" w:rsidRDefault="006A4D75" w:rsidP="000F35ED">
      <w:pPr>
        <w:jc w:val="right"/>
        <w:rPr>
          <w:rFonts w:ascii="Cambria" w:hAnsi="Cambria"/>
          <w:sz w:val="16"/>
          <w:szCs w:val="16"/>
          <w:lang w:val="es-ES"/>
        </w:rPr>
      </w:pPr>
      <w:r w:rsidRPr="00DB43BD">
        <w:rPr>
          <w:rFonts w:ascii="Cambria" w:hAnsi="Cambria"/>
          <w:sz w:val="16"/>
          <w:szCs w:val="16"/>
          <w:lang w:val="es-ES"/>
        </w:rPr>
        <w:t>[</w:t>
      </w:r>
      <w:proofErr w:type="gramStart"/>
      <w:r w:rsidRPr="00DB43BD">
        <w:rPr>
          <w:rFonts w:ascii="Cambria" w:hAnsi="Cambria"/>
          <w:sz w:val="16"/>
          <w:szCs w:val="16"/>
          <w:lang w:val="es-ES"/>
        </w:rPr>
        <w:t>continúa</w:t>
      </w:r>
      <w:proofErr w:type="gramEnd"/>
      <w:r w:rsidRPr="00DB43BD">
        <w:rPr>
          <w:rFonts w:ascii="Cambria" w:hAnsi="Cambria"/>
          <w:sz w:val="16"/>
          <w:szCs w:val="16"/>
          <w:lang w:val="es-ES"/>
        </w:rPr>
        <w:t>…]</w:t>
      </w:r>
    </w:p>
  </w:footnote>
  <w:footnote w:id="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Posteriormente se constituyó como único peticionario Luis Alberto </w:t>
      </w:r>
      <w:proofErr w:type="spellStart"/>
      <w:r w:rsidRPr="006A4D75">
        <w:rPr>
          <w:rFonts w:asciiTheme="majorHAnsi" w:hAnsiTheme="majorHAnsi"/>
          <w:sz w:val="16"/>
          <w:szCs w:val="16"/>
          <w:lang w:val="es-ES"/>
        </w:rPr>
        <w:t>Feris</w:t>
      </w:r>
      <w:proofErr w:type="spellEnd"/>
      <w:r w:rsidRPr="006A4D75">
        <w:rPr>
          <w:rFonts w:asciiTheme="majorHAnsi" w:hAnsiTheme="majorHAnsi"/>
          <w:sz w:val="16"/>
          <w:szCs w:val="16"/>
          <w:lang w:val="es-ES"/>
        </w:rPr>
        <w:t>.</w:t>
      </w:r>
    </w:p>
  </w:footnote>
  <w:footnote w:id="3">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CIDH, </w:t>
      </w:r>
      <w:hyperlink r:id="rId1" w:history="1">
        <w:r w:rsidRPr="006A4D75">
          <w:rPr>
            <w:rStyle w:val="Hyperlink"/>
            <w:rFonts w:asciiTheme="majorHAnsi" w:hAnsiTheme="majorHAnsi"/>
            <w:sz w:val="16"/>
            <w:szCs w:val="16"/>
            <w:u w:val="none"/>
            <w:lang w:val="es-ES"/>
          </w:rPr>
          <w:t>Informe No. 4/15</w:t>
        </w:r>
      </w:hyperlink>
      <w:r w:rsidRPr="006A4D75">
        <w:rPr>
          <w:rFonts w:asciiTheme="majorHAnsi" w:hAnsiTheme="majorHAnsi"/>
          <w:sz w:val="16"/>
          <w:szCs w:val="16"/>
          <w:lang w:val="es-ES"/>
        </w:rPr>
        <w:t xml:space="preserve">, Petición 582-01, Admisibilidad, Raúl Rolando Romero </w:t>
      </w:r>
      <w:proofErr w:type="spellStart"/>
      <w:r w:rsidRPr="006A4D75">
        <w:rPr>
          <w:rFonts w:asciiTheme="majorHAnsi" w:hAnsiTheme="majorHAnsi"/>
          <w:sz w:val="16"/>
          <w:szCs w:val="16"/>
          <w:lang w:val="es-ES"/>
        </w:rPr>
        <w:t>Feris</w:t>
      </w:r>
      <w:proofErr w:type="spellEnd"/>
      <w:r w:rsidRPr="006A4D75">
        <w:rPr>
          <w:rFonts w:asciiTheme="majorHAnsi" w:hAnsiTheme="majorHAnsi"/>
          <w:sz w:val="16"/>
          <w:szCs w:val="16"/>
          <w:lang w:val="es-ES"/>
        </w:rPr>
        <w:t xml:space="preserve">, Argentina, 29 de enero de 2015. </w:t>
      </w:r>
    </w:p>
  </w:footnote>
  <w:footnote w:id="4">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Pr>
          <w:rFonts w:asciiTheme="majorHAnsi" w:hAnsiTheme="majorHAnsi"/>
          <w:sz w:val="16"/>
          <w:szCs w:val="16"/>
          <w:lang w:val="es-ES"/>
        </w:rPr>
        <w:t xml:space="preserve">Anexo 1. </w:t>
      </w:r>
      <w:r w:rsidRPr="006A4D75">
        <w:rPr>
          <w:rFonts w:asciiTheme="majorHAnsi" w:hAnsiTheme="majorHAnsi"/>
          <w:sz w:val="16"/>
          <w:szCs w:val="16"/>
          <w:lang w:val="es-ES"/>
        </w:rPr>
        <w:t xml:space="preserve">Escrito de petición ante la CIDH, 24 de agosto de 2001. </w:t>
      </w:r>
    </w:p>
  </w:footnote>
  <w:footnote w:id="5">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Pr>
          <w:rFonts w:asciiTheme="majorHAnsi" w:hAnsiTheme="majorHAnsi"/>
          <w:sz w:val="16"/>
          <w:szCs w:val="16"/>
          <w:lang w:val="es-ES"/>
        </w:rPr>
        <w:t xml:space="preserve">Anexo 2. </w:t>
      </w:r>
      <w:r w:rsidRPr="006A4D75">
        <w:rPr>
          <w:rFonts w:ascii="Cambria" w:hAnsi="Cambria"/>
          <w:sz w:val="16"/>
          <w:szCs w:val="16"/>
          <w:lang w:val="es-ES"/>
        </w:rPr>
        <w:t>Formulario del peticionario, 14 de agosto de 2007</w:t>
      </w:r>
      <w:r w:rsidRPr="006A4D75">
        <w:rPr>
          <w:rFonts w:asciiTheme="majorHAnsi" w:hAnsiTheme="majorHAnsi"/>
          <w:sz w:val="16"/>
          <w:szCs w:val="16"/>
          <w:lang w:val="es-ES"/>
        </w:rPr>
        <w:t xml:space="preserve">. </w:t>
      </w:r>
    </w:p>
  </w:footnote>
  <w:footnote w:id="6">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Pr>
          <w:rFonts w:asciiTheme="majorHAnsi" w:hAnsiTheme="majorHAnsi"/>
          <w:sz w:val="16"/>
          <w:szCs w:val="16"/>
          <w:lang w:val="es-ES"/>
        </w:rPr>
        <w:t xml:space="preserve">Anexo 3. </w:t>
      </w:r>
      <w:r w:rsidRPr="006A4D75">
        <w:rPr>
          <w:rFonts w:asciiTheme="majorHAnsi" w:hAnsiTheme="majorHAnsi"/>
          <w:sz w:val="16"/>
          <w:szCs w:val="16"/>
          <w:lang w:val="es-ES"/>
        </w:rPr>
        <w:t xml:space="preserve">Escrito de </w:t>
      </w:r>
      <w:proofErr w:type="spellStart"/>
      <w:r w:rsidRPr="006A4D75">
        <w:rPr>
          <w:rFonts w:asciiTheme="majorHAnsi" w:hAnsiTheme="majorHAnsi"/>
          <w:sz w:val="16"/>
          <w:szCs w:val="16"/>
          <w:lang w:val="es-ES"/>
        </w:rPr>
        <w:t>Externación</w:t>
      </w:r>
      <w:proofErr w:type="spellEnd"/>
      <w:r w:rsidRPr="006A4D75">
        <w:rPr>
          <w:rFonts w:asciiTheme="majorHAnsi" w:hAnsiTheme="majorHAnsi"/>
          <w:sz w:val="16"/>
          <w:szCs w:val="16"/>
          <w:lang w:val="es-ES"/>
        </w:rPr>
        <w:t>. Anexo a la comunicación del peticionario de 24 de agosto de 2001.</w:t>
      </w:r>
    </w:p>
  </w:footnote>
  <w:footnote w:id="7">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Artículo 1. La prisión preventiva no podrá ser superior a dos años, sin que se haya dictado sentencia. No obstante, cuando la cantidad de los delitos atribuidos al procesado o la evidente complejidad de la causa hayan impedido el dictado de la misma en el plazo indicado, éste podrá prorrogarse por un año más, por resolución fundada, que deberá comunicarse de inmediato al tribunal superior que correspondiere, para su debido contralor.</w:t>
      </w:r>
    </w:p>
  </w:footnote>
  <w:footnote w:id="8">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Pr="006A4D75">
        <w:rPr>
          <w:rFonts w:ascii="Cambria" w:hAnsi="Cambria"/>
          <w:sz w:val="16"/>
          <w:szCs w:val="16"/>
          <w:lang w:val="es-ES"/>
        </w:rPr>
        <w:t xml:space="preserve">Anexo 3. </w:t>
      </w:r>
      <w:r w:rsidRPr="006A4D75">
        <w:rPr>
          <w:rFonts w:asciiTheme="majorHAnsi" w:hAnsiTheme="majorHAnsi"/>
          <w:sz w:val="16"/>
          <w:szCs w:val="16"/>
          <w:lang w:val="es-ES"/>
        </w:rPr>
        <w:t xml:space="preserve">Escrito de </w:t>
      </w:r>
      <w:proofErr w:type="spellStart"/>
      <w:r w:rsidRPr="006A4D75">
        <w:rPr>
          <w:rFonts w:asciiTheme="majorHAnsi" w:hAnsiTheme="majorHAnsi"/>
          <w:sz w:val="16"/>
          <w:szCs w:val="16"/>
          <w:lang w:val="es-ES"/>
        </w:rPr>
        <w:t>Externación</w:t>
      </w:r>
      <w:proofErr w:type="spellEnd"/>
      <w:r w:rsidRPr="006A4D75">
        <w:rPr>
          <w:rFonts w:asciiTheme="majorHAnsi" w:hAnsiTheme="majorHAnsi"/>
          <w:sz w:val="16"/>
          <w:szCs w:val="16"/>
          <w:lang w:val="es-ES"/>
        </w:rPr>
        <w:t>. Anexo a la comunicación del peticionario de 24 de agosto de 2001.</w:t>
      </w:r>
      <w:r w:rsidRPr="006A4D75">
        <w:rPr>
          <w:rFonts w:asciiTheme="majorHAnsi" w:hAnsiTheme="majorHAnsi"/>
          <w:sz w:val="16"/>
          <w:szCs w:val="16"/>
          <w:lang w:val="es-ES"/>
        </w:rPr>
        <w:tab/>
      </w:r>
    </w:p>
  </w:footnote>
  <w:footnote w:id="9">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Pr="006A4D75">
        <w:rPr>
          <w:rFonts w:ascii="Cambria" w:hAnsi="Cambria"/>
          <w:sz w:val="16"/>
          <w:szCs w:val="16"/>
          <w:lang w:val="es-ES"/>
        </w:rPr>
        <w:t xml:space="preserve">Anexo 3. </w:t>
      </w:r>
      <w:r w:rsidRPr="006A4D75">
        <w:rPr>
          <w:rFonts w:asciiTheme="majorHAnsi" w:hAnsiTheme="majorHAnsi"/>
          <w:sz w:val="16"/>
          <w:szCs w:val="16"/>
          <w:lang w:val="es-ES"/>
        </w:rPr>
        <w:t xml:space="preserve">Escrito de </w:t>
      </w:r>
      <w:proofErr w:type="spellStart"/>
      <w:r w:rsidRPr="006A4D75">
        <w:rPr>
          <w:rFonts w:asciiTheme="majorHAnsi" w:hAnsiTheme="majorHAnsi"/>
          <w:sz w:val="16"/>
          <w:szCs w:val="16"/>
          <w:lang w:val="es-ES"/>
        </w:rPr>
        <w:t>Externación</w:t>
      </w:r>
      <w:proofErr w:type="spellEnd"/>
      <w:r w:rsidRPr="006A4D75">
        <w:rPr>
          <w:rFonts w:asciiTheme="majorHAnsi" w:hAnsiTheme="majorHAnsi"/>
          <w:sz w:val="16"/>
          <w:szCs w:val="16"/>
          <w:lang w:val="es-ES"/>
        </w:rPr>
        <w:t>. Anexo a la comunicación del peticionario de 24 de agosto de 2001.</w:t>
      </w:r>
      <w:r w:rsidRPr="006A4D75">
        <w:rPr>
          <w:rFonts w:asciiTheme="majorHAnsi" w:hAnsiTheme="majorHAnsi"/>
          <w:sz w:val="16"/>
          <w:szCs w:val="16"/>
          <w:lang w:val="es-ES"/>
        </w:rPr>
        <w:tab/>
      </w:r>
    </w:p>
  </w:footnote>
  <w:footnote w:id="10">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Pr>
          <w:rFonts w:asciiTheme="majorHAnsi" w:hAnsiTheme="majorHAnsi"/>
          <w:sz w:val="16"/>
          <w:szCs w:val="16"/>
          <w:lang w:val="es-ES"/>
        </w:rPr>
        <w:t xml:space="preserve">Anexo 4. </w:t>
      </w:r>
      <w:r w:rsidRPr="006A4D75">
        <w:rPr>
          <w:rFonts w:asciiTheme="majorHAnsi" w:hAnsiTheme="majorHAnsi"/>
          <w:sz w:val="16"/>
          <w:szCs w:val="16"/>
          <w:lang w:val="es-ES"/>
        </w:rPr>
        <w:t>Auto 1251 del Juzgado de Instrucción no. 1 de Corrientes, 01 de agosto de 2001. Anexo a la comunicación del peticionario de 24 de agosto de 2001.</w:t>
      </w:r>
    </w:p>
  </w:footnote>
  <w:footnote w:id="11">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Pr="006A4D75">
        <w:rPr>
          <w:rFonts w:ascii="Cambria" w:hAnsi="Cambria"/>
          <w:sz w:val="16"/>
          <w:szCs w:val="16"/>
          <w:lang w:val="es-ES"/>
        </w:rPr>
        <w:t xml:space="preserve">Anexo 4. </w:t>
      </w:r>
      <w:r w:rsidRPr="006A4D75">
        <w:rPr>
          <w:rFonts w:asciiTheme="majorHAnsi" w:hAnsiTheme="majorHAnsi"/>
          <w:sz w:val="16"/>
          <w:szCs w:val="16"/>
          <w:lang w:val="es-ES"/>
        </w:rPr>
        <w:t>Auto 1251 del Juzgado de Instrucción no. 1 de Corrientes, 01 de agosto de 2001. Anexo a la comunicación del peticionario de 24 de agosto de 2001.</w:t>
      </w:r>
    </w:p>
  </w:footnote>
  <w:footnote w:id="1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Pr>
          <w:rFonts w:asciiTheme="majorHAnsi" w:hAnsiTheme="majorHAnsi"/>
          <w:sz w:val="16"/>
          <w:szCs w:val="16"/>
          <w:lang w:val="es-ES"/>
        </w:rPr>
        <w:t xml:space="preserve">Anexo 2. </w:t>
      </w:r>
      <w:r w:rsidRPr="006A4D75">
        <w:rPr>
          <w:rFonts w:asciiTheme="majorHAnsi" w:hAnsiTheme="majorHAnsi"/>
          <w:sz w:val="16"/>
          <w:szCs w:val="16"/>
          <w:lang w:val="es-ES"/>
        </w:rPr>
        <w:t>Formulario del peticionario, 14 de Agosto de 2007.</w:t>
      </w:r>
    </w:p>
  </w:footnote>
  <w:footnote w:id="13">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Pr>
          <w:rFonts w:asciiTheme="majorHAnsi" w:hAnsiTheme="majorHAnsi"/>
          <w:sz w:val="16"/>
          <w:szCs w:val="16"/>
          <w:lang w:val="es-ES"/>
        </w:rPr>
        <w:t xml:space="preserve">Anexo 2. </w:t>
      </w:r>
      <w:r w:rsidRPr="006A4D75">
        <w:rPr>
          <w:rFonts w:asciiTheme="majorHAnsi" w:hAnsiTheme="majorHAnsi"/>
          <w:sz w:val="16"/>
          <w:szCs w:val="16"/>
          <w:lang w:val="es-ES"/>
        </w:rPr>
        <w:t>Formulario del peticionario, 14 de Agosto de 2007.</w:t>
      </w:r>
    </w:p>
  </w:footnote>
  <w:footnote w:id="14">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Pr="006A4D75">
        <w:rPr>
          <w:rFonts w:ascii="Cambria" w:hAnsi="Cambria"/>
          <w:sz w:val="16"/>
          <w:szCs w:val="16"/>
          <w:lang w:val="es-ES"/>
        </w:rPr>
        <w:t xml:space="preserve">Anexo </w:t>
      </w:r>
      <w:r>
        <w:rPr>
          <w:rFonts w:ascii="Cambria" w:hAnsi="Cambria"/>
          <w:sz w:val="16"/>
          <w:szCs w:val="16"/>
          <w:lang w:val="es-ES"/>
        </w:rPr>
        <w:t>5</w:t>
      </w:r>
      <w:r w:rsidRPr="006A4D75">
        <w:rPr>
          <w:rFonts w:ascii="Cambria" w:hAnsi="Cambria"/>
          <w:sz w:val="16"/>
          <w:szCs w:val="16"/>
          <w:lang w:val="es-ES"/>
        </w:rPr>
        <w:t xml:space="preserve">. </w:t>
      </w:r>
      <w:r w:rsidRPr="006A4D75">
        <w:rPr>
          <w:rFonts w:asciiTheme="majorHAnsi" w:hAnsiTheme="majorHAnsi"/>
          <w:sz w:val="16"/>
          <w:szCs w:val="16"/>
          <w:lang w:val="es-ES"/>
        </w:rPr>
        <w:t>Nota de prensa “</w:t>
      </w:r>
      <w:hyperlink r:id="rId2" w:history="1">
        <w:r w:rsidRPr="006A4D75">
          <w:rPr>
            <w:rStyle w:val="Hyperlink"/>
            <w:rFonts w:asciiTheme="majorHAnsi" w:hAnsiTheme="majorHAnsi"/>
            <w:sz w:val="16"/>
            <w:szCs w:val="16"/>
            <w:u w:val="none"/>
            <w:lang w:val="es-ES"/>
          </w:rPr>
          <w:t>Corrientes: detienen a un ex gobernador</w:t>
        </w:r>
      </w:hyperlink>
      <w:r w:rsidRPr="006A4D75">
        <w:rPr>
          <w:rFonts w:asciiTheme="majorHAnsi" w:hAnsiTheme="majorHAnsi"/>
          <w:sz w:val="16"/>
          <w:szCs w:val="16"/>
          <w:lang w:val="es-ES"/>
        </w:rPr>
        <w:t>” publicado en Clarín, 10 de mayo de 2016.</w:t>
      </w:r>
    </w:p>
  </w:footnote>
  <w:footnote w:id="15">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Pr="006A4D75">
        <w:rPr>
          <w:rFonts w:ascii="Cambria" w:hAnsi="Cambria"/>
          <w:sz w:val="16"/>
          <w:szCs w:val="16"/>
          <w:lang w:val="es-ES"/>
        </w:rPr>
        <w:t xml:space="preserve">Anexo </w:t>
      </w:r>
      <w:r>
        <w:rPr>
          <w:rFonts w:ascii="Cambria" w:hAnsi="Cambria"/>
          <w:sz w:val="16"/>
          <w:szCs w:val="16"/>
          <w:lang w:val="es-ES"/>
        </w:rPr>
        <w:t>5</w:t>
      </w:r>
      <w:r w:rsidRPr="006A4D75">
        <w:rPr>
          <w:rFonts w:ascii="Cambria" w:hAnsi="Cambria"/>
          <w:sz w:val="16"/>
          <w:szCs w:val="16"/>
          <w:lang w:val="es-ES"/>
        </w:rPr>
        <w:t xml:space="preserve">. </w:t>
      </w:r>
      <w:r w:rsidRPr="006A4D75">
        <w:rPr>
          <w:rFonts w:asciiTheme="majorHAnsi" w:hAnsiTheme="majorHAnsi"/>
          <w:sz w:val="16"/>
          <w:szCs w:val="16"/>
          <w:lang w:val="es-ES"/>
        </w:rPr>
        <w:t>Nota de prensa “</w:t>
      </w:r>
      <w:hyperlink r:id="rId3" w:history="1">
        <w:r w:rsidRPr="006A4D75">
          <w:rPr>
            <w:rStyle w:val="Hyperlink"/>
            <w:rFonts w:asciiTheme="majorHAnsi" w:hAnsiTheme="majorHAnsi"/>
            <w:sz w:val="16"/>
            <w:szCs w:val="16"/>
            <w:u w:val="none"/>
            <w:lang w:val="es-ES"/>
          </w:rPr>
          <w:t>Corrientes: detienen a un ex gobernador</w:t>
        </w:r>
      </w:hyperlink>
      <w:r w:rsidRPr="006A4D75">
        <w:rPr>
          <w:rFonts w:asciiTheme="majorHAnsi" w:hAnsiTheme="majorHAnsi"/>
          <w:sz w:val="16"/>
          <w:szCs w:val="16"/>
          <w:lang w:val="es-ES"/>
        </w:rPr>
        <w:t>” publicado en Clarín, 10 de mayo de 2016.</w:t>
      </w:r>
    </w:p>
  </w:footnote>
  <w:footnote w:id="16">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Pr>
          <w:rFonts w:asciiTheme="majorHAnsi" w:hAnsiTheme="majorHAnsi"/>
          <w:sz w:val="16"/>
          <w:szCs w:val="16"/>
          <w:lang w:val="es-ES"/>
        </w:rPr>
        <w:t xml:space="preserve">Anexo 1. </w:t>
      </w:r>
      <w:r w:rsidRPr="006A4D75">
        <w:rPr>
          <w:rFonts w:asciiTheme="majorHAnsi" w:hAnsiTheme="majorHAnsi"/>
          <w:sz w:val="16"/>
          <w:szCs w:val="16"/>
          <w:lang w:val="es-ES"/>
        </w:rPr>
        <w:t>Escrito de petición ante la CIDH, 24 de agosto de 2001.</w:t>
      </w:r>
    </w:p>
  </w:footnote>
  <w:footnote w:id="17">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Pr="006A4D75">
        <w:rPr>
          <w:rFonts w:ascii="Cambria" w:hAnsi="Cambria"/>
          <w:sz w:val="16"/>
          <w:szCs w:val="16"/>
          <w:lang w:val="es-ES"/>
        </w:rPr>
        <w:t xml:space="preserve">Anexo 1. </w:t>
      </w:r>
      <w:r w:rsidRPr="006A4D75">
        <w:rPr>
          <w:rFonts w:asciiTheme="majorHAnsi" w:hAnsiTheme="majorHAnsi"/>
          <w:sz w:val="16"/>
          <w:szCs w:val="16"/>
          <w:lang w:val="es-ES"/>
        </w:rPr>
        <w:t>Escrito de petición ante la CIDH, 24 de agosto de 2001.</w:t>
      </w:r>
    </w:p>
  </w:footnote>
  <w:footnote w:id="18">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Pr="006A4D75">
        <w:rPr>
          <w:rFonts w:ascii="Cambria" w:hAnsi="Cambria"/>
          <w:sz w:val="16"/>
          <w:szCs w:val="16"/>
          <w:lang w:val="es-ES"/>
        </w:rPr>
        <w:t xml:space="preserve">Anexo 1. </w:t>
      </w:r>
      <w:r w:rsidRPr="006A4D75">
        <w:rPr>
          <w:rFonts w:asciiTheme="majorHAnsi" w:hAnsiTheme="majorHAnsi"/>
          <w:sz w:val="16"/>
          <w:szCs w:val="16"/>
          <w:lang w:val="es-ES"/>
        </w:rPr>
        <w:t>Escrito de petición ante la CIDH, 24 de agosto de 2001.</w:t>
      </w:r>
    </w:p>
  </w:footnote>
  <w:footnote w:id="19">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Pr>
          <w:rFonts w:asciiTheme="majorHAnsi" w:hAnsiTheme="majorHAnsi"/>
          <w:sz w:val="16"/>
          <w:szCs w:val="16"/>
          <w:lang w:val="es-ES"/>
        </w:rPr>
        <w:t xml:space="preserve">Anexo 6. </w:t>
      </w:r>
      <w:r w:rsidRPr="006A4D75">
        <w:rPr>
          <w:rFonts w:ascii="Cambria" w:hAnsi="Cambria"/>
          <w:sz w:val="16"/>
          <w:szCs w:val="16"/>
          <w:lang w:val="es-ES"/>
        </w:rPr>
        <w:t>Informe del Poder Judicial de la Provincia de Corrientes</w:t>
      </w:r>
      <w:r w:rsidRPr="006A4D75">
        <w:rPr>
          <w:rFonts w:asciiTheme="majorHAnsi" w:hAnsiTheme="majorHAnsi"/>
          <w:sz w:val="16"/>
          <w:szCs w:val="16"/>
          <w:lang w:val="es-ES"/>
        </w:rPr>
        <w:t>. Anexo a la Comunicación del Estado Argentino del 13 de diciembre de 2013.</w:t>
      </w:r>
    </w:p>
  </w:footnote>
  <w:footnote w:id="20">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Pr>
          <w:rFonts w:asciiTheme="majorHAnsi" w:hAnsiTheme="majorHAnsi"/>
          <w:sz w:val="16"/>
          <w:szCs w:val="16"/>
          <w:lang w:val="es-ES"/>
        </w:rPr>
        <w:t xml:space="preserve">Anexo 7. </w:t>
      </w:r>
      <w:r w:rsidRPr="006A4D75">
        <w:rPr>
          <w:rFonts w:asciiTheme="majorHAnsi" w:hAnsiTheme="majorHAnsi"/>
          <w:sz w:val="16"/>
          <w:szCs w:val="16"/>
          <w:lang w:val="es-ES"/>
        </w:rPr>
        <w:t>Incidente de Nulidad con Apelación en Subsidio, 27 de julio de 2000. Anexo a la comunicación del peticionario de 10 de julio de 2008.</w:t>
      </w:r>
    </w:p>
  </w:footnote>
  <w:footnote w:id="21">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Pr="006A4D75">
        <w:rPr>
          <w:rFonts w:ascii="Cambria" w:hAnsi="Cambria"/>
          <w:sz w:val="16"/>
          <w:szCs w:val="16"/>
          <w:lang w:val="es-ES"/>
        </w:rPr>
        <w:t xml:space="preserve">Anexo 7. </w:t>
      </w:r>
      <w:r w:rsidRPr="006A4D75">
        <w:rPr>
          <w:rFonts w:asciiTheme="majorHAnsi" w:hAnsiTheme="majorHAnsi"/>
          <w:sz w:val="16"/>
          <w:szCs w:val="16"/>
          <w:lang w:val="es-ES"/>
        </w:rPr>
        <w:t>Incidente de Nulidad con Apelación en Subsidio, 27 de julio de 2000. Anexo a la comunicación del peticionario de 10 de julio de 2008.</w:t>
      </w:r>
    </w:p>
  </w:footnote>
  <w:footnote w:id="2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Pr="006A4D75">
        <w:rPr>
          <w:rFonts w:ascii="Cambria" w:hAnsi="Cambria"/>
          <w:sz w:val="16"/>
          <w:szCs w:val="16"/>
          <w:lang w:val="es-ES"/>
        </w:rPr>
        <w:t xml:space="preserve">Anexo 7. </w:t>
      </w:r>
      <w:r w:rsidRPr="006A4D75">
        <w:rPr>
          <w:rFonts w:asciiTheme="majorHAnsi" w:hAnsiTheme="majorHAnsi"/>
          <w:sz w:val="16"/>
          <w:szCs w:val="16"/>
          <w:lang w:val="es-ES"/>
        </w:rPr>
        <w:t>Incidente de Nulidad con Apelación en Subsidio, 27 de julio de 2000. Anexo a la comunicación del peticionario de 10 de julio de 2008.</w:t>
      </w:r>
    </w:p>
  </w:footnote>
  <w:footnote w:id="23">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Pr="006A4D75">
        <w:rPr>
          <w:rFonts w:ascii="Cambria" w:hAnsi="Cambria"/>
          <w:sz w:val="16"/>
          <w:szCs w:val="16"/>
          <w:lang w:val="es-ES"/>
        </w:rPr>
        <w:t xml:space="preserve">Anexo 7. </w:t>
      </w:r>
      <w:r w:rsidRPr="006A4D75">
        <w:rPr>
          <w:rFonts w:asciiTheme="majorHAnsi" w:hAnsiTheme="majorHAnsi"/>
          <w:sz w:val="16"/>
          <w:szCs w:val="16"/>
          <w:lang w:val="es-ES"/>
        </w:rPr>
        <w:t>Incidente de Nulidad con Apelación en Subsidio, 27 de julio de 2000. Anexo a la comunicación del peticionario de 10 de julio de 2008.</w:t>
      </w:r>
    </w:p>
  </w:footnote>
  <w:footnote w:id="24">
    <w:p w:rsidR="006A4D75" w:rsidRPr="006A4D75" w:rsidRDefault="006A4D75" w:rsidP="00616D0A">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Pr="006A4D75">
        <w:rPr>
          <w:rFonts w:ascii="Cambria" w:hAnsi="Cambria"/>
          <w:sz w:val="16"/>
          <w:szCs w:val="16"/>
          <w:lang w:val="es-ES"/>
        </w:rPr>
        <w:t xml:space="preserve">Anexo 7. </w:t>
      </w:r>
      <w:r w:rsidRPr="006A4D75">
        <w:rPr>
          <w:rFonts w:asciiTheme="majorHAnsi" w:hAnsiTheme="majorHAnsi"/>
          <w:sz w:val="16"/>
          <w:szCs w:val="16"/>
          <w:lang w:val="es-ES"/>
        </w:rPr>
        <w:t>Incidente de Nulidad con Apelación en Subsidio, 27 de julio de 2000. Anexo a la comunicación del peticionario de 10 de julio de 2008.</w:t>
      </w:r>
    </w:p>
  </w:footnote>
  <w:footnote w:id="25">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Pr>
          <w:rFonts w:asciiTheme="majorHAnsi" w:hAnsiTheme="majorHAnsi"/>
          <w:sz w:val="16"/>
          <w:szCs w:val="16"/>
          <w:lang w:val="es-ES"/>
        </w:rPr>
        <w:t xml:space="preserve">Anexo 8. </w:t>
      </w:r>
      <w:r w:rsidRPr="006A4D75">
        <w:rPr>
          <w:rFonts w:asciiTheme="majorHAnsi" w:hAnsiTheme="majorHAnsi"/>
          <w:sz w:val="16"/>
          <w:szCs w:val="16"/>
          <w:lang w:val="es-ES"/>
        </w:rPr>
        <w:t>Auto no. 1267 del Juzgado de Instrucción no. 1, 26 de septiembre de 2000. Anexo a la comunicación del peticionario de 10 de julio de 2008.</w:t>
      </w:r>
    </w:p>
  </w:footnote>
  <w:footnote w:id="26">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 xml:space="preserve">Anexo 8. </w:t>
      </w:r>
      <w:r w:rsidRPr="006A4D75">
        <w:rPr>
          <w:rFonts w:asciiTheme="majorHAnsi" w:hAnsiTheme="majorHAnsi"/>
          <w:sz w:val="16"/>
          <w:szCs w:val="16"/>
          <w:lang w:val="es-ES"/>
        </w:rPr>
        <w:t>Auto no. 1267 del Juzgado de Instrucción no. 1, 26 de septiembre de 2000. Anexo a la comunicación del peticionario de 10 de julio de 2008.</w:t>
      </w:r>
    </w:p>
  </w:footnote>
  <w:footnote w:id="27">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 xml:space="preserve">Anexo 8. </w:t>
      </w:r>
      <w:r w:rsidRPr="006A4D75">
        <w:rPr>
          <w:rFonts w:asciiTheme="majorHAnsi" w:hAnsiTheme="majorHAnsi"/>
          <w:sz w:val="16"/>
          <w:szCs w:val="16"/>
          <w:lang w:val="es-ES"/>
        </w:rPr>
        <w:t>Auto no. 1267 del Juzgado de Instrucción no. 1, 26 de septiembre de 2000. Anexo a la comunicación del peticionario de 10 de julio de 2008.</w:t>
      </w:r>
    </w:p>
  </w:footnote>
  <w:footnote w:id="28">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 xml:space="preserve">Anexo </w:t>
      </w:r>
      <w:r w:rsidR="00616D0A">
        <w:rPr>
          <w:rFonts w:ascii="Cambria" w:hAnsi="Cambria"/>
          <w:sz w:val="16"/>
          <w:szCs w:val="16"/>
          <w:lang w:val="es-ES"/>
        </w:rPr>
        <w:t>9</w:t>
      </w:r>
      <w:r w:rsidR="00616D0A" w:rsidRPr="00616D0A">
        <w:rPr>
          <w:rFonts w:ascii="Cambria" w:hAnsi="Cambria"/>
          <w:sz w:val="16"/>
          <w:szCs w:val="16"/>
          <w:lang w:val="es-ES"/>
        </w:rPr>
        <w:t xml:space="preserve">. </w:t>
      </w:r>
      <w:r w:rsidRPr="006A4D75">
        <w:rPr>
          <w:rFonts w:asciiTheme="majorHAnsi" w:hAnsiTheme="majorHAnsi"/>
          <w:sz w:val="16"/>
          <w:szCs w:val="16"/>
          <w:lang w:val="es-ES"/>
        </w:rPr>
        <w:t>Escrito de Excepciones, 24 de mayo de 2001. Anexo a la comunicación del peticionario de 10 de julio de 2008.</w:t>
      </w:r>
    </w:p>
  </w:footnote>
  <w:footnote w:id="29">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 xml:space="preserve">Anexo </w:t>
      </w:r>
      <w:r w:rsidR="00616D0A">
        <w:rPr>
          <w:rFonts w:ascii="Cambria" w:hAnsi="Cambria"/>
          <w:sz w:val="16"/>
          <w:szCs w:val="16"/>
          <w:lang w:val="es-ES"/>
        </w:rPr>
        <w:t>9</w:t>
      </w:r>
      <w:r w:rsidR="00616D0A" w:rsidRPr="00616D0A">
        <w:rPr>
          <w:rFonts w:ascii="Cambria" w:hAnsi="Cambria"/>
          <w:sz w:val="16"/>
          <w:szCs w:val="16"/>
          <w:lang w:val="es-ES"/>
        </w:rPr>
        <w:t xml:space="preserve">. </w:t>
      </w:r>
      <w:r w:rsidRPr="006A4D75">
        <w:rPr>
          <w:rFonts w:asciiTheme="majorHAnsi" w:hAnsiTheme="majorHAnsi"/>
          <w:sz w:val="16"/>
          <w:szCs w:val="16"/>
          <w:lang w:val="es-ES"/>
        </w:rPr>
        <w:t>Escrito de Excepciones, 24 de mayo de 2001. Anexo a la comunicación del peticionario de 10 de julio de 2008.</w:t>
      </w:r>
    </w:p>
  </w:footnote>
  <w:footnote w:id="30">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Pr>
          <w:rFonts w:asciiTheme="majorHAnsi" w:hAnsiTheme="majorHAnsi"/>
          <w:sz w:val="16"/>
          <w:szCs w:val="16"/>
          <w:lang w:val="es-ES"/>
        </w:rPr>
        <w:t xml:space="preserve">Anexo 10. </w:t>
      </w:r>
      <w:r w:rsidRPr="006A4D75">
        <w:rPr>
          <w:rFonts w:asciiTheme="majorHAnsi" w:hAnsiTheme="majorHAnsi"/>
          <w:sz w:val="16"/>
          <w:szCs w:val="16"/>
          <w:lang w:val="es-ES"/>
        </w:rPr>
        <w:t>Auto no. 989 del Juzgado de Instrucción no. 1 de Corrientes, 04 de junio de 2001. Anexo a la comunicación del peticionario de 10 de julio de 2008.</w:t>
      </w:r>
    </w:p>
  </w:footnote>
  <w:footnote w:id="31">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Pr>
          <w:rFonts w:asciiTheme="majorHAnsi" w:hAnsiTheme="majorHAnsi"/>
          <w:sz w:val="16"/>
          <w:szCs w:val="16"/>
          <w:lang w:val="es-ES"/>
        </w:rPr>
        <w:t xml:space="preserve">Anexo 10. </w:t>
      </w:r>
      <w:r w:rsidRPr="006A4D75">
        <w:rPr>
          <w:rFonts w:asciiTheme="majorHAnsi" w:hAnsiTheme="majorHAnsi"/>
          <w:sz w:val="16"/>
          <w:szCs w:val="16"/>
          <w:lang w:val="es-ES"/>
        </w:rPr>
        <w:t>Auto no. 989 del Juzgado de Instrucción no. 1 de Corrientes, 04 de junio de 2001. Anexo a la comunicación del peticionario de 10 de julio de 2008.</w:t>
      </w:r>
    </w:p>
  </w:footnote>
  <w:footnote w:id="3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Pr>
          <w:rFonts w:asciiTheme="majorHAnsi" w:hAnsiTheme="majorHAnsi"/>
          <w:sz w:val="16"/>
          <w:szCs w:val="16"/>
          <w:lang w:val="es-ES"/>
        </w:rPr>
        <w:t xml:space="preserve">Anexo 11. Recurso de apelación, </w:t>
      </w:r>
      <w:r w:rsidRPr="006A4D75">
        <w:rPr>
          <w:rFonts w:asciiTheme="majorHAnsi" w:hAnsiTheme="majorHAnsi"/>
          <w:sz w:val="16"/>
          <w:szCs w:val="16"/>
          <w:lang w:val="es-ES"/>
        </w:rPr>
        <w:t>7 de junio de 2001. Anexo a la comunicación del peticionario de 10 de Julio de 2008.</w:t>
      </w:r>
    </w:p>
  </w:footnote>
  <w:footnote w:id="33">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 xml:space="preserve">Anexo 11. </w:t>
      </w:r>
      <w:r w:rsidR="00616D0A">
        <w:rPr>
          <w:rFonts w:asciiTheme="majorHAnsi" w:hAnsiTheme="majorHAnsi"/>
          <w:sz w:val="16"/>
          <w:szCs w:val="16"/>
          <w:lang w:val="es-ES"/>
        </w:rPr>
        <w:t xml:space="preserve">Recurso de apelación, </w:t>
      </w:r>
      <w:r w:rsidRPr="006A4D75">
        <w:rPr>
          <w:rFonts w:asciiTheme="majorHAnsi" w:hAnsiTheme="majorHAnsi"/>
          <w:sz w:val="16"/>
          <w:szCs w:val="16"/>
          <w:lang w:val="es-ES"/>
        </w:rPr>
        <w:t>7 de junio de 2001. Anexo a la comunicación del peticionario de 10 de Julio de 2008.</w:t>
      </w:r>
    </w:p>
  </w:footnote>
  <w:footnote w:id="34">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 xml:space="preserve">Anexo 11. </w:t>
      </w:r>
      <w:r w:rsidR="00616D0A">
        <w:rPr>
          <w:rFonts w:asciiTheme="majorHAnsi" w:hAnsiTheme="majorHAnsi"/>
          <w:sz w:val="16"/>
          <w:szCs w:val="16"/>
          <w:lang w:val="es-ES"/>
        </w:rPr>
        <w:t xml:space="preserve">Recurso de apelación, </w:t>
      </w:r>
      <w:r w:rsidRPr="006A4D75">
        <w:rPr>
          <w:rFonts w:asciiTheme="majorHAnsi" w:hAnsiTheme="majorHAnsi"/>
          <w:sz w:val="16"/>
          <w:szCs w:val="16"/>
          <w:lang w:val="es-ES"/>
        </w:rPr>
        <w:t>7 de junio de 2001. Anexo a la comunicación del peticionario de 10 de Julio de 2008.</w:t>
      </w:r>
    </w:p>
  </w:footnote>
  <w:footnote w:id="35">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Anexo 1</w:t>
      </w:r>
      <w:r w:rsidR="00616D0A">
        <w:rPr>
          <w:rFonts w:ascii="Cambria" w:hAnsi="Cambria"/>
          <w:sz w:val="16"/>
          <w:szCs w:val="16"/>
          <w:lang w:val="es-ES"/>
        </w:rPr>
        <w:t>2</w:t>
      </w:r>
      <w:r w:rsidR="00616D0A" w:rsidRPr="00616D0A">
        <w:rPr>
          <w:rFonts w:ascii="Cambria" w:hAnsi="Cambria"/>
          <w:sz w:val="16"/>
          <w:szCs w:val="16"/>
          <w:lang w:val="es-ES"/>
        </w:rPr>
        <w:t xml:space="preserve">. </w:t>
      </w:r>
      <w:r w:rsidRPr="006A4D75">
        <w:rPr>
          <w:rFonts w:asciiTheme="majorHAnsi" w:hAnsiTheme="majorHAnsi"/>
          <w:sz w:val="16"/>
          <w:szCs w:val="16"/>
          <w:lang w:val="es-ES"/>
        </w:rPr>
        <w:t>Resolución 276 de la Cámara de lo Criminal no. 2 de corrientes, 20 de junio de 2001. Anexo a la comunicación del peticionario de 10 de julio de 2008.</w:t>
      </w:r>
    </w:p>
  </w:footnote>
  <w:footnote w:id="36">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Anexo 1</w:t>
      </w:r>
      <w:r w:rsidR="00616D0A">
        <w:rPr>
          <w:rFonts w:ascii="Cambria" w:hAnsi="Cambria"/>
          <w:sz w:val="16"/>
          <w:szCs w:val="16"/>
          <w:lang w:val="es-ES"/>
        </w:rPr>
        <w:t>2</w:t>
      </w:r>
      <w:r w:rsidR="00616D0A" w:rsidRPr="00616D0A">
        <w:rPr>
          <w:rFonts w:ascii="Cambria" w:hAnsi="Cambria"/>
          <w:sz w:val="16"/>
          <w:szCs w:val="16"/>
          <w:lang w:val="es-ES"/>
        </w:rPr>
        <w:t xml:space="preserve">. </w:t>
      </w:r>
      <w:r w:rsidRPr="006A4D75">
        <w:rPr>
          <w:rFonts w:asciiTheme="majorHAnsi" w:hAnsiTheme="majorHAnsi"/>
          <w:sz w:val="16"/>
          <w:szCs w:val="16"/>
          <w:lang w:val="es-ES"/>
        </w:rPr>
        <w:t>Resolución 276 de la Cámara de lo Criminal no. 2 de corrientes, 20 de junio de 2001. Anexo a la comunicación del peticionario de 10 de julio de 2008.</w:t>
      </w:r>
    </w:p>
  </w:footnote>
  <w:footnote w:id="37">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Anexo 1</w:t>
      </w:r>
      <w:r w:rsidR="00616D0A">
        <w:rPr>
          <w:rFonts w:ascii="Cambria" w:hAnsi="Cambria"/>
          <w:sz w:val="16"/>
          <w:szCs w:val="16"/>
          <w:lang w:val="es-ES"/>
        </w:rPr>
        <w:t>3</w:t>
      </w:r>
      <w:r w:rsidR="00616D0A" w:rsidRPr="00616D0A">
        <w:rPr>
          <w:rFonts w:ascii="Cambria" w:hAnsi="Cambria"/>
          <w:sz w:val="16"/>
          <w:szCs w:val="16"/>
          <w:lang w:val="es-ES"/>
        </w:rPr>
        <w:t xml:space="preserve">. </w:t>
      </w:r>
      <w:r w:rsidR="00616D0A">
        <w:rPr>
          <w:rFonts w:asciiTheme="majorHAnsi" w:hAnsiTheme="majorHAnsi"/>
          <w:sz w:val="16"/>
          <w:szCs w:val="16"/>
          <w:lang w:val="es-ES"/>
        </w:rPr>
        <w:t>Recurso de Casación, 18 de j</w:t>
      </w:r>
      <w:r w:rsidRPr="006A4D75">
        <w:rPr>
          <w:rFonts w:asciiTheme="majorHAnsi" w:hAnsiTheme="majorHAnsi"/>
          <w:sz w:val="16"/>
          <w:szCs w:val="16"/>
          <w:lang w:val="es-ES"/>
        </w:rPr>
        <w:t>ulio de 2001. Anexo a la comunicación del peticionario de 10 de julio de 2008.</w:t>
      </w:r>
    </w:p>
  </w:footnote>
  <w:footnote w:id="38">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Anexo 1</w:t>
      </w:r>
      <w:r w:rsidR="00616D0A">
        <w:rPr>
          <w:rFonts w:ascii="Cambria" w:hAnsi="Cambria"/>
          <w:sz w:val="16"/>
          <w:szCs w:val="16"/>
          <w:lang w:val="es-ES"/>
        </w:rPr>
        <w:t>3</w:t>
      </w:r>
      <w:r w:rsidR="00616D0A" w:rsidRPr="00616D0A">
        <w:rPr>
          <w:rFonts w:ascii="Cambria" w:hAnsi="Cambria"/>
          <w:sz w:val="16"/>
          <w:szCs w:val="16"/>
          <w:lang w:val="es-ES"/>
        </w:rPr>
        <w:t xml:space="preserve">. </w:t>
      </w:r>
      <w:r w:rsidR="00616D0A">
        <w:rPr>
          <w:rFonts w:asciiTheme="majorHAnsi" w:hAnsiTheme="majorHAnsi"/>
          <w:sz w:val="16"/>
          <w:szCs w:val="16"/>
          <w:lang w:val="es-ES"/>
        </w:rPr>
        <w:t>Recurso de Casación, 18 de j</w:t>
      </w:r>
      <w:r w:rsidRPr="006A4D75">
        <w:rPr>
          <w:rFonts w:asciiTheme="majorHAnsi" w:hAnsiTheme="majorHAnsi"/>
          <w:sz w:val="16"/>
          <w:szCs w:val="16"/>
          <w:lang w:val="es-ES"/>
        </w:rPr>
        <w:t>ulio de 2001. Anexo a la comunicación del peticionario de 10 de julio de 2008.</w:t>
      </w:r>
    </w:p>
  </w:footnote>
  <w:footnote w:id="39">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Anexo 1</w:t>
      </w:r>
      <w:r w:rsidR="00616D0A">
        <w:rPr>
          <w:rFonts w:ascii="Cambria" w:hAnsi="Cambria"/>
          <w:sz w:val="16"/>
          <w:szCs w:val="16"/>
          <w:lang w:val="es-ES"/>
        </w:rPr>
        <w:t>4</w:t>
      </w:r>
      <w:r w:rsidR="00616D0A" w:rsidRPr="00616D0A">
        <w:rPr>
          <w:rFonts w:ascii="Cambria" w:hAnsi="Cambria"/>
          <w:sz w:val="16"/>
          <w:szCs w:val="16"/>
          <w:lang w:val="es-ES"/>
        </w:rPr>
        <w:t xml:space="preserve">. </w:t>
      </w:r>
      <w:r w:rsidRPr="006A4D75">
        <w:rPr>
          <w:rFonts w:asciiTheme="majorHAnsi" w:hAnsiTheme="majorHAnsi"/>
          <w:sz w:val="16"/>
          <w:szCs w:val="16"/>
          <w:lang w:val="es-ES"/>
        </w:rPr>
        <w:t>Resolución no. 314 de la Cámara de lo Criminal no. 2 de Corrientes, 20 de julio de 2001. Anexo a la comunicación del peticionario de 10 de julio de 2008.</w:t>
      </w:r>
    </w:p>
  </w:footnote>
  <w:footnote w:id="40">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Anexo 1</w:t>
      </w:r>
      <w:r w:rsidR="00616D0A">
        <w:rPr>
          <w:rFonts w:ascii="Cambria" w:hAnsi="Cambria"/>
          <w:sz w:val="16"/>
          <w:szCs w:val="16"/>
          <w:lang w:val="es-ES"/>
        </w:rPr>
        <w:t>4</w:t>
      </w:r>
      <w:r w:rsidR="00616D0A" w:rsidRPr="00616D0A">
        <w:rPr>
          <w:rFonts w:ascii="Cambria" w:hAnsi="Cambria"/>
          <w:sz w:val="16"/>
          <w:szCs w:val="16"/>
          <w:lang w:val="es-ES"/>
        </w:rPr>
        <w:t xml:space="preserve">. </w:t>
      </w:r>
      <w:r w:rsidRPr="006A4D75">
        <w:rPr>
          <w:rFonts w:asciiTheme="majorHAnsi" w:hAnsiTheme="majorHAnsi"/>
          <w:sz w:val="16"/>
          <w:szCs w:val="16"/>
          <w:lang w:val="es-ES"/>
        </w:rPr>
        <w:t>Resolución no. 314 de la Cámara de lo Criminal no. 2 de Corrientes, 20 de julio de 2001. Anexo a la comunicación del peticionario de 10 de julio de 2008.</w:t>
      </w:r>
    </w:p>
  </w:footnote>
  <w:footnote w:id="41">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Anexo 1</w:t>
      </w:r>
      <w:r w:rsidR="00616D0A">
        <w:rPr>
          <w:rFonts w:ascii="Cambria" w:hAnsi="Cambria"/>
          <w:sz w:val="16"/>
          <w:szCs w:val="16"/>
          <w:lang w:val="es-ES"/>
        </w:rPr>
        <w:t>5</w:t>
      </w:r>
      <w:r w:rsidR="00616D0A" w:rsidRPr="00616D0A">
        <w:rPr>
          <w:rFonts w:ascii="Cambria" w:hAnsi="Cambria"/>
          <w:sz w:val="16"/>
          <w:szCs w:val="16"/>
          <w:lang w:val="es-ES"/>
        </w:rPr>
        <w:t xml:space="preserve">. </w:t>
      </w:r>
      <w:r w:rsidRPr="006A4D75">
        <w:rPr>
          <w:rFonts w:asciiTheme="majorHAnsi" w:hAnsiTheme="majorHAnsi"/>
          <w:sz w:val="16"/>
          <w:szCs w:val="16"/>
          <w:lang w:val="es-ES"/>
        </w:rPr>
        <w:t>Solicitud de Nulidad Absoluta, 20 de febrero de 2002. Anexo a la comunicación del peticionario de 10 de julio de 2008</w:t>
      </w:r>
    </w:p>
  </w:footnote>
  <w:footnote w:id="4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Anexo 1</w:t>
      </w:r>
      <w:r w:rsidR="00616D0A">
        <w:rPr>
          <w:rFonts w:ascii="Cambria" w:hAnsi="Cambria"/>
          <w:sz w:val="16"/>
          <w:szCs w:val="16"/>
          <w:lang w:val="es-ES"/>
        </w:rPr>
        <w:t>5</w:t>
      </w:r>
      <w:r w:rsidR="00616D0A" w:rsidRPr="00616D0A">
        <w:rPr>
          <w:rFonts w:ascii="Cambria" w:hAnsi="Cambria"/>
          <w:sz w:val="16"/>
          <w:szCs w:val="16"/>
          <w:lang w:val="es-ES"/>
        </w:rPr>
        <w:t xml:space="preserve">. </w:t>
      </w:r>
      <w:r w:rsidRPr="006A4D75">
        <w:rPr>
          <w:rFonts w:asciiTheme="majorHAnsi" w:hAnsiTheme="majorHAnsi"/>
          <w:sz w:val="16"/>
          <w:szCs w:val="16"/>
          <w:lang w:val="es-ES"/>
        </w:rPr>
        <w:t>Solicitud de Nulidad Absoluta, 20 de febrero de 2002. Anexo a la comunicación del peticionario de 10 de julio de 2008</w:t>
      </w:r>
    </w:p>
  </w:footnote>
  <w:footnote w:id="43">
    <w:p w:rsidR="0010796C" w:rsidRPr="006A4D75" w:rsidRDefault="0010796C"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Pr="00616D0A">
        <w:rPr>
          <w:rFonts w:ascii="Cambria" w:hAnsi="Cambria"/>
          <w:sz w:val="16"/>
          <w:szCs w:val="16"/>
          <w:lang w:val="es-ES"/>
        </w:rPr>
        <w:t>Anexo 1</w:t>
      </w:r>
      <w:r>
        <w:rPr>
          <w:rFonts w:ascii="Cambria" w:hAnsi="Cambria"/>
          <w:sz w:val="16"/>
          <w:szCs w:val="16"/>
          <w:lang w:val="es-ES"/>
        </w:rPr>
        <w:t>6</w:t>
      </w:r>
      <w:r w:rsidRPr="00616D0A">
        <w:rPr>
          <w:rFonts w:ascii="Cambria" w:hAnsi="Cambria"/>
          <w:sz w:val="16"/>
          <w:szCs w:val="16"/>
          <w:lang w:val="es-ES"/>
        </w:rPr>
        <w:t xml:space="preserve">. </w:t>
      </w:r>
      <w:r w:rsidRPr="006A4D75">
        <w:rPr>
          <w:rFonts w:asciiTheme="majorHAnsi" w:hAnsiTheme="majorHAnsi"/>
          <w:sz w:val="16"/>
          <w:szCs w:val="16"/>
          <w:lang w:val="es-ES"/>
        </w:rPr>
        <w:t>Resolución no. 22 de la Cámara de lo Criminal no. 2 de Corrientes, 22 de febrero de 2002. Anexo a la comunicación del peticionario de 10 de julio de 2008.</w:t>
      </w:r>
    </w:p>
  </w:footnote>
  <w:footnote w:id="44">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Anexo 1</w:t>
      </w:r>
      <w:r w:rsidR="00616D0A">
        <w:rPr>
          <w:rFonts w:ascii="Cambria" w:hAnsi="Cambria"/>
          <w:sz w:val="16"/>
          <w:szCs w:val="16"/>
          <w:lang w:val="es-ES"/>
        </w:rPr>
        <w:t>6</w:t>
      </w:r>
      <w:r w:rsidR="00616D0A" w:rsidRPr="00616D0A">
        <w:rPr>
          <w:rFonts w:ascii="Cambria" w:hAnsi="Cambria"/>
          <w:sz w:val="16"/>
          <w:szCs w:val="16"/>
          <w:lang w:val="es-ES"/>
        </w:rPr>
        <w:t xml:space="preserve">. </w:t>
      </w:r>
      <w:r w:rsidRPr="006A4D75">
        <w:rPr>
          <w:rFonts w:asciiTheme="majorHAnsi" w:hAnsiTheme="majorHAnsi"/>
          <w:sz w:val="16"/>
          <w:szCs w:val="16"/>
          <w:lang w:val="es-ES"/>
        </w:rPr>
        <w:t>Resolución no. 22 de la Cámara de lo Criminal no. 2 de Corrientes, 22 de febrero de 2002. Anexo a la comunicación del peticionario de 10 de julio de 2008.</w:t>
      </w:r>
    </w:p>
  </w:footnote>
  <w:footnote w:id="45">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Anexo 1</w:t>
      </w:r>
      <w:r w:rsidR="00616D0A">
        <w:rPr>
          <w:rFonts w:ascii="Cambria" w:hAnsi="Cambria"/>
          <w:sz w:val="16"/>
          <w:szCs w:val="16"/>
          <w:lang w:val="es-ES"/>
        </w:rPr>
        <w:t>7</w:t>
      </w:r>
      <w:r w:rsidR="00616D0A" w:rsidRPr="00616D0A">
        <w:rPr>
          <w:rFonts w:ascii="Cambria" w:hAnsi="Cambria"/>
          <w:sz w:val="16"/>
          <w:szCs w:val="16"/>
          <w:lang w:val="es-ES"/>
        </w:rPr>
        <w:t xml:space="preserve">. </w:t>
      </w:r>
      <w:r w:rsidRPr="006A4D75">
        <w:rPr>
          <w:rFonts w:asciiTheme="majorHAnsi" w:hAnsiTheme="majorHAnsi"/>
          <w:sz w:val="16"/>
          <w:szCs w:val="16"/>
          <w:lang w:val="es-ES"/>
        </w:rPr>
        <w:t>Recurso de casación, 08 de marzo de 200. Anexo a la comunicación del peticionario de 10 de julio de 2008.</w:t>
      </w:r>
    </w:p>
  </w:footnote>
  <w:footnote w:id="46">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Anexo 1</w:t>
      </w:r>
      <w:r w:rsidR="00616D0A">
        <w:rPr>
          <w:rFonts w:ascii="Cambria" w:hAnsi="Cambria"/>
          <w:sz w:val="16"/>
          <w:szCs w:val="16"/>
          <w:lang w:val="es-ES"/>
        </w:rPr>
        <w:t>8</w:t>
      </w:r>
      <w:r w:rsidR="00616D0A" w:rsidRPr="00616D0A">
        <w:rPr>
          <w:rFonts w:ascii="Cambria" w:hAnsi="Cambria"/>
          <w:sz w:val="16"/>
          <w:szCs w:val="16"/>
          <w:lang w:val="es-ES"/>
        </w:rPr>
        <w:t xml:space="preserve">. </w:t>
      </w:r>
      <w:r w:rsidRPr="006A4D75">
        <w:rPr>
          <w:rFonts w:asciiTheme="majorHAnsi" w:hAnsiTheme="majorHAnsi"/>
          <w:sz w:val="16"/>
          <w:szCs w:val="16"/>
          <w:lang w:val="es-ES"/>
        </w:rPr>
        <w:t>Resolución no. 134 de la Cámara de lo Criminal no. 2 de Corrientes, 14 de marzo de 2002. Anexo a la comunicación del peticionario de 10 de julio de 2008.</w:t>
      </w:r>
    </w:p>
  </w:footnote>
  <w:footnote w:id="47">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Anexo 1</w:t>
      </w:r>
      <w:r w:rsidR="00616D0A">
        <w:rPr>
          <w:rFonts w:ascii="Cambria" w:hAnsi="Cambria"/>
          <w:sz w:val="16"/>
          <w:szCs w:val="16"/>
          <w:lang w:val="es-ES"/>
        </w:rPr>
        <w:t>8</w:t>
      </w:r>
      <w:r w:rsidR="00616D0A" w:rsidRPr="00616D0A">
        <w:rPr>
          <w:rFonts w:ascii="Cambria" w:hAnsi="Cambria"/>
          <w:sz w:val="16"/>
          <w:szCs w:val="16"/>
          <w:lang w:val="es-ES"/>
        </w:rPr>
        <w:t xml:space="preserve">. </w:t>
      </w:r>
      <w:r w:rsidRPr="006A4D75">
        <w:rPr>
          <w:rFonts w:asciiTheme="majorHAnsi" w:hAnsiTheme="majorHAnsi"/>
          <w:sz w:val="16"/>
          <w:szCs w:val="16"/>
          <w:lang w:val="es-ES"/>
        </w:rPr>
        <w:t>Resolución no. 134 de la Cámara de lo Criminal no. 2 de Corrientes, 14 de marzo de 2002. Anexo a la comunicación del peticionario de 10 de julio de 2008.</w:t>
      </w:r>
    </w:p>
  </w:footnote>
  <w:footnote w:id="48">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Anexo 1</w:t>
      </w:r>
      <w:r w:rsidR="00616D0A">
        <w:rPr>
          <w:rFonts w:ascii="Cambria" w:hAnsi="Cambria"/>
          <w:sz w:val="16"/>
          <w:szCs w:val="16"/>
          <w:lang w:val="es-ES"/>
        </w:rPr>
        <w:t>9</w:t>
      </w:r>
      <w:r w:rsidR="00616D0A" w:rsidRPr="00616D0A">
        <w:rPr>
          <w:rFonts w:ascii="Cambria" w:hAnsi="Cambria"/>
          <w:sz w:val="16"/>
          <w:szCs w:val="16"/>
          <w:lang w:val="es-ES"/>
        </w:rPr>
        <w:t xml:space="preserve">. </w:t>
      </w:r>
      <w:r w:rsidRPr="006A4D75">
        <w:rPr>
          <w:rFonts w:asciiTheme="majorHAnsi" w:hAnsiTheme="majorHAnsi"/>
          <w:sz w:val="16"/>
          <w:szCs w:val="16"/>
          <w:lang w:val="es-ES"/>
        </w:rPr>
        <w:t>Recurso de queja, 19 de marzo de 2002. Anexo a la comunicación del peticionario de 10 de julio de 2008.</w:t>
      </w:r>
    </w:p>
  </w:footnote>
  <w:footnote w:id="49">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Anexo 1</w:t>
      </w:r>
      <w:r w:rsidR="00616D0A">
        <w:rPr>
          <w:rFonts w:ascii="Cambria" w:hAnsi="Cambria"/>
          <w:sz w:val="16"/>
          <w:szCs w:val="16"/>
          <w:lang w:val="es-ES"/>
        </w:rPr>
        <w:t>9</w:t>
      </w:r>
      <w:r w:rsidR="00616D0A" w:rsidRPr="00616D0A">
        <w:rPr>
          <w:rFonts w:ascii="Cambria" w:hAnsi="Cambria"/>
          <w:sz w:val="16"/>
          <w:szCs w:val="16"/>
          <w:lang w:val="es-ES"/>
        </w:rPr>
        <w:t xml:space="preserve">. </w:t>
      </w:r>
      <w:r w:rsidRPr="006A4D75">
        <w:rPr>
          <w:rFonts w:asciiTheme="majorHAnsi" w:hAnsiTheme="majorHAnsi"/>
          <w:sz w:val="16"/>
          <w:szCs w:val="16"/>
          <w:lang w:val="es-ES"/>
        </w:rPr>
        <w:t>Recurso de queja, 19 de marzo de 2002. Anexo a la comunicación del peticionario de 10 de julio de 2008.</w:t>
      </w:r>
    </w:p>
  </w:footnote>
  <w:footnote w:id="50">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 xml:space="preserve">Anexo </w:t>
      </w:r>
      <w:r w:rsidR="00616D0A">
        <w:rPr>
          <w:rFonts w:ascii="Cambria" w:hAnsi="Cambria"/>
          <w:sz w:val="16"/>
          <w:szCs w:val="16"/>
          <w:lang w:val="es-ES"/>
        </w:rPr>
        <w:t>20</w:t>
      </w:r>
      <w:r w:rsidR="00616D0A" w:rsidRPr="00616D0A">
        <w:rPr>
          <w:rFonts w:ascii="Cambria" w:hAnsi="Cambria"/>
          <w:sz w:val="16"/>
          <w:szCs w:val="16"/>
          <w:lang w:val="es-ES"/>
        </w:rPr>
        <w:t xml:space="preserve">. </w:t>
      </w:r>
      <w:r w:rsidRPr="006A4D75">
        <w:rPr>
          <w:rFonts w:asciiTheme="majorHAnsi" w:hAnsiTheme="majorHAnsi"/>
          <w:sz w:val="16"/>
          <w:szCs w:val="16"/>
          <w:lang w:val="es-ES"/>
        </w:rPr>
        <w:t>Resolución no. 32 del Superior Tribunal de Justicia de la Provincia de Corrientes, 07 de mayo de 2002. Anexo a la comunicación del peticionario de 10 de julio de 2008.</w:t>
      </w:r>
    </w:p>
  </w:footnote>
  <w:footnote w:id="51">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 xml:space="preserve">Anexo </w:t>
      </w:r>
      <w:r w:rsidR="00616D0A">
        <w:rPr>
          <w:rFonts w:ascii="Cambria" w:hAnsi="Cambria"/>
          <w:sz w:val="16"/>
          <w:szCs w:val="16"/>
          <w:lang w:val="es-ES"/>
        </w:rPr>
        <w:t>20</w:t>
      </w:r>
      <w:r w:rsidR="00616D0A" w:rsidRPr="00616D0A">
        <w:rPr>
          <w:rFonts w:ascii="Cambria" w:hAnsi="Cambria"/>
          <w:sz w:val="16"/>
          <w:szCs w:val="16"/>
          <w:lang w:val="es-ES"/>
        </w:rPr>
        <w:t xml:space="preserve">. </w:t>
      </w:r>
      <w:r w:rsidRPr="006A4D75">
        <w:rPr>
          <w:rFonts w:asciiTheme="majorHAnsi" w:hAnsiTheme="majorHAnsi"/>
          <w:sz w:val="16"/>
          <w:szCs w:val="16"/>
          <w:lang w:val="es-ES"/>
        </w:rPr>
        <w:t>Resolución no. 32 del Superior Tribunal de Justicia de la Provincia de Corrientes, 07 de mayo de 2002. Anexo a la comunicación del peticionario de 10 de julio de 2008.</w:t>
      </w:r>
    </w:p>
  </w:footnote>
  <w:footnote w:id="5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 xml:space="preserve">Anexo </w:t>
      </w:r>
      <w:r w:rsidR="00616D0A">
        <w:rPr>
          <w:rFonts w:ascii="Cambria" w:hAnsi="Cambria"/>
          <w:sz w:val="16"/>
          <w:szCs w:val="16"/>
          <w:lang w:val="es-ES"/>
        </w:rPr>
        <w:t>21</w:t>
      </w:r>
      <w:r w:rsidR="00616D0A" w:rsidRPr="00616D0A">
        <w:rPr>
          <w:rFonts w:ascii="Cambria" w:hAnsi="Cambria"/>
          <w:sz w:val="16"/>
          <w:szCs w:val="16"/>
          <w:lang w:val="es-ES"/>
        </w:rPr>
        <w:t xml:space="preserve">. </w:t>
      </w:r>
      <w:r w:rsidRPr="006A4D75">
        <w:rPr>
          <w:rFonts w:asciiTheme="majorHAnsi" w:hAnsiTheme="majorHAnsi"/>
          <w:sz w:val="16"/>
          <w:szCs w:val="16"/>
          <w:lang w:val="es-ES"/>
        </w:rPr>
        <w:t>Recusación con Causa, 25 de abril de 2002. Anexo a la comunicación del peticionario de 10 de julio de 2008.</w:t>
      </w:r>
    </w:p>
  </w:footnote>
  <w:footnote w:id="53">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 xml:space="preserve">Anexo </w:t>
      </w:r>
      <w:r w:rsidR="00616D0A">
        <w:rPr>
          <w:rFonts w:ascii="Cambria" w:hAnsi="Cambria"/>
          <w:sz w:val="16"/>
          <w:szCs w:val="16"/>
          <w:lang w:val="es-ES"/>
        </w:rPr>
        <w:t>21</w:t>
      </w:r>
      <w:r w:rsidR="00616D0A" w:rsidRPr="00616D0A">
        <w:rPr>
          <w:rFonts w:ascii="Cambria" w:hAnsi="Cambria"/>
          <w:sz w:val="16"/>
          <w:szCs w:val="16"/>
          <w:lang w:val="es-ES"/>
        </w:rPr>
        <w:t xml:space="preserve">. </w:t>
      </w:r>
      <w:r w:rsidRPr="006A4D75">
        <w:rPr>
          <w:rFonts w:asciiTheme="majorHAnsi" w:hAnsiTheme="majorHAnsi"/>
          <w:sz w:val="16"/>
          <w:szCs w:val="16"/>
          <w:lang w:val="es-ES"/>
        </w:rPr>
        <w:t>Recusación con Causa, 25 de abril de 2002. Anexo a la comunicación del peticionario de 10 de julio de 2008.</w:t>
      </w:r>
    </w:p>
  </w:footnote>
  <w:footnote w:id="54">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 xml:space="preserve">Anexo </w:t>
      </w:r>
      <w:r w:rsidR="00616D0A">
        <w:rPr>
          <w:rFonts w:ascii="Cambria" w:hAnsi="Cambria"/>
          <w:sz w:val="16"/>
          <w:szCs w:val="16"/>
          <w:lang w:val="es-ES"/>
        </w:rPr>
        <w:t>22</w:t>
      </w:r>
      <w:r w:rsidR="00616D0A" w:rsidRPr="00616D0A">
        <w:rPr>
          <w:rFonts w:ascii="Cambria" w:hAnsi="Cambria"/>
          <w:sz w:val="16"/>
          <w:szCs w:val="16"/>
          <w:lang w:val="es-ES"/>
        </w:rPr>
        <w:t xml:space="preserve">. </w:t>
      </w:r>
      <w:r w:rsidRPr="006A4D75">
        <w:rPr>
          <w:rFonts w:asciiTheme="majorHAnsi" w:hAnsiTheme="majorHAnsi"/>
          <w:sz w:val="16"/>
          <w:szCs w:val="16"/>
          <w:lang w:val="es-ES"/>
        </w:rPr>
        <w:t>Resolución no. 346 de la Cámara de lo Criminal no. 2 de Corrientes, 26 de abril de 2002. Anexo a la comunicación del peticionario de 10 de julio de 2008.</w:t>
      </w:r>
    </w:p>
  </w:footnote>
  <w:footnote w:id="55">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616D0A" w:rsidRPr="00616D0A">
        <w:rPr>
          <w:rFonts w:ascii="Cambria" w:hAnsi="Cambria"/>
          <w:sz w:val="16"/>
          <w:szCs w:val="16"/>
          <w:lang w:val="es-ES"/>
        </w:rPr>
        <w:t xml:space="preserve">Anexo </w:t>
      </w:r>
      <w:r w:rsidR="00616D0A">
        <w:rPr>
          <w:rFonts w:ascii="Cambria" w:hAnsi="Cambria"/>
          <w:sz w:val="16"/>
          <w:szCs w:val="16"/>
          <w:lang w:val="es-ES"/>
        </w:rPr>
        <w:t>22</w:t>
      </w:r>
      <w:r w:rsidR="00616D0A" w:rsidRPr="00616D0A">
        <w:rPr>
          <w:rFonts w:ascii="Cambria" w:hAnsi="Cambria"/>
          <w:sz w:val="16"/>
          <w:szCs w:val="16"/>
          <w:lang w:val="es-ES"/>
        </w:rPr>
        <w:t xml:space="preserve">. </w:t>
      </w:r>
      <w:r w:rsidRPr="006A4D75">
        <w:rPr>
          <w:rFonts w:asciiTheme="majorHAnsi" w:hAnsiTheme="majorHAnsi"/>
          <w:sz w:val="16"/>
          <w:szCs w:val="16"/>
          <w:lang w:val="es-ES"/>
        </w:rPr>
        <w:t>Resolución no. 346 de la Cámara de lo Criminal no. 2 de Corrientes, 26 de abril de 2002. Anexo a la comunicación del peticionario de 10 de julio de 2008.</w:t>
      </w:r>
    </w:p>
  </w:footnote>
  <w:footnote w:id="56">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23</w:t>
      </w:r>
      <w:r w:rsidR="0034394C" w:rsidRPr="00616D0A">
        <w:rPr>
          <w:rFonts w:ascii="Cambria" w:hAnsi="Cambria"/>
          <w:sz w:val="16"/>
          <w:szCs w:val="16"/>
          <w:lang w:val="es-ES"/>
        </w:rPr>
        <w:t xml:space="preserve">. </w:t>
      </w:r>
      <w:r w:rsidRPr="006A4D75">
        <w:rPr>
          <w:rFonts w:asciiTheme="majorHAnsi" w:hAnsiTheme="majorHAnsi"/>
          <w:sz w:val="16"/>
          <w:szCs w:val="16"/>
          <w:lang w:val="es-ES"/>
        </w:rPr>
        <w:t>Recurso de Casación, 10 de junio de 2002. Anexo a la comunicación del peticionario de 10 de julio de 2008.</w:t>
      </w:r>
    </w:p>
  </w:footnote>
  <w:footnote w:id="57">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23</w:t>
      </w:r>
      <w:r w:rsidR="0034394C" w:rsidRPr="00616D0A">
        <w:rPr>
          <w:rFonts w:ascii="Cambria" w:hAnsi="Cambria"/>
          <w:sz w:val="16"/>
          <w:szCs w:val="16"/>
          <w:lang w:val="es-ES"/>
        </w:rPr>
        <w:t xml:space="preserve">. </w:t>
      </w:r>
      <w:r w:rsidRPr="006A4D75">
        <w:rPr>
          <w:rFonts w:asciiTheme="majorHAnsi" w:hAnsiTheme="majorHAnsi"/>
          <w:sz w:val="16"/>
          <w:szCs w:val="16"/>
          <w:lang w:val="es-ES"/>
        </w:rPr>
        <w:t>Recurso de Casación, 10 de junio de 2002. Anexo a la comunicación del peticionario de 10 de julio de 2008.</w:t>
      </w:r>
    </w:p>
  </w:footnote>
  <w:footnote w:id="58">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23</w:t>
      </w:r>
      <w:r w:rsidR="0034394C" w:rsidRPr="00616D0A">
        <w:rPr>
          <w:rFonts w:ascii="Cambria" w:hAnsi="Cambria"/>
          <w:sz w:val="16"/>
          <w:szCs w:val="16"/>
          <w:lang w:val="es-ES"/>
        </w:rPr>
        <w:t xml:space="preserve">. </w:t>
      </w:r>
      <w:r w:rsidRPr="006A4D75">
        <w:rPr>
          <w:rFonts w:asciiTheme="majorHAnsi" w:hAnsiTheme="majorHAnsi"/>
          <w:sz w:val="16"/>
          <w:szCs w:val="16"/>
          <w:lang w:val="es-ES"/>
        </w:rPr>
        <w:t>Recurso de Casación, 10 de junio de 2002. Anexo a la comunicación del peticionario de 10 de julio de 2008.</w:t>
      </w:r>
    </w:p>
  </w:footnote>
  <w:footnote w:id="59">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23</w:t>
      </w:r>
      <w:r w:rsidR="0034394C" w:rsidRPr="00616D0A">
        <w:rPr>
          <w:rFonts w:ascii="Cambria" w:hAnsi="Cambria"/>
          <w:sz w:val="16"/>
          <w:szCs w:val="16"/>
          <w:lang w:val="es-ES"/>
        </w:rPr>
        <w:t xml:space="preserve">. </w:t>
      </w:r>
      <w:r w:rsidRPr="006A4D75">
        <w:rPr>
          <w:rFonts w:asciiTheme="majorHAnsi" w:hAnsiTheme="majorHAnsi"/>
          <w:sz w:val="16"/>
          <w:szCs w:val="16"/>
          <w:lang w:val="es-ES"/>
        </w:rPr>
        <w:t>Recurso de Casación, 10 de junio de 2002. Anexo a la comunicación del peticionario de 10 de julio de 2008.</w:t>
      </w:r>
    </w:p>
  </w:footnote>
  <w:footnote w:id="60">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24</w:t>
      </w:r>
      <w:r w:rsidR="0034394C" w:rsidRPr="00616D0A">
        <w:rPr>
          <w:rFonts w:ascii="Cambria" w:hAnsi="Cambria"/>
          <w:sz w:val="16"/>
          <w:szCs w:val="16"/>
          <w:lang w:val="es-ES"/>
        </w:rPr>
        <w:t xml:space="preserve">. </w:t>
      </w:r>
      <w:r w:rsidRPr="006A4D75">
        <w:rPr>
          <w:rFonts w:asciiTheme="majorHAnsi" w:hAnsiTheme="majorHAnsi"/>
          <w:sz w:val="16"/>
          <w:szCs w:val="16"/>
          <w:lang w:val="es-ES"/>
        </w:rPr>
        <w:t>Resolución no. 493 de la Cámara de lo Criminal no. 2 de Corrientes, 13 de junio de 2002. Anexo a la comunicación del peticionario de 10 de julio de 2008.</w:t>
      </w:r>
    </w:p>
  </w:footnote>
  <w:footnote w:id="61">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24</w:t>
      </w:r>
      <w:r w:rsidR="0034394C" w:rsidRPr="00616D0A">
        <w:rPr>
          <w:rFonts w:ascii="Cambria" w:hAnsi="Cambria"/>
          <w:sz w:val="16"/>
          <w:szCs w:val="16"/>
          <w:lang w:val="es-ES"/>
        </w:rPr>
        <w:t xml:space="preserve">. </w:t>
      </w:r>
      <w:r w:rsidRPr="006A4D75">
        <w:rPr>
          <w:rFonts w:asciiTheme="majorHAnsi" w:hAnsiTheme="majorHAnsi"/>
          <w:sz w:val="16"/>
          <w:szCs w:val="16"/>
          <w:lang w:val="es-ES"/>
        </w:rPr>
        <w:t>Resolución no. 493 de la Cámara de lo Criminal no. 2 de Corrientes, 13 de junio de 2002. Anexo a la comunicación del peticionario de 10 de julio de 2008.</w:t>
      </w:r>
    </w:p>
  </w:footnote>
  <w:footnote w:id="6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25</w:t>
      </w:r>
      <w:r w:rsidR="0034394C" w:rsidRPr="00616D0A">
        <w:rPr>
          <w:rFonts w:ascii="Cambria" w:hAnsi="Cambria"/>
          <w:sz w:val="16"/>
          <w:szCs w:val="16"/>
          <w:lang w:val="es-ES"/>
        </w:rPr>
        <w:t xml:space="preserve">. </w:t>
      </w:r>
      <w:r w:rsidRPr="006A4D75">
        <w:rPr>
          <w:rFonts w:asciiTheme="majorHAnsi" w:hAnsiTheme="majorHAnsi"/>
          <w:sz w:val="16"/>
          <w:szCs w:val="16"/>
          <w:lang w:val="es-ES"/>
        </w:rPr>
        <w:t>Solicitud de nulidad absoluta, 18 de febrero de 2003. Anexo a la comunicación del peticionario de 10 de julio de 2008.</w:t>
      </w:r>
    </w:p>
  </w:footnote>
  <w:footnote w:id="63">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25</w:t>
      </w:r>
      <w:r w:rsidR="0034394C" w:rsidRPr="00616D0A">
        <w:rPr>
          <w:rFonts w:ascii="Cambria" w:hAnsi="Cambria"/>
          <w:sz w:val="16"/>
          <w:szCs w:val="16"/>
          <w:lang w:val="es-ES"/>
        </w:rPr>
        <w:t xml:space="preserve">. </w:t>
      </w:r>
      <w:r w:rsidRPr="006A4D75">
        <w:rPr>
          <w:rFonts w:asciiTheme="majorHAnsi" w:hAnsiTheme="majorHAnsi"/>
          <w:sz w:val="16"/>
          <w:szCs w:val="16"/>
          <w:lang w:val="es-ES"/>
        </w:rPr>
        <w:t>Solicitud de nulidad absoluta, 18 de febrero de 2003. Anexo a la comunicación del peticionario de 10 de julio de 2008.</w:t>
      </w:r>
    </w:p>
  </w:footnote>
  <w:footnote w:id="64">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25</w:t>
      </w:r>
      <w:r w:rsidR="0034394C" w:rsidRPr="00616D0A">
        <w:rPr>
          <w:rFonts w:ascii="Cambria" w:hAnsi="Cambria"/>
          <w:sz w:val="16"/>
          <w:szCs w:val="16"/>
          <w:lang w:val="es-ES"/>
        </w:rPr>
        <w:t xml:space="preserve">. </w:t>
      </w:r>
      <w:r w:rsidRPr="006A4D75">
        <w:rPr>
          <w:rFonts w:asciiTheme="majorHAnsi" w:hAnsiTheme="majorHAnsi"/>
          <w:sz w:val="16"/>
          <w:szCs w:val="16"/>
          <w:lang w:val="es-ES"/>
        </w:rPr>
        <w:t>Solicitud de nulidad absoluta, 18 de febrero de 2003. Anexo a la comunicación del peticionario de 10 de julio de 2008.</w:t>
      </w:r>
    </w:p>
  </w:footnote>
  <w:footnote w:id="65">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26</w:t>
      </w:r>
      <w:r w:rsidR="0034394C" w:rsidRPr="00616D0A">
        <w:rPr>
          <w:rFonts w:ascii="Cambria" w:hAnsi="Cambria"/>
          <w:sz w:val="16"/>
          <w:szCs w:val="16"/>
          <w:lang w:val="es-ES"/>
        </w:rPr>
        <w:t xml:space="preserve">. </w:t>
      </w:r>
      <w:r w:rsidRPr="006A4D75">
        <w:rPr>
          <w:rFonts w:asciiTheme="majorHAnsi" w:hAnsiTheme="majorHAnsi"/>
          <w:sz w:val="16"/>
          <w:szCs w:val="16"/>
          <w:lang w:val="es-ES"/>
        </w:rPr>
        <w:t>Interposición de aclaratoria, 14 de abril de 2003. Anexo a la comunicación del peticionario de 10 de julio de 2008.</w:t>
      </w:r>
    </w:p>
  </w:footnote>
  <w:footnote w:id="66">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26</w:t>
      </w:r>
      <w:r w:rsidR="0034394C" w:rsidRPr="00616D0A">
        <w:rPr>
          <w:rFonts w:ascii="Cambria" w:hAnsi="Cambria"/>
          <w:sz w:val="16"/>
          <w:szCs w:val="16"/>
          <w:lang w:val="es-ES"/>
        </w:rPr>
        <w:t xml:space="preserve">. </w:t>
      </w:r>
      <w:r w:rsidRPr="006A4D75">
        <w:rPr>
          <w:rFonts w:asciiTheme="majorHAnsi" w:hAnsiTheme="majorHAnsi"/>
          <w:sz w:val="16"/>
          <w:szCs w:val="16"/>
          <w:lang w:val="es-ES"/>
        </w:rPr>
        <w:t>Interposición de aclaratoria, 14 de abril de 2003. Anexo a la comunicación del peticionario de 10 de julio de 2008.</w:t>
      </w:r>
    </w:p>
  </w:footnote>
  <w:footnote w:id="67">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26</w:t>
      </w:r>
      <w:r w:rsidR="0034394C" w:rsidRPr="00616D0A">
        <w:rPr>
          <w:rFonts w:ascii="Cambria" w:hAnsi="Cambria"/>
          <w:sz w:val="16"/>
          <w:szCs w:val="16"/>
          <w:lang w:val="es-ES"/>
        </w:rPr>
        <w:t xml:space="preserve">. </w:t>
      </w:r>
      <w:r w:rsidRPr="006A4D75">
        <w:rPr>
          <w:rFonts w:asciiTheme="majorHAnsi" w:hAnsiTheme="majorHAnsi"/>
          <w:sz w:val="16"/>
          <w:szCs w:val="16"/>
          <w:lang w:val="es-ES"/>
        </w:rPr>
        <w:t>Interposición de aclaratoria, 14 de abril de 2003. Anexo a la comunicación del peticionario de 10 de julio de 2008.</w:t>
      </w:r>
    </w:p>
  </w:footnote>
  <w:footnote w:id="68">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27</w:t>
      </w:r>
      <w:r w:rsidR="0034394C" w:rsidRPr="00616D0A">
        <w:rPr>
          <w:rFonts w:ascii="Cambria" w:hAnsi="Cambria"/>
          <w:sz w:val="16"/>
          <w:szCs w:val="16"/>
          <w:lang w:val="es-ES"/>
        </w:rPr>
        <w:t xml:space="preserve">. </w:t>
      </w:r>
      <w:r w:rsidRPr="006A4D75">
        <w:rPr>
          <w:rFonts w:asciiTheme="majorHAnsi" w:hAnsiTheme="majorHAnsi"/>
          <w:sz w:val="16"/>
          <w:szCs w:val="16"/>
          <w:lang w:val="es-ES"/>
        </w:rPr>
        <w:t xml:space="preserve">Resolución 3550 del Superior Tribunal de Justicia de Corrientes, 07 de mayo de 2003. Anexo a la comunicación del peticionario de 10 de Julio de 2008. </w:t>
      </w:r>
    </w:p>
  </w:footnote>
  <w:footnote w:id="69">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27</w:t>
      </w:r>
      <w:r w:rsidR="0034394C" w:rsidRPr="00616D0A">
        <w:rPr>
          <w:rFonts w:ascii="Cambria" w:hAnsi="Cambria"/>
          <w:sz w:val="16"/>
          <w:szCs w:val="16"/>
          <w:lang w:val="es-ES"/>
        </w:rPr>
        <w:t xml:space="preserve">. </w:t>
      </w:r>
      <w:r w:rsidRPr="006A4D75">
        <w:rPr>
          <w:rFonts w:asciiTheme="majorHAnsi" w:hAnsiTheme="majorHAnsi"/>
          <w:sz w:val="16"/>
          <w:szCs w:val="16"/>
          <w:lang w:val="es-ES"/>
        </w:rPr>
        <w:t xml:space="preserve">Resolución 3550 del Superior Tribunal de Justicia de Corrientes, 07 de mayo de 2003. Anexo a la comunicación del peticionario de 10 de Julio de 2008. </w:t>
      </w:r>
    </w:p>
  </w:footnote>
  <w:footnote w:id="70">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28</w:t>
      </w:r>
      <w:r w:rsidR="0034394C" w:rsidRPr="00616D0A">
        <w:rPr>
          <w:rFonts w:ascii="Cambria" w:hAnsi="Cambria"/>
          <w:sz w:val="16"/>
          <w:szCs w:val="16"/>
          <w:lang w:val="es-ES"/>
        </w:rPr>
        <w:t xml:space="preserve">. </w:t>
      </w:r>
      <w:r w:rsidRPr="006A4D75">
        <w:rPr>
          <w:rFonts w:asciiTheme="majorHAnsi" w:hAnsiTheme="majorHAnsi"/>
          <w:sz w:val="16"/>
          <w:szCs w:val="16"/>
          <w:lang w:val="es-ES"/>
        </w:rPr>
        <w:t>Recurso de revocatoria, 14 de mayo de 2003. Anexo a la comunicación del peticionario de 10 de julio de 2008.</w:t>
      </w:r>
    </w:p>
  </w:footnote>
  <w:footnote w:id="71">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29</w:t>
      </w:r>
      <w:r w:rsidR="0034394C" w:rsidRPr="00616D0A">
        <w:rPr>
          <w:rFonts w:ascii="Cambria" w:hAnsi="Cambria"/>
          <w:sz w:val="16"/>
          <w:szCs w:val="16"/>
          <w:lang w:val="es-ES"/>
        </w:rPr>
        <w:t xml:space="preserve">. </w:t>
      </w:r>
      <w:r w:rsidRPr="006A4D75">
        <w:rPr>
          <w:rFonts w:asciiTheme="majorHAnsi" w:hAnsiTheme="majorHAnsi"/>
          <w:sz w:val="16"/>
          <w:szCs w:val="16"/>
          <w:lang w:val="es-ES"/>
        </w:rPr>
        <w:t>Vista del Fiscal General de Corrientes al Superior Tribunal de Justicia, 02 de junio de 2003. Anexo a la comunicación del peticionario de julio de 2008.</w:t>
      </w:r>
    </w:p>
  </w:footnote>
  <w:footnote w:id="7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29</w:t>
      </w:r>
      <w:r w:rsidR="0034394C" w:rsidRPr="00616D0A">
        <w:rPr>
          <w:rFonts w:ascii="Cambria" w:hAnsi="Cambria"/>
          <w:sz w:val="16"/>
          <w:szCs w:val="16"/>
          <w:lang w:val="es-ES"/>
        </w:rPr>
        <w:t xml:space="preserve">. </w:t>
      </w:r>
      <w:r w:rsidRPr="006A4D75">
        <w:rPr>
          <w:rFonts w:asciiTheme="majorHAnsi" w:hAnsiTheme="majorHAnsi"/>
          <w:sz w:val="16"/>
          <w:szCs w:val="16"/>
          <w:lang w:val="es-ES"/>
        </w:rPr>
        <w:t>Vista del Fiscal General de Corrientes al Superior Tribunal de Justicia, 02 de junio de 2003. Anexo a la comunicación del peticionario de julio de 2008.</w:t>
      </w:r>
    </w:p>
  </w:footnote>
  <w:footnote w:id="73">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29</w:t>
      </w:r>
      <w:r w:rsidR="0034394C" w:rsidRPr="00616D0A">
        <w:rPr>
          <w:rFonts w:ascii="Cambria" w:hAnsi="Cambria"/>
          <w:sz w:val="16"/>
          <w:szCs w:val="16"/>
          <w:lang w:val="es-ES"/>
        </w:rPr>
        <w:t xml:space="preserve">. </w:t>
      </w:r>
      <w:r w:rsidRPr="006A4D75">
        <w:rPr>
          <w:rFonts w:asciiTheme="majorHAnsi" w:hAnsiTheme="majorHAnsi"/>
          <w:sz w:val="16"/>
          <w:szCs w:val="16"/>
          <w:lang w:val="es-ES"/>
        </w:rPr>
        <w:t>Vista del Fiscal General de Corrientes al Superior Tribunal de Justicia, 02 de junio de 2003. Anexo a la comunicación del peticionario de julio de 2008.</w:t>
      </w:r>
    </w:p>
  </w:footnote>
  <w:footnote w:id="74">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30</w:t>
      </w:r>
      <w:r w:rsidR="0034394C" w:rsidRPr="00616D0A">
        <w:rPr>
          <w:rFonts w:ascii="Cambria" w:hAnsi="Cambria"/>
          <w:sz w:val="16"/>
          <w:szCs w:val="16"/>
          <w:lang w:val="es-ES"/>
        </w:rPr>
        <w:t xml:space="preserve">. </w:t>
      </w:r>
      <w:r w:rsidRPr="006A4D75">
        <w:rPr>
          <w:rFonts w:asciiTheme="majorHAnsi" w:hAnsiTheme="majorHAnsi"/>
          <w:sz w:val="16"/>
          <w:szCs w:val="16"/>
          <w:lang w:val="es-ES"/>
        </w:rPr>
        <w:t>Decisorio no. 33 del Superior Tribunal de Justicia, 11 de junio de 2003. Anexo a la comunicación del peticionario de 10 de julio de 2008.</w:t>
      </w:r>
    </w:p>
  </w:footnote>
  <w:footnote w:id="75">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30</w:t>
      </w:r>
      <w:r w:rsidR="0034394C" w:rsidRPr="00616D0A">
        <w:rPr>
          <w:rFonts w:ascii="Cambria" w:hAnsi="Cambria"/>
          <w:sz w:val="16"/>
          <w:szCs w:val="16"/>
          <w:lang w:val="es-ES"/>
        </w:rPr>
        <w:t xml:space="preserve">. </w:t>
      </w:r>
      <w:r w:rsidRPr="006A4D75">
        <w:rPr>
          <w:rFonts w:asciiTheme="majorHAnsi" w:hAnsiTheme="majorHAnsi"/>
          <w:sz w:val="16"/>
          <w:szCs w:val="16"/>
          <w:lang w:val="es-ES"/>
        </w:rPr>
        <w:t>Decisorio no. 33 del Superior Tribunal de Justicia, 11 de junio de 2003. Anexo a la comunicación del peticionario de 10 de julio de 2008.</w:t>
      </w:r>
    </w:p>
  </w:footnote>
  <w:footnote w:id="76">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30</w:t>
      </w:r>
      <w:r w:rsidR="0034394C" w:rsidRPr="00616D0A">
        <w:rPr>
          <w:rFonts w:ascii="Cambria" w:hAnsi="Cambria"/>
          <w:sz w:val="16"/>
          <w:szCs w:val="16"/>
          <w:lang w:val="es-ES"/>
        </w:rPr>
        <w:t xml:space="preserve">. </w:t>
      </w:r>
      <w:r w:rsidRPr="006A4D75">
        <w:rPr>
          <w:rFonts w:asciiTheme="majorHAnsi" w:hAnsiTheme="majorHAnsi"/>
          <w:sz w:val="16"/>
          <w:szCs w:val="16"/>
          <w:lang w:val="es-ES"/>
        </w:rPr>
        <w:t>Decisorio no. 33 del Superior Tribunal de Justicia, 11 de junio de 2003. Anexo a la comunicación del peticionario de 10 de julio de 2008.</w:t>
      </w:r>
    </w:p>
  </w:footnote>
  <w:footnote w:id="77">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30</w:t>
      </w:r>
      <w:r w:rsidR="0034394C" w:rsidRPr="00616D0A">
        <w:rPr>
          <w:rFonts w:ascii="Cambria" w:hAnsi="Cambria"/>
          <w:sz w:val="16"/>
          <w:szCs w:val="16"/>
          <w:lang w:val="es-ES"/>
        </w:rPr>
        <w:t xml:space="preserve">. </w:t>
      </w:r>
      <w:r w:rsidRPr="006A4D75">
        <w:rPr>
          <w:rFonts w:asciiTheme="majorHAnsi" w:hAnsiTheme="majorHAnsi"/>
          <w:sz w:val="16"/>
          <w:szCs w:val="16"/>
          <w:lang w:val="es-ES"/>
        </w:rPr>
        <w:t>Decisorio no. 33 del Superior Tribunal de Justicia, 11 de junio de 2003. Anexo a la comunicación del peticionario de 10 de julio de 2008.</w:t>
      </w:r>
    </w:p>
  </w:footnote>
  <w:footnote w:id="78">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31</w:t>
      </w:r>
      <w:r w:rsidR="0034394C" w:rsidRPr="00616D0A">
        <w:rPr>
          <w:rFonts w:ascii="Cambria" w:hAnsi="Cambria"/>
          <w:sz w:val="16"/>
          <w:szCs w:val="16"/>
          <w:lang w:val="es-ES"/>
        </w:rPr>
        <w:t xml:space="preserve">. </w:t>
      </w:r>
      <w:r w:rsidRPr="006A4D75">
        <w:rPr>
          <w:rFonts w:asciiTheme="majorHAnsi" w:hAnsiTheme="majorHAnsi"/>
          <w:sz w:val="16"/>
          <w:szCs w:val="16"/>
          <w:lang w:val="es-ES"/>
        </w:rPr>
        <w:t xml:space="preserve">Recurso extraordinario, 26 de junio de 2003. Anexo a la comunicación del peticionario de 10 de julio de 2008. </w:t>
      </w:r>
    </w:p>
  </w:footnote>
  <w:footnote w:id="79">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31</w:t>
      </w:r>
      <w:r w:rsidR="0034394C" w:rsidRPr="00616D0A">
        <w:rPr>
          <w:rFonts w:ascii="Cambria" w:hAnsi="Cambria"/>
          <w:sz w:val="16"/>
          <w:szCs w:val="16"/>
          <w:lang w:val="es-ES"/>
        </w:rPr>
        <w:t xml:space="preserve">. </w:t>
      </w:r>
      <w:r w:rsidRPr="006A4D75">
        <w:rPr>
          <w:rFonts w:asciiTheme="majorHAnsi" w:hAnsiTheme="majorHAnsi"/>
          <w:sz w:val="16"/>
          <w:szCs w:val="16"/>
          <w:lang w:val="es-ES"/>
        </w:rPr>
        <w:t>Recurso extraordinario, 26 de junio de 2003. Anexo a la comunicación del peticionario de 10 de julio de 2008.</w:t>
      </w:r>
    </w:p>
  </w:footnote>
  <w:footnote w:id="80">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32</w:t>
      </w:r>
      <w:r w:rsidR="0034394C" w:rsidRPr="00616D0A">
        <w:rPr>
          <w:rFonts w:ascii="Cambria" w:hAnsi="Cambria"/>
          <w:sz w:val="16"/>
          <w:szCs w:val="16"/>
          <w:lang w:val="es-ES"/>
        </w:rPr>
        <w:t xml:space="preserve">. </w:t>
      </w:r>
      <w:r w:rsidRPr="006A4D75">
        <w:rPr>
          <w:rFonts w:asciiTheme="majorHAnsi" w:hAnsiTheme="majorHAnsi"/>
          <w:sz w:val="16"/>
          <w:szCs w:val="16"/>
          <w:lang w:val="es-ES"/>
        </w:rPr>
        <w:t>Petición de Nulidad Absoluta, 07 de Agosto de 2003. Anexo a la comunicación del peticionario de 10 de julio de 2008. Recurso de reposición, 22 de Agosto de 2003. Anexo a la comunicación del peticionario de 10 de julio de 2008.</w:t>
      </w:r>
    </w:p>
  </w:footnote>
  <w:footnote w:id="81">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33</w:t>
      </w:r>
      <w:r w:rsidR="0034394C" w:rsidRPr="00616D0A">
        <w:rPr>
          <w:rFonts w:ascii="Cambria" w:hAnsi="Cambria"/>
          <w:sz w:val="16"/>
          <w:szCs w:val="16"/>
          <w:lang w:val="es-ES"/>
        </w:rPr>
        <w:t xml:space="preserve">. </w:t>
      </w:r>
      <w:r w:rsidRPr="006A4D75">
        <w:rPr>
          <w:rFonts w:asciiTheme="majorHAnsi" w:hAnsiTheme="majorHAnsi"/>
          <w:sz w:val="16"/>
          <w:szCs w:val="16"/>
          <w:lang w:val="es-ES"/>
        </w:rPr>
        <w:t>Sentencia no. 23 del Superior Tribunal de Justicia de Corrientes, 07 de abril de 2004. Anexo a la comunicación del peticionario de 10 de julio de 2008.</w:t>
      </w:r>
    </w:p>
  </w:footnote>
  <w:footnote w:id="8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34394C" w:rsidRPr="00616D0A">
        <w:rPr>
          <w:rFonts w:ascii="Cambria" w:hAnsi="Cambria"/>
          <w:sz w:val="16"/>
          <w:szCs w:val="16"/>
          <w:lang w:val="es-ES"/>
        </w:rPr>
        <w:t xml:space="preserve">Anexo </w:t>
      </w:r>
      <w:r w:rsidR="0034394C">
        <w:rPr>
          <w:rFonts w:ascii="Cambria" w:hAnsi="Cambria"/>
          <w:sz w:val="16"/>
          <w:szCs w:val="16"/>
          <w:lang w:val="es-ES"/>
        </w:rPr>
        <w:t>33</w:t>
      </w:r>
      <w:r w:rsidR="0034394C" w:rsidRPr="00616D0A">
        <w:rPr>
          <w:rFonts w:ascii="Cambria" w:hAnsi="Cambria"/>
          <w:sz w:val="16"/>
          <w:szCs w:val="16"/>
          <w:lang w:val="es-ES"/>
        </w:rPr>
        <w:t xml:space="preserve">. </w:t>
      </w:r>
      <w:r w:rsidRPr="006A4D75">
        <w:rPr>
          <w:rFonts w:asciiTheme="majorHAnsi" w:hAnsiTheme="majorHAnsi"/>
          <w:sz w:val="16"/>
          <w:szCs w:val="16"/>
          <w:lang w:val="es-ES"/>
        </w:rPr>
        <w:t>Sentencia no. 23 del Superior Tribunal de Justicia de Corrientes, 07 de abril de 2004. Anexo a la comunicación del peticionario de 10 de julio de 2008.</w:t>
      </w:r>
    </w:p>
  </w:footnote>
  <w:footnote w:id="83">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B77418" w:rsidRPr="00616D0A">
        <w:rPr>
          <w:rFonts w:ascii="Cambria" w:hAnsi="Cambria"/>
          <w:sz w:val="16"/>
          <w:szCs w:val="16"/>
          <w:lang w:val="es-ES"/>
        </w:rPr>
        <w:t xml:space="preserve">Anexo </w:t>
      </w:r>
      <w:r w:rsidR="00B77418">
        <w:rPr>
          <w:rFonts w:ascii="Cambria" w:hAnsi="Cambria"/>
          <w:sz w:val="16"/>
          <w:szCs w:val="16"/>
          <w:lang w:val="es-ES"/>
        </w:rPr>
        <w:t>33</w:t>
      </w:r>
      <w:r w:rsidR="00B77418" w:rsidRPr="00616D0A">
        <w:rPr>
          <w:rFonts w:ascii="Cambria" w:hAnsi="Cambria"/>
          <w:sz w:val="16"/>
          <w:szCs w:val="16"/>
          <w:lang w:val="es-ES"/>
        </w:rPr>
        <w:t xml:space="preserve">. </w:t>
      </w:r>
      <w:r w:rsidRPr="006A4D75">
        <w:rPr>
          <w:rFonts w:asciiTheme="majorHAnsi" w:hAnsiTheme="majorHAnsi"/>
          <w:sz w:val="16"/>
          <w:szCs w:val="16"/>
          <w:lang w:val="es-ES"/>
        </w:rPr>
        <w:t>Sentencia no. 23 del Superior Tribunal de Justicia de Corrientes, 07 de abril de 2004. Anexo a la comunicación del peticionario de 10 de julio de 2008.</w:t>
      </w:r>
      <w:r w:rsidRPr="006A4D75">
        <w:rPr>
          <w:rFonts w:asciiTheme="majorHAnsi" w:hAnsiTheme="majorHAnsi"/>
          <w:sz w:val="16"/>
          <w:szCs w:val="16"/>
          <w:lang w:val="es-ES"/>
        </w:rPr>
        <w:tab/>
      </w:r>
    </w:p>
  </w:footnote>
  <w:footnote w:id="84">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B77418" w:rsidRPr="00616D0A">
        <w:rPr>
          <w:rFonts w:ascii="Cambria" w:hAnsi="Cambria"/>
          <w:sz w:val="16"/>
          <w:szCs w:val="16"/>
          <w:lang w:val="es-ES"/>
        </w:rPr>
        <w:t xml:space="preserve">Anexo </w:t>
      </w:r>
      <w:r w:rsidR="00B77418">
        <w:rPr>
          <w:rFonts w:ascii="Cambria" w:hAnsi="Cambria"/>
          <w:sz w:val="16"/>
          <w:szCs w:val="16"/>
          <w:lang w:val="es-ES"/>
        </w:rPr>
        <w:t>33</w:t>
      </w:r>
      <w:r w:rsidR="00B77418" w:rsidRPr="00616D0A">
        <w:rPr>
          <w:rFonts w:ascii="Cambria" w:hAnsi="Cambria"/>
          <w:sz w:val="16"/>
          <w:szCs w:val="16"/>
          <w:lang w:val="es-ES"/>
        </w:rPr>
        <w:t xml:space="preserve">. </w:t>
      </w:r>
      <w:r w:rsidRPr="006A4D75">
        <w:rPr>
          <w:rFonts w:asciiTheme="majorHAnsi" w:hAnsiTheme="majorHAnsi"/>
          <w:sz w:val="16"/>
          <w:szCs w:val="16"/>
          <w:lang w:val="es-ES"/>
        </w:rPr>
        <w:t>Sentencia no. 23 del Superior Tribunal de Justicia de Corrientes, 07 de abril de 2004. Anexo a la comunicación del peticionario de 10 de julio de 2008.</w:t>
      </w:r>
    </w:p>
  </w:footnote>
  <w:footnote w:id="85">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B77418" w:rsidRPr="00616D0A">
        <w:rPr>
          <w:rFonts w:ascii="Cambria" w:hAnsi="Cambria"/>
          <w:sz w:val="16"/>
          <w:szCs w:val="16"/>
          <w:lang w:val="es-ES"/>
        </w:rPr>
        <w:t xml:space="preserve">Anexo </w:t>
      </w:r>
      <w:r w:rsidR="00B77418">
        <w:rPr>
          <w:rFonts w:ascii="Cambria" w:hAnsi="Cambria"/>
          <w:sz w:val="16"/>
          <w:szCs w:val="16"/>
          <w:lang w:val="es-ES"/>
        </w:rPr>
        <w:t>34</w:t>
      </w:r>
      <w:r w:rsidR="00B77418" w:rsidRPr="00616D0A">
        <w:rPr>
          <w:rFonts w:ascii="Cambria" w:hAnsi="Cambria"/>
          <w:sz w:val="16"/>
          <w:szCs w:val="16"/>
          <w:lang w:val="es-ES"/>
        </w:rPr>
        <w:t xml:space="preserve">. </w:t>
      </w:r>
      <w:r w:rsidRPr="006A4D75">
        <w:rPr>
          <w:rFonts w:asciiTheme="majorHAnsi" w:hAnsiTheme="majorHAnsi"/>
          <w:sz w:val="16"/>
          <w:szCs w:val="16"/>
          <w:lang w:val="es-ES"/>
        </w:rPr>
        <w:t>Recurso extraordinario federal, 26 de abril de 2004. Anexo a la comunicación del peticionario de 10 de julio de 2008.</w:t>
      </w:r>
    </w:p>
  </w:footnote>
  <w:footnote w:id="86">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B77418" w:rsidRPr="00616D0A">
        <w:rPr>
          <w:rFonts w:ascii="Cambria" w:hAnsi="Cambria"/>
          <w:sz w:val="16"/>
          <w:szCs w:val="16"/>
          <w:lang w:val="es-ES"/>
        </w:rPr>
        <w:t xml:space="preserve">Anexo </w:t>
      </w:r>
      <w:r w:rsidR="00B77418">
        <w:rPr>
          <w:rFonts w:ascii="Cambria" w:hAnsi="Cambria"/>
          <w:sz w:val="16"/>
          <w:szCs w:val="16"/>
          <w:lang w:val="es-ES"/>
        </w:rPr>
        <w:t>34</w:t>
      </w:r>
      <w:r w:rsidR="00B77418" w:rsidRPr="00616D0A">
        <w:rPr>
          <w:rFonts w:ascii="Cambria" w:hAnsi="Cambria"/>
          <w:sz w:val="16"/>
          <w:szCs w:val="16"/>
          <w:lang w:val="es-ES"/>
        </w:rPr>
        <w:t xml:space="preserve">. </w:t>
      </w:r>
      <w:r w:rsidRPr="006A4D75">
        <w:rPr>
          <w:rFonts w:asciiTheme="majorHAnsi" w:hAnsiTheme="majorHAnsi"/>
          <w:sz w:val="16"/>
          <w:szCs w:val="16"/>
          <w:lang w:val="es-ES"/>
        </w:rPr>
        <w:t>Recurso extraordinario federal, 26 de abril de 2004. Anexo a la comunicación del peticionario de 10 de julio de 2008.</w:t>
      </w:r>
    </w:p>
  </w:footnote>
  <w:footnote w:id="87">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B77418" w:rsidRPr="00616D0A">
        <w:rPr>
          <w:rFonts w:ascii="Cambria" w:hAnsi="Cambria"/>
          <w:sz w:val="16"/>
          <w:szCs w:val="16"/>
          <w:lang w:val="es-ES"/>
        </w:rPr>
        <w:t xml:space="preserve">Anexo </w:t>
      </w:r>
      <w:r w:rsidR="00B77418">
        <w:rPr>
          <w:rFonts w:ascii="Cambria" w:hAnsi="Cambria"/>
          <w:sz w:val="16"/>
          <w:szCs w:val="16"/>
          <w:lang w:val="es-ES"/>
        </w:rPr>
        <w:t>35</w:t>
      </w:r>
      <w:r w:rsidR="00B77418" w:rsidRPr="00616D0A">
        <w:rPr>
          <w:rFonts w:ascii="Cambria" w:hAnsi="Cambria"/>
          <w:sz w:val="16"/>
          <w:szCs w:val="16"/>
          <w:lang w:val="es-ES"/>
        </w:rPr>
        <w:t xml:space="preserve">. </w:t>
      </w:r>
      <w:r w:rsidRPr="006A4D75">
        <w:rPr>
          <w:rFonts w:asciiTheme="majorHAnsi" w:hAnsiTheme="majorHAnsi"/>
          <w:sz w:val="16"/>
          <w:szCs w:val="16"/>
          <w:lang w:val="es-ES"/>
        </w:rPr>
        <w:t>Resolución no. 142 del Superior Tribunal de Justicia de Corrientes, 15 de septiembre de 2004. Anexo a la comunicación del peticionario de 10 de julio de 2008.</w:t>
      </w:r>
    </w:p>
  </w:footnote>
  <w:footnote w:id="88">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B77418" w:rsidRPr="00616D0A">
        <w:rPr>
          <w:rFonts w:ascii="Cambria" w:hAnsi="Cambria"/>
          <w:sz w:val="16"/>
          <w:szCs w:val="16"/>
          <w:lang w:val="es-ES"/>
        </w:rPr>
        <w:t xml:space="preserve">Anexo </w:t>
      </w:r>
      <w:r w:rsidR="00B77418">
        <w:rPr>
          <w:rFonts w:ascii="Cambria" w:hAnsi="Cambria"/>
          <w:sz w:val="16"/>
          <w:szCs w:val="16"/>
          <w:lang w:val="es-ES"/>
        </w:rPr>
        <w:t>36</w:t>
      </w:r>
      <w:r w:rsidR="00B77418" w:rsidRPr="00616D0A">
        <w:rPr>
          <w:rFonts w:ascii="Cambria" w:hAnsi="Cambria"/>
          <w:sz w:val="16"/>
          <w:szCs w:val="16"/>
          <w:lang w:val="es-ES"/>
        </w:rPr>
        <w:t xml:space="preserve">. </w:t>
      </w:r>
      <w:r w:rsidRPr="006A4D75">
        <w:rPr>
          <w:rFonts w:asciiTheme="majorHAnsi" w:hAnsiTheme="majorHAnsi"/>
          <w:sz w:val="16"/>
          <w:szCs w:val="16"/>
          <w:lang w:val="es-ES"/>
        </w:rPr>
        <w:t>Dictamen del Procurador General de la Nación, 31 de octubre de 2005. Anexo a la comunicación del peticionario de 10 de julio de 2008.</w:t>
      </w:r>
    </w:p>
  </w:footnote>
  <w:footnote w:id="89">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B77418" w:rsidRPr="00616D0A">
        <w:rPr>
          <w:rFonts w:ascii="Cambria" w:hAnsi="Cambria"/>
          <w:sz w:val="16"/>
          <w:szCs w:val="16"/>
          <w:lang w:val="es-ES"/>
        </w:rPr>
        <w:t xml:space="preserve">Anexo </w:t>
      </w:r>
      <w:r w:rsidR="00B77418">
        <w:rPr>
          <w:rFonts w:ascii="Cambria" w:hAnsi="Cambria"/>
          <w:sz w:val="16"/>
          <w:szCs w:val="16"/>
          <w:lang w:val="es-ES"/>
        </w:rPr>
        <w:t>36</w:t>
      </w:r>
      <w:r w:rsidR="00B77418" w:rsidRPr="00616D0A">
        <w:rPr>
          <w:rFonts w:ascii="Cambria" w:hAnsi="Cambria"/>
          <w:sz w:val="16"/>
          <w:szCs w:val="16"/>
          <w:lang w:val="es-ES"/>
        </w:rPr>
        <w:t xml:space="preserve">. </w:t>
      </w:r>
      <w:r w:rsidRPr="006A4D75">
        <w:rPr>
          <w:rFonts w:asciiTheme="majorHAnsi" w:hAnsiTheme="majorHAnsi"/>
          <w:sz w:val="16"/>
          <w:szCs w:val="16"/>
          <w:lang w:val="es-ES"/>
        </w:rPr>
        <w:t>Dictamen del Procurador General de la Nación, 31 de octubre de 2005. Anexo a la comunicación del peticionario de 10 de julio de 2008.</w:t>
      </w:r>
    </w:p>
  </w:footnote>
  <w:footnote w:id="90">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B77418" w:rsidRPr="00616D0A">
        <w:rPr>
          <w:rFonts w:ascii="Cambria" w:hAnsi="Cambria"/>
          <w:sz w:val="16"/>
          <w:szCs w:val="16"/>
          <w:lang w:val="es-ES"/>
        </w:rPr>
        <w:t xml:space="preserve">Anexo </w:t>
      </w:r>
      <w:r w:rsidR="00B77418">
        <w:rPr>
          <w:rFonts w:ascii="Cambria" w:hAnsi="Cambria"/>
          <w:sz w:val="16"/>
          <w:szCs w:val="16"/>
          <w:lang w:val="es-ES"/>
        </w:rPr>
        <w:t>36</w:t>
      </w:r>
      <w:r w:rsidR="00B77418" w:rsidRPr="00616D0A">
        <w:rPr>
          <w:rFonts w:ascii="Cambria" w:hAnsi="Cambria"/>
          <w:sz w:val="16"/>
          <w:szCs w:val="16"/>
          <w:lang w:val="es-ES"/>
        </w:rPr>
        <w:t xml:space="preserve">. </w:t>
      </w:r>
      <w:r w:rsidRPr="006A4D75">
        <w:rPr>
          <w:rFonts w:asciiTheme="majorHAnsi" w:hAnsiTheme="majorHAnsi"/>
          <w:sz w:val="16"/>
          <w:szCs w:val="16"/>
          <w:lang w:val="es-ES"/>
        </w:rPr>
        <w:t>Dictamen del Procurador General de la Nación, 31 de octubre de 2005. Anexo a la comunicación del peticionario de 10 de julio de 2008.</w:t>
      </w:r>
    </w:p>
  </w:footnote>
  <w:footnote w:id="91">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B77418" w:rsidRPr="00616D0A">
        <w:rPr>
          <w:rFonts w:ascii="Cambria" w:hAnsi="Cambria"/>
          <w:sz w:val="16"/>
          <w:szCs w:val="16"/>
          <w:lang w:val="es-ES"/>
        </w:rPr>
        <w:t xml:space="preserve">Anexo </w:t>
      </w:r>
      <w:r w:rsidR="00B77418">
        <w:rPr>
          <w:rFonts w:ascii="Cambria" w:hAnsi="Cambria"/>
          <w:sz w:val="16"/>
          <w:szCs w:val="16"/>
          <w:lang w:val="es-ES"/>
        </w:rPr>
        <w:t>37</w:t>
      </w:r>
      <w:r w:rsidR="00B77418" w:rsidRPr="00616D0A">
        <w:rPr>
          <w:rFonts w:ascii="Cambria" w:hAnsi="Cambria"/>
          <w:sz w:val="16"/>
          <w:szCs w:val="16"/>
          <w:lang w:val="es-ES"/>
        </w:rPr>
        <w:t xml:space="preserve">. </w:t>
      </w:r>
      <w:r w:rsidRPr="006A4D75">
        <w:rPr>
          <w:rFonts w:asciiTheme="majorHAnsi" w:hAnsiTheme="majorHAnsi"/>
          <w:sz w:val="16"/>
          <w:szCs w:val="16"/>
          <w:lang w:val="es-ES"/>
        </w:rPr>
        <w:t xml:space="preserve">Sentencia de la Corte Suprema de Justicia Argentina, 13 de febrero de 2007. Anexo a la comunicación del peticionario de 10 de julio de 2008. </w:t>
      </w:r>
    </w:p>
  </w:footnote>
  <w:footnote w:id="9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B77418" w:rsidRPr="00616D0A">
        <w:rPr>
          <w:rFonts w:ascii="Cambria" w:hAnsi="Cambria"/>
          <w:sz w:val="16"/>
          <w:szCs w:val="16"/>
          <w:lang w:val="es-ES"/>
        </w:rPr>
        <w:t xml:space="preserve">Anexo </w:t>
      </w:r>
      <w:r w:rsidR="00B77418">
        <w:rPr>
          <w:rFonts w:ascii="Cambria" w:hAnsi="Cambria"/>
          <w:sz w:val="16"/>
          <w:szCs w:val="16"/>
          <w:lang w:val="es-ES"/>
        </w:rPr>
        <w:t>38</w:t>
      </w:r>
      <w:r w:rsidR="00B77418" w:rsidRPr="00616D0A">
        <w:rPr>
          <w:rFonts w:ascii="Cambria" w:hAnsi="Cambria"/>
          <w:sz w:val="16"/>
          <w:szCs w:val="16"/>
          <w:lang w:val="es-ES"/>
        </w:rPr>
        <w:t xml:space="preserve">. </w:t>
      </w:r>
      <w:r w:rsidRPr="006A4D75">
        <w:rPr>
          <w:rFonts w:asciiTheme="majorHAnsi" w:hAnsiTheme="majorHAnsi"/>
          <w:sz w:val="16"/>
          <w:szCs w:val="16"/>
          <w:lang w:val="es-ES"/>
        </w:rPr>
        <w:t>Incidente de Nulidad con Apelación en Subsidio, 27 de julio de 2000. Anexo a la comunicación del peticionario de 10 de julio de 2008.</w:t>
      </w:r>
    </w:p>
  </w:footnote>
  <w:footnote w:id="93">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B77418" w:rsidRPr="00616D0A">
        <w:rPr>
          <w:rFonts w:ascii="Cambria" w:hAnsi="Cambria"/>
          <w:sz w:val="16"/>
          <w:szCs w:val="16"/>
          <w:lang w:val="es-ES"/>
        </w:rPr>
        <w:t xml:space="preserve">Anexo </w:t>
      </w:r>
      <w:r w:rsidR="00B77418">
        <w:rPr>
          <w:rFonts w:ascii="Cambria" w:hAnsi="Cambria"/>
          <w:sz w:val="16"/>
          <w:szCs w:val="16"/>
          <w:lang w:val="es-ES"/>
        </w:rPr>
        <w:t>39</w:t>
      </w:r>
      <w:r w:rsidR="00B77418" w:rsidRPr="00616D0A">
        <w:rPr>
          <w:rFonts w:ascii="Cambria" w:hAnsi="Cambria"/>
          <w:sz w:val="16"/>
          <w:szCs w:val="16"/>
          <w:lang w:val="es-ES"/>
        </w:rPr>
        <w:t xml:space="preserve">. </w:t>
      </w:r>
      <w:r w:rsidRPr="006A4D75">
        <w:rPr>
          <w:rFonts w:asciiTheme="majorHAnsi" w:hAnsiTheme="majorHAnsi"/>
          <w:sz w:val="16"/>
          <w:szCs w:val="16"/>
          <w:lang w:val="es-ES"/>
        </w:rPr>
        <w:t>Auto no. 1264 del Juzgado de Instrucción no. 1 de la Ciudad de corrientes, 26 de septiembre de 2000. Anexo a la comunicación del peticionario de 10 de julio de 2008.</w:t>
      </w:r>
    </w:p>
  </w:footnote>
  <w:footnote w:id="94">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B77418" w:rsidRPr="00616D0A">
        <w:rPr>
          <w:rFonts w:ascii="Cambria" w:hAnsi="Cambria"/>
          <w:sz w:val="16"/>
          <w:szCs w:val="16"/>
          <w:lang w:val="es-ES"/>
        </w:rPr>
        <w:t xml:space="preserve">Anexo </w:t>
      </w:r>
      <w:r w:rsidR="00B77418">
        <w:rPr>
          <w:rFonts w:ascii="Cambria" w:hAnsi="Cambria"/>
          <w:sz w:val="16"/>
          <w:szCs w:val="16"/>
          <w:lang w:val="es-ES"/>
        </w:rPr>
        <w:t>40</w:t>
      </w:r>
      <w:r w:rsidR="00B77418" w:rsidRPr="00616D0A">
        <w:rPr>
          <w:rFonts w:ascii="Cambria" w:hAnsi="Cambria"/>
          <w:sz w:val="16"/>
          <w:szCs w:val="16"/>
          <w:lang w:val="es-ES"/>
        </w:rPr>
        <w:t xml:space="preserve">. </w:t>
      </w:r>
      <w:r w:rsidRPr="006A4D75">
        <w:rPr>
          <w:rFonts w:asciiTheme="majorHAnsi" w:hAnsiTheme="majorHAnsi"/>
          <w:sz w:val="16"/>
          <w:szCs w:val="16"/>
          <w:lang w:val="es-ES"/>
        </w:rPr>
        <w:t xml:space="preserve">Planteamiento de excepciones, 07 de septiembre de 2001. Anexo a la comunicación del peticionario de x de x. </w:t>
      </w:r>
    </w:p>
  </w:footnote>
  <w:footnote w:id="95">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B77418" w:rsidRPr="00616D0A">
        <w:rPr>
          <w:rFonts w:ascii="Cambria" w:hAnsi="Cambria"/>
          <w:sz w:val="16"/>
          <w:szCs w:val="16"/>
          <w:lang w:val="es-ES"/>
        </w:rPr>
        <w:t xml:space="preserve">Anexo </w:t>
      </w:r>
      <w:r w:rsidR="00B77418">
        <w:rPr>
          <w:rFonts w:ascii="Cambria" w:hAnsi="Cambria"/>
          <w:sz w:val="16"/>
          <w:szCs w:val="16"/>
          <w:lang w:val="es-ES"/>
        </w:rPr>
        <w:t>41</w:t>
      </w:r>
      <w:r w:rsidR="00B77418" w:rsidRPr="00616D0A">
        <w:rPr>
          <w:rFonts w:ascii="Cambria" w:hAnsi="Cambria"/>
          <w:sz w:val="16"/>
          <w:szCs w:val="16"/>
          <w:lang w:val="es-ES"/>
        </w:rPr>
        <w:t xml:space="preserve">. </w:t>
      </w:r>
      <w:r w:rsidRPr="006A4D75">
        <w:rPr>
          <w:rFonts w:asciiTheme="majorHAnsi" w:hAnsiTheme="majorHAnsi"/>
          <w:sz w:val="16"/>
          <w:szCs w:val="16"/>
          <w:lang w:val="es-ES"/>
        </w:rPr>
        <w:t>Auto no. 182 del Juzgado de Instrucción no. 6 de la Provincia de Corrientes, 18 de marzo de 2004. Anexo a la comunicación del peticionario de 10 de julio de 2008.</w:t>
      </w:r>
    </w:p>
  </w:footnote>
  <w:footnote w:id="96">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950554" w:rsidRPr="00616D0A">
        <w:rPr>
          <w:rFonts w:ascii="Cambria" w:hAnsi="Cambria"/>
          <w:sz w:val="16"/>
          <w:szCs w:val="16"/>
          <w:lang w:val="es-ES"/>
        </w:rPr>
        <w:t xml:space="preserve">Anexo </w:t>
      </w:r>
      <w:r w:rsidR="00950554">
        <w:rPr>
          <w:rFonts w:ascii="Cambria" w:hAnsi="Cambria"/>
          <w:sz w:val="16"/>
          <w:szCs w:val="16"/>
          <w:lang w:val="es-ES"/>
        </w:rPr>
        <w:t>42</w:t>
      </w:r>
      <w:r w:rsidR="00950554" w:rsidRPr="00616D0A">
        <w:rPr>
          <w:rFonts w:ascii="Cambria" w:hAnsi="Cambria"/>
          <w:sz w:val="16"/>
          <w:szCs w:val="16"/>
          <w:lang w:val="es-ES"/>
        </w:rPr>
        <w:t xml:space="preserve">. </w:t>
      </w:r>
      <w:r w:rsidRPr="006A4D75">
        <w:rPr>
          <w:rFonts w:asciiTheme="majorHAnsi" w:hAnsiTheme="majorHAnsi"/>
          <w:sz w:val="16"/>
          <w:szCs w:val="16"/>
          <w:lang w:val="es-ES"/>
        </w:rPr>
        <w:t xml:space="preserve">Recurso de apelación, 24 de marzo de 2004. Anexo a la comunicación del peticionario de 10 de julio de 2008. </w:t>
      </w:r>
    </w:p>
  </w:footnote>
  <w:footnote w:id="97">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950554" w:rsidRPr="00616D0A">
        <w:rPr>
          <w:rFonts w:ascii="Cambria" w:hAnsi="Cambria"/>
          <w:sz w:val="16"/>
          <w:szCs w:val="16"/>
          <w:lang w:val="es-ES"/>
        </w:rPr>
        <w:t xml:space="preserve">Anexo </w:t>
      </w:r>
      <w:r w:rsidR="00950554">
        <w:rPr>
          <w:rFonts w:ascii="Cambria" w:hAnsi="Cambria"/>
          <w:sz w:val="16"/>
          <w:szCs w:val="16"/>
          <w:lang w:val="es-ES"/>
        </w:rPr>
        <w:t>42</w:t>
      </w:r>
      <w:r w:rsidR="00950554" w:rsidRPr="00616D0A">
        <w:rPr>
          <w:rFonts w:ascii="Cambria" w:hAnsi="Cambria"/>
          <w:sz w:val="16"/>
          <w:szCs w:val="16"/>
          <w:lang w:val="es-ES"/>
        </w:rPr>
        <w:t xml:space="preserve">. </w:t>
      </w:r>
      <w:r w:rsidRPr="006A4D75">
        <w:rPr>
          <w:rFonts w:asciiTheme="majorHAnsi" w:hAnsiTheme="majorHAnsi"/>
          <w:sz w:val="16"/>
          <w:szCs w:val="16"/>
          <w:lang w:val="es-ES"/>
        </w:rPr>
        <w:t>Recurso de apelación, 24 de marzo de 2004. Anexo a la comunicación del peticionario de 10 de julio de 2008.</w:t>
      </w:r>
    </w:p>
  </w:footnote>
  <w:footnote w:id="98">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950554" w:rsidRPr="00616D0A">
        <w:rPr>
          <w:rFonts w:ascii="Cambria" w:hAnsi="Cambria"/>
          <w:sz w:val="16"/>
          <w:szCs w:val="16"/>
          <w:lang w:val="es-ES"/>
        </w:rPr>
        <w:t xml:space="preserve">Anexo </w:t>
      </w:r>
      <w:r w:rsidR="00950554">
        <w:rPr>
          <w:rFonts w:ascii="Cambria" w:hAnsi="Cambria"/>
          <w:sz w:val="16"/>
          <w:szCs w:val="16"/>
          <w:lang w:val="es-ES"/>
        </w:rPr>
        <w:t>43</w:t>
      </w:r>
      <w:r w:rsidR="00950554" w:rsidRPr="00616D0A">
        <w:rPr>
          <w:rFonts w:ascii="Cambria" w:hAnsi="Cambria"/>
          <w:sz w:val="16"/>
          <w:szCs w:val="16"/>
          <w:lang w:val="es-ES"/>
        </w:rPr>
        <w:t xml:space="preserve">. </w:t>
      </w:r>
      <w:r w:rsidRPr="006A4D75">
        <w:rPr>
          <w:rFonts w:asciiTheme="majorHAnsi" w:hAnsiTheme="majorHAnsi"/>
          <w:sz w:val="16"/>
          <w:szCs w:val="16"/>
          <w:lang w:val="es-ES"/>
        </w:rPr>
        <w:t>Auto no. 226 del Juzgado de Instrucción no. 1 de la Ciudad de Corrientes, 12 de abril de 2004. Anexo a la comunicación del peticionario de 10 de julio de 2008.</w:t>
      </w:r>
    </w:p>
  </w:footnote>
  <w:footnote w:id="99">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950554" w:rsidRPr="00616D0A">
        <w:rPr>
          <w:rFonts w:ascii="Cambria" w:hAnsi="Cambria"/>
          <w:sz w:val="16"/>
          <w:szCs w:val="16"/>
          <w:lang w:val="es-ES"/>
        </w:rPr>
        <w:t xml:space="preserve">Anexo </w:t>
      </w:r>
      <w:r w:rsidR="00950554">
        <w:rPr>
          <w:rFonts w:ascii="Cambria" w:hAnsi="Cambria"/>
          <w:sz w:val="16"/>
          <w:szCs w:val="16"/>
          <w:lang w:val="es-ES"/>
        </w:rPr>
        <w:t>43</w:t>
      </w:r>
      <w:r w:rsidR="00950554" w:rsidRPr="00616D0A">
        <w:rPr>
          <w:rFonts w:ascii="Cambria" w:hAnsi="Cambria"/>
          <w:sz w:val="16"/>
          <w:szCs w:val="16"/>
          <w:lang w:val="es-ES"/>
        </w:rPr>
        <w:t xml:space="preserve">. </w:t>
      </w:r>
      <w:r w:rsidRPr="006A4D75">
        <w:rPr>
          <w:rFonts w:asciiTheme="majorHAnsi" w:hAnsiTheme="majorHAnsi"/>
          <w:sz w:val="16"/>
          <w:szCs w:val="16"/>
          <w:lang w:val="es-ES"/>
        </w:rPr>
        <w:t>Auto no. 226 del Juzgado de Instrucción no. 1 de la Ciudad de Corrientes, 12 de abril de 2004. Anexo a la comunicación del peticionario de 10 de julio de 2008.</w:t>
      </w:r>
    </w:p>
  </w:footnote>
  <w:footnote w:id="100">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950554" w:rsidRPr="00616D0A">
        <w:rPr>
          <w:rFonts w:ascii="Cambria" w:hAnsi="Cambria"/>
          <w:sz w:val="16"/>
          <w:szCs w:val="16"/>
          <w:lang w:val="es-ES"/>
        </w:rPr>
        <w:t xml:space="preserve">Anexo </w:t>
      </w:r>
      <w:r w:rsidR="00950554">
        <w:rPr>
          <w:rFonts w:ascii="Cambria" w:hAnsi="Cambria"/>
          <w:sz w:val="16"/>
          <w:szCs w:val="16"/>
          <w:lang w:val="es-ES"/>
        </w:rPr>
        <w:t>43</w:t>
      </w:r>
      <w:r w:rsidR="00950554" w:rsidRPr="00616D0A">
        <w:rPr>
          <w:rFonts w:ascii="Cambria" w:hAnsi="Cambria"/>
          <w:sz w:val="16"/>
          <w:szCs w:val="16"/>
          <w:lang w:val="es-ES"/>
        </w:rPr>
        <w:t xml:space="preserve">. </w:t>
      </w:r>
      <w:r w:rsidRPr="006A4D75">
        <w:rPr>
          <w:rFonts w:asciiTheme="majorHAnsi" w:hAnsiTheme="majorHAnsi"/>
          <w:sz w:val="16"/>
          <w:szCs w:val="16"/>
          <w:lang w:val="es-ES"/>
        </w:rPr>
        <w:t>Auto no. 226 del Juzgado de Instrucción no. 1 de la Ciudad de Corrientes, 12 de abril de 2004. Anexo a la comunicación del peticionario de 10 de julio de 2008.</w:t>
      </w:r>
    </w:p>
  </w:footnote>
  <w:footnote w:id="101">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950554" w:rsidRPr="00616D0A">
        <w:rPr>
          <w:rFonts w:ascii="Cambria" w:hAnsi="Cambria"/>
          <w:sz w:val="16"/>
          <w:szCs w:val="16"/>
          <w:lang w:val="es-ES"/>
        </w:rPr>
        <w:t xml:space="preserve">Anexo </w:t>
      </w:r>
      <w:r w:rsidR="00950554">
        <w:rPr>
          <w:rFonts w:ascii="Cambria" w:hAnsi="Cambria"/>
          <w:sz w:val="16"/>
          <w:szCs w:val="16"/>
          <w:lang w:val="es-ES"/>
        </w:rPr>
        <w:t>44</w:t>
      </w:r>
      <w:r w:rsidR="00950554" w:rsidRPr="00616D0A">
        <w:rPr>
          <w:rFonts w:ascii="Cambria" w:hAnsi="Cambria"/>
          <w:sz w:val="16"/>
          <w:szCs w:val="16"/>
          <w:lang w:val="es-ES"/>
        </w:rPr>
        <w:t xml:space="preserve">. </w:t>
      </w:r>
      <w:r w:rsidRPr="006A4D75">
        <w:rPr>
          <w:rFonts w:asciiTheme="majorHAnsi" w:hAnsiTheme="majorHAnsi"/>
          <w:sz w:val="16"/>
          <w:szCs w:val="16"/>
          <w:lang w:val="es-ES"/>
        </w:rPr>
        <w:t>Solicitud de nulidad y apelación, 16 de abril de 2004.</w:t>
      </w:r>
    </w:p>
  </w:footnote>
  <w:footnote w:id="10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45</w:t>
      </w:r>
      <w:r w:rsidR="002B566C" w:rsidRPr="00616D0A">
        <w:rPr>
          <w:rFonts w:ascii="Cambria" w:hAnsi="Cambria"/>
          <w:sz w:val="16"/>
          <w:szCs w:val="16"/>
          <w:lang w:val="es-ES"/>
        </w:rPr>
        <w:t xml:space="preserve">. </w:t>
      </w:r>
      <w:r w:rsidRPr="006A4D75">
        <w:rPr>
          <w:rFonts w:asciiTheme="majorHAnsi" w:hAnsiTheme="majorHAnsi"/>
          <w:sz w:val="16"/>
          <w:szCs w:val="16"/>
          <w:lang w:val="es-ES"/>
        </w:rPr>
        <w:t>Auto no. 414 del Juzgado de Instrucción no. 1 de la Ciudad de Corrientes, 28 de junio de 2004. Anexo a la comunicación del peticionario de 10 de julio de 2008.</w:t>
      </w:r>
    </w:p>
  </w:footnote>
  <w:footnote w:id="103">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45</w:t>
      </w:r>
      <w:r w:rsidR="002B566C" w:rsidRPr="00616D0A">
        <w:rPr>
          <w:rFonts w:ascii="Cambria" w:hAnsi="Cambria"/>
          <w:sz w:val="16"/>
          <w:szCs w:val="16"/>
          <w:lang w:val="es-ES"/>
        </w:rPr>
        <w:t xml:space="preserve">. </w:t>
      </w:r>
      <w:r w:rsidRPr="006A4D75">
        <w:rPr>
          <w:rFonts w:asciiTheme="majorHAnsi" w:hAnsiTheme="majorHAnsi"/>
          <w:sz w:val="16"/>
          <w:szCs w:val="16"/>
          <w:lang w:val="es-ES"/>
        </w:rPr>
        <w:t>Auto no. 414 del Juzgado de Instrucción no. 1 de la Ciudad de Corrientes, 28 de junio de 2004. Anexo a la comunicación del peticionario de 10 de julio de 2008.</w:t>
      </w:r>
      <w:r w:rsidRPr="006A4D75">
        <w:rPr>
          <w:rFonts w:asciiTheme="majorHAnsi" w:hAnsiTheme="majorHAnsi"/>
          <w:sz w:val="16"/>
          <w:szCs w:val="16"/>
          <w:lang w:val="es-ES"/>
        </w:rPr>
        <w:tab/>
      </w:r>
    </w:p>
  </w:footnote>
  <w:footnote w:id="104">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46</w:t>
      </w:r>
      <w:r w:rsidR="002B566C" w:rsidRPr="00616D0A">
        <w:rPr>
          <w:rFonts w:ascii="Cambria" w:hAnsi="Cambria"/>
          <w:sz w:val="16"/>
          <w:szCs w:val="16"/>
          <w:lang w:val="es-ES"/>
        </w:rPr>
        <w:t xml:space="preserve">. </w:t>
      </w:r>
      <w:r w:rsidRPr="006A4D75">
        <w:rPr>
          <w:rFonts w:asciiTheme="majorHAnsi" w:hAnsiTheme="majorHAnsi"/>
          <w:sz w:val="16"/>
          <w:szCs w:val="16"/>
          <w:lang w:val="es-ES"/>
        </w:rPr>
        <w:t xml:space="preserve">Auto no. 17 de la Cámara de lo criminal no. 2 de la ciudad de Corrientes, 14 de febrero de 2005. Anexo a la comunicación del peticionario de 10 de julio de 2008. </w:t>
      </w:r>
    </w:p>
  </w:footnote>
  <w:footnote w:id="105">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47</w:t>
      </w:r>
      <w:r w:rsidR="002B566C" w:rsidRPr="00616D0A">
        <w:rPr>
          <w:rFonts w:ascii="Cambria" w:hAnsi="Cambria"/>
          <w:sz w:val="16"/>
          <w:szCs w:val="16"/>
          <w:lang w:val="es-ES"/>
        </w:rPr>
        <w:t xml:space="preserve">. </w:t>
      </w:r>
      <w:r w:rsidRPr="006A4D75">
        <w:rPr>
          <w:rFonts w:asciiTheme="majorHAnsi" w:hAnsiTheme="majorHAnsi"/>
          <w:sz w:val="16"/>
          <w:szCs w:val="16"/>
          <w:lang w:val="es-ES"/>
        </w:rPr>
        <w:t xml:space="preserve">Recusación con causa, 04 de agosto de 2005. Anexo a la comunicación del peticionario de 10 de julio de 2008. </w:t>
      </w:r>
    </w:p>
  </w:footnote>
  <w:footnote w:id="106">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47</w:t>
      </w:r>
      <w:r w:rsidR="002B566C" w:rsidRPr="00616D0A">
        <w:rPr>
          <w:rFonts w:ascii="Cambria" w:hAnsi="Cambria"/>
          <w:sz w:val="16"/>
          <w:szCs w:val="16"/>
          <w:lang w:val="es-ES"/>
        </w:rPr>
        <w:t xml:space="preserve">. </w:t>
      </w:r>
      <w:r w:rsidRPr="006A4D75">
        <w:rPr>
          <w:rFonts w:asciiTheme="majorHAnsi" w:hAnsiTheme="majorHAnsi"/>
          <w:sz w:val="16"/>
          <w:szCs w:val="16"/>
          <w:lang w:val="es-ES"/>
        </w:rPr>
        <w:t>Recusación con causa, 04 de agosto de 2005. Anexo a la comunicación del peticionario de 10 de julio de 2008.</w:t>
      </w:r>
    </w:p>
  </w:footnote>
  <w:footnote w:id="107">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48</w:t>
      </w:r>
      <w:r w:rsidR="002B566C" w:rsidRPr="00616D0A">
        <w:rPr>
          <w:rFonts w:ascii="Cambria" w:hAnsi="Cambria"/>
          <w:sz w:val="16"/>
          <w:szCs w:val="16"/>
          <w:lang w:val="es-ES"/>
        </w:rPr>
        <w:t xml:space="preserve">. </w:t>
      </w:r>
      <w:r w:rsidRPr="006A4D75">
        <w:rPr>
          <w:rFonts w:asciiTheme="majorHAnsi" w:hAnsiTheme="majorHAnsi"/>
          <w:sz w:val="16"/>
          <w:szCs w:val="16"/>
          <w:lang w:val="es-ES"/>
        </w:rPr>
        <w:t xml:space="preserve">Auto no. 382 de la Cámara de lo Criminal no. 2 de Corrientes, 10 de agosto de 2005. Anexo a la comunicación del peticionario de 10 de julio de 2008. </w:t>
      </w:r>
    </w:p>
  </w:footnote>
  <w:footnote w:id="108">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48</w:t>
      </w:r>
      <w:r w:rsidR="002B566C" w:rsidRPr="00616D0A">
        <w:rPr>
          <w:rFonts w:ascii="Cambria" w:hAnsi="Cambria"/>
          <w:sz w:val="16"/>
          <w:szCs w:val="16"/>
          <w:lang w:val="es-ES"/>
        </w:rPr>
        <w:t xml:space="preserve">. </w:t>
      </w:r>
      <w:r w:rsidRPr="006A4D75">
        <w:rPr>
          <w:rFonts w:asciiTheme="majorHAnsi" w:hAnsiTheme="majorHAnsi"/>
          <w:sz w:val="16"/>
          <w:szCs w:val="16"/>
          <w:lang w:val="es-ES"/>
        </w:rPr>
        <w:t>Auto no. 382 de la Cámara de lo Criminal no. 2 de Corrientes, 10 de agosto de 2005. Anexo a la comunicación del peticionario de 10 de julio de 2008.</w:t>
      </w:r>
    </w:p>
  </w:footnote>
  <w:footnote w:id="109">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49</w:t>
      </w:r>
      <w:r w:rsidR="002B566C" w:rsidRPr="00616D0A">
        <w:rPr>
          <w:rFonts w:ascii="Cambria" w:hAnsi="Cambria"/>
          <w:sz w:val="16"/>
          <w:szCs w:val="16"/>
          <w:lang w:val="es-ES"/>
        </w:rPr>
        <w:t xml:space="preserve">. </w:t>
      </w:r>
      <w:r w:rsidRPr="006A4D75">
        <w:rPr>
          <w:rFonts w:asciiTheme="majorHAnsi" w:hAnsiTheme="majorHAnsi"/>
          <w:sz w:val="16"/>
          <w:szCs w:val="16"/>
          <w:lang w:val="es-ES"/>
        </w:rPr>
        <w:t>Recurso de casación, 20 de febrero de 2006. Anexo a la comunicación del peticionario de 10 de julio de 2008.</w:t>
      </w:r>
    </w:p>
  </w:footnote>
  <w:footnote w:id="110">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49</w:t>
      </w:r>
      <w:r w:rsidR="002B566C" w:rsidRPr="00616D0A">
        <w:rPr>
          <w:rFonts w:ascii="Cambria" w:hAnsi="Cambria"/>
          <w:sz w:val="16"/>
          <w:szCs w:val="16"/>
          <w:lang w:val="es-ES"/>
        </w:rPr>
        <w:t xml:space="preserve">. </w:t>
      </w:r>
      <w:r w:rsidRPr="006A4D75">
        <w:rPr>
          <w:rFonts w:asciiTheme="majorHAnsi" w:hAnsiTheme="majorHAnsi"/>
          <w:sz w:val="16"/>
          <w:szCs w:val="16"/>
          <w:lang w:val="es-ES"/>
        </w:rPr>
        <w:t>Recurso de casación, 20 de febrero de 2006. Anexo a la comunicación del peticionario de 10 de julio de 2008.</w:t>
      </w:r>
    </w:p>
  </w:footnote>
  <w:footnote w:id="111">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49</w:t>
      </w:r>
      <w:r w:rsidR="002B566C" w:rsidRPr="00616D0A">
        <w:rPr>
          <w:rFonts w:ascii="Cambria" w:hAnsi="Cambria"/>
          <w:sz w:val="16"/>
          <w:szCs w:val="16"/>
          <w:lang w:val="es-ES"/>
        </w:rPr>
        <w:t xml:space="preserve">. </w:t>
      </w:r>
      <w:r w:rsidRPr="006A4D75">
        <w:rPr>
          <w:rFonts w:asciiTheme="majorHAnsi" w:hAnsiTheme="majorHAnsi"/>
          <w:sz w:val="16"/>
          <w:szCs w:val="16"/>
          <w:lang w:val="es-ES"/>
        </w:rPr>
        <w:t>Recurso de casación, 20 de febrero de 2006. Anexo a la comunicación del peticionario de 10 de julio de 2008.</w:t>
      </w:r>
    </w:p>
  </w:footnote>
  <w:footnote w:id="11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50</w:t>
      </w:r>
      <w:r w:rsidR="002B566C" w:rsidRPr="00616D0A">
        <w:rPr>
          <w:rFonts w:ascii="Cambria" w:hAnsi="Cambria"/>
          <w:sz w:val="16"/>
          <w:szCs w:val="16"/>
          <w:lang w:val="es-ES"/>
        </w:rPr>
        <w:t xml:space="preserve">. </w:t>
      </w:r>
      <w:r w:rsidRPr="006A4D75">
        <w:rPr>
          <w:rFonts w:asciiTheme="majorHAnsi" w:hAnsiTheme="majorHAnsi"/>
          <w:sz w:val="16"/>
          <w:szCs w:val="16"/>
          <w:lang w:val="es-ES"/>
        </w:rPr>
        <w:t>Sentencia del Superior Tribunal de Justicia de Corrientes, 19 de octubre de 2006. Anexo a la comunicación del peticionario de10 de julio de 2008.</w:t>
      </w:r>
    </w:p>
  </w:footnote>
  <w:footnote w:id="113">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50</w:t>
      </w:r>
      <w:r w:rsidR="002B566C" w:rsidRPr="00616D0A">
        <w:rPr>
          <w:rFonts w:ascii="Cambria" w:hAnsi="Cambria"/>
          <w:sz w:val="16"/>
          <w:szCs w:val="16"/>
          <w:lang w:val="es-ES"/>
        </w:rPr>
        <w:t xml:space="preserve">. </w:t>
      </w:r>
      <w:r w:rsidRPr="006A4D75">
        <w:rPr>
          <w:rFonts w:asciiTheme="majorHAnsi" w:hAnsiTheme="majorHAnsi"/>
          <w:sz w:val="16"/>
          <w:szCs w:val="16"/>
          <w:lang w:val="es-ES"/>
        </w:rPr>
        <w:t>Sentencia del Superior Tribunal de Justicia de Corrientes, 19 de octubre de 2006. Anexo a la comunicación del peticionario de10 de julio de 2008.</w:t>
      </w:r>
    </w:p>
  </w:footnote>
  <w:footnote w:id="114">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51</w:t>
      </w:r>
      <w:r w:rsidR="002B566C" w:rsidRPr="00616D0A">
        <w:rPr>
          <w:rFonts w:ascii="Cambria" w:hAnsi="Cambria"/>
          <w:sz w:val="16"/>
          <w:szCs w:val="16"/>
          <w:lang w:val="es-ES"/>
        </w:rPr>
        <w:t xml:space="preserve">. </w:t>
      </w:r>
      <w:r w:rsidRPr="006A4D75">
        <w:rPr>
          <w:rFonts w:asciiTheme="majorHAnsi" w:hAnsiTheme="majorHAnsi"/>
          <w:sz w:val="16"/>
          <w:szCs w:val="16"/>
          <w:lang w:val="es-ES"/>
        </w:rPr>
        <w:t xml:space="preserve">Recurso Extraordinario Federal, 03 de noviembre de 2006. Anexo a la comunicación del peticionario de 10 de julio de 2008. </w:t>
      </w:r>
    </w:p>
  </w:footnote>
  <w:footnote w:id="115">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51</w:t>
      </w:r>
      <w:r w:rsidR="002B566C" w:rsidRPr="00616D0A">
        <w:rPr>
          <w:rFonts w:ascii="Cambria" w:hAnsi="Cambria"/>
          <w:sz w:val="16"/>
          <w:szCs w:val="16"/>
          <w:lang w:val="es-ES"/>
        </w:rPr>
        <w:t xml:space="preserve">. </w:t>
      </w:r>
      <w:r w:rsidRPr="006A4D75">
        <w:rPr>
          <w:rFonts w:asciiTheme="majorHAnsi" w:hAnsiTheme="majorHAnsi"/>
          <w:sz w:val="16"/>
          <w:szCs w:val="16"/>
          <w:lang w:val="es-ES"/>
        </w:rPr>
        <w:t>Recurso Extraordinario Federal, 03 de noviembre de 2006. Anexo a la comunicación del peticionario de 10 de julio de 2008.</w:t>
      </w:r>
    </w:p>
  </w:footnote>
  <w:footnote w:id="116">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52</w:t>
      </w:r>
      <w:r w:rsidR="002B566C" w:rsidRPr="00616D0A">
        <w:rPr>
          <w:rFonts w:ascii="Cambria" w:hAnsi="Cambria"/>
          <w:sz w:val="16"/>
          <w:szCs w:val="16"/>
          <w:lang w:val="es-ES"/>
        </w:rPr>
        <w:t xml:space="preserve">. </w:t>
      </w:r>
      <w:r w:rsidRPr="006A4D75">
        <w:rPr>
          <w:rFonts w:asciiTheme="majorHAnsi" w:hAnsiTheme="majorHAnsi"/>
          <w:sz w:val="16"/>
          <w:szCs w:val="16"/>
          <w:lang w:val="es-ES"/>
        </w:rPr>
        <w:t>Resolución del Superior Tribunal de Justicia de Corrientes, 20 de febrero de 2007. Anexo a la comunicación del peticionario de10 de julio de 2008.</w:t>
      </w:r>
    </w:p>
  </w:footnote>
  <w:footnote w:id="117">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52</w:t>
      </w:r>
      <w:r w:rsidR="002B566C" w:rsidRPr="00616D0A">
        <w:rPr>
          <w:rFonts w:ascii="Cambria" w:hAnsi="Cambria"/>
          <w:sz w:val="16"/>
          <w:szCs w:val="16"/>
          <w:lang w:val="es-ES"/>
        </w:rPr>
        <w:t xml:space="preserve">. </w:t>
      </w:r>
      <w:r w:rsidRPr="006A4D75">
        <w:rPr>
          <w:rFonts w:asciiTheme="majorHAnsi" w:hAnsiTheme="majorHAnsi"/>
          <w:sz w:val="16"/>
          <w:szCs w:val="16"/>
          <w:lang w:val="es-ES"/>
        </w:rPr>
        <w:t>Resolución del Superior Tribunal de Justicia de Corrientes, 20 de febrero de 2007. Anexo a la comunicación del peticionario de10 de julio de 2008.</w:t>
      </w:r>
    </w:p>
  </w:footnote>
  <w:footnote w:id="118">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52</w:t>
      </w:r>
      <w:r w:rsidR="002B566C" w:rsidRPr="00616D0A">
        <w:rPr>
          <w:rFonts w:ascii="Cambria" w:hAnsi="Cambria"/>
          <w:sz w:val="16"/>
          <w:szCs w:val="16"/>
          <w:lang w:val="es-ES"/>
        </w:rPr>
        <w:t xml:space="preserve">. </w:t>
      </w:r>
      <w:r w:rsidRPr="006A4D75">
        <w:rPr>
          <w:rFonts w:asciiTheme="majorHAnsi" w:hAnsiTheme="majorHAnsi"/>
          <w:sz w:val="16"/>
          <w:szCs w:val="16"/>
          <w:lang w:val="es-ES"/>
        </w:rPr>
        <w:t>Resolución del Superior Tribunal de Justicia de Corrientes, 20 de febrero de 2007. Anexo a la comunicación del peticionario de10 de julio de 2008.</w:t>
      </w:r>
    </w:p>
  </w:footnote>
  <w:footnote w:id="119">
    <w:p w:rsidR="006A4D75" w:rsidRPr="006A4D75" w:rsidRDefault="006A4D75" w:rsidP="002B566C">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53</w:t>
      </w:r>
      <w:r w:rsidR="002B566C" w:rsidRPr="00616D0A">
        <w:rPr>
          <w:rFonts w:ascii="Cambria" w:hAnsi="Cambria"/>
          <w:sz w:val="16"/>
          <w:szCs w:val="16"/>
          <w:lang w:val="es-ES"/>
        </w:rPr>
        <w:t xml:space="preserve">. </w:t>
      </w:r>
      <w:r w:rsidRPr="006A4D75">
        <w:rPr>
          <w:rFonts w:asciiTheme="majorHAnsi" w:hAnsiTheme="majorHAnsi"/>
          <w:sz w:val="16"/>
          <w:szCs w:val="16"/>
          <w:lang w:val="es-ES"/>
        </w:rPr>
        <w:t xml:space="preserve">Recurso de Queja, 05 de marzo de 2007. Anexo a la comunicación del peticionario de 10 de julio de 2008. </w:t>
      </w:r>
    </w:p>
  </w:footnote>
  <w:footnote w:id="120">
    <w:p w:rsidR="006A4D75" w:rsidRPr="006A4D75" w:rsidRDefault="006A4D75" w:rsidP="002B566C">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53</w:t>
      </w:r>
      <w:r w:rsidR="002B566C" w:rsidRPr="00616D0A">
        <w:rPr>
          <w:rFonts w:ascii="Cambria" w:hAnsi="Cambria"/>
          <w:sz w:val="16"/>
          <w:szCs w:val="16"/>
          <w:lang w:val="es-ES"/>
        </w:rPr>
        <w:t xml:space="preserve">. </w:t>
      </w:r>
      <w:r w:rsidRPr="006A4D75">
        <w:rPr>
          <w:rFonts w:asciiTheme="majorHAnsi" w:hAnsiTheme="majorHAnsi"/>
          <w:sz w:val="16"/>
          <w:szCs w:val="16"/>
          <w:lang w:val="es-ES"/>
        </w:rPr>
        <w:t xml:space="preserve">Recurso de Queja, 05 de marzo de 2007. Anexo a la comunicación del peticionario de 10 de julio de 2008. </w:t>
      </w:r>
    </w:p>
  </w:footnote>
  <w:footnote w:id="121">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54</w:t>
      </w:r>
      <w:r w:rsidR="002B566C" w:rsidRPr="00616D0A">
        <w:rPr>
          <w:rFonts w:ascii="Cambria" w:hAnsi="Cambria"/>
          <w:sz w:val="16"/>
          <w:szCs w:val="16"/>
          <w:lang w:val="es-ES"/>
        </w:rPr>
        <w:t xml:space="preserve">. </w:t>
      </w:r>
      <w:r w:rsidRPr="006A4D75">
        <w:rPr>
          <w:rFonts w:asciiTheme="majorHAnsi" w:hAnsiTheme="majorHAnsi"/>
          <w:sz w:val="16"/>
          <w:szCs w:val="16"/>
          <w:lang w:val="es-ES"/>
        </w:rPr>
        <w:t>Vista del Ministerio Público, Procuración General de la Nación, 28 de septiembre de 2007. Anexo a la comunicación del peticionario de 10 de julio de 2008.</w:t>
      </w:r>
    </w:p>
  </w:footnote>
  <w:footnote w:id="12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54</w:t>
      </w:r>
      <w:r w:rsidR="002B566C" w:rsidRPr="00616D0A">
        <w:rPr>
          <w:rFonts w:ascii="Cambria" w:hAnsi="Cambria"/>
          <w:sz w:val="16"/>
          <w:szCs w:val="16"/>
          <w:lang w:val="es-ES"/>
        </w:rPr>
        <w:t xml:space="preserve">. </w:t>
      </w:r>
      <w:r w:rsidRPr="006A4D75">
        <w:rPr>
          <w:rFonts w:asciiTheme="majorHAnsi" w:hAnsiTheme="majorHAnsi"/>
          <w:sz w:val="16"/>
          <w:szCs w:val="16"/>
          <w:lang w:val="es-ES"/>
        </w:rPr>
        <w:t>Vista del Ministerio Público, Procuración General de la Nación, 28 de septiembre de 2007. Anexo a la comunicación del peticionario de 10 de julio de 2008.</w:t>
      </w:r>
    </w:p>
  </w:footnote>
  <w:footnote w:id="123">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55</w:t>
      </w:r>
      <w:r w:rsidR="002B566C" w:rsidRPr="00616D0A">
        <w:rPr>
          <w:rFonts w:ascii="Cambria" w:hAnsi="Cambria"/>
          <w:sz w:val="16"/>
          <w:szCs w:val="16"/>
          <w:lang w:val="es-ES"/>
        </w:rPr>
        <w:t xml:space="preserve">. </w:t>
      </w:r>
      <w:r w:rsidRPr="006A4D75">
        <w:rPr>
          <w:rFonts w:asciiTheme="majorHAnsi" w:hAnsiTheme="majorHAnsi"/>
          <w:sz w:val="16"/>
          <w:szCs w:val="16"/>
          <w:lang w:val="es-ES"/>
        </w:rPr>
        <w:t>Auto de la Corte Suprema de Justicia de la Nación de Argentina, 18 de diciembre de 2007. Anexo a la comunicación del peticionario de 10 de julio de 2008.</w:t>
      </w:r>
    </w:p>
  </w:footnote>
  <w:footnote w:id="124">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55</w:t>
      </w:r>
      <w:r w:rsidR="002B566C" w:rsidRPr="00616D0A">
        <w:rPr>
          <w:rFonts w:ascii="Cambria" w:hAnsi="Cambria"/>
          <w:sz w:val="16"/>
          <w:szCs w:val="16"/>
          <w:lang w:val="es-ES"/>
        </w:rPr>
        <w:t xml:space="preserve">. </w:t>
      </w:r>
      <w:r w:rsidRPr="006A4D75">
        <w:rPr>
          <w:rFonts w:asciiTheme="majorHAnsi" w:hAnsiTheme="majorHAnsi"/>
          <w:sz w:val="16"/>
          <w:szCs w:val="16"/>
          <w:lang w:val="es-ES"/>
        </w:rPr>
        <w:t>Auto de la Corte Suprema de Justicia de la Nación de Argentina, 18 de diciembre de 2007. Anexo a la comunicación del peticionario de 10 de julio de 2008.</w:t>
      </w:r>
    </w:p>
  </w:footnote>
  <w:footnote w:id="125">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56</w:t>
      </w:r>
      <w:r w:rsidR="002B566C" w:rsidRPr="00616D0A">
        <w:rPr>
          <w:rFonts w:ascii="Cambria" w:hAnsi="Cambria"/>
          <w:sz w:val="16"/>
          <w:szCs w:val="16"/>
          <w:lang w:val="es-ES"/>
        </w:rPr>
        <w:t xml:space="preserve">. </w:t>
      </w:r>
      <w:r w:rsidRPr="006A4D75">
        <w:rPr>
          <w:rFonts w:asciiTheme="majorHAnsi" w:hAnsiTheme="majorHAnsi"/>
          <w:sz w:val="16"/>
          <w:szCs w:val="16"/>
          <w:lang w:val="es-ES"/>
        </w:rPr>
        <w:t>Planteamiento de excepciones, 09 de marzo de 2001. Anexo a la comunicación del peticionario de 10 de julio de 2008.</w:t>
      </w:r>
    </w:p>
  </w:footnote>
  <w:footnote w:id="126">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56</w:t>
      </w:r>
      <w:r w:rsidR="002B566C" w:rsidRPr="00616D0A">
        <w:rPr>
          <w:rFonts w:ascii="Cambria" w:hAnsi="Cambria"/>
          <w:sz w:val="16"/>
          <w:szCs w:val="16"/>
          <w:lang w:val="es-ES"/>
        </w:rPr>
        <w:t xml:space="preserve">. </w:t>
      </w:r>
      <w:r w:rsidRPr="006A4D75">
        <w:rPr>
          <w:rFonts w:asciiTheme="majorHAnsi" w:hAnsiTheme="majorHAnsi"/>
          <w:sz w:val="16"/>
          <w:szCs w:val="16"/>
          <w:lang w:val="es-ES"/>
        </w:rPr>
        <w:t>Planteamiento de excepciones, 09 de marzo de 2001. Anexo a la comunicación del peticionario de 10 de julio de 2008.</w:t>
      </w:r>
    </w:p>
  </w:footnote>
  <w:footnote w:id="127">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2B566C" w:rsidRPr="00616D0A">
        <w:rPr>
          <w:rFonts w:ascii="Cambria" w:hAnsi="Cambria"/>
          <w:sz w:val="16"/>
          <w:szCs w:val="16"/>
          <w:lang w:val="es-ES"/>
        </w:rPr>
        <w:t xml:space="preserve">Anexo </w:t>
      </w:r>
      <w:r w:rsidR="002B566C">
        <w:rPr>
          <w:rFonts w:ascii="Cambria" w:hAnsi="Cambria"/>
          <w:sz w:val="16"/>
          <w:szCs w:val="16"/>
          <w:lang w:val="es-ES"/>
        </w:rPr>
        <w:t>57</w:t>
      </w:r>
      <w:r w:rsidR="002B566C" w:rsidRPr="00616D0A">
        <w:rPr>
          <w:rFonts w:ascii="Cambria" w:hAnsi="Cambria"/>
          <w:sz w:val="16"/>
          <w:szCs w:val="16"/>
          <w:lang w:val="es-ES"/>
        </w:rPr>
        <w:t xml:space="preserve">. </w:t>
      </w:r>
      <w:r w:rsidRPr="006A4D75">
        <w:rPr>
          <w:rFonts w:asciiTheme="majorHAnsi" w:hAnsiTheme="majorHAnsi"/>
          <w:sz w:val="16"/>
          <w:szCs w:val="16"/>
          <w:lang w:val="es-ES"/>
        </w:rPr>
        <w:t xml:space="preserve">Planteamiento de Recusación con causa, 06 de Agosto de 2001. Anexo a la comunicación del peticionario de 10 de julio de 2008. </w:t>
      </w:r>
    </w:p>
  </w:footnote>
  <w:footnote w:id="128">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57</w:t>
      </w:r>
      <w:r w:rsidR="004300B1" w:rsidRPr="00616D0A">
        <w:rPr>
          <w:rFonts w:ascii="Cambria" w:hAnsi="Cambria"/>
          <w:sz w:val="16"/>
          <w:szCs w:val="16"/>
          <w:lang w:val="es-ES"/>
        </w:rPr>
        <w:t xml:space="preserve">. </w:t>
      </w:r>
      <w:r w:rsidRPr="006A4D75">
        <w:rPr>
          <w:rFonts w:asciiTheme="majorHAnsi" w:hAnsiTheme="majorHAnsi"/>
          <w:sz w:val="16"/>
          <w:szCs w:val="16"/>
          <w:lang w:val="es-ES"/>
        </w:rPr>
        <w:t>Planteamiento de Recusación con causa, 06 de Agosto de 2001. Anexo a la comunicación del peticionario de 10 de julio de 2008.</w:t>
      </w:r>
    </w:p>
  </w:footnote>
  <w:footnote w:id="129">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58</w:t>
      </w:r>
      <w:r w:rsidR="004300B1" w:rsidRPr="00616D0A">
        <w:rPr>
          <w:rFonts w:ascii="Cambria" w:hAnsi="Cambria"/>
          <w:sz w:val="16"/>
          <w:szCs w:val="16"/>
          <w:lang w:val="es-ES"/>
        </w:rPr>
        <w:t xml:space="preserve">. </w:t>
      </w:r>
      <w:r w:rsidRPr="006A4D75">
        <w:rPr>
          <w:rFonts w:asciiTheme="majorHAnsi" w:hAnsiTheme="majorHAnsi"/>
          <w:sz w:val="16"/>
          <w:szCs w:val="16"/>
          <w:lang w:val="es-ES"/>
        </w:rPr>
        <w:t>Resolución no. 356 de la Cámara de lo Criminal no. 2 de Corrientes, 17 de agosto de 2001. Anexo a la comunicación del peticionario de 10 de julio de 2008.</w:t>
      </w:r>
    </w:p>
  </w:footnote>
  <w:footnote w:id="130">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58</w:t>
      </w:r>
      <w:r w:rsidR="004300B1" w:rsidRPr="00616D0A">
        <w:rPr>
          <w:rFonts w:ascii="Cambria" w:hAnsi="Cambria"/>
          <w:sz w:val="16"/>
          <w:szCs w:val="16"/>
          <w:lang w:val="es-ES"/>
        </w:rPr>
        <w:t xml:space="preserve">. </w:t>
      </w:r>
      <w:r w:rsidRPr="006A4D75">
        <w:rPr>
          <w:rFonts w:asciiTheme="majorHAnsi" w:hAnsiTheme="majorHAnsi"/>
          <w:sz w:val="16"/>
          <w:szCs w:val="16"/>
          <w:lang w:val="es-ES"/>
        </w:rPr>
        <w:t>Resolución no. 356 de la Cámara de lo Criminal no. 2 de Corrientes, 17 de agosto de 2001. Anexo a la comunicación del peticionario de 10 de julio de 2008.</w:t>
      </w:r>
    </w:p>
  </w:footnote>
  <w:footnote w:id="131">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59</w:t>
      </w:r>
      <w:r w:rsidR="004300B1" w:rsidRPr="00616D0A">
        <w:rPr>
          <w:rFonts w:ascii="Cambria" w:hAnsi="Cambria"/>
          <w:sz w:val="16"/>
          <w:szCs w:val="16"/>
          <w:lang w:val="es-ES"/>
        </w:rPr>
        <w:t xml:space="preserve">. </w:t>
      </w:r>
      <w:r w:rsidRPr="006A4D75">
        <w:rPr>
          <w:rFonts w:asciiTheme="majorHAnsi" w:hAnsiTheme="majorHAnsi"/>
          <w:sz w:val="16"/>
          <w:szCs w:val="16"/>
          <w:lang w:val="es-ES"/>
        </w:rPr>
        <w:t>Sentencia no. 116 de la Cámara de lo Criminal no. 2, 31 de octubre de 2001. Anexo a la comunicación del peticionario de 10 de julio de 2008.</w:t>
      </w:r>
    </w:p>
  </w:footnote>
  <w:footnote w:id="13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60</w:t>
      </w:r>
      <w:r w:rsidR="004300B1" w:rsidRPr="00616D0A">
        <w:rPr>
          <w:rFonts w:ascii="Cambria" w:hAnsi="Cambria"/>
          <w:sz w:val="16"/>
          <w:szCs w:val="16"/>
          <w:lang w:val="es-ES"/>
        </w:rPr>
        <w:t xml:space="preserve">. </w:t>
      </w:r>
      <w:r w:rsidRPr="006A4D75">
        <w:rPr>
          <w:rFonts w:asciiTheme="majorHAnsi" w:hAnsiTheme="majorHAnsi"/>
          <w:sz w:val="16"/>
          <w:szCs w:val="16"/>
          <w:lang w:val="es-ES"/>
        </w:rPr>
        <w:t>Sentencia no. 116 de la Cámara de lo Criminal no. 2, 31 de octubre de 2001. Anexo a la comunicación del peticionario de 10 de julio de 2008.</w:t>
      </w:r>
    </w:p>
  </w:footnote>
  <w:footnote w:id="133">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61</w:t>
      </w:r>
      <w:r w:rsidR="004300B1" w:rsidRPr="00616D0A">
        <w:rPr>
          <w:rFonts w:ascii="Cambria" w:hAnsi="Cambria"/>
          <w:sz w:val="16"/>
          <w:szCs w:val="16"/>
          <w:lang w:val="es-ES"/>
        </w:rPr>
        <w:t xml:space="preserve">. </w:t>
      </w:r>
      <w:r w:rsidRPr="006A4D75">
        <w:rPr>
          <w:rFonts w:asciiTheme="majorHAnsi" w:hAnsiTheme="majorHAnsi"/>
          <w:sz w:val="16"/>
          <w:szCs w:val="16"/>
          <w:lang w:val="es-ES"/>
        </w:rPr>
        <w:t>Recurso de casación, 27 de noviembre de 2001. Anexo a la comunicación del peticionario de 10 de julio de 2008.</w:t>
      </w:r>
    </w:p>
  </w:footnote>
  <w:footnote w:id="134">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61</w:t>
      </w:r>
      <w:r w:rsidR="004300B1" w:rsidRPr="00616D0A">
        <w:rPr>
          <w:rFonts w:ascii="Cambria" w:hAnsi="Cambria"/>
          <w:sz w:val="16"/>
          <w:szCs w:val="16"/>
          <w:lang w:val="es-ES"/>
        </w:rPr>
        <w:t xml:space="preserve">. </w:t>
      </w:r>
      <w:r w:rsidRPr="006A4D75">
        <w:rPr>
          <w:rFonts w:asciiTheme="majorHAnsi" w:hAnsiTheme="majorHAnsi"/>
          <w:sz w:val="16"/>
          <w:szCs w:val="16"/>
          <w:lang w:val="es-ES"/>
        </w:rPr>
        <w:t>Recurso de casación, 27 de noviembre de 2001. Anexo a la comunicación del peticionario de 10 de julio de 2008.</w:t>
      </w:r>
    </w:p>
  </w:footnote>
  <w:footnote w:id="135">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62</w:t>
      </w:r>
      <w:r w:rsidR="004300B1" w:rsidRPr="00616D0A">
        <w:rPr>
          <w:rFonts w:ascii="Cambria" w:hAnsi="Cambria"/>
          <w:sz w:val="16"/>
          <w:szCs w:val="16"/>
          <w:lang w:val="es-ES"/>
        </w:rPr>
        <w:t xml:space="preserve">. </w:t>
      </w:r>
      <w:r w:rsidRPr="006A4D75">
        <w:rPr>
          <w:rFonts w:asciiTheme="majorHAnsi" w:hAnsiTheme="majorHAnsi"/>
          <w:sz w:val="16"/>
          <w:szCs w:val="16"/>
          <w:lang w:val="es-ES"/>
        </w:rPr>
        <w:t>Planteo de Nulidad Absoluta, 06 de febrero de 2002. Anexo a la comunicación del peticionario de 10 de julio de 2008.</w:t>
      </w:r>
    </w:p>
  </w:footnote>
  <w:footnote w:id="136">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62</w:t>
      </w:r>
      <w:r w:rsidR="004300B1" w:rsidRPr="00616D0A">
        <w:rPr>
          <w:rFonts w:ascii="Cambria" w:hAnsi="Cambria"/>
          <w:sz w:val="16"/>
          <w:szCs w:val="16"/>
          <w:lang w:val="es-ES"/>
        </w:rPr>
        <w:t xml:space="preserve">. </w:t>
      </w:r>
      <w:r w:rsidRPr="006A4D75">
        <w:rPr>
          <w:rFonts w:asciiTheme="majorHAnsi" w:hAnsiTheme="majorHAnsi"/>
          <w:sz w:val="16"/>
          <w:szCs w:val="16"/>
          <w:lang w:val="es-ES"/>
        </w:rPr>
        <w:t>Planteo de Nulidad Absoluta, 06 de febrero de 2002. Anexo a la comunicación del peticionario de 10 de julio de 2008.</w:t>
      </w:r>
    </w:p>
  </w:footnote>
  <w:footnote w:id="137">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63</w:t>
      </w:r>
      <w:r w:rsidR="004300B1" w:rsidRPr="00616D0A">
        <w:rPr>
          <w:rFonts w:ascii="Cambria" w:hAnsi="Cambria"/>
          <w:sz w:val="16"/>
          <w:szCs w:val="16"/>
          <w:lang w:val="es-ES"/>
        </w:rPr>
        <w:t xml:space="preserve">. </w:t>
      </w:r>
      <w:r w:rsidRPr="006A4D75">
        <w:rPr>
          <w:rFonts w:asciiTheme="majorHAnsi" w:hAnsiTheme="majorHAnsi"/>
          <w:sz w:val="16"/>
          <w:szCs w:val="16"/>
          <w:lang w:val="es-ES"/>
        </w:rPr>
        <w:t>Vista del Fiscal General de Corrientes, 12 de febrero de 2002. Anexo a la comunicación del peticionario de 10 de julio de 2008.</w:t>
      </w:r>
    </w:p>
  </w:footnote>
  <w:footnote w:id="138">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64</w:t>
      </w:r>
      <w:r w:rsidR="004300B1" w:rsidRPr="00616D0A">
        <w:rPr>
          <w:rFonts w:ascii="Cambria" w:hAnsi="Cambria"/>
          <w:sz w:val="16"/>
          <w:szCs w:val="16"/>
          <w:lang w:val="es-ES"/>
        </w:rPr>
        <w:t xml:space="preserve">. </w:t>
      </w:r>
      <w:r w:rsidRPr="006A4D75">
        <w:rPr>
          <w:rFonts w:asciiTheme="majorHAnsi" w:hAnsiTheme="majorHAnsi"/>
          <w:sz w:val="16"/>
          <w:szCs w:val="16"/>
          <w:lang w:val="es-ES"/>
        </w:rPr>
        <w:t>Planteo de nulidad absoluta, 20 de febrero de 2003. Anexo a la comunicación del peticionario de 10 de julio de 2008.</w:t>
      </w:r>
    </w:p>
  </w:footnote>
  <w:footnote w:id="139">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64</w:t>
      </w:r>
      <w:r w:rsidR="004300B1" w:rsidRPr="00616D0A">
        <w:rPr>
          <w:rFonts w:ascii="Cambria" w:hAnsi="Cambria"/>
          <w:sz w:val="16"/>
          <w:szCs w:val="16"/>
          <w:lang w:val="es-ES"/>
        </w:rPr>
        <w:t xml:space="preserve">. </w:t>
      </w:r>
      <w:r w:rsidRPr="006A4D75">
        <w:rPr>
          <w:rFonts w:asciiTheme="majorHAnsi" w:hAnsiTheme="majorHAnsi"/>
          <w:sz w:val="16"/>
          <w:szCs w:val="16"/>
          <w:lang w:val="es-ES"/>
        </w:rPr>
        <w:t>Planteo de nulidad absoluta, 20 de febrero de 2003. Anexo a la comunicación del peticionario de 10 de julio de 2008.</w:t>
      </w:r>
    </w:p>
  </w:footnote>
  <w:footnote w:id="140">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64</w:t>
      </w:r>
      <w:r w:rsidR="004300B1" w:rsidRPr="00616D0A">
        <w:rPr>
          <w:rFonts w:ascii="Cambria" w:hAnsi="Cambria"/>
          <w:sz w:val="16"/>
          <w:szCs w:val="16"/>
          <w:lang w:val="es-ES"/>
        </w:rPr>
        <w:t xml:space="preserve">. </w:t>
      </w:r>
      <w:r w:rsidRPr="006A4D75">
        <w:rPr>
          <w:rFonts w:asciiTheme="majorHAnsi" w:hAnsiTheme="majorHAnsi"/>
          <w:sz w:val="16"/>
          <w:szCs w:val="16"/>
          <w:lang w:val="es-ES"/>
        </w:rPr>
        <w:t>Planteo de nulidad absoluta, 20 de febrero de 2003. Anexo a la comunicación del peticionario de 10 de julio de 2008.</w:t>
      </w:r>
    </w:p>
  </w:footnote>
  <w:footnote w:id="141">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65</w:t>
      </w:r>
      <w:r w:rsidR="004300B1" w:rsidRPr="00616D0A">
        <w:rPr>
          <w:rFonts w:ascii="Cambria" w:hAnsi="Cambria"/>
          <w:sz w:val="16"/>
          <w:szCs w:val="16"/>
          <w:lang w:val="es-ES"/>
        </w:rPr>
        <w:t xml:space="preserve">. </w:t>
      </w:r>
      <w:r w:rsidRPr="006A4D75">
        <w:rPr>
          <w:rFonts w:asciiTheme="majorHAnsi" w:hAnsiTheme="majorHAnsi"/>
          <w:sz w:val="16"/>
          <w:szCs w:val="16"/>
          <w:lang w:val="es-ES"/>
        </w:rPr>
        <w:t>Interposición de aclaratoria, 14 de abril de 2003. Anexo a la comunicación del peticionario de 10 de julio de 2008.</w:t>
      </w:r>
    </w:p>
  </w:footnote>
  <w:footnote w:id="14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65</w:t>
      </w:r>
      <w:r w:rsidR="004300B1" w:rsidRPr="00616D0A">
        <w:rPr>
          <w:rFonts w:ascii="Cambria" w:hAnsi="Cambria"/>
          <w:sz w:val="16"/>
          <w:szCs w:val="16"/>
          <w:lang w:val="es-ES"/>
        </w:rPr>
        <w:t xml:space="preserve">. </w:t>
      </w:r>
      <w:r w:rsidRPr="006A4D75">
        <w:rPr>
          <w:rFonts w:asciiTheme="majorHAnsi" w:hAnsiTheme="majorHAnsi"/>
          <w:sz w:val="16"/>
          <w:szCs w:val="16"/>
          <w:lang w:val="es-ES"/>
        </w:rPr>
        <w:t>Interposición de aclaratoria, 14 de abril de 2003. Anexo a la comunicación del peticionario de 10 de julio de 2008.</w:t>
      </w:r>
    </w:p>
  </w:footnote>
  <w:footnote w:id="143">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66</w:t>
      </w:r>
      <w:r w:rsidR="004300B1" w:rsidRPr="00616D0A">
        <w:rPr>
          <w:rFonts w:ascii="Cambria" w:hAnsi="Cambria"/>
          <w:sz w:val="16"/>
          <w:szCs w:val="16"/>
          <w:lang w:val="es-ES"/>
        </w:rPr>
        <w:t xml:space="preserve">. </w:t>
      </w:r>
      <w:r w:rsidRPr="006A4D75">
        <w:rPr>
          <w:rFonts w:asciiTheme="majorHAnsi" w:hAnsiTheme="majorHAnsi"/>
          <w:sz w:val="16"/>
          <w:szCs w:val="16"/>
          <w:lang w:val="es-ES"/>
        </w:rPr>
        <w:t>Vista del Fiscal General de Corrientes, 28 de abril de 2003. Anexo a la comunicación del peticionario de 10 de julio de 2008</w:t>
      </w:r>
    </w:p>
  </w:footnote>
  <w:footnote w:id="144">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67</w:t>
      </w:r>
      <w:r w:rsidR="004300B1" w:rsidRPr="00616D0A">
        <w:rPr>
          <w:rFonts w:ascii="Cambria" w:hAnsi="Cambria"/>
          <w:sz w:val="16"/>
          <w:szCs w:val="16"/>
          <w:lang w:val="es-ES"/>
        </w:rPr>
        <w:t xml:space="preserve">. </w:t>
      </w:r>
      <w:r w:rsidRPr="006A4D75">
        <w:rPr>
          <w:rFonts w:asciiTheme="majorHAnsi" w:hAnsiTheme="majorHAnsi"/>
          <w:sz w:val="16"/>
          <w:szCs w:val="16"/>
          <w:lang w:val="es-ES"/>
        </w:rPr>
        <w:t>Resolución no. 35 del Superior Tribunal de Justicia de Corrientes, 18 de junio 2003. Anexo a la comunicación del peticionario de 10 de julio de 2008.</w:t>
      </w:r>
    </w:p>
  </w:footnote>
  <w:footnote w:id="145">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67</w:t>
      </w:r>
      <w:r w:rsidR="004300B1" w:rsidRPr="00616D0A">
        <w:rPr>
          <w:rFonts w:ascii="Cambria" w:hAnsi="Cambria"/>
          <w:sz w:val="16"/>
          <w:szCs w:val="16"/>
          <w:lang w:val="es-ES"/>
        </w:rPr>
        <w:t xml:space="preserve">. </w:t>
      </w:r>
      <w:r w:rsidRPr="006A4D75">
        <w:rPr>
          <w:rFonts w:asciiTheme="majorHAnsi" w:hAnsiTheme="majorHAnsi"/>
          <w:sz w:val="16"/>
          <w:szCs w:val="16"/>
          <w:lang w:val="es-ES"/>
        </w:rPr>
        <w:t>Resolución no. 35 del Superior Tribunal de Justicia de Corrientes, 18 de junio 2003. Anexo a la comunicación del peticionario de 10 de julio de 2008.</w:t>
      </w:r>
    </w:p>
  </w:footnote>
  <w:footnote w:id="146">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68</w:t>
      </w:r>
      <w:r w:rsidR="004300B1" w:rsidRPr="00616D0A">
        <w:rPr>
          <w:rFonts w:ascii="Cambria" w:hAnsi="Cambria"/>
          <w:sz w:val="16"/>
          <w:szCs w:val="16"/>
          <w:lang w:val="es-ES"/>
        </w:rPr>
        <w:t xml:space="preserve">. </w:t>
      </w:r>
      <w:r w:rsidRPr="006A4D75">
        <w:rPr>
          <w:rFonts w:asciiTheme="majorHAnsi" w:hAnsiTheme="majorHAnsi"/>
          <w:sz w:val="16"/>
          <w:szCs w:val="16"/>
          <w:lang w:val="es-ES"/>
        </w:rPr>
        <w:t>Recurso extraordinario federal, 03 de julio de 2003. Anexo a la comunicación del peticionario de 10 de julio de 2008.</w:t>
      </w:r>
    </w:p>
  </w:footnote>
  <w:footnote w:id="147">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68</w:t>
      </w:r>
      <w:r w:rsidR="004300B1" w:rsidRPr="00616D0A">
        <w:rPr>
          <w:rFonts w:ascii="Cambria" w:hAnsi="Cambria"/>
          <w:sz w:val="16"/>
          <w:szCs w:val="16"/>
          <w:lang w:val="es-ES"/>
        </w:rPr>
        <w:t xml:space="preserve">. </w:t>
      </w:r>
      <w:r w:rsidRPr="006A4D75">
        <w:rPr>
          <w:rFonts w:asciiTheme="majorHAnsi" w:hAnsiTheme="majorHAnsi"/>
          <w:sz w:val="16"/>
          <w:szCs w:val="16"/>
          <w:lang w:val="es-ES"/>
        </w:rPr>
        <w:t>Recurso extraordinario federal, 03 de julio de 2003. Anexo a la comunicación del peticionario de 10 de julio de 2008.</w:t>
      </w:r>
    </w:p>
  </w:footnote>
  <w:footnote w:id="148">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69</w:t>
      </w:r>
      <w:r w:rsidR="004300B1" w:rsidRPr="00616D0A">
        <w:rPr>
          <w:rFonts w:ascii="Cambria" w:hAnsi="Cambria"/>
          <w:sz w:val="16"/>
          <w:szCs w:val="16"/>
          <w:lang w:val="es-ES"/>
        </w:rPr>
        <w:t xml:space="preserve">. </w:t>
      </w:r>
      <w:r w:rsidRPr="006A4D75">
        <w:rPr>
          <w:rFonts w:asciiTheme="majorHAnsi" w:hAnsiTheme="majorHAnsi"/>
          <w:sz w:val="16"/>
          <w:szCs w:val="16"/>
          <w:lang w:val="es-ES"/>
        </w:rPr>
        <w:t>Resolución no. 29 del Superior Tribunal de Justicia de Corrientes, 16 de marzo de 2004. Anexo a la comunicación del peticionario de 10 de julio de 2008.</w:t>
      </w:r>
    </w:p>
  </w:footnote>
  <w:footnote w:id="149">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69</w:t>
      </w:r>
      <w:r w:rsidR="004300B1" w:rsidRPr="00616D0A">
        <w:rPr>
          <w:rFonts w:ascii="Cambria" w:hAnsi="Cambria"/>
          <w:sz w:val="16"/>
          <w:szCs w:val="16"/>
          <w:lang w:val="es-ES"/>
        </w:rPr>
        <w:t xml:space="preserve">. </w:t>
      </w:r>
      <w:r w:rsidRPr="006A4D75">
        <w:rPr>
          <w:rFonts w:asciiTheme="majorHAnsi" w:hAnsiTheme="majorHAnsi"/>
          <w:sz w:val="16"/>
          <w:szCs w:val="16"/>
          <w:lang w:val="es-ES"/>
        </w:rPr>
        <w:t>Resolución no. 29 del Superior Tribunal de Justicia de Corrientes, 16 de marzo de 2004. Anexo a la comunicación del peticionario de 10 de julio de 2008.</w:t>
      </w:r>
    </w:p>
  </w:footnote>
  <w:footnote w:id="150">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70</w:t>
      </w:r>
      <w:r w:rsidR="004300B1" w:rsidRPr="00616D0A">
        <w:rPr>
          <w:rFonts w:ascii="Cambria" w:hAnsi="Cambria"/>
          <w:sz w:val="16"/>
          <w:szCs w:val="16"/>
          <w:lang w:val="es-ES"/>
        </w:rPr>
        <w:t xml:space="preserve">. </w:t>
      </w:r>
      <w:r w:rsidRPr="006A4D75">
        <w:rPr>
          <w:rFonts w:asciiTheme="majorHAnsi" w:hAnsiTheme="majorHAnsi"/>
          <w:sz w:val="16"/>
          <w:szCs w:val="16"/>
          <w:lang w:val="es-ES"/>
        </w:rPr>
        <w:t>Interposición de recurso extraordinario federal, 09 de septiembre de 2004. Anexo a la comunicación del peticionario de 10 de julio de 2008.</w:t>
      </w:r>
    </w:p>
  </w:footnote>
  <w:footnote w:id="151">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71</w:t>
      </w:r>
      <w:r w:rsidR="004300B1" w:rsidRPr="00616D0A">
        <w:rPr>
          <w:rFonts w:ascii="Cambria" w:hAnsi="Cambria"/>
          <w:sz w:val="16"/>
          <w:szCs w:val="16"/>
          <w:lang w:val="es-ES"/>
        </w:rPr>
        <w:t xml:space="preserve">. </w:t>
      </w:r>
      <w:r w:rsidRPr="006A4D75">
        <w:rPr>
          <w:rFonts w:asciiTheme="majorHAnsi" w:hAnsiTheme="majorHAnsi"/>
          <w:sz w:val="16"/>
          <w:szCs w:val="16"/>
          <w:lang w:val="es-ES"/>
        </w:rPr>
        <w:t>Resolución no. 64 del Superior Tribunal de Justicia de Corrientes, 31 de mayo de 2005. Anexo a la comunicación del peticionario de 10 de julio de 2008.</w:t>
      </w:r>
    </w:p>
  </w:footnote>
  <w:footnote w:id="15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71</w:t>
      </w:r>
      <w:r w:rsidR="004300B1" w:rsidRPr="00616D0A">
        <w:rPr>
          <w:rFonts w:ascii="Cambria" w:hAnsi="Cambria"/>
          <w:sz w:val="16"/>
          <w:szCs w:val="16"/>
          <w:lang w:val="es-ES"/>
        </w:rPr>
        <w:t xml:space="preserve">. </w:t>
      </w:r>
      <w:r w:rsidRPr="006A4D75">
        <w:rPr>
          <w:rFonts w:asciiTheme="majorHAnsi" w:hAnsiTheme="majorHAnsi"/>
          <w:sz w:val="16"/>
          <w:szCs w:val="16"/>
          <w:lang w:val="es-ES"/>
        </w:rPr>
        <w:t>Resolución no. 64 del Superior Tribunal de Justicia de Corrientes, 31 de mayo de 2005. Anexo a la comunicación del peticionario de 10 de julio de 2008.</w:t>
      </w:r>
    </w:p>
  </w:footnote>
  <w:footnote w:id="153">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72</w:t>
      </w:r>
      <w:r w:rsidR="004300B1" w:rsidRPr="00616D0A">
        <w:rPr>
          <w:rFonts w:ascii="Cambria" w:hAnsi="Cambria"/>
          <w:sz w:val="16"/>
          <w:szCs w:val="16"/>
          <w:lang w:val="es-ES"/>
        </w:rPr>
        <w:t xml:space="preserve">. </w:t>
      </w:r>
      <w:r w:rsidRPr="006A4D75">
        <w:rPr>
          <w:rFonts w:asciiTheme="majorHAnsi" w:hAnsiTheme="majorHAnsi"/>
          <w:sz w:val="16"/>
          <w:szCs w:val="16"/>
          <w:lang w:val="es-ES"/>
        </w:rPr>
        <w:t>Recurso de queja ante la Corte Suprema de Justicia de la Nación, 14 de junio de 2005. Anexo a la comunicación del peticionario de 10 de julio de 2008.</w:t>
      </w:r>
    </w:p>
  </w:footnote>
  <w:footnote w:id="154">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72</w:t>
      </w:r>
      <w:r w:rsidR="004300B1" w:rsidRPr="00616D0A">
        <w:rPr>
          <w:rFonts w:ascii="Cambria" w:hAnsi="Cambria"/>
          <w:sz w:val="16"/>
          <w:szCs w:val="16"/>
          <w:lang w:val="es-ES"/>
        </w:rPr>
        <w:t xml:space="preserve">. </w:t>
      </w:r>
      <w:r w:rsidRPr="006A4D75">
        <w:rPr>
          <w:rFonts w:asciiTheme="majorHAnsi" w:hAnsiTheme="majorHAnsi"/>
          <w:sz w:val="16"/>
          <w:szCs w:val="16"/>
          <w:lang w:val="es-ES"/>
        </w:rPr>
        <w:t>Interposición de Recurso Extraordinario Federal y recusación, 15 de junio de 2005. Anexo a la comunicación del peticionario de 10 de julio de 2008.</w:t>
      </w:r>
    </w:p>
  </w:footnote>
  <w:footnote w:id="155">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73</w:t>
      </w:r>
      <w:r w:rsidR="004300B1" w:rsidRPr="00616D0A">
        <w:rPr>
          <w:rFonts w:ascii="Cambria" w:hAnsi="Cambria"/>
          <w:sz w:val="16"/>
          <w:szCs w:val="16"/>
          <w:lang w:val="es-ES"/>
        </w:rPr>
        <w:t xml:space="preserve">. </w:t>
      </w:r>
      <w:r w:rsidRPr="006A4D75">
        <w:rPr>
          <w:rFonts w:asciiTheme="majorHAnsi" w:hAnsiTheme="majorHAnsi"/>
          <w:sz w:val="16"/>
          <w:szCs w:val="16"/>
          <w:lang w:val="es-ES"/>
        </w:rPr>
        <w:t>Resolución no. 131 del Superior Tribunal de Justicia de Corrientes, 14 de septiembre de 2005. Anexo a la comunicación del peticionario de 10 de julio de 2008.</w:t>
      </w:r>
    </w:p>
  </w:footnote>
  <w:footnote w:id="156">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73</w:t>
      </w:r>
      <w:r w:rsidR="004300B1" w:rsidRPr="00616D0A">
        <w:rPr>
          <w:rFonts w:ascii="Cambria" w:hAnsi="Cambria"/>
          <w:sz w:val="16"/>
          <w:szCs w:val="16"/>
          <w:lang w:val="es-ES"/>
        </w:rPr>
        <w:t xml:space="preserve">. </w:t>
      </w:r>
      <w:r w:rsidRPr="006A4D75">
        <w:rPr>
          <w:rFonts w:asciiTheme="majorHAnsi" w:hAnsiTheme="majorHAnsi"/>
          <w:sz w:val="16"/>
          <w:szCs w:val="16"/>
          <w:lang w:val="es-ES"/>
        </w:rPr>
        <w:t>Resolución no. 131 del Superior Tribunal de Justicia de Corrientes, 14 de septiembre de 2005. Anexo a la comunicación del peticionario de 10 de julio de 2008.</w:t>
      </w:r>
    </w:p>
  </w:footnote>
  <w:footnote w:id="157">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004300B1">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74</w:t>
      </w:r>
      <w:r w:rsidR="004300B1" w:rsidRPr="00616D0A">
        <w:rPr>
          <w:rFonts w:ascii="Cambria" w:hAnsi="Cambria"/>
          <w:sz w:val="16"/>
          <w:szCs w:val="16"/>
          <w:lang w:val="es-ES"/>
        </w:rPr>
        <w:t xml:space="preserve">. </w:t>
      </w:r>
      <w:r w:rsidRPr="006A4D75">
        <w:rPr>
          <w:rFonts w:asciiTheme="majorHAnsi" w:hAnsiTheme="majorHAnsi"/>
          <w:sz w:val="16"/>
          <w:szCs w:val="16"/>
          <w:lang w:val="es-ES"/>
        </w:rPr>
        <w:t>Interposición de queja ante la Corte Suprema de justicia de la Nación, 23 de septiembre de 2005. Anexo a la comunicación del peticionario de 10 de julio de 2008.</w:t>
      </w:r>
    </w:p>
  </w:footnote>
  <w:footnote w:id="158">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74</w:t>
      </w:r>
      <w:r w:rsidR="004300B1" w:rsidRPr="00616D0A">
        <w:rPr>
          <w:rFonts w:ascii="Cambria" w:hAnsi="Cambria"/>
          <w:sz w:val="16"/>
          <w:szCs w:val="16"/>
          <w:lang w:val="es-ES"/>
        </w:rPr>
        <w:t xml:space="preserve">. </w:t>
      </w:r>
      <w:r w:rsidRPr="006A4D75">
        <w:rPr>
          <w:rFonts w:asciiTheme="majorHAnsi" w:hAnsiTheme="majorHAnsi"/>
          <w:sz w:val="16"/>
          <w:szCs w:val="16"/>
          <w:lang w:val="es-ES"/>
        </w:rPr>
        <w:t>Interposición de queja ante la Corte Suprema de justicia de la Nación, 23 de septiembre de 2005. Anexo a la comunicación del peticionario de 10 de julio de 2008.</w:t>
      </w:r>
    </w:p>
  </w:footnote>
  <w:footnote w:id="159">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75</w:t>
      </w:r>
      <w:r w:rsidR="004300B1" w:rsidRPr="00616D0A">
        <w:rPr>
          <w:rFonts w:ascii="Cambria" w:hAnsi="Cambria"/>
          <w:sz w:val="16"/>
          <w:szCs w:val="16"/>
          <w:lang w:val="es-ES"/>
        </w:rPr>
        <w:t xml:space="preserve">. </w:t>
      </w:r>
      <w:r w:rsidRPr="006A4D75">
        <w:rPr>
          <w:rFonts w:asciiTheme="majorHAnsi" w:hAnsiTheme="majorHAnsi"/>
          <w:sz w:val="16"/>
          <w:szCs w:val="16"/>
          <w:lang w:val="es-ES"/>
        </w:rPr>
        <w:t>Dictamen del Procurador General de la Nación, 30 de noviembre de 2006. Anexo a la comunicación del peticionario de 10 de julio de 2008.</w:t>
      </w:r>
    </w:p>
  </w:footnote>
  <w:footnote w:id="160">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75</w:t>
      </w:r>
      <w:r w:rsidR="004300B1" w:rsidRPr="00616D0A">
        <w:rPr>
          <w:rFonts w:ascii="Cambria" w:hAnsi="Cambria"/>
          <w:sz w:val="16"/>
          <w:szCs w:val="16"/>
          <w:lang w:val="es-ES"/>
        </w:rPr>
        <w:t xml:space="preserve">. </w:t>
      </w:r>
      <w:r w:rsidRPr="006A4D75">
        <w:rPr>
          <w:rFonts w:asciiTheme="majorHAnsi" w:hAnsiTheme="majorHAnsi"/>
          <w:sz w:val="16"/>
          <w:szCs w:val="16"/>
          <w:lang w:val="es-ES"/>
        </w:rPr>
        <w:t>Dictamen del Procurador General de la Nación, 30 de noviembre de 2006. Anexo a la comunicación del peticionario de 10 de julio de 2008.</w:t>
      </w:r>
    </w:p>
  </w:footnote>
  <w:footnote w:id="161">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76</w:t>
      </w:r>
      <w:r w:rsidR="004300B1" w:rsidRPr="00616D0A">
        <w:rPr>
          <w:rFonts w:ascii="Cambria" w:hAnsi="Cambria"/>
          <w:sz w:val="16"/>
          <w:szCs w:val="16"/>
          <w:lang w:val="es-ES"/>
        </w:rPr>
        <w:t xml:space="preserve">. </w:t>
      </w:r>
      <w:r w:rsidRPr="006A4D75">
        <w:rPr>
          <w:rFonts w:asciiTheme="majorHAnsi" w:hAnsiTheme="majorHAnsi"/>
          <w:sz w:val="16"/>
          <w:szCs w:val="16"/>
          <w:lang w:val="es-ES"/>
        </w:rPr>
        <w:t>Sentencia de la Corte Suprema de Justicia de la Nación, 20 de marzo de 2007. Anexo a la comunicación del peticionario de 10 de julio de 2008.</w:t>
      </w:r>
    </w:p>
  </w:footnote>
  <w:footnote w:id="16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76</w:t>
      </w:r>
      <w:r w:rsidR="004300B1" w:rsidRPr="00616D0A">
        <w:rPr>
          <w:rFonts w:ascii="Cambria" w:hAnsi="Cambria"/>
          <w:sz w:val="16"/>
          <w:szCs w:val="16"/>
          <w:lang w:val="es-ES"/>
        </w:rPr>
        <w:t xml:space="preserve">. </w:t>
      </w:r>
      <w:r w:rsidRPr="006A4D75">
        <w:rPr>
          <w:rFonts w:asciiTheme="majorHAnsi" w:hAnsiTheme="majorHAnsi"/>
          <w:sz w:val="16"/>
          <w:szCs w:val="16"/>
          <w:lang w:val="es-ES"/>
        </w:rPr>
        <w:t>Sentencia de la Corte Suprema de Justicia de la Nación, 20 de marzo de 2007. Anexo a la comunicación del peticionario de 10 de julio de 2008.</w:t>
      </w:r>
    </w:p>
  </w:footnote>
  <w:footnote w:id="163">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77</w:t>
      </w:r>
      <w:r w:rsidR="004300B1" w:rsidRPr="00616D0A">
        <w:rPr>
          <w:rFonts w:ascii="Cambria" w:hAnsi="Cambria"/>
          <w:sz w:val="16"/>
          <w:szCs w:val="16"/>
          <w:lang w:val="es-ES"/>
        </w:rPr>
        <w:t xml:space="preserve">. </w:t>
      </w:r>
      <w:r w:rsidRPr="006A4D75">
        <w:rPr>
          <w:rFonts w:asciiTheme="majorHAnsi" w:hAnsiTheme="majorHAnsi"/>
          <w:sz w:val="16"/>
          <w:szCs w:val="16"/>
          <w:lang w:val="es-ES"/>
        </w:rPr>
        <w:t xml:space="preserve">Planteo de nulidad con apelación en subsidio, 24 de julio de 2000. Anexo a la comunicación del peticionario de 24 de agosto de 2001. </w:t>
      </w:r>
    </w:p>
  </w:footnote>
  <w:footnote w:id="164">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77</w:t>
      </w:r>
      <w:r w:rsidR="004300B1" w:rsidRPr="00616D0A">
        <w:rPr>
          <w:rFonts w:ascii="Cambria" w:hAnsi="Cambria"/>
          <w:sz w:val="16"/>
          <w:szCs w:val="16"/>
          <w:lang w:val="es-ES"/>
        </w:rPr>
        <w:t xml:space="preserve">. </w:t>
      </w:r>
      <w:r w:rsidRPr="006A4D75">
        <w:rPr>
          <w:rFonts w:asciiTheme="majorHAnsi" w:hAnsiTheme="majorHAnsi"/>
          <w:sz w:val="16"/>
          <w:szCs w:val="16"/>
          <w:lang w:val="es-ES"/>
        </w:rPr>
        <w:t>Planteo de nulidad con apelación en subsidio, 24 de julio de 2000. Anexo a la comunicación del peticionario de 24 de agosto de 2001.</w:t>
      </w:r>
    </w:p>
  </w:footnote>
  <w:footnote w:id="165">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77</w:t>
      </w:r>
      <w:r w:rsidR="004300B1" w:rsidRPr="00616D0A">
        <w:rPr>
          <w:rFonts w:ascii="Cambria" w:hAnsi="Cambria"/>
          <w:sz w:val="16"/>
          <w:szCs w:val="16"/>
          <w:lang w:val="es-ES"/>
        </w:rPr>
        <w:t xml:space="preserve">. </w:t>
      </w:r>
      <w:r w:rsidRPr="006A4D75">
        <w:rPr>
          <w:rFonts w:asciiTheme="majorHAnsi" w:hAnsiTheme="majorHAnsi"/>
          <w:sz w:val="16"/>
          <w:szCs w:val="16"/>
          <w:lang w:val="es-ES"/>
        </w:rPr>
        <w:t>Planteo de nulidad con apelación en subsidio, 24 de julio de 2000. Anexo a la comunicación del peticionario de 24 de agosto de 2001.</w:t>
      </w:r>
    </w:p>
  </w:footnote>
  <w:footnote w:id="166">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78</w:t>
      </w:r>
      <w:r w:rsidR="004300B1" w:rsidRPr="00616D0A">
        <w:rPr>
          <w:rFonts w:ascii="Cambria" w:hAnsi="Cambria"/>
          <w:sz w:val="16"/>
          <w:szCs w:val="16"/>
          <w:lang w:val="es-ES"/>
        </w:rPr>
        <w:t xml:space="preserve">. </w:t>
      </w:r>
      <w:r w:rsidRPr="006A4D75">
        <w:rPr>
          <w:rFonts w:asciiTheme="majorHAnsi" w:hAnsiTheme="majorHAnsi"/>
          <w:sz w:val="16"/>
          <w:szCs w:val="16"/>
          <w:lang w:val="es-ES"/>
        </w:rPr>
        <w:t>Vista del Fiscal de instrucción no. 1 de Corrientes, 18 de agosto de 2000. Anexo a la comunicación del peticionario de 24 de agosto de 2001.</w:t>
      </w:r>
    </w:p>
  </w:footnote>
  <w:footnote w:id="167">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78</w:t>
      </w:r>
      <w:r w:rsidR="004300B1" w:rsidRPr="00616D0A">
        <w:rPr>
          <w:rFonts w:ascii="Cambria" w:hAnsi="Cambria"/>
          <w:sz w:val="16"/>
          <w:szCs w:val="16"/>
          <w:lang w:val="es-ES"/>
        </w:rPr>
        <w:t xml:space="preserve">. </w:t>
      </w:r>
      <w:r w:rsidRPr="006A4D75">
        <w:rPr>
          <w:rFonts w:asciiTheme="majorHAnsi" w:hAnsiTheme="majorHAnsi"/>
          <w:sz w:val="16"/>
          <w:szCs w:val="16"/>
          <w:lang w:val="es-ES"/>
        </w:rPr>
        <w:t>Vista del Fiscal de instrucción no. 1 de Corrientes, 18 de agosto de 2000. Anexo a la comunicación del peticionario de 24 de agosto de 2001.</w:t>
      </w:r>
    </w:p>
  </w:footnote>
  <w:footnote w:id="168">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4300B1" w:rsidRPr="00616D0A">
        <w:rPr>
          <w:rFonts w:ascii="Cambria" w:hAnsi="Cambria"/>
          <w:sz w:val="16"/>
          <w:szCs w:val="16"/>
          <w:lang w:val="es-ES"/>
        </w:rPr>
        <w:t xml:space="preserve">Anexo </w:t>
      </w:r>
      <w:r w:rsidR="004300B1">
        <w:rPr>
          <w:rFonts w:ascii="Cambria" w:hAnsi="Cambria"/>
          <w:sz w:val="16"/>
          <w:szCs w:val="16"/>
          <w:lang w:val="es-ES"/>
        </w:rPr>
        <w:t>78</w:t>
      </w:r>
      <w:r w:rsidR="004300B1" w:rsidRPr="00616D0A">
        <w:rPr>
          <w:rFonts w:ascii="Cambria" w:hAnsi="Cambria"/>
          <w:sz w:val="16"/>
          <w:szCs w:val="16"/>
          <w:lang w:val="es-ES"/>
        </w:rPr>
        <w:t xml:space="preserve">. </w:t>
      </w:r>
      <w:r w:rsidRPr="006A4D75">
        <w:rPr>
          <w:rFonts w:asciiTheme="majorHAnsi" w:hAnsiTheme="majorHAnsi"/>
          <w:sz w:val="16"/>
          <w:szCs w:val="16"/>
          <w:lang w:val="es-ES"/>
        </w:rPr>
        <w:t>Vista del Fiscal de instrucción no. 1 de Corrientes, 18 de agosto de 2000. Anexo a la comunicación del peticionario de 24 de agosto de 2001.</w:t>
      </w:r>
    </w:p>
  </w:footnote>
  <w:footnote w:id="169">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10796C" w:rsidRPr="00616D0A">
        <w:rPr>
          <w:rFonts w:ascii="Cambria" w:hAnsi="Cambria"/>
          <w:sz w:val="16"/>
          <w:szCs w:val="16"/>
          <w:lang w:val="es-ES"/>
        </w:rPr>
        <w:t xml:space="preserve">Anexo </w:t>
      </w:r>
      <w:r w:rsidR="0010796C">
        <w:rPr>
          <w:rFonts w:ascii="Cambria" w:hAnsi="Cambria"/>
          <w:sz w:val="16"/>
          <w:szCs w:val="16"/>
          <w:lang w:val="es-ES"/>
        </w:rPr>
        <w:t>78</w:t>
      </w:r>
      <w:r w:rsidR="0010796C" w:rsidRPr="00616D0A">
        <w:rPr>
          <w:rFonts w:ascii="Cambria" w:hAnsi="Cambria"/>
          <w:sz w:val="16"/>
          <w:szCs w:val="16"/>
          <w:lang w:val="es-ES"/>
        </w:rPr>
        <w:t xml:space="preserve">. </w:t>
      </w:r>
      <w:r w:rsidRPr="006A4D75">
        <w:rPr>
          <w:rFonts w:asciiTheme="majorHAnsi" w:hAnsiTheme="majorHAnsi"/>
          <w:sz w:val="16"/>
          <w:szCs w:val="16"/>
          <w:lang w:val="es-ES"/>
        </w:rPr>
        <w:t>Vista del Fiscal de instrucción no. 1 de Corrientes, 18 de agosto de 2000. Anexo a la comunicación del peticionario de 24 de agosto de 2001.</w:t>
      </w:r>
    </w:p>
  </w:footnote>
  <w:footnote w:id="170">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10796C" w:rsidRPr="00616D0A">
        <w:rPr>
          <w:rFonts w:ascii="Cambria" w:hAnsi="Cambria"/>
          <w:sz w:val="16"/>
          <w:szCs w:val="16"/>
          <w:lang w:val="es-ES"/>
        </w:rPr>
        <w:t xml:space="preserve">Anexo </w:t>
      </w:r>
      <w:r w:rsidR="0010796C">
        <w:rPr>
          <w:rFonts w:ascii="Cambria" w:hAnsi="Cambria"/>
          <w:sz w:val="16"/>
          <w:szCs w:val="16"/>
          <w:lang w:val="es-ES"/>
        </w:rPr>
        <w:t>79</w:t>
      </w:r>
      <w:r w:rsidR="0010796C" w:rsidRPr="00616D0A">
        <w:rPr>
          <w:rFonts w:ascii="Cambria" w:hAnsi="Cambria"/>
          <w:sz w:val="16"/>
          <w:szCs w:val="16"/>
          <w:lang w:val="es-ES"/>
        </w:rPr>
        <w:t xml:space="preserve">. </w:t>
      </w:r>
      <w:r w:rsidRPr="006A4D75">
        <w:rPr>
          <w:rFonts w:asciiTheme="majorHAnsi" w:hAnsiTheme="majorHAnsi"/>
          <w:sz w:val="16"/>
          <w:szCs w:val="16"/>
          <w:lang w:val="es-ES"/>
        </w:rPr>
        <w:t>Resolución no. 615 del Juzgado de Instrucción no. 1 de Corrientes, 05 de abril de 2001. Anexo a la comunicación del peticionario de 24 de agosto de 2001.</w:t>
      </w:r>
    </w:p>
  </w:footnote>
  <w:footnote w:id="171">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10796C" w:rsidRPr="00616D0A">
        <w:rPr>
          <w:rFonts w:ascii="Cambria" w:hAnsi="Cambria"/>
          <w:sz w:val="16"/>
          <w:szCs w:val="16"/>
          <w:lang w:val="es-ES"/>
        </w:rPr>
        <w:t xml:space="preserve">Anexo </w:t>
      </w:r>
      <w:r w:rsidR="0010796C">
        <w:rPr>
          <w:rFonts w:ascii="Cambria" w:hAnsi="Cambria"/>
          <w:sz w:val="16"/>
          <w:szCs w:val="16"/>
          <w:lang w:val="es-ES"/>
        </w:rPr>
        <w:t>79</w:t>
      </w:r>
      <w:r w:rsidR="0010796C" w:rsidRPr="00616D0A">
        <w:rPr>
          <w:rFonts w:ascii="Cambria" w:hAnsi="Cambria"/>
          <w:sz w:val="16"/>
          <w:szCs w:val="16"/>
          <w:lang w:val="es-ES"/>
        </w:rPr>
        <w:t xml:space="preserve">. </w:t>
      </w:r>
      <w:r w:rsidRPr="006A4D75">
        <w:rPr>
          <w:rFonts w:asciiTheme="majorHAnsi" w:hAnsiTheme="majorHAnsi"/>
          <w:sz w:val="16"/>
          <w:szCs w:val="16"/>
          <w:lang w:val="es-ES"/>
        </w:rPr>
        <w:t>Resolución no. 615 del Juzgado de Instrucción no. 1 de Corrientes, 05 de abril de 2001. Anexo a la comunicación del peticionario de 24 de agosto de 2001.</w:t>
      </w:r>
    </w:p>
  </w:footnote>
  <w:footnote w:id="17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10796C" w:rsidRPr="00616D0A">
        <w:rPr>
          <w:rFonts w:ascii="Cambria" w:hAnsi="Cambria"/>
          <w:sz w:val="16"/>
          <w:szCs w:val="16"/>
          <w:lang w:val="es-ES"/>
        </w:rPr>
        <w:t xml:space="preserve">Anexo </w:t>
      </w:r>
      <w:r w:rsidR="0010796C">
        <w:rPr>
          <w:rFonts w:ascii="Cambria" w:hAnsi="Cambria"/>
          <w:sz w:val="16"/>
          <w:szCs w:val="16"/>
          <w:lang w:val="es-ES"/>
        </w:rPr>
        <w:t>79</w:t>
      </w:r>
      <w:r w:rsidR="0010796C" w:rsidRPr="00616D0A">
        <w:rPr>
          <w:rFonts w:ascii="Cambria" w:hAnsi="Cambria"/>
          <w:sz w:val="16"/>
          <w:szCs w:val="16"/>
          <w:lang w:val="es-ES"/>
        </w:rPr>
        <w:t xml:space="preserve">. </w:t>
      </w:r>
      <w:r w:rsidRPr="006A4D75">
        <w:rPr>
          <w:rFonts w:asciiTheme="majorHAnsi" w:hAnsiTheme="majorHAnsi"/>
          <w:sz w:val="16"/>
          <w:szCs w:val="16"/>
          <w:lang w:val="es-ES"/>
        </w:rPr>
        <w:t>Resolución no. 615 del Juzgado de Instrucción no. 1 de Corrientes, 05 de abril de 2001. Anexo a la comunicación del peticionario de 24 de agosto de 2001.</w:t>
      </w:r>
    </w:p>
  </w:footnote>
  <w:footnote w:id="173">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10796C" w:rsidRPr="00616D0A">
        <w:rPr>
          <w:rFonts w:ascii="Cambria" w:hAnsi="Cambria"/>
          <w:sz w:val="16"/>
          <w:szCs w:val="16"/>
          <w:lang w:val="es-ES"/>
        </w:rPr>
        <w:t xml:space="preserve">Anexo </w:t>
      </w:r>
      <w:r w:rsidR="0010796C">
        <w:rPr>
          <w:rFonts w:ascii="Cambria" w:hAnsi="Cambria"/>
          <w:sz w:val="16"/>
          <w:szCs w:val="16"/>
          <w:lang w:val="es-ES"/>
        </w:rPr>
        <w:t>80</w:t>
      </w:r>
      <w:r w:rsidR="0010796C" w:rsidRPr="00616D0A">
        <w:rPr>
          <w:rFonts w:ascii="Cambria" w:hAnsi="Cambria"/>
          <w:sz w:val="16"/>
          <w:szCs w:val="16"/>
          <w:lang w:val="es-ES"/>
        </w:rPr>
        <w:t xml:space="preserve">. </w:t>
      </w:r>
      <w:r w:rsidRPr="006A4D75">
        <w:rPr>
          <w:rFonts w:asciiTheme="majorHAnsi" w:hAnsiTheme="majorHAnsi"/>
          <w:sz w:val="16"/>
          <w:szCs w:val="16"/>
          <w:lang w:val="es-ES"/>
        </w:rPr>
        <w:t>Recurso de apelación. Anexo a la comunicación del peticionario de 24 de Agosto de 2001.</w:t>
      </w:r>
    </w:p>
  </w:footnote>
  <w:footnote w:id="174">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10796C" w:rsidRPr="00616D0A">
        <w:rPr>
          <w:rFonts w:ascii="Cambria" w:hAnsi="Cambria"/>
          <w:sz w:val="16"/>
          <w:szCs w:val="16"/>
          <w:lang w:val="es-ES"/>
        </w:rPr>
        <w:t xml:space="preserve">Anexo </w:t>
      </w:r>
      <w:r w:rsidR="0010796C">
        <w:rPr>
          <w:rFonts w:ascii="Cambria" w:hAnsi="Cambria"/>
          <w:sz w:val="16"/>
          <w:szCs w:val="16"/>
          <w:lang w:val="es-ES"/>
        </w:rPr>
        <w:t>81</w:t>
      </w:r>
      <w:r w:rsidR="0010796C" w:rsidRPr="00616D0A">
        <w:rPr>
          <w:rFonts w:ascii="Cambria" w:hAnsi="Cambria"/>
          <w:sz w:val="16"/>
          <w:szCs w:val="16"/>
          <w:lang w:val="es-ES"/>
        </w:rPr>
        <w:t xml:space="preserve">. </w:t>
      </w:r>
      <w:r w:rsidRPr="006A4D75">
        <w:rPr>
          <w:rFonts w:asciiTheme="majorHAnsi" w:hAnsiTheme="majorHAnsi"/>
          <w:sz w:val="16"/>
          <w:szCs w:val="16"/>
          <w:lang w:val="es-ES"/>
        </w:rPr>
        <w:t>Resolución no. 125 de la Cámara de lo Criminal no. 2, 31 de mayo de 2001. Anexo a la comunicación del peticionario de 24 de agosto de 2001.</w:t>
      </w:r>
    </w:p>
  </w:footnote>
  <w:footnote w:id="175">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10796C" w:rsidRPr="00616D0A">
        <w:rPr>
          <w:rFonts w:ascii="Cambria" w:hAnsi="Cambria"/>
          <w:sz w:val="16"/>
          <w:szCs w:val="16"/>
          <w:lang w:val="es-ES"/>
        </w:rPr>
        <w:t xml:space="preserve">Anexo </w:t>
      </w:r>
      <w:r w:rsidR="0010796C">
        <w:rPr>
          <w:rFonts w:ascii="Cambria" w:hAnsi="Cambria"/>
          <w:sz w:val="16"/>
          <w:szCs w:val="16"/>
          <w:lang w:val="es-ES"/>
        </w:rPr>
        <w:t>81</w:t>
      </w:r>
      <w:r w:rsidR="0010796C" w:rsidRPr="00616D0A">
        <w:rPr>
          <w:rFonts w:ascii="Cambria" w:hAnsi="Cambria"/>
          <w:sz w:val="16"/>
          <w:szCs w:val="16"/>
          <w:lang w:val="es-ES"/>
        </w:rPr>
        <w:t xml:space="preserve">. </w:t>
      </w:r>
      <w:r w:rsidRPr="006A4D75">
        <w:rPr>
          <w:rFonts w:asciiTheme="majorHAnsi" w:hAnsiTheme="majorHAnsi"/>
          <w:sz w:val="16"/>
          <w:szCs w:val="16"/>
          <w:lang w:val="es-ES"/>
        </w:rPr>
        <w:t>Resolución no. 125 de la Cámara de lo Criminal no. 2, 31 de mayo de 2001. Anexo a la comunicación del peticionario de 24 de agosto de 2001.</w:t>
      </w:r>
    </w:p>
  </w:footnote>
  <w:footnote w:id="176">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10796C" w:rsidRPr="00616D0A">
        <w:rPr>
          <w:rFonts w:ascii="Cambria" w:hAnsi="Cambria"/>
          <w:sz w:val="16"/>
          <w:szCs w:val="16"/>
          <w:lang w:val="es-ES"/>
        </w:rPr>
        <w:t xml:space="preserve">Anexo </w:t>
      </w:r>
      <w:r w:rsidR="0010796C">
        <w:rPr>
          <w:rFonts w:ascii="Cambria" w:hAnsi="Cambria"/>
          <w:sz w:val="16"/>
          <w:szCs w:val="16"/>
          <w:lang w:val="es-ES"/>
        </w:rPr>
        <w:t>81</w:t>
      </w:r>
      <w:r w:rsidR="0010796C" w:rsidRPr="00616D0A">
        <w:rPr>
          <w:rFonts w:ascii="Cambria" w:hAnsi="Cambria"/>
          <w:sz w:val="16"/>
          <w:szCs w:val="16"/>
          <w:lang w:val="es-ES"/>
        </w:rPr>
        <w:t xml:space="preserve">. </w:t>
      </w:r>
      <w:r w:rsidRPr="006A4D75">
        <w:rPr>
          <w:rFonts w:asciiTheme="majorHAnsi" w:hAnsiTheme="majorHAnsi"/>
          <w:sz w:val="16"/>
          <w:szCs w:val="16"/>
          <w:lang w:val="es-ES"/>
        </w:rPr>
        <w:t>Resolución no. 125 de la Cámara de lo Criminal no. 2, 31 de mayo de 2001. Anexo a la comunicación del peticionario de 24 de agosto de 2001.</w:t>
      </w:r>
    </w:p>
  </w:footnote>
  <w:footnote w:id="177">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0010796C">
        <w:rPr>
          <w:rFonts w:asciiTheme="majorHAnsi" w:hAnsiTheme="majorHAnsi"/>
          <w:sz w:val="16"/>
          <w:szCs w:val="16"/>
          <w:lang w:val="es-ES"/>
        </w:rPr>
        <w:t xml:space="preserve"> </w:t>
      </w:r>
      <w:r w:rsidR="0010796C" w:rsidRPr="00616D0A">
        <w:rPr>
          <w:rFonts w:ascii="Cambria" w:hAnsi="Cambria"/>
          <w:sz w:val="16"/>
          <w:szCs w:val="16"/>
          <w:lang w:val="es-ES"/>
        </w:rPr>
        <w:t xml:space="preserve">Anexo </w:t>
      </w:r>
      <w:r w:rsidR="0010796C">
        <w:rPr>
          <w:rFonts w:ascii="Cambria" w:hAnsi="Cambria"/>
          <w:sz w:val="16"/>
          <w:szCs w:val="16"/>
          <w:lang w:val="es-ES"/>
        </w:rPr>
        <w:t>81</w:t>
      </w:r>
      <w:r w:rsidR="0010796C" w:rsidRPr="00616D0A">
        <w:rPr>
          <w:rFonts w:ascii="Cambria" w:hAnsi="Cambria"/>
          <w:sz w:val="16"/>
          <w:szCs w:val="16"/>
          <w:lang w:val="es-ES"/>
        </w:rPr>
        <w:t xml:space="preserve">. </w:t>
      </w:r>
      <w:r w:rsidRPr="006A4D75">
        <w:rPr>
          <w:rFonts w:asciiTheme="majorHAnsi" w:hAnsiTheme="majorHAnsi"/>
          <w:sz w:val="16"/>
          <w:szCs w:val="16"/>
          <w:lang w:val="es-ES"/>
        </w:rPr>
        <w:t xml:space="preserve">Resolución no. 125 de la Cámara de lo Criminal no. 2, 31 de mayo de 2001. Anexo a la comunicación del peticionario de 24 de agosto de 2001. </w:t>
      </w:r>
    </w:p>
  </w:footnote>
  <w:footnote w:id="178">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10796C" w:rsidRPr="00616D0A">
        <w:rPr>
          <w:rFonts w:ascii="Cambria" w:hAnsi="Cambria"/>
          <w:sz w:val="16"/>
          <w:szCs w:val="16"/>
          <w:lang w:val="es-ES"/>
        </w:rPr>
        <w:t xml:space="preserve">Anexo </w:t>
      </w:r>
      <w:r w:rsidR="0010796C">
        <w:rPr>
          <w:rFonts w:ascii="Cambria" w:hAnsi="Cambria"/>
          <w:sz w:val="16"/>
          <w:szCs w:val="16"/>
          <w:lang w:val="es-ES"/>
        </w:rPr>
        <w:t>82</w:t>
      </w:r>
      <w:r w:rsidR="0010796C" w:rsidRPr="00616D0A">
        <w:rPr>
          <w:rFonts w:ascii="Cambria" w:hAnsi="Cambria"/>
          <w:sz w:val="16"/>
          <w:szCs w:val="16"/>
          <w:lang w:val="es-ES"/>
        </w:rPr>
        <w:t xml:space="preserve">. </w:t>
      </w:r>
      <w:r w:rsidRPr="006A4D75">
        <w:rPr>
          <w:rFonts w:asciiTheme="majorHAnsi" w:hAnsiTheme="majorHAnsi"/>
          <w:sz w:val="16"/>
          <w:szCs w:val="16"/>
          <w:lang w:val="es-ES"/>
        </w:rPr>
        <w:t>Recurso de Casación, 14 de junio de 2001. Anexo a la comunicación del peticionario de 24 de agosto de 2001.</w:t>
      </w:r>
    </w:p>
  </w:footnote>
  <w:footnote w:id="179">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10796C" w:rsidRPr="00616D0A">
        <w:rPr>
          <w:rFonts w:ascii="Cambria" w:hAnsi="Cambria"/>
          <w:sz w:val="16"/>
          <w:szCs w:val="16"/>
          <w:lang w:val="es-ES"/>
        </w:rPr>
        <w:t xml:space="preserve">Anexo </w:t>
      </w:r>
      <w:r w:rsidR="0010796C">
        <w:rPr>
          <w:rFonts w:ascii="Cambria" w:hAnsi="Cambria"/>
          <w:sz w:val="16"/>
          <w:szCs w:val="16"/>
          <w:lang w:val="es-ES"/>
        </w:rPr>
        <w:t>83</w:t>
      </w:r>
      <w:r w:rsidR="0010796C" w:rsidRPr="00616D0A">
        <w:rPr>
          <w:rFonts w:ascii="Cambria" w:hAnsi="Cambria"/>
          <w:sz w:val="16"/>
          <w:szCs w:val="16"/>
          <w:lang w:val="es-ES"/>
        </w:rPr>
        <w:t xml:space="preserve">. </w:t>
      </w:r>
      <w:r w:rsidRPr="006A4D75">
        <w:rPr>
          <w:rFonts w:asciiTheme="majorHAnsi" w:hAnsiTheme="majorHAnsi"/>
          <w:sz w:val="16"/>
          <w:szCs w:val="16"/>
          <w:lang w:val="es-ES"/>
        </w:rPr>
        <w:t>Resolución no. 242 de la Cámara de lo Criminal no. 2. Anexo a la comunicación del peticionario de 24 de agosto de 2001.</w:t>
      </w:r>
    </w:p>
  </w:footnote>
  <w:footnote w:id="180">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10796C" w:rsidRPr="00616D0A">
        <w:rPr>
          <w:rFonts w:ascii="Cambria" w:hAnsi="Cambria"/>
          <w:sz w:val="16"/>
          <w:szCs w:val="16"/>
          <w:lang w:val="es-ES"/>
        </w:rPr>
        <w:t xml:space="preserve">Anexo </w:t>
      </w:r>
      <w:r w:rsidR="0010796C">
        <w:rPr>
          <w:rFonts w:ascii="Cambria" w:hAnsi="Cambria"/>
          <w:sz w:val="16"/>
          <w:szCs w:val="16"/>
          <w:lang w:val="es-ES"/>
        </w:rPr>
        <w:t>83</w:t>
      </w:r>
      <w:r w:rsidR="0010796C" w:rsidRPr="00616D0A">
        <w:rPr>
          <w:rFonts w:ascii="Cambria" w:hAnsi="Cambria"/>
          <w:sz w:val="16"/>
          <w:szCs w:val="16"/>
          <w:lang w:val="es-ES"/>
        </w:rPr>
        <w:t xml:space="preserve">. </w:t>
      </w:r>
      <w:r w:rsidRPr="006A4D75">
        <w:rPr>
          <w:rFonts w:asciiTheme="majorHAnsi" w:hAnsiTheme="majorHAnsi"/>
          <w:sz w:val="16"/>
          <w:szCs w:val="16"/>
          <w:lang w:val="es-ES"/>
        </w:rPr>
        <w:t>Resolución no. 242 de la Cámara de lo Criminal no. 2. Anexo a la comunicación del peticionario de 24 de agosto de 2001.</w:t>
      </w:r>
    </w:p>
  </w:footnote>
  <w:footnote w:id="181">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w:t>
      </w:r>
      <w:r w:rsidR="0010796C" w:rsidRPr="00616D0A">
        <w:rPr>
          <w:rFonts w:ascii="Cambria" w:hAnsi="Cambria"/>
          <w:sz w:val="16"/>
          <w:szCs w:val="16"/>
          <w:lang w:val="es-ES"/>
        </w:rPr>
        <w:t xml:space="preserve">Anexo </w:t>
      </w:r>
      <w:r w:rsidR="0010796C">
        <w:rPr>
          <w:rFonts w:ascii="Cambria" w:hAnsi="Cambria"/>
          <w:sz w:val="16"/>
          <w:szCs w:val="16"/>
          <w:lang w:val="es-ES"/>
        </w:rPr>
        <w:t>84</w:t>
      </w:r>
      <w:r w:rsidR="0010796C" w:rsidRPr="00616D0A">
        <w:rPr>
          <w:rFonts w:ascii="Cambria" w:hAnsi="Cambria"/>
          <w:sz w:val="16"/>
          <w:szCs w:val="16"/>
          <w:lang w:val="es-ES"/>
        </w:rPr>
        <w:t xml:space="preserve">. </w:t>
      </w:r>
      <w:r w:rsidRPr="006A4D75">
        <w:rPr>
          <w:rFonts w:asciiTheme="majorHAnsi" w:hAnsiTheme="majorHAnsi"/>
          <w:sz w:val="16"/>
          <w:szCs w:val="16"/>
          <w:lang w:val="es-ES"/>
        </w:rPr>
        <w:t>Recurso de queja, 21 de junio de 2001. Anexo a la comunicación del peticionario de 24 de agosto de 2001.</w:t>
      </w:r>
    </w:p>
  </w:footnote>
  <w:footnote w:id="18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Auto no. 111 del Superior Tribunal de Justicia de Corrientes, 14 de agosto de 2001. Anexo a la comunicación del peticionario de 24 de agosto de 2001.</w:t>
      </w:r>
    </w:p>
  </w:footnote>
  <w:footnote w:id="183">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Auto no. 111 del Superior Tribunal de Justicia de Corrientes, 14 de agosto de 2001. Anexo a la comunicación del peticionario de 24 de agosto de 2001.</w:t>
      </w:r>
    </w:p>
  </w:footnote>
  <w:footnote w:id="184">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CO"/>
        </w:rPr>
        <w:t xml:space="preserve"> </w:t>
      </w:r>
      <w:r w:rsidRPr="006A4D75">
        <w:rPr>
          <w:rFonts w:asciiTheme="majorHAnsi" w:hAnsiTheme="majorHAnsi"/>
          <w:sz w:val="16"/>
          <w:szCs w:val="16"/>
          <w:lang w:val="es-ES"/>
        </w:rPr>
        <w:t xml:space="preserve">El artículo 7 de la Convención Americana establece, en lo pertinente, lo siguiente: </w:t>
      </w:r>
    </w:p>
    <w:p w:rsidR="006A4D75" w:rsidRPr="006A4D75" w:rsidRDefault="006A4D75" w:rsidP="006A4D75">
      <w:pPr>
        <w:tabs>
          <w:tab w:val="left" w:pos="360"/>
          <w:tab w:val="left" w:pos="1080"/>
        </w:tabs>
        <w:spacing w:before="120"/>
        <w:ind w:left="720"/>
        <w:jc w:val="both"/>
        <w:rPr>
          <w:rFonts w:asciiTheme="majorHAnsi" w:hAnsiTheme="majorHAnsi"/>
          <w:spacing w:val="-3"/>
          <w:sz w:val="16"/>
          <w:szCs w:val="16"/>
          <w:lang w:val="es-ES"/>
        </w:rPr>
      </w:pPr>
      <w:r w:rsidRPr="006A4D75">
        <w:rPr>
          <w:rFonts w:asciiTheme="majorHAnsi" w:hAnsiTheme="majorHAnsi"/>
          <w:spacing w:val="-3"/>
          <w:sz w:val="16"/>
          <w:szCs w:val="16"/>
          <w:lang w:val="es-ES"/>
        </w:rPr>
        <w:t xml:space="preserve">1. </w:t>
      </w:r>
      <w:r w:rsidRPr="006A4D75">
        <w:rPr>
          <w:rFonts w:asciiTheme="majorHAnsi" w:hAnsiTheme="majorHAnsi"/>
          <w:spacing w:val="-3"/>
          <w:sz w:val="16"/>
          <w:szCs w:val="16"/>
          <w:lang w:val="es-ES"/>
        </w:rPr>
        <w:tab/>
        <w:t xml:space="preserve">Toda persona tiene derecho a la libertad y a </w:t>
      </w:r>
      <w:proofErr w:type="gramStart"/>
      <w:r w:rsidRPr="006A4D75">
        <w:rPr>
          <w:rFonts w:asciiTheme="majorHAnsi" w:hAnsiTheme="majorHAnsi"/>
          <w:spacing w:val="-3"/>
          <w:sz w:val="16"/>
          <w:szCs w:val="16"/>
          <w:lang w:val="es-ES"/>
        </w:rPr>
        <w:t>la seguridad personales</w:t>
      </w:r>
      <w:proofErr w:type="gramEnd"/>
      <w:r w:rsidRPr="006A4D75">
        <w:rPr>
          <w:rFonts w:asciiTheme="majorHAnsi" w:hAnsiTheme="majorHAnsi"/>
          <w:spacing w:val="-3"/>
          <w:sz w:val="16"/>
          <w:szCs w:val="16"/>
          <w:lang w:val="es-ES"/>
        </w:rPr>
        <w:t>.</w:t>
      </w:r>
    </w:p>
    <w:p w:rsidR="006A4D75" w:rsidRPr="006A4D75" w:rsidRDefault="006A4D75" w:rsidP="006A4D75">
      <w:pPr>
        <w:pStyle w:val="NormalWeb"/>
        <w:spacing w:before="120" w:beforeAutospacing="0" w:after="0" w:afterAutospacing="0"/>
        <w:ind w:left="720"/>
        <w:jc w:val="both"/>
        <w:rPr>
          <w:rFonts w:asciiTheme="majorHAnsi" w:hAnsiTheme="majorHAnsi" w:cs="Tahoma"/>
          <w:sz w:val="16"/>
          <w:szCs w:val="16"/>
          <w:lang w:val="es-CO"/>
        </w:rPr>
      </w:pPr>
      <w:r w:rsidRPr="006A4D75">
        <w:rPr>
          <w:rFonts w:asciiTheme="majorHAnsi" w:hAnsiTheme="majorHAnsi" w:cs="Tahoma"/>
          <w:sz w:val="16"/>
          <w:szCs w:val="16"/>
          <w:lang w:val="es-CO"/>
        </w:rPr>
        <w:t>2. Nadie puede ser privado de su libertad física, salvo por las causas y en las condiciones fijadas de antemano por las Constituciones Políticas de los Estados Partes o por las leyes dictadas conforme a ellas.</w:t>
      </w:r>
    </w:p>
    <w:p w:rsidR="006A4D75" w:rsidRPr="006A4D75" w:rsidRDefault="006A4D75" w:rsidP="006A4D75">
      <w:pPr>
        <w:tabs>
          <w:tab w:val="left" w:pos="360"/>
          <w:tab w:val="left" w:pos="1080"/>
        </w:tabs>
        <w:spacing w:before="120"/>
        <w:ind w:left="720"/>
        <w:jc w:val="both"/>
        <w:rPr>
          <w:rFonts w:asciiTheme="majorHAnsi" w:hAnsiTheme="majorHAnsi"/>
          <w:spacing w:val="-3"/>
          <w:sz w:val="16"/>
          <w:szCs w:val="16"/>
          <w:lang w:val="es-ES"/>
        </w:rPr>
      </w:pPr>
      <w:r w:rsidRPr="006A4D75">
        <w:rPr>
          <w:rFonts w:asciiTheme="majorHAnsi" w:hAnsiTheme="majorHAnsi"/>
          <w:spacing w:val="-3"/>
          <w:sz w:val="16"/>
          <w:szCs w:val="16"/>
          <w:lang w:val="es-ES"/>
        </w:rPr>
        <w:t>3.</w:t>
      </w:r>
      <w:r w:rsidRPr="006A4D75">
        <w:rPr>
          <w:rFonts w:asciiTheme="majorHAnsi" w:hAnsiTheme="majorHAnsi"/>
          <w:spacing w:val="-3"/>
          <w:sz w:val="16"/>
          <w:szCs w:val="16"/>
          <w:lang w:val="es-ES"/>
        </w:rPr>
        <w:tab/>
        <w:t>Nadie puede ser sometido a detención o encarcelamiento arbitrarios.</w:t>
      </w:r>
    </w:p>
    <w:p w:rsidR="006A4D75" w:rsidRPr="006A4D75" w:rsidRDefault="006A4D75" w:rsidP="006A4D75">
      <w:pPr>
        <w:tabs>
          <w:tab w:val="left" w:pos="360"/>
        </w:tabs>
        <w:spacing w:before="120"/>
        <w:ind w:left="720"/>
        <w:jc w:val="both"/>
        <w:rPr>
          <w:rFonts w:asciiTheme="majorHAnsi" w:hAnsiTheme="majorHAnsi"/>
          <w:spacing w:val="-3"/>
          <w:sz w:val="16"/>
          <w:szCs w:val="16"/>
          <w:lang w:val="es-ES"/>
        </w:rPr>
      </w:pPr>
      <w:r w:rsidRPr="006A4D75">
        <w:rPr>
          <w:rFonts w:asciiTheme="majorHAnsi" w:hAnsiTheme="majorHAnsi"/>
          <w:spacing w:val="-3"/>
          <w:sz w:val="16"/>
          <w:szCs w:val="16"/>
          <w:lang w:val="es-ES"/>
        </w:rPr>
        <w:t>(…)</w:t>
      </w:r>
    </w:p>
    <w:p w:rsidR="006A4D75" w:rsidRPr="006A4D75" w:rsidRDefault="006A4D75" w:rsidP="006A4D75">
      <w:pPr>
        <w:tabs>
          <w:tab w:val="left" w:pos="360"/>
        </w:tabs>
        <w:spacing w:before="120"/>
        <w:ind w:left="720"/>
        <w:jc w:val="both"/>
        <w:rPr>
          <w:rFonts w:asciiTheme="majorHAnsi" w:hAnsiTheme="majorHAnsi"/>
          <w:spacing w:val="-3"/>
          <w:sz w:val="16"/>
          <w:szCs w:val="16"/>
          <w:lang w:val="es-ES"/>
        </w:rPr>
      </w:pPr>
      <w:r w:rsidRPr="006A4D75">
        <w:rPr>
          <w:rFonts w:asciiTheme="majorHAnsi" w:hAnsiTheme="majorHAnsi"/>
          <w:spacing w:val="-3"/>
          <w:sz w:val="16"/>
          <w:szCs w:val="16"/>
          <w:lang w:val="es-ES"/>
        </w:rPr>
        <w:t>5.</w:t>
      </w:r>
      <w:r w:rsidRPr="006A4D75">
        <w:rPr>
          <w:rFonts w:asciiTheme="majorHAnsi" w:hAnsiTheme="majorHAnsi"/>
          <w:b/>
          <w:spacing w:val="-3"/>
          <w:sz w:val="16"/>
          <w:szCs w:val="16"/>
          <w:lang w:val="es-ES"/>
        </w:rPr>
        <w:t xml:space="preserve">  </w:t>
      </w:r>
      <w:r w:rsidRPr="006A4D75">
        <w:rPr>
          <w:rFonts w:asciiTheme="majorHAnsi" w:hAnsiTheme="majorHAnsi"/>
          <w:spacing w:val="-3"/>
          <w:sz w:val="16"/>
          <w:szCs w:val="16"/>
          <w:lang w:val="es-ES"/>
        </w:rPr>
        <w:t>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rsidR="006A4D75" w:rsidRPr="006A4D75" w:rsidRDefault="006A4D75" w:rsidP="006A4D75">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before="120"/>
        <w:ind w:left="720" w:firstLine="0"/>
        <w:jc w:val="both"/>
        <w:rPr>
          <w:rFonts w:asciiTheme="majorHAnsi" w:hAnsiTheme="majorHAnsi"/>
          <w:sz w:val="16"/>
          <w:szCs w:val="16"/>
        </w:rPr>
      </w:pPr>
      <w:r w:rsidRPr="006A4D75">
        <w:rPr>
          <w:rFonts w:asciiTheme="majorHAnsi" w:hAnsiTheme="majorHAnsi"/>
          <w:sz w:val="16"/>
          <w:szCs w:val="16"/>
        </w:rPr>
        <w:t>(…)</w:t>
      </w:r>
    </w:p>
    <w:p w:rsidR="006A4D75" w:rsidRPr="006A4D75" w:rsidRDefault="006A4D75" w:rsidP="006A4D75">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before="120"/>
        <w:ind w:left="720" w:firstLine="0"/>
        <w:jc w:val="both"/>
        <w:rPr>
          <w:rFonts w:asciiTheme="majorHAnsi" w:hAnsiTheme="majorHAnsi"/>
          <w:sz w:val="16"/>
          <w:szCs w:val="16"/>
        </w:rPr>
      </w:pPr>
      <w:r w:rsidRPr="006A4D75">
        <w:rPr>
          <w:rFonts w:asciiTheme="majorHAnsi" w:hAnsiTheme="majorHAnsi" w:cs="Tahoma"/>
          <w:sz w:val="16"/>
          <w:szCs w:val="16"/>
        </w:rPr>
        <w:t>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footnote>
  <w:footnote w:id="185">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CO"/>
        </w:rPr>
        <w:t xml:space="preserve"> </w:t>
      </w:r>
      <w:r w:rsidRPr="006A4D75">
        <w:rPr>
          <w:rFonts w:asciiTheme="majorHAnsi" w:hAnsiTheme="majorHAnsi"/>
          <w:sz w:val="16"/>
          <w:szCs w:val="16"/>
          <w:lang w:val="es-ES"/>
        </w:rPr>
        <w:t xml:space="preserve">El artículo 8.2 de la Convención Americana establece, en lo pertinente, lo siguiente: </w:t>
      </w:r>
      <w:r w:rsidRPr="006A4D75">
        <w:rPr>
          <w:rFonts w:asciiTheme="majorHAnsi" w:hAnsiTheme="majorHAnsi"/>
          <w:spacing w:val="-3"/>
          <w:sz w:val="16"/>
          <w:szCs w:val="16"/>
          <w:lang w:val="es-ES"/>
        </w:rPr>
        <w:t>Toda persona inculpada de delito tiene derecho a que se presuma su inocencia mientras no se establezca legalmente su culpabilidad (...).</w:t>
      </w:r>
    </w:p>
  </w:footnote>
  <w:footnote w:id="186">
    <w:p w:rsidR="006A4D75" w:rsidRPr="006A4D75" w:rsidRDefault="006A4D75" w:rsidP="006A4D75">
      <w:pPr>
        <w:spacing w:before="120"/>
        <w:ind w:firstLine="720"/>
        <w:jc w:val="both"/>
        <w:rPr>
          <w:rFonts w:asciiTheme="majorHAnsi" w:hAnsiTheme="majorHAnsi" w:cs="Times"/>
          <w:sz w:val="16"/>
          <w:szCs w:val="16"/>
          <w:lang w:val="es-CO"/>
        </w:rPr>
      </w:pPr>
      <w:r w:rsidRPr="006A4D75">
        <w:rPr>
          <w:rStyle w:val="FootnoteReference"/>
          <w:rFonts w:asciiTheme="majorHAnsi" w:hAnsiTheme="majorHAnsi"/>
          <w:sz w:val="16"/>
          <w:szCs w:val="16"/>
        </w:rPr>
        <w:footnoteRef/>
      </w:r>
      <w:r w:rsidRPr="006A4D75">
        <w:rPr>
          <w:rFonts w:asciiTheme="majorHAnsi" w:hAnsiTheme="majorHAnsi"/>
          <w:sz w:val="16"/>
          <w:szCs w:val="16"/>
          <w:lang w:val="es-CO"/>
        </w:rPr>
        <w:t xml:space="preserve"> CIDH. </w:t>
      </w:r>
      <w:hyperlink r:id="rId4" w:history="1">
        <w:r w:rsidRPr="006A4D75">
          <w:rPr>
            <w:rStyle w:val="Hyperlink"/>
            <w:rFonts w:asciiTheme="majorHAnsi" w:hAnsiTheme="majorHAnsi"/>
            <w:sz w:val="16"/>
            <w:szCs w:val="16"/>
            <w:u w:val="none"/>
            <w:lang w:val="es-CO"/>
          </w:rPr>
          <w:t>Informe sobre el uso de la prisión preventiva en las Américas</w:t>
        </w:r>
      </w:hyperlink>
      <w:r w:rsidRPr="006A4D75">
        <w:rPr>
          <w:rFonts w:asciiTheme="majorHAnsi" w:hAnsiTheme="majorHAnsi"/>
          <w:sz w:val="16"/>
          <w:szCs w:val="16"/>
          <w:lang w:val="es-CO"/>
        </w:rPr>
        <w:t>. OEA/</w:t>
      </w:r>
      <w:proofErr w:type="spellStart"/>
      <w:r w:rsidRPr="006A4D75">
        <w:rPr>
          <w:rFonts w:asciiTheme="majorHAnsi" w:hAnsiTheme="majorHAnsi"/>
          <w:sz w:val="16"/>
          <w:szCs w:val="16"/>
          <w:lang w:val="es-CO"/>
        </w:rPr>
        <w:t>Ser.L</w:t>
      </w:r>
      <w:proofErr w:type="spellEnd"/>
      <w:r w:rsidRPr="006A4D75">
        <w:rPr>
          <w:rFonts w:asciiTheme="majorHAnsi" w:hAnsiTheme="majorHAnsi"/>
          <w:sz w:val="16"/>
          <w:szCs w:val="16"/>
          <w:lang w:val="es-CO"/>
        </w:rPr>
        <w:t xml:space="preserve">/V/II. 30 de diciembre de 2013, párr. 20; </w:t>
      </w:r>
      <w:r w:rsidRPr="006A4D75">
        <w:rPr>
          <w:rFonts w:asciiTheme="majorHAnsi" w:hAnsiTheme="majorHAnsi" w:cs="Times"/>
          <w:sz w:val="16"/>
          <w:szCs w:val="16"/>
          <w:lang w:val="it-IT"/>
        </w:rPr>
        <w:t xml:space="preserve">Corte IDH. </w:t>
      </w:r>
      <w:r w:rsidRPr="006A4D75">
        <w:rPr>
          <w:rFonts w:asciiTheme="majorHAnsi" w:hAnsiTheme="majorHAnsi" w:cs="Times"/>
          <w:i/>
          <w:iCs/>
          <w:sz w:val="16"/>
          <w:szCs w:val="16"/>
          <w:lang w:val="it-IT"/>
        </w:rPr>
        <w:t>Caso</w:t>
      </w:r>
      <w:r w:rsidRPr="006A4D75">
        <w:rPr>
          <w:rFonts w:asciiTheme="majorHAnsi" w:hAnsiTheme="majorHAnsi" w:cs="Times"/>
          <w:i/>
          <w:sz w:val="16"/>
          <w:szCs w:val="16"/>
          <w:lang w:val="it-IT"/>
        </w:rPr>
        <w:t xml:space="preserve"> </w:t>
      </w:r>
      <w:r w:rsidRPr="006A4D75">
        <w:rPr>
          <w:rFonts w:asciiTheme="majorHAnsi" w:hAnsiTheme="majorHAnsi" w:cs="Times"/>
          <w:i/>
          <w:iCs/>
          <w:sz w:val="16"/>
          <w:szCs w:val="16"/>
          <w:lang w:val="it-IT"/>
        </w:rPr>
        <w:t>López Álvarez</w:t>
      </w:r>
      <w:r w:rsidRPr="006A4D75">
        <w:rPr>
          <w:rFonts w:asciiTheme="majorHAnsi" w:hAnsiTheme="majorHAnsi" w:cs="Times"/>
          <w:sz w:val="16"/>
          <w:szCs w:val="16"/>
          <w:lang w:val="it-IT"/>
        </w:rPr>
        <w:t xml:space="preserve"> </w:t>
      </w:r>
      <w:r w:rsidRPr="006A4D75">
        <w:rPr>
          <w:rFonts w:asciiTheme="majorHAnsi" w:hAnsiTheme="majorHAnsi" w:cs="Times"/>
          <w:i/>
          <w:sz w:val="16"/>
          <w:szCs w:val="16"/>
          <w:lang w:val="it-IT"/>
        </w:rPr>
        <w:t>Vs. Honduras</w:t>
      </w:r>
      <w:r w:rsidRPr="006A4D75">
        <w:rPr>
          <w:rFonts w:asciiTheme="majorHAnsi" w:hAnsiTheme="majorHAnsi" w:cs="Times"/>
          <w:sz w:val="16"/>
          <w:szCs w:val="16"/>
          <w:lang w:val="it-IT"/>
        </w:rPr>
        <w:t xml:space="preserve">. </w:t>
      </w:r>
      <w:r w:rsidRPr="006A4D75">
        <w:rPr>
          <w:rFonts w:asciiTheme="majorHAnsi" w:hAnsiTheme="majorHAnsi" w:cs="Times"/>
          <w:sz w:val="16"/>
          <w:szCs w:val="16"/>
          <w:lang w:val="es-CO"/>
        </w:rPr>
        <w:t xml:space="preserve">Sentencia de 1º de febrero de 2006. Serie C No. 141, </w:t>
      </w:r>
      <w:r w:rsidRPr="006A4D75">
        <w:rPr>
          <w:rFonts w:asciiTheme="majorHAnsi" w:hAnsiTheme="majorHAnsi"/>
          <w:sz w:val="16"/>
          <w:szCs w:val="16"/>
          <w:lang w:val="es-CO"/>
        </w:rPr>
        <w:t xml:space="preserve">párr. 67; </w:t>
      </w:r>
      <w:r w:rsidRPr="006A4D75">
        <w:rPr>
          <w:rFonts w:asciiTheme="majorHAnsi" w:hAnsiTheme="majorHAnsi" w:cs="Times"/>
          <w:i/>
          <w:iCs/>
          <w:sz w:val="16"/>
          <w:szCs w:val="16"/>
          <w:lang w:val="es-CO"/>
        </w:rPr>
        <w:t xml:space="preserve">Caso García </w:t>
      </w:r>
      <w:proofErr w:type="spellStart"/>
      <w:r w:rsidRPr="006A4D75">
        <w:rPr>
          <w:rFonts w:asciiTheme="majorHAnsi" w:hAnsiTheme="majorHAnsi" w:cs="Times"/>
          <w:i/>
          <w:iCs/>
          <w:sz w:val="16"/>
          <w:szCs w:val="16"/>
          <w:lang w:val="es-CO"/>
        </w:rPr>
        <w:t>Asto</w:t>
      </w:r>
      <w:proofErr w:type="spellEnd"/>
      <w:r w:rsidRPr="006A4D75">
        <w:rPr>
          <w:rFonts w:asciiTheme="majorHAnsi" w:hAnsiTheme="majorHAnsi" w:cs="Times"/>
          <w:i/>
          <w:iCs/>
          <w:sz w:val="16"/>
          <w:szCs w:val="16"/>
          <w:lang w:val="es-CO"/>
        </w:rPr>
        <w:t xml:space="preserve"> y Ramírez Rojas Vs. Rojas</w:t>
      </w:r>
      <w:r w:rsidRPr="006A4D75">
        <w:rPr>
          <w:rFonts w:asciiTheme="majorHAnsi" w:hAnsiTheme="majorHAnsi" w:cs="Times"/>
          <w:sz w:val="16"/>
          <w:szCs w:val="16"/>
          <w:lang w:val="es-CO"/>
        </w:rPr>
        <w:t xml:space="preserve">. Sentencia de 25 de noviembre de 2005. Serie C No. 137, </w:t>
      </w:r>
      <w:r w:rsidRPr="006A4D75">
        <w:rPr>
          <w:rFonts w:asciiTheme="majorHAnsi" w:hAnsiTheme="majorHAnsi"/>
          <w:sz w:val="16"/>
          <w:szCs w:val="16"/>
          <w:lang w:val="es-CO"/>
        </w:rPr>
        <w:t xml:space="preserve">párr. 106; </w:t>
      </w:r>
      <w:r w:rsidRPr="006A4D75">
        <w:rPr>
          <w:rFonts w:asciiTheme="majorHAnsi" w:hAnsiTheme="majorHAnsi" w:cs="Times"/>
          <w:i/>
          <w:iCs/>
          <w:sz w:val="16"/>
          <w:szCs w:val="16"/>
          <w:lang w:val="es-CO"/>
        </w:rPr>
        <w:t xml:space="preserve">Caso </w:t>
      </w:r>
      <w:proofErr w:type="spellStart"/>
      <w:r w:rsidRPr="006A4D75">
        <w:rPr>
          <w:rFonts w:asciiTheme="majorHAnsi" w:hAnsiTheme="majorHAnsi" w:cs="Times"/>
          <w:i/>
          <w:iCs/>
          <w:sz w:val="16"/>
          <w:szCs w:val="16"/>
          <w:lang w:val="es-CO"/>
        </w:rPr>
        <w:t>Palamara</w:t>
      </w:r>
      <w:proofErr w:type="spellEnd"/>
      <w:r w:rsidRPr="006A4D75">
        <w:rPr>
          <w:rFonts w:asciiTheme="majorHAnsi" w:hAnsiTheme="majorHAnsi" w:cs="Times"/>
          <w:i/>
          <w:iCs/>
          <w:sz w:val="16"/>
          <w:szCs w:val="16"/>
          <w:lang w:val="es-CO"/>
        </w:rPr>
        <w:t xml:space="preserve"> Iribarne Vs. Chile</w:t>
      </w:r>
      <w:r w:rsidRPr="006A4D75">
        <w:rPr>
          <w:rFonts w:asciiTheme="majorHAnsi" w:hAnsiTheme="majorHAnsi" w:cs="Times"/>
          <w:sz w:val="16"/>
          <w:szCs w:val="16"/>
          <w:lang w:val="es-CO"/>
        </w:rPr>
        <w:t xml:space="preserve">. Sentencia de 22 de noviembre de 2005. Serie C No. 135, </w:t>
      </w:r>
      <w:r w:rsidRPr="006A4D75">
        <w:rPr>
          <w:rFonts w:asciiTheme="majorHAnsi" w:hAnsiTheme="majorHAnsi"/>
          <w:sz w:val="16"/>
          <w:szCs w:val="16"/>
          <w:lang w:val="es-CO"/>
        </w:rPr>
        <w:t>párr</w:t>
      </w:r>
      <w:r w:rsidRPr="006A4D75">
        <w:rPr>
          <w:rFonts w:asciiTheme="majorHAnsi" w:hAnsiTheme="majorHAnsi"/>
          <w:color w:val="000000"/>
          <w:sz w:val="16"/>
          <w:szCs w:val="16"/>
          <w:lang w:val="es-CO"/>
        </w:rPr>
        <w:t xml:space="preserve">. 197; y </w:t>
      </w:r>
      <w:r w:rsidRPr="006A4D75">
        <w:rPr>
          <w:rFonts w:asciiTheme="majorHAnsi" w:hAnsiTheme="majorHAnsi" w:cs="Times"/>
          <w:i/>
          <w:iCs/>
          <w:sz w:val="16"/>
          <w:szCs w:val="16"/>
          <w:lang w:val="es-CO"/>
        </w:rPr>
        <w:t>Caso Acosta Calderón</w:t>
      </w:r>
      <w:r w:rsidRPr="006A4D75">
        <w:rPr>
          <w:rFonts w:asciiTheme="majorHAnsi" w:hAnsiTheme="majorHAnsi" w:cs="Times"/>
          <w:i/>
          <w:sz w:val="16"/>
          <w:szCs w:val="16"/>
          <w:lang w:val="es-CO"/>
        </w:rPr>
        <w:t xml:space="preserve"> Vs. Ecuador</w:t>
      </w:r>
      <w:r w:rsidRPr="006A4D75">
        <w:rPr>
          <w:rFonts w:asciiTheme="majorHAnsi" w:hAnsiTheme="majorHAnsi" w:cs="Times"/>
          <w:sz w:val="16"/>
          <w:szCs w:val="16"/>
          <w:lang w:val="es-CO"/>
        </w:rPr>
        <w:t>.  Sentencia de 24 de junio de 2005.  Serie C No. 129, p</w:t>
      </w:r>
      <w:r w:rsidRPr="006A4D75">
        <w:rPr>
          <w:rFonts w:asciiTheme="majorHAnsi" w:hAnsiTheme="majorHAnsi"/>
          <w:sz w:val="16"/>
          <w:szCs w:val="16"/>
          <w:lang w:val="es-CO"/>
        </w:rPr>
        <w:t>árr</w:t>
      </w:r>
      <w:r w:rsidRPr="006A4D75">
        <w:rPr>
          <w:rFonts w:asciiTheme="majorHAnsi" w:hAnsiTheme="majorHAnsi"/>
          <w:color w:val="000000"/>
          <w:sz w:val="16"/>
          <w:szCs w:val="16"/>
          <w:lang w:val="es-CO"/>
        </w:rPr>
        <w:t>. 74.</w:t>
      </w:r>
    </w:p>
  </w:footnote>
  <w:footnote w:id="187">
    <w:p w:rsidR="006A4D75" w:rsidRPr="006A4D75" w:rsidRDefault="006A4D75" w:rsidP="006A4D75">
      <w:pPr>
        <w:spacing w:before="120"/>
        <w:ind w:firstLine="720"/>
        <w:jc w:val="both"/>
        <w:rPr>
          <w:rFonts w:asciiTheme="majorHAnsi" w:hAnsiTheme="majorHAnsi"/>
          <w:sz w:val="16"/>
          <w:szCs w:val="16"/>
          <w:lang w:val="es-CO"/>
        </w:rPr>
      </w:pPr>
      <w:r w:rsidRPr="006A4D75">
        <w:rPr>
          <w:rStyle w:val="FootnoteReference"/>
          <w:rFonts w:asciiTheme="majorHAnsi" w:hAnsiTheme="majorHAnsi"/>
          <w:sz w:val="16"/>
          <w:szCs w:val="16"/>
        </w:rPr>
        <w:footnoteRef/>
      </w:r>
      <w:r w:rsidRPr="006A4D75">
        <w:rPr>
          <w:rFonts w:asciiTheme="majorHAnsi" w:hAnsiTheme="majorHAnsi"/>
          <w:sz w:val="16"/>
          <w:szCs w:val="16"/>
          <w:lang w:val="es-CO"/>
        </w:rPr>
        <w:t xml:space="preserve"> Corte IDH. </w:t>
      </w:r>
      <w:r w:rsidRPr="006A4D75">
        <w:rPr>
          <w:rFonts w:asciiTheme="majorHAnsi" w:hAnsiTheme="majorHAnsi"/>
          <w:i/>
          <w:sz w:val="16"/>
          <w:szCs w:val="16"/>
          <w:lang w:val="es-CO"/>
        </w:rPr>
        <w:t>Caso Suárez Rosero Vs. Ecuador</w:t>
      </w:r>
      <w:r w:rsidRPr="006A4D75">
        <w:rPr>
          <w:rFonts w:asciiTheme="majorHAnsi" w:hAnsiTheme="majorHAnsi"/>
          <w:sz w:val="16"/>
          <w:szCs w:val="16"/>
          <w:lang w:val="es-CO"/>
        </w:rPr>
        <w:t>. Sentencia de 12 de noviembre de 1997. Serie C No. 35, párr. 77.</w:t>
      </w:r>
    </w:p>
  </w:footnote>
  <w:footnote w:id="188">
    <w:p w:rsidR="006A4D75" w:rsidRPr="006A4D75" w:rsidRDefault="006A4D75" w:rsidP="006A4D75">
      <w:pPr>
        <w:spacing w:before="120"/>
        <w:ind w:firstLine="720"/>
        <w:jc w:val="both"/>
        <w:rPr>
          <w:rFonts w:asciiTheme="majorHAnsi" w:hAnsiTheme="majorHAnsi"/>
          <w:sz w:val="16"/>
          <w:szCs w:val="16"/>
          <w:lang w:val="es-CO"/>
        </w:rPr>
      </w:pPr>
      <w:r w:rsidRPr="006A4D75">
        <w:rPr>
          <w:rStyle w:val="FootnoteReference"/>
          <w:rFonts w:asciiTheme="majorHAnsi" w:hAnsiTheme="majorHAnsi"/>
          <w:sz w:val="16"/>
          <w:szCs w:val="16"/>
        </w:rPr>
        <w:footnoteRef/>
      </w:r>
      <w:r w:rsidRPr="006A4D75">
        <w:rPr>
          <w:rFonts w:asciiTheme="majorHAnsi" w:hAnsiTheme="majorHAnsi"/>
          <w:sz w:val="16"/>
          <w:szCs w:val="16"/>
          <w:lang w:val="es-CO"/>
        </w:rPr>
        <w:t xml:space="preserve"> CIDH. </w:t>
      </w:r>
      <w:hyperlink r:id="rId5" w:history="1">
        <w:r w:rsidRPr="006A4D75">
          <w:rPr>
            <w:rStyle w:val="Hyperlink"/>
            <w:rFonts w:asciiTheme="majorHAnsi" w:hAnsiTheme="majorHAnsi"/>
            <w:sz w:val="16"/>
            <w:szCs w:val="16"/>
            <w:u w:val="none"/>
            <w:lang w:val="es-CO"/>
          </w:rPr>
          <w:t>Informe sobre el uso de la prisión preventiva en las Américas</w:t>
        </w:r>
      </w:hyperlink>
      <w:r w:rsidRPr="006A4D75">
        <w:rPr>
          <w:rFonts w:asciiTheme="majorHAnsi" w:hAnsiTheme="majorHAnsi"/>
          <w:sz w:val="16"/>
          <w:szCs w:val="16"/>
          <w:lang w:val="es-CO"/>
        </w:rPr>
        <w:t>. OEA/</w:t>
      </w:r>
      <w:proofErr w:type="spellStart"/>
      <w:r w:rsidRPr="006A4D75">
        <w:rPr>
          <w:rFonts w:asciiTheme="majorHAnsi" w:hAnsiTheme="majorHAnsi"/>
          <w:sz w:val="16"/>
          <w:szCs w:val="16"/>
          <w:lang w:val="es-CO"/>
        </w:rPr>
        <w:t>Ser.L</w:t>
      </w:r>
      <w:proofErr w:type="spellEnd"/>
      <w:r w:rsidRPr="006A4D75">
        <w:rPr>
          <w:rFonts w:asciiTheme="majorHAnsi" w:hAnsiTheme="majorHAnsi"/>
          <w:sz w:val="16"/>
          <w:szCs w:val="16"/>
          <w:lang w:val="es-CO"/>
        </w:rPr>
        <w:t xml:space="preserve">/V/II. 30 de diciembre de 2013, párr. 21; </w:t>
      </w:r>
      <w:r w:rsidRPr="006A4D75">
        <w:rPr>
          <w:rFonts w:asciiTheme="majorHAnsi" w:hAnsiTheme="majorHAnsi" w:cs="Times"/>
          <w:sz w:val="16"/>
          <w:szCs w:val="16"/>
          <w:lang w:val="it-IT"/>
        </w:rPr>
        <w:t xml:space="preserve">Corte IDH. </w:t>
      </w:r>
      <w:r w:rsidRPr="006A4D75">
        <w:rPr>
          <w:rFonts w:asciiTheme="majorHAnsi" w:hAnsiTheme="majorHAnsi" w:cs="Times"/>
          <w:i/>
          <w:iCs/>
          <w:sz w:val="16"/>
          <w:szCs w:val="16"/>
          <w:lang w:val="it-IT"/>
        </w:rPr>
        <w:t>Caso</w:t>
      </w:r>
      <w:r w:rsidRPr="006A4D75">
        <w:rPr>
          <w:rFonts w:asciiTheme="majorHAnsi" w:hAnsiTheme="majorHAnsi" w:cs="Times"/>
          <w:i/>
          <w:sz w:val="16"/>
          <w:szCs w:val="16"/>
          <w:lang w:val="it-IT"/>
        </w:rPr>
        <w:t xml:space="preserve"> </w:t>
      </w:r>
      <w:r w:rsidRPr="006A4D75">
        <w:rPr>
          <w:rFonts w:asciiTheme="majorHAnsi" w:hAnsiTheme="majorHAnsi" w:cs="Times"/>
          <w:i/>
          <w:iCs/>
          <w:sz w:val="16"/>
          <w:szCs w:val="16"/>
          <w:lang w:val="it-IT"/>
        </w:rPr>
        <w:t>López Álvarez Vs. Honduras</w:t>
      </w:r>
      <w:r w:rsidRPr="006A4D75">
        <w:rPr>
          <w:rFonts w:asciiTheme="majorHAnsi" w:hAnsiTheme="majorHAnsi" w:cs="Times"/>
          <w:sz w:val="16"/>
          <w:szCs w:val="16"/>
          <w:lang w:val="it-IT"/>
        </w:rPr>
        <w:t xml:space="preserve">. </w:t>
      </w:r>
      <w:r w:rsidRPr="006A4D75">
        <w:rPr>
          <w:rFonts w:asciiTheme="majorHAnsi" w:hAnsiTheme="majorHAnsi" w:cs="Times"/>
          <w:sz w:val="16"/>
          <w:szCs w:val="16"/>
          <w:lang w:val="es-CO"/>
        </w:rPr>
        <w:t xml:space="preserve">Sentencia de 1º de febrero de 2006. </w:t>
      </w:r>
      <w:r w:rsidRPr="006A4D75">
        <w:rPr>
          <w:rFonts w:asciiTheme="majorHAnsi" w:hAnsiTheme="majorHAnsi" w:cs="Times"/>
          <w:sz w:val="16"/>
          <w:szCs w:val="16"/>
          <w:lang w:val="pt-BR"/>
        </w:rPr>
        <w:t xml:space="preserve">Serie C No. 141, </w:t>
      </w:r>
      <w:r w:rsidRPr="006A4D75">
        <w:rPr>
          <w:rFonts w:asciiTheme="majorHAnsi" w:hAnsiTheme="majorHAnsi"/>
          <w:sz w:val="16"/>
          <w:szCs w:val="16"/>
          <w:lang w:val="pt-BR"/>
        </w:rPr>
        <w:t xml:space="preserve">párr. 67; Corte IDH. </w:t>
      </w:r>
      <w:r w:rsidRPr="006A4D75">
        <w:rPr>
          <w:rFonts w:asciiTheme="majorHAnsi" w:hAnsiTheme="majorHAnsi"/>
          <w:i/>
          <w:sz w:val="16"/>
          <w:szCs w:val="16"/>
          <w:lang w:val="pt-BR"/>
        </w:rPr>
        <w:t xml:space="preserve">Caso Palamara Iribarne Vs. </w:t>
      </w:r>
      <w:r w:rsidRPr="006A4D75">
        <w:rPr>
          <w:rFonts w:asciiTheme="majorHAnsi" w:hAnsiTheme="majorHAnsi"/>
          <w:i/>
          <w:sz w:val="16"/>
          <w:szCs w:val="16"/>
          <w:lang w:val="es-CO"/>
        </w:rPr>
        <w:t>Chile</w:t>
      </w:r>
      <w:r w:rsidRPr="006A4D75">
        <w:rPr>
          <w:rFonts w:asciiTheme="majorHAnsi" w:hAnsiTheme="majorHAnsi"/>
          <w:sz w:val="16"/>
          <w:szCs w:val="16"/>
          <w:lang w:val="es-CO"/>
        </w:rPr>
        <w:t xml:space="preserve">. Sentencia de 22 de noviembre de 2005. Serie C No. 135, párr. 196; y Corte IDH. </w:t>
      </w:r>
      <w:r w:rsidRPr="006A4D75">
        <w:rPr>
          <w:rFonts w:asciiTheme="majorHAnsi" w:hAnsiTheme="majorHAnsi"/>
          <w:i/>
          <w:sz w:val="16"/>
          <w:szCs w:val="16"/>
          <w:lang w:val="es-CO"/>
        </w:rPr>
        <w:t>Caso Acosta Calderón Vs. Ecuador</w:t>
      </w:r>
      <w:r w:rsidRPr="006A4D75">
        <w:rPr>
          <w:rFonts w:asciiTheme="majorHAnsi" w:hAnsiTheme="majorHAnsi"/>
          <w:sz w:val="16"/>
          <w:szCs w:val="16"/>
          <w:lang w:val="es-CO"/>
        </w:rPr>
        <w:t>. Sentencia de 24 de junio de 2005. Serie C No. 129, párr. 74.</w:t>
      </w:r>
    </w:p>
  </w:footnote>
  <w:footnote w:id="189">
    <w:p w:rsidR="006A4D75" w:rsidRPr="000422F6" w:rsidRDefault="006A4D75" w:rsidP="006A4D75">
      <w:pPr>
        <w:spacing w:before="120"/>
        <w:ind w:firstLine="720"/>
        <w:jc w:val="both"/>
        <w:rPr>
          <w:rFonts w:asciiTheme="majorHAnsi" w:hAnsiTheme="majorHAnsi"/>
          <w:sz w:val="16"/>
          <w:szCs w:val="16"/>
          <w:lang w:val="pt-BR"/>
        </w:rPr>
      </w:pPr>
      <w:r w:rsidRPr="006A4D75">
        <w:rPr>
          <w:rStyle w:val="FootnoteReference"/>
          <w:rFonts w:asciiTheme="majorHAnsi" w:hAnsiTheme="majorHAnsi"/>
          <w:sz w:val="16"/>
          <w:szCs w:val="16"/>
        </w:rPr>
        <w:footnoteRef/>
      </w:r>
      <w:r w:rsidRPr="006A4D75">
        <w:rPr>
          <w:rFonts w:asciiTheme="majorHAnsi" w:hAnsiTheme="majorHAnsi"/>
          <w:sz w:val="16"/>
          <w:szCs w:val="16"/>
          <w:lang w:val="es-CO"/>
        </w:rPr>
        <w:t xml:space="preserve"> CIDH. </w:t>
      </w:r>
      <w:hyperlink r:id="rId6" w:history="1">
        <w:r w:rsidRPr="006A4D75">
          <w:rPr>
            <w:rStyle w:val="Hyperlink"/>
            <w:rFonts w:asciiTheme="majorHAnsi" w:hAnsiTheme="majorHAnsi"/>
            <w:sz w:val="16"/>
            <w:szCs w:val="16"/>
            <w:u w:val="none"/>
            <w:lang w:val="es-CO"/>
          </w:rPr>
          <w:t>Informe sobre el uso de la prisión preventiva en las Américas</w:t>
        </w:r>
      </w:hyperlink>
      <w:r w:rsidRPr="006A4D75">
        <w:rPr>
          <w:rFonts w:asciiTheme="majorHAnsi" w:hAnsiTheme="majorHAnsi"/>
          <w:sz w:val="16"/>
          <w:szCs w:val="16"/>
          <w:lang w:val="es-CO"/>
        </w:rPr>
        <w:t>. OEA/</w:t>
      </w:r>
      <w:proofErr w:type="spellStart"/>
      <w:r w:rsidRPr="006A4D75">
        <w:rPr>
          <w:rFonts w:asciiTheme="majorHAnsi" w:hAnsiTheme="majorHAnsi"/>
          <w:sz w:val="16"/>
          <w:szCs w:val="16"/>
          <w:lang w:val="es-CO"/>
        </w:rPr>
        <w:t>Ser.L</w:t>
      </w:r>
      <w:proofErr w:type="spellEnd"/>
      <w:r w:rsidRPr="006A4D75">
        <w:rPr>
          <w:rFonts w:asciiTheme="majorHAnsi" w:hAnsiTheme="majorHAnsi"/>
          <w:sz w:val="16"/>
          <w:szCs w:val="16"/>
          <w:lang w:val="es-CO"/>
        </w:rPr>
        <w:t>/V/II. 30 de diciembre de 2013, p</w:t>
      </w:r>
      <w:proofErr w:type="spellStart"/>
      <w:r w:rsidRPr="006A4D75">
        <w:rPr>
          <w:rFonts w:asciiTheme="majorHAnsi" w:hAnsiTheme="majorHAnsi"/>
          <w:sz w:val="16"/>
          <w:szCs w:val="16"/>
          <w:lang w:val="es-ES"/>
        </w:rPr>
        <w:t>árr</w:t>
      </w:r>
      <w:proofErr w:type="spellEnd"/>
      <w:r w:rsidRPr="006A4D75">
        <w:rPr>
          <w:rFonts w:asciiTheme="majorHAnsi" w:hAnsiTheme="majorHAnsi"/>
          <w:sz w:val="16"/>
          <w:szCs w:val="16"/>
          <w:lang w:val="es-ES"/>
        </w:rPr>
        <w:t xml:space="preserve">. 21; </w:t>
      </w:r>
      <w:r w:rsidRPr="006A4D75">
        <w:rPr>
          <w:rFonts w:asciiTheme="majorHAnsi" w:hAnsiTheme="majorHAnsi" w:cs="Calibri"/>
          <w:sz w:val="16"/>
          <w:szCs w:val="16"/>
          <w:lang w:val="es-ES" w:eastAsia="es-ES"/>
        </w:rPr>
        <w:t>Corte IDH.</w:t>
      </w:r>
      <w:r w:rsidRPr="006A4D75">
        <w:rPr>
          <w:rFonts w:asciiTheme="majorHAnsi" w:hAnsiTheme="majorHAnsi" w:cs="Calibri"/>
          <w:i/>
          <w:sz w:val="16"/>
          <w:szCs w:val="16"/>
          <w:lang w:val="es-ES" w:eastAsia="es-ES"/>
        </w:rPr>
        <w:t xml:space="preserve"> </w:t>
      </w:r>
      <w:r w:rsidRPr="006A4D75">
        <w:rPr>
          <w:rFonts w:asciiTheme="majorHAnsi" w:hAnsiTheme="majorHAnsi" w:cs="Calibri-Italic"/>
          <w:i/>
          <w:iCs/>
          <w:sz w:val="16"/>
          <w:szCs w:val="16"/>
          <w:lang w:val="es-CO" w:eastAsia="es-ES"/>
        </w:rPr>
        <w:t>Caso López Álvarez Vs. Honduras</w:t>
      </w:r>
      <w:r w:rsidRPr="006A4D75">
        <w:rPr>
          <w:rFonts w:asciiTheme="majorHAnsi" w:hAnsiTheme="majorHAnsi" w:cs="Times"/>
          <w:sz w:val="16"/>
          <w:szCs w:val="16"/>
          <w:lang w:val="es-CO"/>
        </w:rPr>
        <w:t xml:space="preserve">. Sentencia de 1º de febrero de 2006. Serie C No. 141, </w:t>
      </w:r>
      <w:r w:rsidRPr="006A4D75">
        <w:rPr>
          <w:rFonts w:asciiTheme="majorHAnsi" w:hAnsiTheme="majorHAnsi"/>
          <w:sz w:val="16"/>
          <w:szCs w:val="16"/>
          <w:lang w:val="es-CO"/>
        </w:rPr>
        <w:t xml:space="preserve">párr. 69; </w:t>
      </w:r>
      <w:r w:rsidRPr="006A4D75">
        <w:rPr>
          <w:rFonts w:asciiTheme="majorHAnsi" w:hAnsiTheme="majorHAnsi" w:cs="Times"/>
          <w:i/>
          <w:iCs/>
          <w:sz w:val="16"/>
          <w:szCs w:val="16"/>
          <w:lang w:val="es-CO"/>
        </w:rPr>
        <w:t xml:space="preserve">Caso García </w:t>
      </w:r>
      <w:proofErr w:type="spellStart"/>
      <w:r w:rsidRPr="006A4D75">
        <w:rPr>
          <w:rFonts w:asciiTheme="majorHAnsi" w:hAnsiTheme="majorHAnsi" w:cs="Times"/>
          <w:i/>
          <w:iCs/>
          <w:sz w:val="16"/>
          <w:szCs w:val="16"/>
          <w:lang w:val="es-CO"/>
        </w:rPr>
        <w:t>Asto</w:t>
      </w:r>
      <w:proofErr w:type="spellEnd"/>
      <w:r w:rsidRPr="006A4D75">
        <w:rPr>
          <w:rFonts w:asciiTheme="majorHAnsi" w:hAnsiTheme="majorHAnsi" w:cs="Times"/>
          <w:i/>
          <w:iCs/>
          <w:sz w:val="16"/>
          <w:szCs w:val="16"/>
          <w:lang w:val="es-CO"/>
        </w:rPr>
        <w:t xml:space="preserve"> y Ramírez Rojas Vs. Perú</w:t>
      </w:r>
      <w:r w:rsidRPr="006A4D75">
        <w:rPr>
          <w:rFonts w:asciiTheme="majorHAnsi" w:hAnsiTheme="majorHAnsi" w:cs="Times"/>
          <w:sz w:val="16"/>
          <w:szCs w:val="16"/>
          <w:lang w:val="es-CO"/>
        </w:rPr>
        <w:t xml:space="preserve">. Sentencia de 25 de noviembre de 2005. Serie C No. 137, </w:t>
      </w:r>
      <w:r w:rsidRPr="006A4D75">
        <w:rPr>
          <w:rFonts w:asciiTheme="majorHAnsi" w:hAnsiTheme="majorHAnsi"/>
          <w:sz w:val="16"/>
          <w:szCs w:val="16"/>
          <w:lang w:val="es-CO"/>
        </w:rPr>
        <w:t xml:space="preserve">párr. 106; </w:t>
      </w:r>
      <w:r w:rsidRPr="006A4D75">
        <w:rPr>
          <w:rFonts w:asciiTheme="majorHAnsi" w:hAnsiTheme="majorHAnsi" w:cs="Times"/>
          <w:i/>
          <w:iCs/>
          <w:sz w:val="16"/>
          <w:szCs w:val="16"/>
          <w:lang w:val="es-CO"/>
        </w:rPr>
        <w:t>Caso Acosta Calderón Vs. Ecuador</w:t>
      </w:r>
      <w:r w:rsidRPr="006A4D75">
        <w:rPr>
          <w:rFonts w:asciiTheme="majorHAnsi" w:hAnsiTheme="majorHAnsi" w:cs="Times"/>
          <w:sz w:val="16"/>
          <w:szCs w:val="16"/>
          <w:lang w:val="es-CO"/>
        </w:rPr>
        <w:t>. Sentencia de 24 de junio de 2005. Serie C No. 129, p</w:t>
      </w:r>
      <w:r w:rsidRPr="006A4D75">
        <w:rPr>
          <w:rFonts w:asciiTheme="majorHAnsi" w:hAnsiTheme="majorHAnsi"/>
          <w:sz w:val="16"/>
          <w:szCs w:val="16"/>
          <w:lang w:val="es-CO"/>
        </w:rPr>
        <w:t>árr</w:t>
      </w:r>
      <w:r w:rsidRPr="006A4D75">
        <w:rPr>
          <w:rFonts w:asciiTheme="majorHAnsi" w:hAnsiTheme="majorHAnsi"/>
          <w:color w:val="000000"/>
          <w:sz w:val="16"/>
          <w:szCs w:val="16"/>
          <w:lang w:val="es-CO"/>
        </w:rPr>
        <w:t xml:space="preserve">. 75; </w:t>
      </w:r>
      <w:r w:rsidRPr="006A4D75">
        <w:rPr>
          <w:rFonts w:asciiTheme="majorHAnsi" w:hAnsiTheme="majorHAnsi" w:cs="Times"/>
          <w:sz w:val="16"/>
          <w:szCs w:val="16"/>
          <w:lang w:val="es-CO"/>
        </w:rPr>
        <w:t xml:space="preserve">y </w:t>
      </w:r>
      <w:r w:rsidRPr="006A4D75">
        <w:rPr>
          <w:rFonts w:asciiTheme="majorHAnsi" w:hAnsiTheme="majorHAnsi" w:cs="Times"/>
          <w:i/>
          <w:iCs/>
          <w:sz w:val="16"/>
          <w:szCs w:val="16"/>
          <w:lang w:val="es-CO"/>
        </w:rPr>
        <w:t>Caso Tibi Vs. Ecuador</w:t>
      </w:r>
      <w:r w:rsidRPr="006A4D75">
        <w:rPr>
          <w:rFonts w:asciiTheme="majorHAnsi" w:hAnsiTheme="majorHAnsi" w:cs="Times"/>
          <w:i/>
          <w:sz w:val="16"/>
          <w:szCs w:val="16"/>
          <w:lang w:val="es-CO"/>
        </w:rPr>
        <w:t>.</w:t>
      </w:r>
      <w:r w:rsidRPr="006A4D75">
        <w:rPr>
          <w:rFonts w:asciiTheme="majorHAnsi" w:hAnsiTheme="majorHAnsi" w:cs="Times"/>
          <w:sz w:val="16"/>
          <w:szCs w:val="16"/>
          <w:lang w:val="es-CO"/>
        </w:rPr>
        <w:t xml:space="preserve"> Sentencia de 7 de septiembre de 2004.  </w:t>
      </w:r>
      <w:r w:rsidRPr="000422F6">
        <w:rPr>
          <w:rFonts w:asciiTheme="majorHAnsi" w:hAnsiTheme="majorHAnsi" w:cs="Times"/>
          <w:sz w:val="16"/>
          <w:szCs w:val="16"/>
          <w:lang w:val="pt-BR"/>
        </w:rPr>
        <w:t xml:space="preserve">Serie C No. 114, </w:t>
      </w:r>
      <w:r w:rsidRPr="000422F6">
        <w:rPr>
          <w:rFonts w:asciiTheme="majorHAnsi" w:hAnsiTheme="majorHAnsi"/>
          <w:sz w:val="16"/>
          <w:szCs w:val="16"/>
          <w:lang w:val="pt-BR"/>
        </w:rPr>
        <w:t>párr.</w:t>
      </w:r>
      <w:r w:rsidRPr="000422F6">
        <w:rPr>
          <w:rFonts w:asciiTheme="majorHAnsi" w:hAnsiTheme="majorHAnsi"/>
          <w:color w:val="000000"/>
          <w:sz w:val="16"/>
          <w:szCs w:val="16"/>
          <w:lang w:val="pt-BR"/>
        </w:rPr>
        <w:t xml:space="preserve"> 180.</w:t>
      </w:r>
    </w:p>
  </w:footnote>
  <w:footnote w:id="190">
    <w:p w:rsidR="006A4D75" w:rsidRPr="000422F6" w:rsidRDefault="006A4D75" w:rsidP="006A4D75">
      <w:pPr>
        <w:pStyle w:val="FootnoteText"/>
        <w:spacing w:before="120"/>
        <w:ind w:firstLine="720"/>
        <w:jc w:val="both"/>
        <w:rPr>
          <w:rFonts w:asciiTheme="majorHAnsi" w:hAnsiTheme="majorHAnsi"/>
          <w:sz w:val="16"/>
          <w:szCs w:val="16"/>
          <w:lang w:val="pt-BR"/>
        </w:rPr>
      </w:pPr>
      <w:r w:rsidRPr="006A4D75">
        <w:rPr>
          <w:rStyle w:val="FootnoteReference"/>
          <w:rFonts w:asciiTheme="majorHAnsi" w:hAnsiTheme="majorHAnsi"/>
          <w:sz w:val="16"/>
          <w:szCs w:val="16"/>
        </w:rPr>
        <w:footnoteRef/>
      </w:r>
      <w:r w:rsidRPr="000422F6">
        <w:rPr>
          <w:rFonts w:asciiTheme="majorHAnsi" w:hAnsiTheme="majorHAnsi"/>
          <w:sz w:val="16"/>
          <w:szCs w:val="16"/>
          <w:lang w:val="pt-BR"/>
        </w:rPr>
        <w:t xml:space="preserve"> Corte IDH. </w:t>
      </w:r>
      <w:r w:rsidRPr="000422F6">
        <w:rPr>
          <w:rFonts w:asciiTheme="majorHAnsi" w:hAnsiTheme="majorHAnsi"/>
          <w:bCs/>
          <w:i/>
          <w:sz w:val="16"/>
          <w:szCs w:val="16"/>
          <w:lang w:val="pt-BR"/>
        </w:rPr>
        <w:t xml:space="preserve">Caso Barreto Leiva Vs. </w:t>
      </w:r>
      <w:r w:rsidRPr="006A4D75">
        <w:rPr>
          <w:rFonts w:asciiTheme="majorHAnsi" w:hAnsiTheme="majorHAnsi"/>
          <w:bCs/>
          <w:i/>
          <w:sz w:val="16"/>
          <w:szCs w:val="16"/>
          <w:lang w:val="es-CO"/>
        </w:rPr>
        <w:t>Venezuela</w:t>
      </w:r>
      <w:r w:rsidRPr="006A4D75">
        <w:rPr>
          <w:rFonts w:asciiTheme="majorHAnsi" w:hAnsiTheme="majorHAnsi"/>
          <w:bCs/>
          <w:sz w:val="16"/>
          <w:szCs w:val="16"/>
          <w:lang w:val="es-CO"/>
        </w:rPr>
        <w:t xml:space="preserve">. </w:t>
      </w:r>
      <w:r w:rsidRPr="006A4D75">
        <w:rPr>
          <w:rFonts w:asciiTheme="majorHAnsi" w:hAnsiTheme="majorHAnsi"/>
          <w:sz w:val="16"/>
          <w:szCs w:val="16"/>
          <w:lang w:val="es-CO"/>
        </w:rPr>
        <w:t xml:space="preserve">Fondo, Reparaciones y Costas. Sentencia de 17 de noviembre de 2009. Serie C No. 206. Párr. 111. Citando. </w:t>
      </w:r>
      <w:r w:rsidRPr="006A4D75">
        <w:rPr>
          <w:rFonts w:asciiTheme="majorHAnsi" w:hAnsiTheme="majorHAnsi"/>
          <w:bCs/>
          <w:i/>
          <w:sz w:val="16"/>
          <w:szCs w:val="16"/>
          <w:lang w:val="es-CO"/>
        </w:rPr>
        <w:t>Caso Chaparro Álvarez y Lapo Íñiguez Vs. Ecuador</w:t>
      </w:r>
      <w:r w:rsidRPr="006A4D75">
        <w:rPr>
          <w:rFonts w:asciiTheme="majorHAnsi" w:hAnsiTheme="majorHAnsi"/>
          <w:bCs/>
          <w:sz w:val="16"/>
          <w:szCs w:val="16"/>
          <w:lang w:val="es-CO"/>
        </w:rPr>
        <w:t xml:space="preserve">. </w:t>
      </w:r>
      <w:r w:rsidRPr="006A4D75">
        <w:rPr>
          <w:rFonts w:asciiTheme="majorHAnsi" w:hAnsiTheme="majorHAnsi"/>
          <w:sz w:val="16"/>
          <w:szCs w:val="16"/>
          <w:lang w:val="es-CO"/>
        </w:rPr>
        <w:t xml:space="preserve">Excepciones Preliminares, Fondo, Reparaciones y Costas. Sentencia de 21 de noviembre de 2007. Serie C No. 170, párr. 101 y </w:t>
      </w:r>
      <w:r w:rsidRPr="006A4D75">
        <w:rPr>
          <w:rFonts w:asciiTheme="majorHAnsi" w:hAnsiTheme="majorHAnsi"/>
          <w:i/>
          <w:sz w:val="16"/>
          <w:szCs w:val="16"/>
          <w:lang w:val="es-CO"/>
        </w:rPr>
        <w:t xml:space="preserve">Caso </w:t>
      </w:r>
      <w:proofErr w:type="spellStart"/>
      <w:r w:rsidRPr="006A4D75">
        <w:rPr>
          <w:rFonts w:asciiTheme="majorHAnsi" w:hAnsiTheme="majorHAnsi"/>
          <w:i/>
          <w:sz w:val="16"/>
          <w:szCs w:val="16"/>
          <w:lang w:val="es-CO"/>
        </w:rPr>
        <w:t>Servellón</w:t>
      </w:r>
      <w:proofErr w:type="spellEnd"/>
      <w:r w:rsidRPr="006A4D75">
        <w:rPr>
          <w:rFonts w:asciiTheme="majorHAnsi" w:hAnsiTheme="majorHAnsi"/>
          <w:i/>
          <w:sz w:val="16"/>
          <w:szCs w:val="16"/>
          <w:lang w:val="es-CO"/>
        </w:rPr>
        <w:t xml:space="preserve"> García y otros Vs. Honduras</w:t>
      </w:r>
      <w:r w:rsidRPr="006A4D75">
        <w:rPr>
          <w:rFonts w:asciiTheme="majorHAnsi" w:hAnsiTheme="majorHAnsi"/>
          <w:sz w:val="16"/>
          <w:szCs w:val="16"/>
          <w:lang w:val="es-CO"/>
        </w:rPr>
        <w:t xml:space="preserve">. Fondo, Reparaciones y Costas. Sentencia de 21 de septiembre de 2006. </w:t>
      </w:r>
      <w:r w:rsidRPr="000422F6">
        <w:rPr>
          <w:rFonts w:asciiTheme="majorHAnsi" w:hAnsiTheme="majorHAnsi"/>
          <w:sz w:val="16"/>
          <w:szCs w:val="16"/>
          <w:lang w:val="pt-BR"/>
        </w:rPr>
        <w:t>Serie C No. 152, párr. 90.</w:t>
      </w:r>
    </w:p>
  </w:footnote>
  <w:footnote w:id="191">
    <w:p w:rsidR="006A4D75" w:rsidRPr="006A4D75" w:rsidRDefault="006A4D75" w:rsidP="006A4D75">
      <w:pPr>
        <w:pStyle w:val="FootnoteText"/>
        <w:spacing w:before="120"/>
        <w:ind w:firstLine="720"/>
        <w:jc w:val="both"/>
        <w:rPr>
          <w:rFonts w:asciiTheme="majorHAnsi" w:hAnsiTheme="majorHAnsi"/>
          <w:sz w:val="16"/>
          <w:szCs w:val="16"/>
          <w:lang w:val="es-CO"/>
        </w:rPr>
      </w:pPr>
      <w:r w:rsidRPr="006A4D75">
        <w:rPr>
          <w:rStyle w:val="FootnoteReference"/>
          <w:rFonts w:asciiTheme="majorHAnsi" w:hAnsiTheme="majorHAnsi"/>
          <w:sz w:val="16"/>
          <w:szCs w:val="16"/>
        </w:rPr>
        <w:footnoteRef/>
      </w:r>
      <w:r w:rsidRPr="000422F6">
        <w:rPr>
          <w:rFonts w:asciiTheme="majorHAnsi" w:hAnsiTheme="majorHAnsi"/>
          <w:sz w:val="16"/>
          <w:szCs w:val="16"/>
          <w:lang w:val="pt-BR"/>
        </w:rPr>
        <w:t xml:space="preserve"> Corte IDH. </w:t>
      </w:r>
      <w:r w:rsidRPr="000422F6">
        <w:rPr>
          <w:rFonts w:asciiTheme="majorHAnsi" w:hAnsiTheme="majorHAnsi"/>
          <w:bCs/>
          <w:i/>
          <w:sz w:val="16"/>
          <w:szCs w:val="16"/>
          <w:lang w:val="pt-BR"/>
        </w:rPr>
        <w:t xml:space="preserve">Caso Barreto Leiva Vs. </w:t>
      </w:r>
      <w:r w:rsidRPr="006A4D75">
        <w:rPr>
          <w:rFonts w:asciiTheme="majorHAnsi" w:hAnsiTheme="majorHAnsi"/>
          <w:bCs/>
          <w:i/>
          <w:sz w:val="16"/>
          <w:szCs w:val="16"/>
          <w:lang w:val="es-CO"/>
        </w:rPr>
        <w:t>Venezuela</w:t>
      </w:r>
      <w:r w:rsidRPr="006A4D75">
        <w:rPr>
          <w:rFonts w:asciiTheme="majorHAnsi" w:hAnsiTheme="majorHAnsi"/>
          <w:bCs/>
          <w:sz w:val="16"/>
          <w:szCs w:val="16"/>
          <w:lang w:val="es-CO"/>
        </w:rPr>
        <w:t xml:space="preserve">. </w:t>
      </w:r>
      <w:r w:rsidRPr="006A4D75">
        <w:rPr>
          <w:rFonts w:asciiTheme="majorHAnsi" w:hAnsiTheme="majorHAnsi"/>
          <w:sz w:val="16"/>
          <w:szCs w:val="16"/>
          <w:lang w:val="es-CO"/>
        </w:rPr>
        <w:t xml:space="preserve">Fondo, Reparaciones y Costas. Sentencia de 17 de noviembre de 2009. Serie C No. 206. Párr. 111. Citando: </w:t>
      </w:r>
      <w:r w:rsidRPr="006A4D75">
        <w:rPr>
          <w:rFonts w:asciiTheme="majorHAnsi" w:hAnsiTheme="majorHAnsi"/>
          <w:bCs/>
          <w:i/>
          <w:sz w:val="16"/>
          <w:szCs w:val="16"/>
          <w:lang w:val="es-CO"/>
        </w:rPr>
        <w:t>Caso Chaparro Álvarez y Lapo Íñiguez Vs. Ecuador</w:t>
      </w:r>
      <w:r w:rsidRPr="006A4D75">
        <w:rPr>
          <w:rFonts w:asciiTheme="majorHAnsi" w:hAnsiTheme="majorHAnsi"/>
          <w:bCs/>
          <w:sz w:val="16"/>
          <w:szCs w:val="16"/>
          <w:lang w:val="es-CO"/>
        </w:rPr>
        <w:t xml:space="preserve">. </w:t>
      </w:r>
      <w:r w:rsidRPr="006A4D75">
        <w:rPr>
          <w:rFonts w:asciiTheme="majorHAnsi" w:hAnsiTheme="majorHAnsi"/>
          <w:sz w:val="16"/>
          <w:szCs w:val="16"/>
          <w:lang w:val="es-CO"/>
        </w:rPr>
        <w:t xml:space="preserve">Excepciones Preliminares, Fondo, Reparaciones y Costas. Sentencia de 21 de noviembre de 2007. Serie C No. 170, párr. 103; y </w:t>
      </w:r>
      <w:r w:rsidRPr="006A4D75">
        <w:rPr>
          <w:rFonts w:asciiTheme="majorHAnsi" w:hAnsiTheme="majorHAnsi"/>
          <w:i/>
          <w:sz w:val="16"/>
          <w:szCs w:val="16"/>
          <w:lang w:val="es-CO"/>
        </w:rPr>
        <w:t xml:space="preserve">Caso </w:t>
      </w:r>
      <w:proofErr w:type="spellStart"/>
      <w:r w:rsidRPr="006A4D75">
        <w:rPr>
          <w:rFonts w:asciiTheme="majorHAnsi" w:hAnsiTheme="majorHAnsi"/>
          <w:i/>
          <w:sz w:val="16"/>
          <w:szCs w:val="16"/>
          <w:lang w:val="es-CO"/>
        </w:rPr>
        <w:t>Servellón</w:t>
      </w:r>
      <w:proofErr w:type="spellEnd"/>
      <w:r w:rsidRPr="006A4D75">
        <w:rPr>
          <w:rFonts w:asciiTheme="majorHAnsi" w:hAnsiTheme="majorHAnsi"/>
          <w:i/>
          <w:sz w:val="16"/>
          <w:szCs w:val="16"/>
          <w:lang w:val="es-CO"/>
        </w:rPr>
        <w:t xml:space="preserve"> García y otros Vs. Honduras</w:t>
      </w:r>
      <w:r w:rsidRPr="006A4D75">
        <w:rPr>
          <w:rFonts w:asciiTheme="majorHAnsi" w:hAnsiTheme="majorHAnsi"/>
          <w:sz w:val="16"/>
          <w:szCs w:val="16"/>
          <w:lang w:val="es-CO"/>
        </w:rPr>
        <w:t>. Fondo, Reparaciones y Costas. Sentencia de 21 de septiembre de 2006. Serie C No. 152, párr. 90.</w:t>
      </w:r>
    </w:p>
  </w:footnote>
  <w:footnote w:id="192">
    <w:p w:rsidR="006A4D75" w:rsidRPr="006A4D75" w:rsidRDefault="006A4D75" w:rsidP="006A4D75">
      <w:pPr>
        <w:spacing w:before="120"/>
        <w:ind w:firstLine="720"/>
        <w:jc w:val="both"/>
        <w:outlineLvl w:val="0"/>
        <w:rPr>
          <w:rFonts w:asciiTheme="majorHAnsi" w:hAnsiTheme="majorHAnsi"/>
          <w:b/>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CO"/>
        </w:rPr>
        <w:t xml:space="preserve"> </w:t>
      </w:r>
      <w:r w:rsidRPr="006A4D75">
        <w:rPr>
          <w:rFonts w:asciiTheme="majorHAnsi" w:hAnsiTheme="majorHAnsi"/>
          <w:sz w:val="16"/>
          <w:szCs w:val="16"/>
          <w:lang w:val="es-ES"/>
        </w:rPr>
        <w:t xml:space="preserve">CIDH. Informe sobre el uso de la prisión preventiva en las Américas. </w:t>
      </w:r>
      <w:r w:rsidRPr="006A4D75">
        <w:rPr>
          <w:rFonts w:asciiTheme="majorHAnsi" w:hAnsiTheme="majorHAnsi"/>
          <w:sz w:val="16"/>
          <w:szCs w:val="16"/>
          <w:lang w:val="es-CO"/>
        </w:rPr>
        <w:t>OEA/</w:t>
      </w:r>
      <w:proofErr w:type="spellStart"/>
      <w:r w:rsidRPr="006A4D75">
        <w:rPr>
          <w:rFonts w:asciiTheme="majorHAnsi" w:hAnsiTheme="majorHAnsi"/>
          <w:sz w:val="16"/>
          <w:szCs w:val="16"/>
          <w:lang w:val="es-CO"/>
        </w:rPr>
        <w:t>Ser.L</w:t>
      </w:r>
      <w:proofErr w:type="spellEnd"/>
      <w:r w:rsidRPr="006A4D75">
        <w:rPr>
          <w:rFonts w:asciiTheme="majorHAnsi" w:hAnsiTheme="majorHAnsi"/>
          <w:sz w:val="16"/>
          <w:szCs w:val="16"/>
          <w:lang w:val="es-CO"/>
        </w:rPr>
        <w:t xml:space="preserve">/V/II. Doc. 46/13. 30 de diciembre de 2013. Párr. 21. </w:t>
      </w:r>
    </w:p>
  </w:footnote>
  <w:footnote w:id="193">
    <w:p w:rsidR="006A4D75" w:rsidRPr="006A4D75" w:rsidRDefault="006A4D75" w:rsidP="006A4D75">
      <w:pPr>
        <w:pStyle w:val="FootnoteText"/>
        <w:spacing w:before="120"/>
        <w:ind w:firstLine="720"/>
        <w:jc w:val="both"/>
        <w:rPr>
          <w:rFonts w:asciiTheme="majorHAnsi" w:hAnsiTheme="majorHAnsi"/>
          <w:sz w:val="16"/>
          <w:szCs w:val="16"/>
          <w:lang w:val="es-VE"/>
        </w:rPr>
      </w:pPr>
      <w:r w:rsidRPr="006A4D75">
        <w:rPr>
          <w:rStyle w:val="FootnoteReference"/>
          <w:rFonts w:asciiTheme="majorHAnsi" w:hAnsiTheme="majorHAnsi"/>
          <w:sz w:val="16"/>
          <w:szCs w:val="16"/>
        </w:rPr>
        <w:footnoteRef/>
      </w:r>
      <w:r w:rsidRPr="006A4D75">
        <w:rPr>
          <w:rFonts w:asciiTheme="majorHAnsi" w:hAnsiTheme="majorHAnsi"/>
          <w:sz w:val="16"/>
          <w:szCs w:val="16"/>
          <w:lang w:val="es-CO"/>
        </w:rPr>
        <w:t xml:space="preserve"> Corte IDH. </w:t>
      </w:r>
      <w:r w:rsidRPr="006A4D75">
        <w:rPr>
          <w:rFonts w:asciiTheme="majorHAnsi" w:hAnsiTheme="majorHAnsi"/>
          <w:i/>
          <w:sz w:val="16"/>
          <w:szCs w:val="16"/>
          <w:lang w:val="es-CO"/>
        </w:rPr>
        <w:t>Caso Barreto Leiva Vs Venezuela</w:t>
      </w:r>
      <w:r w:rsidRPr="006A4D75">
        <w:rPr>
          <w:rFonts w:asciiTheme="majorHAnsi" w:hAnsiTheme="majorHAnsi"/>
          <w:sz w:val="16"/>
          <w:szCs w:val="16"/>
          <w:lang w:val="es-CO"/>
        </w:rPr>
        <w:t xml:space="preserve">. </w:t>
      </w:r>
      <w:r w:rsidRPr="006A4D75">
        <w:rPr>
          <w:rFonts w:asciiTheme="majorHAnsi" w:hAnsiTheme="majorHAnsi"/>
          <w:sz w:val="16"/>
          <w:szCs w:val="16"/>
          <w:lang w:val="es-VE"/>
        </w:rPr>
        <w:t>Fondo, Reparaciones y Costas. Sentencia de 17 de noviembre de2009, Serie C No. 206. párr.120.</w:t>
      </w:r>
    </w:p>
  </w:footnote>
  <w:footnote w:id="194">
    <w:p w:rsidR="006A4D75" w:rsidRPr="006A4D75" w:rsidRDefault="006A4D75" w:rsidP="006A4D75">
      <w:pPr>
        <w:pStyle w:val="FootnoteText"/>
        <w:spacing w:before="120"/>
        <w:ind w:firstLine="720"/>
        <w:jc w:val="both"/>
        <w:rPr>
          <w:rFonts w:asciiTheme="majorHAnsi" w:hAnsiTheme="majorHAnsi"/>
          <w:b/>
          <w:sz w:val="16"/>
          <w:szCs w:val="16"/>
          <w:lang w:val="es-CO"/>
        </w:rPr>
      </w:pPr>
      <w:r w:rsidRPr="006A4D75">
        <w:rPr>
          <w:rStyle w:val="FootnoteReference"/>
          <w:rFonts w:asciiTheme="majorHAnsi" w:hAnsiTheme="majorHAnsi"/>
          <w:b/>
          <w:sz w:val="16"/>
          <w:szCs w:val="16"/>
        </w:rPr>
        <w:footnoteRef/>
      </w:r>
      <w:r w:rsidRPr="006A4D75">
        <w:rPr>
          <w:rFonts w:asciiTheme="majorHAnsi" w:hAnsiTheme="majorHAnsi"/>
          <w:b/>
          <w:sz w:val="16"/>
          <w:szCs w:val="16"/>
          <w:lang w:val="es-CO"/>
        </w:rPr>
        <w:t xml:space="preserve"> </w:t>
      </w:r>
      <w:r w:rsidRPr="006A4D75">
        <w:rPr>
          <w:rStyle w:val="Strong"/>
          <w:rFonts w:asciiTheme="majorHAnsi" w:hAnsiTheme="majorHAnsi"/>
          <w:b w:val="0"/>
          <w:sz w:val="16"/>
          <w:szCs w:val="16"/>
          <w:lang w:val="es-CO"/>
        </w:rPr>
        <w:t xml:space="preserve">Corte IDH. </w:t>
      </w:r>
      <w:r w:rsidRPr="006A4D75">
        <w:rPr>
          <w:rStyle w:val="Strong"/>
          <w:rFonts w:asciiTheme="majorHAnsi" w:hAnsiTheme="majorHAnsi"/>
          <w:b w:val="0"/>
          <w:i/>
          <w:sz w:val="16"/>
          <w:szCs w:val="16"/>
          <w:lang w:val="es-CO"/>
        </w:rPr>
        <w:t>Caso Argüelles y otros Vs. Argentina</w:t>
      </w:r>
      <w:r w:rsidRPr="006A4D75">
        <w:rPr>
          <w:rStyle w:val="Strong"/>
          <w:rFonts w:asciiTheme="majorHAnsi" w:hAnsiTheme="majorHAnsi"/>
          <w:b w:val="0"/>
          <w:sz w:val="16"/>
          <w:szCs w:val="16"/>
          <w:lang w:val="es-CO"/>
        </w:rPr>
        <w:t xml:space="preserve">. Excepciones Preliminares, Fondo, Reparaciones y Costas. Sentencia de 20 de noviembre de 2014. Serie C No. 288, párr. 122. </w:t>
      </w:r>
    </w:p>
  </w:footnote>
  <w:footnote w:id="195">
    <w:p w:rsidR="006A4D75" w:rsidRPr="006A4D75" w:rsidRDefault="006A4D75" w:rsidP="006A4D75">
      <w:pPr>
        <w:pStyle w:val="FootnoteText"/>
        <w:spacing w:before="120"/>
        <w:ind w:firstLine="720"/>
        <w:jc w:val="both"/>
        <w:rPr>
          <w:rFonts w:asciiTheme="majorHAnsi" w:hAnsiTheme="majorHAnsi"/>
          <w:sz w:val="16"/>
          <w:szCs w:val="16"/>
          <w:lang w:val="es-VE"/>
        </w:rPr>
      </w:pPr>
      <w:r w:rsidRPr="006A4D75">
        <w:rPr>
          <w:rStyle w:val="FootnoteReference"/>
          <w:rFonts w:asciiTheme="majorHAnsi" w:hAnsiTheme="majorHAnsi"/>
          <w:sz w:val="16"/>
          <w:szCs w:val="16"/>
        </w:rPr>
        <w:footnoteRef/>
      </w:r>
      <w:r w:rsidRPr="006A4D75">
        <w:rPr>
          <w:rFonts w:asciiTheme="majorHAnsi" w:hAnsiTheme="majorHAnsi"/>
          <w:sz w:val="16"/>
          <w:szCs w:val="16"/>
          <w:lang w:val="es-VE"/>
        </w:rPr>
        <w:t xml:space="preserve"> Corte IDH. </w:t>
      </w:r>
      <w:r w:rsidRPr="006A4D75">
        <w:rPr>
          <w:rFonts w:asciiTheme="majorHAnsi" w:hAnsiTheme="majorHAnsi"/>
          <w:i/>
          <w:sz w:val="16"/>
          <w:szCs w:val="16"/>
          <w:lang w:val="es-VE"/>
        </w:rPr>
        <w:t>Caso Arguelles y otros Vs. Argentina</w:t>
      </w:r>
      <w:r w:rsidRPr="006A4D75">
        <w:rPr>
          <w:rFonts w:asciiTheme="majorHAnsi" w:hAnsiTheme="majorHAnsi"/>
          <w:sz w:val="16"/>
          <w:szCs w:val="16"/>
          <w:lang w:val="es-VE"/>
        </w:rPr>
        <w:t>. Excepciones Preliminares, Fondo, Reparaciones y Costas. Sentencia de 20 de noviembre de 2014. Serie C No. 288, párr.121.</w:t>
      </w:r>
    </w:p>
  </w:footnote>
  <w:footnote w:id="196">
    <w:p w:rsidR="006A4D75" w:rsidRPr="006A4D75" w:rsidRDefault="006A4D75" w:rsidP="006A4D75">
      <w:pPr>
        <w:autoSpaceDE w:val="0"/>
        <w:autoSpaceDN w:val="0"/>
        <w:adjustRightInd w:val="0"/>
        <w:spacing w:before="120"/>
        <w:ind w:firstLine="720"/>
        <w:jc w:val="both"/>
        <w:rPr>
          <w:rFonts w:asciiTheme="majorHAnsi" w:hAnsiTheme="majorHAnsi"/>
          <w:sz w:val="16"/>
          <w:szCs w:val="16"/>
          <w:lang w:val="es-CO"/>
        </w:rPr>
      </w:pPr>
      <w:r w:rsidRPr="006A4D75">
        <w:rPr>
          <w:rStyle w:val="FootnoteReference"/>
          <w:rFonts w:asciiTheme="majorHAnsi" w:hAnsiTheme="majorHAnsi"/>
          <w:sz w:val="16"/>
          <w:szCs w:val="16"/>
        </w:rPr>
        <w:footnoteRef/>
      </w:r>
      <w:r w:rsidRPr="006A4D75">
        <w:rPr>
          <w:rFonts w:asciiTheme="majorHAnsi" w:hAnsiTheme="majorHAnsi"/>
          <w:sz w:val="16"/>
          <w:szCs w:val="16"/>
          <w:lang w:val="es-VE"/>
        </w:rPr>
        <w:t xml:space="preserve"> </w:t>
      </w:r>
      <w:r w:rsidRPr="006A4D75">
        <w:rPr>
          <w:rFonts w:asciiTheme="majorHAnsi" w:hAnsiTheme="majorHAnsi" w:cs="Calibri"/>
          <w:sz w:val="16"/>
          <w:szCs w:val="16"/>
          <w:lang w:val="es-CO" w:eastAsia="es-ES"/>
        </w:rPr>
        <w:t xml:space="preserve">CIDH. Informe No. 2/97, Caso 11.205, Fondo, Jorge Luis </w:t>
      </w:r>
      <w:proofErr w:type="spellStart"/>
      <w:r w:rsidRPr="006A4D75">
        <w:rPr>
          <w:rFonts w:asciiTheme="majorHAnsi" w:hAnsiTheme="majorHAnsi" w:cs="Calibri"/>
          <w:sz w:val="16"/>
          <w:szCs w:val="16"/>
          <w:lang w:val="es-CO" w:eastAsia="es-ES"/>
        </w:rPr>
        <w:t>Bronstein</w:t>
      </w:r>
      <w:proofErr w:type="spellEnd"/>
      <w:r w:rsidRPr="006A4D75">
        <w:rPr>
          <w:rFonts w:asciiTheme="majorHAnsi" w:hAnsiTheme="majorHAnsi" w:cs="Calibri"/>
          <w:sz w:val="16"/>
          <w:szCs w:val="16"/>
          <w:lang w:val="es-CO" w:eastAsia="es-ES"/>
        </w:rPr>
        <w:t xml:space="preserve"> y otros, Argentina, 11 de marzo de 1997, párr. 12; CIDH. </w:t>
      </w:r>
      <w:r w:rsidRPr="006A4D75">
        <w:rPr>
          <w:rFonts w:asciiTheme="majorHAnsi" w:hAnsiTheme="majorHAnsi" w:cs="Calibri-Italic"/>
          <w:iCs/>
          <w:sz w:val="16"/>
          <w:szCs w:val="16"/>
          <w:lang w:val="es-CO" w:eastAsia="es-ES"/>
        </w:rPr>
        <w:t>Tercer informe sobre la situación de los derechos humanos en Paraguay</w:t>
      </w:r>
      <w:r w:rsidRPr="006A4D75">
        <w:rPr>
          <w:rFonts w:asciiTheme="majorHAnsi" w:hAnsiTheme="majorHAnsi" w:cs="Calibri"/>
          <w:sz w:val="16"/>
          <w:szCs w:val="16"/>
          <w:lang w:val="es-CO" w:eastAsia="es-ES"/>
        </w:rPr>
        <w:t xml:space="preserve">, OEA/Ser./L/VII.110. Doc. 52, adoptado el 9 de marzo de 2001. Cap. IV, párr. 34. Ver también: </w:t>
      </w:r>
      <w:r w:rsidRPr="006A4D75">
        <w:rPr>
          <w:rFonts w:asciiTheme="majorHAnsi" w:hAnsiTheme="majorHAnsi" w:cs="Calibri"/>
          <w:i/>
          <w:sz w:val="16"/>
          <w:szCs w:val="16"/>
          <w:lang w:val="es-CO" w:eastAsia="es-ES"/>
        </w:rPr>
        <w:t xml:space="preserve">Corte IDH. </w:t>
      </w:r>
      <w:r w:rsidRPr="006A4D75">
        <w:rPr>
          <w:rFonts w:asciiTheme="majorHAnsi" w:hAnsiTheme="majorHAnsi" w:cs="Calibri-Italic"/>
          <w:i/>
          <w:iCs/>
          <w:sz w:val="16"/>
          <w:szCs w:val="16"/>
          <w:lang w:val="es-CO" w:eastAsia="es-ES"/>
        </w:rPr>
        <w:t>Caso López Álvarez Vs. Honduras</w:t>
      </w:r>
      <w:r w:rsidRPr="006A4D75">
        <w:rPr>
          <w:rFonts w:asciiTheme="majorHAnsi" w:hAnsiTheme="majorHAnsi" w:cs="Calibri"/>
          <w:sz w:val="16"/>
          <w:szCs w:val="16"/>
          <w:lang w:val="es-CO" w:eastAsia="es-ES"/>
        </w:rPr>
        <w:t xml:space="preserve">. Sentencia de 1 de febrero de 2006. Serie C No. 141, párr. 69; Corte IDH. </w:t>
      </w:r>
      <w:r w:rsidRPr="006A4D75">
        <w:rPr>
          <w:rFonts w:asciiTheme="majorHAnsi" w:hAnsiTheme="majorHAnsi" w:cs="Calibri-Italic"/>
          <w:i/>
          <w:iCs/>
          <w:sz w:val="16"/>
          <w:szCs w:val="16"/>
          <w:lang w:val="es-CO" w:eastAsia="es-ES"/>
        </w:rPr>
        <w:t>Caso Acosta Calderón Vs. Ecuador</w:t>
      </w:r>
      <w:r w:rsidRPr="006A4D75">
        <w:rPr>
          <w:rFonts w:asciiTheme="majorHAnsi" w:hAnsiTheme="majorHAnsi" w:cs="Calibri"/>
          <w:sz w:val="16"/>
          <w:szCs w:val="16"/>
          <w:lang w:val="es-CO" w:eastAsia="es-ES"/>
        </w:rPr>
        <w:t xml:space="preserve">. Sentencia de 24 de junio de 2005. Serie C No. 129, párr. 111; </w:t>
      </w:r>
      <w:r w:rsidRPr="006A4D75">
        <w:rPr>
          <w:rFonts w:asciiTheme="majorHAnsi" w:hAnsiTheme="majorHAnsi" w:cs="Calibri"/>
          <w:i/>
          <w:sz w:val="16"/>
          <w:szCs w:val="16"/>
          <w:lang w:val="es-CO" w:eastAsia="es-ES"/>
        </w:rPr>
        <w:t xml:space="preserve">Corte IDH. </w:t>
      </w:r>
      <w:r w:rsidRPr="006A4D75">
        <w:rPr>
          <w:rFonts w:asciiTheme="majorHAnsi" w:hAnsiTheme="majorHAnsi" w:cs="Calibri-Italic"/>
          <w:i/>
          <w:iCs/>
          <w:sz w:val="16"/>
          <w:szCs w:val="16"/>
          <w:lang w:val="es-CO" w:eastAsia="es-ES"/>
        </w:rPr>
        <w:t>Caso Tibi Vs. Ecuador</w:t>
      </w:r>
      <w:r w:rsidRPr="006A4D75">
        <w:rPr>
          <w:rFonts w:asciiTheme="majorHAnsi" w:hAnsiTheme="majorHAnsi" w:cs="Calibri"/>
          <w:sz w:val="16"/>
          <w:szCs w:val="16"/>
          <w:lang w:val="es-CO" w:eastAsia="es-ES"/>
        </w:rPr>
        <w:t xml:space="preserve">. Sentencia de 7 de septiembre de 2004. Serie C No. 114, párr. 180; Corte IDH. </w:t>
      </w:r>
      <w:r w:rsidRPr="006A4D75">
        <w:rPr>
          <w:rFonts w:asciiTheme="majorHAnsi" w:hAnsiTheme="majorHAnsi" w:cs="Calibri-Italic"/>
          <w:i/>
          <w:iCs/>
          <w:sz w:val="16"/>
          <w:szCs w:val="16"/>
          <w:lang w:val="es-CO" w:eastAsia="es-ES"/>
        </w:rPr>
        <w:t>Caso “Instituto de Reeducación del Menor” Vs. Paraguay</w:t>
      </w:r>
      <w:r w:rsidRPr="006A4D75">
        <w:rPr>
          <w:rFonts w:asciiTheme="majorHAnsi" w:hAnsiTheme="majorHAnsi" w:cs="Calibri"/>
          <w:sz w:val="16"/>
          <w:szCs w:val="16"/>
          <w:lang w:val="es-CO" w:eastAsia="es-ES"/>
        </w:rPr>
        <w:t xml:space="preserve">. Sentencia de 2 de septiembre de 2004. Serie C No. 112, párr. 229; </w:t>
      </w:r>
      <w:r w:rsidRPr="006A4D75">
        <w:rPr>
          <w:rFonts w:asciiTheme="majorHAnsi" w:hAnsiTheme="majorHAnsi" w:cs="Calibri"/>
          <w:i/>
          <w:sz w:val="16"/>
          <w:szCs w:val="16"/>
          <w:lang w:val="es-CO" w:eastAsia="es-ES"/>
        </w:rPr>
        <w:t xml:space="preserve">Corte IDH. </w:t>
      </w:r>
      <w:r w:rsidRPr="006A4D75">
        <w:rPr>
          <w:rFonts w:asciiTheme="majorHAnsi" w:hAnsiTheme="majorHAnsi" w:cs="Calibri-Italic"/>
          <w:i/>
          <w:iCs/>
          <w:sz w:val="16"/>
          <w:szCs w:val="16"/>
          <w:lang w:val="es-CO" w:eastAsia="es-ES"/>
        </w:rPr>
        <w:t>Caso Suárez Rosero Vs. Ecuador</w:t>
      </w:r>
      <w:r w:rsidRPr="006A4D75">
        <w:rPr>
          <w:rFonts w:asciiTheme="majorHAnsi" w:hAnsiTheme="majorHAnsi" w:cs="Calibri"/>
          <w:sz w:val="16"/>
          <w:szCs w:val="16"/>
          <w:lang w:val="es-CO" w:eastAsia="es-ES"/>
        </w:rPr>
        <w:t>. Sentencia de 12 de noviembre de 1997. Serie C No. 35, párr. 77.</w:t>
      </w:r>
    </w:p>
  </w:footnote>
  <w:footnote w:id="197">
    <w:p w:rsidR="006A4D75" w:rsidRPr="006A4D75" w:rsidRDefault="006A4D75" w:rsidP="006A4D75">
      <w:pPr>
        <w:pStyle w:val="FootnoteText"/>
        <w:spacing w:before="120"/>
        <w:ind w:firstLine="720"/>
        <w:jc w:val="both"/>
        <w:rPr>
          <w:rFonts w:asciiTheme="majorHAnsi" w:hAnsiTheme="majorHAnsi"/>
          <w:sz w:val="16"/>
          <w:szCs w:val="16"/>
          <w:lang w:val="es-CO"/>
        </w:rPr>
      </w:pPr>
      <w:r w:rsidRPr="006A4D75">
        <w:rPr>
          <w:rStyle w:val="FootnoteReference"/>
          <w:rFonts w:asciiTheme="majorHAnsi" w:hAnsiTheme="majorHAnsi"/>
          <w:sz w:val="16"/>
          <w:szCs w:val="16"/>
        </w:rPr>
        <w:footnoteRef/>
      </w:r>
      <w:r w:rsidRPr="006A4D75">
        <w:rPr>
          <w:rFonts w:asciiTheme="majorHAnsi" w:hAnsiTheme="majorHAnsi"/>
          <w:sz w:val="16"/>
          <w:szCs w:val="16"/>
          <w:lang w:val="es-CO"/>
        </w:rPr>
        <w:t xml:space="preserve"> CIDH. </w:t>
      </w:r>
      <w:hyperlink r:id="rId7" w:history="1">
        <w:r w:rsidRPr="006A4D75">
          <w:rPr>
            <w:rStyle w:val="Hyperlink"/>
            <w:rFonts w:asciiTheme="majorHAnsi" w:hAnsiTheme="majorHAnsi"/>
            <w:sz w:val="16"/>
            <w:szCs w:val="16"/>
            <w:u w:val="none"/>
            <w:lang w:val="es-CO"/>
          </w:rPr>
          <w:t>Informe No. 12/96</w:t>
        </w:r>
      </w:hyperlink>
      <w:r w:rsidRPr="006A4D75">
        <w:rPr>
          <w:rFonts w:asciiTheme="majorHAnsi" w:hAnsiTheme="majorHAnsi"/>
          <w:sz w:val="16"/>
          <w:szCs w:val="16"/>
          <w:lang w:val="es-CO"/>
        </w:rPr>
        <w:t xml:space="preserve">. Argentina. Caso 11.245. 1 de marzo de 1996, párr. 80. </w:t>
      </w:r>
    </w:p>
  </w:footnote>
  <w:footnote w:id="198">
    <w:p w:rsidR="006A4D75" w:rsidRPr="006A4D75" w:rsidRDefault="006A4D75" w:rsidP="006A4D75">
      <w:pPr>
        <w:pStyle w:val="FootnoteText"/>
        <w:spacing w:before="120"/>
        <w:ind w:firstLine="720"/>
        <w:jc w:val="both"/>
        <w:rPr>
          <w:rFonts w:asciiTheme="majorHAnsi" w:hAnsiTheme="majorHAnsi"/>
          <w:sz w:val="16"/>
          <w:szCs w:val="16"/>
          <w:lang w:val="es-CO"/>
        </w:rPr>
      </w:pPr>
      <w:r w:rsidRPr="006A4D75">
        <w:rPr>
          <w:rStyle w:val="FootnoteReference"/>
          <w:rFonts w:asciiTheme="majorHAnsi" w:hAnsiTheme="majorHAnsi"/>
          <w:sz w:val="16"/>
          <w:szCs w:val="16"/>
        </w:rPr>
        <w:footnoteRef/>
      </w:r>
      <w:r w:rsidRPr="006A4D75">
        <w:rPr>
          <w:rFonts w:asciiTheme="majorHAnsi" w:hAnsiTheme="majorHAnsi"/>
          <w:sz w:val="16"/>
          <w:szCs w:val="16"/>
          <w:lang w:val="es-CO"/>
        </w:rPr>
        <w:t xml:space="preserve"> CIDH. </w:t>
      </w:r>
      <w:hyperlink r:id="rId8" w:history="1">
        <w:r w:rsidRPr="006A4D75">
          <w:rPr>
            <w:rStyle w:val="Hyperlink"/>
            <w:rFonts w:asciiTheme="majorHAnsi" w:hAnsiTheme="majorHAnsi"/>
            <w:sz w:val="16"/>
            <w:szCs w:val="16"/>
            <w:u w:val="none"/>
            <w:lang w:val="es-CO"/>
          </w:rPr>
          <w:t>Informe No. 12/96</w:t>
        </w:r>
      </w:hyperlink>
      <w:r w:rsidRPr="006A4D75">
        <w:rPr>
          <w:rFonts w:asciiTheme="majorHAnsi" w:hAnsiTheme="majorHAnsi"/>
          <w:sz w:val="16"/>
          <w:szCs w:val="16"/>
          <w:lang w:val="es-CO"/>
        </w:rPr>
        <w:t xml:space="preserve">. Argentina. Caso 11.245. 1 de marzo de 1996, párr. 114. </w:t>
      </w:r>
    </w:p>
  </w:footnote>
  <w:footnote w:id="199">
    <w:p w:rsidR="006A4D75" w:rsidRPr="006A4D75" w:rsidRDefault="006A4D75" w:rsidP="006A4D75">
      <w:pPr>
        <w:autoSpaceDE w:val="0"/>
        <w:autoSpaceDN w:val="0"/>
        <w:adjustRightInd w:val="0"/>
        <w:spacing w:before="120"/>
        <w:ind w:firstLine="720"/>
        <w:jc w:val="both"/>
        <w:rPr>
          <w:rFonts w:asciiTheme="majorHAnsi" w:hAnsiTheme="majorHAnsi" w:cs="Calibri"/>
          <w:sz w:val="16"/>
          <w:szCs w:val="16"/>
          <w:lang w:val="es-CO" w:eastAsia="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CO"/>
        </w:rPr>
        <w:t xml:space="preserve"> </w:t>
      </w:r>
      <w:r w:rsidRPr="006A4D75">
        <w:rPr>
          <w:rFonts w:asciiTheme="majorHAnsi" w:hAnsiTheme="majorHAnsi" w:cs="Calibri"/>
          <w:sz w:val="16"/>
          <w:szCs w:val="16"/>
          <w:lang w:val="es-CO" w:eastAsia="es-ES"/>
        </w:rPr>
        <w:t xml:space="preserve">Corte IDH. </w:t>
      </w:r>
      <w:r w:rsidRPr="006A4D75">
        <w:rPr>
          <w:rFonts w:asciiTheme="majorHAnsi" w:hAnsiTheme="majorHAnsi" w:cs="Calibri-Italic"/>
          <w:i/>
          <w:iCs/>
          <w:sz w:val="16"/>
          <w:szCs w:val="16"/>
          <w:lang w:val="es-CO" w:eastAsia="es-ES"/>
        </w:rPr>
        <w:t xml:space="preserve">Caso </w:t>
      </w:r>
      <w:proofErr w:type="spellStart"/>
      <w:r w:rsidRPr="006A4D75">
        <w:rPr>
          <w:rFonts w:asciiTheme="majorHAnsi" w:hAnsiTheme="majorHAnsi" w:cs="Calibri-Italic"/>
          <w:i/>
          <w:iCs/>
          <w:sz w:val="16"/>
          <w:szCs w:val="16"/>
          <w:lang w:val="es-CO" w:eastAsia="es-ES"/>
        </w:rPr>
        <w:t>Usón</w:t>
      </w:r>
      <w:proofErr w:type="spellEnd"/>
      <w:r w:rsidRPr="006A4D75">
        <w:rPr>
          <w:rFonts w:asciiTheme="majorHAnsi" w:hAnsiTheme="majorHAnsi" w:cs="Calibri-Italic"/>
          <w:i/>
          <w:iCs/>
          <w:sz w:val="16"/>
          <w:szCs w:val="16"/>
          <w:lang w:val="es-CO" w:eastAsia="es-ES"/>
        </w:rPr>
        <w:t xml:space="preserve"> Ramírez Vs. Venezuela</w:t>
      </w:r>
      <w:r w:rsidRPr="006A4D75">
        <w:rPr>
          <w:rFonts w:asciiTheme="majorHAnsi" w:hAnsiTheme="majorHAnsi" w:cs="Calibri-Italic"/>
          <w:iCs/>
          <w:sz w:val="16"/>
          <w:szCs w:val="16"/>
          <w:lang w:val="es-CO" w:eastAsia="es-ES"/>
        </w:rPr>
        <w:t xml:space="preserve">. </w:t>
      </w:r>
      <w:r w:rsidRPr="006A4D75">
        <w:rPr>
          <w:rFonts w:asciiTheme="majorHAnsi" w:hAnsiTheme="majorHAnsi" w:cs="Calibri"/>
          <w:sz w:val="16"/>
          <w:szCs w:val="16"/>
          <w:lang w:val="es-CO" w:eastAsia="es-ES"/>
        </w:rPr>
        <w:t>Excepción Preliminar, Fondo, Reparaciones y Costas. Sentencia de 20 de noviembre de 2009. Serie C No. 207, párr. 144.</w:t>
      </w:r>
    </w:p>
  </w:footnote>
  <w:footnote w:id="200">
    <w:p w:rsidR="006A4D75" w:rsidRPr="006A4D75" w:rsidRDefault="006A4D75" w:rsidP="006A4D75">
      <w:pPr>
        <w:pStyle w:val="FootnoteText"/>
        <w:spacing w:before="120"/>
        <w:ind w:firstLine="720"/>
        <w:jc w:val="both"/>
        <w:rPr>
          <w:rFonts w:asciiTheme="majorHAnsi" w:hAnsiTheme="majorHAnsi"/>
          <w:sz w:val="16"/>
          <w:szCs w:val="16"/>
          <w:lang w:val="es-CO"/>
        </w:rPr>
      </w:pPr>
      <w:r w:rsidRPr="006A4D75">
        <w:rPr>
          <w:rStyle w:val="FootnoteReference"/>
          <w:rFonts w:asciiTheme="majorHAnsi" w:eastAsia="Arial Unicode MS" w:hAnsiTheme="majorHAnsi" w:cs="Times New Roman"/>
          <w:color w:val="auto"/>
          <w:sz w:val="16"/>
          <w:szCs w:val="16"/>
        </w:rPr>
        <w:footnoteRef/>
      </w:r>
      <w:r w:rsidRPr="006A4D75">
        <w:rPr>
          <w:rFonts w:asciiTheme="majorHAnsi" w:hAnsiTheme="majorHAnsi"/>
          <w:sz w:val="16"/>
          <w:szCs w:val="16"/>
          <w:lang w:val="es-CO"/>
        </w:rPr>
        <w:t xml:space="preserve"> CIDH. </w:t>
      </w:r>
      <w:hyperlink r:id="rId9" w:history="1">
        <w:r w:rsidRPr="006A4D75">
          <w:rPr>
            <w:rStyle w:val="Hyperlink"/>
            <w:rFonts w:asciiTheme="majorHAnsi" w:hAnsiTheme="majorHAnsi"/>
            <w:sz w:val="16"/>
            <w:szCs w:val="16"/>
            <w:u w:val="none"/>
            <w:lang w:val="es-CO"/>
          </w:rPr>
          <w:t>Informe sobre el uso de la prisión preventiva en las Américas</w:t>
        </w:r>
      </w:hyperlink>
      <w:r w:rsidRPr="006A4D75">
        <w:rPr>
          <w:rFonts w:asciiTheme="majorHAnsi" w:hAnsiTheme="majorHAnsi"/>
          <w:sz w:val="16"/>
          <w:szCs w:val="16"/>
          <w:lang w:val="es-CO"/>
        </w:rPr>
        <w:t>. OEA/</w:t>
      </w:r>
      <w:proofErr w:type="spellStart"/>
      <w:r w:rsidRPr="006A4D75">
        <w:rPr>
          <w:rFonts w:asciiTheme="majorHAnsi" w:hAnsiTheme="majorHAnsi"/>
          <w:sz w:val="16"/>
          <w:szCs w:val="16"/>
          <w:lang w:val="es-CO"/>
        </w:rPr>
        <w:t>Ser.L</w:t>
      </w:r>
      <w:proofErr w:type="spellEnd"/>
      <w:r w:rsidRPr="006A4D75">
        <w:rPr>
          <w:rFonts w:asciiTheme="majorHAnsi" w:hAnsiTheme="majorHAnsi"/>
          <w:sz w:val="16"/>
          <w:szCs w:val="16"/>
          <w:lang w:val="es-CO"/>
        </w:rPr>
        <w:t>/V/II. 30 de diciembre de 2013. Párr. 137.</w:t>
      </w:r>
    </w:p>
  </w:footnote>
  <w:footnote w:id="201">
    <w:p w:rsidR="006A4D75" w:rsidRPr="006A4D75" w:rsidRDefault="006A4D75" w:rsidP="006A4D75">
      <w:pPr>
        <w:pStyle w:val="FootnoteText"/>
        <w:spacing w:before="120"/>
        <w:ind w:firstLine="720"/>
        <w:jc w:val="both"/>
        <w:rPr>
          <w:rFonts w:asciiTheme="majorHAnsi" w:hAnsiTheme="majorHAnsi"/>
          <w:color w:val="auto"/>
          <w:sz w:val="16"/>
          <w:szCs w:val="16"/>
          <w:lang w:val="es-ES"/>
        </w:rPr>
      </w:pPr>
      <w:r w:rsidRPr="006A4D75">
        <w:rPr>
          <w:rStyle w:val="FootnoteReference"/>
          <w:rFonts w:asciiTheme="majorHAnsi" w:hAnsiTheme="majorHAnsi"/>
          <w:color w:val="auto"/>
          <w:sz w:val="16"/>
          <w:szCs w:val="16"/>
        </w:rPr>
        <w:footnoteRef/>
      </w:r>
      <w:r w:rsidRPr="006A4D75">
        <w:rPr>
          <w:rFonts w:asciiTheme="majorHAnsi" w:hAnsiTheme="majorHAnsi"/>
          <w:color w:val="auto"/>
          <w:sz w:val="16"/>
          <w:szCs w:val="16"/>
          <w:lang w:val="es-CO"/>
        </w:rPr>
        <w:t xml:space="preserve"> Corte IDH. Caso Suárez Rosero Vs. Ecuador. Sentencia de 12 de noviembre de 1997. </w:t>
      </w:r>
      <w:r w:rsidRPr="006A4D75">
        <w:rPr>
          <w:rFonts w:asciiTheme="majorHAnsi" w:hAnsiTheme="majorHAnsi"/>
          <w:color w:val="auto"/>
          <w:sz w:val="16"/>
          <w:szCs w:val="16"/>
          <w:lang w:val="es-ES"/>
        </w:rPr>
        <w:t>Serie C No. 35. Párr. 63.</w:t>
      </w:r>
    </w:p>
  </w:footnote>
  <w:footnote w:id="202">
    <w:p w:rsidR="006A4D75" w:rsidRPr="006A4D75" w:rsidRDefault="006A4D75" w:rsidP="006A4D75">
      <w:pPr>
        <w:widowControl w:val="0"/>
        <w:autoSpaceDE w:val="0"/>
        <w:autoSpaceDN w:val="0"/>
        <w:adjustRightInd w:val="0"/>
        <w:spacing w:before="120"/>
        <w:ind w:firstLine="720"/>
        <w:jc w:val="both"/>
        <w:rPr>
          <w:rFonts w:asciiTheme="majorHAnsi" w:hAnsiTheme="majorHAnsi" w:cs="Times-Roman"/>
          <w:sz w:val="16"/>
          <w:szCs w:val="16"/>
          <w:lang w:val="es-US" w:bidi="en-US"/>
        </w:rPr>
      </w:pPr>
      <w:r w:rsidRPr="006A4D75">
        <w:rPr>
          <w:rStyle w:val="FootnoteReference"/>
          <w:rFonts w:asciiTheme="majorHAnsi" w:hAnsiTheme="majorHAnsi"/>
          <w:sz w:val="16"/>
          <w:szCs w:val="16"/>
        </w:rPr>
        <w:footnoteRef/>
      </w:r>
      <w:r w:rsidRPr="006A4D75">
        <w:rPr>
          <w:rFonts w:asciiTheme="majorHAnsi" w:hAnsiTheme="majorHAnsi"/>
          <w:sz w:val="16"/>
          <w:szCs w:val="16"/>
          <w:lang w:val="es-CO"/>
        </w:rPr>
        <w:t xml:space="preserve"> </w:t>
      </w:r>
      <w:r w:rsidRPr="006A4D75">
        <w:rPr>
          <w:rFonts w:asciiTheme="majorHAnsi" w:hAnsiTheme="majorHAnsi"/>
          <w:sz w:val="16"/>
          <w:szCs w:val="16"/>
          <w:lang w:val="es-ES"/>
        </w:rPr>
        <w:t xml:space="preserve">El artículo 8.1 de la Convención Americana establece, en lo pertinente: </w:t>
      </w:r>
      <w:r w:rsidRPr="006A4D75">
        <w:rPr>
          <w:rFonts w:asciiTheme="majorHAnsi" w:hAnsiTheme="majorHAnsi" w:cs="Verdana"/>
          <w:sz w:val="16"/>
          <w:szCs w:val="16"/>
          <w:lang w:val="es-US" w:bidi="en-US"/>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203">
    <w:p w:rsidR="006A4D75" w:rsidRPr="006A4D75" w:rsidRDefault="006A4D75" w:rsidP="006A4D75">
      <w:pPr>
        <w:pStyle w:val="FootnoteText"/>
        <w:spacing w:before="120"/>
        <w:ind w:firstLine="720"/>
        <w:jc w:val="both"/>
        <w:rPr>
          <w:rFonts w:asciiTheme="majorHAnsi" w:hAnsiTheme="majorHAnsi"/>
          <w:color w:val="auto"/>
          <w:sz w:val="16"/>
          <w:szCs w:val="16"/>
          <w:lang w:val="es-US"/>
        </w:rPr>
      </w:pPr>
      <w:r w:rsidRPr="006A4D75">
        <w:rPr>
          <w:rStyle w:val="FootnoteReference"/>
          <w:rFonts w:asciiTheme="majorHAnsi" w:hAnsiTheme="majorHAnsi"/>
          <w:color w:val="auto"/>
          <w:sz w:val="16"/>
          <w:szCs w:val="16"/>
        </w:rPr>
        <w:footnoteRef/>
      </w:r>
      <w:r w:rsidRPr="006A4D75">
        <w:rPr>
          <w:rFonts w:asciiTheme="majorHAnsi" w:hAnsiTheme="majorHAnsi"/>
          <w:color w:val="auto"/>
          <w:sz w:val="16"/>
          <w:szCs w:val="16"/>
          <w:lang w:val="es-US"/>
        </w:rPr>
        <w:t xml:space="preserve"> El artículo 25 de la Convención Americana señala en lo pertinente que: </w:t>
      </w:r>
      <w:r w:rsidRPr="006A4D75">
        <w:rPr>
          <w:rFonts w:asciiTheme="majorHAnsi" w:hAnsiTheme="majorHAnsi" w:cs="Verdana"/>
          <w:color w:val="auto"/>
          <w:sz w:val="16"/>
          <w:szCs w:val="16"/>
          <w:lang w:val="es-US" w:bidi="en-US"/>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204">
    <w:p w:rsidR="006A4D75" w:rsidRPr="006A4D75" w:rsidRDefault="006A4D75" w:rsidP="006A4D75">
      <w:pPr>
        <w:pStyle w:val="FootnoteText"/>
        <w:spacing w:before="120"/>
        <w:ind w:firstLine="720"/>
        <w:jc w:val="both"/>
        <w:rPr>
          <w:rStyle w:val="FootnoteReference"/>
          <w:rFonts w:asciiTheme="majorHAnsi" w:hAnsiTheme="majorHAnsi"/>
          <w:sz w:val="16"/>
          <w:szCs w:val="16"/>
          <w:lang w:val="es-CO"/>
        </w:rPr>
      </w:pPr>
      <w:r w:rsidRPr="006A4D75">
        <w:rPr>
          <w:rStyle w:val="FootnoteReference"/>
          <w:rFonts w:asciiTheme="majorHAnsi" w:hAnsiTheme="majorHAnsi"/>
          <w:sz w:val="16"/>
          <w:szCs w:val="16"/>
        </w:rPr>
        <w:footnoteRef/>
      </w:r>
      <w:r w:rsidRPr="006A4D75">
        <w:rPr>
          <w:rStyle w:val="FootnoteReference"/>
          <w:rFonts w:asciiTheme="majorHAnsi" w:hAnsiTheme="majorHAnsi"/>
          <w:sz w:val="16"/>
          <w:szCs w:val="16"/>
          <w:lang w:val="pt-BR"/>
        </w:rPr>
        <w:t xml:space="preserve"> </w:t>
      </w:r>
      <w:r w:rsidRPr="006A4D75">
        <w:rPr>
          <w:rFonts w:asciiTheme="majorHAnsi" w:hAnsiTheme="majorHAnsi"/>
          <w:noProof/>
          <w:sz w:val="16"/>
          <w:szCs w:val="16"/>
          <w:lang w:val="pt-BR"/>
        </w:rPr>
        <w:t xml:space="preserve">Corte IDH, </w:t>
      </w:r>
      <w:r w:rsidRPr="006A4D75">
        <w:rPr>
          <w:rFonts w:asciiTheme="majorHAnsi" w:hAnsiTheme="majorHAnsi"/>
          <w:i/>
          <w:noProof/>
          <w:sz w:val="16"/>
          <w:szCs w:val="16"/>
          <w:lang w:val="pt-BR"/>
        </w:rPr>
        <w:t xml:space="preserve">Caso Barreto Leiva Vs. </w:t>
      </w:r>
      <w:r w:rsidRPr="006A4D75">
        <w:rPr>
          <w:rFonts w:asciiTheme="majorHAnsi" w:hAnsiTheme="majorHAnsi"/>
          <w:i/>
          <w:noProof/>
          <w:sz w:val="16"/>
          <w:szCs w:val="16"/>
          <w:lang w:val="es-MX"/>
        </w:rPr>
        <w:t>Venezuela</w:t>
      </w:r>
      <w:r w:rsidRPr="006A4D75">
        <w:rPr>
          <w:rFonts w:asciiTheme="majorHAnsi" w:hAnsiTheme="majorHAnsi"/>
          <w:noProof/>
          <w:sz w:val="16"/>
          <w:szCs w:val="16"/>
          <w:lang w:val="es-MX"/>
        </w:rPr>
        <w:t xml:space="preserve">. </w:t>
      </w:r>
      <w:r w:rsidRPr="006A4D75">
        <w:rPr>
          <w:rFonts w:asciiTheme="majorHAnsi" w:hAnsiTheme="majorHAnsi"/>
          <w:noProof/>
          <w:sz w:val="16"/>
          <w:szCs w:val="16"/>
          <w:lang w:val="es-CO"/>
        </w:rPr>
        <w:t>Fondo, Reparaciones y Costas. Sentencia de 17 de Noviembre de 2009. Serie C No. 206, párr. 75.</w:t>
      </w:r>
    </w:p>
  </w:footnote>
  <w:footnote w:id="205">
    <w:p w:rsidR="006A4D75" w:rsidRPr="006A4D75" w:rsidRDefault="006A4D75" w:rsidP="006A4D75">
      <w:pPr>
        <w:pStyle w:val="FootnoteText"/>
        <w:spacing w:before="120"/>
        <w:ind w:firstLine="720"/>
        <w:jc w:val="both"/>
        <w:rPr>
          <w:rStyle w:val="FootnoteReference"/>
          <w:rFonts w:asciiTheme="majorHAnsi" w:hAnsiTheme="majorHAnsi"/>
          <w:sz w:val="16"/>
          <w:szCs w:val="16"/>
          <w:lang w:val="es-CO"/>
        </w:rPr>
      </w:pPr>
      <w:r w:rsidRPr="006A4D75">
        <w:rPr>
          <w:rStyle w:val="FootnoteReference"/>
          <w:rFonts w:asciiTheme="majorHAnsi" w:hAnsiTheme="majorHAnsi"/>
          <w:sz w:val="16"/>
          <w:szCs w:val="16"/>
        </w:rPr>
        <w:footnoteRef/>
      </w:r>
      <w:r w:rsidRPr="006A4D75">
        <w:rPr>
          <w:rStyle w:val="FootnoteReference"/>
          <w:rFonts w:asciiTheme="majorHAnsi" w:hAnsiTheme="majorHAnsi"/>
          <w:sz w:val="16"/>
          <w:szCs w:val="16"/>
          <w:lang w:val="es-CO"/>
        </w:rPr>
        <w:t xml:space="preserve"> </w:t>
      </w:r>
      <w:r w:rsidRPr="006A4D75">
        <w:rPr>
          <w:rFonts w:asciiTheme="majorHAnsi" w:hAnsiTheme="majorHAnsi"/>
          <w:noProof/>
          <w:sz w:val="16"/>
          <w:szCs w:val="16"/>
          <w:lang w:val="es-CO"/>
        </w:rPr>
        <w:t xml:space="preserve">Corte IDH, </w:t>
      </w:r>
      <w:r w:rsidRPr="006A4D75">
        <w:rPr>
          <w:rFonts w:asciiTheme="majorHAnsi" w:hAnsiTheme="majorHAnsi"/>
          <w:i/>
          <w:noProof/>
          <w:sz w:val="16"/>
          <w:szCs w:val="16"/>
          <w:lang w:val="es-CO"/>
        </w:rPr>
        <w:t>Caso Barreto Leiva Vs. Venezuela</w:t>
      </w:r>
      <w:r w:rsidRPr="006A4D75">
        <w:rPr>
          <w:rFonts w:asciiTheme="majorHAnsi" w:hAnsiTheme="majorHAnsi"/>
          <w:noProof/>
          <w:sz w:val="16"/>
          <w:szCs w:val="16"/>
          <w:lang w:val="es-CO"/>
        </w:rPr>
        <w:t>. Fondo, Reparaciones y Costas. Sentencia de 17 de Noviembre de 2009. Serie C No. 206, párr. 75.</w:t>
      </w:r>
    </w:p>
  </w:footnote>
  <w:footnote w:id="206">
    <w:p w:rsidR="006A4D75" w:rsidRPr="006A4D75" w:rsidRDefault="006A4D75" w:rsidP="006A4D75">
      <w:pPr>
        <w:spacing w:before="120"/>
        <w:ind w:firstLine="720"/>
        <w:jc w:val="both"/>
        <w:rPr>
          <w:rFonts w:asciiTheme="majorHAnsi" w:eastAsia="Times New Roman" w:hAnsiTheme="majorHAnsi"/>
          <w:sz w:val="16"/>
          <w:szCs w:val="16"/>
          <w:lang w:val="es-MX"/>
        </w:rPr>
      </w:pPr>
      <w:r w:rsidRPr="006A4D75">
        <w:rPr>
          <w:rStyle w:val="FootnoteReference"/>
          <w:rFonts w:asciiTheme="majorHAnsi" w:hAnsiTheme="majorHAnsi"/>
          <w:sz w:val="16"/>
          <w:szCs w:val="16"/>
        </w:rPr>
        <w:footnoteRef/>
      </w:r>
      <w:r w:rsidRPr="006A4D75">
        <w:rPr>
          <w:rFonts w:asciiTheme="majorHAnsi" w:hAnsiTheme="majorHAnsi"/>
          <w:sz w:val="16"/>
          <w:szCs w:val="16"/>
          <w:lang w:val="es-CO"/>
        </w:rPr>
        <w:t xml:space="preserve"> CIDH, Informe de Fondo 12. 816, Informe No. 103/13, 5 de noviembre de 2013, párr. 112. Citando </w:t>
      </w:r>
      <w:r w:rsidRPr="006A4D75">
        <w:rPr>
          <w:rFonts w:asciiTheme="majorHAnsi" w:eastAsia="Times New Roman" w:hAnsiTheme="majorHAnsi"/>
          <w:sz w:val="16"/>
          <w:szCs w:val="16"/>
          <w:lang w:val="es-MX"/>
        </w:rPr>
        <w:t>Ver, Naciones Unidas. Comité de Derechos Humanos. Observación General No. 32, CCPR/C/GC/32, 23 de agosto de 2007, párr.19. Ver en este sentido Cfr. El Hábeas Corpus Bajo Suspensión de Garantías (arts. 27.2, 25.1 y 7.6 Convención Americana sobre Derechos Humanos). Opinión Consultiva OC-8/87 del 30 de enero de 1987. Serie A No. 8, párr. 30.</w:t>
      </w:r>
      <w:r w:rsidRPr="006A4D75">
        <w:rPr>
          <w:rFonts w:asciiTheme="majorHAnsi" w:hAnsiTheme="majorHAnsi"/>
          <w:sz w:val="16"/>
          <w:szCs w:val="16"/>
          <w:lang w:val="es-MX"/>
        </w:rPr>
        <w:t xml:space="preserve"> Ver también, CIDH, Democracia y Derechos Humanos en Venezuela, III. La Separación e independencia de los poderes púb</w:t>
      </w:r>
      <w:r w:rsidR="0010796C">
        <w:rPr>
          <w:rFonts w:asciiTheme="majorHAnsi" w:hAnsiTheme="majorHAnsi"/>
          <w:sz w:val="16"/>
          <w:szCs w:val="16"/>
          <w:lang w:val="es-MX"/>
        </w:rPr>
        <w:t>l</w:t>
      </w:r>
      <w:r w:rsidRPr="006A4D75">
        <w:rPr>
          <w:rFonts w:asciiTheme="majorHAnsi" w:hAnsiTheme="majorHAnsi"/>
          <w:sz w:val="16"/>
          <w:szCs w:val="16"/>
          <w:lang w:val="es-MX"/>
        </w:rPr>
        <w:t>icos, 30 de diciembre de 2009. párr. 80.</w:t>
      </w:r>
    </w:p>
  </w:footnote>
  <w:footnote w:id="207">
    <w:p w:rsidR="006A4D75" w:rsidRPr="006A4D75" w:rsidRDefault="006A4D75" w:rsidP="0010796C">
      <w:pPr>
        <w:spacing w:before="120"/>
        <w:ind w:firstLine="720"/>
        <w:jc w:val="both"/>
        <w:rPr>
          <w:rFonts w:asciiTheme="majorHAnsi" w:eastAsia="Times New Roman" w:hAnsiTheme="majorHAnsi"/>
          <w:sz w:val="16"/>
          <w:szCs w:val="16"/>
          <w:lang w:val="es-MX"/>
        </w:rPr>
      </w:pPr>
      <w:r w:rsidRPr="006A4D75">
        <w:rPr>
          <w:rStyle w:val="FootnoteReference"/>
          <w:rFonts w:asciiTheme="majorHAnsi" w:hAnsiTheme="majorHAnsi"/>
          <w:sz w:val="16"/>
          <w:szCs w:val="16"/>
        </w:rPr>
        <w:footnoteRef/>
      </w:r>
      <w:r w:rsidR="0010796C">
        <w:rPr>
          <w:rFonts w:asciiTheme="majorHAnsi" w:hAnsiTheme="majorHAnsi"/>
          <w:sz w:val="16"/>
          <w:szCs w:val="16"/>
          <w:lang w:val="es-MX"/>
        </w:rPr>
        <w:t xml:space="preserve"> </w:t>
      </w:r>
      <w:r w:rsidR="0010796C" w:rsidRPr="006A4D75">
        <w:rPr>
          <w:rFonts w:asciiTheme="majorHAnsi" w:hAnsiTheme="majorHAnsi"/>
          <w:sz w:val="16"/>
          <w:szCs w:val="16"/>
          <w:lang w:val="es-MX"/>
        </w:rPr>
        <w:t xml:space="preserve">CIDH, </w:t>
      </w:r>
      <w:r w:rsidR="0010796C" w:rsidRPr="006A4D75">
        <w:rPr>
          <w:rFonts w:asciiTheme="majorHAnsi" w:hAnsiTheme="majorHAnsi"/>
          <w:i/>
          <w:sz w:val="16"/>
          <w:szCs w:val="16"/>
          <w:lang w:val="es-MX"/>
        </w:rPr>
        <w:t>Informe sobre las Garantías para la Independencia de las</w:t>
      </w:r>
      <w:r w:rsidR="0010796C">
        <w:rPr>
          <w:rFonts w:asciiTheme="majorHAnsi" w:hAnsiTheme="majorHAnsi"/>
          <w:i/>
          <w:sz w:val="16"/>
          <w:szCs w:val="16"/>
          <w:lang w:val="es-MX"/>
        </w:rPr>
        <w:t xml:space="preserve"> y los Operadores de Justicia. </w:t>
      </w:r>
      <w:r w:rsidR="0010796C" w:rsidRPr="006A4D75">
        <w:rPr>
          <w:rFonts w:asciiTheme="majorHAnsi" w:hAnsiTheme="majorHAnsi"/>
          <w:i/>
          <w:sz w:val="16"/>
          <w:szCs w:val="16"/>
          <w:lang w:val="es-MX"/>
        </w:rPr>
        <w:t>Hacia</w:t>
      </w:r>
      <w:r w:rsidRPr="006A4D75">
        <w:rPr>
          <w:rFonts w:asciiTheme="majorHAnsi" w:hAnsiTheme="majorHAnsi"/>
          <w:i/>
          <w:sz w:val="16"/>
          <w:szCs w:val="16"/>
          <w:lang w:val="es-MX"/>
        </w:rPr>
        <w:t xml:space="preserve"> el fortalecimiento del acceso a la justicia y el estado de derecho en las Américas,  </w:t>
      </w:r>
      <w:r w:rsidRPr="006A4D75">
        <w:rPr>
          <w:rFonts w:asciiTheme="majorHAnsi" w:hAnsiTheme="majorHAnsi"/>
          <w:sz w:val="16"/>
          <w:szCs w:val="16"/>
          <w:lang w:val="es-MX"/>
        </w:rPr>
        <w:t xml:space="preserve">5 de diciembre de 2013, </w:t>
      </w:r>
      <w:proofErr w:type="spellStart"/>
      <w:r w:rsidRPr="006A4D75">
        <w:rPr>
          <w:rFonts w:asciiTheme="majorHAnsi" w:hAnsiTheme="majorHAnsi"/>
          <w:sz w:val="16"/>
          <w:szCs w:val="16"/>
          <w:lang w:val="es-MX"/>
        </w:rPr>
        <w:t>párrs</w:t>
      </w:r>
      <w:proofErr w:type="spellEnd"/>
      <w:r w:rsidRPr="006A4D75">
        <w:rPr>
          <w:rFonts w:asciiTheme="majorHAnsi" w:hAnsiTheme="majorHAnsi"/>
          <w:sz w:val="16"/>
          <w:szCs w:val="16"/>
          <w:lang w:val="es-MX"/>
        </w:rPr>
        <w:t xml:space="preserve">. 56, 109 y 184, </w:t>
      </w:r>
      <w:r w:rsidRPr="006A4D75">
        <w:rPr>
          <w:rFonts w:asciiTheme="majorHAnsi" w:eastAsia="Times New Roman" w:hAnsiTheme="majorHAnsi"/>
          <w:bCs/>
          <w:sz w:val="16"/>
          <w:szCs w:val="16"/>
          <w:shd w:val="clear" w:color="auto" w:fill="FFFFFF"/>
          <w:lang w:val="es-MX"/>
        </w:rPr>
        <w:t xml:space="preserve">Corte IDH. Caso López </w:t>
      </w:r>
      <w:proofErr w:type="spellStart"/>
      <w:r w:rsidRPr="006A4D75">
        <w:rPr>
          <w:rFonts w:asciiTheme="majorHAnsi" w:eastAsia="Times New Roman" w:hAnsiTheme="majorHAnsi"/>
          <w:bCs/>
          <w:sz w:val="16"/>
          <w:szCs w:val="16"/>
          <w:shd w:val="clear" w:color="auto" w:fill="FFFFFF"/>
          <w:lang w:val="es-MX"/>
        </w:rPr>
        <w:t>Lone</w:t>
      </w:r>
      <w:proofErr w:type="spellEnd"/>
      <w:r w:rsidRPr="006A4D75">
        <w:rPr>
          <w:rFonts w:asciiTheme="majorHAnsi" w:eastAsia="Times New Roman" w:hAnsiTheme="majorHAnsi"/>
          <w:bCs/>
          <w:sz w:val="16"/>
          <w:szCs w:val="16"/>
          <w:shd w:val="clear" w:color="auto" w:fill="FFFFFF"/>
          <w:lang w:val="es-MX"/>
        </w:rPr>
        <w:t xml:space="preserve"> y otros Vs. Honduras. Excepción Preliminar, Fondo, Reparaciones y Costas. Sentencia de 5 de octubre de 2015. Serie C No. 302, párr. 191.</w:t>
      </w:r>
    </w:p>
  </w:footnote>
  <w:footnote w:id="208">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CIDH, </w:t>
      </w:r>
      <w:hyperlink r:id="rId10" w:history="1">
        <w:r w:rsidRPr="006A4D75">
          <w:rPr>
            <w:rStyle w:val="Hyperlink"/>
            <w:rFonts w:asciiTheme="majorHAnsi" w:hAnsiTheme="majorHAnsi"/>
            <w:sz w:val="16"/>
            <w:szCs w:val="16"/>
            <w:u w:val="none"/>
            <w:lang w:val="es-ES"/>
          </w:rPr>
          <w:t>Garantías para la independencia de las y los operadores de justicia</w:t>
        </w:r>
      </w:hyperlink>
      <w:r w:rsidRPr="006A4D75">
        <w:rPr>
          <w:rFonts w:asciiTheme="majorHAnsi" w:hAnsiTheme="majorHAnsi"/>
          <w:sz w:val="16"/>
          <w:szCs w:val="16"/>
          <w:lang w:val="es-ES"/>
        </w:rPr>
        <w:t xml:space="preserve"> – Hacia el fortalecimiento del acceso a la justicia y el Estado de Derecho en las Américas, 5 de diciembre de 2013, recomendación 6.</w:t>
      </w:r>
    </w:p>
  </w:footnote>
  <w:footnote w:id="209">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CIDH, </w:t>
      </w:r>
      <w:hyperlink r:id="rId11" w:history="1">
        <w:r w:rsidRPr="006A4D75">
          <w:rPr>
            <w:rStyle w:val="Hyperlink"/>
            <w:rFonts w:asciiTheme="majorHAnsi" w:hAnsiTheme="majorHAnsi"/>
            <w:sz w:val="16"/>
            <w:szCs w:val="16"/>
            <w:u w:val="none"/>
            <w:lang w:val="es-ES"/>
          </w:rPr>
          <w:t>Garantías para la independencia de las y los operadores de justicia</w:t>
        </w:r>
      </w:hyperlink>
      <w:r w:rsidRPr="006A4D75">
        <w:rPr>
          <w:rFonts w:asciiTheme="majorHAnsi" w:hAnsiTheme="majorHAnsi"/>
          <w:sz w:val="16"/>
          <w:szCs w:val="16"/>
          <w:lang w:val="es-ES"/>
        </w:rPr>
        <w:t xml:space="preserve"> – Hacia el fortalecimiento del acceso a la justicia y el Estado de Derecho en las Américas, 5 de diciembre de 2013, recomendación 6.</w:t>
      </w:r>
    </w:p>
  </w:footnote>
  <w:footnote w:id="210">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CIDH, </w:t>
      </w:r>
      <w:hyperlink r:id="rId12" w:history="1">
        <w:r w:rsidRPr="006A4D75">
          <w:rPr>
            <w:rStyle w:val="Hyperlink"/>
            <w:rFonts w:asciiTheme="majorHAnsi" w:hAnsiTheme="majorHAnsi"/>
            <w:sz w:val="16"/>
            <w:szCs w:val="16"/>
            <w:u w:val="none"/>
            <w:lang w:val="es-ES"/>
          </w:rPr>
          <w:t>Garantías para la independencia de las y los operadores de justicia</w:t>
        </w:r>
      </w:hyperlink>
      <w:r w:rsidRPr="006A4D75">
        <w:rPr>
          <w:rFonts w:asciiTheme="majorHAnsi" w:hAnsiTheme="majorHAnsi"/>
          <w:sz w:val="16"/>
          <w:szCs w:val="16"/>
          <w:lang w:val="es-ES"/>
        </w:rPr>
        <w:t xml:space="preserve"> – Hacia el fortalecimiento del acceso a la justicia y el Estado de Derecho en las Américas, 5 de diciembre de 2013, recomendación 6.</w:t>
      </w:r>
    </w:p>
  </w:footnote>
  <w:footnote w:id="211">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Corte IDH. </w:t>
      </w:r>
      <w:r w:rsidRPr="006A4D75">
        <w:rPr>
          <w:rFonts w:asciiTheme="majorHAnsi" w:hAnsiTheme="majorHAnsi"/>
          <w:i/>
          <w:sz w:val="16"/>
          <w:szCs w:val="16"/>
          <w:lang w:val="es-ES"/>
        </w:rPr>
        <w:t>Caso del Tribunal Constitucional Vs. Perú</w:t>
      </w:r>
      <w:r w:rsidRPr="006A4D75">
        <w:rPr>
          <w:rFonts w:asciiTheme="majorHAnsi" w:hAnsiTheme="majorHAnsi"/>
          <w:sz w:val="16"/>
          <w:szCs w:val="16"/>
          <w:lang w:val="es-ES"/>
        </w:rPr>
        <w:t xml:space="preserve">. Fondo, Reparaciones y Costas. </w:t>
      </w:r>
      <w:r w:rsidRPr="006A4D75">
        <w:rPr>
          <w:rFonts w:asciiTheme="majorHAnsi" w:hAnsiTheme="majorHAnsi"/>
          <w:sz w:val="16"/>
          <w:szCs w:val="16"/>
          <w:lang w:val="es-CO"/>
        </w:rPr>
        <w:t>Sentencia de 31 de enero de 2001. Serie C No. 71, párr. 73.</w:t>
      </w:r>
    </w:p>
  </w:footnote>
  <w:footnote w:id="212">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CIDH, </w:t>
      </w:r>
      <w:hyperlink r:id="rId13" w:history="1">
        <w:r w:rsidRPr="006A4D75">
          <w:rPr>
            <w:rStyle w:val="Hyperlink"/>
            <w:rFonts w:asciiTheme="majorHAnsi" w:hAnsiTheme="majorHAnsi"/>
            <w:sz w:val="16"/>
            <w:szCs w:val="16"/>
            <w:u w:val="none"/>
            <w:lang w:val="es-ES"/>
          </w:rPr>
          <w:t>Garantías para la independencia de las y los operadores de justicia</w:t>
        </w:r>
      </w:hyperlink>
      <w:r w:rsidRPr="006A4D75">
        <w:rPr>
          <w:rFonts w:asciiTheme="majorHAnsi" w:hAnsiTheme="majorHAnsi"/>
          <w:sz w:val="16"/>
          <w:szCs w:val="16"/>
          <w:lang w:val="es-ES"/>
        </w:rPr>
        <w:t xml:space="preserve"> – Hacia el fortalecimiento del acceso a la justicia y el Estado de Derecho en las Américas, 5 de diciembre de 2013, párr. 201.</w:t>
      </w:r>
    </w:p>
  </w:footnote>
  <w:footnote w:id="213">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CIDH, </w:t>
      </w:r>
      <w:hyperlink r:id="rId14" w:history="1">
        <w:r w:rsidRPr="006A4D75">
          <w:rPr>
            <w:rStyle w:val="Hyperlink"/>
            <w:rFonts w:asciiTheme="majorHAnsi" w:hAnsiTheme="majorHAnsi"/>
            <w:sz w:val="16"/>
            <w:szCs w:val="16"/>
            <w:u w:val="none"/>
            <w:lang w:val="es-ES"/>
          </w:rPr>
          <w:t>Garantías para la independencia de las y los operadores de justicia</w:t>
        </w:r>
      </w:hyperlink>
      <w:r w:rsidRPr="006A4D75">
        <w:rPr>
          <w:rFonts w:asciiTheme="majorHAnsi" w:hAnsiTheme="majorHAnsi"/>
          <w:sz w:val="16"/>
          <w:szCs w:val="16"/>
          <w:lang w:val="es-ES"/>
        </w:rPr>
        <w:t xml:space="preserve"> – Hacia el fortalecimiento del acceso a la justicia y el Estado de Derecho en las Américas, 5 de diciembre de 2013, párr. 201.</w:t>
      </w:r>
    </w:p>
  </w:footnote>
  <w:footnote w:id="214">
    <w:p w:rsidR="006A4D75" w:rsidRPr="006A4D75" w:rsidRDefault="006A4D75" w:rsidP="006A4D75">
      <w:pPr>
        <w:pStyle w:val="FootnoteText"/>
        <w:spacing w:before="120"/>
        <w:ind w:firstLine="720"/>
        <w:jc w:val="both"/>
        <w:rPr>
          <w:rFonts w:asciiTheme="majorHAnsi" w:hAnsiTheme="majorHAnsi"/>
          <w:sz w:val="16"/>
          <w:szCs w:val="16"/>
          <w:lang w:val="es-ES"/>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Corte IDH. </w:t>
      </w:r>
      <w:r w:rsidRPr="006A4D75">
        <w:rPr>
          <w:rFonts w:asciiTheme="majorHAnsi" w:hAnsiTheme="majorHAnsi"/>
          <w:i/>
          <w:sz w:val="16"/>
          <w:szCs w:val="16"/>
          <w:lang w:val="es-ES"/>
        </w:rPr>
        <w:t xml:space="preserve">Caso </w:t>
      </w:r>
      <w:proofErr w:type="spellStart"/>
      <w:r w:rsidRPr="006A4D75">
        <w:rPr>
          <w:rFonts w:asciiTheme="majorHAnsi" w:hAnsiTheme="majorHAnsi"/>
          <w:i/>
          <w:sz w:val="16"/>
          <w:szCs w:val="16"/>
          <w:lang w:val="es-ES"/>
        </w:rPr>
        <w:t>Apitz</w:t>
      </w:r>
      <w:proofErr w:type="spellEnd"/>
      <w:r w:rsidRPr="006A4D75">
        <w:rPr>
          <w:rFonts w:asciiTheme="majorHAnsi" w:hAnsiTheme="majorHAnsi"/>
          <w:i/>
          <w:sz w:val="16"/>
          <w:szCs w:val="16"/>
          <w:lang w:val="es-ES"/>
        </w:rPr>
        <w:t xml:space="preserve"> Barbera y otros (“Corte Primera de lo Contencioso Administrativo”) Vs. Venezuela.</w:t>
      </w:r>
      <w:r w:rsidRPr="006A4D75">
        <w:rPr>
          <w:rFonts w:asciiTheme="majorHAnsi" w:hAnsiTheme="majorHAnsi"/>
          <w:sz w:val="16"/>
          <w:szCs w:val="16"/>
          <w:lang w:val="es-ES"/>
        </w:rPr>
        <w:t xml:space="preserve"> Excepción Preliminar, Fondo, Reparaciones y Costas. </w:t>
      </w:r>
      <w:r w:rsidRPr="006A4D75">
        <w:rPr>
          <w:rFonts w:asciiTheme="majorHAnsi" w:hAnsiTheme="majorHAnsi"/>
          <w:sz w:val="16"/>
          <w:szCs w:val="16"/>
          <w:lang w:val="es-CO"/>
        </w:rPr>
        <w:t xml:space="preserve">Sentencia de 5 de agosto de 2008. Serie C No. 182, </w:t>
      </w:r>
      <w:proofErr w:type="spellStart"/>
      <w:r w:rsidRPr="006A4D75">
        <w:rPr>
          <w:rFonts w:asciiTheme="majorHAnsi" w:hAnsiTheme="majorHAnsi"/>
          <w:sz w:val="16"/>
          <w:szCs w:val="16"/>
          <w:lang w:val="es-CO"/>
        </w:rPr>
        <w:t>párrs</w:t>
      </w:r>
      <w:proofErr w:type="spellEnd"/>
      <w:r w:rsidRPr="006A4D75">
        <w:rPr>
          <w:rFonts w:asciiTheme="majorHAnsi" w:hAnsiTheme="majorHAnsi"/>
          <w:sz w:val="16"/>
          <w:szCs w:val="16"/>
          <w:lang w:val="es-CO"/>
        </w:rPr>
        <w:t>. 59-67 y 253.</w:t>
      </w:r>
    </w:p>
  </w:footnote>
  <w:footnote w:id="215">
    <w:p w:rsidR="006A4D75" w:rsidRPr="006A4D75" w:rsidRDefault="006A4D75" w:rsidP="006A4D75">
      <w:pPr>
        <w:spacing w:before="120"/>
        <w:ind w:firstLine="720"/>
        <w:jc w:val="both"/>
        <w:rPr>
          <w:rFonts w:asciiTheme="majorHAnsi" w:hAnsiTheme="majorHAnsi"/>
          <w:sz w:val="16"/>
          <w:szCs w:val="16"/>
          <w:lang w:val="es-CO"/>
        </w:rPr>
      </w:pPr>
      <w:r w:rsidRPr="006A4D75">
        <w:rPr>
          <w:rStyle w:val="FootnoteReference"/>
          <w:rFonts w:asciiTheme="majorHAnsi" w:hAnsiTheme="majorHAnsi"/>
          <w:sz w:val="16"/>
          <w:szCs w:val="16"/>
        </w:rPr>
        <w:footnoteRef/>
      </w:r>
      <w:r w:rsidRPr="006A4D75">
        <w:rPr>
          <w:rFonts w:asciiTheme="majorHAnsi" w:hAnsiTheme="majorHAnsi"/>
          <w:sz w:val="16"/>
          <w:szCs w:val="16"/>
          <w:lang w:val="es-ES_tradnl"/>
        </w:rPr>
        <w:t xml:space="preserve"> </w:t>
      </w:r>
      <w:r w:rsidRPr="006A4D75">
        <w:rPr>
          <w:rFonts w:asciiTheme="majorHAnsi" w:hAnsiTheme="majorHAnsi" w:cs="Arial"/>
          <w:sz w:val="16"/>
          <w:szCs w:val="16"/>
          <w:lang w:val="es-ES_tradnl"/>
        </w:rPr>
        <w:t>Corte IDH.</w:t>
      </w:r>
      <w:r w:rsidRPr="006A4D75">
        <w:rPr>
          <w:rFonts w:asciiTheme="majorHAnsi" w:hAnsiTheme="majorHAnsi"/>
          <w:sz w:val="16"/>
          <w:szCs w:val="16"/>
          <w:lang w:val="es-ES_tradnl"/>
        </w:rPr>
        <w:t xml:space="preserve"> </w:t>
      </w:r>
      <w:r w:rsidRPr="006A4D75">
        <w:rPr>
          <w:rFonts w:asciiTheme="majorHAnsi" w:hAnsiTheme="majorHAnsi"/>
          <w:i/>
          <w:sz w:val="16"/>
          <w:szCs w:val="16"/>
          <w:lang w:val="es-ES_tradnl"/>
        </w:rPr>
        <w:t>Caso Castillo Páez Vs. Perú.</w:t>
      </w:r>
      <w:r w:rsidRPr="006A4D75">
        <w:rPr>
          <w:rFonts w:asciiTheme="majorHAnsi" w:hAnsiTheme="majorHAnsi"/>
          <w:sz w:val="16"/>
          <w:szCs w:val="16"/>
          <w:lang w:val="es-ES_tradnl"/>
        </w:rPr>
        <w:t xml:space="preserve"> Fondo. Sentencia de 3 de noviembre de 1997. </w:t>
      </w:r>
      <w:r w:rsidRPr="006A4D75">
        <w:rPr>
          <w:rFonts w:asciiTheme="majorHAnsi" w:hAnsiTheme="majorHAnsi"/>
          <w:sz w:val="16"/>
          <w:szCs w:val="16"/>
          <w:lang w:val="es-CO"/>
        </w:rPr>
        <w:t xml:space="preserve">Serie C No. 34, párr. 82; </w:t>
      </w:r>
      <w:r w:rsidRPr="006A4D75">
        <w:rPr>
          <w:rFonts w:asciiTheme="majorHAnsi" w:hAnsiTheme="majorHAnsi"/>
          <w:i/>
          <w:sz w:val="16"/>
          <w:szCs w:val="16"/>
          <w:lang w:val="es-CO"/>
        </w:rPr>
        <w:t>Caso Claude Reyes y otros Vs. Chile</w:t>
      </w:r>
      <w:r w:rsidRPr="006A4D75">
        <w:rPr>
          <w:rFonts w:asciiTheme="majorHAnsi" w:hAnsiTheme="majorHAnsi"/>
          <w:sz w:val="16"/>
          <w:szCs w:val="16"/>
          <w:lang w:val="es-CO"/>
        </w:rPr>
        <w:t xml:space="preserve">. Fondo, Reparaciones y Costas. Sentencia de 19 de septiembre de 2006. Serie C No. 151, párr. 131, y </w:t>
      </w:r>
      <w:r w:rsidRPr="006A4D75">
        <w:rPr>
          <w:rFonts w:asciiTheme="majorHAnsi" w:hAnsiTheme="majorHAnsi" w:cs="Verdana-Bold"/>
          <w:bCs/>
          <w:i/>
          <w:sz w:val="16"/>
          <w:szCs w:val="16"/>
          <w:lang w:val="es-CO" w:bidi="en-US"/>
        </w:rPr>
        <w:t xml:space="preserve">Caso Castañeda </w:t>
      </w:r>
      <w:proofErr w:type="spellStart"/>
      <w:r w:rsidRPr="006A4D75">
        <w:rPr>
          <w:rFonts w:asciiTheme="majorHAnsi" w:hAnsiTheme="majorHAnsi" w:cs="Verdana-Bold"/>
          <w:bCs/>
          <w:i/>
          <w:sz w:val="16"/>
          <w:szCs w:val="16"/>
          <w:lang w:val="es-CO" w:bidi="en-US"/>
        </w:rPr>
        <w:t>Gutman</w:t>
      </w:r>
      <w:proofErr w:type="spellEnd"/>
      <w:r w:rsidRPr="006A4D75">
        <w:rPr>
          <w:rFonts w:asciiTheme="majorHAnsi" w:hAnsiTheme="majorHAnsi" w:cs="Verdana-Bold"/>
          <w:bCs/>
          <w:i/>
          <w:sz w:val="16"/>
          <w:szCs w:val="16"/>
          <w:lang w:val="es-CO" w:bidi="en-US"/>
        </w:rPr>
        <w:t xml:space="preserve"> Vs. México</w:t>
      </w:r>
      <w:r w:rsidRPr="006A4D75">
        <w:rPr>
          <w:rFonts w:asciiTheme="majorHAnsi" w:hAnsiTheme="majorHAnsi" w:cs="Verdana-Bold"/>
          <w:bCs/>
          <w:sz w:val="16"/>
          <w:szCs w:val="16"/>
          <w:lang w:val="es-CO" w:bidi="en-US"/>
        </w:rPr>
        <w:t xml:space="preserve">. </w:t>
      </w:r>
      <w:r w:rsidRPr="006A4D75">
        <w:rPr>
          <w:rFonts w:asciiTheme="majorHAnsi" w:hAnsiTheme="majorHAnsi" w:cs="Verdana"/>
          <w:sz w:val="16"/>
          <w:szCs w:val="16"/>
          <w:lang w:val="es-CO" w:bidi="en-US"/>
        </w:rPr>
        <w:t>Excepciones Preliminares, Fondo, Reparaciones y Costas. Sentencia de 6 de agosto de 2008. Serie C No. 18</w:t>
      </w:r>
      <w:r w:rsidRPr="006A4D75">
        <w:rPr>
          <w:rFonts w:asciiTheme="majorHAnsi" w:hAnsiTheme="majorHAnsi"/>
          <w:sz w:val="16"/>
          <w:szCs w:val="16"/>
          <w:lang w:val="es-CO"/>
        </w:rPr>
        <w:t xml:space="preserve">3, párr. 78.  </w:t>
      </w:r>
    </w:p>
  </w:footnote>
  <w:footnote w:id="216">
    <w:p w:rsidR="006A4D75" w:rsidRPr="006A4D75" w:rsidRDefault="006A4D75" w:rsidP="006A4D75">
      <w:pPr>
        <w:pStyle w:val="FootnoteText"/>
        <w:spacing w:before="120"/>
        <w:ind w:firstLine="720"/>
        <w:jc w:val="both"/>
        <w:rPr>
          <w:rFonts w:asciiTheme="majorHAnsi" w:hAnsiTheme="majorHAnsi"/>
          <w:sz w:val="16"/>
          <w:szCs w:val="16"/>
          <w:lang w:val="es-ES_tradnl"/>
        </w:rPr>
      </w:pPr>
      <w:r w:rsidRPr="006A4D75">
        <w:rPr>
          <w:rStyle w:val="FootnoteReference"/>
          <w:rFonts w:asciiTheme="majorHAnsi" w:hAnsiTheme="majorHAnsi"/>
          <w:sz w:val="16"/>
          <w:szCs w:val="16"/>
        </w:rPr>
        <w:footnoteRef/>
      </w:r>
      <w:r w:rsidRPr="006A4D75">
        <w:rPr>
          <w:rFonts w:asciiTheme="majorHAnsi" w:hAnsiTheme="majorHAnsi"/>
          <w:sz w:val="16"/>
          <w:szCs w:val="16"/>
          <w:lang w:val="es-ES"/>
        </w:rPr>
        <w:t xml:space="preserve"> Corte IDH. </w:t>
      </w:r>
      <w:r w:rsidR="0010796C" w:rsidRPr="0010796C">
        <w:rPr>
          <w:rFonts w:asciiTheme="majorHAnsi" w:hAnsiTheme="majorHAnsi"/>
          <w:i/>
          <w:sz w:val="16"/>
          <w:szCs w:val="16"/>
          <w:lang w:val="es-ES"/>
        </w:rPr>
        <w:t xml:space="preserve">Caso </w:t>
      </w:r>
      <w:r w:rsidRPr="006A4D75">
        <w:rPr>
          <w:rFonts w:asciiTheme="majorHAnsi" w:hAnsiTheme="majorHAnsi"/>
          <w:i/>
          <w:sz w:val="16"/>
          <w:szCs w:val="16"/>
          <w:lang w:val="es-ES"/>
        </w:rPr>
        <w:t xml:space="preserve">Herrera Ulloa Vs. </w:t>
      </w:r>
      <w:r w:rsidRPr="006A4D75">
        <w:rPr>
          <w:rFonts w:asciiTheme="majorHAnsi" w:hAnsiTheme="majorHAnsi"/>
          <w:i/>
          <w:sz w:val="16"/>
          <w:szCs w:val="16"/>
          <w:lang w:val="es-ES_tradnl"/>
        </w:rPr>
        <w:t>Costa Rica</w:t>
      </w:r>
      <w:r w:rsidRPr="006A4D75">
        <w:rPr>
          <w:rFonts w:asciiTheme="majorHAnsi" w:hAnsiTheme="majorHAnsi"/>
          <w:sz w:val="16"/>
          <w:szCs w:val="16"/>
          <w:lang w:val="es-ES_tradnl"/>
        </w:rPr>
        <w:t xml:space="preserve">. Sentencia de Excepciones Preliminares, Fondo, Reparaciones y Costas. 2 de julio de 2004, Serie C No. 107, </w:t>
      </w:r>
      <w:proofErr w:type="spellStart"/>
      <w:r w:rsidRPr="006A4D75">
        <w:rPr>
          <w:rFonts w:asciiTheme="majorHAnsi" w:hAnsiTheme="majorHAnsi"/>
          <w:sz w:val="16"/>
          <w:szCs w:val="16"/>
          <w:lang w:val="es-ES_tradnl"/>
        </w:rPr>
        <w:t>párrs</w:t>
      </w:r>
      <w:proofErr w:type="spellEnd"/>
      <w:r w:rsidRPr="006A4D75">
        <w:rPr>
          <w:rFonts w:asciiTheme="majorHAnsi" w:hAnsiTheme="majorHAnsi"/>
          <w:sz w:val="16"/>
          <w:szCs w:val="16"/>
          <w:lang w:val="es-ES_tradnl"/>
        </w:rPr>
        <w:t>. 174-175.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75" w:rsidRDefault="006A4D75" w:rsidP="002A094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A4D75" w:rsidRDefault="006A4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75" w:rsidRDefault="00FD04C2" w:rsidP="00A50FCF">
    <w:pPr>
      <w:pStyle w:val="Header"/>
      <w:tabs>
        <w:tab w:val="clear" w:pos="4320"/>
        <w:tab w:val="clear" w:pos="8640"/>
      </w:tabs>
      <w:jc w:val="center"/>
      <w:rPr>
        <w:sz w:val="22"/>
        <w:szCs w:val="22"/>
      </w:rPr>
    </w:pPr>
    <w:r>
      <w:rPr>
        <w:noProof/>
        <w:sz w:val="22"/>
        <w:szCs w:val="22"/>
      </w:rPr>
      <w:drawing>
        <wp:inline distT="0" distB="0" distL="0" distR="0">
          <wp:extent cx="1964055" cy="103505"/>
          <wp:effectExtent l="0" t="0" r="0" b="0"/>
          <wp:docPr id="5"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103505"/>
                  </a:xfrm>
                  <a:prstGeom prst="rect">
                    <a:avLst/>
                  </a:prstGeom>
                  <a:noFill/>
                  <a:ln>
                    <a:noFill/>
                  </a:ln>
                </pic:spPr>
              </pic:pic>
            </a:graphicData>
          </a:graphic>
        </wp:inline>
      </w:drawing>
    </w:r>
  </w:p>
  <w:p w:rsidR="006A4D75" w:rsidRPr="00EC7D62" w:rsidRDefault="000D4F62"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983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30043"/>
    <w:multiLevelType w:val="hybridMultilevel"/>
    <w:tmpl w:val="91249018"/>
    <w:lvl w:ilvl="0" w:tplc="94505DDE">
      <w:start w:val="2"/>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9050020"/>
    <w:multiLevelType w:val="hybridMultilevel"/>
    <w:tmpl w:val="9F78524C"/>
    <w:lvl w:ilvl="0" w:tplc="C762AB1E">
      <w:start w:val="1"/>
      <w:numFmt w:val="decimal"/>
      <w:lvlText w:val="%1."/>
      <w:lvlJc w:val="left"/>
      <w:pPr>
        <w:tabs>
          <w:tab w:val="num" w:pos="1429"/>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F9D5C27"/>
    <w:multiLevelType w:val="hybridMultilevel"/>
    <w:tmpl w:val="CB9EE1EE"/>
    <w:lvl w:ilvl="0" w:tplc="D61462C0">
      <w:start w:val="1"/>
      <w:numFmt w:val="upp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3C8862D6"/>
    <w:multiLevelType w:val="hybridMultilevel"/>
    <w:tmpl w:val="50A89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71A7BD0"/>
    <w:multiLevelType w:val="hybridMultilevel"/>
    <w:tmpl w:val="3C144BD2"/>
    <w:lvl w:ilvl="0" w:tplc="0ABE9B52">
      <w:start w:val="1"/>
      <w:numFmt w:val="decimal"/>
      <w:lvlText w:val="%1."/>
      <w:lvlJc w:val="left"/>
      <w:pPr>
        <w:tabs>
          <w:tab w:val="num" w:pos="1440"/>
        </w:tabs>
        <w:ind w:left="144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86A5657"/>
    <w:multiLevelType w:val="hybridMultilevel"/>
    <w:tmpl w:val="5E124CD2"/>
    <w:lvl w:ilvl="0" w:tplc="72A238D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84482F"/>
    <w:multiLevelType w:val="hybridMultilevel"/>
    <w:tmpl w:val="37CC1D8A"/>
    <w:lvl w:ilvl="0" w:tplc="134217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D485FBF"/>
    <w:multiLevelType w:val="hybridMultilevel"/>
    <w:tmpl w:val="78ACCCBA"/>
    <w:lvl w:ilvl="0" w:tplc="7876CB10">
      <w:start w:val="1"/>
      <w:numFmt w:val="decimal"/>
      <w:lvlText w:val="%1."/>
      <w:lvlJc w:val="left"/>
      <w:pPr>
        <w:tabs>
          <w:tab w:val="num" w:pos="1080"/>
        </w:tabs>
        <w:ind w:left="1080" w:hanging="360"/>
      </w:pPr>
      <w:rPr>
        <w:rFonts w:ascii="Calibri" w:hAnsi="Calibri"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5D7D4B9D"/>
    <w:multiLevelType w:val="hybridMultilevel"/>
    <w:tmpl w:val="A8DEEE12"/>
    <w:lvl w:ilvl="0" w:tplc="D91A6C14">
      <w:start w:val="1"/>
      <w:numFmt w:val="decimal"/>
      <w:lvlText w:val="%1."/>
      <w:lvlJc w:val="left"/>
      <w:pPr>
        <w:ind w:left="126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6A101BB"/>
    <w:multiLevelType w:val="hybridMultilevel"/>
    <w:tmpl w:val="455C2F06"/>
    <w:lvl w:ilvl="0" w:tplc="CB3E82CC">
      <w:start w:val="1"/>
      <w:numFmt w:val="upperRoman"/>
      <w:lvlText w:val="%1."/>
      <w:lvlJc w:val="left"/>
      <w:pPr>
        <w:tabs>
          <w:tab w:val="num" w:pos="1440"/>
        </w:tabs>
        <w:ind w:left="1440" w:hanging="720"/>
      </w:pPr>
      <w:rPr>
        <w:rFonts w:cs="Times New Roman" w:hint="default"/>
        <w:b/>
      </w:rPr>
    </w:lvl>
    <w:lvl w:ilvl="1" w:tplc="47D87E38">
      <w:start w:val="1"/>
      <w:numFmt w:val="decimal"/>
      <w:lvlText w:val="%2."/>
      <w:lvlJc w:val="left"/>
      <w:pPr>
        <w:tabs>
          <w:tab w:val="num" w:pos="1800"/>
        </w:tabs>
        <w:ind w:left="1800" w:hanging="360"/>
      </w:pPr>
      <w:rPr>
        <w:rFonts w:cs="Times New Roman" w:hint="default"/>
        <w:b/>
        <w:color w:val="aut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54F00266"/>
    <w:lvl w:ilvl="0" w:tplc="5D14398A">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E64D32"/>
    <w:multiLevelType w:val="hybridMultilevel"/>
    <w:tmpl w:val="E9AAC004"/>
    <w:lvl w:ilvl="0" w:tplc="84C60B70">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ES_tradnl"/>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Heading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9"/>
  </w:num>
  <w:num w:numId="4">
    <w:abstractNumId w:val="23"/>
  </w:num>
  <w:num w:numId="5">
    <w:abstractNumId w:val="52"/>
  </w:num>
  <w:num w:numId="6">
    <w:abstractNumId w:val="28"/>
  </w:num>
  <w:num w:numId="7">
    <w:abstractNumId w:val="8"/>
  </w:num>
  <w:num w:numId="8">
    <w:abstractNumId w:val="18"/>
  </w:num>
  <w:num w:numId="9">
    <w:abstractNumId w:val="46"/>
  </w:num>
  <w:num w:numId="10">
    <w:abstractNumId w:val="2"/>
  </w:num>
  <w:num w:numId="11">
    <w:abstractNumId w:val="40"/>
  </w:num>
  <w:num w:numId="12">
    <w:abstractNumId w:val="41"/>
  </w:num>
  <w:num w:numId="13">
    <w:abstractNumId w:val="47"/>
  </w:num>
  <w:num w:numId="14">
    <w:abstractNumId w:val="3"/>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8"/>
  </w:num>
  <w:num w:numId="38">
    <w:abstractNumId w:val="39"/>
  </w:num>
  <w:num w:numId="39">
    <w:abstractNumId w:val="43"/>
  </w:num>
  <w:num w:numId="40">
    <w:abstractNumId w:val="44"/>
  </w:num>
  <w:num w:numId="41">
    <w:abstractNumId w:val="51"/>
  </w:num>
  <w:num w:numId="42">
    <w:abstractNumId w:val="54"/>
  </w:num>
  <w:num w:numId="43">
    <w:abstractNumId w:val="55"/>
  </w:num>
  <w:num w:numId="44">
    <w:abstractNumId w:val="57"/>
  </w:num>
  <w:num w:numId="45">
    <w:abstractNumId w:val="58"/>
  </w:num>
  <w:num w:numId="46">
    <w:abstractNumId w:val="60"/>
  </w:num>
  <w:num w:numId="47">
    <w:abstractNumId w:val="61"/>
  </w:num>
  <w:num w:numId="48">
    <w:abstractNumId w:val="62"/>
  </w:num>
  <w:num w:numId="49">
    <w:abstractNumId w:val="64"/>
  </w:num>
  <w:num w:numId="50">
    <w:abstractNumId w:val="65"/>
  </w:num>
  <w:num w:numId="51">
    <w:abstractNumId w:val="22"/>
  </w:num>
  <w:num w:numId="52">
    <w:abstractNumId w:val="45"/>
  </w:num>
  <w:num w:numId="53">
    <w:abstractNumId w:val="56"/>
  </w:num>
  <w:num w:numId="54">
    <w:abstractNumId w:val="48"/>
  </w:num>
  <w:num w:numId="55">
    <w:abstractNumId w:val="7"/>
  </w:num>
  <w:num w:numId="56">
    <w:abstractNumId w:val="63"/>
  </w:num>
  <w:num w:numId="57">
    <w:abstractNumId w:val="42"/>
  </w:num>
  <w:num w:numId="58">
    <w:abstractNumId w:val="21"/>
  </w:num>
  <w:num w:numId="59">
    <w:abstractNumId w:val="37"/>
  </w:num>
  <w:num w:numId="60">
    <w:abstractNumId w:val="1"/>
  </w:num>
  <w:num w:numId="61">
    <w:abstractNumId w:val="30"/>
  </w:num>
  <w:num w:numId="62">
    <w:abstractNumId w:val="49"/>
  </w:num>
  <w:num w:numId="63">
    <w:abstractNumId w:val="56"/>
  </w:num>
  <w:num w:numId="64">
    <w:abstractNumId w:val="56"/>
  </w:num>
  <w:num w:numId="65">
    <w:abstractNumId w:val="0"/>
  </w:num>
  <w:num w:numId="66">
    <w:abstractNumId w:val="50"/>
  </w:num>
  <w:num w:numId="67">
    <w:abstractNumId w:val="53"/>
  </w:num>
  <w:num w:numId="68">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4B1"/>
    <w:rsid w:val="00002520"/>
    <w:rsid w:val="00002A5C"/>
    <w:rsid w:val="0000423D"/>
    <w:rsid w:val="00004B5E"/>
    <w:rsid w:val="00005E0C"/>
    <w:rsid w:val="000066FD"/>
    <w:rsid w:val="00006E1F"/>
    <w:rsid w:val="00006F2F"/>
    <w:rsid w:val="000070D7"/>
    <w:rsid w:val="000074B5"/>
    <w:rsid w:val="0000761B"/>
    <w:rsid w:val="000111F8"/>
    <w:rsid w:val="00011378"/>
    <w:rsid w:val="00013BE3"/>
    <w:rsid w:val="00015102"/>
    <w:rsid w:val="00016693"/>
    <w:rsid w:val="00017110"/>
    <w:rsid w:val="0001778A"/>
    <w:rsid w:val="0001788C"/>
    <w:rsid w:val="000201C9"/>
    <w:rsid w:val="00020BE5"/>
    <w:rsid w:val="00022B5C"/>
    <w:rsid w:val="00026052"/>
    <w:rsid w:val="0002703D"/>
    <w:rsid w:val="00027195"/>
    <w:rsid w:val="00031423"/>
    <w:rsid w:val="00032823"/>
    <w:rsid w:val="00032AA0"/>
    <w:rsid w:val="00032E1B"/>
    <w:rsid w:val="00033D71"/>
    <w:rsid w:val="000344E2"/>
    <w:rsid w:val="00035A3E"/>
    <w:rsid w:val="00036367"/>
    <w:rsid w:val="00036521"/>
    <w:rsid w:val="00036E1B"/>
    <w:rsid w:val="00037A2C"/>
    <w:rsid w:val="00040C3A"/>
    <w:rsid w:val="00041647"/>
    <w:rsid w:val="0004198D"/>
    <w:rsid w:val="000422F6"/>
    <w:rsid w:val="00042783"/>
    <w:rsid w:val="00042BCA"/>
    <w:rsid w:val="00044647"/>
    <w:rsid w:val="000446BE"/>
    <w:rsid w:val="00044AAB"/>
    <w:rsid w:val="00044B0A"/>
    <w:rsid w:val="00044DAF"/>
    <w:rsid w:val="00046276"/>
    <w:rsid w:val="0004652F"/>
    <w:rsid w:val="00046BB1"/>
    <w:rsid w:val="00047F04"/>
    <w:rsid w:val="0005012D"/>
    <w:rsid w:val="00050C53"/>
    <w:rsid w:val="000510B7"/>
    <w:rsid w:val="00051918"/>
    <w:rsid w:val="00051A80"/>
    <w:rsid w:val="00055B6D"/>
    <w:rsid w:val="0005674A"/>
    <w:rsid w:val="000569CE"/>
    <w:rsid w:val="00056CF1"/>
    <w:rsid w:val="0005752E"/>
    <w:rsid w:val="0006033C"/>
    <w:rsid w:val="0006063C"/>
    <w:rsid w:val="00060A9E"/>
    <w:rsid w:val="00061FA4"/>
    <w:rsid w:val="00062A8F"/>
    <w:rsid w:val="00062A9A"/>
    <w:rsid w:val="000633CC"/>
    <w:rsid w:val="00063470"/>
    <w:rsid w:val="000646E8"/>
    <w:rsid w:val="00064975"/>
    <w:rsid w:val="00064FA9"/>
    <w:rsid w:val="00065675"/>
    <w:rsid w:val="00065793"/>
    <w:rsid w:val="00065A11"/>
    <w:rsid w:val="00066BC2"/>
    <w:rsid w:val="00067077"/>
    <w:rsid w:val="00067A3B"/>
    <w:rsid w:val="0007031D"/>
    <w:rsid w:val="000716C5"/>
    <w:rsid w:val="00071884"/>
    <w:rsid w:val="000718C8"/>
    <w:rsid w:val="00072E36"/>
    <w:rsid w:val="00073899"/>
    <w:rsid w:val="00075E23"/>
    <w:rsid w:val="00076465"/>
    <w:rsid w:val="00077C89"/>
    <w:rsid w:val="000808DE"/>
    <w:rsid w:val="00080EC7"/>
    <w:rsid w:val="00081910"/>
    <w:rsid w:val="000858AD"/>
    <w:rsid w:val="00086669"/>
    <w:rsid w:val="0008767F"/>
    <w:rsid w:val="00090561"/>
    <w:rsid w:val="000920DE"/>
    <w:rsid w:val="000925C6"/>
    <w:rsid w:val="00093244"/>
    <w:rsid w:val="0009344A"/>
    <w:rsid w:val="00094CD6"/>
    <w:rsid w:val="00094DBA"/>
    <w:rsid w:val="00095578"/>
    <w:rsid w:val="00097DB6"/>
    <w:rsid w:val="000A1002"/>
    <w:rsid w:val="000A1237"/>
    <w:rsid w:val="000A13FF"/>
    <w:rsid w:val="000A1423"/>
    <w:rsid w:val="000A1CB6"/>
    <w:rsid w:val="000A1D14"/>
    <w:rsid w:val="000A217F"/>
    <w:rsid w:val="000A269F"/>
    <w:rsid w:val="000A2818"/>
    <w:rsid w:val="000A2ED6"/>
    <w:rsid w:val="000A321C"/>
    <w:rsid w:val="000A33F1"/>
    <w:rsid w:val="000A38DD"/>
    <w:rsid w:val="000A392E"/>
    <w:rsid w:val="000A45A1"/>
    <w:rsid w:val="000A51C9"/>
    <w:rsid w:val="000A575F"/>
    <w:rsid w:val="000A63B1"/>
    <w:rsid w:val="000A667E"/>
    <w:rsid w:val="000A79FC"/>
    <w:rsid w:val="000B0119"/>
    <w:rsid w:val="000B0B10"/>
    <w:rsid w:val="000B11E5"/>
    <w:rsid w:val="000B16C5"/>
    <w:rsid w:val="000B2F3C"/>
    <w:rsid w:val="000B345B"/>
    <w:rsid w:val="000B370B"/>
    <w:rsid w:val="000B3A75"/>
    <w:rsid w:val="000B403A"/>
    <w:rsid w:val="000B4CEF"/>
    <w:rsid w:val="000B5695"/>
    <w:rsid w:val="000B5F39"/>
    <w:rsid w:val="000B6449"/>
    <w:rsid w:val="000B6741"/>
    <w:rsid w:val="000B6A09"/>
    <w:rsid w:val="000B779B"/>
    <w:rsid w:val="000B7EA0"/>
    <w:rsid w:val="000C0D34"/>
    <w:rsid w:val="000C22AF"/>
    <w:rsid w:val="000C299A"/>
    <w:rsid w:val="000C3451"/>
    <w:rsid w:val="000C459B"/>
    <w:rsid w:val="000C4F53"/>
    <w:rsid w:val="000C5D2A"/>
    <w:rsid w:val="000C6979"/>
    <w:rsid w:val="000D044A"/>
    <w:rsid w:val="000D0D16"/>
    <w:rsid w:val="000D10DB"/>
    <w:rsid w:val="000D164B"/>
    <w:rsid w:val="000D2274"/>
    <w:rsid w:val="000D2456"/>
    <w:rsid w:val="000D4333"/>
    <w:rsid w:val="000D4D3C"/>
    <w:rsid w:val="000D4F62"/>
    <w:rsid w:val="000D5693"/>
    <w:rsid w:val="000D5A17"/>
    <w:rsid w:val="000D5AF8"/>
    <w:rsid w:val="000D63B5"/>
    <w:rsid w:val="000D6566"/>
    <w:rsid w:val="000D691D"/>
    <w:rsid w:val="000D7C3E"/>
    <w:rsid w:val="000E01A6"/>
    <w:rsid w:val="000E13B1"/>
    <w:rsid w:val="000E1957"/>
    <w:rsid w:val="000E221F"/>
    <w:rsid w:val="000E2CF3"/>
    <w:rsid w:val="000E2F77"/>
    <w:rsid w:val="000E43FB"/>
    <w:rsid w:val="000E5EB5"/>
    <w:rsid w:val="000E7079"/>
    <w:rsid w:val="000E7280"/>
    <w:rsid w:val="000E7B5F"/>
    <w:rsid w:val="000F02F7"/>
    <w:rsid w:val="000F1E6E"/>
    <w:rsid w:val="000F20FE"/>
    <w:rsid w:val="000F232C"/>
    <w:rsid w:val="000F35ED"/>
    <w:rsid w:val="000F4587"/>
    <w:rsid w:val="000F4849"/>
    <w:rsid w:val="000F4F0E"/>
    <w:rsid w:val="000F60E8"/>
    <w:rsid w:val="000F7013"/>
    <w:rsid w:val="000F7962"/>
    <w:rsid w:val="00102211"/>
    <w:rsid w:val="001025E7"/>
    <w:rsid w:val="00102B51"/>
    <w:rsid w:val="00102E70"/>
    <w:rsid w:val="00103BCA"/>
    <w:rsid w:val="00103EA2"/>
    <w:rsid w:val="001046A5"/>
    <w:rsid w:val="00104A84"/>
    <w:rsid w:val="00105408"/>
    <w:rsid w:val="00105649"/>
    <w:rsid w:val="0010586C"/>
    <w:rsid w:val="00106062"/>
    <w:rsid w:val="0010615C"/>
    <w:rsid w:val="00107131"/>
    <w:rsid w:val="0010736F"/>
    <w:rsid w:val="0010741F"/>
    <w:rsid w:val="001074B8"/>
    <w:rsid w:val="0010796C"/>
    <w:rsid w:val="001120F1"/>
    <w:rsid w:val="00113F73"/>
    <w:rsid w:val="001141F0"/>
    <w:rsid w:val="00115D52"/>
    <w:rsid w:val="00116208"/>
    <w:rsid w:val="00120176"/>
    <w:rsid w:val="00120790"/>
    <w:rsid w:val="00121CC2"/>
    <w:rsid w:val="001234C4"/>
    <w:rsid w:val="00123DE1"/>
    <w:rsid w:val="0012475E"/>
    <w:rsid w:val="00124CEA"/>
    <w:rsid w:val="00125871"/>
    <w:rsid w:val="00125B00"/>
    <w:rsid w:val="00126D8B"/>
    <w:rsid w:val="00130FDF"/>
    <w:rsid w:val="00131AAB"/>
    <w:rsid w:val="00132AFB"/>
    <w:rsid w:val="0013388C"/>
    <w:rsid w:val="00133E51"/>
    <w:rsid w:val="00133EE5"/>
    <w:rsid w:val="00134FAF"/>
    <w:rsid w:val="00135B52"/>
    <w:rsid w:val="00135C6E"/>
    <w:rsid w:val="00136108"/>
    <w:rsid w:val="00137D30"/>
    <w:rsid w:val="001401AF"/>
    <w:rsid w:val="00140E3E"/>
    <w:rsid w:val="00141B02"/>
    <w:rsid w:val="0014442A"/>
    <w:rsid w:val="001444D2"/>
    <w:rsid w:val="001446A4"/>
    <w:rsid w:val="00144C9E"/>
    <w:rsid w:val="00145856"/>
    <w:rsid w:val="0014596C"/>
    <w:rsid w:val="0014627A"/>
    <w:rsid w:val="0014656C"/>
    <w:rsid w:val="00146752"/>
    <w:rsid w:val="00146883"/>
    <w:rsid w:val="00147099"/>
    <w:rsid w:val="001474BB"/>
    <w:rsid w:val="0015229B"/>
    <w:rsid w:val="00152C67"/>
    <w:rsid w:val="0015352E"/>
    <w:rsid w:val="00153A68"/>
    <w:rsid w:val="00153CDB"/>
    <w:rsid w:val="00154159"/>
    <w:rsid w:val="00154BF2"/>
    <w:rsid w:val="00155D1F"/>
    <w:rsid w:val="00156F12"/>
    <w:rsid w:val="00156FB7"/>
    <w:rsid w:val="001614E1"/>
    <w:rsid w:val="001639F5"/>
    <w:rsid w:val="00163A49"/>
    <w:rsid w:val="001645BB"/>
    <w:rsid w:val="00164E44"/>
    <w:rsid w:val="00167658"/>
    <w:rsid w:val="00167A34"/>
    <w:rsid w:val="00171355"/>
    <w:rsid w:val="0017211F"/>
    <w:rsid w:val="0017323B"/>
    <w:rsid w:val="00174110"/>
    <w:rsid w:val="00174C67"/>
    <w:rsid w:val="00177817"/>
    <w:rsid w:val="00183B3A"/>
    <w:rsid w:val="00185611"/>
    <w:rsid w:val="001872E4"/>
    <w:rsid w:val="0018761F"/>
    <w:rsid w:val="001878E3"/>
    <w:rsid w:val="001904A1"/>
    <w:rsid w:val="00190CB6"/>
    <w:rsid w:val="00190EA6"/>
    <w:rsid w:val="0019281D"/>
    <w:rsid w:val="00193140"/>
    <w:rsid w:val="00194584"/>
    <w:rsid w:val="001963F4"/>
    <w:rsid w:val="00196C81"/>
    <w:rsid w:val="00196EB5"/>
    <w:rsid w:val="001A0DB9"/>
    <w:rsid w:val="001A16E6"/>
    <w:rsid w:val="001A18F6"/>
    <w:rsid w:val="001A294E"/>
    <w:rsid w:val="001A32E4"/>
    <w:rsid w:val="001A3914"/>
    <w:rsid w:val="001A39E7"/>
    <w:rsid w:val="001A5C2B"/>
    <w:rsid w:val="001A75C8"/>
    <w:rsid w:val="001A7870"/>
    <w:rsid w:val="001B0F98"/>
    <w:rsid w:val="001B10DF"/>
    <w:rsid w:val="001B1604"/>
    <w:rsid w:val="001B2BD0"/>
    <w:rsid w:val="001B41FB"/>
    <w:rsid w:val="001B448E"/>
    <w:rsid w:val="001B5B84"/>
    <w:rsid w:val="001B6985"/>
    <w:rsid w:val="001B6FDE"/>
    <w:rsid w:val="001B7CCE"/>
    <w:rsid w:val="001C058A"/>
    <w:rsid w:val="001C1030"/>
    <w:rsid w:val="001C16C8"/>
    <w:rsid w:val="001C1B41"/>
    <w:rsid w:val="001C1FD1"/>
    <w:rsid w:val="001C3218"/>
    <w:rsid w:val="001C41B0"/>
    <w:rsid w:val="001C455A"/>
    <w:rsid w:val="001C4AF3"/>
    <w:rsid w:val="001C51BF"/>
    <w:rsid w:val="001C6E0A"/>
    <w:rsid w:val="001C718B"/>
    <w:rsid w:val="001D06C1"/>
    <w:rsid w:val="001D122E"/>
    <w:rsid w:val="001D243B"/>
    <w:rsid w:val="001D26B9"/>
    <w:rsid w:val="001D385C"/>
    <w:rsid w:val="001D3FB1"/>
    <w:rsid w:val="001D65EF"/>
    <w:rsid w:val="001D7332"/>
    <w:rsid w:val="001D79D8"/>
    <w:rsid w:val="001E0EB5"/>
    <w:rsid w:val="001E1817"/>
    <w:rsid w:val="001E25BB"/>
    <w:rsid w:val="001E45D1"/>
    <w:rsid w:val="001E4FAE"/>
    <w:rsid w:val="001E4FDE"/>
    <w:rsid w:val="001E5290"/>
    <w:rsid w:val="001E5D7C"/>
    <w:rsid w:val="001E7EED"/>
    <w:rsid w:val="001F05EE"/>
    <w:rsid w:val="001F254D"/>
    <w:rsid w:val="001F2F39"/>
    <w:rsid w:val="001F3221"/>
    <w:rsid w:val="001F450D"/>
    <w:rsid w:val="001F5713"/>
    <w:rsid w:val="001F594C"/>
    <w:rsid w:val="001F59F7"/>
    <w:rsid w:val="001F6DB5"/>
    <w:rsid w:val="001F7477"/>
    <w:rsid w:val="00200732"/>
    <w:rsid w:val="00200DE3"/>
    <w:rsid w:val="00201AA2"/>
    <w:rsid w:val="00202D98"/>
    <w:rsid w:val="00203480"/>
    <w:rsid w:val="002035BA"/>
    <w:rsid w:val="002035D4"/>
    <w:rsid w:val="00204B87"/>
    <w:rsid w:val="002074D0"/>
    <w:rsid w:val="00210273"/>
    <w:rsid w:val="00211017"/>
    <w:rsid w:val="0021255C"/>
    <w:rsid w:val="00213DCE"/>
    <w:rsid w:val="00214728"/>
    <w:rsid w:val="002150F6"/>
    <w:rsid w:val="00215AEA"/>
    <w:rsid w:val="00215CCD"/>
    <w:rsid w:val="00215ED4"/>
    <w:rsid w:val="002221A1"/>
    <w:rsid w:val="002250A3"/>
    <w:rsid w:val="00225D3B"/>
    <w:rsid w:val="002264DD"/>
    <w:rsid w:val="00227C8A"/>
    <w:rsid w:val="00231484"/>
    <w:rsid w:val="0023199B"/>
    <w:rsid w:val="00233FE6"/>
    <w:rsid w:val="002345AE"/>
    <w:rsid w:val="00235217"/>
    <w:rsid w:val="00235F19"/>
    <w:rsid w:val="0024112B"/>
    <w:rsid w:val="0024117D"/>
    <w:rsid w:val="00243CD5"/>
    <w:rsid w:val="002440CD"/>
    <w:rsid w:val="002467ED"/>
    <w:rsid w:val="00246D1F"/>
    <w:rsid w:val="00246DE3"/>
    <w:rsid w:val="002470E4"/>
    <w:rsid w:val="00247403"/>
    <w:rsid w:val="00247542"/>
    <w:rsid w:val="00251362"/>
    <w:rsid w:val="00251C8B"/>
    <w:rsid w:val="00252316"/>
    <w:rsid w:val="0025234D"/>
    <w:rsid w:val="00252BDE"/>
    <w:rsid w:val="00252D1C"/>
    <w:rsid w:val="002555C6"/>
    <w:rsid w:val="0025579A"/>
    <w:rsid w:val="002562F1"/>
    <w:rsid w:val="0025679E"/>
    <w:rsid w:val="00260F06"/>
    <w:rsid w:val="00261ADB"/>
    <w:rsid w:val="00262A72"/>
    <w:rsid w:val="00262D26"/>
    <w:rsid w:val="0026342F"/>
    <w:rsid w:val="00263A28"/>
    <w:rsid w:val="00264882"/>
    <w:rsid w:val="00265746"/>
    <w:rsid w:val="002660A4"/>
    <w:rsid w:val="002663A3"/>
    <w:rsid w:val="00266B61"/>
    <w:rsid w:val="00266D38"/>
    <w:rsid w:val="0026712A"/>
    <w:rsid w:val="0026734D"/>
    <w:rsid w:val="002701E0"/>
    <w:rsid w:val="002704DB"/>
    <w:rsid w:val="00270E40"/>
    <w:rsid w:val="00271B54"/>
    <w:rsid w:val="00271C53"/>
    <w:rsid w:val="0027311F"/>
    <w:rsid w:val="00274243"/>
    <w:rsid w:val="00274A29"/>
    <w:rsid w:val="00274D11"/>
    <w:rsid w:val="00275D3D"/>
    <w:rsid w:val="002774BA"/>
    <w:rsid w:val="00280299"/>
    <w:rsid w:val="0028073F"/>
    <w:rsid w:val="002811DB"/>
    <w:rsid w:val="00281C8C"/>
    <w:rsid w:val="00282059"/>
    <w:rsid w:val="00282377"/>
    <w:rsid w:val="00286DB9"/>
    <w:rsid w:val="00287401"/>
    <w:rsid w:val="00290F1E"/>
    <w:rsid w:val="00291001"/>
    <w:rsid w:val="0029177A"/>
    <w:rsid w:val="00291D28"/>
    <w:rsid w:val="00292059"/>
    <w:rsid w:val="00293154"/>
    <w:rsid w:val="0029382E"/>
    <w:rsid w:val="00294111"/>
    <w:rsid w:val="00294BD0"/>
    <w:rsid w:val="00294DE1"/>
    <w:rsid w:val="00294FEA"/>
    <w:rsid w:val="00295393"/>
    <w:rsid w:val="002959A4"/>
    <w:rsid w:val="002966FC"/>
    <w:rsid w:val="002A0616"/>
    <w:rsid w:val="002A0942"/>
    <w:rsid w:val="002A0AAE"/>
    <w:rsid w:val="002A11E7"/>
    <w:rsid w:val="002A1906"/>
    <w:rsid w:val="002A2CF5"/>
    <w:rsid w:val="002A34C2"/>
    <w:rsid w:val="002A36B0"/>
    <w:rsid w:val="002A462B"/>
    <w:rsid w:val="002A4963"/>
    <w:rsid w:val="002A52A4"/>
    <w:rsid w:val="002A5820"/>
    <w:rsid w:val="002A5ABD"/>
    <w:rsid w:val="002A666C"/>
    <w:rsid w:val="002A6B31"/>
    <w:rsid w:val="002A70D7"/>
    <w:rsid w:val="002A711E"/>
    <w:rsid w:val="002A7A59"/>
    <w:rsid w:val="002B0537"/>
    <w:rsid w:val="002B0C88"/>
    <w:rsid w:val="002B0D5D"/>
    <w:rsid w:val="002B128B"/>
    <w:rsid w:val="002B13B9"/>
    <w:rsid w:val="002B1FC6"/>
    <w:rsid w:val="002B28FF"/>
    <w:rsid w:val="002B2BEF"/>
    <w:rsid w:val="002B35C8"/>
    <w:rsid w:val="002B3605"/>
    <w:rsid w:val="002B566C"/>
    <w:rsid w:val="002B57CD"/>
    <w:rsid w:val="002B7B0B"/>
    <w:rsid w:val="002C045E"/>
    <w:rsid w:val="002C1E27"/>
    <w:rsid w:val="002C2CDA"/>
    <w:rsid w:val="002C30FE"/>
    <w:rsid w:val="002C39DB"/>
    <w:rsid w:val="002C44AB"/>
    <w:rsid w:val="002C567B"/>
    <w:rsid w:val="002C5831"/>
    <w:rsid w:val="002C677B"/>
    <w:rsid w:val="002C7EC8"/>
    <w:rsid w:val="002D1207"/>
    <w:rsid w:val="002D143C"/>
    <w:rsid w:val="002D21A8"/>
    <w:rsid w:val="002D2B26"/>
    <w:rsid w:val="002D2CC1"/>
    <w:rsid w:val="002D2F51"/>
    <w:rsid w:val="002D35DD"/>
    <w:rsid w:val="002D4709"/>
    <w:rsid w:val="002D4A3F"/>
    <w:rsid w:val="002D5ECB"/>
    <w:rsid w:val="002D66B1"/>
    <w:rsid w:val="002D6E6C"/>
    <w:rsid w:val="002D7EA2"/>
    <w:rsid w:val="002E026A"/>
    <w:rsid w:val="002E0528"/>
    <w:rsid w:val="002E1342"/>
    <w:rsid w:val="002E187C"/>
    <w:rsid w:val="002E1B9A"/>
    <w:rsid w:val="002E1EC6"/>
    <w:rsid w:val="002E387C"/>
    <w:rsid w:val="002E3E6F"/>
    <w:rsid w:val="002E472F"/>
    <w:rsid w:val="002E4945"/>
    <w:rsid w:val="002E4DC5"/>
    <w:rsid w:val="002E52AD"/>
    <w:rsid w:val="002E768A"/>
    <w:rsid w:val="002F0E93"/>
    <w:rsid w:val="002F40BB"/>
    <w:rsid w:val="002F5161"/>
    <w:rsid w:val="002F5685"/>
    <w:rsid w:val="002F5DB4"/>
    <w:rsid w:val="002F609F"/>
    <w:rsid w:val="002F60DB"/>
    <w:rsid w:val="002F6DE4"/>
    <w:rsid w:val="003005C8"/>
    <w:rsid w:val="003019B4"/>
    <w:rsid w:val="00301F7B"/>
    <w:rsid w:val="003022D3"/>
    <w:rsid w:val="00302733"/>
    <w:rsid w:val="0030304F"/>
    <w:rsid w:val="003033B6"/>
    <w:rsid w:val="00303A6A"/>
    <w:rsid w:val="00304544"/>
    <w:rsid w:val="00304C18"/>
    <w:rsid w:val="003059AD"/>
    <w:rsid w:val="003065EC"/>
    <w:rsid w:val="00306C6B"/>
    <w:rsid w:val="0031059E"/>
    <w:rsid w:val="00310ED8"/>
    <w:rsid w:val="00311595"/>
    <w:rsid w:val="00311E06"/>
    <w:rsid w:val="0031324E"/>
    <w:rsid w:val="00313713"/>
    <w:rsid w:val="00314078"/>
    <w:rsid w:val="00314BBB"/>
    <w:rsid w:val="0031535D"/>
    <w:rsid w:val="00315589"/>
    <w:rsid w:val="00316171"/>
    <w:rsid w:val="0031646D"/>
    <w:rsid w:val="003166FB"/>
    <w:rsid w:val="00316F3C"/>
    <w:rsid w:val="00317083"/>
    <w:rsid w:val="0031790A"/>
    <w:rsid w:val="00321DC1"/>
    <w:rsid w:val="00321FF8"/>
    <w:rsid w:val="00322479"/>
    <w:rsid w:val="003225C0"/>
    <w:rsid w:val="00322E1F"/>
    <w:rsid w:val="003234B3"/>
    <w:rsid w:val="00323737"/>
    <w:rsid w:val="00323D37"/>
    <w:rsid w:val="00323DA4"/>
    <w:rsid w:val="00324740"/>
    <w:rsid w:val="0032607A"/>
    <w:rsid w:val="00326B94"/>
    <w:rsid w:val="00327B35"/>
    <w:rsid w:val="00327D59"/>
    <w:rsid w:val="00327D86"/>
    <w:rsid w:val="00330F1F"/>
    <w:rsid w:val="00330F60"/>
    <w:rsid w:val="0033169F"/>
    <w:rsid w:val="00331806"/>
    <w:rsid w:val="0033261A"/>
    <w:rsid w:val="00332C40"/>
    <w:rsid w:val="00333C07"/>
    <w:rsid w:val="00334433"/>
    <w:rsid w:val="00335375"/>
    <w:rsid w:val="003363CA"/>
    <w:rsid w:val="00336FCB"/>
    <w:rsid w:val="003372D0"/>
    <w:rsid w:val="00337918"/>
    <w:rsid w:val="00337A67"/>
    <w:rsid w:val="00337BAC"/>
    <w:rsid w:val="0034220C"/>
    <w:rsid w:val="0034394C"/>
    <w:rsid w:val="0034447D"/>
    <w:rsid w:val="00344C1F"/>
    <w:rsid w:val="00345F29"/>
    <w:rsid w:val="003463DE"/>
    <w:rsid w:val="00346C24"/>
    <w:rsid w:val="00346C95"/>
    <w:rsid w:val="00347536"/>
    <w:rsid w:val="00350929"/>
    <w:rsid w:val="00350B36"/>
    <w:rsid w:val="00350EB2"/>
    <w:rsid w:val="00351170"/>
    <w:rsid w:val="00351644"/>
    <w:rsid w:val="00351D2E"/>
    <w:rsid w:val="00351E3C"/>
    <w:rsid w:val="003528B0"/>
    <w:rsid w:val="003532C6"/>
    <w:rsid w:val="00353498"/>
    <w:rsid w:val="00353553"/>
    <w:rsid w:val="00353860"/>
    <w:rsid w:val="00353ED9"/>
    <w:rsid w:val="0035420B"/>
    <w:rsid w:val="0035539C"/>
    <w:rsid w:val="00356185"/>
    <w:rsid w:val="0035628F"/>
    <w:rsid w:val="00356DBE"/>
    <w:rsid w:val="00360380"/>
    <w:rsid w:val="00361F03"/>
    <w:rsid w:val="00361F29"/>
    <w:rsid w:val="00363C1A"/>
    <w:rsid w:val="00364613"/>
    <w:rsid w:val="00364CC3"/>
    <w:rsid w:val="00365215"/>
    <w:rsid w:val="00367375"/>
    <w:rsid w:val="003675C4"/>
    <w:rsid w:val="00367E33"/>
    <w:rsid w:val="00370C7A"/>
    <w:rsid w:val="00370DDE"/>
    <w:rsid w:val="0037385A"/>
    <w:rsid w:val="00373B68"/>
    <w:rsid w:val="0037519E"/>
    <w:rsid w:val="003755F6"/>
    <w:rsid w:val="0037596D"/>
    <w:rsid w:val="0038061B"/>
    <w:rsid w:val="00380A7F"/>
    <w:rsid w:val="00380AED"/>
    <w:rsid w:val="00380BAD"/>
    <w:rsid w:val="00381A64"/>
    <w:rsid w:val="0038385F"/>
    <w:rsid w:val="003856DE"/>
    <w:rsid w:val="00385914"/>
    <w:rsid w:val="0038599E"/>
    <w:rsid w:val="0038642B"/>
    <w:rsid w:val="00386CF0"/>
    <w:rsid w:val="00390378"/>
    <w:rsid w:val="003908F3"/>
    <w:rsid w:val="00390A1D"/>
    <w:rsid w:val="00390E14"/>
    <w:rsid w:val="0039243B"/>
    <w:rsid w:val="00394B44"/>
    <w:rsid w:val="003956C5"/>
    <w:rsid w:val="00396242"/>
    <w:rsid w:val="003A0064"/>
    <w:rsid w:val="003A11A8"/>
    <w:rsid w:val="003A13A7"/>
    <w:rsid w:val="003A24BC"/>
    <w:rsid w:val="003A3B0D"/>
    <w:rsid w:val="003A3BF0"/>
    <w:rsid w:val="003A3D70"/>
    <w:rsid w:val="003A59BE"/>
    <w:rsid w:val="003A5AC8"/>
    <w:rsid w:val="003A62A3"/>
    <w:rsid w:val="003A6F75"/>
    <w:rsid w:val="003A7B1E"/>
    <w:rsid w:val="003A7D00"/>
    <w:rsid w:val="003B0843"/>
    <w:rsid w:val="003B086D"/>
    <w:rsid w:val="003B0BE2"/>
    <w:rsid w:val="003B0D35"/>
    <w:rsid w:val="003B1052"/>
    <w:rsid w:val="003B25F0"/>
    <w:rsid w:val="003B2919"/>
    <w:rsid w:val="003B3C19"/>
    <w:rsid w:val="003B561A"/>
    <w:rsid w:val="003B57C1"/>
    <w:rsid w:val="003B73AC"/>
    <w:rsid w:val="003B795F"/>
    <w:rsid w:val="003B7CD1"/>
    <w:rsid w:val="003C03D7"/>
    <w:rsid w:val="003C128C"/>
    <w:rsid w:val="003C147D"/>
    <w:rsid w:val="003C1888"/>
    <w:rsid w:val="003C1CAE"/>
    <w:rsid w:val="003C1DCF"/>
    <w:rsid w:val="003C2001"/>
    <w:rsid w:val="003C2085"/>
    <w:rsid w:val="003C286E"/>
    <w:rsid w:val="003C442C"/>
    <w:rsid w:val="003C491D"/>
    <w:rsid w:val="003C494D"/>
    <w:rsid w:val="003C6222"/>
    <w:rsid w:val="003C64C4"/>
    <w:rsid w:val="003C676B"/>
    <w:rsid w:val="003C7625"/>
    <w:rsid w:val="003C790C"/>
    <w:rsid w:val="003C7A33"/>
    <w:rsid w:val="003D104D"/>
    <w:rsid w:val="003D28AD"/>
    <w:rsid w:val="003D2E7E"/>
    <w:rsid w:val="003D3946"/>
    <w:rsid w:val="003D3BC2"/>
    <w:rsid w:val="003D49F9"/>
    <w:rsid w:val="003D539B"/>
    <w:rsid w:val="003D5947"/>
    <w:rsid w:val="003D5E4E"/>
    <w:rsid w:val="003D60D7"/>
    <w:rsid w:val="003D7813"/>
    <w:rsid w:val="003D7B18"/>
    <w:rsid w:val="003E0213"/>
    <w:rsid w:val="003E03AA"/>
    <w:rsid w:val="003E049D"/>
    <w:rsid w:val="003E0FCF"/>
    <w:rsid w:val="003E127C"/>
    <w:rsid w:val="003E30C1"/>
    <w:rsid w:val="003E3BE7"/>
    <w:rsid w:val="003E4C78"/>
    <w:rsid w:val="003E6CA1"/>
    <w:rsid w:val="003F000D"/>
    <w:rsid w:val="003F00B9"/>
    <w:rsid w:val="003F203D"/>
    <w:rsid w:val="003F2324"/>
    <w:rsid w:val="003F260C"/>
    <w:rsid w:val="003F306D"/>
    <w:rsid w:val="003F4B6E"/>
    <w:rsid w:val="003F5193"/>
    <w:rsid w:val="003F56EF"/>
    <w:rsid w:val="0040137E"/>
    <w:rsid w:val="004013EB"/>
    <w:rsid w:val="00401F22"/>
    <w:rsid w:val="0040248A"/>
    <w:rsid w:val="004026A8"/>
    <w:rsid w:val="00402ACF"/>
    <w:rsid w:val="00402B6F"/>
    <w:rsid w:val="00402FA3"/>
    <w:rsid w:val="004034C9"/>
    <w:rsid w:val="00403614"/>
    <w:rsid w:val="00403617"/>
    <w:rsid w:val="004042C8"/>
    <w:rsid w:val="00404690"/>
    <w:rsid w:val="00404AC7"/>
    <w:rsid w:val="00405879"/>
    <w:rsid w:val="00405DC8"/>
    <w:rsid w:val="00406310"/>
    <w:rsid w:val="00406644"/>
    <w:rsid w:val="0040686E"/>
    <w:rsid w:val="004068CA"/>
    <w:rsid w:val="00406FAB"/>
    <w:rsid w:val="004072BD"/>
    <w:rsid w:val="0041103E"/>
    <w:rsid w:val="00411427"/>
    <w:rsid w:val="00411A8F"/>
    <w:rsid w:val="004122A2"/>
    <w:rsid w:val="00413B66"/>
    <w:rsid w:val="00413F2B"/>
    <w:rsid w:val="00414A9C"/>
    <w:rsid w:val="00415B29"/>
    <w:rsid w:val="00415F07"/>
    <w:rsid w:val="004165C2"/>
    <w:rsid w:val="00416C07"/>
    <w:rsid w:val="0041707B"/>
    <w:rsid w:val="0041786B"/>
    <w:rsid w:val="00417AD9"/>
    <w:rsid w:val="00421655"/>
    <w:rsid w:val="00424385"/>
    <w:rsid w:val="0042491C"/>
    <w:rsid w:val="00426EEF"/>
    <w:rsid w:val="004300B1"/>
    <w:rsid w:val="0043055A"/>
    <w:rsid w:val="00431034"/>
    <w:rsid w:val="004323AD"/>
    <w:rsid w:val="00433A1F"/>
    <w:rsid w:val="00433AB8"/>
    <w:rsid w:val="004364F4"/>
    <w:rsid w:val="004366A3"/>
    <w:rsid w:val="00436C33"/>
    <w:rsid w:val="00437970"/>
    <w:rsid w:val="0044095F"/>
    <w:rsid w:val="004409F3"/>
    <w:rsid w:val="0044176C"/>
    <w:rsid w:val="00441ECB"/>
    <w:rsid w:val="004433D0"/>
    <w:rsid w:val="004445B4"/>
    <w:rsid w:val="00445D29"/>
    <w:rsid w:val="00446230"/>
    <w:rsid w:val="00446A36"/>
    <w:rsid w:val="004472BE"/>
    <w:rsid w:val="0044731B"/>
    <w:rsid w:val="00447494"/>
    <w:rsid w:val="00447CA6"/>
    <w:rsid w:val="00453315"/>
    <w:rsid w:val="0045380D"/>
    <w:rsid w:val="004546E4"/>
    <w:rsid w:val="004553D1"/>
    <w:rsid w:val="00456F92"/>
    <w:rsid w:val="0046152C"/>
    <w:rsid w:val="00462570"/>
    <w:rsid w:val="00464639"/>
    <w:rsid w:val="00464C01"/>
    <w:rsid w:val="004658DC"/>
    <w:rsid w:val="00466298"/>
    <w:rsid w:val="004671F0"/>
    <w:rsid w:val="00467B7E"/>
    <w:rsid w:val="0047245E"/>
    <w:rsid w:val="00472965"/>
    <w:rsid w:val="0047309D"/>
    <w:rsid w:val="004730B2"/>
    <w:rsid w:val="004736ED"/>
    <w:rsid w:val="0047376F"/>
    <w:rsid w:val="00474E05"/>
    <w:rsid w:val="00474EA1"/>
    <w:rsid w:val="0047599F"/>
    <w:rsid w:val="004768A1"/>
    <w:rsid w:val="004769DC"/>
    <w:rsid w:val="00477592"/>
    <w:rsid w:val="004802B1"/>
    <w:rsid w:val="00481080"/>
    <w:rsid w:val="004821CA"/>
    <w:rsid w:val="0048687B"/>
    <w:rsid w:val="00486D51"/>
    <w:rsid w:val="00486F1C"/>
    <w:rsid w:val="0048713F"/>
    <w:rsid w:val="004902A0"/>
    <w:rsid w:val="004903B1"/>
    <w:rsid w:val="00490D4F"/>
    <w:rsid w:val="00492688"/>
    <w:rsid w:val="004926F5"/>
    <w:rsid w:val="0049419D"/>
    <w:rsid w:val="0049452D"/>
    <w:rsid w:val="004945AB"/>
    <w:rsid w:val="00495F93"/>
    <w:rsid w:val="00496703"/>
    <w:rsid w:val="004A0A83"/>
    <w:rsid w:val="004A1885"/>
    <w:rsid w:val="004A33CD"/>
    <w:rsid w:val="004A3EAF"/>
    <w:rsid w:val="004A45F3"/>
    <w:rsid w:val="004A4FDF"/>
    <w:rsid w:val="004A7734"/>
    <w:rsid w:val="004B2377"/>
    <w:rsid w:val="004B2F56"/>
    <w:rsid w:val="004B376C"/>
    <w:rsid w:val="004B3952"/>
    <w:rsid w:val="004B5BAD"/>
    <w:rsid w:val="004B5DFC"/>
    <w:rsid w:val="004B6504"/>
    <w:rsid w:val="004B67AD"/>
    <w:rsid w:val="004B6D6D"/>
    <w:rsid w:val="004C09DA"/>
    <w:rsid w:val="004C1949"/>
    <w:rsid w:val="004C1B0D"/>
    <w:rsid w:val="004C20D2"/>
    <w:rsid w:val="004C248A"/>
    <w:rsid w:val="004C3F29"/>
    <w:rsid w:val="004C4392"/>
    <w:rsid w:val="004C4B62"/>
    <w:rsid w:val="004C53CE"/>
    <w:rsid w:val="004C53D5"/>
    <w:rsid w:val="004C54C9"/>
    <w:rsid w:val="004C679D"/>
    <w:rsid w:val="004C6F74"/>
    <w:rsid w:val="004C6F7F"/>
    <w:rsid w:val="004C7AE7"/>
    <w:rsid w:val="004C7B32"/>
    <w:rsid w:val="004D1181"/>
    <w:rsid w:val="004D2176"/>
    <w:rsid w:val="004D229F"/>
    <w:rsid w:val="004D25F8"/>
    <w:rsid w:val="004D301D"/>
    <w:rsid w:val="004D330B"/>
    <w:rsid w:val="004D3529"/>
    <w:rsid w:val="004D415F"/>
    <w:rsid w:val="004D4D95"/>
    <w:rsid w:val="004D533D"/>
    <w:rsid w:val="004D57BE"/>
    <w:rsid w:val="004D5D5E"/>
    <w:rsid w:val="004D5F45"/>
    <w:rsid w:val="004D6025"/>
    <w:rsid w:val="004D65F6"/>
    <w:rsid w:val="004D6AA2"/>
    <w:rsid w:val="004D760C"/>
    <w:rsid w:val="004E051A"/>
    <w:rsid w:val="004E056C"/>
    <w:rsid w:val="004E2649"/>
    <w:rsid w:val="004E3FBD"/>
    <w:rsid w:val="004E424B"/>
    <w:rsid w:val="004E5562"/>
    <w:rsid w:val="004E7038"/>
    <w:rsid w:val="004E79CC"/>
    <w:rsid w:val="004E7CD3"/>
    <w:rsid w:val="004F1BC5"/>
    <w:rsid w:val="004F2B3C"/>
    <w:rsid w:val="004F55D5"/>
    <w:rsid w:val="004F5F25"/>
    <w:rsid w:val="004F68E5"/>
    <w:rsid w:val="004F6BDA"/>
    <w:rsid w:val="004F6BEB"/>
    <w:rsid w:val="004F6D26"/>
    <w:rsid w:val="004F7AC1"/>
    <w:rsid w:val="0050032C"/>
    <w:rsid w:val="005005F8"/>
    <w:rsid w:val="005008B4"/>
    <w:rsid w:val="00501399"/>
    <w:rsid w:val="00501ADE"/>
    <w:rsid w:val="00501D55"/>
    <w:rsid w:val="00502505"/>
    <w:rsid w:val="0050278C"/>
    <w:rsid w:val="005035AE"/>
    <w:rsid w:val="005049F8"/>
    <w:rsid w:val="00505019"/>
    <w:rsid w:val="0050620A"/>
    <w:rsid w:val="0050633D"/>
    <w:rsid w:val="00507BC4"/>
    <w:rsid w:val="00510C32"/>
    <w:rsid w:val="005112CF"/>
    <w:rsid w:val="0051172C"/>
    <w:rsid w:val="00511A2C"/>
    <w:rsid w:val="005125B7"/>
    <w:rsid w:val="005127BD"/>
    <w:rsid w:val="005128E4"/>
    <w:rsid w:val="00512C89"/>
    <w:rsid w:val="005133DB"/>
    <w:rsid w:val="00513BA2"/>
    <w:rsid w:val="00514419"/>
    <w:rsid w:val="005149E6"/>
    <w:rsid w:val="0051524B"/>
    <w:rsid w:val="005161C6"/>
    <w:rsid w:val="005167DF"/>
    <w:rsid w:val="00517CF9"/>
    <w:rsid w:val="0052016F"/>
    <w:rsid w:val="00521A7F"/>
    <w:rsid w:val="0052236A"/>
    <w:rsid w:val="005248A0"/>
    <w:rsid w:val="00524B6F"/>
    <w:rsid w:val="00524B9A"/>
    <w:rsid w:val="00524E67"/>
    <w:rsid w:val="00525293"/>
    <w:rsid w:val="00525560"/>
    <w:rsid w:val="005266AD"/>
    <w:rsid w:val="00527830"/>
    <w:rsid w:val="005279BD"/>
    <w:rsid w:val="005300C5"/>
    <w:rsid w:val="005302E2"/>
    <w:rsid w:val="00530A7C"/>
    <w:rsid w:val="00531384"/>
    <w:rsid w:val="00531D32"/>
    <w:rsid w:val="00532329"/>
    <w:rsid w:val="00535866"/>
    <w:rsid w:val="00535CA0"/>
    <w:rsid w:val="005377F7"/>
    <w:rsid w:val="00541102"/>
    <w:rsid w:val="00541549"/>
    <w:rsid w:val="005417AE"/>
    <w:rsid w:val="00541EC2"/>
    <w:rsid w:val="00541F42"/>
    <w:rsid w:val="00542161"/>
    <w:rsid w:val="00542254"/>
    <w:rsid w:val="00543679"/>
    <w:rsid w:val="00543A71"/>
    <w:rsid w:val="00544B77"/>
    <w:rsid w:val="00544C49"/>
    <w:rsid w:val="00545007"/>
    <w:rsid w:val="00545037"/>
    <w:rsid w:val="005451AC"/>
    <w:rsid w:val="00545AB4"/>
    <w:rsid w:val="00545EB7"/>
    <w:rsid w:val="005471D4"/>
    <w:rsid w:val="005509A1"/>
    <w:rsid w:val="005516A1"/>
    <w:rsid w:val="00551DC4"/>
    <w:rsid w:val="00552497"/>
    <w:rsid w:val="0055353D"/>
    <w:rsid w:val="00554849"/>
    <w:rsid w:val="00554ADA"/>
    <w:rsid w:val="005551DE"/>
    <w:rsid w:val="00556C86"/>
    <w:rsid w:val="00556F34"/>
    <w:rsid w:val="00557BE2"/>
    <w:rsid w:val="005602AC"/>
    <w:rsid w:val="00560FEF"/>
    <w:rsid w:val="0056273D"/>
    <w:rsid w:val="00562FA6"/>
    <w:rsid w:val="0056419F"/>
    <w:rsid w:val="0056466B"/>
    <w:rsid w:val="005655B2"/>
    <w:rsid w:val="00565746"/>
    <w:rsid w:val="00565F4F"/>
    <w:rsid w:val="005670A8"/>
    <w:rsid w:val="0056794C"/>
    <w:rsid w:val="00567A2D"/>
    <w:rsid w:val="005701C3"/>
    <w:rsid w:val="00570D5F"/>
    <w:rsid w:val="00570E07"/>
    <w:rsid w:val="00572121"/>
    <w:rsid w:val="0057219F"/>
    <w:rsid w:val="005730E7"/>
    <w:rsid w:val="0057402A"/>
    <w:rsid w:val="00575338"/>
    <w:rsid w:val="005760A8"/>
    <w:rsid w:val="0057613E"/>
    <w:rsid w:val="0057684E"/>
    <w:rsid w:val="0057703A"/>
    <w:rsid w:val="005771D0"/>
    <w:rsid w:val="00580246"/>
    <w:rsid w:val="0058060B"/>
    <w:rsid w:val="00580C2C"/>
    <w:rsid w:val="00585B2C"/>
    <w:rsid w:val="00587237"/>
    <w:rsid w:val="00587A30"/>
    <w:rsid w:val="005903A6"/>
    <w:rsid w:val="00590F6A"/>
    <w:rsid w:val="00591772"/>
    <w:rsid w:val="0059188E"/>
    <w:rsid w:val="0059191A"/>
    <w:rsid w:val="00591B18"/>
    <w:rsid w:val="00591B2F"/>
    <w:rsid w:val="00591B82"/>
    <w:rsid w:val="00591D2E"/>
    <w:rsid w:val="005921FF"/>
    <w:rsid w:val="00592474"/>
    <w:rsid w:val="00595552"/>
    <w:rsid w:val="00596209"/>
    <w:rsid w:val="00596818"/>
    <w:rsid w:val="00596DE5"/>
    <w:rsid w:val="005971A6"/>
    <w:rsid w:val="00597615"/>
    <w:rsid w:val="00597D89"/>
    <w:rsid w:val="005A1847"/>
    <w:rsid w:val="005A19AC"/>
    <w:rsid w:val="005A1BFD"/>
    <w:rsid w:val="005A37F6"/>
    <w:rsid w:val="005A432F"/>
    <w:rsid w:val="005A4937"/>
    <w:rsid w:val="005A550F"/>
    <w:rsid w:val="005A5F07"/>
    <w:rsid w:val="005A6404"/>
    <w:rsid w:val="005A6D0E"/>
    <w:rsid w:val="005A7387"/>
    <w:rsid w:val="005B04E1"/>
    <w:rsid w:val="005B11A2"/>
    <w:rsid w:val="005B181D"/>
    <w:rsid w:val="005B1BDC"/>
    <w:rsid w:val="005B2F97"/>
    <w:rsid w:val="005B3204"/>
    <w:rsid w:val="005B4C75"/>
    <w:rsid w:val="005B52B0"/>
    <w:rsid w:val="005B567A"/>
    <w:rsid w:val="005B58CF"/>
    <w:rsid w:val="005B6686"/>
    <w:rsid w:val="005B6806"/>
    <w:rsid w:val="005B751D"/>
    <w:rsid w:val="005C1306"/>
    <w:rsid w:val="005C4225"/>
    <w:rsid w:val="005C508C"/>
    <w:rsid w:val="005C5C5F"/>
    <w:rsid w:val="005C5DBC"/>
    <w:rsid w:val="005C5F9D"/>
    <w:rsid w:val="005C6DC7"/>
    <w:rsid w:val="005C77F3"/>
    <w:rsid w:val="005C7813"/>
    <w:rsid w:val="005D23C2"/>
    <w:rsid w:val="005D2B8E"/>
    <w:rsid w:val="005D3359"/>
    <w:rsid w:val="005D3FF2"/>
    <w:rsid w:val="005D4A2E"/>
    <w:rsid w:val="005D4EBC"/>
    <w:rsid w:val="005D5E12"/>
    <w:rsid w:val="005D5EA9"/>
    <w:rsid w:val="005D6D52"/>
    <w:rsid w:val="005D76B3"/>
    <w:rsid w:val="005D77A9"/>
    <w:rsid w:val="005D7802"/>
    <w:rsid w:val="005E0269"/>
    <w:rsid w:val="005E151E"/>
    <w:rsid w:val="005E2265"/>
    <w:rsid w:val="005E2482"/>
    <w:rsid w:val="005E24A0"/>
    <w:rsid w:val="005E40F8"/>
    <w:rsid w:val="005E5293"/>
    <w:rsid w:val="005E6D23"/>
    <w:rsid w:val="005E7011"/>
    <w:rsid w:val="005E7822"/>
    <w:rsid w:val="005E7926"/>
    <w:rsid w:val="005F0538"/>
    <w:rsid w:val="005F077B"/>
    <w:rsid w:val="005F0DAD"/>
    <w:rsid w:val="005F0F33"/>
    <w:rsid w:val="005F1420"/>
    <w:rsid w:val="005F26F9"/>
    <w:rsid w:val="005F2A4F"/>
    <w:rsid w:val="005F2E24"/>
    <w:rsid w:val="005F3413"/>
    <w:rsid w:val="005F34A2"/>
    <w:rsid w:val="005F350E"/>
    <w:rsid w:val="005F360B"/>
    <w:rsid w:val="005F3F0A"/>
    <w:rsid w:val="005F4B84"/>
    <w:rsid w:val="005F5D99"/>
    <w:rsid w:val="00600DEB"/>
    <w:rsid w:val="006013F9"/>
    <w:rsid w:val="00601CAD"/>
    <w:rsid w:val="0060227A"/>
    <w:rsid w:val="00602C16"/>
    <w:rsid w:val="00604792"/>
    <w:rsid w:val="00605A4A"/>
    <w:rsid w:val="00610126"/>
    <w:rsid w:val="00610453"/>
    <w:rsid w:val="00610E8F"/>
    <w:rsid w:val="00610EA3"/>
    <w:rsid w:val="00611646"/>
    <w:rsid w:val="0061198F"/>
    <w:rsid w:val="00611A5C"/>
    <w:rsid w:val="00611F77"/>
    <w:rsid w:val="00612704"/>
    <w:rsid w:val="0061368E"/>
    <w:rsid w:val="006137F2"/>
    <w:rsid w:val="00613858"/>
    <w:rsid w:val="00614081"/>
    <w:rsid w:val="006140CF"/>
    <w:rsid w:val="00614556"/>
    <w:rsid w:val="00615082"/>
    <w:rsid w:val="0061631C"/>
    <w:rsid w:val="00616D0A"/>
    <w:rsid w:val="006170CB"/>
    <w:rsid w:val="00617752"/>
    <w:rsid w:val="006177BB"/>
    <w:rsid w:val="006178DB"/>
    <w:rsid w:val="00620038"/>
    <w:rsid w:val="00620089"/>
    <w:rsid w:val="00621479"/>
    <w:rsid w:val="006217C8"/>
    <w:rsid w:val="00621E59"/>
    <w:rsid w:val="0062532E"/>
    <w:rsid w:val="00625A85"/>
    <w:rsid w:val="00626DE7"/>
    <w:rsid w:val="00627722"/>
    <w:rsid w:val="00627C9F"/>
    <w:rsid w:val="006305F1"/>
    <w:rsid w:val="00630725"/>
    <w:rsid w:val="00630F47"/>
    <w:rsid w:val="006311E9"/>
    <w:rsid w:val="006313F3"/>
    <w:rsid w:val="006315B9"/>
    <w:rsid w:val="00632354"/>
    <w:rsid w:val="00633428"/>
    <w:rsid w:val="00633D54"/>
    <w:rsid w:val="00633F25"/>
    <w:rsid w:val="0063577F"/>
    <w:rsid w:val="00636CFB"/>
    <w:rsid w:val="00637062"/>
    <w:rsid w:val="00637851"/>
    <w:rsid w:val="00637EFB"/>
    <w:rsid w:val="00641643"/>
    <w:rsid w:val="00641C9C"/>
    <w:rsid w:val="00642322"/>
    <w:rsid w:val="00642810"/>
    <w:rsid w:val="00643501"/>
    <w:rsid w:val="00644E86"/>
    <w:rsid w:val="00644EC6"/>
    <w:rsid w:val="0064580A"/>
    <w:rsid w:val="00645A3F"/>
    <w:rsid w:val="006468F1"/>
    <w:rsid w:val="006469CA"/>
    <w:rsid w:val="00651638"/>
    <w:rsid w:val="00651928"/>
    <w:rsid w:val="0065202B"/>
    <w:rsid w:val="0065226D"/>
    <w:rsid w:val="00652333"/>
    <w:rsid w:val="0065284B"/>
    <w:rsid w:val="00653A61"/>
    <w:rsid w:val="00654575"/>
    <w:rsid w:val="0065476D"/>
    <w:rsid w:val="00656CEE"/>
    <w:rsid w:val="0065769E"/>
    <w:rsid w:val="00657AC1"/>
    <w:rsid w:val="00660C74"/>
    <w:rsid w:val="006618E3"/>
    <w:rsid w:val="00663088"/>
    <w:rsid w:val="006652CF"/>
    <w:rsid w:val="00665626"/>
    <w:rsid w:val="00666255"/>
    <w:rsid w:val="006663D6"/>
    <w:rsid w:val="006664C3"/>
    <w:rsid w:val="00666A3C"/>
    <w:rsid w:val="0066705A"/>
    <w:rsid w:val="0066755E"/>
    <w:rsid w:val="00667622"/>
    <w:rsid w:val="0067086C"/>
    <w:rsid w:val="00670C12"/>
    <w:rsid w:val="00671094"/>
    <w:rsid w:val="00671393"/>
    <w:rsid w:val="0067174C"/>
    <w:rsid w:val="00671FDD"/>
    <w:rsid w:val="00674AC8"/>
    <w:rsid w:val="00675524"/>
    <w:rsid w:val="00675648"/>
    <w:rsid w:val="00676575"/>
    <w:rsid w:val="00677831"/>
    <w:rsid w:val="0068009E"/>
    <w:rsid w:val="006801BB"/>
    <w:rsid w:val="0068073A"/>
    <w:rsid w:val="00680BDC"/>
    <w:rsid w:val="006813E1"/>
    <w:rsid w:val="00681407"/>
    <w:rsid w:val="006814BE"/>
    <w:rsid w:val="006817E4"/>
    <w:rsid w:val="00681E39"/>
    <w:rsid w:val="00682A8D"/>
    <w:rsid w:val="00682C13"/>
    <w:rsid w:val="006834D8"/>
    <w:rsid w:val="00683959"/>
    <w:rsid w:val="00685C2C"/>
    <w:rsid w:val="0068755D"/>
    <w:rsid w:val="00690387"/>
    <w:rsid w:val="00690694"/>
    <w:rsid w:val="00691508"/>
    <w:rsid w:val="00692219"/>
    <w:rsid w:val="006941AC"/>
    <w:rsid w:val="006944B0"/>
    <w:rsid w:val="00694FAB"/>
    <w:rsid w:val="00695369"/>
    <w:rsid w:val="00695C31"/>
    <w:rsid w:val="006960D9"/>
    <w:rsid w:val="00696713"/>
    <w:rsid w:val="006A0028"/>
    <w:rsid w:val="006A0211"/>
    <w:rsid w:val="006A0AFB"/>
    <w:rsid w:val="006A0DFF"/>
    <w:rsid w:val="006A17D2"/>
    <w:rsid w:val="006A2852"/>
    <w:rsid w:val="006A2F2B"/>
    <w:rsid w:val="006A3642"/>
    <w:rsid w:val="006A3BA3"/>
    <w:rsid w:val="006A449E"/>
    <w:rsid w:val="006A4D75"/>
    <w:rsid w:val="006A544D"/>
    <w:rsid w:val="006A5986"/>
    <w:rsid w:val="006A614F"/>
    <w:rsid w:val="006A61DD"/>
    <w:rsid w:val="006A63CF"/>
    <w:rsid w:val="006A73E6"/>
    <w:rsid w:val="006B0357"/>
    <w:rsid w:val="006B0621"/>
    <w:rsid w:val="006B2D5C"/>
    <w:rsid w:val="006B3579"/>
    <w:rsid w:val="006B371B"/>
    <w:rsid w:val="006B38CD"/>
    <w:rsid w:val="006B43AB"/>
    <w:rsid w:val="006B5C32"/>
    <w:rsid w:val="006B6224"/>
    <w:rsid w:val="006B71B7"/>
    <w:rsid w:val="006B721F"/>
    <w:rsid w:val="006B77CC"/>
    <w:rsid w:val="006B7EB8"/>
    <w:rsid w:val="006C19A9"/>
    <w:rsid w:val="006C1EC0"/>
    <w:rsid w:val="006C333D"/>
    <w:rsid w:val="006C4647"/>
    <w:rsid w:val="006C4EB1"/>
    <w:rsid w:val="006C651F"/>
    <w:rsid w:val="006C6737"/>
    <w:rsid w:val="006D2066"/>
    <w:rsid w:val="006D27B7"/>
    <w:rsid w:val="006D2985"/>
    <w:rsid w:val="006D45E2"/>
    <w:rsid w:val="006D4719"/>
    <w:rsid w:val="006D487A"/>
    <w:rsid w:val="006D55C9"/>
    <w:rsid w:val="006D599C"/>
    <w:rsid w:val="006D5EE1"/>
    <w:rsid w:val="006D64A0"/>
    <w:rsid w:val="006D72DC"/>
    <w:rsid w:val="006E0166"/>
    <w:rsid w:val="006E0253"/>
    <w:rsid w:val="006E0739"/>
    <w:rsid w:val="006E0CBE"/>
    <w:rsid w:val="006E2C2E"/>
    <w:rsid w:val="006E2F94"/>
    <w:rsid w:val="006E4527"/>
    <w:rsid w:val="006E4AC7"/>
    <w:rsid w:val="006E6BA9"/>
    <w:rsid w:val="006E76C1"/>
    <w:rsid w:val="006E7785"/>
    <w:rsid w:val="006E7B34"/>
    <w:rsid w:val="006F0AD8"/>
    <w:rsid w:val="006F2542"/>
    <w:rsid w:val="006F33F9"/>
    <w:rsid w:val="006F3CE8"/>
    <w:rsid w:val="006F541A"/>
    <w:rsid w:val="006F5CBA"/>
    <w:rsid w:val="006F6EEF"/>
    <w:rsid w:val="007006DE"/>
    <w:rsid w:val="00700EFB"/>
    <w:rsid w:val="007019C8"/>
    <w:rsid w:val="00703249"/>
    <w:rsid w:val="007044EA"/>
    <w:rsid w:val="00704D86"/>
    <w:rsid w:val="0070525B"/>
    <w:rsid w:val="0070697F"/>
    <w:rsid w:val="00706CA7"/>
    <w:rsid w:val="00713058"/>
    <w:rsid w:val="007139A9"/>
    <w:rsid w:val="00713E43"/>
    <w:rsid w:val="00714476"/>
    <w:rsid w:val="00714781"/>
    <w:rsid w:val="00715040"/>
    <w:rsid w:val="0071712E"/>
    <w:rsid w:val="0071778F"/>
    <w:rsid w:val="0072039A"/>
    <w:rsid w:val="00720EE0"/>
    <w:rsid w:val="0072199C"/>
    <w:rsid w:val="00722340"/>
    <w:rsid w:val="00722593"/>
    <w:rsid w:val="00722C9F"/>
    <w:rsid w:val="00722EEA"/>
    <w:rsid w:val="007237CB"/>
    <w:rsid w:val="007253B8"/>
    <w:rsid w:val="00725752"/>
    <w:rsid w:val="00725DE7"/>
    <w:rsid w:val="0072650A"/>
    <w:rsid w:val="007273DA"/>
    <w:rsid w:val="007308FD"/>
    <w:rsid w:val="00731552"/>
    <w:rsid w:val="00731824"/>
    <w:rsid w:val="00731C97"/>
    <w:rsid w:val="007331A9"/>
    <w:rsid w:val="00734857"/>
    <w:rsid w:val="007350A5"/>
    <w:rsid w:val="0073518F"/>
    <w:rsid w:val="00735262"/>
    <w:rsid w:val="007360A1"/>
    <w:rsid w:val="007361A3"/>
    <w:rsid w:val="00737191"/>
    <w:rsid w:val="0073741F"/>
    <w:rsid w:val="00740B52"/>
    <w:rsid w:val="00741176"/>
    <w:rsid w:val="00741936"/>
    <w:rsid w:val="00742A3E"/>
    <w:rsid w:val="007448D3"/>
    <w:rsid w:val="00745624"/>
    <w:rsid w:val="007458AD"/>
    <w:rsid w:val="00745DD4"/>
    <w:rsid w:val="00746296"/>
    <w:rsid w:val="00746484"/>
    <w:rsid w:val="0074716C"/>
    <w:rsid w:val="0074717A"/>
    <w:rsid w:val="007509CE"/>
    <w:rsid w:val="00751003"/>
    <w:rsid w:val="00752307"/>
    <w:rsid w:val="00753318"/>
    <w:rsid w:val="00753E99"/>
    <w:rsid w:val="007542EF"/>
    <w:rsid w:val="007544E4"/>
    <w:rsid w:val="00755023"/>
    <w:rsid w:val="00755F56"/>
    <w:rsid w:val="007562EE"/>
    <w:rsid w:val="0075727F"/>
    <w:rsid w:val="00760450"/>
    <w:rsid w:val="00764E8A"/>
    <w:rsid w:val="007651E0"/>
    <w:rsid w:val="00765A00"/>
    <w:rsid w:val="007660D1"/>
    <w:rsid w:val="0076637F"/>
    <w:rsid w:val="0076643F"/>
    <w:rsid w:val="00766577"/>
    <w:rsid w:val="00766614"/>
    <w:rsid w:val="00766711"/>
    <w:rsid w:val="00766943"/>
    <w:rsid w:val="00766C88"/>
    <w:rsid w:val="00766F77"/>
    <w:rsid w:val="0077039E"/>
    <w:rsid w:val="00770EE9"/>
    <w:rsid w:val="0077118B"/>
    <w:rsid w:val="00771DED"/>
    <w:rsid w:val="00771E15"/>
    <w:rsid w:val="007738F4"/>
    <w:rsid w:val="00774173"/>
    <w:rsid w:val="007753E5"/>
    <w:rsid w:val="00775882"/>
    <w:rsid w:val="007761B4"/>
    <w:rsid w:val="00776462"/>
    <w:rsid w:val="00776DFE"/>
    <w:rsid w:val="007776EF"/>
    <w:rsid w:val="00777F63"/>
    <w:rsid w:val="0078037E"/>
    <w:rsid w:val="007806C3"/>
    <w:rsid w:val="007807D2"/>
    <w:rsid w:val="00782E4C"/>
    <w:rsid w:val="00783862"/>
    <w:rsid w:val="00783BEE"/>
    <w:rsid w:val="007851A7"/>
    <w:rsid w:val="00785586"/>
    <w:rsid w:val="00785FA1"/>
    <w:rsid w:val="00786A01"/>
    <w:rsid w:val="00786E5E"/>
    <w:rsid w:val="00787852"/>
    <w:rsid w:val="007879DA"/>
    <w:rsid w:val="007900AF"/>
    <w:rsid w:val="00791738"/>
    <w:rsid w:val="00793B6D"/>
    <w:rsid w:val="007955FE"/>
    <w:rsid w:val="00795DC3"/>
    <w:rsid w:val="007960C0"/>
    <w:rsid w:val="007966CB"/>
    <w:rsid w:val="00796BC7"/>
    <w:rsid w:val="007976D3"/>
    <w:rsid w:val="00797E3D"/>
    <w:rsid w:val="007A0500"/>
    <w:rsid w:val="007A1A42"/>
    <w:rsid w:val="007A2FF1"/>
    <w:rsid w:val="007A4595"/>
    <w:rsid w:val="007A4B62"/>
    <w:rsid w:val="007A5817"/>
    <w:rsid w:val="007A6048"/>
    <w:rsid w:val="007A65B3"/>
    <w:rsid w:val="007A702C"/>
    <w:rsid w:val="007A7084"/>
    <w:rsid w:val="007B02CB"/>
    <w:rsid w:val="007B1298"/>
    <w:rsid w:val="007B1EC9"/>
    <w:rsid w:val="007B2CBF"/>
    <w:rsid w:val="007B2DF6"/>
    <w:rsid w:val="007B2EB1"/>
    <w:rsid w:val="007B310C"/>
    <w:rsid w:val="007B3EBF"/>
    <w:rsid w:val="007B5A49"/>
    <w:rsid w:val="007B60E9"/>
    <w:rsid w:val="007B6CC3"/>
    <w:rsid w:val="007B778C"/>
    <w:rsid w:val="007B795B"/>
    <w:rsid w:val="007C02DB"/>
    <w:rsid w:val="007C0CC7"/>
    <w:rsid w:val="007C1616"/>
    <w:rsid w:val="007C2C9B"/>
    <w:rsid w:val="007C3334"/>
    <w:rsid w:val="007C4467"/>
    <w:rsid w:val="007C4FCC"/>
    <w:rsid w:val="007C614B"/>
    <w:rsid w:val="007C66F7"/>
    <w:rsid w:val="007C70CE"/>
    <w:rsid w:val="007C75A1"/>
    <w:rsid w:val="007C7937"/>
    <w:rsid w:val="007C7BEC"/>
    <w:rsid w:val="007D0BFB"/>
    <w:rsid w:val="007D10EE"/>
    <w:rsid w:val="007D1187"/>
    <w:rsid w:val="007D156A"/>
    <w:rsid w:val="007D2143"/>
    <w:rsid w:val="007D2B98"/>
    <w:rsid w:val="007D3A7A"/>
    <w:rsid w:val="007D3E4E"/>
    <w:rsid w:val="007D5418"/>
    <w:rsid w:val="007D680B"/>
    <w:rsid w:val="007D70A1"/>
    <w:rsid w:val="007E0419"/>
    <w:rsid w:val="007E0FAE"/>
    <w:rsid w:val="007E127B"/>
    <w:rsid w:val="007E1EE5"/>
    <w:rsid w:val="007E21BC"/>
    <w:rsid w:val="007E3922"/>
    <w:rsid w:val="007E3AE1"/>
    <w:rsid w:val="007E4CA3"/>
    <w:rsid w:val="007E5710"/>
    <w:rsid w:val="007E58D5"/>
    <w:rsid w:val="007E5A75"/>
    <w:rsid w:val="007E624C"/>
    <w:rsid w:val="007E62E5"/>
    <w:rsid w:val="007E70A0"/>
    <w:rsid w:val="007E774E"/>
    <w:rsid w:val="007F4A96"/>
    <w:rsid w:val="007F6406"/>
    <w:rsid w:val="007F6D18"/>
    <w:rsid w:val="007F7700"/>
    <w:rsid w:val="00800915"/>
    <w:rsid w:val="00800E2C"/>
    <w:rsid w:val="00800F5C"/>
    <w:rsid w:val="00802A45"/>
    <w:rsid w:val="00802B87"/>
    <w:rsid w:val="00802F8F"/>
    <w:rsid w:val="008030F4"/>
    <w:rsid w:val="0080320A"/>
    <w:rsid w:val="00803F1C"/>
    <w:rsid w:val="00805063"/>
    <w:rsid w:val="0080600E"/>
    <w:rsid w:val="008065F0"/>
    <w:rsid w:val="008073A7"/>
    <w:rsid w:val="00810057"/>
    <w:rsid w:val="008107A0"/>
    <w:rsid w:val="00814156"/>
    <w:rsid w:val="0081507A"/>
    <w:rsid w:val="00816052"/>
    <w:rsid w:val="008169AF"/>
    <w:rsid w:val="00817612"/>
    <w:rsid w:val="0082007F"/>
    <w:rsid w:val="00821421"/>
    <w:rsid w:val="0082235D"/>
    <w:rsid w:val="00822E87"/>
    <w:rsid w:val="008236FA"/>
    <w:rsid w:val="0082481F"/>
    <w:rsid w:val="0082482D"/>
    <w:rsid w:val="008252F2"/>
    <w:rsid w:val="008254AC"/>
    <w:rsid w:val="00826F6F"/>
    <w:rsid w:val="00830417"/>
    <w:rsid w:val="00831402"/>
    <w:rsid w:val="00831BB9"/>
    <w:rsid w:val="00831DCC"/>
    <w:rsid w:val="008320AA"/>
    <w:rsid w:val="00832D3F"/>
    <w:rsid w:val="00832EE3"/>
    <w:rsid w:val="008338A4"/>
    <w:rsid w:val="0083404B"/>
    <w:rsid w:val="0083422F"/>
    <w:rsid w:val="00834C45"/>
    <w:rsid w:val="00835789"/>
    <w:rsid w:val="00835C0A"/>
    <w:rsid w:val="00835D0E"/>
    <w:rsid w:val="00836535"/>
    <w:rsid w:val="008365D7"/>
    <w:rsid w:val="00836F79"/>
    <w:rsid w:val="00837C45"/>
    <w:rsid w:val="00840331"/>
    <w:rsid w:val="008426BD"/>
    <w:rsid w:val="00842956"/>
    <w:rsid w:val="00842AE5"/>
    <w:rsid w:val="00842FC2"/>
    <w:rsid w:val="00843218"/>
    <w:rsid w:val="00844254"/>
    <w:rsid w:val="00844730"/>
    <w:rsid w:val="008448E0"/>
    <w:rsid w:val="008454BD"/>
    <w:rsid w:val="008457C2"/>
    <w:rsid w:val="00845B63"/>
    <w:rsid w:val="00846E01"/>
    <w:rsid w:val="00847971"/>
    <w:rsid w:val="00852593"/>
    <w:rsid w:val="00853203"/>
    <w:rsid w:val="00853838"/>
    <w:rsid w:val="00853AC7"/>
    <w:rsid w:val="00854385"/>
    <w:rsid w:val="00855F40"/>
    <w:rsid w:val="00857094"/>
    <w:rsid w:val="00857232"/>
    <w:rsid w:val="00857A82"/>
    <w:rsid w:val="008605D5"/>
    <w:rsid w:val="008619EA"/>
    <w:rsid w:val="008619FD"/>
    <w:rsid w:val="00861CD9"/>
    <w:rsid w:val="00862851"/>
    <w:rsid w:val="00863789"/>
    <w:rsid w:val="0086425F"/>
    <w:rsid w:val="008663E7"/>
    <w:rsid w:val="008665AC"/>
    <w:rsid w:val="00866ED4"/>
    <w:rsid w:val="008675C5"/>
    <w:rsid w:val="0087033A"/>
    <w:rsid w:val="00870744"/>
    <w:rsid w:val="00870E60"/>
    <w:rsid w:val="00871E95"/>
    <w:rsid w:val="00873836"/>
    <w:rsid w:val="00873ECA"/>
    <w:rsid w:val="00874779"/>
    <w:rsid w:val="00874D98"/>
    <w:rsid w:val="00875925"/>
    <w:rsid w:val="00876FA9"/>
    <w:rsid w:val="00880422"/>
    <w:rsid w:val="00882DB5"/>
    <w:rsid w:val="00882E29"/>
    <w:rsid w:val="00883BDE"/>
    <w:rsid w:val="0088471C"/>
    <w:rsid w:val="00884753"/>
    <w:rsid w:val="0088541A"/>
    <w:rsid w:val="00885737"/>
    <w:rsid w:val="0088593F"/>
    <w:rsid w:val="008859F3"/>
    <w:rsid w:val="00887718"/>
    <w:rsid w:val="00887BA6"/>
    <w:rsid w:val="008901D2"/>
    <w:rsid w:val="00890650"/>
    <w:rsid w:val="00890933"/>
    <w:rsid w:val="00890F92"/>
    <w:rsid w:val="00892FC4"/>
    <w:rsid w:val="00893EE3"/>
    <w:rsid w:val="00893F2E"/>
    <w:rsid w:val="00894C4C"/>
    <w:rsid w:val="00894F3B"/>
    <w:rsid w:val="0089653D"/>
    <w:rsid w:val="008967DE"/>
    <w:rsid w:val="00896B09"/>
    <w:rsid w:val="00897800"/>
    <w:rsid w:val="00897E12"/>
    <w:rsid w:val="008A0732"/>
    <w:rsid w:val="008A2444"/>
    <w:rsid w:val="008A3D74"/>
    <w:rsid w:val="008A4655"/>
    <w:rsid w:val="008A50FB"/>
    <w:rsid w:val="008A55C2"/>
    <w:rsid w:val="008A6259"/>
    <w:rsid w:val="008A6B1C"/>
    <w:rsid w:val="008A72F7"/>
    <w:rsid w:val="008A79FB"/>
    <w:rsid w:val="008A7E0F"/>
    <w:rsid w:val="008B12F5"/>
    <w:rsid w:val="008B1D85"/>
    <w:rsid w:val="008B201F"/>
    <w:rsid w:val="008B2241"/>
    <w:rsid w:val="008B23F3"/>
    <w:rsid w:val="008B2FE7"/>
    <w:rsid w:val="008B34E7"/>
    <w:rsid w:val="008B39DE"/>
    <w:rsid w:val="008B61DC"/>
    <w:rsid w:val="008B629D"/>
    <w:rsid w:val="008B67BE"/>
    <w:rsid w:val="008B6E30"/>
    <w:rsid w:val="008B7729"/>
    <w:rsid w:val="008B7F78"/>
    <w:rsid w:val="008C2FDC"/>
    <w:rsid w:val="008C46B4"/>
    <w:rsid w:val="008C4FE0"/>
    <w:rsid w:val="008C52F5"/>
    <w:rsid w:val="008C5467"/>
    <w:rsid w:val="008C56F0"/>
    <w:rsid w:val="008C6597"/>
    <w:rsid w:val="008C6F79"/>
    <w:rsid w:val="008C797F"/>
    <w:rsid w:val="008D0513"/>
    <w:rsid w:val="008D13D7"/>
    <w:rsid w:val="008D1C84"/>
    <w:rsid w:val="008D482A"/>
    <w:rsid w:val="008D4AE2"/>
    <w:rsid w:val="008D51D7"/>
    <w:rsid w:val="008D51D9"/>
    <w:rsid w:val="008D568C"/>
    <w:rsid w:val="008D6390"/>
    <w:rsid w:val="008D6835"/>
    <w:rsid w:val="008D6F5E"/>
    <w:rsid w:val="008D6F6C"/>
    <w:rsid w:val="008D6F7E"/>
    <w:rsid w:val="008D7623"/>
    <w:rsid w:val="008D768D"/>
    <w:rsid w:val="008D7CE2"/>
    <w:rsid w:val="008E0D8C"/>
    <w:rsid w:val="008E18A0"/>
    <w:rsid w:val="008E2620"/>
    <w:rsid w:val="008E2ED5"/>
    <w:rsid w:val="008E32A9"/>
    <w:rsid w:val="008E34F0"/>
    <w:rsid w:val="008E3546"/>
    <w:rsid w:val="008E3759"/>
    <w:rsid w:val="008E3F6C"/>
    <w:rsid w:val="008E4297"/>
    <w:rsid w:val="008E472E"/>
    <w:rsid w:val="008E4F45"/>
    <w:rsid w:val="008E5F70"/>
    <w:rsid w:val="008E6225"/>
    <w:rsid w:val="008E6D5F"/>
    <w:rsid w:val="008E7AC4"/>
    <w:rsid w:val="008F02E0"/>
    <w:rsid w:val="008F1912"/>
    <w:rsid w:val="008F2576"/>
    <w:rsid w:val="008F3BE3"/>
    <w:rsid w:val="008F4742"/>
    <w:rsid w:val="008F4B3D"/>
    <w:rsid w:val="008F5A1B"/>
    <w:rsid w:val="008F660E"/>
    <w:rsid w:val="0090005B"/>
    <w:rsid w:val="00900F5D"/>
    <w:rsid w:val="00901950"/>
    <w:rsid w:val="00901E17"/>
    <w:rsid w:val="0090270B"/>
    <w:rsid w:val="00903F12"/>
    <w:rsid w:val="009041DC"/>
    <w:rsid w:val="00904560"/>
    <w:rsid w:val="009070AA"/>
    <w:rsid w:val="00907219"/>
    <w:rsid w:val="00907BA7"/>
    <w:rsid w:val="009101E4"/>
    <w:rsid w:val="00910859"/>
    <w:rsid w:val="009108B0"/>
    <w:rsid w:val="00910EC5"/>
    <w:rsid w:val="00911254"/>
    <w:rsid w:val="009116F8"/>
    <w:rsid w:val="009126FF"/>
    <w:rsid w:val="009129E3"/>
    <w:rsid w:val="00912C9D"/>
    <w:rsid w:val="00913298"/>
    <w:rsid w:val="00914D41"/>
    <w:rsid w:val="00915825"/>
    <w:rsid w:val="00917B5A"/>
    <w:rsid w:val="009206A3"/>
    <w:rsid w:val="00920A58"/>
    <w:rsid w:val="00920A8C"/>
    <w:rsid w:val="00921085"/>
    <w:rsid w:val="00923A69"/>
    <w:rsid w:val="00923DFA"/>
    <w:rsid w:val="009251B7"/>
    <w:rsid w:val="00925682"/>
    <w:rsid w:val="00926B2E"/>
    <w:rsid w:val="00926F5B"/>
    <w:rsid w:val="00931711"/>
    <w:rsid w:val="00931B1B"/>
    <w:rsid w:val="00932027"/>
    <w:rsid w:val="00932525"/>
    <w:rsid w:val="00932B05"/>
    <w:rsid w:val="00932D0B"/>
    <w:rsid w:val="009334D7"/>
    <w:rsid w:val="00933AC1"/>
    <w:rsid w:val="00933E06"/>
    <w:rsid w:val="00934068"/>
    <w:rsid w:val="00934A2C"/>
    <w:rsid w:val="00935D03"/>
    <w:rsid w:val="0093758C"/>
    <w:rsid w:val="009376A6"/>
    <w:rsid w:val="0093770E"/>
    <w:rsid w:val="00937D44"/>
    <w:rsid w:val="00937D74"/>
    <w:rsid w:val="00937E12"/>
    <w:rsid w:val="009428C3"/>
    <w:rsid w:val="00942E12"/>
    <w:rsid w:val="00943198"/>
    <w:rsid w:val="00943C24"/>
    <w:rsid w:val="00944A82"/>
    <w:rsid w:val="00944A8B"/>
    <w:rsid w:val="00945B6A"/>
    <w:rsid w:val="0094622B"/>
    <w:rsid w:val="0094627F"/>
    <w:rsid w:val="00946DB1"/>
    <w:rsid w:val="0094734F"/>
    <w:rsid w:val="009474E4"/>
    <w:rsid w:val="00947B5D"/>
    <w:rsid w:val="00947CE7"/>
    <w:rsid w:val="00950554"/>
    <w:rsid w:val="00951AA1"/>
    <w:rsid w:val="00951B84"/>
    <w:rsid w:val="00951D59"/>
    <w:rsid w:val="00954C81"/>
    <w:rsid w:val="009554C4"/>
    <w:rsid w:val="0095554E"/>
    <w:rsid w:val="00955BE6"/>
    <w:rsid w:val="0095608F"/>
    <w:rsid w:val="009563AE"/>
    <w:rsid w:val="00960C53"/>
    <w:rsid w:val="00960EBF"/>
    <w:rsid w:val="00961031"/>
    <w:rsid w:val="0096286A"/>
    <w:rsid w:val="00962DA0"/>
    <w:rsid w:val="00965671"/>
    <w:rsid w:val="00966835"/>
    <w:rsid w:val="0096706E"/>
    <w:rsid w:val="00967117"/>
    <w:rsid w:val="009673CE"/>
    <w:rsid w:val="00970449"/>
    <w:rsid w:val="00970F68"/>
    <w:rsid w:val="00971601"/>
    <w:rsid w:val="00971DE8"/>
    <w:rsid w:val="009722D9"/>
    <w:rsid w:val="00972E3B"/>
    <w:rsid w:val="00972EE8"/>
    <w:rsid w:val="009744FF"/>
    <w:rsid w:val="009747A0"/>
    <w:rsid w:val="00975A70"/>
    <w:rsid w:val="00975C4E"/>
    <w:rsid w:val="0097628C"/>
    <w:rsid w:val="009763EE"/>
    <w:rsid w:val="00976495"/>
    <w:rsid w:val="009767A1"/>
    <w:rsid w:val="0097761C"/>
    <w:rsid w:val="00977D4F"/>
    <w:rsid w:val="0098056A"/>
    <w:rsid w:val="00980B2D"/>
    <w:rsid w:val="00981028"/>
    <w:rsid w:val="00981439"/>
    <w:rsid w:val="00981617"/>
    <w:rsid w:val="00981FBA"/>
    <w:rsid w:val="00982741"/>
    <w:rsid w:val="00982DA1"/>
    <w:rsid w:val="009837C0"/>
    <w:rsid w:val="00983FB0"/>
    <w:rsid w:val="00984EAC"/>
    <w:rsid w:val="00984F64"/>
    <w:rsid w:val="009873F0"/>
    <w:rsid w:val="009874FA"/>
    <w:rsid w:val="0099066E"/>
    <w:rsid w:val="009924AB"/>
    <w:rsid w:val="009951ED"/>
    <w:rsid w:val="009958A7"/>
    <w:rsid w:val="009975B1"/>
    <w:rsid w:val="00997BC5"/>
    <w:rsid w:val="009A09B5"/>
    <w:rsid w:val="009A1D69"/>
    <w:rsid w:val="009A3C3A"/>
    <w:rsid w:val="009A4052"/>
    <w:rsid w:val="009A4F41"/>
    <w:rsid w:val="009A501E"/>
    <w:rsid w:val="009A5135"/>
    <w:rsid w:val="009A673B"/>
    <w:rsid w:val="009A6B40"/>
    <w:rsid w:val="009B146B"/>
    <w:rsid w:val="009B1548"/>
    <w:rsid w:val="009B251D"/>
    <w:rsid w:val="009B2C66"/>
    <w:rsid w:val="009B381B"/>
    <w:rsid w:val="009B50F4"/>
    <w:rsid w:val="009B517B"/>
    <w:rsid w:val="009B53E0"/>
    <w:rsid w:val="009B6264"/>
    <w:rsid w:val="009B6A6C"/>
    <w:rsid w:val="009B6D80"/>
    <w:rsid w:val="009B6FF3"/>
    <w:rsid w:val="009B77C7"/>
    <w:rsid w:val="009B7863"/>
    <w:rsid w:val="009C0E96"/>
    <w:rsid w:val="009C17D6"/>
    <w:rsid w:val="009C26DD"/>
    <w:rsid w:val="009C2FC1"/>
    <w:rsid w:val="009C4A18"/>
    <w:rsid w:val="009C547A"/>
    <w:rsid w:val="009C5A06"/>
    <w:rsid w:val="009C5EB1"/>
    <w:rsid w:val="009C6319"/>
    <w:rsid w:val="009C6FA0"/>
    <w:rsid w:val="009C7D40"/>
    <w:rsid w:val="009D0330"/>
    <w:rsid w:val="009D09FF"/>
    <w:rsid w:val="009D1753"/>
    <w:rsid w:val="009D1C13"/>
    <w:rsid w:val="009D1F7A"/>
    <w:rsid w:val="009D23E0"/>
    <w:rsid w:val="009D2C8F"/>
    <w:rsid w:val="009D3D98"/>
    <w:rsid w:val="009D3F7C"/>
    <w:rsid w:val="009D4297"/>
    <w:rsid w:val="009D46F5"/>
    <w:rsid w:val="009D7083"/>
    <w:rsid w:val="009D7611"/>
    <w:rsid w:val="009D7C39"/>
    <w:rsid w:val="009D7F1F"/>
    <w:rsid w:val="009E0631"/>
    <w:rsid w:val="009E08C0"/>
    <w:rsid w:val="009E0B61"/>
    <w:rsid w:val="009E2396"/>
    <w:rsid w:val="009E3199"/>
    <w:rsid w:val="009E53DE"/>
    <w:rsid w:val="009E59F6"/>
    <w:rsid w:val="009E6791"/>
    <w:rsid w:val="009F0CD8"/>
    <w:rsid w:val="009F0DE7"/>
    <w:rsid w:val="009F1604"/>
    <w:rsid w:val="009F1D0C"/>
    <w:rsid w:val="009F2629"/>
    <w:rsid w:val="009F2A60"/>
    <w:rsid w:val="009F2C43"/>
    <w:rsid w:val="009F4101"/>
    <w:rsid w:val="009F4BDB"/>
    <w:rsid w:val="009F4F30"/>
    <w:rsid w:val="009F5554"/>
    <w:rsid w:val="009F5BF5"/>
    <w:rsid w:val="009F5D29"/>
    <w:rsid w:val="009F5DC3"/>
    <w:rsid w:val="009F652E"/>
    <w:rsid w:val="00A015DF"/>
    <w:rsid w:val="00A01A1D"/>
    <w:rsid w:val="00A01AD1"/>
    <w:rsid w:val="00A02030"/>
    <w:rsid w:val="00A03E03"/>
    <w:rsid w:val="00A0404E"/>
    <w:rsid w:val="00A0595B"/>
    <w:rsid w:val="00A0734E"/>
    <w:rsid w:val="00A07A66"/>
    <w:rsid w:val="00A07C81"/>
    <w:rsid w:val="00A10534"/>
    <w:rsid w:val="00A117EE"/>
    <w:rsid w:val="00A12B9E"/>
    <w:rsid w:val="00A1313C"/>
    <w:rsid w:val="00A133EE"/>
    <w:rsid w:val="00A1394A"/>
    <w:rsid w:val="00A13A59"/>
    <w:rsid w:val="00A13E4C"/>
    <w:rsid w:val="00A13F1D"/>
    <w:rsid w:val="00A1413B"/>
    <w:rsid w:val="00A148EA"/>
    <w:rsid w:val="00A14A9F"/>
    <w:rsid w:val="00A1526A"/>
    <w:rsid w:val="00A17476"/>
    <w:rsid w:val="00A176EF"/>
    <w:rsid w:val="00A21014"/>
    <w:rsid w:val="00A21035"/>
    <w:rsid w:val="00A21EF3"/>
    <w:rsid w:val="00A22EB0"/>
    <w:rsid w:val="00A23187"/>
    <w:rsid w:val="00A23208"/>
    <w:rsid w:val="00A25344"/>
    <w:rsid w:val="00A25710"/>
    <w:rsid w:val="00A267E3"/>
    <w:rsid w:val="00A26EAA"/>
    <w:rsid w:val="00A27118"/>
    <w:rsid w:val="00A27468"/>
    <w:rsid w:val="00A308DB"/>
    <w:rsid w:val="00A315E5"/>
    <w:rsid w:val="00A327AC"/>
    <w:rsid w:val="00A328B3"/>
    <w:rsid w:val="00A32BE5"/>
    <w:rsid w:val="00A3373F"/>
    <w:rsid w:val="00A359AD"/>
    <w:rsid w:val="00A35EED"/>
    <w:rsid w:val="00A36312"/>
    <w:rsid w:val="00A373C2"/>
    <w:rsid w:val="00A3745E"/>
    <w:rsid w:val="00A37B88"/>
    <w:rsid w:val="00A37C83"/>
    <w:rsid w:val="00A37D4D"/>
    <w:rsid w:val="00A37E34"/>
    <w:rsid w:val="00A37E9D"/>
    <w:rsid w:val="00A40D49"/>
    <w:rsid w:val="00A42088"/>
    <w:rsid w:val="00A42926"/>
    <w:rsid w:val="00A42A00"/>
    <w:rsid w:val="00A432EF"/>
    <w:rsid w:val="00A44952"/>
    <w:rsid w:val="00A451DF"/>
    <w:rsid w:val="00A456BB"/>
    <w:rsid w:val="00A4619B"/>
    <w:rsid w:val="00A470C5"/>
    <w:rsid w:val="00A472B7"/>
    <w:rsid w:val="00A47B23"/>
    <w:rsid w:val="00A50A67"/>
    <w:rsid w:val="00A50FCF"/>
    <w:rsid w:val="00A528D1"/>
    <w:rsid w:val="00A530E4"/>
    <w:rsid w:val="00A5412A"/>
    <w:rsid w:val="00A54ADD"/>
    <w:rsid w:val="00A54E90"/>
    <w:rsid w:val="00A55378"/>
    <w:rsid w:val="00A5575B"/>
    <w:rsid w:val="00A569E5"/>
    <w:rsid w:val="00A610CD"/>
    <w:rsid w:val="00A61289"/>
    <w:rsid w:val="00A634FB"/>
    <w:rsid w:val="00A64820"/>
    <w:rsid w:val="00A64987"/>
    <w:rsid w:val="00A65C3A"/>
    <w:rsid w:val="00A672A0"/>
    <w:rsid w:val="00A6731A"/>
    <w:rsid w:val="00A677A1"/>
    <w:rsid w:val="00A7101E"/>
    <w:rsid w:val="00A71090"/>
    <w:rsid w:val="00A718B1"/>
    <w:rsid w:val="00A71FA1"/>
    <w:rsid w:val="00A72B2E"/>
    <w:rsid w:val="00A747DC"/>
    <w:rsid w:val="00A75E2E"/>
    <w:rsid w:val="00A76C0A"/>
    <w:rsid w:val="00A76C95"/>
    <w:rsid w:val="00A77708"/>
    <w:rsid w:val="00A814EB"/>
    <w:rsid w:val="00A81B56"/>
    <w:rsid w:val="00A83007"/>
    <w:rsid w:val="00A84022"/>
    <w:rsid w:val="00A8409C"/>
    <w:rsid w:val="00A846F2"/>
    <w:rsid w:val="00A91E34"/>
    <w:rsid w:val="00A92FAA"/>
    <w:rsid w:val="00A933D2"/>
    <w:rsid w:val="00A93489"/>
    <w:rsid w:val="00A93DBA"/>
    <w:rsid w:val="00A95BEF"/>
    <w:rsid w:val="00A95E22"/>
    <w:rsid w:val="00A9658F"/>
    <w:rsid w:val="00A966E5"/>
    <w:rsid w:val="00A970ED"/>
    <w:rsid w:val="00A973FF"/>
    <w:rsid w:val="00A97FE3"/>
    <w:rsid w:val="00AA09A2"/>
    <w:rsid w:val="00AA0CCE"/>
    <w:rsid w:val="00AA1552"/>
    <w:rsid w:val="00AA241A"/>
    <w:rsid w:val="00AA3EC4"/>
    <w:rsid w:val="00AA414C"/>
    <w:rsid w:val="00AA53FE"/>
    <w:rsid w:val="00AA5BEE"/>
    <w:rsid w:val="00AA6610"/>
    <w:rsid w:val="00AA6612"/>
    <w:rsid w:val="00AA6AF2"/>
    <w:rsid w:val="00AA7251"/>
    <w:rsid w:val="00AA7996"/>
    <w:rsid w:val="00AB1D64"/>
    <w:rsid w:val="00AB2451"/>
    <w:rsid w:val="00AB2D97"/>
    <w:rsid w:val="00AB3206"/>
    <w:rsid w:val="00AB3AC4"/>
    <w:rsid w:val="00AB4022"/>
    <w:rsid w:val="00AB4698"/>
    <w:rsid w:val="00AB6457"/>
    <w:rsid w:val="00AC00F7"/>
    <w:rsid w:val="00AC0CEB"/>
    <w:rsid w:val="00AC0E8A"/>
    <w:rsid w:val="00AC19CB"/>
    <w:rsid w:val="00AC27EA"/>
    <w:rsid w:val="00AC2F2D"/>
    <w:rsid w:val="00AC37A5"/>
    <w:rsid w:val="00AC47AD"/>
    <w:rsid w:val="00AC56E3"/>
    <w:rsid w:val="00AC69E7"/>
    <w:rsid w:val="00AC7A06"/>
    <w:rsid w:val="00AD076F"/>
    <w:rsid w:val="00AD1243"/>
    <w:rsid w:val="00AD1981"/>
    <w:rsid w:val="00AD1B2D"/>
    <w:rsid w:val="00AD3894"/>
    <w:rsid w:val="00AD439F"/>
    <w:rsid w:val="00AD574A"/>
    <w:rsid w:val="00AD5836"/>
    <w:rsid w:val="00AD58FF"/>
    <w:rsid w:val="00AD77C6"/>
    <w:rsid w:val="00AD7FB5"/>
    <w:rsid w:val="00AE0053"/>
    <w:rsid w:val="00AE0351"/>
    <w:rsid w:val="00AE23DE"/>
    <w:rsid w:val="00AE2E86"/>
    <w:rsid w:val="00AE51CC"/>
    <w:rsid w:val="00AE5488"/>
    <w:rsid w:val="00AE5C1A"/>
    <w:rsid w:val="00AE636F"/>
    <w:rsid w:val="00AE6F91"/>
    <w:rsid w:val="00AE7B60"/>
    <w:rsid w:val="00AF12C0"/>
    <w:rsid w:val="00AF135C"/>
    <w:rsid w:val="00AF40B0"/>
    <w:rsid w:val="00AF45FC"/>
    <w:rsid w:val="00AF5149"/>
    <w:rsid w:val="00AF550B"/>
    <w:rsid w:val="00AF5571"/>
    <w:rsid w:val="00AF6003"/>
    <w:rsid w:val="00AF6B4C"/>
    <w:rsid w:val="00AF6D58"/>
    <w:rsid w:val="00AF6F28"/>
    <w:rsid w:val="00B00A90"/>
    <w:rsid w:val="00B01AFB"/>
    <w:rsid w:val="00B0250C"/>
    <w:rsid w:val="00B025F3"/>
    <w:rsid w:val="00B02B46"/>
    <w:rsid w:val="00B03079"/>
    <w:rsid w:val="00B03B82"/>
    <w:rsid w:val="00B04DF0"/>
    <w:rsid w:val="00B04F5D"/>
    <w:rsid w:val="00B05A7A"/>
    <w:rsid w:val="00B07341"/>
    <w:rsid w:val="00B0756F"/>
    <w:rsid w:val="00B07997"/>
    <w:rsid w:val="00B1081F"/>
    <w:rsid w:val="00B13074"/>
    <w:rsid w:val="00B136C9"/>
    <w:rsid w:val="00B142A3"/>
    <w:rsid w:val="00B142A9"/>
    <w:rsid w:val="00B14E67"/>
    <w:rsid w:val="00B15DCE"/>
    <w:rsid w:val="00B1632C"/>
    <w:rsid w:val="00B17EC8"/>
    <w:rsid w:val="00B22344"/>
    <w:rsid w:val="00B2243F"/>
    <w:rsid w:val="00B22F7D"/>
    <w:rsid w:val="00B23582"/>
    <w:rsid w:val="00B2369D"/>
    <w:rsid w:val="00B23DA2"/>
    <w:rsid w:val="00B2419B"/>
    <w:rsid w:val="00B25010"/>
    <w:rsid w:val="00B26581"/>
    <w:rsid w:val="00B26882"/>
    <w:rsid w:val="00B26C2B"/>
    <w:rsid w:val="00B26FEB"/>
    <w:rsid w:val="00B273D7"/>
    <w:rsid w:val="00B30064"/>
    <w:rsid w:val="00B30539"/>
    <w:rsid w:val="00B314DB"/>
    <w:rsid w:val="00B316C5"/>
    <w:rsid w:val="00B31EE1"/>
    <w:rsid w:val="00B31F2B"/>
    <w:rsid w:val="00B3255A"/>
    <w:rsid w:val="00B32C96"/>
    <w:rsid w:val="00B33225"/>
    <w:rsid w:val="00B335E5"/>
    <w:rsid w:val="00B361F2"/>
    <w:rsid w:val="00B3629B"/>
    <w:rsid w:val="00B3718B"/>
    <w:rsid w:val="00B372FB"/>
    <w:rsid w:val="00B37E03"/>
    <w:rsid w:val="00B4054D"/>
    <w:rsid w:val="00B4112A"/>
    <w:rsid w:val="00B4307A"/>
    <w:rsid w:val="00B43486"/>
    <w:rsid w:val="00B44357"/>
    <w:rsid w:val="00B45193"/>
    <w:rsid w:val="00B451C9"/>
    <w:rsid w:val="00B4632A"/>
    <w:rsid w:val="00B46C2E"/>
    <w:rsid w:val="00B4725F"/>
    <w:rsid w:val="00B504FA"/>
    <w:rsid w:val="00B50E58"/>
    <w:rsid w:val="00B50E6F"/>
    <w:rsid w:val="00B50ED4"/>
    <w:rsid w:val="00B510A1"/>
    <w:rsid w:val="00B51772"/>
    <w:rsid w:val="00B51F9B"/>
    <w:rsid w:val="00B530F1"/>
    <w:rsid w:val="00B55403"/>
    <w:rsid w:val="00B560B7"/>
    <w:rsid w:val="00B579F9"/>
    <w:rsid w:val="00B61B3F"/>
    <w:rsid w:val="00B62015"/>
    <w:rsid w:val="00B62390"/>
    <w:rsid w:val="00B62E2A"/>
    <w:rsid w:val="00B63C05"/>
    <w:rsid w:val="00B63C5A"/>
    <w:rsid w:val="00B6412A"/>
    <w:rsid w:val="00B67442"/>
    <w:rsid w:val="00B67E3E"/>
    <w:rsid w:val="00B67EF0"/>
    <w:rsid w:val="00B71238"/>
    <w:rsid w:val="00B71B7A"/>
    <w:rsid w:val="00B72D66"/>
    <w:rsid w:val="00B732DC"/>
    <w:rsid w:val="00B748DB"/>
    <w:rsid w:val="00B77418"/>
    <w:rsid w:val="00B80D21"/>
    <w:rsid w:val="00B8106B"/>
    <w:rsid w:val="00B81953"/>
    <w:rsid w:val="00B82117"/>
    <w:rsid w:val="00B8212C"/>
    <w:rsid w:val="00B8275E"/>
    <w:rsid w:val="00B85F5A"/>
    <w:rsid w:val="00B86542"/>
    <w:rsid w:val="00B873F3"/>
    <w:rsid w:val="00B87B71"/>
    <w:rsid w:val="00B87DF7"/>
    <w:rsid w:val="00B87F94"/>
    <w:rsid w:val="00B902D6"/>
    <w:rsid w:val="00B907B7"/>
    <w:rsid w:val="00B908BB"/>
    <w:rsid w:val="00B91612"/>
    <w:rsid w:val="00B91978"/>
    <w:rsid w:val="00B91F03"/>
    <w:rsid w:val="00B922CB"/>
    <w:rsid w:val="00B92D1E"/>
    <w:rsid w:val="00B92D24"/>
    <w:rsid w:val="00B93433"/>
    <w:rsid w:val="00B949A4"/>
    <w:rsid w:val="00B968A0"/>
    <w:rsid w:val="00B97BB1"/>
    <w:rsid w:val="00BA0CD8"/>
    <w:rsid w:val="00BA0E92"/>
    <w:rsid w:val="00BA14F4"/>
    <w:rsid w:val="00BA1653"/>
    <w:rsid w:val="00BA205D"/>
    <w:rsid w:val="00BA2278"/>
    <w:rsid w:val="00BA231A"/>
    <w:rsid w:val="00BA24E6"/>
    <w:rsid w:val="00BA276C"/>
    <w:rsid w:val="00BA476F"/>
    <w:rsid w:val="00BA49C0"/>
    <w:rsid w:val="00BA516F"/>
    <w:rsid w:val="00BA7881"/>
    <w:rsid w:val="00BB24BF"/>
    <w:rsid w:val="00BB2D68"/>
    <w:rsid w:val="00BB306F"/>
    <w:rsid w:val="00BB3B27"/>
    <w:rsid w:val="00BB4A6A"/>
    <w:rsid w:val="00BB4DF5"/>
    <w:rsid w:val="00BB5844"/>
    <w:rsid w:val="00BB61E8"/>
    <w:rsid w:val="00BB6415"/>
    <w:rsid w:val="00BB641E"/>
    <w:rsid w:val="00BB66E5"/>
    <w:rsid w:val="00BB6DDF"/>
    <w:rsid w:val="00BB74A3"/>
    <w:rsid w:val="00BB76F4"/>
    <w:rsid w:val="00BB7A6D"/>
    <w:rsid w:val="00BC001A"/>
    <w:rsid w:val="00BC09F7"/>
    <w:rsid w:val="00BC137A"/>
    <w:rsid w:val="00BC25C9"/>
    <w:rsid w:val="00BC3E63"/>
    <w:rsid w:val="00BC4633"/>
    <w:rsid w:val="00BC5020"/>
    <w:rsid w:val="00BC60F3"/>
    <w:rsid w:val="00BC63CE"/>
    <w:rsid w:val="00BC649D"/>
    <w:rsid w:val="00BC71B6"/>
    <w:rsid w:val="00BC7FEF"/>
    <w:rsid w:val="00BD0AA9"/>
    <w:rsid w:val="00BD1362"/>
    <w:rsid w:val="00BD13F3"/>
    <w:rsid w:val="00BD16ED"/>
    <w:rsid w:val="00BD1BE7"/>
    <w:rsid w:val="00BD211F"/>
    <w:rsid w:val="00BD272D"/>
    <w:rsid w:val="00BD2D46"/>
    <w:rsid w:val="00BD41EA"/>
    <w:rsid w:val="00BD4B89"/>
    <w:rsid w:val="00BD53F4"/>
    <w:rsid w:val="00BD561A"/>
    <w:rsid w:val="00BD592B"/>
    <w:rsid w:val="00BD68CB"/>
    <w:rsid w:val="00BD6AD8"/>
    <w:rsid w:val="00BD7A28"/>
    <w:rsid w:val="00BD7B16"/>
    <w:rsid w:val="00BE0177"/>
    <w:rsid w:val="00BE027A"/>
    <w:rsid w:val="00BE12F1"/>
    <w:rsid w:val="00BE247A"/>
    <w:rsid w:val="00BE2AA1"/>
    <w:rsid w:val="00BE2C1C"/>
    <w:rsid w:val="00BE2E9E"/>
    <w:rsid w:val="00BE3226"/>
    <w:rsid w:val="00BE3B06"/>
    <w:rsid w:val="00BE6656"/>
    <w:rsid w:val="00BE736C"/>
    <w:rsid w:val="00BE7610"/>
    <w:rsid w:val="00BE7801"/>
    <w:rsid w:val="00BF0143"/>
    <w:rsid w:val="00BF1F1F"/>
    <w:rsid w:val="00BF2719"/>
    <w:rsid w:val="00BF2812"/>
    <w:rsid w:val="00BF2B45"/>
    <w:rsid w:val="00BF3DB4"/>
    <w:rsid w:val="00BF45A9"/>
    <w:rsid w:val="00BF4DDB"/>
    <w:rsid w:val="00BF4DF9"/>
    <w:rsid w:val="00BF5535"/>
    <w:rsid w:val="00BF5549"/>
    <w:rsid w:val="00BF6A3F"/>
    <w:rsid w:val="00BF6B72"/>
    <w:rsid w:val="00BF6E33"/>
    <w:rsid w:val="00BF6FD8"/>
    <w:rsid w:val="00C00509"/>
    <w:rsid w:val="00C008E2"/>
    <w:rsid w:val="00C0255A"/>
    <w:rsid w:val="00C03680"/>
    <w:rsid w:val="00C038C8"/>
    <w:rsid w:val="00C047FA"/>
    <w:rsid w:val="00C05166"/>
    <w:rsid w:val="00C051A8"/>
    <w:rsid w:val="00C054DF"/>
    <w:rsid w:val="00C109F3"/>
    <w:rsid w:val="00C10E4E"/>
    <w:rsid w:val="00C11881"/>
    <w:rsid w:val="00C11957"/>
    <w:rsid w:val="00C11C19"/>
    <w:rsid w:val="00C11E4D"/>
    <w:rsid w:val="00C121EE"/>
    <w:rsid w:val="00C12B2A"/>
    <w:rsid w:val="00C12B7E"/>
    <w:rsid w:val="00C138CF"/>
    <w:rsid w:val="00C1489A"/>
    <w:rsid w:val="00C14E6C"/>
    <w:rsid w:val="00C15B94"/>
    <w:rsid w:val="00C15ED5"/>
    <w:rsid w:val="00C16744"/>
    <w:rsid w:val="00C16EA5"/>
    <w:rsid w:val="00C1705B"/>
    <w:rsid w:val="00C17CC7"/>
    <w:rsid w:val="00C20D38"/>
    <w:rsid w:val="00C210CE"/>
    <w:rsid w:val="00C2111D"/>
    <w:rsid w:val="00C21165"/>
    <w:rsid w:val="00C21762"/>
    <w:rsid w:val="00C21F30"/>
    <w:rsid w:val="00C23A8E"/>
    <w:rsid w:val="00C24543"/>
    <w:rsid w:val="00C248F1"/>
    <w:rsid w:val="00C24AB0"/>
    <w:rsid w:val="00C24B7D"/>
    <w:rsid w:val="00C25077"/>
    <w:rsid w:val="00C256A2"/>
    <w:rsid w:val="00C25C73"/>
    <w:rsid w:val="00C261A7"/>
    <w:rsid w:val="00C2652C"/>
    <w:rsid w:val="00C3013C"/>
    <w:rsid w:val="00C3154D"/>
    <w:rsid w:val="00C3155B"/>
    <w:rsid w:val="00C31914"/>
    <w:rsid w:val="00C32C65"/>
    <w:rsid w:val="00C3317C"/>
    <w:rsid w:val="00C337A1"/>
    <w:rsid w:val="00C338FF"/>
    <w:rsid w:val="00C33F49"/>
    <w:rsid w:val="00C34B42"/>
    <w:rsid w:val="00C34F95"/>
    <w:rsid w:val="00C359B6"/>
    <w:rsid w:val="00C35F94"/>
    <w:rsid w:val="00C36E53"/>
    <w:rsid w:val="00C40FC1"/>
    <w:rsid w:val="00C417DB"/>
    <w:rsid w:val="00C41CF4"/>
    <w:rsid w:val="00C41FBB"/>
    <w:rsid w:val="00C44E82"/>
    <w:rsid w:val="00C45600"/>
    <w:rsid w:val="00C45F94"/>
    <w:rsid w:val="00C476C5"/>
    <w:rsid w:val="00C5034A"/>
    <w:rsid w:val="00C5072E"/>
    <w:rsid w:val="00C51515"/>
    <w:rsid w:val="00C51703"/>
    <w:rsid w:val="00C5241B"/>
    <w:rsid w:val="00C52848"/>
    <w:rsid w:val="00C541CD"/>
    <w:rsid w:val="00C548FB"/>
    <w:rsid w:val="00C55B98"/>
    <w:rsid w:val="00C5660B"/>
    <w:rsid w:val="00C57DF2"/>
    <w:rsid w:val="00C60574"/>
    <w:rsid w:val="00C61356"/>
    <w:rsid w:val="00C61A94"/>
    <w:rsid w:val="00C62091"/>
    <w:rsid w:val="00C62DEB"/>
    <w:rsid w:val="00C64925"/>
    <w:rsid w:val="00C6528F"/>
    <w:rsid w:val="00C6536A"/>
    <w:rsid w:val="00C668AD"/>
    <w:rsid w:val="00C66B72"/>
    <w:rsid w:val="00C70227"/>
    <w:rsid w:val="00C708C6"/>
    <w:rsid w:val="00C7315B"/>
    <w:rsid w:val="00C736F7"/>
    <w:rsid w:val="00C73A14"/>
    <w:rsid w:val="00C74BB3"/>
    <w:rsid w:val="00C74EE1"/>
    <w:rsid w:val="00C75392"/>
    <w:rsid w:val="00C759F7"/>
    <w:rsid w:val="00C75BEB"/>
    <w:rsid w:val="00C77533"/>
    <w:rsid w:val="00C8003C"/>
    <w:rsid w:val="00C8031A"/>
    <w:rsid w:val="00C80785"/>
    <w:rsid w:val="00C80BFE"/>
    <w:rsid w:val="00C83080"/>
    <w:rsid w:val="00C83A44"/>
    <w:rsid w:val="00C83E17"/>
    <w:rsid w:val="00C83EC2"/>
    <w:rsid w:val="00C84589"/>
    <w:rsid w:val="00C85041"/>
    <w:rsid w:val="00C854CC"/>
    <w:rsid w:val="00C87282"/>
    <w:rsid w:val="00C87F01"/>
    <w:rsid w:val="00C90AD9"/>
    <w:rsid w:val="00C91409"/>
    <w:rsid w:val="00C91489"/>
    <w:rsid w:val="00C937B7"/>
    <w:rsid w:val="00C9567A"/>
    <w:rsid w:val="00C9654E"/>
    <w:rsid w:val="00C9761E"/>
    <w:rsid w:val="00CA2E8A"/>
    <w:rsid w:val="00CA3D21"/>
    <w:rsid w:val="00CA4BC6"/>
    <w:rsid w:val="00CA5890"/>
    <w:rsid w:val="00CA6570"/>
    <w:rsid w:val="00CA6F94"/>
    <w:rsid w:val="00CA7646"/>
    <w:rsid w:val="00CA7F33"/>
    <w:rsid w:val="00CB0924"/>
    <w:rsid w:val="00CB18FF"/>
    <w:rsid w:val="00CB1C47"/>
    <w:rsid w:val="00CB212D"/>
    <w:rsid w:val="00CB244E"/>
    <w:rsid w:val="00CB24E8"/>
    <w:rsid w:val="00CB2660"/>
    <w:rsid w:val="00CB32D0"/>
    <w:rsid w:val="00CB35FD"/>
    <w:rsid w:val="00CB5143"/>
    <w:rsid w:val="00CB6F6F"/>
    <w:rsid w:val="00CB7482"/>
    <w:rsid w:val="00CC0D66"/>
    <w:rsid w:val="00CC1546"/>
    <w:rsid w:val="00CC2753"/>
    <w:rsid w:val="00CC2AAB"/>
    <w:rsid w:val="00CC3A9C"/>
    <w:rsid w:val="00CC3F93"/>
    <w:rsid w:val="00CC5BEE"/>
    <w:rsid w:val="00CC5E90"/>
    <w:rsid w:val="00CC6980"/>
    <w:rsid w:val="00CC7BF3"/>
    <w:rsid w:val="00CD046C"/>
    <w:rsid w:val="00CD0496"/>
    <w:rsid w:val="00CD202E"/>
    <w:rsid w:val="00CD2125"/>
    <w:rsid w:val="00CD21A5"/>
    <w:rsid w:val="00CD297F"/>
    <w:rsid w:val="00CD33A4"/>
    <w:rsid w:val="00CD38A3"/>
    <w:rsid w:val="00CD46D2"/>
    <w:rsid w:val="00CD5EAC"/>
    <w:rsid w:val="00CD62D5"/>
    <w:rsid w:val="00CD7946"/>
    <w:rsid w:val="00CD796E"/>
    <w:rsid w:val="00CE06F4"/>
    <w:rsid w:val="00CE0718"/>
    <w:rsid w:val="00CE076C"/>
    <w:rsid w:val="00CE0872"/>
    <w:rsid w:val="00CE0B39"/>
    <w:rsid w:val="00CE1187"/>
    <w:rsid w:val="00CE1221"/>
    <w:rsid w:val="00CE1FBD"/>
    <w:rsid w:val="00CE2348"/>
    <w:rsid w:val="00CE4628"/>
    <w:rsid w:val="00CE4B35"/>
    <w:rsid w:val="00CE5199"/>
    <w:rsid w:val="00CE66D5"/>
    <w:rsid w:val="00CE6A39"/>
    <w:rsid w:val="00CE6E41"/>
    <w:rsid w:val="00CE713D"/>
    <w:rsid w:val="00CE74BB"/>
    <w:rsid w:val="00CE7B45"/>
    <w:rsid w:val="00CF0D75"/>
    <w:rsid w:val="00CF123B"/>
    <w:rsid w:val="00CF16E0"/>
    <w:rsid w:val="00CF2562"/>
    <w:rsid w:val="00CF381A"/>
    <w:rsid w:val="00CF4B40"/>
    <w:rsid w:val="00CF5051"/>
    <w:rsid w:val="00CF5396"/>
    <w:rsid w:val="00CF637A"/>
    <w:rsid w:val="00CF6B91"/>
    <w:rsid w:val="00CF7249"/>
    <w:rsid w:val="00D00D8A"/>
    <w:rsid w:val="00D01F88"/>
    <w:rsid w:val="00D02207"/>
    <w:rsid w:val="00D02250"/>
    <w:rsid w:val="00D0274C"/>
    <w:rsid w:val="00D02F1E"/>
    <w:rsid w:val="00D059DE"/>
    <w:rsid w:val="00D06331"/>
    <w:rsid w:val="00D067A9"/>
    <w:rsid w:val="00D071A3"/>
    <w:rsid w:val="00D11727"/>
    <w:rsid w:val="00D121B3"/>
    <w:rsid w:val="00D13366"/>
    <w:rsid w:val="00D138A3"/>
    <w:rsid w:val="00D13FCE"/>
    <w:rsid w:val="00D1458C"/>
    <w:rsid w:val="00D14C4B"/>
    <w:rsid w:val="00D16323"/>
    <w:rsid w:val="00D16B8C"/>
    <w:rsid w:val="00D1721A"/>
    <w:rsid w:val="00D174F4"/>
    <w:rsid w:val="00D17574"/>
    <w:rsid w:val="00D20816"/>
    <w:rsid w:val="00D216CE"/>
    <w:rsid w:val="00D21B8F"/>
    <w:rsid w:val="00D22BC6"/>
    <w:rsid w:val="00D236CA"/>
    <w:rsid w:val="00D24845"/>
    <w:rsid w:val="00D24E03"/>
    <w:rsid w:val="00D255CB"/>
    <w:rsid w:val="00D25642"/>
    <w:rsid w:val="00D26534"/>
    <w:rsid w:val="00D275FD"/>
    <w:rsid w:val="00D306D1"/>
    <w:rsid w:val="00D30782"/>
    <w:rsid w:val="00D30793"/>
    <w:rsid w:val="00D30F77"/>
    <w:rsid w:val="00D31A7B"/>
    <w:rsid w:val="00D3280E"/>
    <w:rsid w:val="00D33B8D"/>
    <w:rsid w:val="00D34786"/>
    <w:rsid w:val="00D351E3"/>
    <w:rsid w:val="00D35833"/>
    <w:rsid w:val="00D36BE9"/>
    <w:rsid w:val="00D37BFC"/>
    <w:rsid w:val="00D40E1A"/>
    <w:rsid w:val="00D41130"/>
    <w:rsid w:val="00D4143B"/>
    <w:rsid w:val="00D41577"/>
    <w:rsid w:val="00D4457B"/>
    <w:rsid w:val="00D44F28"/>
    <w:rsid w:val="00D4664A"/>
    <w:rsid w:val="00D46A5B"/>
    <w:rsid w:val="00D46C86"/>
    <w:rsid w:val="00D47A8E"/>
    <w:rsid w:val="00D47BF3"/>
    <w:rsid w:val="00D50078"/>
    <w:rsid w:val="00D508EB"/>
    <w:rsid w:val="00D512F5"/>
    <w:rsid w:val="00D52D14"/>
    <w:rsid w:val="00D53C8F"/>
    <w:rsid w:val="00D53D45"/>
    <w:rsid w:val="00D546CD"/>
    <w:rsid w:val="00D552B6"/>
    <w:rsid w:val="00D55667"/>
    <w:rsid w:val="00D55ABD"/>
    <w:rsid w:val="00D56EC5"/>
    <w:rsid w:val="00D57A8B"/>
    <w:rsid w:val="00D57E8F"/>
    <w:rsid w:val="00D61E57"/>
    <w:rsid w:val="00D621C1"/>
    <w:rsid w:val="00D62B81"/>
    <w:rsid w:val="00D635DE"/>
    <w:rsid w:val="00D63AEC"/>
    <w:rsid w:val="00D640A6"/>
    <w:rsid w:val="00D702F7"/>
    <w:rsid w:val="00D7081F"/>
    <w:rsid w:val="00D70CC2"/>
    <w:rsid w:val="00D712D3"/>
    <w:rsid w:val="00D71422"/>
    <w:rsid w:val="00D72914"/>
    <w:rsid w:val="00D72DC6"/>
    <w:rsid w:val="00D73093"/>
    <w:rsid w:val="00D731B4"/>
    <w:rsid w:val="00D733A0"/>
    <w:rsid w:val="00D7384C"/>
    <w:rsid w:val="00D74731"/>
    <w:rsid w:val="00D75438"/>
    <w:rsid w:val="00D7558D"/>
    <w:rsid w:val="00D7605B"/>
    <w:rsid w:val="00D77A97"/>
    <w:rsid w:val="00D81D92"/>
    <w:rsid w:val="00D82663"/>
    <w:rsid w:val="00D8343A"/>
    <w:rsid w:val="00D83AA6"/>
    <w:rsid w:val="00D84F02"/>
    <w:rsid w:val="00D8587B"/>
    <w:rsid w:val="00D85EC6"/>
    <w:rsid w:val="00D85FF3"/>
    <w:rsid w:val="00D869A9"/>
    <w:rsid w:val="00D86AEC"/>
    <w:rsid w:val="00D90973"/>
    <w:rsid w:val="00D90DA1"/>
    <w:rsid w:val="00D910AF"/>
    <w:rsid w:val="00D91E02"/>
    <w:rsid w:val="00D920CB"/>
    <w:rsid w:val="00D92112"/>
    <w:rsid w:val="00D92886"/>
    <w:rsid w:val="00D93143"/>
    <w:rsid w:val="00D936F8"/>
    <w:rsid w:val="00D93A74"/>
    <w:rsid w:val="00D95C4D"/>
    <w:rsid w:val="00D963C6"/>
    <w:rsid w:val="00D971AC"/>
    <w:rsid w:val="00DA0374"/>
    <w:rsid w:val="00DA0BAC"/>
    <w:rsid w:val="00DA18D3"/>
    <w:rsid w:val="00DA1E5D"/>
    <w:rsid w:val="00DA1FAC"/>
    <w:rsid w:val="00DA2F9B"/>
    <w:rsid w:val="00DA33F2"/>
    <w:rsid w:val="00DA50CC"/>
    <w:rsid w:val="00DA5370"/>
    <w:rsid w:val="00DA7333"/>
    <w:rsid w:val="00DA7701"/>
    <w:rsid w:val="00DA7B5F"/>
    <w:rsid w:val="00DB1956"/>
    <w:rsid w:val="00DB2D39"/>
    <w:rsid w:val="00DB32A7"/>
    <w:rsid w:val="00DB3C79"/>
    <w:rsid w:val="00DB43BD"/>
    <w:rsid w:val="00DB48C0"/>
    <w:rsid w:val="00DB7B6A"/>
    <w:rsid w:val="00DC11E7"/>
    <w:rsid w:val="00DC161F"/>
    <w:rsid w:val="00DC2B29"/>
    <w:rsid w:val="00DC2C94"/>
    <w:rsid w:val="00DC4B4E"/>
    <w:rsid w:val="00DC55E5"/>
    <w:rsid w:val="00DC5E63"/>
    <w:rsid w:val="00DC5EAA"/>
    <w:rsid w:val="00DC6914"/>
    <w:rsid w:val="00DC7023"/>
    <w:rsid w:val="00DC7165"/>
    <w:rsid w:val="00DC7207"/>
    <w:rsid w:val="00DC769A"/>
    <w:rsid w:val="00DD2791"/>
    <w:rsid w:val="00DD305A"/>
    <w:rsid w:val="00DD376C"/>
    <w:rsid w:val="00DD3D86"/>
    <w:rsid w:val="00DD5F78"/>
    <w:rsid w:val="00DD661A"/>
    <w:rsid w:val="00DD776E"/>
    <w:rsid w:val="00DD7AEB"/>
    <w:rsid w:val="00DE0296"/>
    <w:rsid w:val="00DE0AD4"/>
    <w:rsid w:val="00DE0AED"/>
    <w:rsid w:val="00DE0E0A"/>
    <w:rsid w:val="00DE1BB6"/>
    <w:rsid w:val="00DE20A1"/>
    <w:rsid w:val="00DE3EE1"/>
    <w:rsid w:val="00DE410F"/>
    <w:rsid w:val="00DE4993"/>
    <w:rsid w:val="00DE4C68"/>
    <w:rsid w:val="00DE4F00"/>
    <w:rsid w:val="00DE5DD2"/>
    <w:rsid w:val="00DE6BF9"/>
    <w:rsid w:val="00DE6F38"/>
    <w:rsid w:val="00DE7123"/>
    <w:rsid w:val="00DE75D2"/>
    <w:rsid w:val="00DF0B3E"/>
    <w:rsid w:val="00DF1EC4"/>
    <w:rsid w:val="00DF220A"/>
    <w:rsid w:val="00DF275E"/>
    <w:rsid w:val="00DF45DB"/>
    <w:rsid w:val="00DF4763"/>
    <w:rsid w:val="00DF4A02"/>
    <w:rsid w:val="00DF5DA3"/>
    <w:rsid w:val="00DF6282"/>
    <w:rsid w:val="00DF7E3B"/>
    <w:rsid w:val="00E00770"/>
    <w:rsid w:val="00E00B1C"/>
    <w:rsid w:val="00E01A06"/>
    <w:rsid w:val="00E01A69"/>
    <w:rsid w:val="00E0340B"/>
    <w:rsid w:val="00E037F5"/>
    <w:rsid w:val="00E043D8"/>
    <w:rsid w:val="00E04A90"/>
    <w:rsid w:val="00E053BC"/>
    <w:rsid w:val="00E06253"/>
    <w:rsid w:val="00E06E03"/>
    <w:rsid w:val="00E06FF6"/>
    <w:rsid w:val="00E07680"/>
    <w:rsid w:val="00E07BAE"/>
    <w:rsid w:val="00E07DCF"/>
    <w:rsid w:val="00E1075B"/>
    <w:rsid w:val="00E11766"/>
    <w:rsid w:val="00E1318B"/>
    <w:rsid w:val="00E13776"/>
    <w:rsid w:val="00E1382B"/>
    <w:rsid w:val="00E13F54"/>
    <w:rsid w:val="00E155B7"/>
    <w:rsid w:val="00E158D8"/>
    <w:rsid w:val="00E15D9A"/>
    <w:rsid w:val="00E16CE2"/>
    <w:rsid w:val="00E17059"/>
    <w:rsid w:val="00E201E0"/>
    <w:rsid w:val="00E20ED6"/>
    <w:rsid w:val="00E219C7"/>
    <w:rsid w:val="00E22FBE"/>
    <w:rsid w:val="00E23F30"/>
    <w:rsid w:val="00E25967"/>
    <w:rsid w:val="00E25DE9"/>
    <w:rsid w:val="00E26121"/>
    <w:rsid w:val="00E26B66"/>
    <w:rsid w:val="00E274DD"/>
    <w:rsid w:val="00E307E0"/>
    <w:rsid w:val="00E31C49"/>
    <w:rsid w:val="00E31EB7"/>
    <w:rsid w:val="00E33834"/>
    <w:rsid w:val="00E33850"/>
    <w:rsid w:val="00E33924"/>
    <w:rsid w:val="00E33EDD"/>
    <w:rsid w:val="00E355DF"/>
    <w:rsid w:val="00E36AA7"/>
    <w:rsid w:val="00E36BFA"/>
    <w:rsid w:val="00E37053"/>
    <w:rsid w:val="00E37848"/>
    <w:rsid w:val="00E37A75"/>
    <w:rsid w:val="00E40FFB"/>
    <w:rsid w:val="00E4192E"/>
    <w:rsid w:val="00E42296"/>
    <w:rsid w:val="00E42AF7"/>
    <w:rsid w:val="00E42FE3"/>
    <w:rsid w:val="00E43157"/>
    <w:rsid w:val="00E4315B"/>
    <w:rsid w:val="00E446D0"/>
    <w:rsid w:val="00E44CA0"/>
    <w:rsid w:val="00E45E88"/>
    <w:rsid w:val="00E461CE"/>
    <w:rsid w:val="00E512EE"/>
    <w:rsid w:val="00E51E1B"/>
    <w:rsid w:val="00E51E8F"/>
    <w:rsid w:val="00E5200F"/>
    <w:rsid w:val="00E52514"/>
    <w:rsid w:val="00E52C86"/>
    <w:rsid w:val="00E54A64"/>
    <w:rsid w:val="00E551AF"/>
    <w:rsid w:val="00E55432"/>
    <w:rsid w:val="00E55AF7"/>
    <w:rsid w:val="00E56E12"/>
    <w:rsid w:val="00E5765D"/>
    <w:rsid w:val="00E57B61"/>
    <w:rsid w:val="00E60556"/>
    <w:rsid w:val="00E63BD3"/>
    <w:rsid w:val="00E65A1C"/>
    <w:rsid w:val="00E66358"/>
    <w:rsid w:val="00E664B0"/>
    <w:rsid w:val="00E676E8"/>
    <w:rsid w:val="00E6795A"/>
    <w:rsid w:val="00E67F76"/>
    <w:rsid w:val="00E70A2A"/>
    <w:rsid w:val="00E70C2C"/>
    <w:rsid w:val="00E7172F"/>
    <w:rsid w:val="00E720CA"/>
    <w:rsid w:val="00E734E0"/>
    <w:rsid w:val="00E7419E"/>
    <w:rsid w:val="00E7444E"/>
    <w:rsid w:val="00E75415"/>
    <w:rsid w:val="00E75570"/>
    <w:rsid w:val="00E75861"/>
    <w:rsid w:val="00E77525"/>
    <w:rsid w:val="00E81DFD"/>
    <w:rsid w:val="00E82554"/>
    <w:rsid w:val="00E840EF"/>
    <w:rsid w:val="00E84406"/>
    <w:rsid w:val="00E84509"/>
    <w:rsid w:val="00E84EB5"/>
    <w:rsid w:val="00E854FE"/>
    <w:rsid w:val="00E85662"/>
    <w:rsid w:val="00E85AA9"/>
    <w:rsid w:val="00E85D58"/>
    <w:rsid w:val="00E86FC5"/>
    <w:rsid w:val="00E8789F"/>
    <w:rsid w:val="00E902B2"/>
    <w:rsid w:val="00E902F5"/>
    <w:rsid w:val="00E90F69"/>
    <w:rsid w:val="00E92036"/>
    <w:rsid w:val="00E924BC"/>
    <w:rsid w:val="00E936B2"/>
    <w:rsid w:val="00E93E0E"/>
    <w:rsid w:val="00E93FF6"/>
    <w:rsid w:val="00E95008"/>
    <w:rsid w:val="00E952F2"/>
    <w:rsid w:val="00E953AB"/>
    <w:rsid w:val="00E979C8"/>
    <w:rsid w:val="00E97B71"/>
    <w:rsid w:val="00EA0DE1"/>
    <w:rsid w:val="00EA127D"/>
    <w:rsid w:val="00EA1CCD"/>
    <w:rsid w:val="00EA30FD"/>
    <w:rsid w:val="00EA349A"/>
    <w:rsid w:val="00EA3D34"/>
    <w:rsid w:val="00EA4D05"/>
    <w:rsid w:val="00EA5662"/>
    <w:rsid w:val="00EA5D26"/>
    <w:rsid w:val="00EA7B72"/>
    <w:rsid w:val="00EB08C4"/>
    <w:rsid w:val="00EB3DC6"/>
    <w:rsid w:val="00EB41A4"/>
    <w:rsid w:val="00EB454D"/>
    <w:rsid w:val="00EB7938"/>
    <w:rsid w:val="00EC016B"/>
    <w:rsid w:val="00EC12F5"/>
    <w:rsid w:val="00EC21A1"/>
    <w:rsid w:val="00EC34D9"/>
    <w:rsid w:val="00EC3997"/>
    <w:rsid w:val="00EC3BBB"/>
    <w:rsid w:val="00EC5A4C"/>
    <w:rsid w:val="00EC6B7C"/>
    <w:rsid w:val="00EC6F46"/>
    <w:rsid w:val="00ED0579"/>
    <w:rsid w:val="00ED0F42"/>
    <w:rsid w:val="00ED1568"/>
    <w:rsid w:val="00ED1AC3"/>
    <w:rsid w:val="00ED3DCB"/>
    <w:rsid w:val="00ED3FF2"/>
    <w:rsid w:val="00ED4C96"/>
    <w:rsid w:val="00ED5630"/>
    <w:rsid w:val="00ED5C50"/>
    <w:rsid w:val="00ED6238"/>
    <w:rsid w:val="00ED69C4"/>
    <w:rsid w:val="00ED6D03"/>
    <w:rsid w:val="00ED7171"/>
    <w:rsid w:val="00ED75B0"/>
    <w:rsid w:val="00ED76BE"/>
    <w:rsid w:val="00EE033F"/>
    <w:rsid w:val="00EE19AB"/>
    <w:rsid w:val="00EE1EA8"/>
    <w:rsid w:val="00EE1FD5"/>
    <w:rsid w:val="00EE2E69"/>
    <w:rsid w:val="00EE3118"/>
    <w:rsid w:val="00EE3796"/>
    <w:rsid w:val="00EE38DD"/>
    <w:rsid w:val="00EE41D8"/>
    <w:rsid w:val="00EE4B44"/>
    <w:rsid w:val="00EE6A46"/>
    <w:rsid w:val="00EE78FE"/>
    <w:rsid w:val="00EF0236"/>
    <w:rsid w:val="00EF0364"/>
    <w:rsid w:val="00EF0813"/>
    <w:rsid w:val="00EF171A"/>
    <w:rsid w:val="00EF2402"/>
    <w:rsid w:val="00EF29BA"/>
    <w:rsid w:val="00EF3F68"/>
    <w:rsid w:val="00EF427A"/>
    <w:rsid w:val="00EF4AAF"/>
    <w:rsid w:val="00EF4B33"/>
    <w:rsid w:val="00EF50D1"/>
    <w:rsid w:val="00EF5230"/>
    <w:rsid w:val="00EF619B"/>
    <w:rsid w:val="00EF6419"/>
    <w:rsid w:val="00EF6565"/>
    <w:rsid w:val="00EF691E"/>
    <w:rsid w:val="00EF7398"/>
    <w:rsid w:val="00EF7D6A"/>
    <w:rsid w:val="00F0075A"/>
    <w:rsid w:val="00F00B55"/>
    <w:rsid w:val="00F0291F"/>
    <w:rsid w:val="00F02AD1"/>
    <w:rsid w:val="00F032A3"/>
    <w:rsid w:val="00F0362E"/>
    <w:rsid w:val="00F05748"/>
    <w:rsid w:val="00F05C84"/>
    <w:rsid w:val="00F06305"/>
    <w:rsid w:val="00F0637E"/>
    <w:rsid w:val="00F066DA"/>
    <w:rsid w:val="00F06861"/>
    <w:rsid w:val="00F07761"/>
    <w:rsid w:val="00F07C73"/>
    <w:rsid w:val="00F106E8"/>
    <w:rsid w:val="00F11214"/>
    <w:rsid w:val="00F112FB"/>
    <w:rsid w:val="00F1152D"/>
    <w:rsid w:val="00F12A5C"/>
    <w:rsid w:val="00F12C65"/>
    <w:rsid w:val="00F13342"/>
    <w:rsid w:val="00F13781"/>
    <w:rsid w:val="00F14F0D"/>
    <w:rsid w:val="00F15D05"/>
    <w:rsid w:val="00F16B84"/>
    <w:rsid w:val="00F16BE5"/>
    <w:rsid w:val="00F16E3D"/>
    <w:rsid w:val="00F16E76"/>
    <w:rsid w:val="00F175E1"/>
    <w:rsid w:val="00F2150E"/>
    <w:rsid w:val="00F21DDD"/>
    <w:rsid w:val="00F221D5"/>
    <w:rsid w:val="00F227F1"/>
    <w:rsid w:val="00F24367"/>
    <w:rsid w:val="00F24F85"/>
    <w:rsid w:val="00F253CC"/>
    <w:rsid w:val="00F25836"/>
    <w:rsid w:val="00F306D1"/>
    <w:rsid w:val="00F31976"/>
    <w:rsid w:val="00F31BEB"/>
    <w:rsid w:val="00F31F2E"/>
    <w:rsid w:val="00F3206F"/>
    <w:rsid w:val="00F33736"/>
    <w:rsid w:val="00F3399D"/>
    <w:rsid w:val="00F34A3D"/>
    <w:rsid w:val="00F3585A"/>
    <w:rsid w:val="00F365B4"/>
    <w:rsid w:val="00F36BF7"/>
    <w:rsid w:val="00F36D39"/>
    <w:rsid w:val="00F37106"/>
    <w:rsid w:val="00F377E5"/>
    <w:rsid w:val="00F37C5F"/>
    <w:rsid w:val="00F37C74"/>
    <w:rsid w:val="00F37C80"/>
    <w:rsid w:val="00F37EF6"/>
    <w:rsid w:val="00F40154"/>
    <w:rsid w:val="00F4025B"/>
    <w:rsid w:val="00F404DD"/>
    <w:rsid w:val="00F40A82"/>
    <w:rsid w:val="00F41151"/>
    <w:rsid w:val="00F4121E"/>
    <w:rsid w:val="00F4197E"/>
    <w:rsid w:val="00F42A64"/>
    <w:rsid w:val="00F45774"/>
    <w:rsid w:val="00F4761A"/>
    <w:rsid w:val="00F47C3A"/>
    <w:rsid w:val="00F50E4B"/>
    <w:rsid w:val="00F519CF"/>
    <w:rsid w:val="00F526BF"/>
    <w:rsid w:val="00F539BE"/>
    <w:rsid w:val="00F5464B"/>
    <w:rsid w:val="00F54EE3"/>
    <w:rsid w:val="00F5595B"/>
    <w:rsid w:val="00F55CBE"/>
    <w:rsid w:val="00F569FD"/>
    <w:rsid w:val="00F56BA5"/>
    <w:rsid w:val="00F609D2"/>
    <w:rsid w:val="00F60E22"/>
    <w:rsid w:val="00F61566"/>
    <w:rsid w:val="00F63095"/>
    <w:rsid w:val="00F63616"/>
    <w:rsid w:val="00F63683"/>
    <w:rsid w:val="00F6419C"/>
    <w:rsid w:val="00F641DA"/>
    <w:rsid w:val="00F64D7B"/>
    <w:rsid w:val="00F657B4"/>
    <w:rsid w:val="00F65ADB"/>
    <w:rsid w:val="00F671EC"/>
    <w:rsid w:val="00F67C30"/>
    <w:rsid w:val="00F705F6"/>
    <w:rsid w:val="00F70C34"/>
    <w:rsid w:val="00F71445"/>
    <w:rsid w:val="00F71CC8"/>
    <w:rsid w:val="00F72084"/>
    <w:rsid w:val="00F7367D"/>
    <w:rsid w:val="00F73957"/>
    <w:rsid w:val="00F7404D"/>
    <w:rsid w:val="00F74D36"/>
    <w:rsid w:val="00F7556B"/>
    <w:rsid w:val="00F75609"/>
    <w:rsid w:val="00F762EE"/>
    <w:rsid w:val="00F7665F"/>
    <w:rsid w:val="00F804B6"/>
    <w:rsid w:val="00F809FC"/>
    <w:rsid w:val="00F810F2"/>
    <w:rsid w:val="00F81395"/>
    <w:rsid w:val="00F81628"/>
    <w:rsid w:val="00F849B9"/>
    <w:rsid w:val="00F850AE"/>
    <w:rsid w:val="00F851A1"/>
    <w:rsid w:val="00F859BA"/>
    <w:rsid w:val="00F85E71"/>
    <w:rsid w:val="00F86D7E"/>
    <w:rsid w:val="00F86F9A"/>
    <w:rsid w:val="00F87EB7"/>
    <w:rsid w:val="00F917D1"/>
    <w:rsid w:val="00F920FF"/>
    <w:rsid w:val="00F9223E"/>
    <w:rsid w:val="00F947B7"/>
    <w:rsid w:val="00F950B1"/>
    <w:rsid w:val="00F9610F"/>
    <w:rsid w:val="00F9653B"/>
    <w:rsid w:val="00F96775"/>
    <w:rsid w:val="00F974B1"/>
    <w:rsid w:val="00FA00A4"/>
    <w:rsid w:val="00FA0E6B"/>
    <w:rsid w:val="00FA0E87"/>
    <w:rsid w:val="00FA3503"/>
    <w:rsid w:val="00FA6AD9"/>
    <w:rsid w:val="00FA7088"/>
    <w:rsid w:val="00FA7756"/>
    <w:rsid w:val="00FA7ED9"/>
    <w:rsid w:val="00FA7F32"/>
    <w:rsid w:val="00FB00A2"/>
    <w:rsid w:val="00FB0666"/>
    <w:rsid w:val="00FB1D69"/>
    <w:rsid w:val="00FB2AF9"/>
    <w:rsid w:val="00FB2D1A"/>
    <w:rsid w:val="00FB2E50"/>
    <w:rsid w:val="00FB5552"/>
    <w:rsid w:val="00FB5844"/>
    <w:rsid w:val="00FB5BDF"/>
    <w:rsid w:val="00FB618A"/>
    <w:rsid w:val="00FB62CF"/>
    <w:rsid w:val="00FB6AE1"/>
    <w:rsid w:val="00FB719C"/>
    <w:rsid w:val="00FC094E"/>
    <w:rsid w:val="00FC15C3"/>
    <w:rsid w:val="00FC17EF"/>
    <w:rsid w:val="00FC1A20"/>
    <w:rsid w:val="00FC1BD8"/>
    <w:rsid w:val="00FC23F2"/>
    <w:rsid w:val="00FC5B8D"/>
    <w:rsid w:val="00FC79D2"/>
    <w:rsid w:val="00FD04C2"/>
    <w:rsid w:val="00FD1565"/>
    <w:rsid w:val="00FD1BFB"/>
    <w:rsid w:val="00FD266A"/>
    <w:rsid w:val="00FD2776"/>
    <w:rsid w:val="00FD3C3B"/>
    <w:rsid w:val="00FD4053"/>
    <w:rsid w:val="00FD4651"/>
    <w:rsid w:val="00FD48C9"/>
    <w:rsid w:val="00FD5E2C"/>
    <w:rsid w:val="00FD6385"/>
    <w:rsid w:val="00FD7B64"/>
    <w:rsid w:val="00FD7C00"/>
    <w:rsid w:val="00FD7C7A"/>
    <w:rsid w:val="00FE0813"/>
    <w:rsid w:val="00FE17AC"/>
    <w:rsid w:val="00FE19A6"/>
    <w:rsid w:val="00FE27C8"/>
    <w:rsid w:val="00FE325E"/>
    <w:rsid w:val="00FE3EB8"/>
    <w:rsid w:val="00FE3F09"/>
    <w:rsid w:val="00FE4AA5"/>
    <w:rsid w:val="00FE6B45"/>
    <w:rsid w:val="00FF0D0E"/>
    <w:rsid w:val="00FF1F23"/>
    <w:rsid w:val="00FF337F"/>
    <w:rsid w:val="00FF3571"/>
    <w:rsid w:val="00FF3B36"/>
    <w:rsid w:val="00FF55F3"/>
    <w:rsid w:val="00FF5851"/>
    <w:rsid w:val="00FF590B"/>
    <w:rsid w:val="00FF5F81"/>
    <w:rsid w:val="00FF631B"/>
    <w:rsid w:val="00FF7400"/>
    <w:rsid w:val="00FF7B7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40"/>
    <w:rPr>
      <w:sz w:val="24"/>
      <w:szCs w:val="24"/>
    </w:rPr>
  </w:style>
  <w:style w:type="paragraph" w:styleId="Heading1">
    <w:name w:val="heading 1"/>
    <w:basedOn w:val="Normal"/>
    <w:next w:val="Normal"/>
    <w:link w:val="Heading1Char"/>
    <w:qFormat/>
    <w:rsid w:val="006B7EB8"/>
    <w:pPr>
      <w:keepNext/>
      <w:keepLines/>
      <w:numPr>
        <w:numId w:val="53"/>
      </w:numPr>
      <w:tabs>
        <w:tab w:val="left" w:pos="1440"/>
      </w:tabs>
      <w:ind w:firstLine="0"/>
      <w:jc w:val="both"/>
      <w:outlineLvl w:val="0"/>
    </w:pPr>
    <w:rPr>
      <w:rFonts w:ascii="Cambria" w:eastAsia="Times New Roman" w:hAnsi="Cambria"/>
      <w:b/>
      <w:bCs/>
      <w:sz w:val="20"/>
      <w:szCs w:val="20"/>
      <w:lang w:val="es-AR"/>
    </w:rPr>
  </w:style>
  <w:style w:type="paragraph" w:styleId="Heading2">
    <w:name w:val="heading 2"/>
    <w:basedOn w:val="Normal"/>
    <w:next w:val="Normal"/>
    <w:link w:val="Heading2Char"/>
    <w:uiPriority w:val="9"/>
    <w:qFormat/>
    <w:rsid w:val="00C85041"/>
    <w:pPr>
      <w:keepNext/>
      <w:ind w:left="1440" w:hanging="720"/>
      <w:outlineLvl w:val="1"/>
    </w:pPr>
    <w:rPr>
      <w:rFonts w:ascii="Cambria" w:eastAsia="Times New Roman" w:hAnsi="Cambria" w:cs="Arial"/>
      <w:b/>
      <w:bCs/>
      <w:iCs/>
      <w:sz w:val="20"/>
      <w:szCs w:val="28"/>
      <w:lang w:val="es-AR"/>
    </w:rPr>
  </w:style>
  <w:style w:type="paragraph" w:styleId="Heading3">
    <w:name w:val="heading 3"/>
    <w:basedOn w:val="Normal"/>
    <w:next w:val="Normal"/>
    <w:link w:val="Heading3Char"/>
    <w:qFormat/>
    <w:rsid w:val="00C85041"/>
    <w:pPr>
      <w:keepNext/>
      <w:ind w:firstLine="720"/>
      <w:outlineLvl w:val="2"/>
    </w:pPr>
    <w:rPr>
      <w:rFonts w:ascii="Cambria" w:eastAsia="Times New Roman" w:hAnsi="Cambria" w:cs="Arial"/>
      <w:b/>
      <w:bCs/>
      <w:sz w:val="20"/>
      <w:szCs w:val="20"/>
      <w:lang w:val="es-ES_tradnl"/>
    </w:rPr>
  </w:style>
  <w:style w:type="paragraph" w:styleId="Heading4">
    <w:name w:val="heading 4"/>
    <w:basedOn w:val="Normal"/>
    <w:next w:val="Normal"/>
    <w:link w:val="Heading4Char"/>
    <w:qFormat/>
    <w:rsid w:val="00DB43BD"/>
    <w:pPr>
      <w:keepNext/>
      <w:jc w:val="both"/>
      <w:outlineLvl w:val="3"/>
    </w:pPr>
    <w:rPr>
      <w:rFonts w:ascii="Arial" w:eastAsia="Batang" w:hAnsi="Arial" w:cs="Arial"/>
      <w:b/>
      <w:bCs/>
      <w:sz w:val="22"/>
    </w:rPr>
  </w:style>
  <w:style w:type="paragraph" w:styleId="Heading5">
    <w:name w:val="heading 5"/>
    <w:basedOn w:val="Normal"/>
    <w:next w:val="Normal"/>
    <w:link w:val="Heading5Char"/>
    <w:qFormat/>
    <w:rsid w:val="00DB43BD"/>
    <w:pPr>
      <w:spacing w:before="240" w:after="60"/>
      <w:outlineLvl w:val="4"/>
    </w:pPr>
    <w:rPr>
      <w:rFonts w:eastAsia="Batang"/>
      <w:sz w:val="22"/>
      <w:szCs w:val="20"/>
      <w:lang w:val="es-SV"/>
    </w:rPr>
  </w:style>
  <w:style w:type="paragraph" w:styleId="Heading6">
    <w:name w:val="heading 6"/>
    <w:basedOn w:val="Normal"/>
    <w:next w:val="Normal"/>
    <w:link w:val="Heading6Char"/>
    <w:uiPriority w:val="9"/>
    <w:qFormat/>
    <w:rsid w:val="00DB43BD"/>
    <w:pPr>
      <w:numPr>
        <w:ilvl w:val="4"/>
        <w:numId w:val="56"/>
      </w:numPr>
      <w:tabs>
        <w:tab w:val="clear" w:pos="3600"/>
      </w:tabs>
      <w:spacing w:before="240" w:after="60"/>
      <w:ind w:left="0" w:firstLine="0"/>
      <w:outlineLvl w:val="5"/>
    </w:pPr>
    <w:rPr>
      <w:rFonts w:eastAsia="Batang"/>
      <w:i/>
      <w:sz w:val="22"/>
      <w:szCs w:val="20"/>
      <w:lang w:val="es-SV"/>
    </w:rPr>
  </w:style>
  <w:style w:type="paragraph" w:styleId="Heading7">
    <w:name w:val="heading 7"/>
    <w:basedOn w:val="Normal"/>
    <w:next w:val="Normal"/>
    <w:link w:val="Heading7Char"/>
    <w:qFormat/>
    <w:rsid w:val="00DB43BD"/>
    <w:pPr>
      <w:spacing w:before="240" w:after="60"/>
      <w:outlineLvl w:val="6"/>
    </w:pPr>
    <w:rPr>
      <w:rFonts w:ascii="Arial" w:eastAsia="Batang" w:hAnsi="Arial"/>
      <w:sz w:val="20"/>
      <w:szCs w:val="20"/>
      <w:lang w:val="es-SV"/>
    </w:rPr>
  </w:style>
  <w:style w:type="paragraph" w:styleId="Heading8">
    <w:name w:val="heading 8"/>
    <w:basedOn w:val="Normal"/>
    <w:next w:val="Normal"/>
    <w:link w:val="Heading8Char"/>
    <w:qFormat/>
    <w:rsid w:val="00DB43BD"/>
    <w:pPr>
      <w:spacing w:before="240" w:after="60"/>
      <w:outlineLvl w:val="7"/>
    </w:pPr>
    <w:rPr>
      <w:rFonts w:ascii="Arial" w:eastAsia="Batang" w:hAnsi="Arial"/>
      <w:i/>
      <w:sz w:val="20"/>
      <w:szCs w:val="20"/>
      <w:lang w:val="es-SV"/>
    </w:rPr>
  </w:style>
  <w:style w:type="paragraph" w:styleId="Heading9">
    <w:name w:val="heading 9"/>
    <w:basedOn w:val="Normal"/>
    <w:next w:val="Normal"/>
    <w:link w:val="Heading9Char"/>
    <w:qFormat/>
    <w:rsid w:val="00DB43BD"/>
    <w:pPr>
      <w:spacing w:before="240" w:after="60"/>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1"/>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LightList-Accent51">
    <w:name w:val="Light List - Accent 51"/>
    <w:aliases w:val="Colorful List - Accent 11"/>
    <w:link w:val="LightList-Accent5Char"/>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6B7EB8"/>
    <w:rPr>
      <w:rFonts w:ascii="Cambria" w:eastAsia="Times New Roman" w:hAnsi="Cambria"/>
      <w:b/>
      <w:bCs/>
      <w:lang w:val="es-AR"/>
    </w:rPr>
  </w:style>
  <w:style w:type="table" w:styleId="ColorfulShading-Accent4">
    <w:name w:val="Colorful Shading Accent 4"/>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745DD4"/>
    <w:pPr>
      <w:tabs>
        <w:tab w:val="left" w:pos="720"/>
        <w:tab w:val="right" w:leader="dot" w:pos="9350"/>
      </w:tabs>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BVIfnrCar1CarCarCarCar"/>
    <w:unhideWhenUsed/>
    <w:qFormat/>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link w:val="BodyTextIndent2"/>
    <w:semiHidden/>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link w:val="BodyText"/>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C85041"/>
    <w:rPr>
      <w:rFonts w:ascii="Cambria" w:eastAsia="Times New Roman" w:hAnsi="Cambria" w:cs="Arial"/>
      <w:b/>
      <w:bCs/>
      <w:iCs/>
      <w:szCs w:val="28"/>
      <w:lang w:val="es-AR"/>
    </w:rPr>
  </w:style>
  <w:style w:type="character" w:customStyle="1" w:styleId="Heading3Char">
    <w:name w:val="Heading 3 Char"/>
    <w:link w:val="Heading3"/>
    <w:rsid w:val="00C85041"/>
    <w:rPr>
      <w:rFonts w:ascii="Cambria" w:eastAsia="Times New Roman" w:hAnsi="Cambria" w:cs="Arial"/>
      <w:b/>
      <w:bCs/>
      <w:lang w:val="es-ES_tradnl"/>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spacing w:before="100" w:beforeAutospacing="1" w:after="100" w:afterAutospacing="1"/>
    </w:pPr>
    <w:rPr>
      <w:rFonts w:eastAsia="Times New Roman"/>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link w:val="Heading4"/>
    <w:rsid w:val="00DB43BD"/>
    <w:rPr>
      <w:rFonts w:ascii="Arial" w:eastAsia="Batang" w:hAnsi="Arial" w:cs="Arial"/>
      <w:b/>
      <w:bCs/>
      <w:sz w:val="22"/>
      <w:szCs w:val="24"/>
      <w:bdr w:val="none" w:sz="0" w:space="0" w:color="auto"/>
      <w:lang w:val="en-US" w:eastAsia="en-US"/>
    </w:rPr>
  </w:style>
  <w:style w:type="character" w:customStyle="1" w:styleId="Heading5Char">
    <w:name w:val="Heading 5 Char"/>
    <w:link w:val="Heading5"/>
    <w:rsid w:val="00DB43BD"/>
    <w:rPr>
      <w:rFonts w:eastAsia="Batang"/>
      <w:sz w:val="22"/>
      <w:bdr w:val="none" w:sz="0" w:space="0" w:color="auto"/>
      <w:lang w:val="es-SV" w:eastAsia="en-US"/>
    </w:rPr>
  </w:style>
  <w:style w:type="character" w:customStyle="1" w:styleId="Heading6Char">
    <w:name w:val="Heading 6 Char"/>
    <w:link w:val="Heading6"/>
    <w:uiPriority w:val="9"/>
    <w:rsid w:val="00DB43BD"/>
    <w:rPr>
      <w:rFonts w:eastAsia="Batang"/>
      <w:i/>
      <w:sz w:val="22"/>
      <w:lang w:val="es-SV" w:eastAsia="en-US"/>
    </w:rPr>
  </w:style>
  <w:style w:type="character" w:customStyle="1" w:styleId="Heading7Char">
    <w:name w:val="Heading 7 Char"/>
    <w:link w:val="Heading7"/>
    <w:rsid w:val="00DB43BD"/>
    <w:rPr>
      <w:rFonts w:ascii="Arial" w:eastAsia="Batang" w:hAnsi="Arial"/>
      <w:bdr w:val="none" w:sz="0" w:space="0" w:color="auto"/>
      <w:lang w:val="es-SV" w:eastAsia="en-US"/>
    </w:rPr>
  </w:style>
  <w:style w:type="character" w:customStyle="1" w:styleId="Heading8Char">
    <w:name w:val="Heading 8 Char"/>
    <w:link w:val="Heading8"/>
    <w:rsid w:val="00DB43BD"/>
    <w:rPr>
      <w:rFonts w:ascii="Arial" w:eastAsia="Batang" w:hAnsi="Arial"/>
      <w:i/>
      <w:bdr w:val="none" w:sz="0" w:space="0" w:color="auto"/>
      <w:lang w:val="es-SV" w:eastAsia="en-US"/>
    </w:rPr>
  </w:style>
  <w:style w:type="character" w:customStyle="1" w:styleId="Heading9Char">
    <w:name w:val="Heading 9 Char"/>
    <w:link w:val="Heading9"/>
    <w:rsid w:val="00DB43BD"/>
    <w:rPr>
      <w:rFonts w:ascii="Arial" w:eastAsia="Batang" w:hAnsi="Arial" w:cs="Arial"/>
      <w:sz w:val="22"/>
      <w:szCs w:val="22"/>
      <w:bdr w:val="none" w:sz="0" w:space="0" w:color="auto"/>
      <w:lang w:val="en-US" w:eastAsia="en-US"/>
    </w:rPr>
  </w:style>
  <w:style w:type="paragraph" w:styleId="NormalWeb">
    <w:name w:val="Normal (Web)"/>
    <w:aliases w:val="Normal (Web) Char1,Normal (Web) Char Char,Normal (Web) Char1 Char,Normal (Web) Char Char Char"/>
    <w:basedOn w:val="Normal"/>
    <w:uiPriority w:val="99"/>
    <w:rsid w:val="00DB43BD"/>
    <w:pPr>
      <w:spacing w:before="100" w:beforeAutospacing="1" w:after="100" w:afterAutospacing="1"/>
    </w:pPr>
    <w:rPr>
      <w:rFonts w:ascii="Arial Unicode MS" w:hAnsi="Arial Unicode MS" w:cs="Arial Unicode MS"/>
    </w:rPr>
  </w:style>
  <w:style w:type="character" w:styleId="Strong">
    <w:name w:val="Strong"/>
    <w:uiPriority w:val="22"/>
    <w:qFormat/>
    <w:rsid w:val="00DB43BD"/>
    <w:rPr>
      <w:rFonts w:cs="Times New Roman"/>
      <w:b/>
      <w:bCs/>
    </w:rPr>
  </w:style>
  <w:style w:type="character" w:customStyle="1" w:styleId="BodyTextIndentChar1">
    <w:name w:val="Body Text Indent Char1"/>
    <w:link w:val="BodyTextIndent"/>
    <w:locked/>
    <w:rsid w:val="00DB43BD"/>
    <w:rPr>
      <w:rFonts w:eastAsia="Times New Roman"/>
      <w:color w:val="000000"/>
      <w:sz w:val="24"/>
      <w:szCs w:val="24"/>
      <w:u w:color="000000"/>
      <w:lang w:val="es-ES_tradnl"/>
    </w:rPr>
  </w:style>
  <w:style w:type="paragraph" w:styleId="BlockText">
    <w:name w:val="Block Text"/>
    <w:basedOn w:val="Normal"/>
    <w:rsid w:val="00DB43BD"/>
    <w:pPr>
      <w:ind w:left="720" w:right="720"/>
      <w:jc w:val="both"/>
    </w:pPr>
    <w:rPr>
      <w:rFonts w:ascii="Arial" w:eastAsia="Batang" w:hAnsi="Arial" w:cs="Arial"/>
      <w:sz w:val="22"/>
      <w:lang w:val="es-AR"/>
    </w:rPr>
  </w:style>
  <w:style w:type="paragraph" w:styleId="Title">
    <w:name w:val="Title"/>
    <w:basedOn w:val="Normal"/>
    <w:link w:val="TitleChar"/>
    <w:qFormat/>
    <w:rsid w:val="00DB43BD"/>
    <w:pPr>
      <w:jc w:val="center"/>
    </w:pPr>
    <w:rPr>
      <w:rFonts w:ascii="Univers" w:eastAsia="Batang" w:hAnsi="Univers" w:cs="Arial"/>
      <w:b/>
      <w:sz w:val="22"/>
      <w:lang w:val="es-AR"/>
    </w:rPr>
  </w:style>
  <w:style w:type="character" w:customStyle="1" w:styleId="TitleChar">
    <w:name w:val="Title Char"/>
    <w:link w:val="Title"/>
    <w:rsid w:val="00DB43BD"/>
    <w:rPr>
      <w:rFonts w:ascii="Univers" w:eastAsia="Batang" w:hAnsi="Univers" w:cs="Arial"/>
      <w:b/>
      <w:sz w:val="22"/>
      <w:szCs w:val="24"/>
      <w:bdr w:val="none" w:sz="0" w:space="0" w:color="auto"/>
      <w:lang w:val="es-AR" w:eastAsia="en-US"/>
    </w:rPr>
  </w:style>
  <w:style w:type="paragraph" w:styleId="BodyTextIndent3">
    <w:name w:val="Body Text Indent 3"/>
    <w:basedOn w:val="Normal"/>
    <w:link w:val="BodyTextIndent3Char"/>
    <w:rsid w:val="00DB43BD"/>
    <w:pPr>
      <w:ind w:firstLine="720"/>
      <w:jc w:val="both"/>
    </w:pPr>
    <w:rPr>
      <w:rFonts w:ascii="Univers" w:eastAsia="Batang" w:hAnsi="Univers"/>
      <w:sz w:val="22"/>
      <w:szCs w:val="20"/>
      <w:lang w:val="es-ES"/>
    </w:rPr>
  </w:style>
  <w:style w:type="character" w:customStyle="1" w:styleId="BodyTextIndent3Char">
    <w:name w:val="Body Text Indent 3 Char"/>
    <w:link w:val="BodyTextIndent3"/>
    <w:rsid w:val="00DB43BD"/>
    <w:rPr>
      <w:rFonts w:ascii="Univers" w:eastAsia="Batang" w:hAnsi="Univers"/>
      <w:sz w:val="22"/>
      <w:bdr w:val="none" w:sz="0" w:space="0" w:color="auto"/>
      <w:lang w:eastAsia="en-US"/>
    </w:rPr>
  </w:style>
  <w:style w:type="paragraph" w:styleId="BodyText3">
    <w:name w:val="Body Text 3"/>
    <w:basedOn w:val="Normal"/>
    <w:link w:val="BodyText3Char"/>
    <w:rsid w:val="00DB43BD"/>
    <w:pPr>
      <w:spacing w:after="120"/>
    </w:pPr>
    <w:rPr>
      <w:rFonts w:eastAsia="Batang"/>
      <w:sz w:val="16"/>
      <w:szCs w:val="16"/>
    </w:rPr>
  </w:style>
  <w:style w:type="character" w:customStyle="1" w:styleId="BodyText3Char">
    <w:name w:val="Body Text 3 Char"/>
    <w:link w:val="BodyText3"/>
    <w:rsid w:val="00DB43BD"/>
    <w:rPr>
      <w:rFonts w:eastAsia="Batang"/>
      <w:sz w:val="16"/>
      <w:szCs w:val="16"/>
      <w:bdr w:val="none" w:sz="0" w:space="0" w:color="auto"/>
      <w:lang w:val="en-US" w:eastAsia="en-US"/>
    </w:rPr>
  </w:style>
  <w:style w:type="character" w:customStyle="1" w:styleId="texto1">
    <w:name w:val="texto1"/>
    <w:rsid w:val="00DB43BD"/>
    <w:rPr>
      <w:rFonts w:ascii="Tahoma" w:hAnsi="Tahoma" w:cs="Tahoma"/>
      <w:color w:val="000000"/>
      <w:sz w:val="20"/>
      <w:szCs w:val="20"/>
      <w:u w:val="none"/>
      <w:effect w:val="none"/>
    </w:rPr>
  </w:style>
  <w:style w:type="paragraph" w:customStyle="1" w:styleId="CaptulosSt">
    <w:name w:val="Capítulos St."/>
    <w:basedOn w:val="Heading1"/>
    <w:next w:val="Normal"/>
    <w:rsid w:val="00DB43BD"/>
    <w:pPr>
      <w:keepLines w:val="0"/>
      <w:numPr>
        <w:numId w:val="0"/>
      </w:numPr>
      <w:jc w:val="center"/>
    </w:pPr>
    <w:rPr>
      <w:rFonts w:ascii="Verdana" w:eastAsia="Batang" w:hAnsi="Verdana"/>
      <w:bCs w:val="0"/>
      <w:smallCaps/>
      <w:kern w:val="32"/>
      <w:szCs w:val="32"/>
      <w:lang w:val="es-ES_tradnl"/>
    </w:rPr>
  </w:style>
  <w:style w:type="paragraph" w:styleId="DocumentMap">
    <w:name w:val="Document Map"/>
    <w:basedOn w:val="Normal"/>
    <w:link w:val="DocumentMapChar"/>
    <w:semiHidden/>
    <w:rsid w:val="00DB43BD"/>
    <w:pPr>
      <w:shd w:val="clear" w:color="auto" w:fill="000080"/>
    </w:pPr>
    <w:rPr>
      <w:rFonts w:ascii="Tahoma" w:eastAsia="Batang" w:hAnsi="Tahoma" w:cs="Tahoma"/>
      <w:sz w:val="20"/>
      <w:szCs w:val="20"/>
    </w:rPr>
  </w:style>
  <w:style w:type="character" w:customStyle="1" w:styleId="DocumentMapChar">
    <w:name w:val="Document Map Char"/>
    <w:link w:val="DocumentMap"/>
    <w:semiHidden/>
    <w:rsid w:val="00DB43BD"/>
    <w:rPr>
      <w:rFonts w:ascii="Tahoma" w:eastAsia="Batang" w:hAnsi="Tahoma" w:cs="Tahoma"/>
      <w:bdr w:val="none" w:sz="0" w:space="0" w:color="auto"/>
      <w:shd w:val="clear" w:color="auto" w:fill="000080"/>
      <w:lang w:val="en-US" w:eastAsia="en-US"/>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DB43BD"/>
    <w:rPr>
      <w:rFonts w:ascii="Univers" w:hAnsi="Univers" w:cs="Times New Roman"/>
      <w:lang w:val="en-US" w:eastAsia="en-US" w:bidi="ar-SA"/>
    </w:rPr>
  </w:style>
  <w:style w:type="character" w:customStyle="1" w:styleId="CharChar">
    <w:name w:val="Char Char"/>
    <w:semiHidden/>
    <w:rsid w:val="00DB43BD"/>
    <w:rPr>
      <w:rFonts w:ascii="Times New Roman" w:hAnsi="Times New Roman"/>
      <w:sz w:val="20"/>
    </w:rPr>
  </w:style>
  <w:style w:type="character" w:customStyle="1" w:styleId="FootnoteTextChar1">
    <w:name w:val="Footnote Text Char1"/>
    <w:aliases w:val="NOTA AL PIE TESIS PUCP Char1"/>
    <w:uiPriority w:val="99"/>
    <w:locked/>
    <w:rsid w:val="00DB43BD"/>
    <w:rPr>
      <w:rFonts w:ascii="Times New Roman" w:hAnsi="Times New Roman"/>
      <w:sz w:val="20"/>
    </w:rPr>
  </w:style>
  <w:style w:type="character" w:customStyle="1" w:styleId="FootnoteTextChar2">
    <w:name w:val="Footnote Text Char2"/>
    <w:aliases w:val="Footnote Text Char Char Char Char Char Char2,Footnote Text Char Char Char Char Char3,FA Fu Char2,Footnote reference Char2,Footnote Text Char Char Char Char3,Footnote Text Cha Char2,FA Fußnotentext Char2,FA Fuﬂnotentext Char2,Ca Char1"/>
    <w:locked/>
    <w:rsid w:val="00DB43BD"/>
    <w:rPr>
      <w:rFonts w:ascii="Times New Roman" w:hAnsi="Times New Roman"/>
      <w:sz w:val="20"/>
    </w:rPr>
  </w:style>
  <w:style w:type="character" w:customStyle="1" w:styleId="apple-converted-space">
    <w:name w:val="apple-converted-space"/>
    <w:rsid w:val="00DB43BD"/>
    <w:rPr>
      <w:rFonts w:cs="Times New Roman"/>
    </w:rPr>
  </w:style>
  <w:style w:type="character" w:customStyle="1" w:styleId="CharChar1">
    <w:name w:val="Char Char1"/>
    <w:rsid w:val="00DB43BD"/>
    <w:rPr>
      <w:lang w:val="en-US" w:eastAsia="en-US"/>
    </w:rPr>
  </w:style>
  <w:style w:type="character" w:styleId="CommentReference">
    <w:name w:val="annotation reference"/>
    <w:semiHidden/>
    <w:rsid w:val="00DB43BD"/>
    <w:rPr>
      <w:sz w:val="16"/>
      <w:szCs w:val="16"/>
    </w:rPr>
  </w:style>
  <w:style w:type="paragraph" w:styleId="CommentText">
    <w:name w:val="annotation text"/>
    <w:basedOn w:val="Normal"/>
    <w:link w:val="CommentTextChar"/>
    <w:semiHidden/>
    <w:rsid w:val="00DB43BD"/>
    <w:rPr>
      <w:rFonts w:eastAsia="Batang"/>
      <w:sz w:val="20"/>
      <w:szCs w:val="20"/>
    </w:rPr>
  </w:style>
  <w:style w:type="character" w:customStyle="1" w:styleId="CommentTextChar">
    <w:name w:val="Comment Text Char"/>
    <w:link w:val="CommentText"/>
    <w:semiHidden/>
    <w:rsid w:val="00DB43BD"/>
    <w:rPr>
      <w:rFonts w:eastAsia="Batang"/>
      <w:bdr w:val="none" w:sz="0" w:space="0" w:color="auto"/>
      <w:lang w:val="en-US" w:eastAsia="en-US"/>
    </w:rPr>
  </w:style>
  <w:style w:type="paragraph" w:styleId="CommentSubject">
    <w:name w:val="annotation subject"/>
    <w:basedOn w:val="CommentText"/>
    <w:next w:val="CommentText"/>
    <w:link w:val="CommentSubjectChar"/>
    <w:semiHidden/>
    <w:rsid w:val="00DB43BD"/>
    <w:rPr>
      <w:b/>
      <w:bCs/>
    </w:rPr>
  </w:style>
  <w:style w:type="character" w:customStyle="1" w:styleId="CommentSubjectChar">
    <w:name w:val="Comment Subject Char"/>
    <w:link w:val="CommentSubject"/>
    <w:semiHidden/>
    <w:rsid w:val="00DB43BD"/>
    <w:rPr>
      <w:rFonts w:eastAsia="Batang"/>
      <w:b/>
      <w:bCs/>
      <w:bdr w:val="none" w:sz="0" w:space="0" w:color="auto"/>
      <w:lang w:val="en-US" w:eastAsia="en-US"/>
    </w:rPr>
  </w:style>
  <w:style w:type="character" w:customStyle="1" w:styleId="apple-style-span">
    <w:name w:val="apple-style-span"/>
    <w:rsid w:val="00DB43BD"/>
  </w:style>
  <w:style w:type="character" w:customStyle="1" w:styleId="BodyTextIndentChar">
    <w:name w:val="Body Text Indent Char"/>
    <w:locked/>
    <w:rsid w:val="00DB43BD"/>
    <w:rPr>
      <w:rFonts w:cs="Times New Roman"/>
      <w:sz w:val="24"/>
      <w:szCs w:val="24"/>
    </w:rPr>
  </w:style>
  <w:style w:type="character" w:styleId="Emphasis">
    <w:name w:val="Emphasis"/>
    <w:uiPriority w:val="99"/>
    <w:qFormat/>
    <w:rsid w:val="00DB43BD"/>
    <w:rPr>
      <w:i/>
      <w:iCs/>
    </w:rPr>
  </w:style>
  <w:style w:type="character" w:customStyle="1" w:styleId="LightList-Accent5Char">
    <w:name w:val="Light List - Accent 5 Char"/>
    <w:aliases w:val="Colorful List - Accent 11 Char"/>
    <w:link w:val="LightList-Accent51"/>
    <w:uiPriority w:val="34"/>
    <w:locked/>
    <w:rsid w:val="00DB43BD"/>
    <w:rPr>
      <w:rFonts w:ascii="Cambria" w:eastAsia="Cambria" w:hAnsi="Cambria" w:cs="Cambria"/>
      <w:color w:val="000000"/>
      <w:sz w:val="24"/>
      <w:szCs w:val="24"/>
      <w:u w:color="000000"/>
      <w:lang w:val="en-US"/>
    </w:rPr>
  </w:style>
  <w:style w:type="paragraph" w:customStyle="1" w:styleId="MediumList2-Accent41">
    <w:name w:val="Medium List 2 - Accent 41"/>
    <w:basedOn w:val="Normal"/>
    <w:uiPriority w:val="34"/>
    <w:qFormat/>
    <w:rsid w:val="00F24F85"/>
    <w:pPr>
      <w:ind w:left="720"/>
    </w:pPr>
  </w:style>
  <w:style w:type="paragraph" w:customStyle="1" w:styleId="ColorfulShading-Accent31">
    <w:name w:val="Colorful Shading - Accent 31"/>
    <w:basedOn w:val="Normal"/>
    <w:uiPriority w:val="34"/>
    <w:qFormat/>
    <w:rsid w:val="00FF337F"/>
    <w:pPr>
      <w:ind w:left="720"/>
    </w:pPr>
  </w:style>
  <w:style w:type="paragraph" w:styleId="TOC5">
    <w:name w:val="toc 5"/>
    <w:basedOn w:val="Normal"/>
    <w:next w:val="Normal"/>
    <w:autoRedefine/>
    <w:uiPriority w:val="39"/>
    <w:unhideWhenUsed/>
    <w:rsid w:val="00CB24E8"/>
    <w:pPr>
      <w:ind w:left="960"/>
    </w:pPr>
  </w:style>
  <w:style w:type="paragraph" w:styleId="TOC6">
    <w:name w:val="toc 6"/>
    <w:basedOn w:val="Normal"/>
    <w:next w:val="Normal"/>
    <w:autoRedefine/>
    <w:uiPriority w:val="39"/>
    <w:unhideWhenUsed/>
    <w:rsid w:val="00CB24E8"/>
    <w:pPr>
      <w:ind w:left="1200"/>
    </w:pPr>
  </w:style>
  <w:style w:type="paragraph" w:styleId="TOC7">
    <w:name w:val="toc 7"/>
    <w:basedOn w:val="Normal"/>
    <w:next w:val="Normal"/>
    <w:autoRedefine/>
    <w:uiPriority w:val="39"/>
    <w:unhideWhenUsed/>
    <w:rsid w:val="00CB24E8"/>
    <w:pPr>
      <w:ind w:left="1440"/>
    </w:pPr>
  </w:style>
  <w:style w:type="paragraph" w:styleId="TOC8">
    <w:name w:val="toc 8"/>
    <w:basedOn w:val="Normal"/>
    <w:next w:val="Normal"/>
    <w:autoRedefine/>
    <w:uiPriority w:val="39"/>
    <w:unhideWhenUsed/>
    <w:rsid w:val="00CB24E8"/>
    <w:pPr>
      <w:ind w:left="1680"/>
    </w:pPr>
  </w:style>
  <w:style w:type="paragraph" w:styleId="TOC9">
    <w:name w:val="toc 9"/>
    <w:basedOn w:val="Normal"/>
    <w:next w:val="Normal"/>
    <w:autoRedefine/>
    <w:uiPriority w:val="39"/>
    <w:unhideWhenUsed/>
    <w:rsid w:val="00CB24E8"/>
    <w:pPr>
      <w:ind w:left="1920"/>
    </w:pPr>
  </w:style>
  <w:style w:type="paragraph" w:customStyle="1" w:styleId="LightGrid-Accent31">
    <w:name w:val="Light Grid - Accent 31"/>
    <w:basedOn w:val="Normal"/>
    <w:uiPriority w:val="34"/>
    <w:qFormat/>
    <w:rsid w:val="00A6731A"/>
    <w:pPr>
      <w:ind w:left="708"/>
    </w:pPr>
  </w:style>
  <w:style w:type="character" w:styleId="FollowedHyperlink">
    <w:name w:val="FollowedHyperlink"/>
    <w:uiPriority w:val="99"/>
    <w:semiHidden/>
    <w:unhideWhenUsed/>
    <w:rsid w:val="009C4A18"/>
    <w:rPr>
      <w:color w:val="800080"/>
      <w:u w:val="single"/>
    </w:rPr>
  </w:style>
  <w:style w:type="paragraph" w:customStyle="1" w:styleId="MediumGrid1-Accent21">
    <w:name w:val="Medium Grid 1 - Accent 21"/>
    <w:basedOn w:val="Normal"/>
    <w:uiPriority w:val="34"/>
    <w:qFormat/>
    <w:rsid w:val="002F5685"/>
    <w:pPr>
      <w:spacing w:after="160" w:line="259" w:lineRule="auto"/>
      <w:ind w:left="720"/>
      <w:contextualSpacing/>
    </w:pPr>
    <w:rPr>
      <w:rFonts w:ascii="Calibri" w:eastAsia="Calibri" w:hAnsi="Calibri"/>
      <w:sz w:val="22"/>
      <w:szCs w:val="22"/>
    </w:rPr>
  </w:style>
  <w:style w:type="paragraph" w:customStyle="1" w:styleId="ColorfulList-Accent12">
    <w:name w:val="Colorful List - Accent 12"/>
    <w:aliases w:val="Párrafo de lista1,List Paragraph1,List Paragraph11"/>
    <w:link w:val="ColorfulList-Accent1Char"/>
    <w:uiPriority w:val="99"/>
    <w:qFormat/>
    <w:rsid w:val="0071447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customStyle="1" w:styleId="ColorfulList-Accent1Char">
    <w:name w:val="Colorful List - Accent 1 Char"/>
    <w:aliases w:val="Párrafo de lista1 Char,List Paragraph1 Char,List Paragraph11 Char"/>
    <w:link w:val="ColorfulList-Accent12"/>
    <w:uiPriority w:val="99"/>
    <w:locked/>
    <w:rsid w:val="00714476"/>
    <w:rPr>
      <w:rFonts w:ascii="Cambria" w:eastAsia="Cambria" w:hAnsi="Cambria" w:cs="Cambria"/>
      <w:color w:val="000000"/>
      <w:sz w:val="24"/>
      <w:szCs w:val="24"/>
      <w:u w:color="000000"/>
      <w:bdr w:val="nil"/>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714476"/>
    <w:pPr>
      <w:spacing w:before="200" w:after="160" w:line="240" w:lineRule="exact"/>
    </w:pPr>
    <w:rPr>
      <w:sz w:val="20"/>
      <w:szCs w:val="20"/>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0B0119"/>
    <w:pPr>
      <w:spacing w:after="160" w:line="240" w:lineRule="exact"/>
    </w:pPr>
    <w:rPr>
      <w:sz w:val="20"/>
      <w:szCs w:val="20"/>
      <w:vertAlign w:val="superscript"/>
      <w:lang w:val="es-US" w:eastAsia="es-US"/>
    </w:rPr>
  </w:style>
  <w:style w:type="paragraph" w:customStyle="1" w:styleId="1">
    <w:name w:val="1"/>
    <w:basedOn w:val="Normal"/>
    <w:rsid w:val="00A27118"/>
    <w:pPr>
      <w:spacing w:after="160" w:line="240" w:lineRule="exact"/>
    </w:pPr>
    <w:rPr>
      <w:rFonts w:eastAsia="MS Mincho"/>
      <w:sz w:val="20"/>
      <w:szCs w:val="20"/>
      <w:vertAlign w:val="superscript"/>
    </w:rPr>
  </w:style>
  <w:style w:type="paragraph" w:styleId="ListParagraph">
    <w:name w:val="List Paragraph"/>
    <w:basedOn w:val="Normal"/>
    <w:uiPriority w:val="34"/>
    <w:qFormat/>
    <w:rsid w:val="00A315E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40"/>
    <w:rPr>
      <w:sz w:val="24"/>
      <w:szCs w:val="24"/>
    </w:rPr>
  </w:style>
  <w:style w:type="paragraph" w:styleId="Heading1">
    <w:name w:val="heading 1"/>
    <w:basedOn w:val="Normal"/>
    <w:next w:val="Normal"/>
    <w:link w:val="Heading1Char"/>
    <w:qFormat/>
    <w:rsid w:val="006B7EB8"/>
    <w:pPr>
      <w:keepNext/>
      <w:keepLines/>
      <w:numPr>
        <w:numId w:val="53"/>
      </w:numPr>
      <w:tabs>
        <w:tab w:val="left" w:pos="1440"/>
      </w:tabs>
      <w:ind w:firstLine="0"/>
      <w:jc w:val="both"/>
      <w:outlineLvl w:val="0"/>
    </w:pPr>
    <w:rPr>
      <w:rFonts w:ascii="Cambria" w:eastAsia="Times New Roman" w:hAnsi="Cambria"/>
      <w:b/>
      <w:bCs/>
      <w:sz w:val="20"/>
      <w:szCs w:val="20"/>
      <w:lang w:val="es-AR"/>
    </w:rPr>
  </w:style>
  <w:style w:type="paragraph" w:styleId="Heading2">
    <w:name w:val="heading 2"/>
    <w:basedOn w:val="Normal"/>
    <w:next w:val="Normal"/>
    <w:link w:val="Heading2Char"/>
    <w:uiPriority w:val="9"/>
    <w:qFormat/>
    <w:rsid w:val="00C85041"/>
    <w:pPr>
      <w:keepNext/>
      <w:ind w:left="1440" w:hanging="720"/>
      <w:outlineLvl w:val="1"/>
    </w:pPr>
    <w:rPr>
      <w:rFonts w:ascii="Cambria" w:eastAsia="Times New Roman" w:hAnsi="Cambria" w:cs="Arial"/>
      <w:b/>
      <w:bCs/>
      <w:iCs/>
      <w:sz w:val="20"/>
      <w:szCs w:val="28"/>
      <w:lang w:val="es-AR"/>
    </w:rPr>
  </w:style>
  <w:style w:type="paragraph" w:styleId="Heading3">
    <w:name w:val="heading 3"/>
    <w:basedOn w:val="Normal"/>
    <w:next w:val="Normal"/>
    <w:link w:val="Heading3Char"/>
    <w:qFormat/>
    <w:rsid w:val="00C85041"/>
    <w:pPr>
      <w:keepNext/>
      <w:ind w:firstLine="720"/>
      <w:outlineLvl w:val="2"/>
    </w:pPr>
    <w:rPr>
      <w:rFonts w:ascii="Cambria" w:eastAsia="Times New Roman" w:hAnsi="Cambria" w:cs="Arial"/>
      <w:b/>
      <w:bCs/>
      <w:sz w:val="20"/>
      <w:szCs w:val="20"/>
      <w:lang w:val="es-ES_tradnl"/>
    </w:rPr>
  </w:style>
  <w:style w:type="paragraph" w:styleId="Heading4">
    <w:name w:val="heading 4"/>
    <w:basedOn w:val="Normal"/>
    <w:next w:val="Normal"/>
    <w:link w:val="Heading4Char"/>
    <w:qFormat/>
    <w:rsid w:val="00DB43BD"/>
    <w:pPr>
      <w:keepNext/>
      <w:jc w:val="both"/>
      <w:outlineLvl w:val="3"/>
    </w:pPr>
    <w:rPr>
      <w:rFonts w:ascii="Arial" w:eastAsia="Batang" w:hAnsi="Arial" w:cs="Arial"/>
      <w:b/>
      <w:bCs/>
      <w:sz w:val="22"/>
    </w:rPr>
  </w:style>
  <w:style w:type="paragraph" w:styleId="Heading5">
    <w:name w:val="heading 5"/>
    <w:basedOn w:val="Normal"/>
    <w:next w:val="Normal"/>
    <w:link w:val="Heading5Char"/>
    <w:qFormat/>
    <w:rsid w:val="00DB43BD"/>
    <w:pPr>
      <w:spacing w:before="240" w:after="60"/>
      <w:outlineLvl w:val="4"/>
    </w:pPr>
    <w:rPr>
      <w:rFonts w:eastAsia="Batang"/>
      <w:sz w:val="22"/>
      <w:szCs w:val="20"/>
      <w:lang w:val="es-SV"/>
    </w:rPr>
  </w:style>
  <w:style w:type="paragraph" w:styleId="Heading6">
    <w:name w:val="heading 6"/>
    <w:basedOn w:val="Normal"/>
    <w:next w:val="Normal"/>
    <w:link w:val="Heading6Char"/>
    <w:uiPriority w:val="9"/>
    <w:qFormat/>
    <w:rsid w:val="00DB43BD"/>
    <w:pPr>
      <w:numPr>
        <w:ilvl w:val="4"/>
        <w:numId w:val="56"/>
      </w:numPr>
      <w:tabs>
        <w:tab w:val="clear" w:pos="3600"/>
      </w:tabs>
      <w:spacing w:before="240" w:after="60"/>
      <w:ind w:left="0" w:firstLine="0"/>
      <w:outlineLvl w:val="5"/>
    </w:pPr>
    <w:rPr>
      <w:rFonts w:eastAsia="Batang"/>
      <w:i/>
      <w:sz w:val="22"/>
      <w:szCs w:val="20"/>
      <w:lang w:val="es-SV"/>
    </w:rPr>
  </w:style>
  <w:style w:type="paragraph" w:styleId="Heading7">
    <w:name w:val="heading 7"/>
    <w:basedOn w:val="Normal"/>
    <w:next w:val="Normal"/>
    <w:link w:val="Heading7Char"/>
    <w:qFormat/>
    <w:rsid w:val="00DB43BD"/>
    <w:pPr>
      <w:spacing w:before="240" w:after="60"/>
      <w:outlineLvl w:val="6"/>
    </w:pPr>
    <w:rPr>
      <w:rFonts w:ascii="Arial" w:eastAsia="Batang" w:hAnsi="Arial"/>
      <w:sz w:val="20"/>
      <w:szCs w:val="20"/>
      <w:lang w:val="es-SV"/>
    </w:rPr>
  </w:style>
  <w:style w:type="paragraph" w:styleId="Heading8">
    <w:name w:val="heading 8"/>
    <w:basedOn w:val="Normal"/>
    <w:next w:val="Normal"/>
    <w:link w:val="Heading8Char"/>
    <w:qFormat/>
    <w:rsid w:val="00DB43BD"/>
    <w:pPr>
      <w:spacing w:before="240" w:after="60"/>
      <w:outlineLvl w:val="7"/>
    </w:pPr>
    <w:rPr>
      <w:rFonts w:ascii="Arial" w:eastAsia="Batang" w:hAnsi="Arial"/>
      <w:i/>
      <w:sz w:val="20"/>
      <w:szCs w:val="20"/>
      <w:lang w:val="es-SV"/>
    </w:rPr>
  </w:style>
  <w:style w:type="paragraph" w:styleId="Heading9">
    <w:name w:val="heading 9"/>
    <w:basedOn w:val="Normal"/>
    <w:next w:val="Normal"/>
    <w:link w:val="Heading9Char"/>
    <w:qFormat/>
    <w:rsid w:val="00DB43BD"/>
    <w:pPr>
      <w:spacing w:before="240" w:after="60"/>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1"/>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LightList-Accent51">
    <w:name w:val="Light List - Accent 51"/>
    <w:aliases w:val="Colorful List - Accent 11"/>
    <w:link w:val="LightList-Accent5Char"/>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6B7EB8"/>
    <w:rPr>
      <w:rFonts w:ascii="Cambria" w:eastAsia="Times New Roman" w:hAnsi="Cambria"/>
      <w:b/>
      <w:bCs/>
      <w:lang w:val="es-AR"/>
    </w:rPr>
  </w:style>
  <w:style w:type="table" w:styleId="ColorfulShading-Accent4">
    <w:name w:val="Colorful Shading Accent 4"/>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745DD4"/>
    <w:pPr>
      <w:tabs>
        <w:tab w:val="left" w:pos="720"/>
        <w:tab w:val="right" w:leader="dot" w:pos="9350"/>
      </w:tabs>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BVIfnrCar1CarCarCarCar"/>
    <w:unhideWhenUsed/>
    <w:qFormat/>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link w:val="BodyTextIndent2"/>
    <w:semiHidden/>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link w:val="BodyText"/>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C85041"/>
    <w:rPr>
      <w:rFonts w:ascii="Cambria" w:eastAsia="Times New Roman" w:hAnsi="Cambria" w:cs="Arial"/>
      <w:b/>
      <w:bCs/>
      <w:iCs/>
      <w:szCs w:val="28"/>
      <w:lang w:val="es-AR"/>
    </w:rPr>
  </w:style>
  <w:style w:type="character" w:customStyle="1" w:styleId="Heading3Char">
    <w:name w:val="Heading 3 Char"/>
    <w:link w:val="Heading3"/>
    <w:rsid w:val="00C85041"/>
    <w:rPr>
      <w:rFonts w:ascii="Cambria" w:eastAsia="Times New Roman" w:hAnsi="Cambria" w:cs="Arial"/>
      <w:b/>
      <w:bCs/>
      <w:lang w:val="es-ES_tradnl"/>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spacing w:before="100" w:beforeAutospacing="1" w:after="100" w:afterAutospacing="1"/>
    </w:pPr>
    <w:rPr>
      <w:rFonts w:eastAsia="Times New Roman"/>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link w:val="Heading4"/>
    <w:rsid w:val="00DB43BD"/>
    <w:rPr>
      <w:rFonts w:ascii="Arial" w:eastAsia="Batang" w:hAnsi="Arial" w:cs="Arial"/>
      <w:b/>
      <w:bCs/>
      <w:sz w:val="22"/>
      <w:szCs w:val="24"/>
      <w:bdr w:val="none" w:sz="0" w:space="0" w:color="auto"/>
      <w:lang w:val="en-US" w:eastAsia="en-US"/>
    </w:rPr>
  </w:style>
  <w:style w:type="character" w:customStyle="1" w:styleId="Heading5Char">
    <w:name w:val="Heading 5 Char"/>
    <w:link w:val="Heading5"/>
    <w:rsid w:val="00DB43BD"/>
    <w:rPr>
      <w:rFonts w:eastAsia="Batang"/>
      <w:sz w:val="22"/>
      <w:bdr w:val="none" w:sz="0" w:space="0" w:color="auto"/>
      <w:lang w:val="es-SV" w:eastAsia="en-US"/>
    </w:rPr>
  </w:style>
  <w:style w:type="character" w:customStyle="1" w:styleId="Heading6Char">
    <w:name w:val="Heading 6 Char"/>
    <w:link w:val="Heading6"/>
    <w:uiPriority w:val="9"/>
    <w:rsid w:val="00DB43BD"/>
    <w:rPr>
      <w:rFonts w:eastAsia="Batang"/>
      <w:i/>
      <w:sz w:val="22"/>
      <w:lang w:val="es-SV" w:eastAsia="en-US"/>
    </w:rPr>
  </w:style>
  <w:style w:type="character" w:customStyle="1" w:styleId="Heading7Char">
    <w:name w:val="Heading 7 Char"/>
    <w:link w:val="Heading7"/>
    <w:rsid w:val="00DB43BD"/>
    <w:rPr>
      <w:rFonts w:ascii="Arial" w:eastAsia="Batang" w:hAnsi="Arial"/>
      <w:bdr w:val="none" w:sz="0" w:space="0" w:color="auto"/>
      <w:lang w:val="es-SV" w:eastAsia="en-US"/>
    </w:rPr>
  </w:style>
  <w:style w:type="character" w:customStyle="1" w:styleId="Heading8Char">
    <w:name w:val="Heading 8 Char"/>
    <w:link w:val="Heading8"/>
    <w:rsid w:val="00DB43BD"/>
    <w:rPr>
      <w:rFonts w:ascii="Arial" w:eastAsia="Batang" w:hAnsi="Arial"/>
      <w:i/>
      <w:bdr w:val="none" w:sz="0" w:space="0" w:color="auto"/>
      <w:lang w:val="es-SV" w:eastAsia="en-US"/>
    </w:rPr>
  </w:style>
  <w:style w:type="character" w:customStyle="1" w:styleId="Heading9Char">
    <w:name w:val="Heading 9 Char"/>
    <w:link w:val="Heading9"/>
    <w:rsid w:val="00DB43BD"/>
    <w:rPr>
      <w:rFonts w:ascii="Arial" w:eastAsia="Batang" w:hAnsi="Arial" w:cs="Arial"/>
      <w:sz w:val="22"/>
      <w:szCs w:val="22"/>
      <w:bdr w:val="none" w:sz="0" w:space="0" w:color="auto"/>
      <w:lang w:val="en-US" w:eastAsia="en-US"/>
    </w:rPr>
  </w:style>
  <w:style w:type="paragraph" w:styleId="NormalWeb">
    <w:name w:val="Normal (Web)"/>
    <w:aliases w:val="Normal (Web) Char1,Normal (Web) Char Char,Normal (Web) Char1 Char,Normal (Web) Char Char Char"/>
    <w:basedOn w:val="Normal"/>
    <w:uiPriority w:val="99"/>
    <w:rsid w:val="00DB43BD"/>
    <w:pPr>
      <w:spacing w:before="100" w:beforeAutospacing="1" w:after="100" w:afterAutospacing="1"/>
    </w:pPr>
    <w:rPr>
      <w:rFonts w:ascii="Arial Unicode MS" w:hAnsi="Arial Unicode MS" w:cs="Arial Unicode MS"/>
    </w:rPr>
  </w:style>
  <w:style w:type="character" w:styleId="Strong">
    <w:name w:val="Strong"/>
    <w:uiPriority w:val="22"/>
    <w:qFormat/>
    <w:rsid w:val="00DB43BD"/>
    <w:rPr>
      <w:rFonts w:cs="Times New Roman"/>
      <w:b/>
      <w:bCs/>
    </w:rPr>
  </w:style>
  <w:style w:type="character" w:customStyle="1" w:styleId="BodyTextIndentChar1">
    <w:name w:val="Body Text Indent Char1"/>
    <w:link w:val="BodyTextIndent"/>
    <w:locked/>
    <w:rsid w:val="00DB43BD"/>
    <w:rPr>
      <w:rFonts w:eastAsia="Times New Roman"/>
      <w:color w:val="000000"/>
      <w:sz w:val="24"/>
      <w:szCs w:val="24"/>
      <w:u w:color="000000"/>
      <w:lang w:val="es-ES_tradnl"/>
    </w:rPr>
  </w:style>
  <w:style w:type="paragraph" w:styleId="BlockText">
    <w:name w:val="Block Text"/>
    <w:basedOn w:val="Normal"/>
    <w:rsid w:val="00DB43BD"/>
    <w:pPr>
      <w:ind w:left="720" w:right="720"/>
      <w:jc w:val="both"/>
    </w:pPr>
    <w:rPr>
      <w:rFonts w:ascii="Arial" w:eastAsia="Batang" w:hAnsi="Arial" w:cs="Arial"/>
      <w:sz w:val="22"/>
      <w:lang w:val="es-AR"/>
    </w:rPr>
  </w:style>
  <w:style w:type="paragraph" w:styleId="Title">
    <w:name w:val="Title"/>
    <w:basedOn w:val="Normal"/>
    <w:link w:val="TitleChar"/>
    <w:qFormat/>
    <w:rsid w:val="00DB43BD"/>
    <w:pPr>
      <w:jc w:val="center"/>
    </w:pPr>
    <w:rPr>
      <w:rFonts w:ascii="Univers" w:eastAsia="Batang" w:hAnsi="Univers" w:cs="Arial"/>
      <w:b/>
      <w:sz w:val="22"/>
      <w:lang w:val="es-AR"/>
    </w:rPr>
  </w:style>
  <w:style w:type="character" w:customStyle="1" w:styleId="TitleChar">
    <w:name w:val="Title Char"/>
    <w:link w:val="Title"/>
    <w:rsid w:val="00DB43BD"/>
    <w:rPr>
      <w:rFonts w:ascii="Univers" w:eastAsia="Batang" w:hAnsi="Univers" w:cs="Arial"/>
      <w:b/>
      <w:sz w:val="22"/>
      <w:szCs w:val="24"/>
      <w:bdr w:val="none" w:sz="0" w:space="0" w:color="auto"/>
      <w:lang w:val="es-AR" w:eastAsia="en-US"/>
    </w:rPr>
  </w:style>
  <w:style w:type="paragraph" w:styleId="BodyTextIndent3">
    <w:name w:val="Body Text Indent 3"/>
    <w:basedOn w:val="Normal"/>
    <w:link w:val="BodyTextIndent3Char"/>
    <w:rsid w:val="00DB43BD"/>
    <w:pPr>
      <w:ind w:firstLine="720"/>
      <w:jc w:val="both"/>
    </w:pPr>
    <w:rPr>
      <w:rFonts w:ascii="Univers" w:eastAsia="Batang" w:hAnsi="Univers"/>
      <w:sz w:val="22"/>
      <w:szCs w:val="20"/>
      <w:lang w:val="es-ES"/>
    </w:rPr>
  </w:style>
  <w:style w:type="character" w:customStyle="1" w:styleId="BodyTextIndent3Char">
    <w:name w:val="Body Text Indent 3 Char"/>
    <w:link w:val="BodyTextIndent3"/>
    <w:rsid w:val="00DB43BD"/>
    <w:rPr>
      <w:rFonts w:ascii="Univers" w:eastAsia="Batang" w:hAnsi="Univers"/>
      <w:sz w:val="22"/>
      <w:bdr w:val="none" w:sz="0" w:space="0" w:color="auto"/>
      <w:lang w:eastAsia="en-US"/>
    </w:rPr>
  </w:style>
  <w:style w:type="paragraph" w:styleId="BodyText3">
    <w:name w:val="Body Text 3"/>
    <w:basedOn w:val="Normal"/>
    <w:link w:val="BodyText3Char"/>
    <w:rsid w:val="00DB43BD"/>
    <w:pPr>
      <w:spacing w:after="120"/>
    </w:pPr>
    <w:rPr>
      <w:rFonts w:eastAsia="Batang"/>
      <w:sz w:val="16"/>
      <w:szCs w:val="16"/>
    </w:rPr>
  </w:style>
  <w:style w:type="character" w:customStyle="1" w:styleId="BodyText3Char">
    <w:name w:val="Body Text 3 Char"/>
    <w:link w:val="BodyText3"/>
    <w:rsid w:val="00DB43BD"/>
    <w:rPr>
      <w:rFonts w:eastAsia="Batang"/>
      <w:sz w:val="16"/>
      <w:szCs w:val="16"/>
      <w:bdr w:val="none" w:sz="0" w:space="0" w:color="auto"/>
      <w:lang w:val="en-US" w:eastAsia="en-US"/>
    </w:rPr>
  </w:style>
  <w:style w:type="character" w:customStyle="1" w:styleId="texto1">
    <w:name w:val="texto1"/>
    <w:rsid w:val="00DB43BD"/>
    <w:rPr>
      <w:rFonts w:ascii="Tahoma" w:hAnsi="Tahoma" w:cs="Tahoma"/>
      <w:color w:val="000000"/>
      <w:sz w:val="20"/>
      <w:szCs w:val="20"/>
      <w:u w:val="none"/>
      <w:effect w:val="none"/>
    </w:rPr>
  </w:style>
  <w:style w:type="paragraph" w:customStyle="1" w:styleId="CaptulosSt">
    <w:name w:val="Capítulos St."/>
    <w:basedOn w:val="Heading1"/>
    <w:next w:val="Normal"/>
    <w:rsid w:val="00DB43BD"/>
    <w:pPr>
      <w:keepLines w:val="0"/>
      <w:numPr>
        <w:numId w:val="0"/>
      </w:numPr>
      <w:jc w:val="center"/>
    </w:pPr>
    <w:rPr>
      <w:rFonts w:ascii="Verdana" w:eastAsia="Batang" w:hAnsi="Verdana"/>
      <w:bCs w:val="0"/>
      <w:smallCaps/>
      <w:kern w:val="32"/>
      <w:szCs w:val="32"/>
      <w:lang w:val="es-ES_tradnl"/>
    </w:rPr>
  </w:style>
  <w:style w:type="paragraph" w:styleId="DocumentMap">
    <w:name w:val="Document Map"/>
    <w:basedOn w:val="Normal"/>
    <w:link w:val="DocumentMapChar"/>
    <w:semiHidden/>
    <w:rsid w:val="00DB43BD"/>
    <w:pPr>
      <w:shd w:val="clear" w:color="auto" w:fill="000080"/>
    </w:pPr>
    <w:rPr>
      <w:rFonts w:ascii="Tahoma" w:eastAsia="Batang" w:hAnsi="Tahoma" w:cs="Tahoma"/>
      <w:sz w:val="20"/>
      <w:szCs w:val="20"/>
    </w:rPr>
  </w:style>
  <w:style w:type="character" w:customStyle="1" w:styleId="DocumentMapChar">
    <w:name w:val="Document Map Char"/>
    <w:link w:val="DocumentMap"/>
    <w:semiHidden/>
    <w:rsid w:val="00DB43BD"/>
    <w:rPr>
      <w:rFonts w:ascii="Tahoma" w:eastAsia="Batang" w:hAnsi="Tahoma" w:cs="Tahoma"/>
      <w:bdr w:val="none" w:sz="0" w:space="0" w:color="auto"/>
      <w:shd w:val="clear" w:color="auto" w:fill="000080"/>
      <w:lang w:val="en-US" w:eastAsia="en-US"/>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DB43BD"/>
    <w:rPr>
      <w:rFonts w:ascii="Univers" w:hAnsi="Univers" w:cs="Times New Roman"/>
      <w:lang w:val="en-US" w:eastAsia="en-US" w:bidi="ar-SA"/>
    </w:rPr>
  </w:style>
  <w:style w:type="character" w:customStyle="1" w:styleId="CharChar">
    <w:name w:val="Char Char"/>
    <w:semiHidden/>
    <w:rsid w:val="00DB43BD"/>
    <w:rPr>
      <w:rFonts w:ascii="Times New Roman" w:hAnsi="Times New Roman"/>
      <w:sz w:val="20"/>
    </w:rPr>
  </w:style>
  <w:style w:type="character" w:customStyle="1" w:styleId="FootnoteTextChar1">
    <w:name w:val="Footnote Text Char1"/>
    <w:aliases w:val="NOTA AL PIE TESIS PUCP Char1"/>
    <w:uiPriority w:val="99"/>
    <w:locked/>
    <w:rsid w:val="00DB43BD"/>
    <w:rPr>
      <w:rFonts w:ascii="Times New Roman" w:hAnsi="Times New Roman"/>
      <w:sz w:val="20"/>
    </w:rPr>
  </w:style>
  <w:style w:type="character" w:customStyle="1" w:styleId="FootnoteTextChar2">
    <w:name w:val="Footnote Text Char2"/>
    <w:aliases w:val="Footnote Text Char Char Char Char Char Char2,Footnote Text Char Char Char Char Char3,FA Fu Char2,Footnote reference Char2,Footnote Text Char Char Char Char3,Footnote Text Cha Char2,FA Fußnotentext Char2,FA Fuﬂnotentext Char2,Ca Char1"/>
    <w:locked/>
    <w:rsid w:val="00DB43BD"/>
    <w:rPr>
      <w:rFonts w:ascii="Times New Roman" w:hAnsi="Times New Roman"/>
      <w:sz w:val="20"/>
    </w:rPr>
  </w:style>
  <w:style w:type="character" w:customStyle="1" w:styleId="apple-converted-space">
    <w:name w:val="apple-converted-space"/>
    <w:rsid w:val="00DB43BD"/>
    <w:rPr>
      <w:rFonts w:cs="Times New Roman"/>
    </w:rPr>
  </w:style>
  <w:style w:type="character" w:customStyle="1" w:styleId="CharChar1">
    <w:name w:val="Char Char1"/>
    <w:rsid w:val="00DB43BD"/>
    <w:rPr>
      <w:lang w:val="en-US" w:eastAsia="en-US"/>
    </w:rPr>
  </w:style>
  <w:style w:type="character" w:styleId="CommentReference">
    <w:name w:val="annotation reference"/>
    <w:semiHidden/>
    <w:rsid w:val="00DB43BD"/>
    <w:rPr>
      <w:sz w:val="16"/>
      <w:szCs w:val="16"/>
    </w:rPr>
  </w:style>
  <w:style w:type="paragraph" w:styleId="CommentText">
    <w:name w:val="annotation text"/>
    <w:basedOn w:val="Normal"/>
    <w:link w:val="CommentTextChar"/>
    <w:semiHidden/>
    <w:rsid w:val="00DB43BD"/>
    <w:rPr>
      <w:rFonts w:eastAsia="Batang"/>
      <w:sz w:val="20"/>
      <w:szCs w:val="20"/>
    </w:rPr>
  </w:style>
  <w:style w:type="character" w:customStyle="1" w:styleId="CommentTextChar">
    <w:name w:val="Comment Text Char"/>
    <w:link w:val="CommentText"/>
    <w:semiHidden/>
    <w:rsid w:val="00DB43BD"/>
    <w:rPr>
      <w:rFonts w:eastAsia="Batang"/>
      <w:bdr w:val="none" w:sz="0" w:space="0" w:color="auto"/>
      <w:lang w:val="en-US" w:eastAsia="en-US"/>
    </w:rPr>
  </w:style>
  <w:style w:type="paragraph" w:styleId="CommentSubject">
    <w:name w:val="annotation subject"/>
    <w:basedOn w:val="CommentText"/>
    <w:next w:val="CommentText"/>
    <w:link w:val="CommentSubjectChar"/>
    <w:semiHidden/>
    <w:rsid w:val="00DB43BD"/>
    <w:rPr>
      <w:b/>
      <w:bCs/>
    </w:rPr>
  </w:style>
  <w:style w:type="character" w:customStyle="1" w:styleId="CommentSubjectChar">
    <w:name w:val="Comment Subject Char"/>
    <w:link w:val="CommentSubject"/>
    <w:semiHidden/>
    <w:rsid w:val="00DB43BD"/>
    <w:rPr>
      <w:rFonts w:eastAsia="Batang"/>
      <w:b/>
      <w:bCs/>
      <w:bdr w:val="none" w:sz="0" w:space="0" w:color="auto"/>
      <w:lang w:val="en-US" w:eastAsia="en-US"/>
    </w:rPr>
  </w:style>
  <w:style w:type="character" w:customStyle="1" w:styleId="apple-style-span">
    <w:name w:val="apple-style-span"/>
    <w:rsid w:val="00DB43BD"/>
  </w:style>
  <w:style w:type="character" w:customStyle="1" w:styleId="BodyTextIndentChar">
    <w:name w:val="Body Text Indent Char"/>
    <w:locked/>
    <w:rsid w:val="00DB43BD"/>
    <w:rPr>
      <w:rFonts w:cs="Times New Roman"/>
      <w:sz w:val="24"/>
      <w:szCs w:val="24"/>
    </w:rPr>
  </w:style>
  <w:style w:type="character" w:styleId="Emphasis">
    <w:name w:val="Emphasis"/>
    <w:uiPriority w:val="99"/>
    <w:qFormat/>
    <w:rsid w:val="00DB43BD"/>
    <w:rPr>
      <w:i/>
      <w:iCs/>
    </w:rPr>
  </w:style>
  <w:style w:type="character" w:customStyle="1" w:styleId="LightList-Accent5Char">
    <w:name w:val="Light List - Accent 5 Char"/>
    <w:aliases w:val="Colorful List - Accent 11 Char"/>
    <w:link w:val="LightList-Accent51"/>
    <w:uiPriority w:val="34"/>
    <w:locked/>
    <w:rsid w:val="00DB43BD"/>
    <w:rPr>
      <w:rFonts w:ascii="Cambria" w:eastAsia="Cambria" w:hAnsi="Cambria" w:cs="Cambria"/>
      <w:color w:val="000000"/>
      <w:sz w:val="24"/>
      <w:szCs w:val="24"/>
      <w:u w:color="000000"/>
      <w:lang w:val="en-US"/>
    </w:rPr>
  </w:style>
  <w:style w:type="paragraph" w:customStyle="1" w:styleId="MediumList2-Accent41">
    <w:name w:val="Medium List 2 - Accent 41"/>
    <w:basedOn w:val="Normal"/>
    <w:uiPriority w:val="34"/>
    <w:qFormat/>
    <w:rsid w:val="00F24F85"/>
    <w:pPr>
      <w:ind w:left="720"/>
    </w:pPr>
  </w:style>
  <w:style w:type="paragraph" w:customStyle="1" w:styleId="ColorfulShading-Accent31">
    <w:name w:val="Colorful Shading - Accent 31"/>
    <w:basedOn w:val="Normal"/>
    <w:uiPriority w:val="34"/>
    <w:qFormat/>
    <w:rsid w:val="00FF337F"/>
    <w:pPr>
      <w:ind w:left="720"/>
    </w:pPr>
  </w:style>
  <w:style w:type="paragraph" w:styleId="TOC5">
    <w:name w:val="toc 5"/>
    <w:basedOn w:val="Normal"/>
    <w:next w:val="Normal"/>
    <w:autoRedefine/>
    <w:uiPriority w:val="39"/>
    <w:unhideWhenUsed/>
    <w:rsid w:val="00CB24E8"/>
    <w:pPr>
      <w:ind w:left="960"/>
    </w:pPr>
  </w:style>
  <w:style w:type="paragraph" w:styleId="TOC6">
    <w:name w:val="toc 6"/>
    <w:basedOn w:val="Normal"/>
    <w:next w:val="Normal"/>
    <w:autoRedefine/>
    <w:uiPriority w:val="39"/>
    <w:unhideWhenUsed/>
    <w:rsid w:val="00CB24E8"/>
    <w:pPr>
      <w:ind w:left="1200"/>
    </w:pPr>
  </w:style>
  <w:style w:type="paragraph" w:styleId="TOC7">
    <w:name w:val="toc 7"/>
    <w:basedOn w:val="Normal"/>
    <w:next w:val="Normal"/>
    <w:autoRedefine/>
    <w:uiPriority w:val="39"/>
    <w:unhideWhenUsed/>
    <w:rsid w:val="00CB24E8"/>
    <w:pPr>
      <w:ind w:left="1440"/>
    </w:pPr>
  </w:style>
  <w:style w:type="paragraph" w:styleId="TOC8">
    <w:name w:val="toc 8"/>
    <w:basedOn w:val="Normal"/>
    <w:next w:val="Normal"/>
    <w:autoRedefine/>
    <w:uiPriority w:val="39"/>
    <w:unhideWhenUsed/>
    <w:rsid w:val="00CB24E8"/>
    <w:pPr>
      <w:ind w:left="1680"/>
    </w:pPr>
  </w:style>
  <w:style w:type="paragraph" w:styleId="TOC9">
    <w:name w:val="toc 9"/>
    <w:basedOn w:val="Normal"/>
    <w:next w:val="Normal"/>
    <w:autoRedefine/>
    <w:uiPriority w:val="39"/>
    <w:unhideWhenUsed/>
    <w:rsid w:val="00CB24E8"/>
    <w:pPr>
      <w:ind w:left="1920"/>
    </w:pPr>
  </w:style>
  <w:style w:type="paragraph" w:customStyle="1" w:styleId="LightGrid-Accent31">
    <w:name w:val="Light Grid - Accent 31"/>
    <w:basedOn w:val="Normal"/>
    <w:uiPriority w:val="34"/>
    <w:qFormat/>
    <w:rsid w:val="00A6731A"/>
    <w:pPr>
      <w:ind w:left="708"/>
    </w:pPr>
  </w:style>
  <w:style w:type="character" w:styleId="FollowedHyperlink">
    <w:name w:val="FollowedHyperlink"/>
    <w:uiPriority w:val="99"/>
    <w:semiHidden/>
    <w:unhideWhenUsed/>
    <w:rsid w:val="009C4A18"/>
    <w:rPr>
      <w:color w:val="800080"/>
      <w:u w:val="single"/>
    </w:rPr>
  </w:style>
  <w:style w:type="paragraph" w:customStyle="1" w:styleId="MediumGrid1-Accent21">
    <w:name w:val="Medium Grid 1 - Accent 21"/>
    <w:basedOn w:val="Normal"/>
    <w:uiPriority w:val="34"/>
    <w:qFormat/>
    <w:rsid w:val="002F5685"/>
    <w:pPr>
      <w:spacing w:after="160" w:line="259" w:lineRule="auto"/>
      <w:ind w:left="720"/>
      <w:contextualSpacing/>
    </w:pPr>
    <w:rPr>
      <w:rFonts w:ascii="Calibri" w:eastAsia="Calibri" w:hAnsi="Calibri"/>
      <w:sz w:val="22"/>
      <w:szCs w:val="22"/>
    </w:rPr>
  </w:style>
  <w:style w:type="paragraph" w:customStyle="1" w:styleId="ColorfulList-Accent12">
    <w:name w:val="Colorful List - Accent 12"/>
    <w:aliases w:val="Párrafo de lista1,List Paragraph1,List Paragraph11"/>
    <w:link w:val="ColorfulList-Accent1Char"/>
    <w:uiPriority w:val="99"/>
    <w:qFormat/>
    <w:rsid w:val="0071447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customStyle="1" w:styleId="ColorfulList-Accent1Char">
    <w:name w:val="Colorful List - Accent 1 Char"/>
    <w:aliases w:val="Párrafo de lista1 Char,List Paragraph1 Char,List Paragraph11 Char"/>
    <w:link w:val="ColorfulList-Accent12"/>
    <w:uiPriority w:val="99"/>
    <w:locked/>
    <w:rsid w:val="00714476"/>
    <w:rPr>
      <w:rFonts w:ascii="Cambria" w:eastAsia="Cambria" w:hAnsi="Cambria" w:cs="Cambria"/>
      <w:color w:val="000000"/>
      <w:sz w:val="24"/>
      <w:szCs w:val="24"/>
      <w:u w:color="000000"/>
      <w:bdr w:val="nil"/>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714476"/>
    <w:pPr>
      <w:spacing w:before="200" w:after="160" w:line="240" w:lineRule="exact"/>
    </w:pPr>
    <w:rPr>
      <w:sz w:val="20"/>
      <w:szCs w:val="20"/>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0B0119"/>
    <w:pPr>
      <w:spacing w:after="160" w:line="240" w:lineRule="exact"/>
    </w:pPr>
    <w:rPr>
      <w:sz w:val="20"/>
      <w:szCs w:val="20"/>
      <w:vertAlign w:val="superscript"/>
      <w:lang w:val="es-US" w:eastAsia="es-US"/>
    </w:rPr>
  </w:style>
  <w:style w:type="paragraph" w:customStyle="1" w:styleId="1">
    <w:name w:val="1"/>
    <w:basedOn w:val="Normal"/>
    <w:rsid w:val="00A27118"/>
    <w:pPr>
      <w:spacing w:after="160" w:line="240" w:lineRule="exact"/>
    </w:pPr>
    <w:rPr>
      <w:rFonts w:eastAsia="MS Mincho"/>
      <w:sz w:val="20"/>
      <w:szCs w:val="20"/>
      <w:vertAlign w:val="superscript"/>
    </w:rPr>
  </w:style>
  <w:style w:type="paragraph" w:styleId="ListParagraph">
    <w:name w:val="List Paragraph"/>
    <w:basedOn w:val="Normal"/>
    <w:uiPriority w:val="34"/>
    <w:qFormat/>
    <w:rsid w:val="00A315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547">
      <w:bodyDiv w:val="1"/>
      <w:marLeft w:val="0"/>
      <w:marRight w:val="0"/>
      <w:marTop w:val="0"/>
      <w:marBottom w:val="0"/>
      <w:divBdr>
        <w:top w:val="none" w:sz="0" w:space="0" w:color="auto"/>
        <w:left w:val="none" w:sz="0" w:space="0" w:color="auto"/>
        <w:bottom w:val="none" w:sz="0" w:space="0" w:color="auto"/>
        <w:right w:val="none" w:sz="0" w:space="0" w:color="auto"/>
      </w:divBdr>
    </w:div>
    <w:div w:id="241179409">
      <w:bodyDiv w:val="1"/>
      <w:marLeft w:val="0"/>
      <w:marRight w:val="0"/>
      <w:marTop w:val="0"/>
      <w:marBottom w:val="0"/>
      <w:divBdr>
        <w:top w:val="none" w:sz="0" w:space="0" w:color="auto"/>
        <w:left w:val="none" w:sz="0" w:space="0" w:color="auto"/>
        <w:bottom w:val="none" w:sz="0" w:space="0" w:color="auto"/>
        <w:right w:val="none" w:sz="0" w:space="0" w:color="auto"/>
      </w:divBdr>
    </w:div>
    <w:div w:id="261187769">
      <w:bodyDiv w:val="1"/>
      <w:marLeft w:val="0"/>
      <w:marRight w:val="0"/>
      <w:marTop w:val="0"/>
      <w:marBottom w:val="0"/>
      <w:divBdr>
        <w:top w:val="none" w:sz="0" w:space="0" w:color="auto"/>
        <w:left w:val="none" w:sz="0" w:space="0" w:color="auto"/>
        <w:bottom w:val="none" w:sz="0" w:space="0" w:color="auto"/>
        <w:right w:val="none" w:sz="0" w:space="0" w:color="auto"/>
      </w:divBdr>
    </w:div>
    <w:div w:id="308367872">
      <w:bodyDiv w:val="1"/>
      <w:marLeft w:val="0"/>
      <w:marRight w:val="0"/>
      <w:marTop w:val="0"/>
      <w:marBottom w:val="0"/>
      <w:divBdr>
        <w:top w:val="none" w:sz="0" w:space="0" w:color="auto"/>
        <w:left w:val="none" w:sz="0" w:space="0" w:color="auto"/>
        <w:bottom w:val="none" w:sz="0" w:space="0" w:color="auto"/>
        <w:right w:val="none" w:sz="0" w:space="0" w:color="auto"/>
      </w:divBdr>
    </w:div>
    <w:div w:id="428895435">
      <w:bodyDiv w:val="1"/>
      <w:marLeft w:val="0"/>
      <w:marRight w:val="0"/>
      <w:marTop w:val="0"/>
      <w:marBottom w:val="0"/>
      <w:divBdr>
        <w:top w:val="none" w:sz="0" w:space="0" w:color="auto"/>
        <w:left w:val="none" w:sz="0" w:space="0" w:color="auto"/>
        <w:bottom w:val="none" w:sz="0" w:space="0" w:color="auto"/>
        <w:right w:val="none" w:sz="0" w:space="0" w:color="auto"/>
      </w:divBdr>
    </w:div>
    <w:div w:id="584530813">
      <w:bodyDiv w:val="1"/>
      <w:marLeft w:val="0"/>
      <w:marRight w:val="0"/>
      <w:marTop w:val="0"/>
      <w:marBottom w:val="0"/>
      <w:divBdr>
        <w:top w:val="none" w:sz="0" w:space="0" w:color="auto"/>
        <w:left w:val="none" w:sz="0" w:space="0" w:color="auto"/>
        <w:bottom w:val="none" w:sz="0" w:space="0" w:color="auto"/>
        <w:right w:val="none" w:sz="0" w:space="0" w:color="auto"/>
      </w:divBdr>
    </w:div>
    <w:div w:id="962347391">
      <w:bodyDiv w:val="1"/>
      <w:marLeft w:val="0"/>
      <w:marRight w:val="0"/>
      <w:marTop w:val="0"/>
      <w:marBottom w:val="0"/>
      <w:divBdr>
        <w:top w:val="none" w:sz="0" w:space="0" w:color="auto"/>
        <w:left w:val="none" w:sz="0" w:space="0" w:color="auto"/>
        <w:bottom w:val="none" w:sz="0" w:space="0" w:color="auto"/>
        <w:right w:val="none" w:sz="0" w:space="0" w:color="auto"/>
      </w:divBdr>
    </w:div>
    <w:div w:id="968170865">
      <w:bodyDiv w:val="1"/>
      <w:marLeft w:val="0"/>
      <w:marRight w:val="0"/>
      <w:marTop w:val="0"/>
      <w:marBottom w:val="0"/>
      <w:divBdr>
        <w:top w:val="none" w:sz="0" w:space="0" w:color="auto"/>
        <w:left w:val="none" w:sz="0" w:space="0" w:color="auto"/>
        <w:bottom w:val="none" w:sz="0" w:space="0" w:color="auto"/>
        <w:right w:val="none" w:sz="0" w:space="0" w:color="auto"/>
      </w:divBdr>
    </w:div>
    <w:div w:id="997611429">
      <w:bodyDiv w:val="1"/>
      <w:marLeft w:val="0"/>
      <w:marRight w:val="0"/>
      <w:marTop w:val="0"/>
      <w:marBottom w:val="0"/>
      <w:divBdr>
        <w:top w:val="none" w:sz="0" w:space="0" w:color="auto"/>
        <w:left w:val="none" w:sz="0" w:space="0" w:color="auto"/>
        <w:bottom w:val="none" w:sz="0" w:space="0" w:color="auto"/>
        <w:right w:val="none" w:sz="0" w:space="0" w:color="auto"/>
      </w:divBdr>
      <w:divsChild>
        <w:div w:id="669480876">
          <w:marLeft w:val="0"/>
          <w:marRight w:val="0"/>
          <w:marTop w:val="0"/>
          <w:marBottom w:val="0"/>
          <w:divBdr>
            <w:top w:val="none" w:sz="0" w:space="0" w:color="auto"/>
            <w:left w:val="none" w:sz="0" w:space="0" w:color="auto"/>
            <w:bottom w:val="none" w:sz="0" w:space="0" w:color="auto"/>
            <w:right w:val="none" w:sz="0" w:space="0" w:color="auto"/>
          </w:divBdr>
          <w:divsChild>
            <w:div w:id="1259288067">
              <w:marLeft w:val="0"/>
              <w:marRight w:val="0"/>
              <w:marTop w:val="0"/>
              <w:marBottom w:val="0"/>
              <w:divBdr>
                <w:top w:val="none" w:sz="0" w:space="0" w:color="auto"/>
                <w:left w:val="none" w:sz="0" w:space="0" w:color="auto"/>
                <w:bottom w:val="none" w:sz="0" w:space="0" w:color="auto"/>
                <w:right w:val="none" w:sz="0" w:space="0" w:color="auto"/>
              </w:divBdr>
              <w:divsChild>
                <w:div w:id="1072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49141">
      <w:bodyDiv w:val="1"/>
      <w:marLeft w:val="0"/>
      <w:marRight w:val="0"/>
      <w:marTop w:val="0"/>
      <w:marBottom w:val="0"/>
      <w:divBdr>
        <w:top w:val="none" w:sz="0" w:space="0" w:color="auto"/>
        <w:left w:val="none" w:sz="0" w:space="0" w:color="auto"/>
        <w:bottom w:val="none" w:sz="0" w:space="0" w:color="auto"/>
        <w:right w:val="none" w:sz="0" w:space="0" w:color="auto"/>
      </w:divBdr>
    </w:div>
    <w:div w:id="1089811302">
      <w:bodyDiv w:val="1"/>
      <w:marLeft w:val="0"/>
      <w:marRight w:val="0"/>
      <w:marTop w:val="0"/>
      <w:marBottom w:val="0"/>
      <w:divBdr>
        <w:top w:val="none" w:sz="0" w:space="0" w:color="auto"/>
        <w:left w:val="none" w:sz="0" w:space="0" w:color="auto"/>
        <w:bottom w:val="none" w:sz="0" w:space="0" w:color="auto"/>
        <w:right w:val="none" w:sz="0" w:space="0" w:color="auto"/>
      </w:divBdr>
    </w:div>
    <w:div w:id="1095982392">
      <w:bodyDiv w:val="1"/>
      <w:marLeft w:val="0"/>
      <w:marRight w:val="0"/>
      <w:marTop w:val="0"/>
      <w:marBottom w:val="0"/>
      <w:divBdr>
        <w:top w:val="none" w:sz="0" w:space="0" w:color="auto"/>
        <w:left w:val="none" w:sz="0" w:space="0" w:color="auto"/>
        <w:bottom w:val="none" w:sz="0" w:space="0" w:color="auto"/>
        <w:right w:val="none" w:sz="0" w:space="0" w:color="auto"/>
      </w:divBdr>
    </w:div>
    <w:div w:id="1144355488">
      <w:bodyDiv w:val="1"/>
      <w:marLeft w:val="0"/>
      <w:marRight w:val="0"/>
      <w:marTop w:val="0"/>
      <w:marBottom w:val="0"/>
      <w:divBdr>
        <w:top w:val="none" w:sz="0" w:space="0" w:color="auto"/>
        <w:left w:val="none" w:sz="0" w:space="0" w:color="auto"/>
        <w:bottom w:val="none" w:sz="0" w:space="0" w:color="auto"/>
        <w:right w:val="none" w:sz="0" w:space="0" w:color="auto"/>
      </w:divBdr>
    </w:div>
    <w:div w:id="1226602391">
      <w:bodyDiv w:val="1"/>
      <w:marLeft w:val="0"/>
      <w:marRight w:val="0"/>
      <w:marTop w:val="0"/>
      <w:marBottom w:val="0"/>
      <w:divBdr>
        <w:top w:val="none" w:sz="0" w:space="0" w:color="auto"/>
        <w:left w:val="none" w:sz="0" w:space="0" w:color="auto"/>
        <w:bottom w:val="none" w:sz="0" w:space="0" w:color="auto"/>
        <w:right w:val="none" w:sz="0" w:space="0" w:color="auto"/>
      </w:divBdr>
    </w:div>
    <w:div w:id="1523713289">
      <w:bodyDiv w:val="1"/>
      <w:marLeft w:val="0"/>
      <w:marRight w:val="0"/>
      <w:marTop w:val="0"/>
      <w:marBottom w:val="0"/>
      <w:divBdr>
        <w:top w:val="none" w:sz="0" w:space="0" w:color="auto"/>
        <w:left w:val="none" w:sz="0" w:space="0" w:color="auto"/>
        <w:bottom w:val="none" w:sz="0" w:space="0" w:color="auto"/>
        <w:right w:val="none" w:sz="0" w:space="0" w:color="auto"/>
      </w:divBdr>
    </w:div>
    <w:div w:id="1549026198">
      <w:bodyDiv w:val="1"/>
      <w:marLeft w:val="0"/>
      <w:marRight w:val="0"/>
      <w:marTop w:val="0"/>
      <w:marBottom w:val="0"/>
      <w:divBdr>
        <w:top w:val="none" w:sz="0" w:space="0" w:color="auto"/>
        <w:left w:val="none" w:sz="0" w:space="0" w:color="auto"/>
        <w:bottom w:val="none" w:sz="0" w:space="0" w:color="auto"/>
        <w:right w:val="none" w:sz="0" w:space="0" w:color="auto"/>
      </w:divBdr>
    </w:div>
    <w:div w:id="159397224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17470778">
      <w:bodyDiv w:val="1"/>
      <w:marLeft w:val="0"/>
      <w:marRight w:val="0"/>
      <w:marTop w:val="0"/>
      <w:marBottom w:val="0"/>
      <w:divBdr>
        <w:top w:val="none" w:sz="0" w:space="0" w:color="auto"/>
        <w:left w:val="none" w:sz="0" w:space="0" w:color="auto"/>
        <w:bottom w:val="none" w:sz="0" w:space="0" w:color="auto"/>
        <w:right w:val="none" w:sz="0" w:space="0" w:color="auto"/>
      </w:divBdr>
    </w:div>
    <w:div w:id="1930044794">
      <w:bodyDiv w:val="1"/>
      <w:marLeft w:val="0"/>
      <w:marRight w:val="0"/>
      <w:marTop w:val="0"/>
      <w:marBottom w:val="0"/>
      <w:divBdr>
        <w:top w:val="none" w:sz="0" w:space="0" w:color="auto"/>
        <w:left w:val="none" w:sz="0" w:space="0" w:color="auto"/>
        <w:bottom w:val="none" w:sz="0" w:space="0" w:color="auto"/>
        <w:right w:val="none" w:sz="0" w:space="0" w:color="auto"/>
      </w:divBdr>
    </w:div>
    <w:div w:id="2014532501">
      <w:bodyDiv w:val="1"/>
      <w:marLeft w:val="0"/>
      <w:marRight w:val="0"/>
      <w:marTop w:val="0"/>
      <w:marBottom w:val="0"/>
      <w:divBdr>
        <w:top w:val="none" w:sz="0" w:space="0" w:color="auto"/>
        <w:left w:val="none" w:sz="0" w:space="0" w:color="auto"/>
        <w:bottom w:val="none" w:sz="0" w:space="0" w:color="auto"/>
        <w:right w:val="none" w:sz="0" w:space="0" w:color="auto"/>
      </w:divBdr>
    </w:div>
    <w:div w:id="2101363186">
      <w:bodyDiv w:val="1"/>
      <w:marLeft w:val="0"/>
      <w:marRight w:val="0"/>
      <w:marTop w:val="0"/>
      <w:marBottom w:val="0"/>
      <w:divBdr>
        <w:top w:val="none" w:sz="0" w:space="0" w:color="auto"/>
        <w:left w:val="none" w:sz="0" w:space="0" w:color="auto"/>
        <w:bottom w:val="none" w:sz="0" w:space="0" w:color="auto"/>
        <w:right w:val="none" w:sz="0" w:space="0" w:color="auto"/>
      </w:divBdr>
      <w:divsChild>
        <w:div w:id="239796691">
          <w:marLeft w:val="0"/>
          <w:marRight w:val="0"/>
          <w:marTop w:val="0"/>
          <w:marBottom w:val="624"/>
          <w:divBdr>
            <w:top w:val="none" w:sz="0" w:space="0" w:color="auto"/>
            <w:left w:val="none" w:sz="0" w:space="0" w:color="auto"/>
            <w:bottom w:val="none" w:sz="0" w:space="0" w:color="auto"/>
            <w:right w:val="none" w:sz="0" w:space="0" w:color="auto"/>
          </w:divBdr>
        </w:div>
        <w:div w:id="856579159">
          <w:marLeft w:val="0"/>
          <w:marRight w:val="0"/>
          <w:marTop w:val="0"/>
          <w:marBottom w:val="62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annualrep/95span/cap.III.argentina11.245.htm" TargetMode="External"/><Relationship Id="rId13" Type="http://schemas.openxmlformats.org/officeDocument/2006/relationships/hyperlink" Target="http://www.oas.org/es/cidh/defensores/docs/pdf/Operadores-de-Justicia-2013.pdf" TargetMode="External"/><Relationship Id="rId3" Type="http://schemas.openxmlformats.org/officeDocument/2006/relationships/hyperlink" Target="https://www.clarin.com/politica/Corrientes-detienen-ex-gobernador_0_Nk7NvVj-W.html" TargetMode="External"/><Relationship Id="rId7" Type="http://schemas.openxmlformats.org/officeDocument/2006/relationships/hyperlink" Target="http://www.cidh.oas.org/annualrep/95span/cap.III.argentina11.245.htm" TargetMode="External"/><Relationship Id="rId12" Type="http://schemas.openxmlformats.org/officeDocument/2006/relationships/hyperlink" Target="http://www.oas.org/es/cidh/defensores/docs/pdf/Operadores-de-Justicia-2013.pdf" TargetMode="External"/><Relationship Id="rId2" Type="http://schemas.openxmlformats.org/officeDocument/2006/relationships/hyperlink" Target="https://www.clarin.com/politica/Corrientes-detienen-ex-gobernador_0_Nk7NvVj-W.html" TargetMode="External"/><Relationship Id="rId1" Type="http://schemas.openxmlformats.org/officeDocument/2006/relationships/hyperlink" Target="http://www.oas.org/es/cidh/decisiones/2015/ARAD582-01ES.pdf" TargetMode="External"/><Relationship Id="rId6" Type="http://schemas.openxmlformats.org/officeDocument/2006/relationships/hyperlink" Target="http://www.oas.org/es/cidh/ppl/informes/pdfs/Informe-PP-2013-es.pdf" TargetMode="External"/><Relationship Id="rId11" Type="http://schemas.openxmlformats.org/officeDocument/2006/relationships/hyperlink" Target="http://www.oas.org/es/cidh/defensores/docs/pdf/Operadores-de-Justicia-2013.pdf" TargetMode="External"/><Relationship Id="rId5" Type="http://schemas.openxmlformats.org/officeDocument/2006/relationships/hyperlink" Target="http://www.oas.org/es/cidh/ppl/informes/pdfs/Informe-PP-2013-es.pdf" TargetMode="External"/><Relationship Id="rId10" Type="http://schemas.openxmlformats.org/officeDocument/2006/relationships/hyperlink" Target="http://www.oas.org/es/cidh/defensores/docs/pdf/Operadores-de-Justicia-2013.pdf" TargetMode="External"/><Relationship Id="rId4" Type="http://schemas.openxmlformats.org/officeDocument/2006/relationships/hyperlink" Target="http://www.oas.org/es/cidh/ppl/informes/pdfs/Informe-PP-2013-es.pdf" TargetMode="External"/><Relationship Id="rId9" Type="http://schemas.openxmlformats.org/officeDocument/2006/relationships/hyperlink" Target="http://www.oas.org/es/cidh/ppl/informes/pdfs/Informe-PP-2013-es.pdf" TargetMode="External"/><Relationship Id="rId14" Type="http://schemas.openxmlformats.org/officeDocument/2006/relationships/hyperlink" Target="http://www.oas.org/es/cidh/defensores/docs/pdf/Operadores-de-Justicia-201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A31F-3170-461D-9354-987FA048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15433</Words>
  <Characters>87972</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103199</CharactersWithSpaces>
  <SharedDoc>false</SharedDoc>
  <HLinks>
    <vt:vector size="150" baseType="variant">
      <vt:variant>
        <vt:i4>1703991</vt:i4>
      </vt:variant>
      <vt:variant>
        <vt:i4>62</vt:i4>
      </vt:variant>
      <vt:variant>
        <vt:i4>0</vt:i4>
      </vt:variant>
      <vt:variant>
        <vt:i4>5</vt:i4>
      </vt:variant>
      <vt:variant>
        <vt:lpwstr/>
      </vt:variant>
      <vt:variant>
        <vt:lpwstr>_Toc482275622</vt:lpwstr>
      </vt:variant>
      <vt:variant>
        <vt:i4>1703991</vt:i4>
      </vt:variant>
      <vt:variant>
        <vt:i4>56</vt:i4>
      </vt:variant>
      <vt:variant>
        <vt:i4>0</vt:i4>
      </vt:variant>
      <vt:variant>
        <vt:i4>5</vt:i4>
      </vt:variant>
      <vt:variant>
        <vt:lpwstr/>
      </vt:variant>
      <vt:variant>
        <vt:lpwstr>_Toc482275621</vt:lpwstr>
      </vt:variant>
      <vt:variant>
        <vt:i4>1703991</vt:i4>
      </vt:variant>
      <vt:variant>
        <vt:i4>50</vt:i4>
      </vt:variant>
      <vt:variant>
        <vt:i4>0</vt:i4>
      </vt:variant>
      <vt:variant>
        <vt:i4>5</vt:i4>
      </vt:variant>
      <vt:variant>
        <vt:lpwstr/>
      </vt:variant>
      <vt:variant>
        <vt:lpwstr>_Toc482275620</vt:lpwstr>
      </vt:variant>
      <vt:variant>
        <vt:i4>1638455</vt:i4>
      </vt:variant>
      <vt:variant>
        <vt:i4>44</vt:i4>
      </vt:variant>
      <vt:variant>
        <vt:i4>0</vt:i4>
      </vt:variant>
      <vt:variant>
        <vt:i4>5</vt:i4>
      </vt:variant>
      <vt:variant>
        <vt:lpwstr/>
      </vt:variant>
      <vt:variant>
        <vt:lpwstr>_Toc482275619</vt:lpwstr>
      </vt:variant>
      <vt:variant>
        <vt:i4>1638455</vt:i4>
      </vt:variant>
      <vt:variant>
        <vt:i4>38</vt:i4>
      </vt:variant>
      <vt:variant>
        <vt:i4>0</vt:i4>
      </vt:variant>
      <vt:variant>
        <vt:i4>5</vt:i4>
      </vt:variant>
      <vt:variant>
        <vt:lpwstr/>
      </vt:variant>
      <vt:variant>
        <vt:lpwstr>_Toc482275618</vt:lpwstr>
      </vt:variant>
      <vt:variant>
        <vt:i4>1638455</vt:i4>
      </vt:variant>
      <vt:variant>
        <vt:i4>32</vt:i4>
      </vt:variant>
      <vt:variant>
        <vt:i4>0</vt:i4>
      </vt:variant>
      <vt:variant>
        <vt:i4>5</vt:i4>
      </vt:variant>
      <vt:variant>
        <vt:lpwstr/>
      </vt:variant>
      <vt:variant>
        <vt:lpwstr>_Toc482275617</vt:lpwstr>
      </vt:variant>
      <vt:variant>
        <vt:i4>1638455</vt:i4>
      </vt:variant>
      <vt:variant>
        <vt:i4>26</vt:i4>
      </vt:variant>
      <vt:variant>
        <vt:i4>0</vt:i4>
      </vt:variant>
      <vt:variant>
        <vt:i4>5</vt:i4>
      </vt:variant>
      <vt:variant>
        <vt:lpwstr/>
      </vt:variant>
      <vt:variant>
        <vt:lpwstr>_Toc482275616</vt:lpwstr>
      </vt:variant>
      <vt:variant>
        <vt:i4>1638455</vt:i4>
      </vt:variant>
      <vt:variant>
        <vt:i4>20</vt:i4>
      </vt:variant>
      <vt:variant>
        <vt:i4>0</vt:i4>
      </vt:variant>
      <vt:variant>
        <vt:i4>5</vt:i4>
      </vt:variant>
      <vt:variant>
        <vt:lpwstr/>
      </vt:variant>
      <vt:variant>
        <vt:lpwstr>_Toc482275615</vt:lpwstr>
      </vt:variant>
      <vt:variant>
        <vt:i4>1638455</vt:i4>
      </vt:variant>
      <vt:variant>
        <vt:i4>14</vt:i4>
      </vt:variant>
      <vt:variant>
        <vt:i4>0</vt:i4>
      </vt:variant>
      <vt:variant>
        <vt:i4>5</vt:i4>
      </vt:variant>
      <vt:variant>
        <vt:lpwstr/>
      </vt:variant>
      <vt:variant>
        <vt:lpwstr>_Toc482275614</vt:lpwstr>
      </vt:variant>
      <vt:variant>
        <vt:i4>1638455</vt:i4>
      </vt:variant>
      <vt:variant>
        <vt:i4>8</vt:i4>
      </vt:variant>
      <vt:variant>
        <vt:i4>0</vt:i4>
      </vt:variant>
      <vt:variant>
        <vt:i4>5</vt:i4>
      </vt:variant>
      <vt:variant>
        <vt:lpwstr/>
      </vt:variant>
      <vt:variant>
        <vt:lpwstr>_Toc482275613</vt:lpwstr>
      </vt:variant>
      <vt:variant>
        <vt:i4>1638455</vt:i4>
      </vt:variant>
      <vt:variant>
        <vt:i4>2</vt:i4>
      </vt:variant>
      <vt:variant>
        <vt:i4>0</vt:i4>
      </vt:variant>
      <vt:variant>
        <vt:i4>5</vt:i4>
      </vt:variant>
      <vt:variant>
        <vt:lpwstr/>
      </vt:variant>
      <vt:variant>
        <vt:lpwstr>_Toc482275612</vt:lpwstr>
      </vt:variant>
      <vt:variant>
        <vt:i4>4128876</vt:i4>
      </vt:variant>
      <vt:variant>
        <vt:i4>39</vt:i4>
      </vt:variant>
      <vt:variant>
        <vt:i4>0</vt:i4>
      </vt:variant>
      <vt:variant>
        <vt:i4>5</vt:i4>
      </vt:variant>
      <vt:variant>
        <vt:lpwstr>http://www.oas.org/es/cidh/defensores/docs/pdf/Operadores-de-Justicia-2013.pdf</vt:lpwstr>
      </vt:variant>
      <vt:variant>
        <vt:lpwstr/>
      </vt:variant>
      <vt:variant>
        <vt:i4>4128876</vt:i4>
      </vt:variant>
      <vt:variant>
        <vt:i4>36</vt:i4>
      </vt:variant>
      <vt:variant>
        <vt:i4>0</vt:i4>
      </vt:variant>
      <vt:variant>
        <vt:i4>5</vt:i4>
      </vt:variant>
      <vt:variant>
        <vt:lpwstr>http://www.oas.org/es/cidh/defensores/docs/pdf/Operadores-de-Justicia-2013.pdf</vt:lpwstr>
      </vt:variant>
      <vt:variant>
        <vt:lpwstr/>
      </vt:variant>
      <vt:variant>
        <vt:i4>4128876</vt:i4>
      </vt:variant>
      <vt:variant>
        <vt:i4>33</vt:i4>
      </vt:variant>
      <vt:variant>
        <vt:i4>0</vt:i4>
      </vt:variant>
      <vt:variant>
        <vt:i4>5</vt:i4>
      </vt:variant>
      <vt:variant>
        <vt:lpwstr>http://www.oas.org/es/cidh/defensores/docs/pdf/Operadores-de-Justicia-2013.pdf</vt:lpwstr>
      </vt:variant>
      <vt:variant>
        <vt:lpwstr/>
      </vt:variant>
      <vt:variant>
        <vt:i4>4128876</vt:i4>
      </vt:variant>
      <vt:variant>
        <vt:i4>30</vt:i4>
      </vt:variant>
      <vt:variant>
        <vt:i4>0</vt:i4>
      </vt:variant>
      <vt:variant>
        <vt:i4>5</vt:i4>
      </vt:variant>
      <vt:variant>
        <vt:lpwstr>http://www.oas.org/es/cidh/defensores/docs/pdf/Operadores-de-Justicia-2013.pdf</vt:lpwstr>
      </vt:variant>
      <vt:variant>
        <vt:lpwstr/>
      </vt:variant>
      <vt:variant>
        <vt:i4>4128876</vt:i4>
      </vt:variant>
      <vt:variant>
        <vt:i4>27</vt:i4>
      </vt:variant>
      <vt:variant>
        <vt:i4>0</vt:i4>
      </vt:variant>
      <vt:variant>
        <vt:i4>5</vt:i4>
      </vt:variant>
      <vt:variant>
        <vt:lpwstr>http://www.oas.org/es/cidh/defensores/docs/pdf/Operadores-de-Justicia-2013.pdf</vt:lpwstr>
      </vt:variant>
      <vt:variant>
        <vt:lpwstr/>
      </vt:variant>
      <vt:variant>
        <vt:i4>2162812</vt:i4>
      </vt:variant>
      <vt:variant>
        <vt:i4>24</vt:i4>
      </vt:variant>
      <vt:variant>
        <vt:i4>0</vt:i4>
      </vt:variant>
      <vt:variant>
        <vt:i4>5</vt:i4>
      </vt:variant>
      <vt:variant>
        <vt:lpwstr>http://www.oas.org/es/cidh/ppl/informes/pdfs/Informe-PP-2013-es.pdf</vt:lpwstr>
      </vt:variant>
      <vt:variant>
        <vt:lpwstr/>
      </vt:variant>
      <vt:variant>
        <vt:i4>4587609</vt:i4>
      </vt:variant>
      <vt:variant>
        <vt:i4>21</vt:i4>
      </vt:variant>
      <vt:variant>
        <vt:i4>0</vt:i4>
      </vt:variant>
      <vt:variant>
        <vt:i4>5</vt:i4>
      </vt:variant>
      <vt:variant>
        <vt:lpwstr>http://www.cidh.oas.org/annualrep/95span/cap.III.argentina11.245.htm</vt:lpwstr>
      </vt:variant>
      <vt:variant>
        <vt:lpwstr/>
      </vt:variant>
      <vt:variant>
        <vt:i4>4587609</vt:i4>
      </vt:variant>
      <vt:variant>
        <vt:i4>18</vt:i4>
      </vt:variant>
      <vt:variant>
        <vt:i4>0</vt:i4>
      </vt:variant>
      <vt:variant>
        <vt:i4>5</vt:i4>
      </vt:variant>
      <vt:variant>
        <vt:lpwstr>http://www.cidh.oas.org/annualrep/95span/cap.III.argentina11.245.htm</vt:lpwstr>
      </vt:variant>
      <vt:variant>
        <vt:lpwstr/>
      </vt:variant>
      <vt:variant>
        <vt:i4>2162812</vt:i4>
      </vt:variant>
      <vt:variant>
        <vt:i4>15</vt:i4>
      </vt:variant>
      <vt:variant>
        <vt:i4>0</vt:i4>
      </vt:variant>
      <vt:variant>
        <vt:i4>5</vt:i4>
      </vt:variant>
      <vt:variant>
        <vt:lpwstr>http://www.oas.org/es/cidh/ppl/informes/pdfs/Informe-PP-2013-es.pdf</vt:lpwstr>
      </vt:variant>
      <vt:variant>
        <vt:lpwstr/>
      </vt:variant>
      <vt:variant>
        <vt:i4>2162812</vt:i4>
      </vt:variant>
      <vt:variant>
        <vt:i4>12</vt:i4>
      </vt:variant>
      <vt:variant>
        <vt:i4>0</vt:i4>
      </vt:variant>
      <vt:variant>
        <vt:i4>5</vt:i4>
      </vt:variant>
      <vt:variant>
        <vt:lpwstr>http://www.oas.org/es/cidh/ppl/informes/pdfs/Informe-PP-2013-es.pdf</vt:lpwstr>
      </vt:variant>
      <vt:variant>
        <vt:lpwstr/>
      </vt:variant>
      <vt:variant>
        <vt:i4>2162812</vt:i4>
      </vt:variant>
      <vt:variant>
        <vt:i4>9</vt:i4>
      </vt:variant>
      <vt:variant>
        <vt:i4>0</vt:i4>
      </vt:variant>
      <vt:variant>
        <vt:i4>5</vt:i4>
      </vt:variant>
      <vt:variant>
        <vt:lpwstr>http://www.oas.org/es/cidh/ppl/informes/pdfs/Informe-PP-2013-es.pdf</vt:lpwstr>
      </vt:variant>
      <vt:variant>
        <vt:lpwstr/>
      </vt:variant>
      <vt:variant>
        <vt:i4>3735588</vt:i4>
      </vt:variant>
      <vt:variant>
        <vt:i4>6</vt:i4>
      </vt:variant>
      <vt:variant>
        <vt:i4>0</vt:i4>
      </vt:variant>
      <vt:variant>
        <vt:i4>5</vt:i4>
      </vt:variant>
      <vt:variant>
        <vt:lpwstr>https://www.clarin.com/politica/Corrientes-detienen-ex-gobernador_0_Nk7NvVj-W.html</vt:lpwstr>
      </vt:variant>
      <vt:variant>
        <vt:lpwstr/>
      </vt:variant>
      <vt:variant>
        <vt:i4>3735588</vt:i4>
      </vt:variant>
      <vt:variant>
        <vt:i4>3</vt:i4>
      </vt:variant>
      <vt:variant>
        <vt:i4>0</vt:i4>
      </vt:variant>
      <vt:variant>
        <vt:i4>5</vt:i4>
      </vt:variant>
      <vt:variant>
        <vt:lpwstr>https://www.clarin.com/politica/Corrientes-detienen-ex-gobernador_0_Nk7NvVj-W.html</vt:lpwstr>
      </vt:variant>
      <vt:variant>
        <vt:lpwstr/>
      </vt:variant>
      <vt:variant>
        <vt:i4>3670140</vt:i4>
      </vt:variant>
      <vt:variant>
        <vt:i4>0</vt:i4>
      </vt:variant>
      <vt:variant>
        <vt:i4>0</vt:i4>
      </vt:variant>
      <vt:variant>
        <vt:i4>5</vt:i4>
      </vt:variant>
      <vt:variant>
        <vt:lpwstr>http://www.oas.org/es/cidh/decisiones/2015/ARAD582-01ES.pdf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CIDH</dc:creator>
  <cp:lastModifiedBy>%username%</cp:lastModifiedBy>
  <cp:revision>5</cp:revision>
  <cp:lastPrinted>2017-06-30T11:09:00Z</cp:lastPrinted>
  <dcterms:created xsi:type="dcterms:W3CDTF">2017-07-12T14:33:00Z</dcterms:created>
  <dcterms:modified xsi:type="dcterms:W3CDTF">2017-09-21T20:56:00Z</dcterms:modified>
</cp:coreProperties>
</file>