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1E06E" w14:textId="77777777" w:rsidR="00040C3A" w:rsidRPr="0033784B" w:rsidRDefault="00D306D1" w:rsidP="00627C9F">
      <w:pPr>
        <w:jc w:val="both"/>
        <w:rPr>
          <w:rFonts w:ascii="Cambria" w:hAnsi="Cambria" w:cs="Univers"/>
          <w:b/>
          <w:bCs/>
          <w:sz w:val="22"/>
          <w:szCs w:val="22"/>
          <w:lang w:val="es-ES_tradnl"/>
        </w:rPr>
      </w:pPr>
      <w:r w:rsidRPr="0033784B">
        <w:rPr>
          <w:rFonts w:ascii="Cambria" w:hAnsi="Cambria"/>
          <w:noProof/>
          <w:sz w:val="22"/>
          <w:szCs w:val="22"/>
        </w:rPr>
        <mc:AlternateContent>
          <mc:Choice Requires="wps">
            <w:drawing>
              <wp:anchor distT="0" distB="0" distL="114300" distR="114300" simplePos="0" relativeHeight="251661311" behindDoc="0" locked="0" layoutInCell="1" allowOverlap="1" wp14:anchorId="5621957C" wp14:editId="6170A730">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33784B">
        <w:rPr>
          <w:rFonts w:ascii="Cambria" w:hAnsi="Cambria"/>
          <w:noProof/>
          <w:sz w:val="22"/>
          <w:szCs w:val="22"/>
        </w:rPr>
        <mc:AlternateContent>
          <mc:Choice Requires="wps">
            <w:drawing>
              <wp:anchor distT="0" distB="0" distL="114300" distR="114300" simplePos="0" relativeHeight="251673600" behindDoc="0" locked="0" layoutInCell="1" allowOverlap="1" wp14:anchorId="39CAC0EB" wp14:editId="3257C11A">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048A29" w14:textId="77777777" w:rsidR="009379E4" w:rsidRDefault="009379E4" w:rsidP="00AE5488">
                            <w:r>
                              <w:rPr>
                                <w:noProof/>
                              </w:rPr>
                              <w:drawing>
                                <wp:inline distT="0" distB="0" distL="0" distR="0" wp14:anchorId="394A8494" wp14:editId="7ACCFF46">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68048A29" w14:textId="77777777" w:rsidR="009379E4" w:rsidRDefault="009379E4" w:rsidP="00AE5488">
                      <w:r>
                        <w:rPr>
                          <w:noProof/>
                        </w:rPr>
                        <w:drawing>
                          <wp:inline distT="0" distB="0" distL="0" distR="0" wp14:anchorId="394A8494" wp14:editId="7ACCFF46">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61FBB8A5" w14:textId="77777777" w:rsidR="00040C3A" w:rsidRPr="0033784B" w:rsidRDefault="00040C3A" w:rsidP="00040C3A">
      <w:pPr>
        <w:tabs>
          <w:tab w:val="center" w:pos="5400"/>
        </w:tabs>
        <w:suppressAutoHyphens/>
        <w:jc w:val="both"/>
        <w:rPr>
          <w:rFonts w:ascii="Cambria" w:hAnsi="Cambria"/>
          <w:sz w:val="22"/>
          <w:szCs w:val="22"/>
          <w:lang w:val="es-ES"/>
        </w:rPr>
      </w:pPr>
    </w:p>
    <w:p w14:paraId="10E7863C" w14:textId="77777777" w:rsidR="00040C3A" w:rsidRPr="0033784B" w:rsidRDefault="00040C3A" w:rsidP="00040C3A">
      <w:pPr>
        <w:tabs>
          <w:tab w:val="center" w:pos="5400"/>
        </w:tabs>
        <w:suppressAutoHyphens/>
        <w:jc w:val="both"/>
        <w:rPr>
          <w:rFonts w:ascii="Cambria" w:hAnsi="Cambria"/>
          <w:sz w:val="22"/>
          <w:szCs w:val="22"/>
          <w:lang w:val="es-ES"/>
        </w:rPr>
      </w:pPr>
    </w:p>
    <w:p w14:paraId="1D155BAE" w14:textId="77777777" w:rsidR="005128E4" w:rsidRPr="0033784B" w:rsidRDefault="005128E4" w:rsidP="00040C3A">
      <w:pPr>
        <w:tabs>
          <w:tab w:val="center" w:pos="5400"/>
        </w:tabs>
        <w:suppressAutoHyphens/>
        <w:rPr>
          <w:rFonts w:ascii="Cambria" w:hAnsi="Cambria"/>
          <w:sz w:val="22"/>
          <w:szCs w:val="22"/>
          <w:lang w:val="es-ES_tradnl"/>
        </w:rPr>
      </w:pPr>
    </w:p>
    <w:p w14:paraId="576AD84F" w14:textId="77777777" w:rsidR="005128E4" w:rsidRPr="0033784B" w:rsidRDefault="005128E4" w:rsidP="00040C3A">
      <w:pPr>
        <w:tabs>
          <w:tab w:val="center" w:pos="5400"/>
        </w:tabs>
        <w:suppressAutoHyphens/>
        <w:rPr>
          <w:rFonts w:ascii="Cambria" w:hAnsi="Cambria"/>
          <w:sz w:val="22"/>
          <w:szCs w:val="22"/>
          <w:lang w:val="es-ES_tradnl"/>
        </w:rPr>
      </w:pPr>
    </w:p>
    <w:p w14:paraId="38F92E15" w14:textId="77777777" w:rsidR="005128E4" w:rsidRPr="0033784B" w:rsidRDefault="005128E4" w:rsidP="00040C3A">
      <w:pPr>
        <w:tabs>
          <w:tab w:val="center" w:pos="5400"/>
        </w:tabs>
        <w:suppressAutoHyphens/>
        <w:rPr>
          <w:rFonts w:ascii="Cambria" w:hAnsi="Cambria"/>
          <w:sz w:val="22"/>
          <w:szCs w:val="22"/>
          <w:lang w:val="es-ES_tradnl"/>
        </w:rPr>
      </w:pPr>
    </w:p>
    <w:p w14:paraId="4A69BE3C" w14:textId="77777777" w:rsidR="00040C3A" w:rsidRPr="0033784B" w:rsidRDefault="00040C3A" w:rsidP="005128E4">
      <w:pPr>
        <w:tabs>
          <w:tab w:val="center" w:pos="5400"/>
        </w:tabs>
        <w:suppressAutoHyphens/>
        <w:jc w:val="center"/>
        <w:rPr>
          <w:rFonts w:ascii="Cambria" w:hAnsi="Cambria"/>
          <w:sz w:val="22"/>
          <w:szCs w:val="22"/>
          <w:lang w:val="es-ES_tradnl"/>
        </w:rPr>
      </w:pPr>
    </w:p>
    <w:p w14:paraId="55B3DF22" w14:textId="77777777" w:rsidR="00040C3A" w:rsidRPr="0033784B" w:rsidRDefault="00040C3A" w:rsidP="005128E4">
      <w:pPr>
        <w:tabs>
          <w:tab w:val="center" w:pos="5400"/>
        </w:tabs>
        <w:suppressAutoHyphens/>
        <w:jc w:val="center"/>
        <w:rPr>
          <w:rFonts w:ascii="Cambria" w:hAnsi="Cambria"/>
          <w:sz w:val="22"/>
          <w:szCs w:val="22"/>
          <w:lang w:val="es-ES_tradnl"/>
        </w:rPr>
      </w:pPr>
    </w:p>
    <w:p w14:paraId="7084054C" w14:textId="77777777" w:rsidR="005B52B0" w:rsidRPr="0033784B" w:rsidRDefault="005B52B0" w:rsidP="005128E4">
      <w:pPr>
        <w:tabs>
          <w:tab w:val="center" w:pos="5400"/>
        </w:tabs>
        <w:suppressAutoHyphens/>
        <w:jc w:val="center"/>
        <w:rPr>
          <w:rFonts w:ascii="Cambria" w:hAnsi="Cambria"/>
          <w:sz w:val="22"/>
          <w:szCs w:val="22"/>
          <w:lang w:val="es-ES_tradnl"/>
        </w:rPr>
      </w:pPr>
    </w:p>
    <w:p w14:paraId="13CC2EAC" w14:textId="77777777" w:rsidR="005B52B0" w:rsidRPr="0033784B" w:rsidRDefault="005B52B0" w:rsidP="005128E4">
      <w:pPr>
        <w:tabs>
          <w:tab w:val="center" w:pos="5400"/>
        </w:tabs>
        <w:suppressAutoHyphens/>
        <w:jc w:val="center"/>
        <w:rPr>
          <w:rFonts w:ascii="Cambria" w:hAnsi="Cambria"/>
          <w:sz w:val="22"/>
          <w:szCs w:val="22"/>
          <w:lang w:val="es-ES_tradnl"/>
        </w:rPr>
      </w:pPr>
    </w:p>
    <w:p w14:paraId="1B272BEB" w14:textId="77777777" w:rsidR="005B52B0" w:rsidRPr="0033784B" w:rsidRDefault="005B52B0" w:rsidP="005128E4">
      <w:pPr>
        <w:tabs>
          <w:tab w:val="center" w:pos="5400"/>
        </w:tabs>
        <w:suppressAutoHyphens/>
        <w:jc w:val="center"/>
        <w:rPr>
          <w:rFonts w:ascii="Cambria" w:hAnsi="Cambria"/>
          <w:sz w:val="22"/>
          <w:szCs w:val="22"/>
          <w:lang w:val="es-ES_tradnl"/>
        </w:rPr>
      </w:pPr>
    </w:p>
    <w:p w14:paraId="48CC8906" w14:textId="77777777" w:rsidR="00040C3A" w:rsidRPr="0033784B" w:rsidRDefault="00040C3A" w:rsidP="00040C3A">
      <w:pPr>
        <w:tabs>
          <w:tab w:val="center" w:pos="5400"/>
        </w:tabs>
        <w:suppressAutoHyphens/>
        <w:jc w:val="center"/>
        <w:rPr>
          <w:rFonts w:ascii="Cambria" w:hAnsi="Cambria"/>
          <w:sz w:val="22"/>
          <w:szCs w:val="22"/>
          <w:lang w:val="es-ES_tradnl"/>
        </w:rPr>
      </w:pPr>
    </w:p>
    <w:p w14:paraId="69B17CED" w14:textId="77777777" w:rsidR="00040C3A" w:rsidRPr="0033784B" w:rsidRDefault="00040C3A" w:rsidP="00040C3A">
      <w:pPr>
        <w:tabs>
          <w:tab w:val="center" w:pos="5400"/>
        </w:tabs>
        <w:suppressAutoHyphens/>
        <w:jc w:val="center"/>
        <w:rPr>
          <w:rFonts w:ascii="Cambria" w:hAnsi="Cambria"/>
          <w:sz w:val="22"/>
          <w:szCs w:val="22"/>
          <w:lang w:val="es-ES_tradnl"/>
        </w:rPr>
      </w:pPr>
    </w:p>
    <w:p w14:paraId="59127074" w14:textId="77777777" w:rsidR="00040C3A" w:rsidRPr="0033784B" w:rsidRDefault="003D3BC2" w:rsidP="00040C3A">
      <w:pPr>
        <w:tabs>
          <w:tab w:val="center" w:pos="5400"/>
        </w:tabs>
        <w:suppressAutoHyphens/>
        <w:jc w:val="center"/>
        <w:rPr>
          <w:rFonts w:ascii="Cambria" w:hAnsi="Cambria"/>
          <w:sz w:val="22"/>
          <w:szCs w:val="22"/>
          <w:lang w:val="es-ES_tradnl"/>
        </w:rPr>
      </w:pPr>
      <w:r w:rsidRPr="0033784B">
        <w:rPr>
          <w:rFonts w:ascii="Cambria" w:hAnsi="Cambria"/>
          <w:noProof/>
          <w:sz w:val="22"/>
          <w:szCs w:val="22"/>
        </w:rPr>
        <mc:AlternateContent>
          <mc:Choice Requires="wps">
            <w:drawing>
              <wp:anchor distT="0" distB="0" distL="114300" distR="114300" simplePos="0" relativeHeight="251669504" behindDoc="0" locked="0" layoutInCell="1" allowOverlap="1" wp14:anchorId="6B97D217" wp14:editId="27368E0D">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DBD3F0" w14:textId="57C53F45" w:rsidR="009379E4" w:rsidRPr="004E2649" w:rsidRDefault="009379E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0D714D">
                              <w:rPr>
                                <w:rFonts w:asciiTheme="majorHAnsi" w:hAnsiTheme="majorHAnsi" w:cs="Arial"/>
                                <w:b/>
                                <w:bCs/>
                                <w:color w:val="0D0D0D" w:themeColor="text1" w:themeTint="F2"/>
                                <w:sz w:val="36"/>
                                <w:szCs w:val="40"/>
                                <w:lang w:val="es-ES_tradnl"/>
                              </w:rPr>
                              <w:t>Nº 97</w:t>
                            </w:r>
                            <w:r>
                              <w:rPr>
                                <w:rFonts w:asciiTheme="majorHAnsi" w:hAnsiTheme="majorHAnsi" w:cs="Arial"/>
                                <w:b/>
                                <w:bCs/>
                                <w:color w:val="0D0D0D" w:themeColor="text1" w:themeTint="F2"/>
                                <w:sz w:val="36"/>
                                <w:szCs w:val="22"/>
                                <w:lang w:val="es-ES_tradnl"/>
                              </w:rPr>
                              <w:t>/17</w:t>
                            </w:r>
                          </w:p>
                          <w:p w14:paraId="295E7AF3" w14:textId="77777777" w:rsidR="009379E4" w:rsidRPr="004E2649" w:rsidRDefault="009379E4"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CASO 12.924</w:t>
                            </w:r>
                          </w:p>
                          <w:p w14:paraId="289F912C" w14:textId="77777777" w:rsidR="009379E4" w:rsidRDefault="009379E4"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FONDO</w:t>
                            </w:r>
                            <w:bookmarkStart w:id="0" w:name="_ftnref1"/>
                          </w:p>
                          <w:bookmarkEnd w:id="0"/>
                          <w:p w14:paraId="0C91171C" w14:textId="77777777" w:rsidR="009379E4" w:rsidRDefault="009379E4" w:rsidP="007A5817">
                            <w:pPr>
                              <w:rPr>
                                <w:color w:val="0D0D0D" w:themeColor="text1" w:themeTint="F2"/>
                                <w:lang w:val="es-ES_tradnl"/>
                              </w:rPr>
                            </w:pPr>
                          </w:p>
                          <w:p w14:paraId="6117BEE3" w14:textId="1DCF9048" w:rsidR="000040A0" w:rsidRDefault="009379E4" w:rsidP="007A5817">
                            <w:pPr>
                              <w:rPr>
                                <w:color w:val="0D0D0D" w:themeColor="text1" w:themeTint="F2"/>
                                <w:lang w:val="es-ES_tradnl"/>
                              </w:rPr>
                            </w:pPr>
                            <w:r>
                              <w:rPr>
                                <w:color w:val="0D0D0D" w:themeColor="text1" w:themeTint="F2"/>
                                <w:lang w:val="es-ES_tradnl"/>
                              </w:rPr>
                              <w:t xml:space="preserve">JULIO </w:t>
                            </w:r>
                            <w:r>
                              <w:rPr>
                                <w:color w:val="0D0D0D" w:themeColor="text1" w:themeTint="F2"/>
                                <w:lang w:val="es-MX"/>
                              </w:rPr>
                              <w:t xml:space="preserve">CÉSAR RAMÓN </w:t>
                            </w:r>
                            <w:r w:rsidR="000040A0">
                              <w:rPr>
                                <w:color w:val="0D0D0D" w:themeColor="text1" w:themeTint="F2"/>
                                <w:lang w:val="es-ES_tradnl"/>
                              </w:rPr>
                              <w:t>DEL VALLE AMBROSIO y</w:t>
                            </w:r>
                          </w:p>
                          <w:p w14:paraId="353043A5" w14:textId="6702F4A3" w:rsidR="009379E4" w:rsidRDefault="009379E4" w:rsidP="007A5817">
                            <w:pPr>
                              <w:rPr>
                                <w:color w:val="0D0D0D" w:themeColor="text1" w:themeTint="F2"/>
                                <w:lang w:val="es-ES_tradnl"/>
                              </w:rPr>
                            </w:pPr>
                            <w:r>
                              <w:rPr>
                                <w:color w:val="0D0D0D" w:themeColor="text1" w:themeTint="F2"/>
                                <w:lang w:val="es-ES_tradnl"/>
                              </w:rPr>
                              <w:t>CARLOS EDUARDO DOMÍNGUEZ LINARES</w:t>
                            </w:r>
                          </w:p>
                          <w:p w14:paraId="179FECCE" w14:textId="77777777" w:rsidR="009379E4" w:rsidRDefault="009379E4" w:rsidP="007A5817">
                            <w:pPr>
                              <w:rPr>
                                <w:color w:val="0D0D0D" w:themeColor="text1" w:themeTint="F2"/>
                                <w:lang w:val="es-ES_tradnl"/>
                              </w:rPr>
                            </w:pPr>
                          </w:p>
                          <w:p w14:paraId="6D4C68D5" w14:textId="77777777" w:rsidR="009379E4" w:rsidRPr="00AE5488" w:rsidRDefault="009379E4" w:rsidP="007A5817">
                            <w:pPr>
                              <w:rPr>
                                <w:color w:val="0D0D0D" w:themeColor="text1" w:themeTint="F2"/>
                                <w:lang w:val="es-ES_tradnl"/>
                              </w:rPr>
                            </w:pPr>
                            <w:r>
                              <w:rPr>
                                <w:color w:val="0D0D0D" w:themeColor="text1" w:themeTint="F2"/>
                                <w:lang w:val="es-ES_tradnl"/>
                              </w:rPr>
                              <w:t>ARGENTINA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1DBD3F0" w14:textId="57C53F45" w:rsidR="009379E4" w:rsidRPr="004E2649" w:rsidRDefault="009379E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0D714D">
                        <w:rPr>
                          <w:rFonts w:asciiTheme="majorHAnsi" w:hAnsiTheme="majorHAnsi" w:cs="Arial"/>
                          <w:b/>
                          <w:bCs/>
                          <w:color w:val="0D0D0D" w:themeColor="text1" w:themeTint="F2"/>
                          <w:sz w:val="36"/>
                          <w:szCs w:val="40"/>
                          <w:lang w:val="es-ES_tradnl"/>
                        </w:rPr>
                        <w:t>Nº 97</w:t>
                      </w:r>
                      <w:r>
                        <w:rPr>
                          <w:rFonts w:asciiTheme="majorHAnsi" w:hAnsiTheme="majorHAnsi" w:cs="Arial"/>
                          <w:b/>
                          <w:bCs/>
                          <w:color w:val="0D0D0D" w:themeColor="text1" w:themeTint="F2"/>
                          <w:sz w:val="36"/>
                          <w:szCs w:val="22"/>
                          <w:lang w:val="es-ES_tradnl"/>
                        </w:rPr>
                        <w:t>/17</w:t>
                      </w:r>
                    </w:p>
                    <w:p w14:paraId="295E7AF3" w14:textId="77777777" w:rsidR="009379E4" w:rsidRPr="004E2649" w:rsidRDefault="009379E4"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CASO 12.924</w:t>
                      </w:r>
                    </w:p>
                    <w:p w14:paraId="289F912C" w14:textId="77777777" w:rsidR="009379E4" w:rsidRDefault="009379E4"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FONDO</w:t>
                      </w:r>
                      <w:bookmarkStart w:id="1" w:name="_ftnref1"/>
                    </w:p>
                    <w:bookmarkEnd w:id="1"/>
                    <w:p w14:paraId="0C91171C" w14:textId="77777777" w:rsidR="009379E4" w:rsidRDefault="009379E4" w:rsidP="007A5817">
                      <w:pPr>
                        <w:rPr>
                          <w:color w:val="0D0D0D" w:themeColor="text1" w:themeTint="F2"/>
                          <w:lang w:val="es-ES_tradnl"/>
                        </w:rPr>
                      </w:pPr>
                    </w:p>
                    <w:p w14:paraId="6117BEE3" w14:textId="1DCF9048" w:rsidR="000040A0" w:rsidRDefault="009379E4" w:rsidP="007A5817">
                      <w:pPr>
                        <w:rPr>
                          <w:color w:val="0D0D0D" w:themeColor="text1" w:themeTint="F2"/>
                          <w:lang w:val="es-ES_tradnl"/>
                        </w:rPr>
                      </w:pPr>
                      <w:r>
                        <w:rPr>
                          <w:color w:val="0D0D0D" w:themeColor="text1" w:themeTint="F2"/>
                          <w:lang w:val="es-ES_tradnl"/>
                        </w:rPr>
                        <w:t xml:space="preserve">JULIO </w:t>
                      </w:r>
                      <w:r>
                        <w:rPr>
                          <w:color w:val="0D0D0D" w:themeColor="text1" w:themeTint="F2"/>
                          <w:lang w:val="es-MX"/>
                        </w:rPr>
                        <w:t xml:space="preserve">CÉSAR RAMÓN </w:t>
                      </w:r>
                      <w:r w:rsidR="000040A0">
                        <w:rPr>
                          <w:color w:val="0D0D0D" w:themeColor="text1" w:themeTint="F2"/>
                          <w:lang w:val="es-ES_tradnl"/>
                        </w:rPr>
                        <w:t>DEL VALLE AMBROSIO y</w:t>
                      </w:r>
                    </w:p>
                    <w:p w14:paraId="353043A5" w14:textId="6702F4A3" w:rsidR="009379E4" w:rsidRDefault="009379E4" w:rsidP="007A5817">
                      <w:pPr>
                        <w:rPr>
                          <w:color w:val="0D0D0D" w:themeColor="text1" w:themeTint="F2"/>
                          <w:lang w:val="es-ES_tradnl"/>
                        </w:rPr>
                      </w:pPr>
                      <w:r>
                        <w:rPr>
                          <w:color w:val="0D0D0D" w:themeColor="text1" w:themeTint="F2"/>
                          <w:lang w:val="es-ES_tradnl"/>
                        </w:rPr>
                        <w:t>CARLOS EDUARDO DOMÍNGUEZ LINARES</w:t>
                      </w:r>
                    </w:p>
                    <w:p w14:paraId="179FECCE" w14:textId="77777777" w:rsidR="009379E4" w:rsidRDefault="009379E4" w:rsidP="007A5817">
                      <w:pPr>
                        <w:rPr>
                          <w:color w:val="0D0D0D" w:themeColor="text1" w:themeTint="F2"/>
                          <w:lang w:val="es-ES_tradnl"/>
                        </w:rPr>
                      </w:pPr>
                    </w:p>
                    <w:p w14:paraId="6D4C68D5" w14:textId="77777777" w:rsidR="009379E4" w:rsidRPr="00AE5488" w:rsidRDefault="009379E4" w:rsidP="007A5817">
                      <w:pPr>
                        <w:rPr>
                          <w:color w:val="0D0D0D" w:themeColor="text1" w:themeTint="F2"/>
                          <w:lang w:val="es-ES_tradnl"/>
                        </w:rPr>
                      </w:pPr>
                      <w:r>
                        <w:rPr>
                          <w:color w:val="0D0D0D" w:themeColor="text1" w:themeTint="F2"/>
                          <w:lang w:val="es-ES_tradnl"/>
                        </w:rPr>
                        <w:t>ARGENTINA</w:t>
                      </w:r>
                    </w:p>
                  </w:txbxContent>
                </v:textbox>
              </v:shape>
            </w:pict>
          </mc:Fallback>
        </mc:AlternateContent>
      </w:r>
      <w:r w:rsidR="004E2649" w:rsidRPr="0033784B">
        <w:rPr>
          <w:rFonts w:ascii="Cambria" w:hAnsi="Cambria"/>
          <w:noProof/>
          <w:sz w:val="22"/>
          <w:szCs w:val="22"/>
        </w:rPr>
        <mc:AlternateContent>
          <mc:Choice Requires="wps">
            <w:drawing>
              <wp:anchor distT="0" distB="0" distL="114300" distR="114300" simplePos="0" relativeHeight="251671552" behindDoc="0" locked="0" layoutInCell="1" allowOverlap="1" wp14:anchorId="1FC12636" wp14:editId="4FE3B53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9D86FA" w14:textId="15920BA2" w:rsidR="009379E4" w:rsidRPr="004E2649" w:rsidRDefault="009379E4"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r w:rsidR="000040A0">
                              <w:rPr>
                                <w:rFonts w:asciiTheme="minorHAnsi" w:hAnsiTheme="minorHAnsi"/>
                                <w:color w:val="FFFFFF" w:themeColor="background1"/>
                                <w:sz w:val="22"/>
                                <w:lang w:val="pt-BR"/>
                              </w:rPr>
                              <w:t>164</w:t>
                            </w:r>
                          </w:p>
                          <w:p w14:paraId="71502AF0" w14:textId="489B1269" w:rsidR="009379E4" w:rsidRPr="004E2649" w:rsidRDefault="000040A0"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115</w:t>
                            </w:r>
                          </w:p>
                          <w:p w14:paraId="2B8C3EC9" w14:textId="098602BD" w:rsidR="009379E4" w:rsidRPr="004E2649" w:rsidRDefault="000D714D"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5 </w:t>
                            </w:r>
                            <w:proofErr w:type="spellStart"/>
                            <w:r>
                              <w:rPr>
                                <w:rFonts w:asciiTheme="minorHAnsi" w:hAnsiTheme="minorHAnsi"/>
                                <w:color w:val="FFFFFF" w:themeColor="background1"/>
                                <w:sz w:val="22"/>
                              </w:rPr>
                              <w:t>septiembre</w:t>
                            </w:r>
                            <w:proofErr w:type="spellEnd"/>
                            <w:r>
                              <w:rPr>
                                <w:rFonts w:asciiTheme="minorHAnsi" w:hAnsiTheme="minorHAnsi"/>
                                <w:color w:val="FFFFFF" w:themeColor="background1"/>
                                <w:sz w:val="22"/>
                              </w:rPr>
                              <w:t xml:space="preserve"> 2017</w:t>
                            </w:r>
                          </w:p>
                          <w:p w14:paraId="3E5179C4" w14:textId="77777777" w:rsidR="009379E4" w:rsidRPr="004E2649" w:rsidRDefault="009379E4"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779D86FA" w14:textId="15920BA2" w:rsidR="009379E4" w:rsidRPr="004E2649" w:rsidRDefault="009379E4"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r w:rsidR="000040A0">
                        <w:rPr>
                          <w:rFonts w:asciiTheme="minorHAnsi" w:hAnsiTheme="minorHAnsi"/>
                          <w:color w:val="FFFFFF" w:themeColor="background1"/>
                          <w:sz w:val="22"/>
                          <w:lang w:val="pt-BR"/>
                        </w:rPr>
                        <w:t>164</w:t>
                      </w:r>
                    </w:p>
                    <w:p w14:paraId="71502AF0" w14:textId="489B1269" w:rsidR="009379E4" w:rsidRPr="004E2649" w:rsidRDefault="000040A0"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115</w:t>
                      </w:r>
                    </w:p>
                    <w:p w14:paraId="2B8C3EC9" w14:textId="098602BD" w:rsidR="009379E4" w:rsidRPr="004E2649" w:rsidRDefault="000D714D"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5 </w:t>
                      </w:r>
                      <w:proofErr w:type="spellStart"/>
                      <w:r>
                        <w:rPr>
                          <w:rFonts w:asciiTheme="minorHAnsi" w:hAnsiTheme="minorHAnsi"/>
                          <w:color w:val="FFFFFF" w:themeColor="background1"/>
                          <w:sz w:val="22"/>
                        </w:rPr>
                        <w:t>septiembre</w:t>
                      </w:r>
                      <w:proofErr w:type="spellEnd"/>
                      <w:r>
                        <w:rPr>
                          <w:rFonts w:asciiTheme="minorHAnsi" w:hAnsiTheme="minorHAnsi"/>
                          <w:color w:val="FFFFFF" w:themeColor="background1"/>
                          <w:sz w:val="22"/>
                        </w:rPr>
                        <w:t xml:space="preserve"> 2017</w:t>
                      </w:r>
                    </w:p>
                    <w:p w14:paraId="3E5179C4" w14:textId="77777777" w:rsidR="009379E4" w:rsidRPr="004E2649" w:rsidRDefault="009379E4"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txbxContent>
                </v:textbox>
              </v:shape>
            </w:pict>
          </mc:Fallback>
        </mc:AlternateContent>
      </w:r>
    </w:p>
    <w:p w14:paraId="3371029C" w14:textId="77777777" w:rsidR="00040C3A" w:rsidRPr="0033784B" w:rsidRDefault="00040C3A" w:rsidP="00040C3A">
      <w:pPr>
        <w:tabs>
          <w:tab w:val="center" w:pos="5400"/>
        </w:tabs>
        <w:suppressAutoHyphens/>
        <w:jc w:val="center"/>
        <w:rPr>
          <w:rFonts w:ascii="Cambria" w:hAnsi="Cambria"/>
          <w:sz w:val="22"/>
          <w:szCs w:val="22"/>
          <w:lang w:val="es-ES_tradnl"/>
        </w:rPr>
      </w:pPr>
    </w:p>
    <w:p w14:paraId="117DE6CD" w14:textId="77777777" w:rsidR="00040C3A" w:rsidRPr="0033784B" w:rsidRDefault="00040C3A" w:rsidP="00040C3A">
      <w:pPr>
        <w:tabs>
          <w:tab w:val="center" w:pos="5400"/>
        </w:tabs>
        <w:suppressAutoHyphens/>
        <w:jc w:val="center"/>
        <w:rPr>
          <w:rFonts w:ascii="Cambria" w:hAnsi="Cambria"/>
          <w:sz w:val="22"/>
          <w:szCs w:val="22"/>
          <w:lang w:val="es-ES_tradnl"/>
        </w:rPr>
      </w:pPr>
    </w:p>
    <w:p w14:paraId="260C0EEE" w14:textId="77777777" w:rsidR="00040C3A" w:rsidRPr="0033784B" w:rsidRDefault="00040C3A" w:rsidP="00040C3A">
      <w:pPr>
        <w:tabs>
          <w:tab w:val="center" w:pos="5400"/>
        </w:tabs>
        <w:suppressAutoHyphens/>
        <w:jc w:val="center"/>
        <w:rPr>
          <w:rFonts w:ascii="Cambria" w:hAnsi="Cambria" w:cs="Arial"/>
          <w:sz w:val="22"/>
          <w:szCs w:val="22"/>
          <w:lang w:val="es-ES_tradnl"/>
        </w:rPr>
      </w:pPr>
    </w:p>
    <w:p w14:paraId="37A58CBD" w14:textId="77777777" w:rsidR="00040C3A" w:rsidRPr="0033784B" w:rsidRDefault="00040C3A" w:rsidP="00040C3A">
      <w:pPr>
        <w:tabs>
          <w:tab w:val="center" w:pos="5400"/>
        </w:tabs>
        <w:suppressAutoHyphens/>
        <w:jc w:val="center"/>
        <w:rPr>
          <w:rFonts w:ascii="Cambria" w:hAnsi="Cambria"/>
          <w:sz w:val="22"/>
          <w:szCs w:val="22"/>
          <w:lang w:val="es-ES_tradnl"/>
        </w:rPr>
      </w:pPr>
    </w:p>
    <w:p w14:paraId="6515050D" w14:textId="77777777" w:rsidR="00040C3A" w:rsidRPr="0033784B" w:rsidRDefault="00040C3A" w:rsidP="00040C3A">
      <w:pPr>
        <w:tabs>
          <w:tab w:val="center" w:pos="5400"/>
        </w:tabs>
        <w:suppressAutoHyphens/>
        <w:jc w:val="center"/>
        <w:rPr>
          <w:rFonts w:ascii="Cambria" w:hAnsi="Cambria"/>
          <w:sz w:val="22"/>
          <w:szCs w:val="22"/>
          <w:lang w:val="es-ES_tradnl"/>
        </w:rPr>
      </w:pPr>
    </w:p>
    <w:p w14:paraId="726FAE1E" w14:textId="77777777" w:rsidR="00040C3A" w:rsidRPr="0033784B" w:rsidRDefault="00040C3A" w:rsidP="00040C3A">
      <w:pPr>
        <w:tabs>
          <w:tab w:val="center" w:pos="5400"/>
        </w:tabs>
        <w:suppressAutoHyphens/>
        <w:jc w:val="center"/>
        <w:rPr>
          <w:rFonts w:ascii="Cambria" w:hAnsi="Cambria"/>
          <w:sz w:val="22"/>
          <w:szCs w:val="22"/>
          <w:lang w:val="es-ES_tradnl"/>
        </w:rPr>
      </w:pPr>
    </w:p>
    <w:p w14:paraId="4177B267" w14:textId="77777777" w:rsidR="00040C3A" w:rsidRPr="0033784B" w:rsidRDefault="00040C3A" w:rsidP="00040C3A">
      <w:pPr>
        <w:tabs>
          <w:tab w:val="center" w:pos="5400"/>
        </w:tabs>
        <w:suppressAutoHyphens/>
        <w:jc w:val="center"/>
        <w:rPr>
          <w:rFonts w:ascii="Cambria" w:hAnsi="Cambria"/>
          <w:sz w:val="22"/>
          <w:szCs w:val="22"/>
          <w:lang w:val="es-ES_tradnl"/>
        </w:rPr>
      </w:pPr>
    </w:p>
    <w:p w14:paraId="2803FCD9" w14:textId="77777777" w:rsidR="005128E4" w:rsidRPr="0033784B" w:rsidRDefault="005128E4" w:rsidP="00040C3A">
      <w:pPr>
        <w:tabs>
          <w:tab w:val="center" w:pos="5400"/>
        </w:tabs>
        <w:suppressAutoHyphens/>
        <w:jc w:val="center"/>
        <w:rPr>
          <w:rFonts w:ascii="Cambria" w:hAnsi="Cambria"/>
          <w:sz w:val="22"/>
          <w:szCs w:val="22"/>
          <w:lang w:val="es-ES_tradnl"/>
        </w:rPr>
      </w:pPr>
    </w:p>
    <w:p w14:paraId="3C07EC18" w14:textId="77777777" w:rsidR="00040C3A" w:rsidRPr="0033784B" w:rsidRDefault="00040C3A" w:rsidP="00040C3A">
      <w:pPr>
        <w:tabs>
          <w:tab w:val="center" w:pos="5400"/>
        </w:tabs>
        <w:suppressAutoHyphens/>
        <w:jc w:val="center"/>
        <w:rPr>
          <w:rFonts w:ascii="Cambria" w:hAnsi="Cambria"/>
          <w:sz w:val="22"/>
          <w:szCs w:val="22"/>
          <w:lang w:val="es-ES_tradnl"/>
        </w:rPr>
      </w:pPr>
    </w:p>
    <w:p w14:paraId="16F937B4" w14:textId="77777777" w:rsidR="005128E4" w:rsidRPr="0033784B" w:rsidRDefault="005128E4" w:rsidP="00040C3A">
      <w:pPr>
        <w:tabs>
          <w:tab w:val="center" w:pos="5400"/>
        </w:tabs>
        <w:suppressAutoHyphens/>
        <w:jc w:val="center"/>
        <w:rPr>
          <w:rFonts w:ascii="Cambria" w:hAnsi="Cambria"/>
          <w:sz w:val="22"/>
          <w:szCs w:val="22"/>
          <w:lang w:val="es-ES_tradnl"/>
        </w:rPr>
      </w:pPr>
    </w:p>
    <w:p w14:paraId="71DAA5D7" w14:textId="77777777" w:rsidR="005128E4" w:rsidRPr="0033784B" w:rsidRDefault="005128E4" w:rsidP="00040C3A">
      <w:pPr>
        <w:tabs>
          <w:tab w:val="center" w:pos="5400"/>
        </w:tabs>
        <w:suppressAutoHyphens/>
        <w:jc w:val="center"/>
        <w:rPr>
          <w:rFonts w:ascii="Cambria" w:hAnsi="Cambria"/>
          <w:sz w:val="22"/>
          <w:szCs w:val="22"/>
          <w:lang w:val="es-ES_tradnl"/>
        </w:rPr>
      </w:pPr>
    </w:p>
    <w:p w14:paraId="6C1924CF" w14:textId="77777777" w:rsidR="005128E4" w:rsidRPr="0033784B" w:rsidRDefault="005128E4" w:rsidP="00040C3A">
      <w:pPr>
        <w:tabs>
          <w:tab w:val="center" w:pos="5400"/>
        </w:tabs>
        <w:suppressAutoHyphens/>
        <w:jc w:val="center"/>
        <w:rPr>
          <w:rFonts w:ascii="Cambria" w:hAnsi="Cambria"/>
          <w:sz w:val="22"/>
          <w:szCs w:val="22"/>
          <w:lang w:val="es-ES_tradnl"/>
        </w:rPr>
      </w:pPr>
    </w:p>
    <w:p w14:paraId="1BA61535" w14:textId="77777777" w:rsidR="00040C3A" w:rsidRPr="0033784B" w:rsidRDefault="00040C3A" w:rsidP="00040C3A">
      <w:pPr>
        <w:tabs>
          <w:tab w:val="center" w:pos="5400"/>
        </w:tabs>
        <w:suppressAutoHyphens/>
        <w:jc w:val="center"/>
        <w:rPr>
          <w:rFonts w:ascii="Cambria" w:hAnsi="Cambria"/>
          <w:sz w:val="22"/>
          <w:szCs w:val="22"/>
          <w:lang w:val="es-ES_tradnl"/>
        </w:rPr>
      </w:pPr>
    </w:p>
    <w:p w14:paraId="4D885D68" w14:textId="77777777" w:rsidR="00040C3A" w:rsidRPr="0033784B" w:rsidRDefault="00040C3A" w:rsidP="00040C3A">
      <w:pPr>
        <w:tabs>
          <w:tab w:val="center" w:pos="5400"/>
        </w:tabs>
        <w:suppressAutoHyphens/>
        <w:jc w:val="center"/>
        <w:rPr>
          <w:rFonts w:ascii="Cambria" w:hAnsi="Cambria"/>
          <w:sz w:val="22"/>
          <w:szCs w:val="22"/>
          <w:lang w:val="es-ES_tradnl"/>
        </w:rPr>
      </w:pPr>
    </w:p>
    <w:p w14:paraId="03743FBE" w14:textId="77777777" w:rsidR="00A50FCF" w:rsidRPr="0033784B" w:rsidRDefault="00A50FCF" w:rsidP="00040C3A">
      <w:pPr>
        <w:tabs>
          <w:tab w:val="center" w:pos="5400"/>
        </w:tabs>
        <w:suppressAutoHyphens/>
        <w:jc w:val="center"/>
        <w:rPr>
          <w:rFonts w:ascii="Cambria" w:hAnsi="Cambria"/>
          <w:sz w:val="18"/>
          <w:szCs w:val="22"/>
          <w:lang w:val="es-ES_tradnl"/>
        </w:rPr>
      </w:pPr>
    </w:p>
    <w:p w14:paraId="1DBE1126" w14:textId="77777777" w:rsidR="00A50FCF" w:rsidRPr="0033784B" w:rsidRDefault="00A50FCF" w:rsidP="00040C3A">
      <w:pPr>
        <w:tabs>
          <w:tab w:val="center" w:pos="5400"/>
        </w:tabs>
        <w:suppressAutoHyphens/>
        <w:jc w:val="center"/>
        <w:rPr>
          <w:rFonts w:ascii="Cambria" w:hAnsi="Cambria"/>
          <w:sz w:val="18"/>
          <w:szCs w:val="22"/>
          <w:lang w:val="es-ES_tradnl"/>
        </w:rPr>
      </w:pPr>
    </w:p>
    <w:p w14:paraId="1FA4B054" w14:textId="77777777" w:rsidR="00A50FCF" w:rsidRPr="0033784B" w:rsidRDefault="00A50FCF" w:rsidP="00040C3A">
      <w:pPr>
        <w:tabs>
          <w:tab w:val="center" w:pos="5400"/>
        </w:tabs>
        <w:suppressAutoHyphens/>
        <w:jc w:val="center"/>
        <w:rPr>
          <w:rFonts w:ascii="Cambria" w:hAnsi="Cambria"/>
          <w:sz w:val="18"/>
          <w:szCs w:val="22"/>
          <w:lang w:val="es-ES_tradnl"/>
        </w:rPr>
      </w:pPr>
    </w:p>
    <w:p w14:paraId="0C0D51F9" w14:textId="77777777" w:rsidR="00A50FCF" w:rsidRPr="0033784B" w:rsidRDefault="00A50FCF" w:rsidP="00040C3A">
      <w:pPr>
        <w:tabs>
          <w:tab w:val="center" w:pos="5400"/>
        </w:tabs>
        <w:suppressAutoHyphens/>
        <w:jc w:val="center"/>
        <w:rPr>
          <w:rFonts w:ascii="Cambria" w:hAnsi="Cambria"/>
          <w:sz w:val="18"/>
          <w:szCs w:val="22"/>
          <w:lang w:val="es-ES_tradnl"/>
        </w:rPr>
      </w:pPr>
    </w:p>
    <w:p w14:paraId="760E6D8F" w14:textId="77777777" w:rsidR="00A50FCF" w:rsidRPr="0033784B" w:rsidRDefault="00A50FCF" w:rsidP="00040C3A">
      <w:pPr>
        <w:tabs>
          <w:tab w:val="center" w:pos="5400"/>
        </w:tabs>
        <w:suppressAutoHyphens/>
        <w:jc w:val="center"/>
        <w:rPr>
          <w:rFonts w:ascii="Cambria" w:hAnsi="Cambria"/>
          <w:sz w:val="18"/>
          <w:szCs w:val="22"/>
          <w:lang w:val="es-ES_tradnl"/>
        </w:rPr>
      </w:pPr>
    </w:p>
    <w:p w14:paraId="228DF851" w14:textId="77777777" w:rsidR="00A50FCF" w:rsidRPr="0033784B" w:rsidRDefault="00A50FCF" w:rsidP="00040C3A">
      <w:pPr>
        <w:tabs>
          <w:tab w:val="center" w:pos="5400"/>
        </w:tabs>
        <w:suppressAutoHyphens/>
        <w:jc w:val="center"/>
        <w:rPr>
          <w:rFonts w:ascii="Cambria" w:hAnsi="Cambria"/>
          <w:sz w:val="18"/>
          <w:szCs w:val="22"/>
          <w:lang w:val="es-ES_tradnl"/>
        </w:rPr>
      </w:pPr>
    </w:p>
    <w:p w14:paraId="3B7C0E86" w14:textId="77777777" w:rsidR="00A50FCF" w:rsidRPr="0033784B" w:rsidRDefault="00A50FCF" w:rsidP="00040C3A">
      <w:pPr>
        <w:tabs>
          <w:tab w:val="center" w:pos="5400"/>
        </w:tabs>
        <w:suppressAutoHyphens/>
        <w:jc w:val="center"/>
        <w:rPr>
          <w:rFonts w:ascii="Cambria" w:hAnsi="Cambria"/>
          <w:sz w:val="18"/>
          <w:szCs w:val="22"/>
          <w:lang w:val="es-ES_tradnl"/>
        </w:rPr>
      </w:pPr>
    </w:p>
    <w:p w14:paraId="2145EF04" w14:textId="77777777" w:rsidR="00A50FCF" w:rsidRPr="0033784B" w:rsidRDefault="00A50FCF" w:rsidP="00040C3A">
      <w:pPr>
        <w:tabs>
          <w:tab w:val="center" w:pos="5400"/>
        </w:tabs>
        <w:suppressAutoHyphens/>
        <w:jc w:val="center"/>
        <w:rPr>
          <w:rFonts w:ascii="Cambria" w:hAnsi="Cambria"/>
          <w:sz w:val="18"/>
          <w:szCs w:val="22"/>
          <w:lang w:val="es-ES_tradnl"/>
        </w:rPr>
      </w:pPr>
    </w:p>
    <w:p w14:paraId="12EF391C" w14:textId="77777777" w:rsidR="00A50FCF" w:rsidRPr="0033784B" w:rsidRDefault="00A50FCF" w:rsidP="00040C3A">
      <w:pPr>
        <w:tabs>
          <w:tab w:val="center" w:pos="5400"/>
        </w:tabs>
        <w:suppressAutoHyphens/>
        <w:jc w:val="center"/>
        <w:rPr>
          <w:rFonts w:ascii="Cambria" w:hAnsi="Cambria"/>
          <w:sz w:val="18"/>
          <w:szCs w:val="22"/>
          <w:lang w:val="es-ES_tradnl"/>
        </w:rPr>
      </w:pPr>
    </w:p>
    <w:p w14:paraId="7E6E93AD" w14:textId="77777777" w:rsidR="00A50FCF" w:rsidRPr="0033784B" w:rsidRDefault="00A50FCF" w:rsidP="00040C3A">
      <w:pPr>
        <w:tabs>
          <w:tab w:val="center" w:pos="5400"/>
        </w:tabs>
        <w:suppressAutoHyphens/>
        <w:jc w:val="center"/>
        <w:rPr>
          <w:rFonts w:ascii="Cambria" w:hAnsi="Cambria"/>
          <w:sz w:val="18"/>
          <w:szCs w:val="22"/>
          <w:lang w:val="es-ES_tradnl"/>
        </w:rPr>
      </w:pPr>
    </w:p>
    <w:p w14:paraId="73245000" w14:textId="77777777" w:rsidR="00A50FCF" w:rsidRPr="0033784B" w:rsidRDefault="00A50FCF" w:rsidP="00040C3A">
      <w:pPr>
        <w:tabs>
          <w:tab w:val="center" w:pos="5400"/>
        </w:tabs>
        <w:suppressAutoHyphens/>
        <w:jc w:val="center"/>
        <w:rPr>
          <w:rFonts w:ascii="Cambria" w:hAnsi="Cambria"/>
          <w:sz w:val="18"/>
          <w:szCs w:val="22"/>
          <w:lang w:val="es-ES_tradnl"/>
        </w:rPr>
      </w:pPr>
    </w:p>
    <w:p w14:paraId="531E0F74" w14:textId="77777777" w:rsidR="00A50FCF" w:rsidRPr="0033784B" w:rsidRDefault="00A50FCF" w:rsidP="00040C3A">
      <w:pPr>
        <w:tabs>
          <w:tab w:val="center" w:pos="5400"/>
        </w:tabs>
        <w:suppressAutoHyphens/>
        <w:jc w:val="center"/>
        <w:rPr>
          <w:rFonts w:ascii="Cambria" w:hAnsi="Cambria"/>
          <w:sz w:val="18"/>
          <w:szCs w:val="22"/>
          <w:lang w:val="es-ES_tradnl"/>
        </w:rPr>
      </w:pPr>
    </w:p>
    <w:p w14:paraId="4343ADEE" w14:textId="77777777" w:rsidR="00A50FCF" w:rsidRPr="0033784B" w:rsidRDefault="00A50FCF" w:rsidP="00040C3A">
      <w:pPr>
        <w:tabs>
          <w:tab w:val="center" w:pos="5400"/>
        </w:tabs>
        <w:suppressAutoHyphens/>
        <w:jc w:val="center"/>
        <w:rPr>
          <w:rFonts w:ascii="Cambria" w:hAnsi="Cambria"/>
          <w:sz w:val="18"/>
          <w:szCs w:val="22"/>
          <w:lang w:val="es-ES_tradnl"/>
        </w:rPr>
      </w:pPr>
    </w:p>
    <w:p w14:paraId="167466AB" w14:textId="77777777" w:rsidR="00A50FCF" w:rsidRPr="0033784B" w:rsidRDefault="00A50FCF" w:rsidP="00040C3A">
      <w:pPr>
        <w:tabs>
          <w:tab w:val="center" w:pos="5400"/>
        </w:tabs>
        <w:suppressAutoHyphens/>
        <w:jc w:val="center"/>
        <w:rPr>
          <w:rFonts w:ascii="Cambria" w:hAnsi="Cambria"/>
          <w:sz w:val="18"/>
          <w:szCs w:val="22"/>
          <w:lang w:val="es-ES_tradnl"/>
        </w:rPr>
      </w:pPr>
    </w:p>
    <w:p w14:paraId="0A93747B" w14:textId="77777777" w:rsidR="00A50FCF" w:rsidRPr="0033784B" w:rsidRDefault="0090270B" w:rsidP="00040C3A">
      <w:pPr>
        <w:tabs>
          <w:tab w:val="center" w:pos="5400"/>
        </w:tabs>
        <w:suppressAutoHyphens/>
        <w:jc w:val="center"/>
        <w:rPr>
          <w:rFonts w:ascii="Cambria" w:hAnsi="Cambria"/>
          <w:sz w:val="18"/>
          <w:szCs w:val="22"/>
          <w:lang w:val="es-ES_tradnl"/>
        </w:rPr>
      </w:pPr>
      <w:r w:rsidRPr="0033784B">
        <w:rPr>
          <w:rFonts w:ascii="Cambria" w:hAnsi="Cambria"/>
          <w:noProof/>
          <w:sz w:val="22"/>
          <w:szCs w:val="22"/>
        </w:rPr>
        <mc:AlternateContent>
          <mc:Choice Requires="wps">
            <w:drawing>
              <wp:anchor distT="0" distB="0" distL="114300" distR="114300" simplePos="0" relativeHeight="251670528" behindDoc="0" locked="0" layoutInCell="1" allowOverlap="1" wp14:anchorId="6DAAEEE4" wp14:editId="519B95B7">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E9730C" w14:textId="2B579FD1" w:rsidR="009379E4" w:rsidRPr="00890650" w:rsidRDefault="00D3101D" w:rsidP="00247403">
                            <w:pPr>
                              <w:tabs>
                                <w:tab w:val="center" w:pos="5400"/>
                              </w:tabs>
                              <w:suppressAutoHyphens/>
                              <w:spacing w:before="60"/>
                              <w:rPr>
                                <w:rFonts w:asciiTheme="majorHAnsi" w:hAnsiTheme="majorHAnsi" w:cs="Univers"/>
                                <w:color w:val="0D0D0D" w:themeColor="text1" w:themeTint="F2"/>
                                <w:sz w:val="18"/>
                                <w:szCs w:val="20"/>
                                <w:lang w:val="es-ES_tradnl"/>
                              </w:rPr>
                            </w:pPr>
                            <w:r>
                              <w:rPr>
                                <w:rFonts w:asciiTheme="majorHAnsi" w:hAnsiTheme="majorHAnsi"/>
                                <w:color w:val="0D0D0D" w:themeColor="text1" w:themeTint="F2"/>
                                <w:sz w:val="18"/>
                                <w:szCs w:val="20"/>
                                <w:lang w:val="es-ES"/>
                              </w:rPr>
                              <w:t>Aprobado por la Comisión en su S</w:t>
                            </w:r>
                            <w:r w:rsidR="009379E4" w:rsidRPr="00890650">
                              <w:rPr>
                                <w:rFonts w:asciiTheme="majorHAnsi" w:hAnsiTheme="majorHAnsi"/>
                                <w:color w:val="0D0D0D" w:themeColor="text1" w:themeTint="F2"/>
                                <w:sz w:val="18"/>
                                <w:szCs w:val="20"/>
                                <w:lang w:val="es-ES"/>
                              </w:rPr>
                              <w:t>esión N</w:t>
                            </w:r>
                            <w:r w:rsidR="000D714D">
                              <w:rPr>
                                <w:rFonts w:asciiTheme="majorHAnsi" w:hAnsiTheme="majorHAnsi"/>
                                <w:color w:val="0D0D0D" w:themeColor="text1" w:themeTint="F2"/>
                                <w:sz w:val="18"/>
                                <w:szCs w:val="20"/>
                                <w:lang w:val="es-ES"/>
                              </w:rPr>
                              <w:t>º 2096</w:t>
                            </w:r>
                            <w:r w:rsidR="009379E4" w:rsidRPr="00890650">
                              <w:rPr>
                                <w:rFonts w:asciiTheme="majorHAnsi" w:hAnsiTheme="majorHAnsi"/>
                                <w:color w:val="0D0D0D" w:themeColor="text1" w:themeTint="F2"/>
                                <w:sz w:val="18"/>
                                <w:szCs w:val="20"/>
                                <w:lang w:val="es-ES"/>
                              </w:rPr>
                              <w:t xml:space="preserve"> celebrada el </w:t>
                            </w:r>
                            <w:r w:rsidR="000D714D">
                              <w:rPr>
                                <w:rFonts w:asciiTheme="majorHAnsi" w:hAnsiTheme="majorHAnsi"/>
                                <w:color w:val="0D0D0D" w:themeColor="text1" w:themeTint="F2"/>
                                <w:sz w:val="18"/>
                                <w:szCs w:val="20"/>
                                <w:lang w:val="es-ES"/>
                              </w:rPr>
                              <w:t>5</w:t>
                            </w:r>
                            <w:r>
                              <w:rPr>
                                <w:rFonts w:asciiTheme="majorHAnsi" w:hAnsiTheme="majorHAnsi"/>
                                <w:color w:val="0D0D0D" w:themeColor="text1" w:themeTint="F2"/>
                                <w:sz w:val="18"/>
                                <w:szCs w:val="20"/>
                                <w:lang w:val="es-ES"/>
                              </w:rPr>
                              <w:t xml:space="preserve"> </w:t>
                            </w:r>
                            <w:r w:rsidR="009379E4" w:rsidRPr="00890650">
                              <w:rPr>
                                <w:rFonts w:asciiTheme="majorHAnsi" w:hAnsiTheme="majorHAnsi"/>
                                <w:color w:val="0D0D0D" w:themeColor="text1" w:themeTint="F2"/>
                                <w:sz w:val="18"/>
                                <w:szCs w:val="20"/>
                                <w:lang w:val="es-ES"/>
                              </w:rPr>
                              <w:t xml:space="preserve">de </w:t>
                            </w:r>
                            <w:r w:rsidR="000D714D">
                              <w:rPr>
                                <w:rFonts w:asciiTheme="majorHAnsi" w:hAnsiTheme="majorHAnsi"/>
                                <w:color w:val="0D0D0D" w:themeColor="text1" w:themeTint="F2"/>
                                <w:sz w:val="18"/>
                                <w:szCs w:val="20"/>
                                <w:lang w:val="es-ES"/>
                              </w:rPr>
                              <w:t>septiembre</w:t>
                            </w:r>
                            <w:r w:rsidR="009379E4" w:rsidRPr="00890650">
                              <w:rPr>
                                <w:rFonts w:asciiTheme="majorHAnsi" w:hAnsiTheme="majorHAnsi"/>
                                <w:color w:val="0D0D0D" w:themeColor="text1" w:themeTint="F2"/>
                                <w:sz w:val="18"/>
                                <w:szCs w:val="20"/>
                                <w:lang w:val="es-ES"/>
                              </w:rPr>
                              <w:t xml:space="preserve"> de 201</w:t>
                            </w:r>
                            <w:r w:rsidR="009379E4">
                              <w:rPr>
                                <w:rFonts w:asciiTheme="majorHAnsi" w:hAnsiTheme="majorHAnsi"/>
                                <w:color w:val="0D0D0D" w:themeColor="text1" w:themeTint="F2"/>
                                <w:sz w:val="18"/>
                                <w:szCs w:val="20"/>
                                <w:lang w:val="es-ES"/>
                              </w:rPr>
                              <w:t>7</w:t>
                            </w:r>
                            <w:r w:rsidR="009379E4" w:rsidRPr="00890650">
                              <w:rPr>
                                <w:rFonts w:asciiTheme="majorHAnsi" w:hAnsiTheme="majorHAnsi"/>
                                <w:color w:val="0D0D0D" w:themeColor="text1" w:themeTint="F2"/>
                                <w:sz w:val="18"/>
                                <w:szCs w:val="20"/>
                                <w:lang w:val="es-ES"/>
                              </w:rPr>
                              <w:br/>
                            </w:r>
                            <w:r w:rsidR="000D714D">
                              <w:rPr>
                                <w:rFonts w:asciiTheme="majorHAnsi" w:hAnsiTheme="majorHAnsi" w:cs="Univers"/>
                                <w:color w:val="0D0D0D" w:themeColor="text1" w:themeTint="F2"/>
                                <w:sz w:val="18"/>
                                <w:szCs w:val="20"/>
                                <w:lang w:val="es-ES"/>
                              </w:rPr>
                              <w:t>164 P</w:t>
                            </w:r>
                            <w:proofErr w:type="spellStart"/>
                            <w:r w:rsidR="009379E4" w:rsidRPr="00890650">
                              <w:rPr>
                                <w:rFonts w:asciiTheme="majorHAnsi" w:hAnsiTheme="majorHAnsi" w:cs="Univers"/>
                                <w:color w:val="0D0D0D" w:themeColor="text1" w:themeTint="F2"/>
                                <w:sz w:val="18"/>
                                <w:szCs w:val="20"/>
                                <w:lang w:val="es-ES_tradnl"/>
                              </w:rPr>
                              <w:t>eríodo</w:t>
                            </w:r>
                            <w:proofErr w:type="spellEnd"/>
                            <w:r w:rsidR="009379E4" w:rsidRPr="00890650">
                              <w:rPr>
                                <w:rFonts w:asciiTheme="majorHAnsi" w:hAnsiTheme="majorHAnsi" w:cs="Univers"/>
                                <w:color w:val="0D0D0D" w:themeColor="text1" w:themeTint="F2"/>
                                <w:sz w:val="18"/>
                                <w:szCs w:val="20"/>
                                <w:lang w:val="es-ES_tradnl"/>
                              </w:rPr>
                              <w:t xml:space="preserve"> </w:t>
                            </w:r>
                            <w:r w:rsidR="000D714D">
                              <w:rPr>
                                <w:rFonts w:asciiTheme="majorHAnsi" w:hAnsiTheme="majorHAnsi" w:cs="Univers"/>
                                <w:color w:val="0D0D0D" w:themeColor="text1" w:themeTint="F2"/>
                                <w:sz w:val="18"/>
                                <w:szCs w:val="20"/>
                                <w:lang w:val="es-ES_tradnl"/>
                              </w:rPr>
                              <w:t>Extrao</w:t>
                            </w:r>
                            <w:r w:rsidR="009379E4" w:rsidRPr="00890650">
                              <w:rPr>
                                <w:rFonts w:asciiTheme="majorHAnsi" w:hAnsiTheme="majorHAnsi" w:cs="Univers"/>
                                <w:color w:val="0D0D0D" w:themeColor="text1" w:themeTint="F2"/>
                                <w:sz w:val="18"/>
                                <w:szCs w:val="20"/>
                                <w:lang w:val="es-ES_tradnl"/>
                              </w:rPr>
                              <w:t xml:space="preserve">rdinario de </w:t>
                            </w:r>
                            <w:r w:rsidR="000D714D">
                              <w:rPr>
                                <w:rFonts w:asciiTheme="majorHAnsi" w:hAnsiTheme="majorHAnsi" w:cs="Univers"/>
                                <w:color w:val="0D0D0D" w:themeColor="text1" w:themeTint="F2"/>
                                <w:sz w:val="18"/>
                                <w:szCs w:val="20"/>
                                <w:lang w:val="es-ES_tradnl"/>
                              </w:rPr>
                              <w:t>S</w:t>
                            </w:r>
                            <w:r w:rsidR="009379E4" w:rsidRPr="00890650">
                              <w:rPr>
                                <w:rFonts w:asciiTheme="majorHAnsi" w:hAnsiTheme="majorHAnsi" w:cs="Univers"/>
                                <w:color w:val="0D0D0D" w:themeColor="text1" w:themeTint="F2"/>
                                <w:sz w:val="18"/>
                                <w:szCs w:val="20"/>
                                <w:lang w:val="es-ES_tradnl"/>
                              </w:rPr>
                              <w:t>esiones</w:t>
                            </w:r>
                          </w:p>
                          <w:p w14:paraId="37EF481C" w14:textId="77777777" w:rsidR="009379E4" w:rsidRPr="00890650" w:rsidRDefault="009379E4" w:rsidP="00DD3D86">
                            <w:pPr>
                              <w:tabs>
                                <w:tab w:val="center" w:pos="5400"/>
                              </w:tabs>
                              <w:suppressAutoHyphens/>
                              <w:spacing w:before="60"/>
                              <w:rPr>
                                <w:rFonts w:asciiTheme="majorHAnsi" w:hAnsiTheme="majorHAnsi"/>
                                <w:color w:val="0D0D0D" w:themeColor="text1" w:themeTint="F2"/>
                                <w:sz w:val="18"/>
                                <w:szCs w:val="22"/>
                                <w:lang w:val="es-ES"/>
                              </w:rPr>
                            </w:pPr>
                          </w:p>
                          <w:p w14:paraId="71AE2F36" w14:textId="77777777" w:rsidR="009379E4" w:rsidRPr="007A5817" w:rsidRDefault="009379E4" w:rsidP="00247403">
                            <w:pPr>
                              <w:tabs>
                                <w:tab w:val="center" w:pos="5400"/>
                              </w:tabs>
                              <w:suppressAutoHyphens/>
                              <w:spacing w:before="60"/>
                              <w:rPr>
                                <w:rFonts w:asciiTheme="minorHAnsi" w:hAnsiTheme="minorHAnsi" w:cs="Univers"/>
                                <w:color w:val="0D0D0D" w:themeColor="text1" w:themeTint="F2"/>
                                <w:sz w:val="20"/>
                                <w:szCs w:val="20"/>
                                <w:lang w:val="es-ES"/>
                              </w:rPr>
                            </w:pPr>
                          </w:p>
                          <w:p w14:paraId="4256310A" w14:textId="77777777" w:rsidR="009379E4" w:rsidRPr="00167A34" w:rsidRDefault="009379E4"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15E9730C" w14:textId="2B579FD1" w:rsidR="009379E4" w:rsidRPr="00890650" w:rsidRDefault="00D3101D" w:rsidP="00247403">
                      <w:pPr>
                        <w:tabs>
                          <w:tab w:val="center" w:pos="5400"/>
                        </w:tabs>
                        <w:suppressAutoHyphens/>
                        <w:spacing w:before="60"/>
                        <w:rPr>
                          <w:rFonts w:asciiTheme="majorHAnsi" w:hAnsiTheme="majorHAnsi" w:cs="Univers"/>
                          <w:color w:val="0D0D0D" w:themeColor="text1" w:themeTint="F2"/>
                          <w:sz w:val="18"/>
                          <w:szCs w:val="20"/>
                          <w:lang w:val="es-ES_tradnl"/>
                        </w:rPr>
                      </w:pPr>
                      <w:r>
                        <w:rPr>
                          <w:rFonts w:asciiTheme="majorHAnsi" w:hAnsiTheme="majorHAnsi"/>
                          <w:color w:val="0D0D0D" w:themeColor="text1" w:themeTint="F2"/>
                          <w:sz w:val="18"/>
                          <w:szCs w:val="20"/>
                          <w:lang w:val="es-ES"/>
                        </w:rPr>
                        <w:t>Aprobado por la Comisión en su S</w:t>
                      </w:r>
                      <w:r w:rsidR="009379E4" w:rsidRPr="00890650">
                        <w:rPr>
                          <w:rFonts w:asciiTheme="majorHAnsi" w:hAnsiTheme="majorHAnsi"/>
                          <w:color w:val="0D0D0D" w:themeColor="text1" w:themeTint="F2"/>
                          <w:sz w:val="18"/>
                          <w:szCs w:val="20"/>
                          <w:lang w:val="es-ES"/>
                        </w:rPr>
                        <w:t>esión N</w:t>
                      </w:r>
                      <w:r w:rsidR="000D714D">
                        <w:rPr>
                          <w:rFonts w:asciiTheme="majorHAnsi" w:hAnsiTheme="majorHAnsi"/>
                          <w:color w:val="0D0D0D" w:themeColor="text1" w:themeTint="F2"/>
                          <w:sz w:val="18"/>
                          <w:szCs w:val="20"/>
                          <w:lang w:val="es-ES"/>
                        </w:rPr>
                        <w:t>º 2096</w:t>
                      </w:r>
                      <w:r w:rsidR="009379E4" w:rsidRPr="00890650">
                        <w:rPr>
                          <w:rFonts w:asciiTheme="majorHAnsi" w:hAnsiTheme="majorHAnsi"/>
                          <w:color w:val="0D0D0D" w:themeColor="text1" w:themeTint="F2"/>
                          <w:sz w:val="18"/>
                          <w:szCs w:val="20"/>
                          <w:lang w:val="es-ES"/>
                        </w:rPr>
                        <w:t xml:space="preserve"> celebrada el </w:t>
                      </w:r>
                      <w:r w:rsidR="000D714D">
                        <w:rPr>
                          <w:rFonts w:asciiTheme="majorHAnsi" w:hAnsiTheme="majorHAnsi"/>
                          <w:color w:val="0D0D0D" w:themeColor="text1" w:themeTint="F2"/>
                          <w:sz w:val="18"/>
                          <w:szCs w:val="20"/>
                          <w:lang w:val="es-ES"/>
                        </w:rPr>
                        <w:t>5</w:t>
                      </w:r>
                      <w:r>
                        <w:rPr>
                          <w:rFonts w:asciiTheme="majorHAnsi" w:hAnsiTheme="majorHAnsi"/>
                          <w:color w:val="0D0D0D" w:themeColor="text1" w:themeTint="F2"/>
                          <w:sz w:val="18"/>
                          <w:szCs w:val="20"/>
                          <w:lang w:val="es-ES"/>
                        </w:rPr>
                        <w:t xml:space="preserve"> </w:t>
                      </w:r>
                      <w:bookmarkStart w:id="2" w:name="_GoBack"/>
                      <w:bookmarkEnd w:id="2"/>
                      <w:r w:rsidR="009379E4" w:rsidRPr="00890650">
                        <w:rPr>
                          <w:rFonts w:asciiTheme="majorHAnsi" w:hAnsiTheme="majorHAnsi"/>
                          <w:color w:val="0D0D0D" w:themeColor="text1" w:themeTint="F2"/>
                          <w:sz w:val="18"/>
                          <w:szCs w:val="20"/>
                          <w:lang w:val="es-ES"/>
                        </w:rPr>
                        <w:t xml:space="preserve">de </w:t>
                      </w:r>
                      <w:r w:rsidR="000D714D">
                        <w:rPr>
                          <w:rFonts w:asciiTheme="majorHAnsi" w:hAnsiTheme="majorHAnsi"/>
                          <w:color w:val="0D0D0D" w:themeColor="text1" w:themeTint="F2"/>
                          <w:sz w:val="18"/>
                          <w:szCs w:val="20"/>
                          <w:lang w:val="es-ES"/>
                        </w:rPr>
                        <w:t>septiembre</w:t>
                      </w:r>
                      <w:r w:rsidR="009379E4" w:rsidRPr="00890650">
                        <w:rPr>
                          <w:rFonts w:asciiTheme="majorHAnsi" w:hAnsiTheme="majorHAnsi"/>
                          <w:color w:val="0D0D0D" w:themeColor="text1" w:themeTint="F2"/>
                          <w:sz w:val="18"/>
                          <w:szCs w:val="20"/>
                          <w:lang w:val="es-ES"/>
                        </w:rPr>
                        <w:t xml:space="preserve"> de 201</w:t>
                      </w:r>
                      <w:r w:rsidR="009379E4">
                        <w:rPr>
                          <w:rFonts w:asciiTheme="majorHAnsi" w:hAnsiTheme="majorHAnsi"/>
                          <w:color w:val="0D0D0D" w:themeColor="text1" w:themeTint="F2"/>
                          <w:sz w:val="18"/>
                          <w:szCs w:val="20"/>
                          <w:lang w:val="es-ES"/>
                        </w:rPr>
                        <w:t>7</w:t>
                      </w:r>
                      <w:r w:rsidR="009379E4" w:rsidRPr="00890650">
                        <w:rPr>
                          <w:rFonts w:asciiTheme="majorHAnsi" w:hAnsiTheme="majorHAnsi"/>
                          <w:color w:val="0D0D0D" w:themeColor="text1" w:themeTint="F2"/>
                          <w:sz w:val="18"/>
                          <w:szCs w:val="20"/>
                          <w:lang w:val="es-ES"/>
                        </w:rPr>
                        <w:br/>
                      </w:r>
                      <w:r w:rsidR="000D714D">
                        <w:rPr>
                          <w:rFonts w:asciiTheme="majorHAnsi" w:hAnsiTheme="majorHAnsi" w:cs="Univers"/>
                          <w:color w:val="0D0D0D" w:themeColor="text1" w:themeTint="F2"/>
                          <w:sz w:val="18"/>
                          <w:szCs w:val="20"/>
                          <w:lang w:val="es-ES"/>
                        </w:rPr>
                        <w:t>164 P</w:t>
                      </w:r>
                      <w:proofErr w:type="spellStart"/>
                      <w:r w:rsidR="009379E4" w:rsidRPr="00890650">
                        <w:rPr>
                          <w:rFonts w:asciiTheme="majorHAnsi" w:hAnsiTheme="majorHAnsi" w:cs="Univers"/>
                          <w:color w:val="0D0D0D" w:themeColor="text1" w:themeTint="F2"/>
                          <w:sz w:val="18"/>
                          <w:szCs w:val="20"/>
                          <w:lang w:val="es-ES_tradnl"/>
                        </w:rPr>
                        <w:t>eríodo</w:t>
                      </w:r>
                      <w:proofErr w:type="spellEnd"/>
                      <w:r w:rsidR="009379E4" w:rsidRPr="00890650">
                        <w:rPr>
                          <w:rFonts w:asciiTheme="majorHAnsi" w:hAnsiTheme="majorHAnsi" w:cs="Univers"/>
                          <w:color w:val="0D0D0D" w:themeColor="text1" w:themeTint="F2"/>
                          <w:sz w:val="18"/>
                          <w:szCs w:val="20"/>
                          <w:lang w:val="es-ES_tradnl"/>
                        </w:rPr>
                        <w:t xml:space="preserve"> </w:t>
                      </w:r>
                      <w:r w:rsidR="000D714D">
                        <w:rPr>
                          <w:rFonts w:asciiTheme="majorHAnsi" w:hAnsiTheme="majorHAnsi" w:cs="Univers"/>
                          <w:color w:val="0D0D0D" w:themeColor="text1" w:themeTint="F2"/>
                          <w:sz w:val="18"/>
                          <w:szCs w:val="20"/>
                          <w:lang w:val="es-ES_tradnl"/>
                        </w:rPr>
                        <w:t>Extrao</w:t>
                      </w:r>
                      <w:r w:rsidR="009379E4" w:rsidRPr="00890650">
                        <w:rPr>
                          <w:rFonts w:asciiTheme="majorHAnsi" w:hAnsiTheme="majorHAnsi" w:cs="Univers"/>
                          <w:color w:val="0D0D0D" w:themeColor="text1" w:themeTint="F2"/>
                          <w:sz w:val="18"/>
                          <w:szCs w:val="20"/>
                          <w:lang w:val="es-ES_tradnl"/>
                        </w:rPr>
                        <w:t xml:space="preserve">rdinario de </w:t>
                      </w:r>
                      <w:r w:rsidR="000D714D">
                        <w:rPr>
                          <w:rFonts w:asciiTheme="majorHAnsi" w:hAnsiTheme="majorHAnsi" w:cs="Univers"/>
                          <w:color w:val="0D0D0D" w:themeColor="text1" w:themeTint="F2"/>
                          <w:sz w:val="18"/>
                          <w:szCs w:val="20"/>
                          <w:lang w:val="es-ES_tradnl"/>
                        </w:rPr>
                        <w:t>S</w:t>
                      </w:r>
                      <w:r w:rsidR="009379E4" w:rsidRPr="00890650">
                        <w:rPr>
                          <w:rFonts w:asciiTheme="majorHAnsi" w:hAnsiTheme="majorHAnsi" w:cs="Univers"/>
                          <w:color w:val="0D0D0D" w:themeColor="text1" w:themeTint="F2"/>
                          <w:sz w:val="18"/>
                          <w:szCs w:val="20"/>
                          <w:lang w:val="es-ES_tradnl"/>
                        </w:rPr>
                        <w:t>esiones</w:t>
                      </w:r>
                    </w:p>
                    <w:p w14:paraId="37EF481C" w14:textId="77777777" w:rsidR="009379E4" w:rsidRPr="00890650" w:rsidRDefault="009379E4" w:rsidP="00DD3D86">
                      <w:pPr>
                        <w:tabs>
                          <w:tab w:val="center" w:pos="5400"/>
                        </w:tabs>
                        <w:suppressAutoHyphens/>
                        <w:spacing w:before="60"/>
                        <w:rPr>
                          <w:rFonts w:asciiTheme="majorHAnsi" w:hAnsiTheme="majorHAnsi"/>
                          <w:color w:val="0D0D0D" w:themeColor="text1" w:themeTint="F2"/>
                          <w:sz w:val="18"/>
                          <w:szCs w:val="22"/>
                          <w:lang w:val="es-ES"/>
                        </w:rPr>
                      </w:pPr>
                    </w:p>
                    <w:p w14:paraId="71AE2F36" w14:textId="77777777" w:rsidR="009379E4" w:rsidRPr="007A5817" w:rsidRDefault="009379E4" w:rsidP="00247403">
                      <w:pPr>
                        <w:tabs>
                          <w:tab w:val="center" w:pos="5400"/>
                        </w:tabs>
                        <w:suppressAutoHyphens/>
                        <w:spacing w:before="60"/>
                        <w:rPr>
                          <w:rFonts w:asciiTheme="minorHAnsi" w:hAnsiTheme="minorHAnsi" w:cs="Univers"/>
                          <w:color w:val="0D0D0D" w:themeColor="text1" w:themeTint="F2"/>
                          <w:sz w:val="20"/>
                          <w:szCs w:val="20"/>
                          <w:lang w:val="es-ES"/>
                        </w:rPr>
                      </w:pPr>
                    </w:p>
                    <w:p w14:paraId="4256310A" w14:textId="77777777" w:rsidR="009379E4" w:rsidRPr="00167A34" w:rsidRDefault="009379E4"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55E85BAA" w14:textId="77777777" w:rsidR="00A50FCF" w:rsidRPr="0033784B" w:rsidRDefault="00A50FCF" w:rsidP="00040C3A">
      <w:pPr>
        <w:tabs>
          <w:tab w:val="center" w:pos="5400"/>
        </w:tabs>
        <w:suppressAutoHyphens/>
        <w:jc w:val="center"/>
        <w:rPr>
          <w:rFonts w:ascii="Cambria" w:hAnsi="Cambria"/>
          <w:sz w:val="18"/>
          <w:szCs w:val="22"/>
          <w:lang w:val="es-ES_tradnl"/>
        </w:rPr>
      </w:pPr>
    </w:p>
    <w:p w14:paraId="4E115F73" w14:textId="77777777" w:rsidR="00A50FCF" w:rsidRPr="0033784B" w:rsidRDefault="00A50FCF" w:rsidP="00040C3A">
      <w:pPr>
        <w:tabs>
          <w:tab w:val="center" w:pos="5400"/>
        </w:tabs>
        <w:suppressAutoHyphens/>
        <w:jc w:val="center"/>
        <w:rPr>
          <w:rFonts w:ascii="Cambria" w:hAnsi="Cambria"/>
          <w:sz w:val="18"/>
          <w:szCs w:val="22"/>
          <w:lang w:val="es-ES_tradnl"/>
        </w:rPr>
      </w:pPr>
    </w:p>
    <w:p w14:paraId="0B879EB0" w14:textId="77777777" w:rsidR="00A50FCF" w:rsidRPr="0033784B" w:rsidRDefault="00A50FCF" w:rsidP="00040C3A">
      <w:pPr>
        <w:tabs>
          <w:tab w:val="center" w:pos="5400"/>
        </w:tabs>
        <w:suppressAutoHyphens/>
        <w:jc w:val="center"/>
        <w:rPr>
          <w:rFonts w:ascii="Cambria" w:hAnsi="Cambria"/>
          <w:sz w:val="18"/>
          <w:szCs w:val="22"/>
          <w:lang w:val="es-ES_tradnl"/>
        </w:rPr>
      </w:pPr>
    </w:p>
    <w:p w14:paraId="6CDF8C98" w14:textId="77777777" w:rsidR="00A50FCF" w:rsidRPr="0033784B" w:rsidRDefault="00A50FCF" w:rsidP="00040C3A">
      <w:pPr>
        <w:tabs>
          <w:tab w:val="center" w:pos="5400"/>
        </w:tabs>
        <w:suppressAutoHyphens/>
        <w:jc w:val="center"/>
        <w:rPr>
          <w:rFonts w:ascii="Cambria" w:hAnsi="Cambria"/>
          <w:sz w:val="18"/>
          <w:szCs w:val="22"/>
          <w:lang w:val="es-ES_tradnl"/>
        </w:rPr>
      </w:pPr>
    </w:p>
    <w:p w14:paraId="57218812" w14:textId="77777777" w:rsidR="00A50FCF" w:rsidRPr="0033784B" w:rsidRDefault="0090270B" w:rsidP="00040C3A">
      <w:pPr>
        <w:tabs>
          <w:tab w:val="center" w:pos="5400"/>
        </w:tabs>
        <w:suppressAutoHyphens/>
        <w:jc w:val="center"/>
        <w:rPr>
          <w:rFonts w:ascii="Cambria" w:hAnsi="Cambria"/>
          <w:sz w:val="18"/>
          <w:szCs w:val="22"/>
          <w:lang w:val="es-ES_tradnl"/>
        </w:rPr>
      </w:pPr>
      <w:r w:rsidRPr="0033784B">
        <w:rPr>
          <w:rFonts w:ascii="Cambria" w:hAnsi="Cambria"/>
          <w:noProof/>
          <w:sz w:val="18"/>
          <w:szCs w:val="22"/>
        </w:rPr>
        <mc:AlternateContent>
          <mc:Choice Requires="wps">
            <w:drawing>
              <wp:anchor distT="0" distB="0" distL="114300" distR="114300" simplePos="0" relativeHeight="251678720" behindDoc="0" locked="0" layoutInCell="1" allowOverlap="1" wp14:anchorId="58CB751B" wp14:editId="10586EAB">
                <wp:simplePos x="0" y="0"/>
                <wp:positionH relativeFrom="column">
                  <wp:posOffset>1333501</wp:posOffset>
                </wp:positionH>
                <wp:positionV relativeFrom="paragraph">
                  <wp:posOffset>5715</wp:posOffset>
                </wp:positionV>
                <wp:extent cx="4756150"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756150"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A14A6C" w14:textId="36E92C24" w:rsidR="009379E4" w:rsidRPr="000F6559" w:rsidRDefault="009379E4" w:rsidP="00113F73">
                            <w:pPr>
                              <w:spacing w:line="276" w:lineRule="auto"/>
                              <w:rPr>
                                <w:rFonts w:asciiTheme="majorHAnsi" w:hAnsiTheme="majorHAnsi"/>
                                <w:color w:val="595959" w:themeColor="text1" w:themeTint="A6"/>
                                <w:sz w:val="18"/>
                                <w:szCs w:val="18"/>
                                <w:lang w:val="es-MX"/>
                              </w:rPr>
                            </w:pPr>
                            <w:r w:rsidRPr="00890650">
                              <w:rPr>
                                <w:rFonts w:asciiTheme="majorHAnsi" w:hAnsiTheme="majorHAnsi"/>
                                <w:b/>
                                <w:color w:val="595959" w:themeColor="text1" w:themeTint="A6"/>
                                <w:sz w:val="18"/>
                                <w:szCs w:val="18"/>
                                <w:lang w:val="pt-BR"/>
                              </w:rPr>
                              <w:t>Citar como:</w:t>
                            </w:r>
                            <w:r w:rsidR="000D714D">
                              <w:rPr>
                                <w:rFonts w:asciiTheme="majorHAnsi" w:hAnsiTheme="majorHAnsi"/>
                                <w:color w:val="595959" w:themeColor="text1" w:themeTint="A6"/>
                                <w:sz w:val="18"/>
                                <w:szCs w:val="18"/>
                                <w:lang w:val="pt-BR"/>
                              </w:rPr>
                              <w:t xml:space="preserve"> CIDH, Informe Nº</w:t>
                            </w:r>
                            <w:r w:rsidRPr="00890650">
                              <w:rPr>
                                <w:rFonts w:asciiTheme="majorHAnsi" w:hAnsiTheme="majorHAnsi"/>
                                <w:color w:val="595959" w:themeColor="text1" w:themeTint="A6"/>
                                <w:sz w:val="18"/>
                                <w:szCs w:val="18"/>
                                <w:lang w:val="pt-BR"/>
                              </w:rPr>
                              <w:t xml:space="preserve"> </w:t>
                            </w:r>
                            <w:r w:rsidR="000D714D">
                              <w:rPr>
                                <w:rFonts w:asciiTheme="majorHAnsi" w:hAnsiTheme="majorHAnsi"/>
                                <w:color w:val="595959" w:themeColor="text1" w:themeTint="A6"/>
                                <w:sz w:val="18"/>
                                <w:szCs w:val="18"/>
                                <w:lang w:val="pt-BR"/>
                              </w:rPr>
                              <w:t>97/17</w:t>
                            </w:r>
                            <w:r w:rsidRPr="000D714D">
                              <w:rPr>
                                <w:rFonts w:asciiTheme="majorHAnsi" w:hAnsiTheme="majorHAnsi"/>
                                <w:color w:val="595959" w:themeColor="text1" w:themeTint="A6"/>
                                <w:sz w:val="18"/>
                                <w:szCs w:val="18"/>
                                <w:lang w:val="pt-BR"/>
                              </w:rPr>
                              <w:t xml:space="preserve">], Caso 12.924. </w:t>
                            </w:r>
                            <w:r w:rsidRPr="00890650">
                              <w:rPr>
                                <w:rFonts w:asciiTheme="majorHAnsi" w:hAnsiTheme="majorHAnsi"/>
                                <w:color w:val="595959" w:themeColor="text1" w:themeTint="A6"/>
                                <w:sz w:val="18"/>
                                <w:szCs w:val="18"/>
                                <w:lang w:val="es-ES_tradnl"/>
                              </w:rPr>
                              <w:t>Fond</w:t>
                            </w:r>
                            <w:r>
                              <w:rPr>
                                <w:rFonts w:asciiTheme="majorHAnsi" w:hAnsiTheme="majorHAnsi"/>
                                <w:color w:val="595959" w:themeColor="text1" w:themeTint="A6"/>
                                <w:sz w:val="18"/>
                                <w:szCs w:val="18"/>
                                <w:lang w:val="es-ES_tradnl"/>
                              </w:rPr>
                              <w:t>o</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Julio César Ramón del Valle Ambrosio y Carlos Eduardo Domínguez Linares. Argentina</w:t>
                            </w:r>
                            <w:r w:rsidRPr="00890650">
                              <w:rPr>
                                <w:rFonts w:asciiTheme="majorHAnsi" w:hAnsiTheme="majorHAnsi"/>
                                <w:color w:val="595959" w:themeColor="text1" w:themeTint="A6"/>
                                <w:sz w:val="18"/>
                                <w:szCs w:val="18"/>
                                <w:lang w:val="es-ES_tradnl"/>
                              </w:rPr>
                              <w:t xml:space="preserve">. </w:t>
                            </w:r>
                            <w:r w:rsidR="000D714D">
                              <w:rPr>
                                <w:rFonts w:asciiTheme="majorHAnsi" w:hAnsiTheme="majorHAnsi"/>
                                <w:color w:val="595959" w:themeColor="text1" w:themeTint="A6"/>
                                <w:sz w:val="18"/>
                                <w:szCs w:val="18"/>
                                <w:lang w:val="es-MX"/>
                              </w:rPr>
                              <w:t>5 de septiembre de 2017</w:t>
                            </w:r>
                            <w:r w:rsidRPr="000F6559">
                              <w:rPr>
                                <w:rFonts w:asciiTheme="majorHAnsi" w:hAnsiTheme="majorHAnsi"/>
                                <w:color w:val="595959" w:themeColor="text1" w:themeTint="A6"/>
                                <w:sz w:val="18"/>
                                <w:szCs w:val="18"/>
                                <w:lang w:val="es-MX"/>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74.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" filled="f" stroked="f" strokeweight=".5pt">
                <v:textbox>
                  <w:txbxContent>
                    <w:p w14:paraId="56A14A6C" w14:textId="36E92C24" w:rsidR="009379E4" w:rsidRPr="000F6559" w:rsidRDefault="009379E4" w:rsidP="00113F73">
                      <w:pPr>
                        <w:spacing w:line="276" w:lineRule="auto"/>
                        <w:rPr>
                          <w:rFonts w:asciiTheme="majorHAnsi" w:hAnsiTheme="majorHAnsi"/>
                          <w:color w:val="595959" w:themeColor="text1" w:themeTint="A6"/>
                          <w:sz w:val="18"/>
                          <w:szCs w:val="18"/>
                          <w:lang w:val="es-MX"/>
                        </w:rPr>
                      </w:pPr>
                      <w:r w:rsidRPr="00890650">
                        <w:rPr>
                          <w:rFonts w:asciiTheme="majorHAnsi" w:hAnsiTheme="majorHAnsi"/>
                          <w:b/>
                          <w:color w:val="595959" w:themeColor="text1" w:themeTint="A6"/>
                          <w:sz w:val="18"/>
                          <w:szCs w:val="18"/>
                          <w:lang w:val="pt-BR"/>
                        </w:rPr>
                        <w:t>Citar como:</w:t>
                      </w:r>
                      <w:r w:rsidR="000D714D">
                        <w:rPr>
                          <w:rFonts w:asciiTheme="majorHAnsi" w:hAnsiTheme="majorHAnsi"/>
                          <w:color w:val="595959" w:themeColor="text1" w:themeTint="A6"/>
                          <w:sz w:val="18"/>
                          <w:szCs w:val="18"/>
                          <w:lang w:val="pt-BR"/>
                        </w:rPr>
                        <w:t xml:space="preserve"> CIDH, Informe Nº</w:t>
                      </w:r>
                      <w:r w:rsidRPr="00890650">
                        <w:rPr>
                          <w:rFonts w:asciiTheme="majorHAnsi" w:hAnsiTheme="majorHAnsi"/>
                          <w:color w:val="595959" w:themeColor="text1" w:themeTint="A6"/>
                          <w:sz w:val="18"/>
                          <w:szCs w:val="18"/>
                          <w:lang w:val="pt-BR"/>
                        </w:rPr>
                        <w:t xml:space="preserve"> </w:t>
                      </w:r>
                      <w:r w:rsidR="000D714D">
                        <w:rPr>
                          <w:rFonts w:asciiTheme="majorHAnsi" w:hAnsiTheme="majorHAnsi"/>
                          <w:color w:val="595959" w:themeColor="text1" w:themeTint="A6"/>
                          <w:sz w:val="18"/>
                          <w:szCs w:val="18"/>
                          <w:lang w:val="pt-BR"/>
                        </w:rPr>
                        <w:t>97/17</w:t>
                      </w:r>
                      <w:r w:rsidRPr="000D714D">
                        <w:rPr>
                          <w:rFonts w:asciiTheme="majorHAnsi" w:hAnsiTheme="majorHAnsi"/>
                          <w:color w:val="595959" w:themeColor="text1" w:themeTint="A6"/>
                          <w:sz w:val="18"/>
                          <w:szCs w:val="18"/>
                          <w:lang w:val="pt-BR"/>
                        </w:rPr>
                        <w:t xml:space="preserve">], Caso 12.924. </w:t>
                      </w:r>
                      <w:r w:rsidRPr="00890650">
                        <w:rPr>
                          <w:rFonts w:asciiTheme="majorHAnsi" w:hAnsiTheme="majorHAnsi"/>
                          <w:color w:val="595959" w:themeColor="text1" w:themeTint="A6"/>
                          <w:sz w:val="18"/>
                          <w:szCs w:val="18"/>
                          <w:lang w:val="es-ES_tradnl"/>
                        </w:rPr>
                        <w:t>Fond</w:t>
                      </w:r>
                      <w:r>
                        <w:rPr>
                          <w:rFonts w:asciiTheme="majorHAnsi" w:hAnsiTheme="majorHAnsi"/>
                          <w:color w:val="595959" w:themeColor="text1" w:themeTint="A6"/>
                          <w:sz w:val="18"/>
                          <w:szCs w:val="18"/>
                          <w:lang w:val="es-ES_tradnl"/>
                        </w:rPr>
                        <w:t>o</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Julio César Ramón del Valle Ambrosio y Carlos Eduardo Domínguez Linares. Argentina</w:t>
                      </w:r>
                      <w:r w:rsidRPr="00890650">
                        <w:rPr>
                          <w:rFonts w:asciiTheme="majorHAnsi" w:hAnsiTheme="majorHAnsi"/>
                          <w:color w:val="595959" w:themeColor="text1" w:themeTint="A6"/>
                          <w:sz w:val="18"/>
                          <w:szCs w:val="18"/>
                          <w:lang w:val="es-ES_tradnl"/>
                        </w:rPr>
                        <w:t xml:space="preserve">. </w:t>
                      </w:r>
                      <w:r w:rsidR="000D714D">
                        <w:rPr>
                          <w:rFonts w:asciiTheme="majorHAnsi" w:hAnsiTheme="majorHAnsi"/>
                          <w:color w:val="595959" w:themeColor="text1" w:themeTint="A6"/>
                          <w:sz w:val="18"/>
                          <w:szCs w:val="18"/>
                          <w:lang w:val="es-MX"/>
                        </w:rPr>
                        <w:t>5 de septiembre de 2017</w:t>
                      </w:r>
                      <w:r w:rsidRPr="000F6559">
                        <w:rPr>
                          <w:rFonts w:asciiTheme="majorHAnsi" w:hAnsiTheme="majorHAnsi"/>
                          <w:color w:val="595959" w:themeColor="text1" w:themeTint="A6"/>
                          <w:sz w:val="18"/>
                          <w:szCs w:val="18"/>
                          <w:lang w:val="es-MX"/>
                        </w:rPr>
                        <w:t>.</w:t>
                      </w:r>
                    </w:p>
                  </w:txbxContent>
                </v:textbox>
              </v:shape>
            </w:pict>
          </mc:Fallback>
        </mc:AlternateContent>
      </w:r>
    </w:p>
    <w:p w14:paraId="3C6E0743" w14:textId="77777777" w:rsidR="00A50FCF" w:rsidRPr="0033784B" w:rsidRDefault="00A50FCF" w:rsidP="00040C3A">
      <w:pPr>
        <w:tabs>
          <w:tab w:val="center" w:pos="5400"/>
        </w:tabs>
        <w:suppressAutoHyphens/>
        <w:jc w:val="center"/>
        <w:rPr>
          <w:rFonts w:ascii="Cambria" w:hAnsi="Cambria"/>
          <w:sz w:val="18"/>
          <w:szCs w:val="22"/>
          <w:lang w:val="es-ES_tradnl"/>
        </w:rPr>
      </w:pPr>
    </w:p>
    <w:p w14:paraId="64195E51" w14:textId="77777777" w:rsidR="0090270B" w:rsidRPr="0033784B" w:rsidRDefault="00D306D1" w:rsidP="005516A1">
      <w:pPr>
        <w:tabs>
          <w:tab w:val="center" w:pos="5400"/>
        </w:tabs>
        <w:suppressAutoHyphens/>
        <w:jc w:val="center"/>
        <w:rPr>
          <w:rFonts w:ascii="Cambria" w:hAnsi="Cambria"/>
          <w:b/>
          <w:sz w:val="20"/>
          <w:lang w:val="es-ES_tradnl"/>
        </w:rPr>
      </w:pPr>
      <w:r w:rsidRPr="0033784B">
        <w:rPr>
          <w:rFonts w:ascii="Cambria" w:hAnsi="Cambria"/>
          <w:noProof/>
          <w:sz w:val="18"/>
          <w:szCs w:val="22"/>
        </w:rPr>
        <mc:AlternateContent>
          <mc:Choice Requires="wps">
            <w:drawing>
              <wp:anchor distT="0" distB="0" distL="114300" distR="114300" simplePos="0" relativeHeight="251680768" behindDoc="0" locked="0" layoutInCell="1" allowOverlap="1" wp14:anchorId="2B9A5224" wp14:editId="5A4DF582">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EBF5EB" w14:textId="77777777" w:rsidR="009379E4" w:rsidRPr="00D72DC6" w:rsidRDefault="009379E4"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56A14A5" wp14:editId="71A6CD4A">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13EBF5EB" w14:textId="77777777" w:rsidR="009379E4" w:rsidRPr="00D72DC6" w:rsidRDefault="009379E4"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56A14A5" wp14:editId="71A6CD4A">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33784B">
        <w:rPr>
          <w:rFonts w:ascii="Cambria" w:hAnsi="Cambria"/>
          <w:noProof/>
          <w:sz w:val="22"/>
          <w:szCs w:val="22"/>
        </w:rPr>
        <mc:AlternateContent>
          <mc:Choice Requires="wps">
            <w:drawing>
              <wp:anchor distT="0" distB="0" distL="114300" distR="114300" simplePos="0" relativeHeight="251682816" behindDoc="0" locked="0" layoutInCell="1" allowOverlap="1" wp14:anchorId="7BD07289" wp14:editId="06C6EAB5">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4149CB" w14:textId="77777777" w:rsidR="009379E4" w:rsidRPr="004B7EB6" w:rsidRDefault="009379E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3F4149CB" w14:textId="77777777" w:rsidR="009379E4" w:rsidRPr="004B7EB6" w:rsidRDefault="009379E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3C44467B" w14:textId="77777777" w:rsidR="0070697F" w:rsidRPr="0033784B" w:rsidRDefault="0070697F" w:rsidP="005516A1">
      <w:pPr>
        <w:tabs>
          <w:tab w:val="center" w:pos="5400"/>
        </w:tabs>
        <w:suppressAutoHyphens/>
        <w:jc w:val="center"/>
        <w:rPr>
          <w:rFonts w:ascii="Cambria" w:hAnsi="Cambria"/>
          <w:b/>
          <w:sz w:val="20"/>
          <w:lang w:val="es-ES_tradnl"/>
        </w:rPr>
        <w:sectPr w:rsidR="0070697F" w:rsidRPr="0033784B"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14:paraId="2250BC98" w14:textId="4E1855B0" w:rsidR="00722C9F" w:rsidRPr="0033784B" w:rsidRDefault="00003625" w:rsidP="00722C9F">
      <w:pPr>
        <w:tabs>
          <w:tab w:val="center" w:pos="5400"/>
        </w:tabs>
        <w:suppressAutoHyphens/>
        <w:spacing w:line="276" w:lineRule="auto"/>
        <w:jc w:val="center"/>
        <w:rPr>
          <w:rFonts w:ascii="Cambria" w:hAnsi="Cambria"/>
          <w:b/>
          <w:sz w:val="20"/>
          <w:szCs w:val="20"/>
          <w:lang w:val="es-ES_tradnl"/>
        </w:rPr>
      </w:pPr>
      <w:r>
        <w:rPr>
          <w:rFonts w:ascii="Cambria" w:hAnsi="Cambria"/>
          <w:b/>
          <w:sz w:val="20"/>
          <w:szCs w:val="20"/>
          <w:lang w:val="es-ES_tradnl"/>
        </w:rPr>
        <w:lastRenderedPageBreak/>
        <w:t>INFORME Nº 97</w:t>
      </w:r>
      <w:r w:rsidR="00722C9F" w:rsidRPr="0033784B">
        <w:rPr>
          <w:rFonts w:ascii="Cambria" w:hAnsi="Cambria"/>
          <w:b/>
          <w:sz w:val="20"/>
          <w:szCs w:val="20"/>
          <w:lang w:val="es-ES_tradnl"/>
        </w:rPr>
        <w:t>/1</w:t>
      </w:r>
      <w:r w:rsidR="000F6559" w:rsidRPr="0033784B">
        <w:rPr>
          <w:rFonts w:ascii="Cambria" w:hAnsi="Cambria"/>
          <w:b/>
          <w:sz w:val="20"/>
          <w:szCs w:val="20"/>
          <w:lang w:val="es-ES_tradnl"/>
        </w:rPr>
        <w:t>7</w:t>
      </w:r>
    </w:p>
    <w:p w14:paraId="0E5FD9E1" w14:textId="77777777" w:rsidR="00722C9F" w:rsidRPr="0033784B" w:rsidRDefault="000F6559" w:rsidP="00722C9F">
      <w:pPr>
        <w:tabs>
          <w:tab w:val="center" w:pos="5400"/>
        </w:tabs>
        <w:suppressAutoHyphens/>
        <w:spacing w:line="276" w:lineRule="auto"/>
        <w:jc w:val="center"/>
        <w:rPr>
          <w:rFonts w:ascii="Cambria" w:hAnsi="Cambria"/>
          <w:b/>
          <w:sz w:val="20"/>
          <w:szCs w:val="20"/>
          <w:lang w:val="es-ES_tradnl"/>
        </w:rPr>
      </w:pPr>
      <w:r w:rsidRPr="0033784B">
        <w:rPr>
          <w:rFonts w:ascii="Cambria" w:hAnsi="Cambria"/>
          <w:b/>
          <w:sz w:val="20"/>
          <w:szCs w:val="20"/>
          <w:lang w:val="es-ES_tradnl"/>
        </w:rPr>
        <w:t>CASO 12.924</w:t>
      </w:r>
    </w:p>
    <w:p w14:paraId="4FCC593E" w14:textId="77777777" w:rsidR="007C0166" w:rsidRPr="0033784B" w:rsidRDefault="007C0166" w:rsidP="00722C9F">
      <w:pPr>
        <w:tabs>
          <w:tab w:val="center" w:pos="5400"/>
        </w:tabs>
        <w:suppressAutoHyphens/>
        <w:spacing w:line="276" w:lineRule="auto"/>
        <w:jc w:val="center"/>
        <w:rPr>
          <w:rFonts w:ascii="Cambria" w:hAnsi="Cambria"/>
          <w:b/>
          <w:sz w:val="20"/>
          <w:szCs w:val="20"/>
          <w:lang w:val="es-ES_tradnl"/>
        </w:rPr>
      </w:pPr>
    </w:p>
    <w:p w14:paraId="0E364B3B" w14:textId="77777777" w:rsidR="00462E12" w:rsidRPr="0033784B" w:rsidRDefault="00722C9F" w:rsidP="00722C9F">
      <w:pPr>
        <w:tabs>
          <w:tab w:val="center" w:pos="5400"/>
        </w:tabs>
        <w:suppressAutoHyphens/>
        <w:spacing w:line="276" w:lineRule="auto"/>
        <w:jc w:val="center"/>
        <w:rPr>
          <w:rFonts w:ascii="Cambria" w:hAnsi="Cambria"/>
          <w:sz w:val="20"/>
          <w:szCs w:val="20"/>
          <w:lang w:val="es-ES_tradnl"/>
        </w:rPr>
      </w:pPr>
      <w:r w:rsidRPr="0033784B">
        <w:rPr>
          <w:rFonts w:ascii="Cambria" w:hAnsi="Cambria"/>
          <w:sz w:val="20"/>
          <w:szCs w:val="20"/>
          <w:lang w:val="es-ES_tradnl"/>
        </w:rPr>
        <w:t xml:space="preserve">INFORME DE FONDO </w:t>
      </w:r>
    </w:p>
    <w:p w14:paraId="53F0DCA4" w14:textId="4D1C2771" w:rsidR="00462E12" w:rsidRPr="0033784B" w:rsidRDefault="00462E12" w:rsidP="00722C9F">
      <w:pPr>
        <w:tabs>
          <w:tab w:val="center" w:pos="5400"/>
        </w:tabs>
        <w:suppressAutoHyphens/>
        <w:spacing w:line="276" w:lineRule="auto"/>
        <w:jc w:val="center"/>
        <w:rPr>
          <w:rFonts w:ascii="Cambria" w:hAnsi="Cambria"/>
          <w:sz w:val="20"/>
          <w:szCs w:val="20"/>
          <w:lang w:val="es-ES_tradnl"/>
        </w:rPr>
      </w:pPr>
      <w:r w:rsidRPr="0033784B">
        <w:rPr>
          <w:rFonts w:ascii="Cambria" w:hAnsi="Cambria"/>
          <w:sz w:val="20"/>
          <w:szCs w:val="20"/>
          <w:lang w:val="es-ES_tradnl"/>
        </w:rPr>
        <w:t xml:space="preserve">JULIO CÉSAR RAMÓN DEL VALLE </w:t>
      </w:r>
      <w:r w:rsidR="00786866" w:rsidRPr="0033784B">
        <w:rPr>
          <w:rFonts w:ascii="Cambria" w:hAnsi="Cambria"/>
          <w:sz w:val="20"/>
          <w:szCs w:val="20"/>
          <w:lang w:val="es-ES_tradnl"/>
        </w:rPr>
        <w:t xml:space="preserve">AMBROSIO </w:t>
      </w:r>
      <w:r w:rsidR="00272B8E">
        <w:rPr>
          <w:rFonts w:ascii="Cambria" w:hAnsi="Cambria"/>
          <w:sz w:val="20"/>
          <w:szCs w:val="20"/>
          <w:lang w:val="es-ES_tradnl"/>
        </w:rPr>
        <w:t>y</w:t>
      </w:r>
      <w:r w:rsidRPr="0033784B">
        <w:rPr>
          <w:rFonts w:ascii="Cambria" w:hAnsi="Cambria"/>
          <w:sz w:val="20"/>
          <w:szCs w:val="20"/>
          <w:lang w:val="es-ES_tradnl"/>
        </w:rPr>
        <w:t xml:space="preserve"> EDUARDO DOMÍNGUEZ LINARES</w:t>
      </w:r>
    </w:p>
    <w:p w14:paraId="5A4D60FC" w14:textId="77777777" w:rsidR="00462E12" w:rsidRPr="0033784B" w:rsidRDefault="00462E12" w:rsidP="00722C9F">
      <w:pPr>
        <w:tabs>
          <w:tab w:val="center" w:pos="5400"/>
        </w:tabs>
        <w:suppressAutoHyphens/>
        <w:spacing w:line="276" w:lineRule="auto"/>
        <w:jc w:val="center"/>
        <w:rPr>
          <w:rFonts w:ascii="Cambria" w:hAnsi="Cambria"/>
          <w:sz w:val="20"/>
          <w:szCs w:val="20"/>
          <w:lang w:val="es-ES_tradnl"/>
        </w:rPr>
      </w:pPr>
      <w:r w:rsidRPr="0033784B">
        <w:rPr>
          <w:rFonts w:ascii="Cambria" w:hAnsi="Cambria"/>
          <w:sz w:val="20"/>
          <w:szCs w:val="20"/>
          <w:lang w:val="es-ES_tradnl"/>
        </w:rPr>
        <w:t xml:space="preserve">ARGENTINA </w:t>
      </w:r>
    </w:p>
    <w:p w14:paraId="273087D8" w14:textId="1C32CEAE" w:rsidR="00722C9F" w:rsidRPr="0033784B" w:rsidRDefault="00003625" w:rsidP="00722C9F">
      <w:pPr>
        <w:tabs>
          <w:tab w:val="center" w:pos="5400"/>
        </w:tabs>
        <w:suppressAutoHyphens/>
        <w:spacing w:line="276" w:lineRule="auto"/>
        <w:jc w:val="center"/>
        <w:rPr>
          <w:rFonts w:ascii="Cambria" w:hAnsi="Cambria"/>
          <w:sz w:val="20"/>
          <w:szCs w:val="20"/>
          <w:lang w:val="es-ES_tradnl"/>
        </w:rPr>
      </w:pPr>
      <w:r>
        <w:rPr>
          <w:rFonts w:ascii="Cambria" w:hAnsi="Cambria"/>
          <w:sz w:val="20"/>
          <w:szCs w:val="20"/>
          <w:lang w:val="es-ES_tradnl"/>
        </w:rPr>
        <w:t>5 DE SEPTIEMBRE DE 2017</w:t>
      </w:r>
    </w:p>
    <w:p w14:paraId="0BD8372C" w14:textId="77777777" w:rsidR="00722C9F" w:rsidRPr="0033784B" w:rsidRDefault="00722C9F" w:rsidP="00722C9F">
      <w:pPr>
        <w:tabs>
          <w:tab w:val="center" w:pos="5400"/>
        </w:tabs>
        <w:suppressAutoHyphens/>
        <w:spacing w:line="276" w:lineRule="auto"/>
        <w:jc w:val="center"/>
        <w:rPr>
          <w:rFonts w:ascii="Cambria" w:hAnsi="Cambria"/>
          <w:sz w:val="20"/>
          <w:szCs w:val="20"/>
          <w:lang w:val="es-ES_tradnl"/>
        </w:rPr>
      </w:pPr>
    </w:p>
    <w:p w14:paraId="00C95453" w14:textId="77777777" w:rsidR="00722C9F" w:rsidRPr="0033784B" w:rsidRDefault="00722C9F" w:rsidP="00722C9F">
      <w:pPr>
        <w:tabs>
          <w:tab w:val="center" w:pos="5400"/>
        </w:tabs>
        <w:suppressAutoHyphens/>
        <w:spacing w:line="276" w:lineRule="auto"/>
        <w:jc w:val="center"/>
        <w:rPr>
          <w:rFonts w:ascii="Cambria" w:hAnsi="Cambria"/>
          <w:b/>
          <w:sz w:val="20"/>
          <w:szCs w:val="20"/>
          <w:lang w:val="es-ES_tradnl"/>
        </w:rPr>
      </w:pPr>
      <w:r w:rsidRPr="0033784B">
        <w:rPr>
          <w:rFonts w:ascii="Cambria" w:hAnsi="Cambria"/>
          <w:b/>
          <w:sz w:val="20"/>
          <w:szCs w:val="20"/>
          <w:lang w:val="es-ES_tradnl"/>
        </w:rPr>
        <w:t>ÍNDICE</w:t>
      </w:r>
    </w:p>
    <w:p w14:paraId="46B4B69D" w14:textId="77777777" w:rsidR="0070697F" w:rsidRPr="0033784B" w:rsidRDefault="0070697F" w:rsidP="001D65EF">
      <w:pPr>
        <w:tabs>
          <w:tab w:val="center" w:pos="5400"/>
        </w:tabs>
        <w:suppressAutoHyphens/>
        <w:spacing w:line="276" w:lineRule="auto"/>
        <w:rPr>
          <w:rFonts w:ascii="Cambria" w:hAnsi="Cambria"/>
          <w:sz w:val="20"/>
          <w:szCs w:val="20"/>
          <w:lang w:val="es-ES_tradnl"/>
        </w:rPr>
      </w:pPr>
    </w:p>
    <w:p w14:paraId="1DCE834C" w14:textId="77777777" w:rsidR="008D768D" w:rsidRPr="0033784B" w:rsidRDefault="008D768D" w:rsidP="001D65EF">
      <w:pPr>
        <w:tabs>
          <w:tab w:val="center" w:pos="5400"/>
        </w:tabs>
        <w:suppressAutoHyphens/>
        <w:spacing w:line="276" w:lineRule="auto"/>
        <w:rPr>
          <w:rFonts w:ascii="Cambria" w:hAnsi="Cambria"/>
          <w:sz w:val="20"/>
          <w:szCs w:val="20"/>
          <w:lang w:val="es-ES_tradnl"/>
        </w:rPr>
      </w:pPr>
    </w:p>
    <w:p w14:paraId="168FCCE2" w14:textId="77777777" w:rsidR="008D768D" w:rsidRPr="0033784B" w:rsidRDefault="008D768D" w:rsidP="001D65EF">
      <w:pPr>
        <w:tabs>
          <w:tab w:val="center" w:pos="5400"/>
        </w:tabs>
        <w:suppressAutoHyphens/>
        <w:spacing w:line="276" w:lineRule="auto"/>
        <w:rPr>
          <w:rFonts w:ascii="Cambria" w:hAnsi="Cambria"/>
          <w:sz w:val="20"/>
          <w:szCs w:val="20"/>
          <w:lang w:val="es-ES_tradnl"/>
        </w:rPr>
      </w:pPr>
    </w:p>
    <w:p w14:paraId="39B83C74" w14:textId="77777777" w:rsidR="008247A0" w:rsidRPr="0033784B" w:rsidRDefault="00C50824">
      <w:pPr>
        <w:pStyle w:val="TOC1"/>
        <w:tabs>
          <w:tab w:val="left" w:pos="720"/>
          <w:tab w:val="right" w:leader="dot" w:pos="9350"/>
        </w:tabs>
        <w:rPr>
          <w:rFonts w:eastAsiaTheme="minorEastAsia" w:cstheme="minorBidi"/>
          <w:noProof/>
          <w:szCs w:val="22"/>
          <w:bdr w:val="none" w:sz="0" w:space="0" w:color="auto"/>
        </w:rPr>
      </w:pPr>
      <w:r w:rsidRPr="0033784B">
        <w:rPr>
          <w:rFonts w:ascii="Cambria" w:hAnsi="Cambria"/>
          <w:sz w:val="20"/>
          <w:szCs w:val="20"/>
          <w:lang w:val="es-ES_tradnl"/>
        </w:rPr>
        <w:fldChar w:fldCharType="begin"/>
      </w:r>
      <w:r w:rsidRPr="0033784B">
        <w:rPr>
          <w:rFonts w:ascii="Cambria" w:hAnsi="Cambria"/>
          <w:sz w:val="20"/>
          <w:szCs w:val="20"/>
          <w:lang w:val="es-ES_tradnl"/>
        </w:rPr>
        <w:instrText xml:space="preserve"> TOC \o "1-3" \h \z \u </w:instrText>
      </w:r>
      <w:r w:rsidRPr="0033784B">
        <w:rPr>
          <w:rFonts w:ascii="Cambria" w:hAnsi="Cambria"/>
          <w:sz w:val="20"/>
          <w:szCs w:val="20"/>
          <w:lang w:val="es-ES_tradnl"/>
        </w:rPr>
        <w:fldChar w:fldCharType="separate"/>
      </w:r>
      <w:hyperlink w:anchor="_Toc489610447" w:history="1">
        <w:r w:rsidR="008247A0" w:rsidRPr="0033784B">
          <w:rPr>
            <w:rStyle w:val="Hyperlink"/>
            <w:rFonts w:ascii="Cambria" w:hAnsi="Cambria"/>
            <w:noProof/>
            <w:lang w:val="es-ES"/>
          </w:rPr>
          <w:t>I.</w:t>
        </w:r>
        <w:r w:rsidR="008247A0" w:rsidRPr="0033784B">
          <w:rPr>
            <w:rFonts w:eastAsiaTheme="minorEastAsia" w:cstheme="minorBidi"/>
            <w:noProof/>
            <w:szCs w:val="22"/>
            <w:bdr w:val="none" w:sz="0" w:space="0" w:color="auto"/>
          </w:rPr>
          <w:tab/>
        </w:r>
        <w:r w:rsidR="008247A0" w:rsidRPr="0033784B">
          <w:rPr>
            <w:rStyle w:val="Hyperlink"/>
            <w:rFonts w:ascii="Cambria" w:hAnsi="Cambria"/>
            <w:noProof/>
            <w:lang w:val="es-ES"/>
          </w:rPr>
          <w:t>RESUMEN</w:t>
        </w:r>
        <w:r w:rsidR="008247A0" w:rsidRPr="0033784B">
          <w:rPr>
            <w:noProof/>
            <w:webHidden/>
          </w:rPr>
          <w:tab/>
        </w:r>
        <w:r w:rsidR="008247A0" w:rsidRPr="0033784B">
          <w:rPr>
            <w:noProof/>
            <w:webHidden/>
          </w:rPr>
          <w:fldChar w:fldCharType="begin"/>
        </w:r>
        <w:r w:rsidR="008247A0" w:rsidRPr="0033784B">
          <w:rPr>
            <w:noProof/>
            <w:webHidden/>
          </w:rPr>
          <w:instrText xml:space="preserve"> PAGEREF _Toc489610447 \h </w:instrText>
        </w:r>
        <w:r w:rsidR="008247A0" w:rsidRPr="0033784B">
          <w:rPr>
            <w:noProof/>
            <w:webHidden/>
          </w:rPr>
        </w:r>
        <w:r w:rsidR="008247A0" w:rsidRPr="0033784B">
          <w:rPr>
            <w:noProof/>
            <w:webHidden/>
          </w:rPr>
          <w:fldChar w:fldCharType="separate"/>
        </w:r>
        <w:r w:rsidR="008247A0" w:rsidRPr="0033784B">
          <w:rPr>
            <w:noProof/>
            <w:webHidden/>
          </w:rPr>
          <w:t>2</w:t>
        </w:r>
        <w:r w:rsidR="008247A0" w:rsidRPr="0033784B">
          <w:rPr>
            <w:noProof/>
            <w:webHidden/>
          </w:rPr>
          <w:fldChar w:fldCharType="end"/>
        </w:r>
      </w:hyperlink>
    </w:p>
    <w:p w14:paraId="6BF404D5" w14:textId="77777777" w:rsidR="008247A0" w:rsidRPr="0033784B" w:rsidRDefault="00DA5B7A">
      <w:pPr>
        <w:pStyle w:val="TOC1"/>
        <w:tabs>
          <w:tab w:val="left" w:pos="720"/>
          <w:tab w:val="right" w:leader="dot" w:pos="9350"/>
        </w:tabs>
        <w:rPr>
          <w:rFonts w:eastAsiaTheme="minorEastAsia" w:cstheme="minorBidi"/>
          <w:noProof/>
          <w:szCs w:val="22"/>
          <w:bdr w:val="none" w:sz="0" w:space="0" w:color="auto"/>
        </w:rPr>
      </w:pPr>
      <w:hyperlink w:anchor="_Toc489610448" w:history="1">
        <w:r w:rsidR="008247A0" w:rsidRPr="0033784B">
          <w:rPr>
            <w:rStyle w:val="Hyperlink"/>
            <w:rFonts w:ascii="Cambria" w:hAnsi="Cambria"/>
            <w:noProof/>
            <w:lang w:val="es-ES"/>
          </w:rPr>
          <w:t>II.</w:t>
        </w:r>
        <w:r w:rsidR="008247A0" w:rsidRPr="0033784B">
          <w:rPr>
            <w:rFonts w:eastAsiaTheme="minorEastAsia" w:cstheme="minorBidi"/>
            <w:noProof/>
            <w:szCs w:val="22"/>
            <w:bdr w:val="none" w:sz="0" w:space="0" w:color="auto"/>
          </w:rPr>
          <w:tab/>
        </w:r>
        <w:r w:rsidR="008247A0" w:rsidRPr="0033784B">
          <w:rPr>
            <w:rStyle w:val="Hyperlink"/>
            <w:rFonts w:ascii="Cambria" w:hAnsi="Cambria"/>
            <w:noProof/>
            <w:lang w:val="es-ES"/>
          </w:rPr>
          <w:t>TRÁMITE POSTERIOR A LOS INFORMES DE ADMISIBILIDAD</w:t>
        </w:r>
        <w:r w:rsidR="008247A0" w:rsidRPr="0033784B">
          <w:rPr>
            <w:noProof/>
            <w:webHidden/>
          </w:rPr>
          <w:tab/>
        </w:r>
        <w:r w:rsidR="008247A0" w:rsidRPr="0033784B">
          <w:rPr>
            <w:noProof/>
            <w:webHidden/>
          </w:rPr>
          <w:fldChar w:fldCharType="begin"/>
        </w:r>
        <w:r w:rsidR="008247A0" w:rsidRPr="0033784B">
          <w:rPr>
            <w:noProof/>
            <w:webHidden/>
          </w:rPr>
          <w:instrText xml:space="preserve"> PAGEREF _Toc489610448 \h </w:instrText>
        </w:r>
        <w:r w:rsidR="008247A0" w:rsidRPr="0033784B">
          <w:rPr>
            <w:noProof/>
            <w:webHidden/>
          </w:rPr>
        </w:r>
        <w:r w:rsidR="008247A0" w:rsidRPr="0033784B">
          <w:rPr>
            <w:noProof/>
            <w:webHidden/>
          </w:rPr>
          <w:fldChar w:fldCharType="separate"/>
        </w:r>
        <w:r w:rsidR="008247A0" w:rsidRPr="0033784B">
          <w:rPr>
            <w:noProof/>
            <w:webHidden/>
          </w:rPr>
          <w:t>2</w:t>
        </w:r>
        <w:r w:rsidR="008247A0" w:rsidRPr="0033784B">
          <w:rPr>
            <w:noProof/>
            <w:webHidden/>
          </w:rPr>
          <w:fldChar w:fldCharType="end"/>
        </w:r>
      </w:hyperlink>
    </w:p>
    <w:p w14:paraId="0B6A3F4A" w14:textId="77777777" w:rsidR="008247A0" w:rsidRPr="0033784B" w:rsidRDefault="00DA5B7A">
      <w:pPr>
        <w:pStyle w:val="TOC1"/>
        <w:tabs>
          <w:tab w:val="left" w:pos="720"/>
          <w:tab w:val="right" w:leader="dot" w:pos="9350"/>
        </w:tabs>
        <w:rPr>
          <w:rFonts w:eastAsiaTheme="minorEastAsia" w:cstheme="minorBidi"/>
          <w:noProof/>
          <w:szCs w:val="22"/>
          <w:bdr w:val="none" w:sz="0" w:space="0" w:color="auto"/>
        </w:rPr>
      </w:pPr>
      <w:hyperlink w:anchor="_Toc489610449" w:history="1">
        <w:r w:rsidR="008247A0" w:rsidRPr="0033784B">
          <w:rPr>
            <w:rStyle w:val="Hyperlink"/>
            <w:rFonts w:ascii="Cambria" w:hAnsi="Cambria"/>
            <w:noProof/>
            <w:lang w:val="es-ES"/>
          </w:rPr>
          <w:t>III.</w:t>
        </w:r>
        <w:r w:rsidR="008247A0" w:rsidRPr="0033784B">
          <w:rPr>
            <w:rFonts w:eastAsiaTheme="minorEastAsia" w:cstheme="minorBidi"/>
            <w:noProof/>
            <w:szCs w:val="22"/>
            <w:bdr w:val="none" w:sz="0" w:space="0" w:color="auto"/>
          </w:rPr>
          <w:tab/>
        </w:r>
        <w:r w:rsidR="008247A0" w:rsidRPr="0033784B">
          <w:rPr>
            <w:rStyle w:val="Hyperlink"/>
            <w:rFonts w:ascii="Cambria" w:hAnsi="Cambria"/>
            <w:noProof/>
            <w:lang w:val="es-ES"/>
          </w:rPr>
          <w:t>ALEGATOS DE LAS PARTES</w:t>
        </w:r>
        <w:r w:rsidR="008247A0" w:rsidRPr="0033784B">
          <w:rPr>
            <w:noProof/>
            <w:webHidden/>
          </w:rPr>
          <w:tab/>
        </w:r>
        <w:r w:rsidR="008247A0" w:rsidRPr="0033784B">
          <w:rPr>
            <w:noProof/>
            <w:webHidden/>
          </w:rPr>
          <w:fldChar w:fldCharType="begin"/>
        </w:r>
        <w:r w:rsidR="008247A0" w:rsidRPr="0033784B">
          <w:rPr>
            <w:noProof/>
            <w:webHidden/>
          </w:rPr>
          <w:instrText xml:space="preserve"> PAGEREF _Toc489610449 \h </w:instrText>
        </w:r>
        <w:r w:rsidR="008247A0" w:rsidRPr="0033784B">
          <w:rPr>
            <w:noProof/>
            <w:webHidden/>
          </w:rPr>
        </w:r>
        <w:r w:rsidR="008247A0" w:rsidRPr="0033784B">
          <w:rPr>
            <w:noProof/>
            <w:webHidden/>
          </w:rPr>
          <w:fldChar w:fldCharType="separate"/>
        </w:r>
        <w:r w:rsidR="008247A0" w:rsidRPr="0033784B">
          <w:rPr>
            <w:noProof/>
            <w:webHidden/>
          </w:rPr>
          <w:t>3</w:t>
        </w:r>
        <w:r w:rsidR="008247A0" w:rsidRPr="0033784B">
          <w:rPr>
            <w:noProof/>
            <w:webHidden/>
          </w:rPr>
          <w:fldChar w:fldCharType="end"/>
        </w:r>
      </w:hyperlink>
    </w:p>
    <w:p w14:paraId="060AC08B" w14:textId="77777777" w:rsidR="008247A0" w:rsidRPr="0033784B" w:rsidRDefault="00DA5B7A">
      <w:pPr>
        <w:pStyle w:val="TOC2"/>
        <w:rPr>
          <w:rFonts w:asciiTheme="minorHAnsi" w:eastAsiaTheme="minorEastAsia" w:hAnsiTheme="minorHAnsi" w:cstheme="minorBidi"/>
          <w:noProof/>
          <w:sz w:val="22"/>
          <w:szCs w:val="22"/>
          <w:bdr w:val="none" w:sz="0" w:space="0" w:color="auto"/>
        </w:rPr>
      </w:pPr>
      <w:hyperlink w:anchor="_Toc489610450" w:history="1">
        <w:r w:rsidR="008247A0" w:rsidRPr="0033784B">
          <w:rPr>
            <w:rStyle w:val="Hyperlink"/>
            <w:rFonts w:ascii="Cambria" w:hAnsi="Cambria"/>
            <w:noProof/>
            <w:lang w:val="es-AR"/>
          </w:rPr>
          <w:t xml:space="preserve">A. </w:t>
        </w:r>
        <w:r w:rsidR="008247A0" w:rsidRPr="0033784B">
          <w:rPr>
            <w:rFonts w:asciiTheme="minorHAnsi" w:eastAsiaTheme="minorEastAsia" w:hAnsiTheme="minorHAnsi" w:cstheme="minorBidi"/>
            <w:noProof/>
            <w:sz w:val="22"/>
            <w:szCs w:val="22"/>
            <w:bdr w:val="none" w:sz="0" w:space="0" w:color="auto"/>
          </w:rPr>
          <w:tab/>
        </w:r>
        <w:r w:rsidR="008247A0" w:rsidRPr="0033784B">
          <w:rPr>
            <w:rStyle w:val="Hyperlink"/>
            <w:rFonts w:ascii="Cambria" w:hAnsi="Cambria"/>
            <w:noProof/>
            <w:lang w:val="es-AR"/>
          </w:rPr>
          <w:t>Alegatos de la parte peticionaria</w:t>
        </w:r>
        <w:r w:rsidR="008247A0" w:rsidRPr="0033784B">
          <w:rPr>
            <w:noProof/>
            <w:webHidden/>
          </w:rPr>
          <w:tab/>
        </w:r>
        <w:r w:rsidR="008247A0" w:rsidRPr="0033784B">
          <w:rPr>
            <w:noProof/>
            <w:webHidden/>
          </w:rPr>
          <w:fldChar w:fldCharType="begin"/>
        </w:r>
        <w:r w:rsidR="008247A0" w:rsidRPr="0033784B">
          <w:rPr>
            <w:noProof/>
            <w:webHidden/>
          </w:rPr>
          <w:instrText xml:space="preserve"> PAGEREF _Toc489610450 \h </w:instrText>
        </w:r>
        <w:r w:rsidR="008247A0" w:rsidRPr="0033784B">
          <w:rPr>
            <w:noProof/>
            <w:webHidden/>
          </w:rPr>
        </w:r>
        <w:r w:rsidR="008247A0" w:rsidRPr="0033784B">
          <w:rPr>
            <w:noProof/>
            <w:webHidden/>
          </w:rPr>
          <w:fldChar w:fldCharType="separate"/>
        </w:r>
        <w:r w:rsidR="008247A0" w:rsidRPr="0033784B">
          <w:rPr>
            <w:noProof/>
            <w:webHidden/>
          </w:rPr>
          <w:t>3</w:t>
        </w:r>
        <w:r w:rsidR="008247A0" w:rsidRPr="0033784B">
          <w:rPr>
            <w:noProof/>
            <w:webHidden/>
          </w:rPr>
          <w:fldChar w:fldCharType="end"/>
        </w:r>
      </w:hyperlink>
    </w:p>
    <w:p w14:paraId="658952FC" w14:textId="77777777" w:rsidR="008247A0" w:rsidRPr="0033784B" w:rsidRDefault="00DA5B7A">
      <w:pPr>
        <w:pStyle w:val="TOC2"/>
        <w:rPr>
          <w:rFonts w:asciiTheme="minorHAnsi" w:eastAsiaTheme="minorEastAsia" w:hAnsiTheme="minorHAnsi" w:cstheme="minorBidi"/>
          <w:noProof/>
          <w:sz w:val="22"/>
          <w:szCs w:val="22"/>
          <w:bdr w:val="none" w:sz="0" w:space="0" w:color="auto"/>
        </w:rPr>
      </w:pPr>
      <w:hyperlink w:anchor="_Toc489610451" w:history="1">
        <w:r w:rsidR="008247A0" w:rsidRPr="0033784B">
          <w:rPr>
            <w:rStyle w:val="Hyperlink"/>
            <w:rFonts w:ascii="Cambria" w:hAnsi="Cambria"/>
            <w:noProof/>
            <w:lang w:val="es-AR"/>
          </w:rPr>
          <w:t>B.</w:t>
        </w:r>
        <w:r w:rsidR="008247A0" w:rsidRPr="0033784B">
          <w:rPr>
            <w:rFonts w:asciiTheme="minorHAnsi" w:eastAsiaTheme="minorEastAsia" w:hAnsiTheme="minorHAnsi" w:cstheme="minorBidi"/>
            <w:noProof/>
            <w:sz w:val="22"/>
            <w:szCs w:val="22"/>
            <w:bdr w:val="none" w:sz="0" w:space="0" w:color="auto"/>
          </w:rPr>
          <w:tab/>
        </w:r>
        <w:r w:rsidR="008247A0" w:rsidRPr="0033784B">
          <w:rPr>
            <w:rStyle w:val="Hyperlink"/>
            <w:rFonts w:ascii="Cambria" w:hAnsi="Cambria"/>
            <w:noProof/>
            <w:lang w:val="es-AR"/>
          </w:rPr>
          <w:t xml:space="preserve"> Alegatos del Estado</w:t>
        </w:r>
        <w:r w:rsidR="008247A0" w:rsidRPr="0033784B">
          <w:rPr>
            <w:noProof/>
            <w:webHidden/>
          </w:rPr>
          <w:tab/>
        </w:r>
        <w:r w:rsidR="008247A0" w:rsidRPr="0033784B">
          <w:rPr>
            <w:noProof/>
            <w:webHidden/>
          </w:rPr>
          <w:fldChar w:fldCharType="begin"/>
        </w:r>
        <w:r w:rsidR="008247A0" w:rsidRPr="0033784B">
          <w:rPr>
            <w:noProof/>
            <w:webHidden/>
          </w:rPr>
          <w:instrText xml:space="preserve"> PAGEREF _Toc489610451 \h </w:instrText>
        </w:r>
        <w:r w:rsidR="008247A0" w:rsidRPr="0033784B">
          <w:rPr>
            <w:noProof/>
            <w:webHidden/>
          </w:rPr>
        </w:r>
        <w:r w:rsidR="008247A0" w:rsidRPr="0033784B">
          <w:rPr>
            <w:noProof/>
            <w:webHidden/>
          </w:rPr>
          <w:fldChar w:fldCharType="separate"/>
        </w:r>
        <w:r w:rsidR="008247A0" w:rsidRPr="0033784B">
          <w:rPr>
            <w:noProof/>
            <w:webHidden/>
          </w:rPr>
          <w:t>3</w:t>
        </w:r>
        <w:r w:rsidR="008247A0" w:rsidRPr="0033784B">
          <w:rPr>
            <w:noProof/>
            <w:webHidden/>
          </w:rPr>
          <w:fldChar w:fldCharType="end"/>
        </w:r>
      </w:hyperlink>
    </w:p>
    <w:p w14:paraId="60417A1E" w14:textId="77777777" w:rsidR="008247A0" w:rsidRPr="0033784B" w:rsidRDefault="00DA5B7A">
      <w:pPr>
        <w:pStyle w:val="TOC1"/>
        <w:tabs>
          <w:tab w:val="left" w:pos="720"/>
          <w:tab w:val="right" w:leader="dot" w:pos="9350"/>
        </w:tabs>
        <w:rPr>
          <w:rFonts w:eastAsiaTheme="minorEastAsia" w:cstheme="minorBidi"/>
          <w:noProof/>
          <w:szCs w:val="22"/>
          <w:bdr w:val="none" w:sz="0" w:space="0" w:color="auto"/>
        </w:rPr>
      </w:pPr>
      <w:hyperlink w:anchor="_Toc489610452" w:history="1">
        <w:r w:rsidR="008247A0" w:rsidRPr="0033784B">
          <w:rPr>
            <w:rStyle w:val="Hyperlink"/>
            <w:rFonts w:ascii="Cambria" w:hAnsi="Cambria"/>
            <w:noProof/>
            <w:lang w:val="es-ES"/>
          </w:rPr>
          <w:t>IV.</w:t>
        </w:r>
        <w:r w:rsidR="008247A0" w:rsidRPr="0033784B">
          <w:rPr>
            <w:rFonts w:eastAsiaTheme="minorEastAsia" w:cstheme="minorBidi"/>
            <w:noProof/>
            <w:szCs w:val="22"/>
            <w:bdr w:val="none" w:sz="0" w:space="0" w:color="auto"/>
          </w:rPr>
          <w:tab/>
        </w:r>
        <w:r w:rsidR="008247A0" w:rsidRPr="0033784B">
          <w:rPr>
            <w:rStyle w:val="Hyperlink"/>
            <w:rFonts w:ascii="Cambria" w:hAnsi="Cambria"/>
            <w:noProof/>
            <w:lang w:val="es-ES"/>
          </w:rPr>
          <w:t>DETERMINACIONES DE HECHO</w:t>
        </w:r>
        <w:r w:rsidR="008247A0" w:rsidRPr="0033784B">
          <w:rPr>
            <w:noProof/>
            <w:webHidden/>
          </w:rPr>
          <w:tab/>
        </w:r>
        <w:r w:rsidR="008247A0" w:rsidRPr="0033784B">
          <w:rPr>
            <w:noProof/>
            <w:webHidden/>
          </w:rPr>
          <w:fldChar w:fldCharType="begin"/>
        </w:r>
        <w:r w:rsidR="008247A0" w:rsidRPr="0033784B">
          <w:rPr>
            <w:noProof/>
            <w:webHidden/>
          </w:rPr>
          <w:instrText xml:space="preserve"> PAGEREF _Toc489610452 \h </w:instrText>
        </w:r>
        <w:r w:rsidR="008247A0" w:rsidRPr="0033784B">
          <w:rPr>
            <w:noProof/>
            <w:webHidden/>
          </w:rPr>
        </w:r>
        <w:r w:rsidR="008247A0" w:rsidRPr="0033784B">
          <w:rPr>
            <w:noProof/>
            <w:webHidden/>
          </w:rPr>
          <w:fldChar w:fldCharType="separate"/>
        </w:r>
        <w:r w:rsidR="008247A0" w:rsidRPr="0033784B">
          <w:rPr>
            <w:noProof/>
            <w:webHidden/>
          </w:rPr>
          <w:t>4</w:t>
        </w:r>
        <w:r w:rsidR="008247A0" w:rsidRPr="0033784B">
          <w:rPr>
            <w:noProof/>
            <w:webHidden/>
          </w:rPr>
          <w:fldChar w:fldCharType="end"/>
        </w:r>
      </w:hyperlink>
    </w:p>
    <w:p w14:paraId="4AF6B24E" w14:textId="77777777" w:rsidR="008247A0" w:rsidRPr="0033784B" w:rsidRDefault="00DA5B7A">
      <w:pPr>
        <w:pStyle w:val="TOC2"/>
        <w:rPr>
          <w:rFonts w:asciiTheme="minorHAnsi" w:eastAsiaTheme="minorEastAsia" w:hAnsiTheme="minorHAnsi" w:cstheme="minorBidi"/>
          <w:noProof/>
          <w:sz w:val="22"/>
          <w:szCs w:val="22"/>
          <w:bdr w:val="none" w:sz="0" w:space="0" w:color="auto"/>
        </w:rPr>
      </w:pPr>
      <w:hyperlink w:anchor="_Toc489610453" w:history="1">
        <w:r w:rsidR="008247A0" w:rsidRPr="0033784B">
          <w:rPr>
            <w:rStyle w:val="Hyperlink"/>
            <w:rFonts w:ascii="Cambria" w:hAnsi="Cambria"/>
            <w:noProof/>
            <w:lang w:val="es-ES_tradnl"/>
          </w:rPr>
          <w:t>A.</w:t>
        </w:r>
        <w:r w:rsidR="008247A0" w:rsidRPr="0033784B">
          <w:rPr>
            <w:rFonts w:asciiTheme="minorHAnsi" w:eastAsiaTheme="minorEastAsia" w:hAnsiTheme="minorHAnsi" w:cstheme="minorBidi"/>
            <w:noProof/>
            <w:sz w:val="22"/>
            <w:szCs w:val="22"/>
            <w:bdr w:val="none" w:sz="0" w:space="0" w:color="auto"/>
          </w:rPr>
          <w:tab/>
        </w:r>
        <w:r w:rsidR="008247A0" w:rsidRPr="0033784B">
          <w:rPr>
            <w:rStyle w:val="Hyperlink"/>
            <w:rFonts w:ascii="Cambria" w:hAnsi="Cambria"/>
            <w:noProof/>
            <w:lang w:val="es-AR"/>
          </w:rPr>
          <w:t>El marco jurídico procesal penal relevante en materia de recursos</w:t>
        </w:r>
        <w:r w:rsidR="008247A0" w:rsidRPr="0033784B">
          <w:rPr>
            <w:noProof/>
            <w:webHidden/>
          </w:rPr>
          <w:tab/>
        </w:r>
        <w:r w:rsidR="008247A0" w:rsidRPr="0033784B">
          <w:rPr>
            <w:noProof/>
            <w:webHidden/>
          </w:rPr>
          <w:fldChar w:fldCharType="begin"/>
        </w:r>
        <w:r w:rsidR="008247A0" w:rsidRPr="0033784B">
          <w:rPr>
            <w:noProof/>
            <w:webHidden/>
          </w:rPr>
          <w:instrText xml:space="preserve"> PAGEREF _Toc489610453 \h </w:instrText>
        </w:r>
        <w:r w:rsidR="008247A0" w:rsidRPr="0033784B">
          <w:rPr>
            <w:noProof/>
            <w:webHidden/>
          </w:rPr>
        </w:r>
        <w:r w:rsidR="008247A0" w:rsidRPr="0033784B">
          <w:rPr>
            <w:noProof/>
            <w:webHidden/>
          </w:rPr>
          <w:fldChar w:fldCharType="separate"/>
        </w:r>
        <w:r w:rsidR="008247A0" w:rsidRPr="0033784B">
          <w:rPr>
            <w:noProof/>
            <w:webHidden/>
          </w:rPr>
          <w:t>4</w:t>
        </w:r>
        <w:r w:rsidR="008247A0" w:rsidRPr="0033784B">
          <w:rPr>
            <w:noProof/>
            <w:webHidden/>
          </w:rPr>
          <w:fldChar w:fldCharType="end"/>
        </w:r>
      </w:hyperlink>
    </w:p>
    <w:p w14:paraId="75233944" w14:textId="77777777" w:rsidR="008247A0" w:rsidRPr="0033784B" w:rsidRDefault="00DA5B7A">
      <w:pPr>
        <w:pStyle w:val="TOC2"/>
        <w:rPr>
          <w:rFonts w:asciiTheme="minorHAnsi" w:eastAsiaTheme="minorEastAsia" w:hAnsiTheme="minorHAnsi" w:cstheme="minorBidi"/>
          <w:noProof/>
          <w:sz w:val="22"/>
          <w:szCs w:val="22"/>
          <w:bdr w:val="none" w:sz="0" w:space="0" w:color="auto"/>
        </w:rPr>
      </w:pPr>
      <w:hyperlink w:anchor="_Toc489610454" w:history="1">
        <w:r w:rsidR="008247A0" w:rsidRPr="0033784B">
          <w:rPr>
            <w:rStyle w:val="Hyperlink"/>
            <w:rFonts w:ascii="Cambria" w:hAnsi="Cambria"/>
            <w:noProof/>
            <w:lang w:val="es-AR"/>
          </w:rPr>
          <w:t>B.</w:t>
        </w:r>
        <w:r w:rsidR="008247A0" w:rsidRPr="0033784B">
          <w:rPr>
            <w:rFonts w:asciiTheme="minorHAnsi" w:eastAsiaTheme="minorEastAsia" w:hAnsiTheme="minorHAnsi" w:cstheme="minorBidi"/>
            <w:noProof/>
            <w:sz w:val="22"/>
            <w:szCs w:val="22"/>
            <w:bdr w:val="none" w:sz="0" w:space="0" w:color="auto"/>
          </w:rPr>
          <w:tab/>
        </w:r>
        <w:r w:rsidR="008247A0" w:rsidRPr="0033784B">
          <w:rPr>
            <w:rStyle w:val="Hyperlink"/>
            <w:rFonts w:ascii="Cambria" w:hAnsi="Cambria"/>
            <w:noProof/>
            <w:lang w:val="es-AR"/>
          </w:rPr>
          <w:t>La práctica judicial en Argentina y el fallo “Casal” de 2005</w:t>
        </w:r>
        <w:r w:rsidR="008247A0" w:rsidRPr="0033784B">
          <w:rPr>
            <w:noProof/>
            <w:webHidden/>
          </w:rPr>
          <w:tab/>
        </w:r>
        <w:r w:rsidR="008247A0" w:rsidRPr="0033784B">
          <w:rPr>
            <w:noProof/>
            <w:webHidden/>
          </w:rPr>
          <w:fldChar w:fldCharType="begin"/>
        </w:r>
        <w:r w:rsidR="008247A0" w:rsidRPr="0033784B">
          <w:rPr>
            <w:noProof/>
            <w:webHidden/>
          </w:rPr>
          <w:instrText xml:space="preserve"> PAGEREF _Toc489610454 \h </w:instrText>
        </w:r>
        <w:r w:rsidR="008247A0" w:rsidRPr="0033784B">
          <w:rPr>
            <w:noProof/>
            <w:webHidden/>
          </w:rPr>
        </w:r>
        <w:r w:rsidR="008247A0" w:rsidRPr="0033784B">
          <w:rPr>
            <w:noProof/>
            <w:webHidden/>
          </w:rPr>
          <w:fldChar w:fldCharType="separate"/>
        </w:r>
        <w:r w:rsidR="008247A0" w:rsidRPr="0033784B">
          <w:rPr>
            <w:noProof/>
            <w:webHidden/>
          </w:rPr>
          <w:t>5</w:t>
        </w:r>
        <w:r w:rsidR="008247A0" w:rsidRPr="0033784B">
          <w:rPr>
            <w:noProof/>
            <w:webHidden/>
          </w:rPr>
          <w:fldChar w:fldCharType="end"/>
        </w:r>
      </w:hyperlink>
    </w:p>
    <w:p w14:paraId="6358EB39" w14:textId="77777777" w:rsidR="008247A0" w:rsidRPr="0033784B" w:rsidRDefault="00DA5B7A">
      <w:pPr>
        <w:pStyle w:val="TOC2"/>
        <w:rPr>
          <w:rFonts w:asciiTheme="minorHAnsi" w:eastAsiaTheme="minorEastAsia" w:hAnsiTheme="minorHAnsi" w:cstheme="minorBidi"/>
          <w:noProof/>
          <w:sz w:val="22"/>
          <w:szCs w:val="22"/>
          <w:bdr w:val="none" w:sz="0" w:space="0" w:color="auto"/>
        </w:rPr>
      </w:pPr>
      <w:hyperlink w:anchor="_Toc489610455" w:history="1">
        <w:r w:rsidR="008247A0" w:rsidRPr="0033784B">
          <w:rPr>
            <w:rStyle w:val="Hyperlink"/>
            <w:rFonts w:ascii="Cambria" w:hAnsi="Cambria"/>
            <w:noProof/>
            <w:lang w:val="es-AR"/>
          </w:rPr>
          <w:t>C.</w:t>
        </w:r>
        <w:r w:rsidR="008247A0" w:rsidRPr="0033784B">
          <w:rPr>
            <w:rFonts w:asciiTheme="minorHAnsi" w:eastAsiaTheme="minorEastAsia" w:hAnsiTheme="minorHAnsi" w:cstheme="minorBidi"/>
            <w:noProof/>
            <w:sz w:val="22"/>
            <w:szCs w:val="22"/>
            <w:bdr w:val="none" w:sz="0" w:space="0" w:color="auto"/>
          </w:rPr>
          <w:tab/>
        </w:r>
        <w:r w:rsidR="008247A0" w:rsidRPr="0033784B">
          <w:rPr>
            <w:rStyle w:val="Hyperlink"/>
            <w:rFonts w:ascii="Cambria" w:hAnsi="Cambria"/>
            <w:noProof/>
            <w:lang w:val="es-AR"/>
          </w:rPr>
          <w:t>Los procesos penales seguidos a las presuntas víctimas</w:t>
        </w:r>
        <w:r w:rsidR="008247A0" w:rsidRPr="0033784B">
          <w:rPr>
            <w:noProof/>
            <w:webHidden/>
          </w:rPr>
          <w:tab/>
        </w:r>
        <w:r w:rsidR="008247A0" w:rsidRPr="0033784B">
          <w:rPr>
            <w:noProof/>
            <w:webHidden/>
          </w:rPr>
          <w:fldChar w:fldCharType="begin"/>
        </w:r>
        <w:r w:rsidR="008247A0" w:rsidRPr="0033784B">
          <w:rPr>
            <w:noProof/>
            <w:webHidden/>
          </w:rPr>
          <w:instrText xml:space="preserve"> PAGEREF _Toc489610455 \h </w:instrText>
        </w:r>
        <w:r w:rsidR="008247A0" w:rsidRPr="0033784B">
          <w:rPr>
            <w:noProof/>
            <w:webHidden/>
          </w:rPr>
        </w:r>
        <w:r w:rsidR="008247A0" w:rsidRPr="0033784B">
          <w:rPr>
            <w:noProof/>
            <w:webHidden/>
          </w:rPr>
          <w:fldChar w:fldCharType="separate"/>
        </w:r>
        <w:r w:rsidR="008247A0" w:rsidRPr="0033784B">
          <w:rPr>
            <w:noProof/>
            <w:webHidden/>
          </w:rPr>
          <w:t>6</w:t>
        </w:r>
        <w:r w:rsidR="008247A0" w:rsidRPr="0033784B">
          <w:rPr>
            <w:noProof/>
            <w:webHidden/>
          </w:rPr>
          <w:fldChar w:fldCharType="end"/>
        </w:r>
      </w:hyperlink>
    </w:p>
    <w:p w14:paraId="6544DDC5" w14:textId="77777777" w:rsidR="008247A0" w:rsidRPr="0033784B" w:rsidRDefault="00DA5B7A">
      <w:pPr>
        <w:pStyle w:val="TOC1"/>
        <w:tabs>
          <w:tab w:val="left" w:pos="720"/>
          <w:tab w:val="right" w:leader="dot" w:pos="9350"/>
        </w:tabs>
        <w:rPr>
          <w:rFonts w:eastAsiaTheme="minorEastAsia" w:cstheme="minorBidi"/>
          <w:noProof/>
          <w:szCs w:val="22"/>
          <w:bdr w:val="none" w:sz="0" w:space="0" w:color="auto"/>
        </w:rPr>
      </w:pPr>
      <w:hyperlink w:anchor="_Toc489610456" w:history="1">
        <w:r w:rsidR="008247A0" w:rsidRPr="0033784B">
          <w:rPr>
            <w:rStyle w:val="Hyperlink"/>
            <w:rFonts w:ascii="Cambria" w:hAnsi="Cambria" w:cstheme="majorHAnsi"/>
            <w:noProof/>
            <w:lang w:val="es-AR"/>
          </w:rPr>
          <w:t>V.</w:t>
        </w:r>
        <w:r w:rsidR="008247A0" w:rsidRPr="0033784B">
          <w:rPr>
            <w:rFonts w:eastAsiaTheme="minorEastAsia" w:cstheme="minorBidi"/>
            <w:noProof/>
            <w:szCs w:val="22"/>
            <w:bdr w:val="none" w:sz="0" w:space="0" w:color="auto"/>
          </w:rPr>
          <w:tab/>
        </w:r>
        <w:r w:rsidR="008247A0" w:rsidRPr="0033784B">
          <w:rPr>
            <w:rStyle w:val="Hyperlink"/>
            <w:rFonts w:ascii="Cambria" w:hAnsi="Cambria" w:cstheme="majorHAnsi"/>
            <w:noProof/>
            <w:lang w:val="es-AR"/>
          </w:rPr>
          <w:t>ANÁLISIS DE DERECHO</w:t>
        </w:r>
        <w:r w:rsidR="008247A0" w:rsidRPr="0033784B">
          <w:rPr>
            <w:noProof/>
            <w:webHidden/>
          </w:rPr>
          <w:tab/>
        </w:r>
        <w:r w:rsidR="008247A0" w:rsidRPr="0033784B">
          <w:rPr>
            <w:noProof/>
            <w:webHidden/>
          </w:rPr>
          <w:fldChar w:fldCharType="begin"/>
        </w:r>
        <w:r w:rsidR="008247A0" w:rsidRPr="0033784B">
          <w:rPr>
            <w:noProof/>
            <w:webHidden/>
          </w:rPr>
          <w:instrText xml:space="preserve"> PAGEREF _Toc489610456 \h </w:instrText>
        </w:r>
        <w:r w:rsidR="008247A0" w:rsidRPr="0033784B">
          <w:rPr>
            <w:noProof/>
            <w:webHidden/>
          </w:rPr>
        </w:r>
        <w:r w:rsidR="008247A0" w:rsidRPr="0033784B">
          <w:rPr>
            <w:noProof/>
            <w:webHidden/>
          </w:rPr>
          <w:fldChar w:fldCharType="separate"/>
        </w:r>
        <w:r w:rsidR="008247A0" w:rsidRPr="0033784B">
          <w:rPr>
            <w:noProof/>
            <w:webHidden/>
          </w:rPr>
          <w:t>10</w:t>
        </w:r>
        <w:r w:rsidR="008247A0" w:rsidRPr="0033784B">
          <w:rPr>
            <w:noProof/>
            <w:webHidden/>
          </w:rPr>
          <w:fldChar w:fldCharType="end"/>
        </w:r>
      </w:hyperlink>
    </w:p>
    <w:p w14:paraId="1DFCB645" w14:textId="77777777" w:rsidR="008247A0" w:rsidRPr="0033784B" w:rsidRDefault="00DA5B7A">
      <w:pPr>
        <w:pStyle w:val="TOC1"/>
        <w:tabs>
          <w:tab w:val="left" w:pos="720"/>
          <w:tab w:val="right" w:leader="dot" w:pos="9350"/>
        </w:tabs>
        <w:rPr>
          <w:rFonts w:eastAsiaTheme="minorEastAsia" w:cstheme="minorBidi"/>
          <w:noProof/>
          <w:szCs w:val="22"/>
          <w:bdr w:val="none" w:sz="0" w:space="0" w:color="auto"/>
        </w:rPr>
      </w:pPr>
      <w:hyperlink w:anchor="_Toc489610457" w:history="1">
        <w:r w:rsidR="008247A0" w:rsidRPr="0033784B">
          <w:rPr>
            <w:rStyle w:val="Hyperlink"/>
            <w:rFonts w:ascii="Cambria" w:hAnsi="Cambria"/>
            <w:noProof/>
            <w:lang w:val="es-VE"/>
          </w:rPr>
          <w:t>VI.</w:t>
        </w:r>
        <w:r w:rsidR="008247A0" w:rsidRPr="0033784B">
          <w:rPr>
            <w:rFonts w:eastAsiaTheme="minorEastAsia" w:cstheme="minorBidi"/>
            <w:noProof/>
            <w:szCs w:val="22"/>
            <w:bdr w:val="none" w:sz="0" w:space="0" w:color="auto"/>
          </w:rPr>
          <w:tab/>
        </w:r>
        <w:r w:rsidR="008247A0" w:rsidRPr="0033784B">
          <w:rPr>
            <w:rStyle w:val="Hyperlink"/>
            <w:rFonts w:ascii="Cambria" w:hAnsi="Cambria"/>
            <w:noProof/>
            <w:lang w:val="es-AR"/>
          </w:rPr>
          <w:t>CONCLUSIONES</w:t>
        </w:r>
        <w:r w:rsidR="008247A0" w:rsidRPr="0033784B">
          <w:rPr>
            <w:noProof/>
            <w:webHidden/>
          </w:rPr>
          <w:tab/>
        </w:r>
        <w:r w:rsidR="008247A0" w:rsidRPr="0033784B">
          <w:rPr>
            <w:noProof/>
            <w:webHidden/>
          </w:rPr>
          <w:fldChar w:fldCharType="begin"/>
        </w:r>
        <w:r w:rsidR="008247A0" w:rsidRPr="0033784B">
          <w:rPr>
            <w:noProof/>
            <w:webHidden/>
          </w:rPr>
          <w:instrText xml:space="preserve"> PAGEREF _Toc489610457 \h </w:instrText>
        </w:r>
        <w:r w:rsidR="008247A0" w:rsidRPr="0033784B">
          <w:rPr>
            <w:noProof/>
            <w:webHidden/>
          </w:rPr>
        </w:r>
        <w:r w:rsidR="008247A0" w:rsidRPr="0033784B">
          <w:rPr>
            <w:noProof/>
            <w:webHidden/>
          </w:rPr>
          <w:fldChar w:fldCharType="separate"/>
        </w:r>
        <w:r w:rsidR="008247A0" w:rsidRPr="0033784B">
          <w:rPr>
            <w:noProof/>
            <w:webHidden/>
          </w:rPr>
          <w:t>17</w:t>
        </w:r>
        <w:r w:rsidR="008247A0" w:rsidRPr="0033784B">
          <w:rPr>
            <w:noProof/>
            <w:webHidden/>
          </w:rPr>
          <w:fldChar w:fldCharType="end"/>
        </w:r>
      </w:hyperlink>
    </w:p>
    <w:p w14:paraId="02E93788" w14:textId="77777777" w:rsidR="008247A0" w:rsidRPr="0033784B" w:rsidRDefault="00DA5B7A">
      <w:pPr>
        <w:pStyle w:val="TOC1"/>
        <w:tabs>
          <w:tab w:val="left" w:pos="720"/>
          <w:tab w:val="right" w:leader="dot" w:pos="9350"/>
        </w:tabs>
        <w:rPr>
          <w:rFonts w:eastAsiaTheme="minorEastAsia" w:cstheme="minorBidi"/>
          <w:noProof/>
          <w:szCs w:val="22"/>
          <w:bdr w:val="none" w:sz="0" w:space="0" w:color="auto"/>
        </w:rPr>
      </w:pPr>
      <w:hyperlink w:anchor="_Toc489610458" w:history="1">
        <w:r w:rsidR="008247A0" w:rsidRPr="0033784B">
          <w:rPr>
            <w:rStyle w:val="Hyperlink"/>
            <w:rFonts w:ascii="Cambria" w:hAnsi="Cambria"/>
            <w:noProof/>
            <w:lang w:val="es-VE"/>
          </w:rPr>
          <w:t>VII.</w:t>
        </w:r>
        <w:r w:rsidR="008247A0" w:rsidRPr="0033784B">
          <w:rPr>
            <w:rFonts w:eastAsiaTheme="minorEastAsia" w:cstheme="minorBidi"/>
            <w:noProof/>
            <w:szCs w:val="22"/>
            <w:bdr w:val="none" w:sz="0" w:space="0" w:color="auto"/>
          </w:rPr>
          <w:tab/>
        </w:r>
        <w:r w:rsidR="008247A0" w:rsidRPr="0033784B">
          <w:rPr>
            <w:rStyle w:val="Hyperlink"/>
            <w:rFonts w:ascii="Cambria" w:hAnsi="Cambria"/>
            <w:noProof/>
            <w:lang w:val="es-VE"/>
          </w:rPr>
          <w:t>RECOMENDACIONES</w:t>
        </w:r>
        <w:r w:rsidR="008247A0" w:rsidRPr="0033784B">
          <w:rPr>
            <w:noProof/>
            <w:webHidden/>
          </w:rPr>
          <w:tab/>
        </w:r>
        <w:r w:rsidR="008247A0" w:rsidRPr="0033784B">
          <w:rPr>
            <w:noProof/>
            <w:webHidden/>
          </w:rPr>
          <w:fldChar w:fldCharType="begin"/>
        </w:r>
        <w:r w:rsidR="008247A0" w:rsidRPr="0033784B">
          <w:rPr>
            <w:noProof/>
            <w:webHidden/>
          </w:rPr>
          <w:instrText xml:space="preserve"> PAGEREF _Toc489610458 \h </w:instrText>
        </w:r>
        <w:r w:rsidR="008247A0" w:rsidRPr="0033784B">
          <w:rPr>
            <w:noProof/>
            <w:webHidden/>
          </w:rPr>
        </w:r>
        <w:r w:rsidR="008247A0" w:rsidRPr="0033784B">
          <w:rPr>
            <w:noProof/>
            <w:webHidden/>
          </w:rPr>
          <w:fldChar w:fldCharType="separate"/>
        </w:r>
        <w:r w:rsidR="008247A0" w:rsidRPr="0033784B">
          <w:rPr>
            <w:noProof/>
            <w:webHidden/>
          </w:rPr>
          <w:t>17</w:t>
        </w:r>
        <w:r w:rsidR="008247A0" w:rsidRPr="0033784B">
          <w:rPr>
            <w:noProof/>
            <w:webHidden/>
          </w:rPr>
          <w:fldChar w:fldCharType="end"/>
        </w:r>
      </w:hyperlink>
    </w:p>
    <w:p w14:paraId="25B3BE83" w14:textId="77777777" w:rsidR="008D768D" w:rsidRPr="0033784B" w:rsidRDefault="00C50824" w:rsidP="001D65EF">
      <w:pPr>
        <w:tabs>
          <w:tab w:val="center" w:pos="5400"/>
        </w:tabs>
        <w:suppressAutoHyphens/>
        <w:spacing w:line="276" w:lineRule="auto"/>
        <w:rPr>
          <w:rFonts w:ascii="Cambria" w:hAnsi="Cambria"/>
          <w:sz w:val="20"/>
          <w:szCs w:val="20"/>
          <w:lang w:val="es-ES_tradnl"/>
        </w:rPr>
      </w:pPr>
      <w:r w:rsidRPr="0033784B">
        <w:rPr>
          <w:rFonts w:ascii="Cambria" w:hAnsi="Cambria"/>
          <w:sz w:val="20"/>
          <w:szCs w:val="20"/>
          <w:lang w:val="es-ES_tradnl"/>
        </w:rPr>
        <w:fldChar w:fldCharType="end"/>
      </w:r>
    </w:p>
    <w:p w14:paraId="7BA07B35" w14:textId="77777777" w:rsidR="00722C9F" w:rsidRPr="0033784B" w:rsidRDefault="00722C9F">
      <w:pPr>
        <w:rPr>
          <w:rFonts w:ascii="Cambria" w:hAnsi="Cambria" w:cs="Calibri"/>
          <w:sz w:val="20"/>
          <w:szCs w:val="20"/>
          <w:lang w:val="es-ES"/>
        </w:rPr>
      </w:pPr>
      <w:r w:rsidRPr="0033784B">
        <w:rPr>
          <w:rFonts w:ascii="Cambria" w:hAnsi="Cambria" w:cs="Calibri"/>
          <w:sz w:val="20"/>
          <w:szCs w:val="20"/>
          <w:lang w:val="es-ES"/>
        </w:rPr>
        <w:br w:type="page"/>
      </w:r>
    </w:p>
    <w:p w14:paraId="56A3955E" w14:textId="77777777" w:rsidR="000F6559" w:rsidRPr="0033784B" w:rsidRDefault="000F6559" w:rsidP="00462E12">
      <w:pPr>
        <w:tabs>
          <w:tab w:val="center" w:pos="4680"/>
          <w:tab w:val="left" w:pos="6511"/>
        </w:tabs>
        <w:jc w:val="center"/>
        <w:rPr>
          <w:rFonts w:ascii="Cambria" w:hAnsi="Cambria" w:cs="Calibri"/>
          <w:color w:val="808080" w:themeColor="background1" w:themeShade="80"/>
          <w:sz w:val="20"/>
          <w:szCs w:val="20"/>
          <w:lang w:val="es-ES_tradnl"/>
        </w:rPr>
      </w:pPr>
    </w:p>
    <w:p w14:paraId="5CA60D64" w14:textId="41705572" w:rsidR="000F6559" w:rsidRPr="0033784B" w:rsidRDefault="00272B8E" w:rsidP="00462E12">
      <w:pPr>
        <w:ind w:firstLine="720"/>
        <w:jc w:val="center"/>
        <w:rPr>
          <w:rFonts w:ascii="Cambria" w:hAnsi="Cambria" w:cs="Arial"/>
          <w:b/>
          <w:sz w:val="20"/>
          <w:szCs w:val="20"/>
          <w:lang w:val="es-MX"/>
        </w:rPr>
      </w:pPr>
      <w:bookmarkStart w:id="1" w:name="_Toc349569375"/>
      <w:bookmarkStart w:id="2" w:name="_Toc359494150"/>
      <w:r>
        <w:rPr>
          <w:rFonts w:ascii="Cambria" w:hAnsi="Cambria" w:cs="Arial"/>
          <w:b/>
          <w:sz w:val="20"/>
          <w:szCs w:val="20"/>
          <w:lang w:val="es-MX"/>
        </w:rPr>
        <w:t>INFORME Nº 97</w:t>
      </w:r>
      <w:r w:rsidR="000F6559" w:rsidRPr="0033784B">
        <w:rPr>
          <w:rFonts w:ascii="Cambria" w:hAnsi="Cambria" w:cs="Arial"/>
          <w:b/>
          <w:sz w:val="20"/>
          <w:szCs w:val="20"/>
          <w:lang w:val="es-MX"/>
        </w:rPr>
        <w:t>/17</w:t>
      </w:r>
    </w:p>
    <w:p w14:paraId="695C91CA" w14:textId="77777777" w:rsidR="000F6559" w:rsidRPr="0033784B" w:rsidRDefault="000F6559" w:rsidP="00462E12">
      <w:pPr>
        <w:ind w:firstLine="720"/>
        <w:jc w:val="center"/>
        <w:rPr>
          <w:rFonts w:ascii="Cambria" w:hAnsi="Cambria" w:cs="Arial"/>
          <w:sz w:val="20"/>
          <w:szCs w:val="20"/>
          <w:lang w:val="es-MX"/>
        </w:rPr>
      </w:pPr>
      <w:r w:rsidRPr="0033784B">
        <w:rPr>
          <w:rFonts w:ascii="Cambria" w:hAnsi="Cambria" w:cs="Arial"/>
          <w:sz w:val="20"/>
          <w:szCs w:val="20"/>
          <w:lang w:val="es-MX"/>
        </w:rPr>
        <w:t>CASO 12.924</w:t>
      </w:r>
    </w:p>
    <w:p w14:paraId="1F51D1C5" w14:textId="77777777" w:rsidR="00462E12" w:rsidRPr="0033784B" w:rsidRDefault="00462E12" w:rsidP="00462E12">
      <w:pPr>
        <w:ind w:firstLine="720"/>
        <w:jc w:val="center"/>
        <w:rPr>
          <w:rFonts w:ascii="Cambria" w:hAnsi="Cambria" w:cs="Arial"/>
          <w:sz w:val="20"/>
          <w:szCs w:val="20"/>
          <w:lang w:val="es-MX"/>
        </w:rPr>
      </w:pPr>
      <w:r w:rsidRPr="0033784B">
        <w:rPr>
          <w:rFonts w:ascii="Cambria" w:hAnsi="Cambria" w:cs="Arial"/>
          <w:sz w:val="20"/>
          <w:szCs w:val="20"/>
          <w:lang w:val="es-MX"/>
        </w:rPr>
        <w:t>FONDO</w:t>
      </w:r>
    </w:p>
    <w:p w14:paraId="20E92ED0" w14:textId="77777777" w:rsidR="000F6559" w:rsidRPr="0033784B" w:rsidRDefault="000F6559" w:rsidP="00462E12">
      <w:pPr>
        <w:ind w:firstLine="720"/>
        <w:jc w:val="center"/>
        <w:rPr>
          <w:rFonts w:ascii="Cambria" w:hAnsi="Cambria" w:cs="Arial"/>
          <w:sz w:val="20"/>
          <w:szCs w:val="20"/>
          <w:lang w:val="es-MX"/>
        </w:rPr>
      </w:pPr>
      <w:r w:rsidRPr="0033784B">
        <w:rPr>
          <w:rFonts w:ascii="Cambria" w:hAnsi="Cambria" w:cs="Arial"/>
          <w:sz w:val="20"/>
          <w:szCs w:val="20"/>
          <w:lang w:val="es-MX"/>
        </w:rPr>
        <w:t>JULIO CÉSAR RAMÓN DEL VALLE</w:t>
      </w:r>
      <w:r w:rsidR="00786866" w:rsidRPr="0033784B">
        <w:rPr>
          <w:rFonts w:ascii="Cambria" w:hAnsi="Cambria" w:cs="Arial"/>
          <w:sz w:val="20"/>
          <w:szCs w:val="20"/>
          <w:lang w:val="es-MX"/>
        </w:rPr>
        <w:t xml:space="preserve"> AMBROSIO</w:t>
      </w:r>
      <w:r w:rsidRPr="0033784B">
        <w:rPr>
          <w:rFonts w:ascii="Cambria" w:hAnsi="Cambria" w:cs="Arial"/>
          <w:sz w:val="20"/>
          <w:szCs w:val="20"/>
          <w:lang w:val="es-MX"/>
        </w:rPr>
        <w:t xml:space="preserve"> Y CARLOS EDUARDO DOMÍNGUEZ LINARES</w:t>
      </w:r>
    </w:p>
    <w:p w14:paraId="2CB5968A" w14:textId="77777777" w:rsidR="000F6559" w:rsidRPr="0033784B" w:rsidRDefault="000F6559" w:rsidP="00462E12">
      <w:pPr>
        <w:ind w:firstLine="720"/>
        <w:jc w:val="center"/>
        <w:rPr>
          <w:rFonts w:ascii="Cambria" w:hAnsi="Cambria" w:cs="Arial"/>
          <w:sz w:val="20"/>
          <w:szCs w:val="20"/>
          <w:lang w:val="es-ES_tradnl"/>
        </w:rPr>
      </w:pPr>
      <w:r w:rsidRPr="0033784B">
        <w:rPr>
          <w:rFonts w:ascii="Cambria" w:hAnsi="Cambria" w:cs="Arial"/>
          <w:sz w:val="20"/>
          <w:szCs w:val="20"/>
          <w:lang w:val="es-ES_tradnl"/>
        </w:rPr>
        <w:t>ARGENTINA</w:t>
      </w:r>
    </w:p>
    <w:p w14:paraId="235D38DA" w14:textId="6FA1C7E9" w:rsidR="000F6559" w:rsidRPr="003F3250" w:rsidRDefault="00272B8E" w:rsidP="003F3250">
      <w:pPr>
        <w:ind w:firstLine="720"/>
        <w:jc w:val="center"/>
        <w:rPr>
          <w:rFonts w:ascii="Cambria" w:hAnsi="Cambria" w:cs="Arial"/>
          <w:sz w:val="20"/>
          <w:szCs w:val="20"/>
          <w:lang w:val="es-ES_tradnl"/>
        </w:rPr>
      </w:pPr>
      <w:r>
        <w:rPr>
          <w:rFonts w:ascii="Cambria" w:hAnsi="Cambria" w:cs="Arial"/>
          <w:sz w:val="20"/>
          <w:szCs w:val="20"/>
          <w:lang w:val="es-ES_tradnl"/>
        </w:rPr>
        <w:t xml:space="preserve">5 DE SEPTIEMBRE DE </w:t>
      </w:r>
      <w:r w:rsidR="000F6559" w:rsidRPr="0033784B">
        <w:rPr>
          <w:rFonts w:ascii="Cambria" w:hAnsi="Cambria" w:cs="Arial"/>
          <w:sz w:val="20"/>
          <w:szCs w:val="20"/>
          <w:lang w:val="es-ES_tradnl"/>
        </w:rPr>
        <w:t>2017</w:t>
      </w:r>
    </w:p>
    <w:p w14:paraId="4A5AD53E" w14:textId="77777777" w:rsidR="000F6559" w:rsidRPr="0033784B" w:rsidRDefault="000F6559" w:rsidP="00D05831">
      <w:pPr>
        <w:pStyle w:val="Heading1"/>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Cambria" w:hAnsi="Cambria"/>
          <w:b w:val="0"/>
          <w:color w:val="auto"/>
          <w:sz w:val="20"/>
          <w:szCs w:val="20"/>
          <w:lang w:val="es-ES"/>
        </w:rPr>
      </w:pPr>
      <w:bookmarkStart w:id="3" w:name="_Toc489610447"/>
      <w:r w:rsidRPr="0033784B">
        <w:rPr>
          <w:rFonts w:ascii="Cambria" w:hAnsi="Cambria"/>
          <w:color w:val="auto"/>
          <w:sz w:val="20"/>
          <w:szCs w:val="20"/>
          <w:lang w:val="es-ES"/>
        </w:rPr>
        <w:t>RESUMEN</w:t>
      </w:r>
      <w:bookmarkEnd w:id="1"/>
      <w:bookmarkEnd w:id="2"/>
      <w:bookmarkEnd w:id="3"/>
    </w:p>
    <w:p w14:paraId="19B38CE5" w14:textId="77777777" w:rsidR="000F6559" w:rsidRPr="0033784B" w:rsidRDefault="000F6559" w:rsidP="000F6559">
      <w:pPr>
        <w:tabs>
          <w:tab w:val="left" w:pos="1440"/>
        </w:tabs>
        <w:ind w:firstLine="720"/>
        <w:jc w:val="both"/>
        <w:rPr>
          <w:rFonts w:ascii="Cambria" w:hAnsi="Cambria" w:cstheme="majorHAnsi"/>
          <w:sz w:val="20"/>
          <w:szCs w:val="20"/>
          <w:lang w:val="es-ES"/>
        </w:rPr>
      </w:pPr>
    </w:p>
    <w:p w14:paraId="1830F56D" w14:textId="1806015B" w:rsidR="000F6559" w:rsidRPr="0033784B" w:rsidRDefault="000F6559" w:rsidP="00386C8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cstheme="majorHAnsi"/>
          <w:sz w:val="20"/>
          <w:szCs w:val="20"/>
          <w:lang w:val="es-AR"/>
        </w:rPr>
      </w:pPr>
      <w:r w:rsidRPr="0033784B">
        <w:rPr>
          <w:rFonts w:cstheme="majorHAnsi"/>
          <w:sz w:val="20"/>
          <w:szCs w:val="20"/>
          <w:lang w:val="es-ES"/>
        </w:rPr>
        <w:t xml:space="preserve">El 10 </w:t>
      </w:r>
      <w:r w:rsidRPr="0033784B">
        <w:rPr>
          <w:rFonts w:cstheme="majorHAnsi"/>
          <w:sz w:val="20"/>
          <w:szCs w:val="20"/>
          <w:lang w:val="es-AR"/>
        </w:rPr>
        <w:t>de julio y 4 de octu</w:t>
      </w:r>
      <w:r w:rsidR="006400BB" w:rsidRPr="0033784B">
        <w:rPr>
          <w:rFonts w:cstheme="majorHAnsi"/>
          <w:sz w:val="20"/>
          <w:szCs w:val="20"/>
          <w:lang w:val="es-AR"/>
        </w:rPr>
        <w:t>bre de 2000, Julio César Ramón D</w:t>
      </w:r>
      <w:r w:rsidRPr="0033784B">
        <w:rPr>
          <w:rFonts w:cstheme="majorHAnsi"/>
          <w:sz w:val="20"/>
          <w:szCs w:val="20"/>
          <w:lang w:val="es-AR"/>
        </w:rPr>
        <w:t>el Valle</w:t>
      </w:r>
      <w:r w:rsidR="00E2377D" w:rsidRPr="0033784B">
        <w:rPr>
          <w:rFonts w:cstheme="majorHAnsi"/>
          <w:sz w:val="20"/>
          <w:szCs w:val="20"/>
          <w:lang w:val="es-AR"/>
        </w:rPr>
        <w:t xml:space="preserve"> Ambrosio</w:t>
      </w:r>
      <w:r w:rsidRPr="0033784B">
        <w:rPr>
          <w:rFonts w:cstheme="majorHAnsi"/>
          <w:sz w:val="20"/>
          <w:szCs w:val="20"/>
          <w:lang w:val="es-AR"/>
        </w:rPr>
        <w:t xml:space="preserve"> y Carlos Eduardo Domínguez Linares presentaron</w:t>
      </w:r>
      <w:r w:rsidR="00D8537D" w:rsidRPr="0033784B">
        <w:rPr>
          <w:rStyle w:val="FootnoteReference"/>
          <w:rFonts w:cstheme="majorHAnsi"/>
          <w:sz w:val="20"/>
          <w:szCs w:val="20"/>
          <w:lang w:val="es-ES"/>
        </w:rPr>
        <w:footnoteReference w:id="2"/>
      </w:r>
      <w:r w:rsidRPr="0033784B">
        <w:rPr>
          <w:rFonts w:cstheme="majorHAnsi"/>
          <w:sz w:val="20"/>
          <w:szCs w:val="20"/>
          <w:lang w:val="es-AR"/>
        </w:rPr>
        <w:t>, respectivamente, peticiones ante la Comisión Interamericana de Derechos Humanos (en adelante</w:t>
      </w:r>
      <w:r w:rsidR="009046DE" w:rsidRPr="0033784B">
        <w:rPr>
          <w:rFonts w:cstheme="majorHAnsi"/>
          <w:sz w:val="20"/>
          <w:szCs w:val="20"/>
          <w:lang w:val="es-AR"/>
        </w:rPr>
        <w:t xml:space="preserve"> “la Comisión Interamericana”,</w:t>
      </w:r>
      <w:r w:rsidRPr="0033784B">
        <w:rPr>
          <w:rFonts w:cstheme="majorHAnsi"/>
          <w:sz w:val="20"/>
          <w:szCs w:val="20"/>
          <w:lang w:val="es-AR"/>
        </w:rPr>
        <w:t xml:space="preserve"> “la Comisión” o </w:t>
      </w:r>
      <w:r w:rsidR="00310326" w:rsidRPr="0033784B">
        <w:rPr>
          <w:rFonts w:cstheme="majorHAnsi"/>
          <w:sz w:val="20"/>
          <w:szCs w:val="20"/>
          <w:lang w:val="es-AR"/>
        </w:rPr>
        <w:t>“</w:t>
      </w:r>
      <w:r w:rsidRPr="0033784B">
        <w:rPr>
          <w:rFonts w:cstheme="majorHAnsi"/>
          <w:sz w:val="20"/>
          <w:szCs w:val="20"/>
          <w:lang w:val="es-AR"/>
        </w:rPr>
        <w:t xml:space="preserve">la CIDH”), en las </w:t>
      </w:r>
      <w:r w:rsidR="00462E12" w:rsidRPr="0033784B">
        <w:rPr>
          <w:rFonts w:cstheme="majorHAnsi"/>
          <w:sz w:val="20"/>
          <w:szCs w:val="20"/>
          <w:lang w:val="es-AR"/>
        </w:rPr>
        <w:t xml:space="preserve">que </w:t>
      </w:r>
      <w:r w:rsidRPr="0033784B">
        <w:rPr>
          <w:rFonts w:cstheme="majorHAnsi"/>
          <w:sz w:val="20"/>
          <w:szCs w:val="20"/>
          <w:lang w:val="es-AR"/>
        </w:rPr>
        <w:t>se alegó la responsabilidad internacional de</w:t>
      </w:r>
      <w:r w:rsidR="00A52B38" w:rsidRPr="0033784B">
        <w:rPr>
          <w:rFonts w:cstheme="majorHAnsi"/>
          <w:sz w:val="20"/>
          <w:szCs w:val="20"/>
          <w:lang w:val="es-AR"/>
        </w:rPr>
        <w:t xml:space="preserve"> la República de Argentina</w:t>
      </w:r>
      <w:r w:rsidRPr="0033784B">
        <w:rPr>
          <w:rFonts w:cstheme="majorHAnsi"/>
          <w:sz w:val="20"/>
          <w:szCs w:val="20"/>
          <w:lang w:val="es-AR"/>
        </w:rPr>
        <w:t xml:space="preserve"> (en adelante “Argentina”</w:t>
      </w:r>
      <w:r w:rsidR="00A52B38" w:rsidRPr="0033784B">
        <w:rPr>
          <w:rFonts w:cstheme="majorHAnsi"/>
          <w:sz w:val="20"/>
          <w:szCs w:val="20"/>
          <w:lang w:val="es-AR"/>
        </w:rPr>
        <w:t>,</w:t>
      </w:r>
      <w:r w:rsidRPr="0033784B">
        <w:rPr>
          <w:rFonts w:cstheme="majorHAnsi"/>
          <w:sz w:val="20"/>
          <w:szCs w:val="20"/>
          <w:lang w:val="es-AR"/>
        </w:rPr>
        <w:t xml:space="preserve"> “el Estado” o “Estado argentino”) por la supuesta inexistencia de un recurso ordinario que permitiera recurrir las sentencias de condena penal que les fueron impuestas</w:t>
      </w:r>
      <w:r w:rsidRPr="0033784B">
        <w:rPr>
          <w:rFonts w:cstheme="majorHAnsi"/>
          <w:sz w:val="20"/>
          <w:szCs w:val="20"/>
          <w:lang w:val="es-ES"/>
        </w:rPr>
        <w:t xml:space="preserve"> en la provincia de Córdoba, Argentina. </w:t>
      </w:r>
      <w:r w:rsidR="00386C81" w:rsidRPr="0033784B">
        <w:rPr>
          <w:rFonts w:cstheme="majorHAnsi"/>
          <w:sz w:val="20"/>
          <w:szCs w:val="20"/>
          <w:lang w:val="es-ES"/>
        </w:rPr>
        <w:t>Indicaron que en los recursos interpuestos se analizaron únicamente cuestiones de forma, sin analizar el fondo de la cuestión.</w:t>
      </w:r>
    </w:p>
    <w:p w14:paraId="29440DF9" w14:textId="77777777" w:rsidR="000F6559" w:rsidRPr="0033784B" w:rsidRDefault="000F6559" w:rsidP="000F6559">
      <w:pPr>
        <w:tabs>
          <w:tab w:val="left" w:pos="1440"/>
        </w:tabs>
        <w:ind w:firstLine="720"/>
        <w:jc w:val="both"/>
        <w:rPr>
          <w:rFonts w:ascii="Cambria" w:hAnsi="Cambria" w:cstheme="majorHAnsi"/>
          <w:sz w:val="20"/>
          <w:szCs w:val="20"/>
          <w:lang w:val="es-ES"/>
        </w:rPr>
      </w:pPr>
    </w:p>
    <w:p w14:paraId="32D8C5DA" w14:textId="6CDDDD4D" w:rsidR="000F6559" w:rsidRPr="0033784B" w:rsidRDefault="000F6559" w:rsidP="00D0583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cstheme="majorHAnsi"/>
          <w:sz w:val="20"/>
          <w:szCs w:val="20"/>
          <w:lang w:val="es-CO"/>
        </w:rPr>
      </w:pPr>
      <w:r w:rsidRPr="0033784B">
        <w:rPr>
          <w:rFonts w:cstheme="majorHAnsi"/>
          <w:sz w:val="20"/>
          <w:szCs w:val="20"/>
          <w:lang w:val="es-AR"/>
        </w:rPr>
        <w:t xml:space="preserve">El Estado no presentó alegatos sobre las violaciones </w:t>
      </w:r>
      <w:r w:rsidR="00EF6BAA" w:rsidRPr="0033784B">
        <w:rPr>
          <w:rFonts w:cstheme="majorHAnsi"/>
          <w:sz w:val="20"/>
          <w:szCs w:val="20"/>
          <w:lang w:val="es-AR"/>
        </w:rPr>
        <w:t>alegadas</w:t>
      </w:r>
      <w:r w:rsidRPr="0033784B">
        <w:rPr>
          <w:rFonts w:cstheme="majorHAnsi"/>
          <w:sz w:val="20"/>
          <w:szCs w:val="20"/>
          <w:lang w:val="es-AR"/>
        </w:rPr>
        <w:t xml:space="preserve"> ni en la etapa de admisibilidad ni en la etapa de fondo. </w:t>
      </w:r>
    </w:p>
    <w:p w14:paraId="412AFF1B" w14:textId="77777777" w:rsidR="000F6559" w:rsidRPr="0033784B" w:rsidRDefault="000F6559" w:rsidP="000F6559">
      <w:pPr>
        <w:tabs>
          <w:tab w:val="left" w:pos="1440"/>
        </w:tabs>
        <w:ind w:firstLine="720"/>
        <w:jc w:val="both"/>
        <w:rPr>
          <w:rFonts w:ascii="Cambria" w:hAnsi="Cambria" w:cstheme="majorHAnsi"/>
          <w:sz w:val="20"/>
          <w:szCs w:val="20"/>
          <w:lang w:val="es-ES"/>
        </w:rPr>
      </w:pPr>
    </w:p>
    <w:p w14:paraId="29899084" w14:textId="0BB8C493" w:rsidR="000F6559" w:rsidRPr="0033784B" w:rsidRDefault="000F6559" w:rsidP="00D058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stheme="majorHAnsi"/>
          <w:color w:val="FF0000"/>
          <w:sz w:val="20"/>
          <w:szCs w:val="20"/>
          <w:lang w:val="es-ES"/>
        </w:rPr>
      </w:pPr>
      <w:r w:rsidRPr="0033784B">
        <w:rPr>
          <w:rFonts w:ascii="Cambria" w:hAnsi="Cambria" w:cstheme="majorHAnsi"/>
          <w:sz w:val="20"/>
          <w:szCs w:val="20"/>
          <w:lang w:val="es-AR"/>
        </w:rPr>
        <w:t>Tras analizar la posición de las partes, la Comisión concluyó que el Estado de Argentina es responsable por la violación de los derechos a las garantías judiciales y a la protección judicial, establecidos en los artículos 8.2</w:t>
      </w:r>
      <w:r w:rsidR="00E900F3" w:rsidRPr="0033784B">
        <w:rPr>
          <w:rFonts w:ascii="Cambria" w:hAnsi="Cambria" w:cstheme="majorHAnsi"/>
          <w:sz w:val="20"/>
          <w:szCs w:val="20"/>
          <w:lang w:val="es-AR"/>
        </w:rPr>
        <w:t xml:space="preserve"> </w:t>
      </w:r>
      <w:r w:rsidRPr="0033784B">
        <w:rPr>
          <w:rFonts w:ascii="Cambria" w:hAnsi="Cambria" w:cstheme="majorHAnsi"/>
          <w:sz w:val="20"/>
          <w:szCs w:val="20"/>
          <w:lang w:val="es-AR"/>
        </w:rPr>
        <w:t>h</w:t>
      </w:r>
      <w:r w:rsidR="00E900F3" w:rsidRPr="0033784B">
        <w:rPr>
          <w:rFonts w:ascii="Cambria" w:hAnsi="Cambria" w:cstheme="majorHAnsi"/>
          <w:sz w:val="20"/>
          <w:szCs w:val="20"/>
          <w:lang w:val="es-AR"/>
        </w:rPr>
        <w:t>)</w:t>
      </w:r>
      <w:r w:rsidRPr="0033784B">
        <w:rPr>
          <w:rFonts w:ascii="Cambria" w:hAnsi="Cambria" w:cstheme="majorHAnsi"/>
          <w:sz w:val="20"/>
          <w:szCs w:val="20"/>
          <w:lang w:val="es-AR"/>
        </w:rPr>
        <w:t xml:space="preserve">  y 25</w:t>
      </w:r>
      <w:r w:rsidR="00956380" w:rsidRPr="0033784B">
        <w:rPr>
          <w:rFonts w:ascii="Cambria" w:hAnsi="Cambria" w:cstheme="majorHAnsi"/>
          <w:sz w:val="20"/>
          <w:szCs w:val="20"/>
          <w:lang w:val="es-AR"/>
        </w:rPr>
        <w:t>.1</w:t>
      </w:r>
      <w:r w:rsidRPr="0033784B">
        <w:rPr>
          <w:rFonts w:ascii="Cambria" w:hAnsi="Cambria" w:cstheme="majorHAnsi"/>
          <w:sz w:val="20"/>
          <w:szCs w:val="20"/>
          <w:lang w:val="es-AR"/>
        </w:rPr>
        <w:t xml:space="preserve"> de la Convención Americana,  en relación con las obligaciones establecidas en los artículos 1.1 y 2 del mismo instrumento, en perjuicio de </w:t>
      </w:r>
      <w:r w:rsidR="00E900F3" w:rsidRPr="0033784B">
        <w:rPr>
          <w:rFonts w:ascii="Cambria" w:hAnsi="Cambria" w:cstheme="majorHAnsi"/>
          <w:sz w:val="20"/>
          <w:szCs w:val="20"/>
          <w:lang w:val="es-ES"/>
        </w:rPr>
        <w:t>Julio César Ramón D</w:t>
      </w:r>
      <w:r w:rsidRPr="0033784B">
        <w:rPr>
          <w:rFonts w:ascii="Cambria" w:hAnsi="Cambria" w:cstheme="majorHAnsi"/>
          <w:sz w:val="20"/>
          <w:szCs w:val="20"/>
          <w:lang w:val="es-ES"/>
        </w:rPr>
        <w:t xml:space="preserve">el Valle </w:t>
      </w:r>
      <w:r w:rsidR="00E2377D" w:rsidRPr="0033784B">
        <w:rPr>
          <w:rFonts w:ascii="Cambria" w:hAnsi="Cambria" w:cstheme="majorHAnsi"/>
          <w:sz w:val="20"/>
          <w:szCs w:val="20"/>
          <w:lang w:val="es-ES"/>
        </w:rPr>
        <w:t xml:space="preserve">Ambrosio </w:t>
      </w:r>
      <w:r w:rsidRPr="0033784B">
        <w:rPr>
          <w:rFonts w:ascii="Cambria" w:hAnsi="Cambria" w:cstheme="majorHAnsi"/>
          <w:sz w:val="20"/>
          <w:szCs w:val="20"/>
          <w:lang w:val="es-ES"/>
        </w:rPr>
        <w:t>y Carlos Eduardo Domínguez Linares.</w:t>
      </w:r>
      <w:r w:rsidR="00EF6BAA" w:rsidRPr="0033784B">
        <w:rPr>
          <w:rFonts w:ascii="Cambria" w:hAnsi="Cambria" w:cstheme="majorHAnsi"/>
          <w:sz w:val="20"/>
          <w:szCs w:val="20"/>
          <w:lang w:val="es-AR"/>
        </w:rPr>
        <w:t xml:space="preserve"> L</w:t>
      </w:r>
      <w:r w:rsidRPr="0033784B">
        <w:rPr>
          <w:rFonts w:ascii="Cambria" w:hAnsi="Cambria" w:cstheme="majorHAnsi"/>
          <w:sz w:val="20"/>
          <w:szCs w:val="20"/>
          <w:lang w:val="es-AR"/>
        </w:rPr>
        <w:t>a Comisión formuló las recomendaciones correspondientes</w:t>
      </w:r>
      <w:r w:rsidRPr="0033784B">
        <w:rPr>
          <w:rFonts w:ascii="Cambria" w:hAnsi="Cambria" w:cstheme="majorHAnsi"/>
          <w:color w:val="FF0000"/>
          <w:sz w:val="20"/>
          <w:szCs w:val="20"/>
          <w:lang w:val="es-AR"/>
        </w:rPr>
        <w:t xml:space="preserve">. </w:t>
      </w:r>
    </w:p>
    <w:p w14:paraId="1D79EC66" w14:textId="77777777" w:rsidR="000F6559" w:rsidRPr="0033784B" w:rsidRDefault="000F6559" w:rsidP="00D05831">
      <w:pPr>
        <w:pStyle w:val="Heading1"/>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Cambria" w:hAnsi="Cambria"/>
          <w:b w:val="0"/>
          <w:color w:val="auto"/>
          <w:sz w:val="20"/>
          <w:szCs w:val="20"/>
          <w:lang w:val="es-ES"/>
        </w:rPr>
      </w:pPr>
      <w:bookmarkStart w:id="4" w:name="_Toc349569376"/>
      <w:bookmarkStart w:id="5" w:name="_Toc359494151"/>
      <w:bookmarkStart w:id="6" w:name="_Toc489610448"/>
      <w:r w:rsidRPr="0033784B">
        <w:rPr>
          <w:rFonts w:ascii="Cambria" w:hAnsi="Cambria"/>
          <w:color w:val="auto"/>
          <w:sz w:val="20"/>
          <w:szCs w:val="20"/>
          <w:lang w:val="es-ES"/>
        </w:rPr>
        <w:t>TRÁMITE POSTERIOR A LOS INFORMES DE ADMISIBILIDAD</w:t>
      </w:r>
      <w:bookmarkEnd w:id="4"/>
      <w:bookmarkEnd w:id="5"/>
      <w:bookmarkEnd w:id="6"/>
    </w:p>
    <w:p w14:paraId="696ED3BA" w14:textId="77777777" w:rsidR="000F6559" w:rsidRPr="0033784B" w:rsidRDefault="000F6559" w:rsidP="000F6559">
      <w:pPr>
        <w:tabs>
          <w:tab w:val="left" w:pos="1440"/>
        </w:tabs>
        <w:ind w:firstLine="720"/>
        <w:jc w:val="both"/>
        <w:rPr>
          <w:rFonts w:ascii="Cambria" w:hAnsi="Cambria" w:cstheme="majorHAnsi"/>
          <w:sz w:val="20"/>
          <w:szCs w:val="20"/>
          <w:lang w:val="es-ES"/>
        </w:rPr>
      </w:pPr>
    </w:p>
    <w:p w14:paraId="0ACECFDD" w14:textId="66630518" w:rsidR="000F6559" w:rsidRPr="0033784B" w:rsidRDefault="000F6559" w:rsidP="001A735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cstheme="majorHAnsi"/>
          <w:sz w:val="20"/>
          <w:szCs w:val="20"/>
          <w:lang w:val="es-ES"/>
        </w:rPr>
      </w:pPr>
      <w:r w:rsidRPr="0033784B">
        <w:rPr>
          <w:rFonts w:cstheme="majorHAnsi"/>
          <w:sz w:val="20"/>
          <w:szCs w:val="20"/>
          <w:lang w:val="es-ES"/>
        </w:rPr>
        <w:t xml:space="preserve">El 11 de julio de 2013 la Comisión adoptó el Informe No. 35/13, en el que declaró la admisibilidad de varias peticiones que se encontraban acumuladas; entre ellas, las </w:t>
      </w:r>
      <w:r w:rsidR="00BA0723" w:rsidRPr="0033784B">
        <w:rPr>
          <w:rFonts w:cstheme="majorHAnsi"/>
          <w:sz w:val="20"/>
          <w:szCs w:val="20"/>
          <w:lang w:val="es-ES"/>
        </w:rPr>
        <w:t xml:space="preserve">relativas a </w:t>
      </w:r>
      <w:r w:rsidR="00E900F3" w:rsidRPr="0033784B">
        <w:rPr>
          <w:rFonts w:cstheme="majorHAnsi"/>
          <w:sz w:val="20"/>
          <w:szCs w:val="20"/>
          <w:lang w:val="es-ES"/>
        </w:rPr>
        <w:t>los señores Julio César Ramón D</w:t>
      </w:r>
      <w:r w:rsidRPr="0033784B">
        <w:rPr>
          <w:rFonts w:cstheme="majorHAnsi"/>
          <w:sz w:val="20"/>
          <w:szCs w:val="20"/>
          <w:lang w:val="es-ES"/>
        </w:rPr>
        <w:t xml:space="preserve">el Valle </w:t>
      </w:r>
      <w:r w:rsidR="00E2377D" w:rsidRPr="0033784B">
        <w:rPr>
          <w:rFonts w:cstheme="majorHAnsi"/>
          <w:sz w:val="20"/>
          <w:szCs w:val="20"/>
          <w:lang w:val="es-ES"/>
        </w:rPr>
        <w:t xml:space="preserve">Ambrosio </w:t>
      </w:r>
      <w:r w:rsidRPr="0033784B">
        <w:rPr>
          <w:rFonts w:cstheme="majorHAnsi"/>
          <w:sz w:val="20"/>
          <w:szCs w:val="20"/>
          <w:lang w:val="es-ES"/>
        </w:rPr>
        <w:t>y Carlos Eduardo Domínguez Linares</w:t>
      </w:r>
      <w:r w:rsidRPr="0033784B">
        <w:rPr>
          <w:rStyle w:val="FootnoteReference"/>
          <w:sz w:val="20"/>
          <w:szCs w:val="20"/>
          <w:lang w:val="es-ES"/>
        </w:rPr>
        <w:footnoteReference w:id="3"/>
      </w:r>
      <w:r w:rsidRPr="0033784B">
        <w:rPr>
          <w:rFonts w:cstheme="majorHAnsi"/>
          <w:sz w:val="20"/>
          <w:szCs w:val="20"/>
          <w:lang w:val="es-ES"/>
        </w:rPr>
        <w:t xml:space="preserve">. </w:t>
      </w:r>
      <w:r w:rsidR="001A7357" w:rsidRPr="0033784B">
        <w:rPr>
          <w:rFonts w:cstheme="majorHAnsi"/>
          <w:sz w:val="20"/>
          <w:szCs w:val="20"/>
          <w:lang w:val="es-ES"/>
        </w:rPr>
        <w:t xml:space="preserve"> </w:t>
      </w:r>
      <w:r w:rsidR="00031314" w:rsidRPr="0033784B">
        <w:rPr>
          <w:rFonts w:cstheme="majorHAnsi"/>
          <w:sz w:val="20"/>
          <w:szCs w:val="20"/>
          <w:lang w:val="es-ES"/>
        </w:rPr>
        <w:t>L</w:t>
      </w:r>
      <w:r w:rsidRPr="0033784B">
        <w:rPr>
          <w:rFonts w:cstheme="majorHAnsi"/>
          <w:sz w:val="20"/>
          <w:szCs w:val="20"/>
          <w:lang w:val="es-ES"/>
        </w:rPr>
        <w:t xml:space="preserve">a Comisión </w:t>
      </w:r>
      <w:r w:rsidRPr="0033784B">
        <w:rPr>
          <w:rFonts w:cstheme="majorHAnsi"/>
          <w:sz w:val="20"/>
          <w:szCs w:val="20"/>
          <w:lang w:val="es-UY"/>
        </w:rPr>
        <w:t xml:space="preserve">decidió que las 21 peticiones allí admitidas se seguirían analizando </w:t>
      </w:r>
      <w:r w:rsidR="00031314" w:rsidRPr="0033784B">
        <w:rPr>
          <w:rFonts w:cstheme="majorHAnsi"/>
          <w:sz w:val="20"/>
          <w:szCs w:val="20"/>
          <w:lang w:val="es-UY"/>
        </w:rPr>
        <w:t xml:space="preserve">por provincias por lo que </w:t>
      </w:r>
      <w:r w:rsidRPr="0033784B">
        <w:rPr>
          <w:rFonts w:cstheme="majorHAnsi"/>
          <w:sz w:val="20"/>
          <w:szCs w:val="20"/>
          <w:lang w:val="es-UY"/>
        </w:rPr>
        <w:t>las peticiones de</w:t>
      </w:r>
      <w:r w:rsidR="00E900F3" w:rsidRPr="0033784B">
        <w:rPr>
          <w:rFonts w:cstheme="majorHAnsi"/>
          <w:sz w:val="20"/>
          <w:szCs w:val="20"/>
          <w:lang w:val="es-UY"/>
        </w:rPr>
        <w:t xml:space="preserve"> </w:t>
      </w:r>
      <w:r w:rsidR="00B86A2A" w:rsidRPr="0033784B">
        <w:rPr>
          <w:rFonts w:cstheme="majorHAnsi"/>
          <w:sz w:val="20"/>
          <w:szCs w:val="20"/>
          <w:lang w:val="es-UY"/>
        </w:rPr>
        <w:t xml:space="preserve">los señores </w:t>
      </w:r>
      <w:r w:rsidR="00E900F3" w:rsidRPr="0033784B">
        <w:rPr>
          <w:rFonts w:cstheme="majorHAnsi"/>
          <w:sz w:val="20"/>
          <w:szCs w:val="20"/>
          <w:lang w:val="es-UY"/>
        </w:rPr>
        <w:t>D</w:t>
      </w:r>
      <w:r w:rsidRPr="0033784B">
        <w:rPr>
          <w:rFonts w:cstheme="majorHAnsi"/>
          <w:sz w:val="20"/>
          <w:szCs w:val="20"/>
          <w:lang w:val="es-UY"/>
        </w:rPr>
        <w:t xml:space="preserve">el Valle Ambrosio y Domínguez Linares </w:t>
      </w:r>
      <w:r w:rsidR="00031314" w:rsidRPr="0033784B">
        <w:rPr>
          <w:rFonts w:cstheme="majorHAnsi"/>
          <w:sz w:val="20"/>
          <w:szCs w:val="20"/>
          <w:lang w:val="es-UY"/>
        </w:rPr>
        <w:t xml:space="preserve">se </w:t>
      </w:r>
      <w:r w:rsidRPr="0033784B">
        <w:rPr>
          <w:rFonts w:cstheme="majorHAnsi"/>
          <w:sz w:val="20"/>
          <w:szCs w:val="20"/>
          <w:lang w:val="es-UY"/>
        </w:rPr>
        <w:t>tramitarían, a partir de entonces, en el mismo expediente</w:t>
      </w:r>
      <w:r w:rsidR="00031314" w:rsidRPr="0033784B">
        <w:rPr>
          <w:rFonts w:cstheme="majorHAnsi"/>
          <w:sz w:val="20"/>
          <w:szCs w:val="20"/>
          <w:lang w:val="es-UY"/>
        </w:rPr>
        <w:t xml:space="preserve"> bajo el número de </w:t>
      </w:r>
      <w:r w:rsidRPr="0033784B">
        <w:rPr>
          <w:rFonts w:cstheme="majorHAnsi"/>
          <w:sz w:val="20"/>
          <w:szCs w:val="20"/>
          <w:lang w:val="es-UY"/>
        </w:rPr>
        <w:t>caso 12.924.</w:t>
      </w:r>
    </w:p>
    <w:p w14:paraId="3B0910AD" w14:textId="77777777" w:rsidR="000F6559" w:rsidRPr="0033784B" w:rsidRDefault="000F6559" w:rsidP="000F6559">
      <w:pPr>
        <w:pStyle w:val="ListParagraph"/>
        <w:tabs>
          <w:tab w:val="left" w:pos="1440"/>
        </w:tabs>
        <w:ind w:left="0" w:firstLine="720"/>
        <w:rPr>
          <w:rFonts w:cstheme="majorHAnsi"/>
          <w:sz w:val="20"/>
          <w:szCs w:val="20"/>
          <w:lang w:val="es-ES"/>
        </w:rPr>
      </w:pPr>
    </w:p>
    <w:p w14:paraId="65D189F2" w14:textId="50E3EFC2" w:rsidR="000F6559" w:rsidRPr="0033784B" w:rsidRDefault="000F6559" w:rsidP="00D058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stheme="majorHAnsi"/>
          <w:sz w:val="20"/>
          <w:szCs w:val="20"/>
          <w:lang w:val="es-ES"/>
        </w:rPr>
      </w:pPr>
      <w:r w:rsidRPr="0033784B">
        <w:rPr>
          <w:rFonts w:ascii="Cambria" w:hAnsi="Cambria" w:cstheme="majorHAnsi"/>
          <w:sz w:val="20"/>
          <w:szCs w:val="20"/>
          <w:lang w:val="es-UY"/>
        </w:rPr>
        <w:t xml:space="preserve">Mediante nota del 6 de septiembre de 2013 la Comisión Interamericana notificó el informe de admisibilidad a las partes, fijando un plazo de </w:t>
      </w:r>
      <w:r w:rsidR="00872BA1" w:rsidRPr="0033784B">
        <w:rPr>
          <w:rFonts w:ascii="Cambria" w:hAnsi="Cambria" w:cstheme="majorHAnsi"/>
          <w:sz w:val="20"/>
          <w:szCs w:val="20"/>
          <w:lang w:val="es-UY"/>
        </w:rPr>
        <w:t>cuatro</w:t>
      </w:r>
      <w:r w:rsidRPr="0033784B">
        <w:rPr>
          <w:rFonts w:ascii="Cambria" w:hAnsi="Cambria" w:cstheme="majorHAnsi"/>
          <w:sz w:val="20"/>
          <w:szCs w:val="20"/>
          <w:lang w:val="es-UY"/>
        </w:rPr>
        <w:t xml:space="preserve"> meses para que los peticionarios presentaran sus observaciones adicionales sobre el fondo. </w:t>
      </w:r>
      <w:r w:rsidRPr="0033784B">
        <w:rPr>
          <w:rFonts w:ascii="Cambria" w:hAnsi="Cambria" w:cstheme="majorHAnsi"/>
          <w:sz w:val="20"/>
          <w:szCs w:val="20"/>
          <w:lang w:val="es-ES"/>
        </w:rPr>
        <w:t xml:space="preserve"> Asimismo, en dicha oportunidad, la CIDH se puso a disposición de las partes a fin de llegar a una solución amistosa del asunto.</w:t>
      </w:r>
    </w:p>
    <w:p w14:paraId="32A60599" w14:textId="77777777" w:rsidR="000F6559" w:rsidRPr="0033784B" w:rsidRDefault="000F6559" w:rsidP="000F6559">
      <w:pPr>
        <w:tabs>
          <w:tab w:val="left" w:pos="1440"/>
        </w:tabs>
        <w:ind w:firstLine="720"/>
        <w:jc w:val="both"/>
        <w:rPr>
          <w:rFonts w:ascii="Cambria" w:hAnsi="Cambria" w:cstheme="majorHAnsi"/>
          <w:sz w:val="20"/>
          <w:szCs w:val="20"/>
          <w:lang w:val="es-ES"/>
        </w:rPr>
      </w:pPr>
    </w:p>
    <w:p w14:paraId="26317BA7" w14:textId="62CB5D13" w:rsidR="000F6559" w:rsidRPr="0033784B" w:rsidRDefault="008D2996" w:rsidP="00D0583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cstheme="majorHAnsi"/>
          <w:b/>
          <w:sz w:val="20"/>
          <w:szCs w:val="20"/>
          <w:lang w:val="es-MX"/>
        </w:rPr>
      </w:pPr>
      <w:r w:rsidRPr="0033784B">
        <w:rPr>
          <w:rFonts w:cstheme="majorHAnsi"/>
          <w:sz w:val="20"/>
          <w:szCs w:val="20"/>
          <w:lang w:val="es-ES"/>
        </w:rPr>
        <w:t>El</w:t>
      </w:r>
      <w:r w:rsidR="000F6559" w:rsidRPr="0033784B">
        <w:rPr>
          <w:rFonts w:cstheme="majorHAnsi"/>
          <w:sz w:val="20"/>
          <w:szCs w:val="20"/>
          <w:lang w:val="es-MX"/>
        </w:rPr>
        <w:t xml:space="preserve"> 14 de marzo de 2014 se recibieron las observaciones de fondo </w:t>
      </w:r>
      <w:r w:rsidR="002457FC" w:rsidRPr="0033784B">
        <w:rPr>
          <w:rFonts w:cstheme="majorHAnsi"/>
          <w:sz w:val="20"/>
          <w:szCs w:val="20"/>
          <w:lang w:val="es-MX"/>
        </w:rPr>
        <w:t>de la parte peticionaria</w:t>
      </w:r>
      <w:r w:rsidR="000F6559" w:rsidRPr="0033784B">
        <w:rPr>
          <w:rFonts w:cstheme="majorHAnsi"/>
          <w:sz w:val="20"/>
          <w:szCs w:val="20"/>
          <w:lang w:val="es-MX"/>
        </w:rPr>
        <w:t>. En dicha comunicación</w:t>
      </w:r>
      <w:r w:rsidR="00614298" w:rsidRPr="0033784B">
        <w:rPr>
          <w:rFonts w:cstheme="majorHAnsi"/>
          <w:sz w:val="20"/>
          <w:szCs w:val="20"/>
          <w:lang w:val="es-MX"/>
        </w:rPr>
        <w:t xml:space="preserve"> rechazaron la posibilidad de un </w:t>
      </w:r>
      <w:r w:rsidR="000F6559" w:rsidRPr="0033784B">
        <w:rPr>
          <w:rFonts w:cstheme="majorHAnsi"/>
          <w:sz w:val="20"/>
          <w:szCs w:val="20"/>
          <w:lang w:val="es-MX"/>
        </w:rPr>
        <w:t>proceso de solución amistosa</w:t>
      </w:r>
      <w:r w:rsidR="00CB0442" w:rsidRPr="0033784B">
        <w:rPr>
          <w:rStyle w:val="FootnoteReference"/>
          <w:rFonts w:cstheme="majorHAnsi"/>
          <w:sz w:val="20"/>
          <w:szCs w:val="20"/>
          <w:lang w:val="es-MX"/>
        </w:rPr>
        <w:footnoteReference w:id="4"/>
      </w:r>
      <w:r w:rsidR="000F6559" w:rsidRPr="0033784B">
        <w:rPr>
          <w:rFonts w:cstheme="majorHAnsi"/>
          <w:sz w:val="20"/>
          <w:szCs w:val="20"/>
          <w:lang w:val="es-MX"/>
        </w:rPr>
        <w:t>.</w:t>
      </w:r>
    </w:p>
    <w:p w14:paraId="53616A91" w14:textId="77777777" w:rsidR="000F6559" w:rsidRPr="0033784B" w:rsidRDefault="000F6559" w:rsidP="000F6559">
      <w:pPr>
        <w:tabs>
          <w:tab w:val="left" w:pos="1440"/>
        </w:tabs>
        <w:ind w:firstLine="720"/>
        <w:jc w:val="both"/>
        <w:rPr>
          <w:rFonts w:ascii="Cambria" w:hAnsi="Cambria" w:cstheme="majorHAnsi"/>
          <w:b/>
          <w:sz w:val="20"/>
          <w:szCs w:val="20"/>
          <w:lang w:val="es-MX"/>
        </w:rPr>
      </w:pPr>
    </w:p>
    <w:p w14:paraId="5B421FA8" w14:textId="69B804A7" w:rsidR="000F6559" w:rsidRPr="0033784B" w:rsidRDefault="00194C3C" w:rsidP="00D0583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cstheme="majorHAnsi"/>
          <w:b/>
          <w:sz w:val="20"/>
          <w:szCs w:val="20"/>
          <w:lang w:val="es-MX"/>
        </w:rPr>
      </w:pPr>
      <w:r w:rsidRPr="0033784B">
        <w:rPr>
          <w:rFonts w:cstheme="majorHAnsi"/>
          <w:sz w:val="20"/>
          <w:szCs w:val="20"/>
          <w:lang w:val="es-MX"/>
        </w:rPr>
        <w:t xml:space="preserve">El </w:t>
      </w:r>
      <w:r w:rsidR="000F6559" w:rsidRPr="0033784B">
        <w:rPr>
          <w:rFonts w:cstheme="majorHAnsi"/>
          <w:sz w:val="20"/>
          <w:szCs w:val="20"/>
          <w:lang w:val="es-MX"/>
        </w:rPr>
        <w:t>21 de mayo de 2015 la Comisión traslad</w:t>
      </w:r>
      <w:r w:rsidRPr="0033784B">
        <w:rPr>
          <w:rFonts w:cstheme="majorHAnsi"/>
          <w:sz w:val="20"/>
          <w:szCs w:val="20"/>
          <w:lang w:val="es-MX"/>
        </w:rPr>
        <w:t>ó</w:t>
      </w:r>
      <w:r w:rsidR="001C3730" w:rsidRPr="0033784B">
        <w:rPr>
          <w:rFonts w:cstheme="majorHAnsi"/>
          <w:sz w:val="20"/>
          <w:szCs w:val="20"/>
          <w:lang w:val="es-MX"/>
        </w:rPr>
        <w:t xml:space="preserve"> al Estado dichas observaciones</w:t>
      </w:r>
      <w:r w:rsidR="008D2996" w:rsidRPr="0033784B">
        <w:rPr>
          <w:rFonts w:cstheme="majorHAnsi"/>
          <w:sz w:val="20"/>
          <w:szCs w:val="20"/>
          <w:lang w:val="es-MX"/>
        </w:rPr>
        <w:t xml:space="preserve"> </w:t>
      </w:r>
      <w:r w:rsidR="000F6559" w:rsidRPr="0033784B">
        <w:rPr>
          <w:rFonts w:cstheme="majorHAnsi"/>
          <w:sz w:val="20"/>
          <w:szCs w:val="20"/>
          <w:lang w:val="es-MX"/>
        </w:rPr>
        <w:t xml:space="preserve">y le solicitó que presentara sus observaciones sobre el fondo dentro de un plazo de 4 meses. El 17 de marzo de 2016 la Comisión informó al Estado </w:t>
      </w:r>
      <w:r w:rsidR="008D2996" w:rsidRPr="0033784B">
        <w:rPr>
          <w:rFonts w:cstheme="majorHAnsi"/>
          <w:sz w:val="20"/>
          <w:szCs w:val="20"/>
          <w:lang w:val="es-MX"/>
        </w:rPr>
        <w:t xml:space="preserve">de </w:t>
      </w:r>
      <w:r w:rsidR="000F6559" w:rsidRPr="0033784B">
        <w:rPr>
          <w:rFonts w:cstheme="majorHAnsi"/>
          <w:sz w:val="20"/>
          <w:szCs w:val="20"/>
          <w:lang w:val="es-MX"/>
        </w:rPr>
        <w:t>la imposibilidad de otorgar</w:t>
      </w:r>
      <w:r w:rsidR="008D2996" w:rsidRPr="0033784B">
        <w:rPr>
          <w:rFonts w:cstheme="majorHAnsi"/>
          <w:sz w:val="20"/>
          <w:szCs w:val="20"/>
          <w:lang w:val="es-MX"/>
        </w:rPr>
        <w:t>le</w:t>
      </w:r>
      <w:r w:rsidR="000F6559" w:rsidRPr="0033784B">
        <w:rPr>
          <w:rFonts w:cstheme="majorHAnsi"/>
          <w:sz w:val="20"/>
          <w:szCs w:val="20"/>
          <w:lang w:val="es-MX"/>
        </w:rPr>
        <w:t xml:space="preserve"> prórroga</w:t>
      </w:r>
      <w:r w:rsidR="008D2996" w:rsidRPr="0033784B">
        <w:rPr>
          <w:rFonts w:cstheme="majorHAnsi"/>
          <w:sz w:val="20"/>
          <w:szCs w:val="20"/>
          <w:lang w:val="es-MX"/>
        </w:rPr>
        <w:t xml:space="preserve"> para presentar sus observaciones,</w:t>
      </w:r>
      <w:r w:rsidR="000F6559" w:rsidRPr="0033784B">
        <w:rPr>
          <w:rFonts w:cstheme="majorHAnsi"/>
          <w:sz w:val="20"/>
          <w:szCs w:val="20"/>
          <w:lang w:val="es-MX"/>
        </w:rPr>
        <w:t xml:space="preserve"> por </w:t>
      </w:r>
      <w:r w:rsidR="000F6559" w:rsidRPr="0033784B">
        <w:rPr>
          <w:rFonts w:cstheme="majorHAnsi"/>
          <w:sz w:val="20"/>
          <w:szCs w:val="20"/>
          <w:lang w:val="es-MX"/>
        </w:rPr>
        <w:lastRenderedPageBreak/>
        <w:t>encontrarse fuer</w:t>
      </w:r>
      <w:r w:rsidR="008D2996" w:rsidRPr="0033784B">
        <w:rPr>
          <w:rFonts w:cstheme="majorHAnsi"/>
          <w:sz w:val="20"/>
          <w:szCs w:val="20"/>
          <w:lang w:val="es-MX"/>
        </w:rPr>
        <w:t>a</w:t>
      </w:r>
      <w:r w:rsidR="000F6559" w:rsidRPr="0033784B">
        <w:rPr>
          <w:rFonts w:cstheme="majorHAnsi"/>
          <w:sz w:val="20"/>
          <w:szCs w:val="20"/>
          <w:lang w:val="es-MX"/>
        </w:rPr>
        <w:t xml:space="preserve"> del plazo </w:t>
      </w:r>
      <w:r w:rsidR="00594ED3" w:rsidRPr="0033784B">
        <w:rPr>
          <w:rFonts w:cstheme="majorHAnsi"/>
          <w:sz w:val="20"/>
          <w:szCs w:val="20"/>
          <w:lang w:val="es-MX"/>
        </w:rPr>
        <w:t xml:space="preserve">máximo </w:t>
      </w:r>
      <w:r w:rsidR="000F6559" w:rsidRPr="0033784B">
        <w:rPr>
          <w:rFonts w:cstheme="majorHAnsi"/>
          <w:sz w:val="20"/>
          <w:szCs w:val="20"/>
          <w:lang w:val="es-MX"/>
        </w:rPr>
        <w:t xml:space="preserve">establecido </w:t>
      </w:r>
      <w:r w:rsidR="00594ED3" w:rsidRPr="0033784B">
        <w:rPr>
          <w:rFonts w:cstheme="majorHAnsi"/>
          <w:sz w:val="20"/>
          <w:szCs w:val="20"/>
          <w:lang w:val="es-MX"/>
        </w:rPr>
        <w:t xml:space="preserve">en el artículo 37 del </w:t>
      </w:r>
      <w:r w:rsidR="008D2996" w:rsidRPr="0033784B">
        <w:rPr>
          <w:rFonts w:cstheme="majorHAnsi"/>
          <w:sz w:val="20"/>
          <w:szCs w:val="20"/>
          <w:lang w:val="es-MX"/>
        </w:rPr>
        <w:t>Reglamento</w:t>
      </w:r>
      <w:r w:rsidR="00E900F3" w:rsidRPr="0033784B">
        <w:rPr>
          <w:rFonts w:cstheme="majorHAnsi"/>
          <w:sz w:val="20"/>
          <w:szCs w:val="20"/>
          <w:lang w:val="es-MX"/>
        </w:rPr>
        <w:t>. No obstante, la Comisión</w:t>
      </w:r>
      <w:r w:rsidR="00594ED3" w:rsidRPr="0033784B">
        <w:rPr>
          <w:rFonts w:cstheme="majorHAnsi"/>
          <w:sz w:val="20"/>
          <w:szCs w:val="20"/>
          <w:lang w:val="es-MX"/>
        </w:rPr>
        <w:t xml:space="preserve"> indicó que </w:t>
      </w:r>
      <w:r w:rsidR="00E361E6" w:rsidRPr="0033784B">
        <w:rPr>
          <w:rFonts w:cstheme="majorHAnsi"/>
          <w:sz w:val="20"/>
          <w:szCs w:val="20"/>
          <w:lang w:val="es-MX"/>
        </w:rPr>
        <w:t>espera</w:t>
      </w:r>
      <w:r w:rsidR="00594ED3" w:rsidRPr="0033784B">
        <w:rPr>
          <w:rFonts w:cstheme="majorHAnsi"/>
          <w:sz w:val="20"/>
          <w:szCs w:val="20"/>
          <w:lang w:val="es-MX"/>
        </w:rPr>
        <w:t>ba</w:t>
      </w:r>
      <w:r w:rsidR="00E361E6" w:rsidRPr="0033784B">
        <w:rPr>
          <w:rFonts w:cstheme="majorHAnsi"/>
          <w:sz w:val="20"/>
          <w:szCs w:val="20"/>
          <w:lang w:val="es-MX"/>
        </w:rPr>
        <w:t xml:space="preserve"> </w:t>
      </w:r>
      <w:r w:rsidR="000F6559" w:rsidRPr="0033784B">
        <w:rPr>
          <w:rFonts w:cstheme="majorHAnsi"/>
          <w:sz w:val="20"/>
          <w:szCs w:val="20"/>
          <w:lang w:val="es-MX"/>
        </w:rPr>
        <w:t>“contar con la participación oportuna del Estado”</w:t>
      </w:r>
      <w:r w:rsidR="00E361E6" w:rsidRPr="0033784B">
        <w:rPr>
          <w:rFonts w:cstheme="majorHAnsi"/>
          <w:sz w:val="20"/>
          <w:szCs w:val="20"/>
          <w:lang w:val="es-MX"/>
        </w:rPr>
        <w:t>.</w:t>
      </w:r>
      <w:r w:rsidR="000F6559" w:rsidRPr="0033784B">
        <w:rPr>
          <w:rFonts w:cstheme="majorHAnsi"/>
          <w:sz w:val="20"/>
          <w:szCs w:val="20"/>
          <w:lang w:val="es-MX"/>
        </w:rPr>
        <w:t xml:space="preserve"> A la fecha</w:t>
      </w:r>
      <w:r w:rsidR="008A770A" w:rsidRPr="0033784B">
        <w:rPr>
          <w:rFonts w:cstheme="majorHAnsi"/>
          <w:sz w:val="20"/>
          <w:szCs w:val="20"/>
          <w:lang w:val="es-MX"/>
        </w:rPr>
        <w:t xml:space="preserve"> no se han </w:t>
      </w:r>
      <w:r w:rsidR="000F6559" w:rsidRPr="0033784B">
        <w:rPr>
          <w:rFonts w:cstheme="majorHAnsi"/>
          <w:sz w:val="20"/>
          <w:szCs w:val="20"/>
          <w:lang w:val="es-MX"/>
        </w:rPr>
        <w:t xml:space="preserve">recibido las observaciones de fondo del Estado. </w:t>
      </w:r>
    </w:p>
    <w:p w14:paraId="12C547DA" w14:textId="77777777" w:rsidR="000F6559" w:rsidRPr="0033784B" w:rsidRDefault="00722137" w:rsidP="00D05831">
      <w:pPr>
        <w:pStyle w:val="Heading1"/>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Cambria" w:hAnsi="Cambria"/>
          <w:b w:val="0"/>
          <w:color w:val="auto"/>
          <w:sz w:val="20"/>
          <w:szCs w:val="20"/>
          <w:lang w:val="es-ES"/>
        </w:rPr>
      </w:pPr>
      <w:bookmarkStart w:id="7" w:name="_Toc489610449"/>
      <w:r w:rsidRPr="0033784B">
        <w:rPr>
          <w:rFonts w:ascii="Cambria" w:hAnsi="Cambria"/>
          <w:color w:val="auto"/>
          <w:sz w:val="20"/>
          <w:szCs w:val="20"/>
          <w:lang w:val="es-ES"/>
        </w:rPr>
        <w:t>ALEGATOS</w:t>
      </w:r>
      <w:r w:rsidR="000F6559" w:rsidRPr="0033784B">
        <w:rPr>
          <w:rFonts w:ascii="Cambria" w:hAnsi="Cambria"/>
          <w:color w:val="auto"/>
          <w:sz w:val="20"/>
          <w:szCs w:val="20"/>
          <w:lang w:val="es-ES"/>
        </w:rPr>
        <w:t xml:space="preserve"> DE LAS PARTES</w:t>
      </w:r>
      <w:bookmarkEnd w:id="7"/>
    </w:p>
    <w:p w14:paraId="3562252D" w14:textId="17BA53D8" w:rsidR="000F6559" w:rsidRPr="0033784B" w:rsidRDefault="000F6559" w:rsidP="000F6559">
      <w:pPr>
        <w:pStyle w:val="Heading2"/>
        <w:ind w:firstLine="720"/>
        <w:rPr>
          <w:rFonts w:ascii="Cambria" w:hAnsi="Cambria"/>
          <w:i w:val="0"/>
          <w:sz w:val="20"/>
          <w:szCs w:val="20"/>
          <w:lang w:val="es-AR"/>
        </w:rPr>
      </w:pPr>
      <w:bookmarkStart w:id="8" w:name="_Toc489610450"/>
      <w:r w:rsidRPr="0033784B">
        <w:rPr>
          <w:rFonts w:ascii="Cambria" w:hAnsi="Cambria"/>
          <w:i w:val="0"/>
          <w:sz w:val="20"/>
          <w:szCs w:val="20"/>
          <w:lang w:val="es-AR"/>
        </w:rPr>
        <w:t xml:space="preserve">A. </w:t>
      </w:r>
      <w:r w:rsidRPr="0033784B">
        <w:rPr>
          <w:rFonts w:ascii="Cambria" w:hAnsi="Cambria"/>
          <w:i w:val="0"/>
          <w:sz w:val="20"/>
          <w:szCs w:val="20"/>
          <w:lang w:val="es-AR"/>
        </w:rPr>
        <w:tab/>
      </w:r>
      <w:r w:rsidR="00722137" w:rsidRPr="0033784B">
        <w:rPr>
          <w:rFonts w:ascii="Cambria" w:hAnsi="Cambria"/>
          <w:i w:val="0"/>
          <w:sz w:val="20"/>
          <w:szCs w:val="20"/>
          <w:lang w:val="es-AR"/>
        </w:rPr>
        <w:t xml:space="preserve">Alegatos </w:t>
      </w:r>
      <w:r w:rsidRPr="0033784B">
        <w:rPr>
          <w:rFonts w:ascii="Cambria" w:hAnsi="Cambria"/>
          <w:i w:val="0"/>
          <w:sz w:val="20"/>
          <w:szCs w:val="20"/>
          <w:lang w:val="es-AR"/>
        </w:rPr>
        <w:t>de l</w:t>
      </w:r>
      <w:r w:rsidR="00722137" w:rsidRPr="0033784B">
        <w:rPr>
          <w:rFonts w:ascii="Cambria" w:hAnsi="Cambria"/>
          <w:i w:val="0"/>
          <w:sz w:val="20"/>
          <w:szCs w:val="20"/>
          <w:lang w:val="es-AR"/>
        </w:rPr>
        <w:t>a parte peticionaria</w:t>
      </w:r>
      <w:bookmarkEnd w:id="8"/>
    </w:p>
    <w:p w14:paraId="113904EB" w14:textId="77777777" w:rsidR="000F6559" w:rsidRPr="0033784B" w:rsidRDefault="000F6559" w:rsidP="000F6559">
      <w:pPr>
        <w:widowControl w:val="0"/>
        <w:tabs>
          <w:tab w:val="left" w:pos="1440"/>
        </w:tabs>
        <w:autoSpaceDE w:val="0"/>
        <w:autoSpaceDN w:val="0"/>
        <w:ind w:firstLine="720"/>
        <w:jc w:val="both"/>
        <w:rPr>
          <w:rFonts w:ascii="Cambria" w:hAnsi="Cambria" w:cstheme="majorHAnsi"/>
          <w:sz w:val="20"/>
          <w:szCs w:val="20"/>
          <w:lang w:val="es-MX"/>
        </w:rPr>
      </w:pPr>
    </w:p>
    <w:p w14:paraId="537E6F7B" w14:textId="6D282B0D" w:rsidR="000F6559" w:rsidRPr="0033784B" w:rsidRDefault="00D8537D" w:rsidP="00D0583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cstheme="majorHAnsi"/>
          <w:sz w:val="20"/>
          <w:szCs w:val="20"/>
          <w:lang w:val="es-UY"/>
        </w:rPr>
      </w:pPr>
      <w:r w:rsidRPr="0033784B">
        <w:rPr>
          <w:rFonts w:cstheme="majorHAnsi"/>
          <w:sz w:val="20"/>
          <w:szCs w:val="20"/>
          <w:lang w:val="es-ES"/>
        </w:rPr>
        <w:t xml:space="preserve">La parte peticionaria señaló que </w:t>
      </w:r>
      <w:r w:rsidR="00E361E6" w:rsidRPr="0033784B">
        <w:rPr>
          <w:rFonts w:cstheme="majorHAnsi"/>
          <w:sz w:val="20"/>
          <w:szCs w:val="20"/>
          <w:lang w:val="es-ES"/>
        </w:rPr>
        <w:t>Julio César Ramón D</w:t>
      </w:r>
      <w:r w:rsidR="000F6559" w:rsidRPr="0033784B">
        <w:rPr>
          <w:rFonts w:cstheme="majorHAnsi"/>
          <w:sz w:val="20"/>
          <w:szCs w:val="20"/>
          <w:lang w:val="es-ES"/>
        </w:rPr>
        <w:t xml:space="preserve">el Valle Ambrosio y </w:t>
      </w:r>
      <w:r w:rsidR="000F6559" w:rsidRPr="0033784B">
        <w:rPr>
          <w:rFonts w:cstheme="majorHAnsi"/>
          <w:sz w:val="20"/>
          <w:szCs w:val="20"/>
          <w:lang w:val="es-MX"/>
        </w:rPr>
        <w:t xml:space="preserve">Carlos Eduardo Domínguez Linares fueron </w:t>
      </w:r>
      <w:r w:rsidR="000F6559" w:rsidRPr="0033784B">
        <w:rPr>
          <w:rFonts w:cstheme="majorHAnsi"/>
          <w:sz w:val="20"/>
          <w:szCs w:val="20"/>
          <w:lang w:val="es-ES"/>
        </w:rPr>
        <w:t xml:space="preserve">condenados el 23 de diciembre de 1997 a 3 años y 6 meses de prisión por la Cámara Novena </w:t>
      </w:r>
      <w:r w:rsidR="000B7B8B" w:rsidRPr="0033784B">
        <w:rPr>
          <w:rFonts w:cstheme="majorHAnsi"/>
          <w:sz w:val="20"/>
          <w:szCs w:val="20"/>
          <w:lang w:val="es-ES"/>
        </w:rPr>
        <w:t>d</w:t>
      </w:r>
      <w:r w:rsidR="000F6559" w:rsidRPr="0033784B">
        <w:rPr>
          <w:rFonts w:cstheme="majorHAnsi"/>
          <w:sz w:val="20"/>
          <w:szCs w:val="20"/>
          <w:lang w:val="es-ES"/>
        </w:rPr>
        <w:t>e</w:t>
      </w:r>
      <w:r w:rsidR="000B7B8B" w:rsidRPr="0033784B">
        <w:rPr>
          <w:rFonts w:cstheme="majorHAnsi"/>
          <w:sz w:val="20"/>
          <w:szCs w:val="20"/>
          <w:lang w:val="es-ES"/>
        </w:rPr>
        <w:t>l</w:t>
      </w:r>
      <w:r w:rsidR="000F6559" w:rsidRPr="0033784B">
        <w:rPr>
          <w:rFonts w:cstheme="majorHAnsi"/>
          <w:sz w:val="20"/>
          <w:szCs w:val="20"/>
          <w:lang w:val="es-ES"/>
        </w:rPr>
        <w:t xml:space="preserve"> Crim</w:t>
      </w:r>
      <w:r w:rsidR="000B7B8B" w:rsidRPr="0033784B">
        <w:rPr>
          <w:rFonts w:cstheme="majorHAnsi"/>
          <w:sz w:val="20"/>
          <w:szCs w:val="20"/>
          <w:lang w:val="es-ES"/>
        </w:rPr>
        <w:t>en</w:t>
      </w:r>
      <w:r w:rsidR="000F6559" w:rsidRPr="0033784B">
        <w:rPr>
          <w:rFonts w:cstheme="majorHAnsi"/>
          <w:sz w:val="20"/>
          <w:szCs w:val="20"/>
          <w:lang w:val="es-ES"/>
        </w:rPr>
        <w:t xml:space="preserve"> de Córdoba por considerárseles cómplices del delito de defraudación calificada, consistente en la obtención y utilización a título personal de créditos otorgados por varias instituciones financieras, a favor de la empresa Solares S.R.L. </w:t>
      </w:r>
    </w:p>
    <w:p w14:paraId="34879FCB" w14:textId="77777777" w:rsidR="000F6559" w:rsidRPr="0033784B" w:rsidRDefault="000F6559" w:rsidP="000F6559">
      <w:pPr>
        <w:pStyle w:val="ListParagraph"/>
        <w:tabs>
          <w:tab w:val="left" w:pos="1440"/>
        </w:tabs>
        <w:ind w:left="0" w:firstLine="720"/>
        <w:jc w:val="both"/>
        <w:rPr>
          <w:rFonts w:cstheme="majorHAnsi"/>
          <w:sz w:val="20"/>
          <w:szCs w:val="20"/>
          <w:lang w:val="es-UY"/>
        </w:rPr>
      </w:pPr>
    </w:p>
    <w:p w14:paraId="520A0DFB" w14:textId="3739A0BD" w:rsidR="000F6559" w:rsidRPr="0033784B" w:rsidRDefault="007041B4" w:rsidP="00D0583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cstheme="majorHAnsi"/>
          <w:sz w:val="20"/>
          <w:szCs w:val="20"/>
          <w:lang w:val="es-ES"/>
        </w:rPr>
      </w:pPr>
      <w:r w:rsidRPr="0033784B">
        <w:rPr>
          <w:rFonts w:cstheme="majorHAnsi"/>
          <w:sz w:val="20"/>
          <w:szCs w:val="20"/>
          <w:lang w:val="es-ES"/>
        </w:rPr>
        <w:t xml:space="preserve">Manifestó </w:t>
      </w:r>
      <w:r w:rsidR="000F6559" w:rsidRPr="0033784B">
        <w:rPr>
          <w:rFonts w:cstheme="majorHAnsi"/>
          <w:sz w:val="20"/>
          <w:szCs w:val="20"/>
          <w:lang w:val="es-ES"/>
        </w:rPr>
        <w:t>que</w:t>
      </w:r>
      <w:r w:rsidRPr="0033784B">
        <w:rPr>
          <w:rFonts w:cstheme="majorHAnsi"/>
          <w:sz w:val="20"/>
          <w:szCs w:val="20"/>
          <w:lang w:val="es-ES"/>
        </w:rPr>
        <w:t xml:space="preserve"> se </w:t>
      </w:r>
      <w:r w:rsidR="000F6559" w:rsidRPr="0033784B">
        <w:rPr>
          <w:rFonts w:cstheme="majorHAnsi"/>
          <w:sz w:val="20"/>
          <w:szCs w:val="20"/>
          <w:lang w:val="es-ES"/>
        </w:rPr>
        <w:t xml:space="preserve">presentaron recursos de casación contra </w:t>
      </w:r>
      <w:r w:rsidR="00AF679E" w:rsidRPr="0033784B">
        <w:rPr>
          <w:rFonts w:cstheme="majorHAnsi"/>
          <w:sz w:val="20"/>
          <w:szCs w:val="20"/>
          <w:lang w:val="es-ES"/>
        </w:rPr>
        <w:t>la sentencia condenatoria</w:t>
      </w:r>
      <w:r w:rsidR="00DD0AC9">
        <w:rPr>
          <w:rFonts w:cstheme="majorHAnsi"/>
          <w:sz w:val="20"/>
          <w:szCs w:val="20"/>
          <w:lang w:val="es-ES"/>
        </w:rPr>
        <w:t>, por ser el recurso previsto para impugnar una sentencia de primera instancia,</w:t>
      </w:r>
      <w:r w:rsidR="000F6559" w:rsidRPr="0033784B">
        <w:rPr>
          <w:rFonts w:cstheme="majorHAnsi"/>
          <w:sz w:val="20"/>
          <w:szCs w:val="20"/>
          <w:lang w:val="es-ES"/>
        </w:rPr>
        <w:t xml:space="preserve"> y </w:t>
      </w:r>
      <w:r w:rsidR="00A43B75" w:rsidRPr="0033784B">
        <w:rPr>
          <w:rFonts w:cstheme="majorHAnsi"/>
          <w:sz w:val="20"/>
          <w:szCs w:val="20"/>
          <w:lang w:val="es-ES"/>
        </w:rPr>
        <w:t xml:space="preserve">que </w:t>
      </w:r>
      <w:r w:rsidR="000F6559" w:rsidRPr="0033784B">
        <w:rPr>
          <w:rFonts w:cstheme="majorHAnsi"/>
          <w:sz w:val="20"/>
          <w:szCs w:val="20"/>
          <w:lang w:val="es-ES"/>
        </w:rPr>
        <w:t xml:space="preserve">dichos recursos fueron rechazados bajo el argumento </w:t>
      </w:r>
      <w:r w:rsidR="008D2996" w:rsidRPr="0033784B">
        <w:rPr>
          <w:rFonts w:cstheme="majorHAnsi"/>
          <w:sz w:val="20"/>
          <w:szCs w:val="20"/>
          <w:lang w:val="es-ES"/>
        </w:rPr>
        <w:t xml:space="preserve">de </w:t>
      </w:r>
      <w:r w:rsidR="000F6559" w:rsidRPr="0033784B">
        <w:rPr>
          <w:rFonts w:cstheme="majorHAnsi"/>
          <w:sz w:val="20"/>
          <w:szCs w:val="20"/>
          <w:lang w:val="es-ES"/>
        </w:rPr>
        <w:t>que carecían de la debida fundamentación. Afirm</w:t>
      </w:r>
      <w:r w:rsidR="006F472C" w:rsidRPr="0033784B">
        <w:rPr>
          <w:rFonts w:cstheme="majorHAnsi"/>
          <w:sz w:val="20"/>
          <w:szCs w:val="20"/>
          <w:lang w:val="es-ES"/>
        </w:rPr>
        <w:t>ó</w:t>
      </w:r>
      <w:r w:rsidR="000F6559" w:rsidRPr="0033784B">
        <w:rPr>
          <w:rFonts w:cstheme="majorHAnsi"/>
          <w:sz w:val="20"/>
          <w:szCs w:val="20"/>
          <w:lang w:val="es-ES"/>
        </w:rPr>
        <w:t xml:space="preserve"> que</w:t>
      </w:r>
      <w:r w:rsidR="00A43B75" w:rsidRPr="0033784B">
        <w:rPr>
          <w:rFonts w:cstheme="majorHAnsi"/>
          <w:sz w:val="20"/>
          <w:szCs w:val="20"/>
          <w:lang w:val="es-ES"/>
        </w:rPr>
        <w:t xml:space="preserve"> </w:t>
      </w:r>
      <w:r w:rsidR="000F6559" w:rsidRPr="0033784B">
        <w:rPr>
          <w:rFonts w:cstheme="majorHAnsi"/>
          <w:sz w:val="20"/>
          <w:szCs w:val="20"/>
          <w:lang w:val="es-ES"/>
        </w:rPr>
        <w:t xml:space="preserve">entablaron recursos extraordinarios, los cuales fueron inadmitidos formalmente, ya que, a criterio del tribunal, las sentencias condenatorias no incurrieron en arbitrariedad. </w:t>
      </w:r>
      <w:r w:rsidR="00A43B75" w:rsidRPr="0033784B">
        <w:rPr>
          <w:rFonts w:cstheme="majorHAnsi"/>
          <w:sz w:val="20"/>
          <w:szCs w:val="20"/>
          <w:lang w:val="es-ES"/>
        </w:rPr>
        <w:t xml:space="preserve">Indicó que se </w:t>
      </w:r>
      <w:r w:rsidR="000F6559" w:rsidRPr="0033784B">
        <w:rPr>
          <w:rFonts w:cstheme="majorHAnsi"/>
          <w:sz w:val="20"/>
          <w:szCs w:val="20"/>
          <w:lang w:val="es-ES"/>
        </w:rPr>
        <w:t>interpusieron recurso</w:t>
      </w:r>
      <w:r w:rsidR="00E361E6" w:rsidRPr="0033784B">
        <w:rPr>
          <w:rFonts w:cstheme="majorHAnsi"/>
          <w:sz w:val="20"/>
          <w:szCs w:val="20"/>
          <w:lang w:val="es-ES"/>
        </w:rPr>
        <w:t>s</w:t>
      </w:r>
      <w:r w:rsidR="000F6559" w:rsidRPr="0033784B">
        <w:rPr>
          <w:rFonts w:cstheme="majorHAnsi"/>
          <w:sz w:val="20"/>
          <w:szCs w:val="20"/>
          <w:lang w:val="es-ES"/>
        </w:rPr>
        <w:t xml:space="preserve"> de queja ante la Corte Suprema de Justicia, los cuales </w:t>
      </w:r>
      <w:r w:rsidR="00A43B75" w:rsidRPr="0033784B">
        <w:rPr>
          <w:rFonts w:cstheme="majorHAnsi"/>
          <w:sz w:val="20"/>
          <w:szCs w:val="20"/>
          <w:lang w:val="es-ES"/>
        </w:rPr>
        <w:t>f</w:t>
      </w:r>
      <w:r w:rsidR="000F6559" w:rsidRPr="0033784B">
        <w:rPr>
          <w:rFonts w:cstheme="majorHAnsi"/>
          <w:sz w:val="20"/>
          <w:szCs w:val="20"/>
          <w:lang w:val="es-ES"/>
        </w:rPr>
        <w:t>ueron rechazados</w:t>
      </w:r>
      <w:r w:rsidR="00786866" w:rsidRPr="0033784B">
        <w:rPr>
          <w:rFonts w:cstheme="majorHAnsi"/>
          <w:sz w:val="20"/>
          <w:szCs w:val="20"/>
          <w:lang w:val="es-ES"/>
        </w:rPr>
        <w:t>.</w:t>
      </w:r>
      <w:r w:rsidR="000F6559" w:rsidRPr="0033784B">
        <w:rPr>
          <w:rFonts w:cstheme="majorHAnsi"/>
          <w:sz w:val="20"/>
          <w:szCs w:val="20"/>
          <w:lang w:val="es-ES"/>
        </w:rPr>
        <w:t xml:space="preserve"> </w:t>
      </w:r>
    </w:p>
    <w:p w14:paraId="66C72ADA" w14:textId="77777777" w:rsidR="000F6559" w:rsidRPr="0033784B" w:rsidRDefault="000F6559" w:rsidP="000F6559">
      <w:pPr>
        <w:pStyle w:val="ListParagraph"/>
        <w:tabs>
          <w:tab w:val="left" w:pos="1440"/>
        </w:tabs>
        <w:ind w:left="0" w:firstLine="720"/>
        <w:jc w:val="both"/>
        <w:rPr>
          <w:rFonts w:cstheme="majorHAnsi"/>
          <w:sz w:val="20"/>
          <w:szCs w:val="20"/>
          <w:lang w:val="es-ES"/>
        </w:rPr>
      </w:pPr>
    </w:p>
    <w:p w14:paraId="01C3D0C7" w14:textId="22A2D47B" w:rsidR="000F6559" w:rsidRPr="0033784B" w:rsidRDefault="00E22BB6" w:rsidP="00D0583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cstheme="majorHAnsi"/>
          <w:sz w:val="20"/>
          <w:szCs w:val="20"/>
          <w:lang w:val="es-AR"/>
        </w:rPr>
      </w:pPr>
      <w:r w:rsidRPr="0033784B">
        <w:rPr>
          <w:rFonts w:cstheme="majorHAnsi"/>
          <w:sz w:val="20"/>
          <w:szCs w:val="20"/>
          <w:lang w:val="es-UY"/>
        </w:rPr>
        <w:t>L</w:t>
      </w:r>
      <w:r w:rsidR="001E51BB" w:rsidRPr="0033784B">
        <w:rPr>
          <w:rFonts w:cstheme="majorHAnsi"/>
          <w:sz w:val="20"/>
          <w:szCs w:val="20"/>
          <w:lang w:val="es-UY"/>
        </w:rPr>
        <w:t xml:space="preserve">a parte peticionaria </w:t>
      </w:r>
      <w:r w:rsidR="000F6559" w:rsidRPr="0033784B">
        <w:rPr>
          <w:rFonts w:cstheme="majorHAnsi"/>
          <w:sz w:val="20"/>
          <w:szCs w:val="20"/>
          <w:lang w:val="es-ES"/>
        </w:rPr>
        <w:t>aleg</w:t>
      </w:r>
      <w:r w:rsidR="001E51BB" w:rsidRPr="0033784B">
        <w:rPr>
          <w:rFonts w:cstheme="majorHAnsi"/>
          <w:sz w:val="20"/>
          <w:szCs w:val="20"/>
          <w:lang w:val="es-ES"/>
        </w:rPr>
        <w:t>ó</w:t>
      </w:r>
      <w:r w:rsidR="000F6559" w:rsidRPr="0033784B">
        <w:rPr>
          <w:rFonts w:cstheme="majorHAnsi"/>
          <w:sz w:val="20"/>
          <w:szCs w:val="20"/>
          <w:lang w:val="es-ES"/>
        </w:rPr>
        <w:t xml:space="preserve"> que les fue violado</w:t>
      </w:r>
      <w:r w:rsidR="001E51BB" w:rsidRPr="0033784B">
        <w:rPr>
          <w:rFonts w:cstheme="majorHAnsi"/>
          <w:sz w:val="20"/>
          <w:szCs w:val="20"/>
          <w:lang w:val="es-ES"/>
        </w:rPr>
        <w:t xml:space="preserve"> a los señores Del Valle Ambrosio y Domínguez Linares,</w:t>
      </w:r>
      <w:r w:rsidR="000F6559" w:rsidRPr="0033784B">
        <w:rPr>
          <w:rFonts w:cstheme="majorHAnsi"/>
          <w:sz w:val="20"/>
          <w:szCs w:val="20"/>
          <w:lang w:val="es-ES"/>
        </w:rPr>
        <w:t xml:space="preserve"> su derecho a contar con una revisión de la sentencia condenatoria por un tribunal superior, generando así una “insatisfacción que altera el debido proceso, mediante el rechazo formal, sin sustanciación alguna y sin analizar el fondo de la cuestión”. </w:t>
      </w:r>
      <w:r w:rsidR="00EE3236" w:rsidRPr="0033784B">
        <w:rPr>
          <w:rFonts w:cstheme="majorHAnsi"/>
          <w:sz w:val="20"/>
          <w:szCs w:val="20"/>
          <w:lang w:val="es-ES"/>
        </w:rPr>
        <w:t xml:space="preserve">Asimismo, alegó la violación al derecho a la protección judicial. </w:t>
      </w:r>
    </w:p>
    <w:p w14:paraId="502D2521" w14:textId="77777777" w:rsidR="000F6559" w:rsidRPr="00E950FC" w:rsidRDefault="000F6559" w:rsidP="000F6559">
      <w:pPr>
        <w:pStyle w:val="ListParagraph"/>
        <w:tabs>
          <w:tab w:val="left" w:pos="1440"/>
        </w:tabs>
        <w:ind w:left="0" w:firstLine="720"/>
        <w:rPr>
          <w:rFonts w:asciiTheme="majorHAnsi" w:hAnsiTheme="majorHAnsi" w:cstheme="majorHAnsi"/>
          <w:sz w:val="20"/>
          <w:szCs w:val="20"/>
          <w:lang w:val="es-AR"/>
        </w:rPr>
      </w:pPr>
    </w:p>
    <w:p w14:paraId="2D3E088B" w14:textId="26DEC72A" w:rsidR="000F6559" w:rsidRPr="00E950FC" w:rsidRDefault="000F6559" w:rsidP="001B3D71">
      <w:pPr>
        <w:pStyle w:val="PlainText"/>
        <w:numPr>
          <w:ilvl w:val="0"/>
          <w:numId w:val="55"/>
        </w:numPr>
        <w:tabs>
          <w:tab w:val="left" w:pos="1440"/>
        </w:tabs>
        <w:jc w:val="both"/>
        <w:rPr>
          <w:rFonts w:asciiTheme="majorHAnsi" w:eastAsia="Times New Roman" w:hAnsiTheme="majorHAnsi"/>
          <w:color w:val="000000"/>
          <w:sz w:val="20"/>
          <w:szCs w:val="20"/>
          <w:lang w:val="es-MX"/>
        </w:rPr>
      </w:pPr>
      <w:r w:rsidRPr="00E950FC">
        <w:rPr>
          <w:rFonts w:asciiTheme="majorHAnsi" w:hAnsiTheme="majorHAnsi" w:cstheme="majorHAnsi"/>
          <w:sz w:val="20"/>
          <w:szCs w:val="20"/>
          <w:lang w:val="es-AR"/>
        </w:rPr>
        <w:t>L</w:t>
      </w:r>
      <w:r w:rsidR="00055AB5" w:rsidRPr="00E950FC">
        <w:rPr>
          <w:rFonts w:asciiTheme="majorHAnsi" w:hAnsiTheme="majorHAnsi" w:cstheme="majorHAnsi"/>
          <w:sz w:val="20"/>
          <w:szCs w:val="20"/>
          <w:lang w:val="es-AR"/>
        </w:rPr>
        <w:t xml:space="preserve">a parte </w:t>
      </w:r>
      <w:r w:rsidRPr="00E950FC">
        <w:rPr>
          <w:rFonts w:asciiTheme="majorHAnsi" w:hAnsiTheme="majorHAnsi" w:cstheme="majorHAnsi"/>
          <w:sz w:val="20"/>
          <w:szCs w:val="20"/>
          <w:lang w:val="es-AR"/>
        </w:rPr>
        <w:t>peticionari</w:t>
      </w:r>
      <w:r w:rsidR="00055AB5" w:rsidRPr="00E950FC">
        <w:rPr>
          <w:rFonts w:asciiTheme="majorHAnsi" w:hAnsiTheme="majorHAnsi" w:cstheme="majorHAnsi"/>
          <w:sz w:val="20"/>
          <w:szCs w:val="20"/>
          <w:lang w:val="es-AR"/>
        </w:rPr>
        <w:t>a</w:t>
      </w:r>
      <w:r w:rsidRPr="00E950FC">
        <w:rPr>
          <w:rFonts w:asciiTheme="majorHAnsi" w:hAnsiTheme="majorHAnsi" w:cstheme="majorHAnsi"/>
          <w:sz w:val="20"/>
          <w:szCs w:val="20"/>
          <w:lang w:val="es-AR"/>
        </w:rPr>
        <w:t xml:space="preserve"> indic</w:t>
      </w:r>
      <w:r w:rsidR="00657762" w:rsidRPr="00E950FC">
        <w:rPr>
          <w:rFonts w:asciiTheme="majorHAnsi" w:hAnsiTheme="majorHAnsi" w:cstheme="majorHAnsi"/>
          <w:sz w:val="20"/>
          <w:szCs w:val="20"/>
          <w:lang w:val="es-AR"/>
        </w:rPr>
        <w:t>ó</w:t>
      </w:r>
      <w:r w:rsidRPr="00E950FC">
        <w:rPr>
          <w:rFonts w:asciiTheme="majorHAnsi" w:hAnsiTheme="majorHAnsi" w:cstheme="majorHAnsi"/>
          <w:sz w:val="20"/>
          <w:szCs w:val="20"/>
          <w:lang w:val="es-AR"/>
        </w:rPr>
        <w:t xml:space="preserve"> que el recurso de casación</w:t>
      </w:r>
      <w:r w:rsidR="0025196C" w:rsidRPr="00E950FC">
        <w:rPr>
          <w:rFonts w:asciiTheme="majorHAnsi" w:hAnsiTheme="majorHAnsi" w:cstheme="majorHAnsi"/>
          <w:sz w:val="20"/>
          <w:szCs w:val="20"/>
          <w:lang w:val="es-AR"/>
        </w:rPr>
        <w:t xml:space="preserve"> regulado, interpretado y aplicado con </w:t>
      </w:r>
      <w:r w:rsidR="0025196C" w:rsidRPr="00E950FC">
        <w:rPr>
          <w:rFonts w:asciiTheme="majorHAnsi" w:eastAsia="Times New Roman" w:hAnsiTheme="majorHAnsi"/>
          <w:color w:val="000000"/>
          <w:sz w:val="20"/>
          <w:szCs w:val="20"/>
          <w:lang w:val="es-MX"/>
        </w:rPr>
        <w:t xml:space="preserve">rigor formalista, no constituye un recurso sencillo para </w:t>
      </w:r>
      <w:r w:rsidR="00E158D6" w:rsidRPr="00E950FC">
        <w:rPr>
          <w:rFonts w:asciiTheme="majorHAnsi" w:eastAsia="Times New Roman" w:hAnsiTheme="majorHAnsi"/>
          <w:color w:val="000000"/>
          <w:sz w:val="20"/>
          <w:szCs w:val="20"/>
          <w:lang w:val="es-MX"/>
        </w:rPr>
        <w:t>examinar la val</w:t>
      </w:r>
      <w:r w:rsidR="00A84E8F" w:rsidRPr="00E950FC">
        <w:rPr>
          <w:rFonts w:asciiTheme="majorHAnsi" w:eastAsia="Times New Roman" w:hAnsiTheme="majorHAnsi"/>
          <w:color w:val="000000"/>
          <w:sz w:val="20"/>
          <w:szCs w:val="20"/>
          <w:lang w:val="es-MX"/>
        </w:rPr>
        <w:t xml:space="preserve">idez de la sentencia recurrida y para garantizar </w:t>
      </w:r>
      <w:r w:rsidR="00E158D6" w:rsidRPr="00E950FC">
        <w:rPr>
          <w:rFonts w:asciiTheme="majorHAnsi" w:eastAsia="Times New Roman" w:hAnsiTheme="majorHAnsi"/>
          <w:color w:val="000000"/>
          <w:sz w:val="20"/>
          <w:szCs w:val="20"/>
          <w:lang w:val="es-MX"/>
        </w:rPr>
        <w:t>los derechos fundamentales del imputado, en especial los de defensa en juicio y el debido proceso.</w:t>
      </w:r>
      <w:r w:rsidR="001B3D71" w:rsidRPr="00E950FC">
        <w:rPr>
          <w:rFonts w:asciiTheme="majorHAnsi" w:eastAsia="Times New Roman" w:hAnsiTheme="majorHAnsi"/>
          <w:color w:val="000000"/>
          <w:sz w:val="20"/>
          <w:szCs w:val="20"/>
          <w:lang w:val="es-MX"/>
        </w:rPr>
        <w:t xml:space="preserve"> </w:t>
      </w:r>
      <w:r w:rsidR="006C404F" w:rsidRPr="00E950FC">
        <w:rPr>
          <w:rFonts w:asciiTheme="majorHAnsi" w:hAnsiTheme="majorHAnsi" w:cstheme="majorHAnsi"/>
          <w:sz w:val="20"/>
          <w:szCs w:val="20"/>
          <w:lang w:val="es-AR"/>
        </w:rPr>
        <w:t>Señaló que</w:t>
      </w:r>
      <w:r w:rsidR="00851C90" w:rsidRPr="00E950FC">
        <w:rPr>
          <w:rFonts w:asciiTheme="majorHAnsi" w:hAnsiTheme="majorHAnsi" w:cstheme="majorHAnsi"/>
          <w:sz w:val="20"/>
          <w:szCs w:val="20"/>
          <w:lang w:val="es-AR"/>
        </w:rPr>
        <w:t xml:space="preserve"> el hecho de que en el marco de la búsqueda de una solución amistosa en la etapa de admisibilidad el Estado hubiese avanzado en un proyecto de ley para resolver la cuestión, implica que Argentina reconoció la violación a la Convención. </w:t>
      </w:r>
    </w:p>
    <w:p w14:paraId="3FDA8BC5" w14:textId="77777777" w:rsidR="000F6559" w:rsidRPr="0033784B" w:rsidRDefault="00722137" w:rsidP="000F6559">
      <w:pPr>
        <w:pStyle w:val="Heading2"/>
        <w:ind w:firstLine="720"/>
        <w:rPr>
          <w:rFonts w:ascii="Cambria" w:hAnsi="Cambria"/>
          <w:i w:val="0"/>
          <w:sz w:val="20"/>
          <w:szCs w:val="20"/>
          <w:lang w:val="es-AR"/>
        </w:rPr>
      </w:pPr>
      <w:bookmarkStart w:id="9" w:name="_Toc489610451"/>
      <w:r w:rsidRPr="0033784B">
        <w:rPr>
          <w:rFonts w:ascii="Cambria" w:hAnsi="Cambria"/>
          <w:i w:val="0"/>
          <w:sz w:val="20"/>
          <w:szCs w:val="20"/>
          <w:lang w:val="es-AR"/>
        </w:rPr>
        <w:t>B.</w:t>
      </w:r>
      <w:r w:rsidRPr="0033784B">
        <w:rPr>
          <w:rFonts w:ascii="Cambria" w:hAnsi="Cambria"/>
          <w:i w:val="0"/>
          <w:sz w:val="20"/>
          <w:szCs w:val="20"/>
          <w:lang w:val="es-AR"/>
        </w:rPr>
        <w:tab/>
        <w:t xml:space="preserve"> Alegatos </w:t>
      </w:r>
      <w:r w:rsidR="000F6559" w:rsidRPr="0033784B">
        <w:rPr>
          <w:rFonts w:ascii="Cambria" w:hAnsi="Cambria"/>
          <w:i w:val="0"/>
          <w:sz w:val="20"/>
          <w:szCs w:val="20"/>
          <w:lang w:val="es-AR"/>
        </w:rPr>
        <w:t>del Estado</w:t>
      </w:r>
      <w:bookmarkEnd w:id="9"/>
    </w:p>
    <w:p w14:paraId="3E30E526" w14:textId="77777777" w:rsidR="000F6559" w:rsidRPr="0033784B" w:rsidRDefault="000F6559" w:rsidP="000F6559">
      <w:pPr>
        <w:tabs>
          <w:tab w:val="left" w:pos="1440"/>
        </w:tabs>
        <w:ind w:firstLine="720"/>
        <w:jc w:val="both"/>
        <w:rPr>
          <w:rFonts w:ascii="Cambria" w:hAnsi="Cambria" w:cstheme="majorHAnsi"/>
          <w:sz w:val="20"/>
          <w:szCs w:val="20"/>
          <w:lang w:val="es-CO"/>
        </w:rPr>
      </w:pPr>
    </w:p>
    <w:p w14:paraId="74D3C1D0" w14:textId="332D59F8" w:rsidR="000F6559" w:rsidRPr="0033784B" w:rsidRDefault="000F6559" w:rsidP="00D0583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cstheme="majorHAnsi"/>
          <w:sz w:val="20"/>
          <w:szCs w:val="20"/>
          <w:lang w:val="es-CO"/>
        </w:rPr>
      </w:pPr>
      <w:r w:rsidRPr="0033784B">
        <w:rPr>
          <w:rFonts w:cstheme="majorHAnsi"/>
          <w:sz w:val="20"/>
          <w:szCs w:val="20"/>
          <w:lang w:val="es-CO"/>
        </w:rPr>
        <w:t xml:space="preserve">El Estado no presentó observaciones de fondo en el presente caso. Durante la etapa de admisibilidad manifestó que a pesar de no haber sido notificado de la petición en un tiempo razonable y de que </w:t>
      </w:r>
      <w:r w:rsidR="00850B60" w:rsidRPr="0033784B">
        <w:rPr>
          <w:rFonts w:cstheme="majorHAnsi"/>
          <w:sz w:val="20"/>
          <w:szCs w:val="20"/>
          <w:lang w:val="es-CO"/>
        </w:rPr>
        <w:t xml:space="preserve">tanto </w:t>
      </w:r>
      <w:r w:rsidRPr="0033784B">
        <w:rPr>
          <w:rFonts w:cstheme="majorHAnsi"/>
          <w:sz w:val="20"/>
          <w:szCs w:val="20"/>
          <w:lang w:val="es-CO"/>
        </w:rPr>
        <w:t>las causas</w:t>
      </w:r>
      <w:r w:rsidR="00850B60" w:rsidRPr="0033784B">
        <w:rPr>
          <w:rFonts w:cstheme="majorHAnsi"/>
          <w:sz w:val="20"/>
          <w:szCs w:val="20"/>
          <w:lang w:val="es-CO"/>
        </w:rPr>
        <w:t xml:space="preserve"> como la jurisdicción provincial en</w:t>
      </w:r>
      <w:r w:rsidRPr="0033784B">
        <w:rPr>
          <w:rFonts w:cstheme="majorHAnsi"/>
          <w:sz w:val="20"/>
          <w:szCs w:val="20"/>
          <w:lang w:val="es-CO"/>
        </w:rPr>
        <w:t xml:space="preserve"> las que habrían sido condenados los 21 peticionarios acumulados en un principio eran diferentes, deseaba proponer la apertura de un espacio de diálogo tendiente a explorar la posibilidad de una solución amistosa sobre la base de una reforma normativa.</w:t>
      </w:r>
    </w:p>
    <w:p w14:paraId="7ABF2EB0" w14:textId="77777777" w:rsidR="000F6559" w:rsidRPr="0033784B" w:rsidRDefault="000F6559" w:rsidP="000F6559">
      <w:pPr>
        <w:pStyle w:val="ListParagraph"/>
        <w:tabs>
          <w:tab w:val="left" w:pos="1440"/>
        </w:tabs>
        <w:ind w:left="0" w:firstLine="720"/>
        <w:jc w:val="both"/>
        <w:rPr>
          <w:rFonts w:cstheme="majorHAnsi"/>
          <w:sz w:val="20"/>
          <w:szCs w:val="20"/>
          <w:lang w:val="es-CO"/>
        </w:rPr>
      </w:pPr>
    </w:p>
    <w:p w14:paraId="48DB0AA0" w14:textId="6B12DAE2" w:rsidR="000F6559" w:rsidRPr="0033784B" w:rsidRDefault="000F6559" w:rsidP="00280F5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sz w:val="20"/>
          <w:szCs w:val="20"/>
          <w:lang w:val="es-AR"/>
        </w:rPr>
      </w:pPr>
      <w:r w:rsidRPr="0033784B">
        <w:rPr>
          <w:rFonts w:cstheme="majorHAnsi"/>
          <w:sz w:val="20"/>
          <w:szCs w:val="20"/>
          <w:lang w:val="es-CO"/>
        </w:rPr>
        <w:t xml:space="preserve">El 6 de septiembre de 2007 durante una reunión de trabajo celebrada en el marco del 130 periodo de sesiones de la Comisión, el Estado informó de la creación de una Comisión de Reforma del Código Procesal Penal de la Nación, creada por el Poder Ejecutivo mediante decreto 115/07. </w:t>
      </w:r>
      <w:r w:rsidR="002D2FE2" w:rsidRPr="0033784B">
        <w:rPr>
          <w:sz w:val="20"/>
          <w:szCs w:val="20"/>
          <w:lang w:val="es-AR"/>
        </w:rPr>
        <w:t>E</w:t>
      </w:r>
      <w:r w:rsidRPr="0033784B">
        <w:rPr>
          <w:sz w:val="20"/>
          <w:szCs w:val="20"/>
          <w:lang w:val="es-AR"/>
        </w:rPr>
        <w:t>l 9 de marzo de 2010, el Estado puso de manifiesto que el hecho de haber ofrecido un proceso de diálogo y de haber llevado a cabo reuniones de trabajo con los peticionarios y con la Comisión se enmarca en la “tradicional política de cooperación del Estado, no pudiendo entenderse como un reconocimiento de los méritos jurídicos”.</w:t>
      </w:r>
    </w:p>
    <w:p w14:paraId="16338866" w14:textId="77777777" w:rsidR="000F6559" w:rsidRPr="0033784B" w:rsidRDefault="00722137" w:rsidP="00D05831">
      <w:pPr>
        <w:pStyle w:val="Heading1"/>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Cambria" w:hAnsi="Cambria"/>
          <w:b w:val="0"/>
          <w:color w:val="auto"/>
          <w:sz w:val="20"/>
          <w:szCs w:val="20"/>
          <w:lang w:val="es-ES"/>
        </w:rPr>
      </w:pPr>
      <w:bookmarkStart w:id="10" w:name="_Toc489610452"/>
      <w:r w:rsidRPr="0033784B">
        <w:rPr>
          <w:rFonts w:ascii="Cambria" w:hAnsi="Cambria"/>
          <w:color w:val="auto"/>
          <w:sz w:val="20"/>
          <w:szCs w:val="20"/>
          <w:lang w:val="es-ES"/>
        </w:rPr>
        <w:t>DETERMINACIONES DE HE</w:t>
      </w:r>
      <w:r w:rsidR="000F6559" w:rsidRPr="0033784B">
        <w:rPr>
          <w:rFonts w:ascii="Cambria" w:hAnsi="Cambria"/>
          <w:color w:val="auto"/>
          <w:sz w:val="20"/>
          <w:szCs w:val="20"/>
          <w:lang w:val="es-ES"/>
        </w:rPr>
        <w:t>CHO</w:t>
      </w:r>
      <w:bookmarkEnd w:id="10"/>
      <w:r w:rsidR="000F6559" w:rsidRPr="0033784B">
        <w:rPr>
          <w:rFonts w:ascii="Cambria" w:hAnsi="Cambria"/>
          <w:color w:val="auto"/>
          <w:sz w:val="20"/>
          <w:szCs w:val="20"/>
          <w:lang w:val="es-ES"/>
        </w:rPr>
        <w:t xml:space="preserve"> </w:t>
      </w:r>
    </w:p>
    <w:p w14:paraId="52047696" w14:textId="77777777" w:rsidR="000F6559" w:rsidRPr="0033784B" w:rsidRDefault="000F6559" w:rsidP="000F6559">
      <w:pPr>
        <w:pStyle w:val="ListParagraph"/>
        <w:tabs>
          <w:tab w:val="left" w:pos="1440"/>
          <w:tab w:val="left" w:pos="1890"/>
        </w:tabs>
        <w:jc w:val="both"/>
        <w:rPr>
          <w:rFonts w:cstheme="majorHAnsi"/>
          <w:sz w:val="20"/>
          <w:szCs w:val="20"/>
          <w:lang w:val="es-AR"/>
        </w:rPr>
      </w:pPr>
    </w:p>
    <w:p w14:paraId="104647EA" w14:textId="5020F4A5" w:rsidR="000F6559" w:rsidRPr="0033784B" w:rsidRDefault="000F6559" w:rsidP="00D0583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cstheme="majorHAnsi"/>
          <w:sz w:val="20"/>
          <w:szCs w:val="20"/>
          <w:lang w:val="es-AR"/>
        </w:rPr>
      </w:pPr>
      <w:r w:rsidRPr="0033784B">
        <w:rPr>
          <w:rFonts w:cstheme="majorHAnsi"/>
          <w:sz w:val="20"/>
          <w:szCs w:val="20"/>
          <w:lang w:val="es-AR"/>
        </w:rPr>
        <w:t xml:space="preserve">La Comisión presentará los hechos que da por establecidos con base en la prueba obrante en el expediente, a partir del siguiente orden: A) </w:t>
      </w:r>
      <w:r w:rsidR="004139EE" w:rsidRPr="0033784B">
        <w:rPr>
          <w:rFonts w:cstheme="majorHAnsi"/>
          <w:sz w:val="20"/>
          <w:szCs w:val="20"/>
          <w:lang w:val="es-AR"/>
        </w:rPr>
        <w:t>El m</w:t>
      </w:r>
      <w:r w:rsidRPr="0033784B">
        <w:rPr>
          <w:rFonts w:cstheme="majorHAnsi"/>
          <w:sz w:val="20"/>
          <w:szCs w:val="20"/>
          <w:lang w:val="es-AR"/>
        </w:rPr>
        <w:t>arco jurídico procesal penal r</w:t>
      </w:r>
      <w:r w:rsidR="000960AB" w:rsidRPr="0033784B">
        <w:rPr>
          <w:rFonts w:cstheme="majorHAnsi"/>
          <w:sz w:val="20"/>
          <w:szCs w:val="20"/>
          <w:lang w:val="es-AR"/>
        </w:rPr>
        <w:t>elevante en materia de recursos;</w:t>
      </w:r>
      <w:r w:rsidRPr="0033784B">
        <w:rPr>
          <w:rFonts w:cstheme="majorHAnsi"/>
          <w:sz w:val="20"/>
          <w:szCs w:val="20"/>
          <w:lang w:val="es-AR"/>
        </w:rPr>
        <w:t xml:space="preserve"> B)</w:t>
      </w:r>
      <w:r w:rsidR="000960AB" w:rsidRPr="0033784B">
        <w:rPr>
          <w:lang w:val="es-MX"/>
        </w:rPr>
        <w:t xml:space="preserve"> </w:t>
      </w:r>
      <w:r w:rsidR="000960AB" w:rsidRPr="0033784B">
        <w:rPr>
          <w:rFonts w:cstheme="majorHAnsi"/>
          <w:sz w:val="20"/>
          <w:szCs w:val="20"/>
          <w:lang w:val="es-AR"/>
        </w:rPr>
        <w:t xml:space="preserve">La práctica judicial en Argentina y el fallo “Casal” de 2005; y C) </w:t>
      </w:r>
      <w:r w:rsidR="004139EE" w:rsidRPr="0033784B">
        <w:rPr>
          <w:rFonts w:cstheme="majorHAnsi"/>
          <w:sz w:val="20"/>
          <w:szCs w:val="20"/>
          <w:lang w:val="es-AR"/>
        </w:rPr>
        <w:t>L</w:t>
      </w:r>
      <w:r w:rsidRPr="0033784B">
        <w:rPr>
          <w:rFonts w:cstheme="majorHAnsi"/>
          <w:sz w:val="20"/>
          <w:szCs w:val="20"/>
          <w:lang w:val="es-AR"/>
        </w:rPr>
        <w:t xml:space="preserve">os procesos penales seguidos a </w:t>
      </w:r>
      <w:r w:rsidR="00722137" w:rsidRPr="0033784B">
        <w:rPr>
          <w:rFonts w:cstheme="majorHAnsi"/>
          <w:sz w:val="20"/>
          <w:szCs w:val="20"/>
          <w:lang w:val="es-ES"/>
        </w:rPr>
        <w:t>Julio César Ramón D</w:t>
      </w:r>
      <w:r w:rsidR="00060434" w:rsidRPr="0033784B">
        <w:rPr>
          <w:rFonts w:cstheme="majorHAnsi"/>
          <w:sz w:val="20"/>
          <w:szCs w:val="20"/>
          <w:lang w:val="es-ES"/>
        </w:rPr>
        <w:t>el Valle Ambrosio</w:t>
      </w:r>
      <w:r w:rsidR="00060434" w:rsidRPr="0033784B">
        <w:rPr>
          <w:rFonts w:cstheme="majorHAnsi"/>
          <w:sz w:val="20"/>
          <w:szCs w:val="20"/>
          <w:lang w:val="es-MX"/>
        </w:rPr>
        <w:t xml:space="preserve"> y </w:t>
      </w:r>
      <w:r w:rsidRPr="0033784B">
        <w:rPr>
          <w:rFonts w:cstheme="majorHAnsi"/>
          <w:sz w:val="20"/>
          <w:szCs w:val="20"/>
          <w:lang w:val="es-MX"/>
        </w:rPr>
        <w:t>Carlos Eduardo Domínguez Linares</w:t>
      </w:r>
      <w:r w:rsidRPr="0033784B">
        <w:rPr>
          <w:rFonts w:cstheme="majorHAnsi"/>
          <w:sz w:val="20"/>
          <w:szCs w:val="20"/>
          <w:lang w:val="es-AR"/>
        </w:rPr>
        <w:t>.</w:t>
      </w:r>
    </w:p>
    <w:p w14:paraId="7341934D" w14:textId="1B5635C3" w:rsidR="000F6559" w:rsidRPr="0033784B" w:rsidRDefault="00254EA9" w:rsidP="00D05831">
      <w:pPr>
        <w:pStyle w:val="Heading2"/>
        <w:numPr>
          <w:ilvl w:val="0"/>
          <w:numId w:val="57"/>
        </w:numPr>
        <w:ind w:left="1440" w:hanging="720"/>
        <w:rPr>
          <w:rFonts w:ascii="Cambria" w:hAnsi="Cambria"/>
          <w:b w:val="0"/>
          <w:sz w:val="20"/>
          <w:szCs w:val="20"/>
          <w:lang w:val="es-ES_tradnl"/>
        </w:rPr>
      </w:pPr>
      <w:bookmarkStart w:id="11" w:name="_Toc489610453"/>
      <w:r w:rsidRPr="0033784B">
        <w:rPr>
          <w:rFonts w:ascii="Cambria" w:hAnsi="Cambria"/>
          <w:i w:val="0"/>
          <w:sz w:val="20"/>
          <w:szCs w:val="20"/>
          <w:lang w:val="es-AR"/>
        </w:rPr>
        <w:lastRenderedPageBreak/>
        <w:t>El m</w:t>
      </w:r>
      <w:r w:rsidR="000F6559" w:rsidRPr="0033784B">
        <w:rPr>
          <w:rFonts w:ascii="Cambria" w:hAnsi="Cambria"/>
          <w:i w:val="0"/>
          <w:sz w:val="20"/>
          <w:szCs w:val="20"/>
          <w:lang w:val="es-AR"/>
        </w:rPr>
        <w:t>arco jurídico procesal penal relevante en materia de recursos</w:t>
      </w:r>
      <w:bookmarkEnd w:id="11"/>
    </w:p>
    <w:p w14:paraId="35BCF320" w14:textId="77777777" w:rsidR="000F6559" w:rsidRPr="0033784B" w:rsidRDefault="000F6559" w:rsidP="000F6559">
      <w:pPr>
        <w:pStyle w:val="ListParagraph"/>
        <w:tabs>
          <w:tab w:val="left" w:pos="1440"/>
          <w:tab w:val="left" w:pos="1890"/>
        </w:tabs>
        <w:jc w:val="both"/>
        <w:rPr>
          <w:rFonts w:cstheme="majorHAnsi"/>
          <w:sz w:val="20"/>
          <w:szCs w:val="20"/>
          <w:lang w:val="es-AR"/>
        </w:rPr>
      </w:pPr>
    </w:p>
    <w:p w14:paraId="2CC7D9BC" w14:textId="761A0142" w:rsidR="000F6559" w:rsidRPr="0033784B" w:rsidRDefault="000F6559" w:rsidP="00D0583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890"/>
        </w:tabs>
        <w:jc w:val="both"/>
        <w:rPr>
          <w:rFonts w:cstheme="majorHAnsi"/>
          <w:sz w:val="20"/>
          <w:szCs w:val="20"/>
          <w:lang w:val="es-AR"/>
        </w:rPr>
      </w:pPr>
      <w:r w:rsidRPr="0033784B">
        <w:rPr>
          <w:sz w:val="20"/>
          <w:szCs w:val="20"/>
          <w:lang w:val="es-ES_tradnl"/>
        </w:rPr>
        <w:t xml:space="preserve">En esta sección, </w:t>
      </w:r>
      <w:r w:rsidR="00A835B3" w:rsidRPr="0033784B">
        <w:rPr>
          <w:sz w:val="20"/>
          <w:szCs w:val="20"/>
          <w:lang w:val="es-ES_tradnl"/>
        </w:rPr>
        <w:t xml:space="preserve">se </w:t>
      </w:r>
      <w:r w:rsidRPr="0033784B">
        <w:rPr>
          <w:sz w:val="20"/>
          <w:szCs w:val="20"/>
          <w:lang w:val="es-ES_tradnl"/>
        </w:rPr>
        <w:t xml:space="preserve">describirá el marco legal relevante </w:t>
      </w:r>
      <w:r w:rsidR="00663393" w:rsidRPr="0033784B">
        <w:rPr>
          <w:sz w:val="20"/>
          <w:szCs w:val="20"/>
          <w:lang w:val="es-ES_tradnl"/>
        </w:rPr>
        <w:t xml:space="preserve">a </w:t>
      </w:r>
      <w:r w:rsidRPr="0033784B">
        <w:rPr>
          <w:sz w:val="20"/>
          <w:szCs w:val="20"/>
          <w:lang w:val="es-ES_tradnl"/>
        </w:rPr>
        <w:t>los recursos interpuestos por las presuntas víctimas contra l</w:t>
      </w:r>
      <w:r w:rsidR="00AF679E" w:rsidRPr="0033784B">
        <w:rPr>
          <w:sz w:val="20"/>
          <w:szCs w:val="20"/>
          <w:lang w:val="es-ES_tradnl"/>
        </w:rPr>
        <w:t>a sentencia</w:t>
      </w:r>
      <w:r w:rsidRPr="0033784B">
        <w:rPr>
          <w:sz w:val="20"/>
          <w:szCs w:val="20"/>
          <w:lang w:val="es-ES_tradnl"/>
        </w:rPr>
        <w:t xml:space="preserve"> </w:t>
      </w:r>
      <w:r w:rsidR="00AF679E" w:rsidRPr="0033784B">
        <w:rPr>
          <w:sz w:val="20"/>
          <w:szCs w:val="20"/>
          <w:lang w:val="es-ES_tradnl"/>
        </w:rPr>
        <w:t>condenatoria</w:t>
      </w:r>
      <w:r w:rsidRPr="0033784B">
        <w:rPr>
          <w:sz w:val="20"/>
          <w:szCs w:val="20"/>
          <w:lang w:val="es-ES_tradnl"/>
        </w:rPr>
        <w:t xml:space="preserve"> por el delito de </w:t>
      </w:r>
      <w:r w:rsidRPr="0033784B">
        <w:rPr>
          <w:rFonts w:cstheme="majorHAnsi"/>
          <w:sz w:val="20"/>
          <w:szCs w:val="20"/>
          <w:lang w:val="es-ES"/>
        </w:rPr>
        <w:t>defraudación calificada.</w:t>
      </w:r>
    </w:p>
    <w:p w14:paraId="09F8C33D" w14:textId="77777777" w:rsidR="00FF6325" w:rsidRPr="0033784B" w:rsidRDefault="00FF6325" w:rsidP="00FF6325">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890"/>
        </w:tabs>
        <w:ind w:left="810"/>
        <w:jc w:val="both"/>
        <w:rPr>
          <w:rFonts w:cstheme="majorHAnsi"/>
          <w:sz w:val="20"/>
          <w:szCs w:val="20"/>
          <w:lang w:val="es-AR"/>
        </w:rPr>
      </w:pPr>
    </w:p>
    <w:p w14:paraId="2766A8A5" w14:textId="0C329A05" w:rsidR="00FF6325" w:rsidRPr="0033784B" w:rsidRDefault="00FF6325" w:rsidP="00D0583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890"/>
        </w:tabs>
        <w:jc w:val="both"/>
        <w:rPr>
          <w:rFonts w:cstheme="majorHAnsi"/>
          <w:sz w:val="20"/>
          <w:szCs w:val="20"/>
          <w:lang w:val="es-AR"/>
        </w:rPr>
      </w:pPr>
      <w:r w:rsidRPr="0033784B">
        <w:rPr>
          <w:rFonts w:cstheme="majorHAnsi"/>
          <w:sz w:val="20"/>
          <w:szCs w:val="20"/>
          <w:lang w:val="es-AR"/>
        </w:rPr>
        <w:t>El artículo 468 del Código Procesal Penal de la Provincia de Córdoba (en adelante “</w:t>
      </w:r>
      <w:r w:rsidR="00A91E5B" w:rsidRPr="0033784B">
        <w:rPr>
          <w:rFonts w:cstheme="majorHAnsi"/>
          <w:sz w:val="20"/>
          <w:szCs w:val="20"/>
          <w:lang w:val="es-AR"/>
        </w:rPr>
        <w:t xml:space="preserve">el </w:t>
      </w:r>
      <w:r w:rsidRPr="0033784B">
        <w:rPr>
          <w:rFonts w:cstheme="majorHAnsi"/>
          <w:sz w:val="20"/>
          <w:szCs w:val="20"/>
          <w:lang w:val="es-AR"/>
        </w:rPr>
        <w:t xml:space="preserve">CPPC”), </w:t>
      </w:r>
      <w:r w:rsidR="00C8099B" w:rsidRPr="0033784B">
        <w:rPr>
          <w:rFonts w:cstheme="majorHAnsi"/>
          <w:sz w:val="20"/>
          <w:szCs w:val="20"/>
          <w:lang w:val="es-AR"/>
        </w:rPr>
        <w:t xml:space="preserve">de contenido </w:t>
      </w:r>
      <w:r w:rsidRPr="0033784B">
        <w:rPr>
          <w:rFonts w:cstheme="majorHAnsi"/>
          <w:sz w:val="20"/>
          <w:szCs w:val="20"/>
          <w:lang w:val="es-AR"/>
        </w:rPr>
        <w:t xml:space="preserve">casi idéntico </w:t>
      </w:r>
      <w:r w:rsidR="00C40732" w:rsidRPr="0033784B">
        <w:rPr>
          <w:rFonts w:cstheme="majorHAnsi"/>
          <w:sz w:val="20"/>
          <w:szCs w:val="20"/>
          <w:lang w:val="es-AR"/>
        </w:rPr>
        <w:t>que e</w:t>
      </w:r>
      <w:r w:rsidRPr="0033784B">
        <w:rPr>
          <w:rFonts w:cstheme="majorHAnsi"/>
          <w:sz w:val="20"/>
          <w:szCs w:val="20"/>
          <w:lang w:val="es-AR"/>
        </w:rPr>
        <w:t>l artículo 456 del Código Procesal Penal de la Nación Argentina (en adelante “</w:t>
      </w:r>
      <w:r w:rsidR="00D732D5" w:rsidRPr="0033784B">
        <w:rPr>
          <w:rFonts w:cstheme="majorHAnsi"/>
          <w:sz w:val="20"/>
          <w:szCs w:val="20"/>
          <w:lang w:val="es-AR"/>
        </w:rPr>
        <w:t xml:space="preserve">el </w:t>
      </w:r>
      <w:r w:rsidRPr="0033784B">
        <w:rPr>
          <w:rFonts w:cstheme="majorHAnsi"/>
          <w:sz w:val="20"/>
          <w:szCs w:val="20"/>
          <w:lang w:val="es-AR"/>
        </w:rPr>
        <w:t xml:space="preserve">CPPN”), regula la procedencia del recurso de casación en los siguientes términos: </w:t>
      </w:r>
    </w:p>
    <w:p w14:paraId="28607F3C" w14:textId="77777777" w:rsidR="00FF6325" w:rsidRPr="0033784B" w:rsidRDefault="00FF6325" w:rsidP="00FF6325">
      <w:pPr>
        <w:pStyle w:val="ListParagraph"/>
        <w:tabs>
          <w:tab w:val="left" w:pos="1440"/>
          <w:tab w:val="left" w:pos="1890"/>
        </w:tabs>
        <w:jc w:val="both"/>
        <w:rPr>
          <w:rFonts w:cstheme="majorHAnsi"/>
          <w:sz w:val="20"/>
          <w:szCs w:val="20"/>
          <w:lang w:val="es-AR"/>
        </w:rPr>
      </w:pPr>
    </w:p>
    <w:p w14:paraId="18FDEA9B" w14:textId="77777777" w:rsidR="00FF6325" w:rsidRPr="0033784B" w:rsidRDefault="000B7B8B" w:rsidP="00FF6325">
      <w:pPr>
        <w:pStyle w:val="ListParagraph"/>
        <w:tabs>
          <w:tab w:val="left" w:pos="1440"/>
          <w:tab w:val="left" w:pos="1890"/>
        </w:tabs>
        <w:jc w:val="both"/>
        <w:rPr>
          <w:rFonts w:cstheme="majorHAnsi"/>
          <w:sz w:val="20"/>
          <w:szCs w:val="20"/>
          <w:lang w:val="es-AR"/>
        </w:rPr>
      </w:pPr>
      <w:r w:rsidRPr="0033784B">
        <w:rPr>
          <w:rFonts w:cstheme="majorHAnsi"/>
          <w:sz w:val="20"/>
          <w:szCs w:val="20"/>
          <w:lang w:val="es-AR"/>
        </w:rPr>
        <w:t xml:space="preserve">Motivos. </w:t>
      </w:r>
      <w:r w:rsidR="00FF6325" w:rsidRPr="0033784B">
        <w:rPr>
          <w:rFonts w:cstheme="majorHAnsi"/>
          <w:sz w:val="20"/>
          <w:szCs w:val="20"/>
          <w:lang w:val="es-AR"/>
        </w:rPr>
        <w:t>El recurso de casación podrá ser interpuesto por los siguientes motivos:</w:t>
      </w:r>
    </w:p>
    <w:p w14:paraId="601DEC90" w14:textId="77777777" w:rsidR="00FF6325" w:rsidRPr="0033784B" w:rsidRDefault="00FF6325" w:rsidP="00FF6325">
      <w:pPr>
        <w:pStyle w:val="ListParagraph"/>
        <w:tabs>
          <w:tab w:val="left" w:pos="1440"/>
          <w:tab w:val="left" w:pos="1890"/>
        </w:tabs>
        <w:jc w:val="both"/>
        <w:rPr>
          <w:rFonts w:cstheme="majorHAnsi"/>
          <w:sz w:val="20"/>
          <w:szCs w:val="20"/>
          <w:lang w:val="es-AR"/>
        </w:rPr>
      </w:pPr>
    </w:p>
    <w:p w14:paraId="77092940" w14:textId="77777777" w:rsidR="00FF6325" w:rsidRPr="0033784B" w:rsidRDefault="00FF6325" w:rsidP="00FF6325">
      <w:pPr>
        <w:pStyle w:val="ListParagraph"/>
        <w:tabs>
          <w:tab w:val="left" w:pos="1440"/>
          <w:tab w:val="left" w:pos="1890"/>
        </w:tabs>
        <w:ind w:right="720"/>
        <w:jc w:val="both"/>
        <w:rPr>
          <w:rFonts w:cstheme="majorHAnsi"/>
          <w:sz w:val="20"/>
          <w:szCs w:val="20"/>
          <w:lang w:val="es-AR"/>
        </w:rPr>
      </w:pPr>
      <w:r w:rsidRPr="0033784B">
        <w:rPr>
          <w:rFonts w:cstheme="majorHAnsi"/>
          <w:sz w:val="20"/>
          <w:szCs w:val="20"/>
          <w:lang w:val="es-AR"/>
        </w:rPr>
        <w:t xml:space="preserve">1°) Inobservancia o errónea aplicación de la ley sustantiva. </w:t>
      </w:r>
    </w:p>
    <w:p w14:paraId="35806D65" w14:textId="77777777" w:rsidR="00FF6325" w:rsidRPr="0033784B" w:rsidRDefault="00FF6325" w:rsidP="00FF6325">
      <w:pPr>
        <w:pStyle w:val="ListParagraph"/>
        <w:tabs>
          <w:tab w:val="left" w:pos="1440"/>
          <w:tab w:val="left" w:pos="1890"/>
        </w:tabs>
        <w:ind w:right="720"/>
        <w:jc w:val="both"/>
        <w:rPr>
          <w:rFonts w:cstheme="majorHAnsi"/>
          <w:sz w:val="20"/>
          <w:szCs w:val="20"/>
          <w:lang w:val="es-AR"/>
        </w:rPr>
      </w:pPr>
    </w:p>
    <w:p w14:paraId="1AF179F6" w14:textId="77777777" w:rsidR="00FF6325" w:rsidRPr="0033784B" w:rsidRDefault="00FF6325" w:rsidP="00FF6325">
      <w:pPr>
        <w:pStyle w:val="ListParagraph"/>
        <w:tabs>
          <w:tab w:val="left" w:pos="1440"/>
          <w:tab w:val="left" w:pos="1890"/>
        </w:tabs>
        <w:ind w:right="720"/>
        <w:jc w:val="both"/>
        <w:rPr>
          <w:rFonts w:cstheme="majorHAnsi"/>
          <w:sz w:val="20"/>
          <w:szCs w:val="20"/>
          <w:lang w:val="es-AR"/>
        </w:rPr>
      </w:pPr>
      <w:r w:rsidRPr="0033784B">
        <w:rPr>
          <w:rFonts w:cstheme="majorHAnsi"/>
          <w:sz w:val="20"/>
          <w:szCs w:val="20"/>
          <w:lang w:val="es-AR"/>
        </w:rPr>
        <w:t>2°) Inobservancia de las normas que este Código establece bajo pena de inadmisibilidad, caducidad o nulidad, siempre que, con excepción de los casos de nulidad absoluta, el recurrente hubiera reclamado oportunamente la subsanación del defecto, si era posible, o hecho protesta de recurrir en casación.</w:t>
      </w:r>
    </w:p>
    <w:p w14:paraId="0C2824E5" w14:textId="77777777" w:rsidR="000F6559" w:rsidRPr="0033784B" w:rsidRDefault="000F6559" w:rsidP="00E44C01">
      <w:pPr>
        <w:tabs>
          <w:tab w:val="left" w:pos="1440"/>
          <w:tab w:val="left" w:pos="1890"/>
        </w:tabs>
        <w:jc w:val="both"/>
        <w:rPr>
          <w:rFonts w:ascii="Cambria" w:hAnsi="Cambria" w:cstheme="majorHAnsi"/>
          <w:sz w:val="20"/>
          <w:szCs w:val="20"/>
          <w:lang w:val="es-AR"/>
        </w:rPr>
      </w:pPr>
    </w:p>
    <w:p w14:paraId="7B1C1CA3" w14:textId="77777777" w:rsidR="000F6559" w:rsidRPr="0033784B" w:rsidRDefault="00FF6325" w:rsidP="00D0583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890"/>
        </w:tabs>
        <w:jc w:val="both"/>
        <w:rPr>
          <w:rFonts w:cstheme="majorHAnsi"/>
          <w:sz w:val="20"/>
          <w:szCs w:val="20"/>
          <w:lang w:val="es-AR"/>
        </w:rPr>
      </w:pPr>
      <w:r w:rsidRPr="0033784B">
        <w:rPr>
          <w:rFonts w:cstheme="majorHAnsi"/>
          <w:sz w:val="20"/>
          <w:szCs w:val="20"/>
          <w:lang w:val="es-AR"/>
        </w:rPr>
        <w:t xml:space="preserve">Sobre la interposición de este recurso, </w:t>
      </w:r>
      <w:r w:rsidR="000F6559" w:rsidRPr="0033784B">
        <w:rPr>
          <w:rFonts w:cstheme="majorHAnsi"/>
          <w:sz w:val="20"/>
          <w:szCs w:val="20"/>
          <w:lang w:val="es-AR"/>
        </w:rPr>
        <w:t>el artículo 474 del CPPC</w:t>
      </w:r>
      <w:r w:rsidR="00FF0848" w:rsidRPr="0033784B">
        <w:rPr>
          <w:rFonts w:cstheme="majorHAnsi"/>
          <w:sz w:val="20"/>
          <w:szCs w:val="20"/>
          <w:lang w:val="es-AR"/>
        </w:rPr>
        <w:t>, casi idéntico al artículo 463 del CPPN</w:t>
      </w:r>
      <w:r w:rsidRPr="0033784B">
        <w:rPr>
          <w:rFonts w:cstheme="majorHAnsi"/>
          <w:sz w:val="20"/>
          <w:szCs w:val="20"/>
          <w:lang w:val="es-AR"/>
        </w:rPr>
        <w:t>,</w:t>
      </w:r>
      <w:r w:rsidR="00FF0848" w:rsidRPr="0033784B">
        <w:rPr>
          <w:rFonts w:cstheme="majorHAnsi"/>
          <w:sz w:val="20"/>
          <w:szCs w:val="20"/>
          <w:lang w:val="es-AR"/>
        </w:rPr>
        <w:t xml:space="preserve"> </w:t>
      </w:r>
      <w:r w:rsidR="000F6559" w:rsidRPr="0033784B">
        <w:rPr>
          <w:rFonts w:cstheme="majorHAnsi"/>
          <w:sz w:val="20"/>
          <w:szCs w:val="20"/>
          <w:lang w:val="es-AR"/>
        </w:rPr>
        <w:t>establece que:</w:t>
      </w:r>
    </w:p>
    <w:p w14:paraId="008382F1" w14:textId="77777777" w:rsidR="000F6559" w:rsidRPr="0033784B" w:rsidRDefault="000F6559" w:rsidP="000F6559">
      <w:pPr>
        <w:pStyle w:val="ListParagraph"/>
        <w:rPr>
          <w:rFonts w:cstheme="majorHAnsi"/>
          <w:sz w:val="20"/>
          <w:szCs w:val="20"/>
          <w:lang w:val="es-AR"/>
        </w:rPr>
      </w:pPr>
    </w:p>
    <w:p w14:paraId="5043166A" w14:textId="77777777" w:rsidR="00FF0848" w:rsidRPr="0033784B" w:rsidRDefault="000B7B8B" w:rsidP="000F6559">
      <w:pPr>
        <w:pStyle w:val="ListParagraph"/>
        <w:tabs>
          <w:tab w:val="left" w:pos="1440"/>
          <w:tab w:val="left" w:pos="1890"/>
        </w:tabs>
        <w:ind w:right="720"/>
        <w:jc w:val="both"/>
        <w:rPr>
          <w:rFonts w:cs="Arial"/>
          <w:sz w:val="20"/>
          <w:szCs w:val="20"/>
          <w:shd w:val="clear" w:color="auto" w:fill="FCFCFC"/>
          <w:lang w:val="es-AR"/>
        </w:rPr>
      </w:pPr>
      <w:r w:rsidRPr="0033784B">
        <w:rPr>
          <w:rFonts w:cstheme="majorHAnsi"/>
          <w:sz w:val="20"/>
          <w:szCs w:val="20"/>
          <w:lang w:val="es-AR"/>
        </w:rPr>
        <w:t xml:space="preserve">Interposición. </w:t>
      </w:r>
      <w:r w:rsidR="000F6559" w:rsidRPr="0033784B">
        <w:rPr>
          <w:rFonts w:cstheme="majorHAnsi"/>
          <w:sz w:val="20"/>
          <w:szCs w:val="20"/>
          <w:lang w:val="es-AR"/>
        </w:rPr>
        <w:t>El recurso</w:t>
      </w:r>
      <w:r w:rsidR="000F6559" w:rsidRPr="0033784B">
        <w:rPr>
          <w:rFonts w:cs="Arial"/>
          <w:sz w:val="20"/>
          <w:szCs w:val="20"/>
          <w:shd w:val="clear" w:color="auto" w:fill="FCFCFC"/>
          <w:lang w:val="es-AR"/>
        </w:rPr>
        <w:t xml:space="preserve"> de casación será interpuesto ante el Tribunal que dictó la resolución, en el plazo de quince días de notificada y por escrito con firma de letrado, donde se citarán concretamente las disposiciones legales que se consideren violadas o erróneamente aplicadas y se expresará cual es la aplicación que se pretende. </w:t>
      </w:r>
    </w:p>
    <w:p w14:paraId="38BFC98F" w14:textId="77777777" w:rsidR="00FF0848" w:rsidRPr="0033784B" w:rsidRDefault="00FF0848" w:rsidP="000F6559">
      <w:pPr>
        <w:pStyle w:val="ListParagraph"/>
        <w:tabs>
          <w:tab w:val="left" w:pos="1440"/>
          <w:tab w:val="left" w:pos="1890"/>
        </w:tabs>
        <w:ind w:right="720"/>
        <w:jc w:val="both"/>
        <w:rPr>
          <w:rFonts w:cs="Arial"/>
          <w:sz w:val="20"/>
          <w:szCs w:val="20"/>
          <w:shd w:val="clear" w:color="auto" w:fill="FCFCFC"/>
          <w:lang w:val="es-AR"/>
        </w:rPr>
      </w:pPr>
    </w:p>
    <w:p w14:paraId="30A44B37" w14:textId="77777777" w:rsidR="00FF0848" w:rsidRPr="0033784B" w:rsidRDefault="000F6559" w:rsidP="000F6559">
      <w:pPr>
        <w:pStyle w:val="ListParagraph"/>
        <w:tabs>
          <w:tab w:val="left" w:pos="1440"/>
          <w:tab w:val="left" w:pos="1890"/>
        </w:tabs>
        <w:ind w:right="720"/>
        <w:jc w:val="both"/>
        <w:rPr>
          <w:rFonts w:cs="Arial"/>
          <w:sz w:val="20"/>
          <w:szCs w:val="20"/>
          <w:shd w:val="clear" w:color="auto" w:fill="FCFCFC"/>
          <w:lang w:val="es-AR"/>
        </w:rPr>
      </w:pPr>
      <w:r w:rsidRPr="0033784B">
        <w:rPr>
          <w:rFonts w:cs="Arial"/>
          <w:sz w:val="20"/>
          <w:szCs w:val="20"/>
          <w:shd w:val="clear" w:color="auto" w:fill="FCFCFC"/>
          <w:lang w:val="es-AR"/>
        </w:rPr>
        <w:t xml:space="preserve">Deberá indicarse separadamente cada motivo con sus fundamentos. Fuera de esta oportunidad no podrá aducirse ningún otro motivo. </w:t>
      </w:r>
    </w:p>
    <w:p w14:paraId="29E655C6" w14:textId="77777777" w:rsidR="00FF0848" w:rsidRPr="0033784B" w:rsidRDefault="00FF0848" w:rsidP="000F6559">
      <w:pPr>
        <w:pStyle w:val="ListParagraph"/>
        <w:tabs>
          <w:tab w:val="left" w:pos="1440"/>
          <w:tab w:val="left" w:pos="1890"/>
        </w:tabs>
        <w:ind w:right="720"/>
        <w:jc w:val="both"/>
        <w:rPr>
          <w:rFonts w:cs="Arial"/>
          <w:sz w:val="20"/>
          <w:szCs w:val="20"/>
          <w:shd w:val="clear" w:color="auto" w:fill="FCFCFC"/>
          <w:lang w:val="es-AR"/>
        </w:rPr>
      </w:pPr>
    </w:p>
    <w:p w14:paraId="047549C7" w14:textId="77777777" w:rsidR="000F6559" w:rsidRPr="0033784B" w:rsidRDefault="000F6559" w:rsidP="000F6559">
      <w:pPr>
        <w:pStyle w:val="ListParagraph"/>
        <w:tabs>
          <w:tab w:val="left" w:pos="1440"/>
          <w:tab w:val="left" w:pos="1890"/>
        </w:tabs>
        <w:ind w:right="720"/>
        <w:jc w:val="both"/>
        <w:rPr>
          <w:rFonts w:cstheme="majorHAnsi"/>
          <w:sz w:val="20"/>
          <w:szCs w:val="20"/>
          <w:lang w:val="es-AR"/>
        </w:rPr>
      </w:pPr>
      <w:r w:rsidRPr="0033784B">
        <w:rPr>
          <w:rFonts w:cs="Arial"/>
          <w:sz w:val="20"/>
          <w:szCs w:val="20"/>
          <w:shd w:val="clear" w:color="auto" w:fill="FCFCFC"/>
          <w:lang w:val="es-AR"/>
        </w:rPr>
        <w:t>El recurrente deberá manifestar si informará oralmente.</w:t>
      </w:r>
      <w:r w:rsidRPr="0033784B">
        <w:rPr>
          <w:rStyle w:val="apple-converted-space"/>
          <w:rFonts w:cs="Arial"/>
          <w:sz w:val="20"/>
          <w:szCs w:val="20"/>
          <w:shd w:val="clear" w:color="auto" w:fill="FCFCFC"/>
          <w:lang w:val="es-AR"/>
        </w:rPr>
        <w:t> </w:t>
      </w:r>
      <w:r w:rsidRPr="0033784B">
        <w:rPr>
          <w:rFonts w:cstheme="majorHAnsi"/>
          <w:sz w:val="20"/>
          <w:szCs w:val="20"/>
          <w:lang w:val="es-AR"/>
        </w:rPr>
        <w:t xml:space="preserve"> </w:t>
      </w:r>
    </w:p>
    <w:p w14:paraId="229BF74A" w14:textId="77777777" w:rsidR="000F6559" w:rsidRPr="0033784B" w:rsidRDefault="000F6559" w:rsidP="000F6559">
      <w:pPr>
        <w:pStyle w:val="ListParagraph"/>
        <w:rPr>
          <w:rFonts w:cstheme="majorHAnsi"/>
          <w:sz w:val="20"/>
          <w:szCs w:val="20"/>
          <w:lang w:val="es-AR"/>
        </w:rPr>
      </w:pPr>
    </w:p>
    <w:p w14:paraId="4CADA5C0" w14:textId="32E99224" w:rsidR="00205AC0" w:rsidRPr="0033784B" w:rsidRDefault="00205AC0" w:rsidP="00205AC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890"/>
        </w:tabs>
        <w:jc w:val="both"/>
        <w:rPr>
          <w:rFonts w:cstheme="majorHAnsi"/>
          <w:sz w:val="20"/>
          <w:szCs w:val="20"/>
          <w:lang w:val="es-AR"/>
        </w:rPr>
      </w:pPr>
      <w:r w:rsidRPr="0033784B">
        <w:rPr>
          <w:rFonts w:cstheme="majorHAnsi"/>
          <w:sz w:val="20"/>
          <w:szCs w:val="20"/>
          <w:lang w:val="es-AR"/>
        </w:rPr>
        <w:t xml:space="preserve">Respecto de la inadmisibilidad o rechazo del recurso, el artículo 455 del CPPC indica que: </w:t>
      </w:r>
    </w:p>
    <w:p w14:paraId="3CBC9CBA" w14:textId="77777777" w:rsidR="00205AC0" w:rsidRPr="0033784B" w:rsidRDefault="00205AC0" w:rsidP="000F6559">
      <w:pPr>
        <w:pStyle w:val="ListParagraph"/>
        <w:rPr>
          <w:rFonts w:cstheme="majorHAnsi"/>
          <w:sz w:val="20"/>
          <w:szCs w:val="20"/>
          <w:lang w:val="es-AR"/>
        </w:rPr>
      </w:pPr>
    </w:p>
    <w:p w14:paraId="4ADC16C1" w14:textId="77777777" w:rsidR="00205AC0" w:rsidRPr="0033784B" w:rsidRDefault="00205AC0" w:rsidP="00CA0689">
      <w:pPr>
        <w:pStyle w:val="NormalWeb"/>
        <w:spacing w:before="0" w:beforeAutospacing="0" w:after="0" w:afterAutospacing="0"/>
        <w:ind w:left="720" w:right="720"/>
        <w:jc w:val="both"/>
        <w:rPr>
          <w:rFonts w:ascii="Cambria" w:hAnsi="Cambria" w:cs="Arial"/>
          <w:color w:val="222222"/>
          <w:sz w:val="20"/>
          <w:szCs w:val="20"/>
          <w:lang w:val="es-MX"/>
        </w:rPr>
      </w:pPr>
      <w:r w:rsidRPr="0033784B">
        <w:rPr>
          <w:rFonts w:ascii="Cambria" w:hAnsi="Cambria" w:cs="Arial"/>
          <w:color w:val="222222"/>
          <w:sz w:val="20"/>
          <w:szCs w:val="20"/>
          <w:lang w:val="es-MX"/>
        </w:rPr>
        <w:t>Inadmisibilidad o Rechazo. El recurso no será concedido por el Tribunal que dictó la resolución impugnada, cuando ésta fuere irrecurrible, o aquél no fuere interpuesto en tiempo, por quien tenga derecho.</w:t>
      </w:r>
    </w:p>
    <w:p w14:paraId="5953DD10" w14:textId="77777777" w:rsidR="00205AC0" w:rsidRPr="0033784B" w:rsidRDefault="00205AC0" w:rsidP="00CA0689">
      <w:pPr>
        <w:pStyle w:val="NormalWeb"/>
        <w:spacing w:before="0" w:beforeAutospacing="0" w:after="0" w:afterAutospacing="0"/>
        <w:ind w:left="720" w:right="720"/>
        <w:jc w:val="both"/>
        <w:rPr>
          <w:rFonts w:ascii="Cambria" w:hAnsi="Cambria" w:cs="Arial"/>
          <w:color w:val="222222"/>
          <w:sz w:val="20"/>
          <w:szCs w:val="20"/>
          <w:lang w:val="es-MX"/>
        </w:rPr>
      </w:pPr>
    </w:p>
    <w:p w14:paraId="4B1A57F8" w14:textId="7861C1C7" w:rsidR="00205AC0" w:rsidRPr="0033784B" w:rsidRDefault="00205AC0" w:rsidP="00CA0689">
      <w:pPr>
        <w:pStyle w:val="NormalWeb"/>
        <w:spacing w:before="0" w:beforeAutospacing="0" w:after="0" w:afterAutospacing="0"/>
        <w:ind w:left="720" w:right="720"/>
        <w:jc w:val="both"/>
        <w:rPr>
          <w:rFonts w:ascii="Cambria" w:hAnsi="Cambria" w:cs="Arial"/>
          <w:color w:val="222222"/>
          <w:sz w:val="20"/>
          <w:szCs w:val="20"/>
          <w:lang w:val="es-MX"/>
        </w:rPr>
      </w:pPr>
      <w:r w:rsidRPr="0033784B">
        <w:rPr>
          <w:rFonts w:ascii="Cambria" w:hAnsi="Cambria" w:cs="Arial"/>
          <w:color w:val="222222"/>
          <w:sz w:val="20"/>
          <w:szCs w:val="20"/>
          <w:lang w:val="es-MX"/>
        </w:rPr>
        <w:t>Si el recurso fuere inadmisible el Tribunal de Alzada deberá declararlo así sin pronunciarse sobre el fondo. También deberá rechazar el recurso cuando fuere evidente que es sustancialmente improcedente.</w:t>
      </w:r>
    </w:p>
    <w:p w14:paraId="70CE17B3" w14:textId="77777777" w:rsidR="00D42869" w:rsidRPr="0033784B" w:rsidRDefault="00D42869" w:rsidP="0045174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890"/>
        </w:tabs>
        <w:jc w:val="both"/>
        <w:rPr>
          <w:rFonts w:ascii="Cambria" w:hAnsi="Cambria" w:cstheme="majorHAnsi"/>
          <w:sz w:val="20"/>
          <w:szCs w:val="20"/>
          <w:lang w:val="es-AR"/>
        </w:rPr>
      </w:pPr>
    </w:p>
    <w:p w14:paraId="2D7032BA" w14:textId="77777777" w:rsidR="00C37058" w:rsidRPr="0033784B" w:rsidRDefault="00C37058" w:rsidP="00D0583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890"/>
        </w:tabs>
        <w:jc w:val="both"/>
        <w:rPr>
          <w:rFonts w:cstheme="majorHAnsi"/>
          <w:sz w:val="20"/>
          <w:szCs w:val="20"/>
          <w:lang w:val="es-AR"/>
        </w:rPr>
      </w:pPr>
      <w:r w:rsidRPr="0033784B">
        <w:rPr>
          <w:rFonts w:cstheme="majorHAnsi"/>
          <w:sz w:val="20"/>
          <w:szCs w:val="20"/>
          <w:lang w:val="es-AR"/>
        </w:rPr>
        <w:t>En cuanto al recurso extraordinario federal, el Código Procesal Civil y Comercial de la Naci</w:t>
      </w:r>
      <w:r w:rsidR="00EA2098" w:rsidRPr="0033784B">
        <w:rPr>
          <w:rFonts w:cstheme="majorHAnsi"/>
          <w:sz w:val="20"/>
          <w:szCs w:val="20"/>
          <w:lang w:val="es-AR"/>
        </w:rPr>
        <w:t>ón, establece</w:t>
      </w:r>
      <w:r w:rsidRPr="0033784B">
        <w:rPr>
          <w:rFonts w:cstheme="majorHAnsi"/>
          <w:sz w:val="20"/>
          <w:szCs w:val="20"/>
          <w:lang w:val="es-AR"/>
        </w:rPr>
        <w:t xml:space="preserve">: </w:t>
      </w:r>
    </w:p>
    <w:p w14:paraId="4456D76C" w14:textId="77777777" w:rsidR="00C37058" w:rsidRPr="0033784B" w:rsidRDefault="00C37058" w:rsidP="00C3705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890"/>
        </w:tabs>
        <w:ind w:left="810"/>
        <w:jc w:val="both"/>
        <w:rPr>
          <w:rFonts w:cstheme="majorHAnsi"/>
          <w:sz w:val="20"/>
          <w:szCs w:val="20"/>
          <w:lang w:val="es-AR"/>
        </w:rPr>
      </w:pPr>
    </w:p>
    <w:p w14:paraId="52931982" w14:textId="77777777" w:rsidR="00EA2098" w:rsidRPr="0033784B" w:rsidRDefault="00EA2098" w:rsidP="00EA209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890"/>
        </w:tabs>
        <w:ind w:left="810" w:right="720"/>
        <w:jc w:val="both"/>
        <w:rPr>
          <w:rFonts w:cstheme="majorHAnsi"/>
          <w:sz w:val="20"/>
          <w:szCs w:val="20"/>
          <w:lang w:val="es-AR"/>
        </w:rPr>
      </w:pPr>
      <w:r w:rsidRPr="0033784B">
        <w:rPr>
          <w:rFonts w:cstheme="majorHAnsi"/>
          <w:sz w:val="20"/>
          <w:szCs w:val="20"/>
          <w:lang w:val="es-AR"/>
        </w:rPr>
        <w:t xml:space="preserve">Art. 256.- El recurso extraordinario de apelación ante la Corte Suprema procederá en los supuestos previstos por el artículo 14 de la Ley 48. </w:t>
      </w:r>
    </w:p>
    <w:p w14:paraId="704670CE" w14:textId="77777777" w:rsidR="00EA2098" w:rsidRPr="0033784B" w:rsidRDefault="00EA2098" w:rsidP="00EA209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890"/>
        </w:tabs>
        <w:ind w:left="810" w:right="720"/>
        <w:jc w:val="both"/>
        <w:rPr>
          <w:rFonts w:cstheme="majorHAnsi"/>
          <w:sz w:val="20"/>
          <w:szCs w:val="20"/>
          <w:lang w:val="es-AR"/>
        </w:rPr>
      </w:pPr>
    </w:p>
    <w:p w14:paraId="59629435" w14:textId="77777777" w:rsidR="00C37058" w:rsidRPr="0033784B" w:rsidRDefault="00C37058" w:rsidP="00EA209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890"/>
        </w:tabs>
        <w:ind w:left="810" w:right="720"/>
        <w:jc w:val="both"/>
        <w:rPr>
          <w:rFonts w:cstheme="majorHAnsi"/>
          <w:sz w:val="20"/>
          <w:szCs w:val="20"/>
          <w:lang w:val="es-AR"/>
        </w:rPr>
      </w:pPr>
      <w:r w:rsidRPr="0033784B">
        <w:rPr>
          <w:rFonts w:cstheme="majorHAnsi"/>
          <w:sz w:val="20"/>
          <w:szCs w:val="20"/>
          <w:lang w:val="es-AR"/>
        </w:rPr>
        <w:t xml:space="preserve">Art.  257.- El recurso extraordinario deberá ser interpuesto por escrito, fundado con arreglo a lo establecido en el artículo 15 </w:t>
      </w:r>
      <w:r w:rsidR="00D250BE" w:rsidRPr="0033784B">
        <w:rPr>
          <w:rFonts w:cstheme="majorHAnsi"/>
          <w:sz w:val="20"/>
          <w:szCs w:val="20"/>
          <w:lang w:val="es-AR"/>
        </w:rPr>
        <w:t>de la ley 48, ante el juez, tribunal u organismo administrativo que dictó la resolución que lo motiva, dentro del plazo de diez (10) días contados a partir de la notificación.</w:t>
      </w:r>
    </w:p>
    <w:p w14:paraId="35DC9B62" w14:textId="77777777" w:rsidR="00EA2098" w:rsidRPr="0033784B" w:rsidRDefault="00EA2098" w:rsidP="00EA209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890"/>
        </w:tabs>
        <w:ind w:left="810" w:right="720"/>
        <w:jc w:val="both"/>
        <w:rPr>
          <w:rFonts w:cstheme="majorHAnsi"/>
          <w:sz w:val="20"/>
          <w:szCs w:val="20"/>
          <w:lang w:val="es-AR"/>
        </w:rPr>
      </w:pPr>
    </w:p>
    <w:p w14:paraId="6B41C82E" w14:textId="77777777" w:rsidR="00EA2098" w:rsidRPr="0033784B" w:rsidRDefault="00EA2098" w:rsidP="00EA209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890"/>
        </w:tabs>
        <w:ind w:left="810" w:right="720"/>
        <w:jc w:val="both"/>
        <w:rPr>
          <w:rFonts w:cstheme="majorHAnsi"/>
          <w:sz w:val="20"/>
          <w:szCs w:val="20"/>
          <w:lang w:val="es-AR"/>
        </w:rPr>
      </w:pPr>
      <w:r w:rsidRPr="0033784B">
        <w:rPr>
          <w:rFonts w:cstheme="majorHAnsi"/>
          <w:sz w:val="20"/>
          <w:szCs w:val="20"/>
          <w:lang w:val="es-AR"/>
        </w:rPr>
        <w:t>[…]</w:t>
      </w:r>
    </w:p>
    <w:p w14:paraId="55A974C9" w14:textId="77777777" w:rsidR="00C37058" w:rsidRPr="0033784B" w:rsidRDefault="00C37058" w:rsidP="00C3705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890"/>
        </w:tabs>
        <w:ind w:left="810"/>
        <w:jc w:val="both"/>
        <w:rPr>
          <w:rFonts w:cstheme="majorHAnsi"/>
          <w:sz w:val="20"/>
          <w:szCs w:val="20"/>
          <w:lang w:val="es-AR"/>
        </w:rPr>
      </w:pPr>
    </w:p>
    <w:p w14:paraId="60F22865" w14:textId="77777777" w:rsidR="00EA2098" w:rsidRPr="0033784B" w:rsidRDefault="00EA2098" w:rsidP="00D0583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890"/>
        </w:tabs>
        <w:jc w:val="both"/>
        <w:rPr>
          <w:rFonts w:cstheme="majorHAnsi"/>
          <w:sz w:val="20"/>
          <w:szCs w:val="20"/>
          <w:lang w:val="es-AR"/>
        </w:rPr>
      </w:pPr>
      <w:r w:rsidRPr="0033784B">
        <w:rPr>
          <w:rFonts w:cstheme="majorHAnsi"/>
          <w:sz w:val="20"/>
          <w:szCs w:val="20"/>
          <w:lang w:val="es-AR"/>
        </w:rPr>
        <w:t xml:space="preserve">Por su parte, el artículo 14 de la Ley 48 estipula: </w:t>
      </w:r>
    </w:p>
    <w:p w14:paraId="4504A1AD" w14:textId="77777777" w:rsidR="00EA2098" w:rsidRPr="0033784B" w:rsidRDefault="00EA2098" w:rsidP="00EA209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890"/>
        </w:tabs>
        <w:ind w:left="810"/>
        <w:jc w:val="both"/>
        <w:rPr>
          <w:rFonts w:cstheme="majorHAnsi"/>
          <w:sz w:val="20"/>
          <w:szCs w:val="20"/>
          <w:lang w:val="es-AR"/>
        </w:rPr>
      </w:pPr>
    </w:p>
    <w:p w14:paraId="5DBB54C5" w14:textId="77777777" w:rsidR="00374688" w:rsidRPr="0033784B" w:rsidRDefault="00EA2098" w:rsidP="00EE5C5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890"/>
        </w:tabs>
        <w:ind w:left="810" w:right="720"/>
        <w:jc w:val="both"/>
        <w:rPr>
          <w:rFonts w:cstheme="majorHAnsi"/>
          <w:sz w:val="20"/>
          <w:szCs w:val="20"/>
          <w:lang w:val="es-AR"/>
        </w:rPr>
      </w:pPr>
      <w:r w:rsidRPr="0033784B">
        <w:rPr>
          <w:rFonts w:cstheme="majorHAnsi"/>
          <w:sz w:val="20"/>
          <w:szCs w:val="20"/>
          <w:lang w:val="es-AR"/>
        </w:rPr>
        <w:t>Una vez radicado un juicio ante los Tribunales de Provincia, será sentenciado y fenecido en la jurisdicción provincial, y sólo podrá apelarse a la Corte Suprema de las sentencias pronunciadas por los tribunales superiores de provincia en los casos siguientes:</w:t>
      </w:r>
    </w:p>
    <w:p w14:paraId="76AFEB1F" w14:textId="77777777" w:rsidR="00EA2098" w:rsidRPr="0033784B" w:rsidRDefault="00EA2098" w:rsidP="00EE5C5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890"/>
        </w:tabs>
        <w:ind w:left="810" w:right="720"/>
        <w:jc w:val="both"/>
        <w:rPr>
          <w:rFonts w:cstheme="majorHAnsi"/>
          <w:sz w:val="20"/>
          <w:szCs w:val="20"/>
          <w:lang w:val="es-AR"/>
        </w:rPr>
      </w:pPr>
      <w:r w:rsidRPr="0033784B">
        <w:rPr>
          <w:rFonts w:cstheme="majorHAnsi"/>
          <w:sz w:val="20"/>
          <w:szCs w:val="20"/>
          <w:lang w:val="es-AR"/>
        </w:rPr>
        <w:t xml:space="preserve"> </w:t>
      </w:r>
    </w:p>
    <w:p w14:paraId="55DBF122" w14:textId="77777777" w:rsidR="00EA2098" w:rsidRDefault="00787E01" w:rsidP="00D05831">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890"/>
        </w:tabs>
        <w:ind w:right="720"/>
        <w:jc w:val="both"/>
        <w:rPr>
          <w:rFonts w:cstheme="majorHAnsi"/>
          <w:sz w:val="20"/>
          <w:szCs w:val="20"/>
          <w:lang w:val="es-AR"/>
        </w:rPr>
      </w:pPr>
      <w:r w:rsidRPr="0033784B">
        <w:rPr>
          <w:rFonts w:cstheme="majorHAnsi"/>
          <w:sz w:val="20"/>
          <w:szCs w:val="20"/>
          <w:lang w:val="es-AR"/>
        </w:rPr>
        <w:t xml:space="preserve">Cuando en el pleito se haya puesto en cuestión la validez de un Tratado, de una Ley del Congreso, o de una autoridad ejercida en nombre de la Nación y la decisión haya sido contra su validez. </w:t>
      </w:r>
    </w:p>
    <w:p w14:paraId="784FCE66" w14:textId="77777777" w:rsidR="003C786B" w:rsidRPr="0033784B" w:rsidRDefault="003C786B" w:rsidP="003C786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890"/>
        </w:tabs>
        <w:ind w:left="1350" w:right="720"/>
        <w:jc w:val="both"/>
        <w:rPr>
          <w:rFonts w:cstheme="majorHAnsi"/>
          <w:sz w:val="20"/>
          <w:szCs w:val="20"/>
          <w:lang w:val="es-AR"/>
        </w:rPr>
      </w:pPr>
    </w:p>
    <w:p w14:paraId="71BE7C57" w14:textId="77777777" w:rsidR="00787E01" w:rsidRDefault="00787E01" w:rsidP="00D05831">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890"/>
        </w:tabs>
        <w:ind w:right="720"/>
        <w:jc w:val="both"/>
        <w:rPr>
          <w:rFonts w:cstheme="majorHAnsi"/>
          <w:sz w:val="20"/>
          <w:szCs w:val="20"/>
          <w:lang w:val="es-AR"/>
        </w:rPr>
      </w:pPr>
      <w:r w:rsidRPr="0033784B">
        <w:rPr>
          <w:rFonts w:cstheme="majorHAnsi"/>
          <w:sz w:val="20"/>
          <w:szCs w:val="20"/>
          <w:lang w:val="es-AR"/>
        </w:rPr>
        <w:t xml:space="preserve">Cuando la validez de una ley, decreto o autoridad de Provincia se haya puesto en cuestión bajo </w:t>
      </w:r>
      <w:r w:rsidR="00EE5C59" w:rsidRPr="0033784B">
        <w:rPr>
          <w:rFonts w:cstheme="majorHAnsi"/>
          <w:sz w:val="20"/>
          <w:szCs w:val="20"/>
          <w:lang w:val="es-AR"/>
        </w:rPr>
        <w:t>la pretensión de ser repugnante a la Constitución Nacional, a los Tratados o leyes del Congreso, y la decisión hay sido en favor de la validez de la ley o autoridad de provincia.</w:t>
      </w:r>
    </w:p>
    <w:p w14:paraId="28AE0782" w14:textId="77777777" w:rsidR="003C786B" w:rsidRPr="0033784B" w:rsidRDefault="003C786B" w:rsidP="003C786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890"/>
        </w:tabs>
        <w:ind w:left="1350" w:right="720"/>
        <w:jc w:val="both"/>
        <w:rPr>
          <w:rFonts w:cstheme="majorHAnsi"/>
          <w:sz w:val="20"/>
          <w:szCs w:val="20"/>
          <w:lang w:val="es-AR"/>
        </w:rPr>
      </w:pPr>
    </w:p>
    <w:p w14:paraId="33B51163" w14:textId="77777777" w:rsidR="00EE5C59" w:rsidRPr="0033784B" w:rsidRDefault="00EE5C59" w:rsidP="00D05831">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890"/>
        </w:tabs>
        <w:ind w:right="720"/>
        <w:jc w:val="both"/>
        <w:rPr>
          <w:rFonts w:cstheme="majorHAnsi"/>
          <w:sz w:val="20"/>
          <w:szCs w:val="20"/>
          <w:lang w:val="es-AR"/>
        </w:rPr>
      </w:pPr>
      <w:r w:rsidRPr="0033784B">
        <w:rPr>
          <w:rFonts w:cstheme="majorHAnsi"/>
          <w:sz w:val="20"/>
          <w:szCs w:val="20"/>
          <w:lang w:val="es-AR"/>
        </w:rPr>
        <w:t>Cuando la inteligencia de alguna cláusula de la Constitución, o de un Tratado o ley del Congreso, o una comisión ejercida en nombre de la autoridad nacional haya sido cuestionada y la decisión sea contra la validez del título, derecho; privilegio o exención que se funda en dicha cláusula y sea materia de litigio.</w:t>
      </w:r>
    </w:p>
    <w:p w14:paraId="4468DF80" w14:textId="77777777" w:rsidR="00EA2098" w:rsidRPr="0033784B" w:rsidRDefault="00EA2098" w:rsidP="00EA209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890"/>
        </w:tabs>
        <w:ind w:left="810"/>
        <w:jc w:val="both"/>
        <w:rPr>
          <w:rFonts w:cstheme="majorHAnsi"/>
          <w:sz w:val="20"/>
          <w:szCs w:val="20"/>
          <w:lang w:val="es-AR"/>
        </w:rPr>
      </w:pPr>
    </w:p>
    <w:p w14:paraId="065317DB" w14:textId="01270FE8" w:rsidR="000724C2" w:rsidRPr="0033784B" w:rsidRDefault="00EA2098" w:rsidP="00D0583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890"/>
        </w:tabs>
        <w:jc w:val="both"/>
        <w:rPr>
          <w:rFonts w:cstheme="majorHAnsi"/>
          <w:sz w:val="20"/>
          <w:szCs w:val="20"/>
          <w:lang w:val="es-AR"/>
        </w:rPr>
      </w:pPr>
      <w:r w:rsidRPr="0033784B">
        <w:rPr>
          <w:rFonts w:cstheme="majorHAnsi"/>
          <w:sz w:val="20"/>
          <w:szCs w:val="20"/>
          <w:lang w:val="es-AR"/>
        </w:rPr>
        <w:t>E</w:t>
      </w:r>
      <w:r w:rsidR="000724C2" w:rsidRPr="0033784B">
        <w:rPr>
          <w:rFonts w:cstheme="majorHAnsi"/>
          <w:sz w:val="20"/>
          <w:szCs w:val="20"/>
          <w:lang w:val="es-AR"/>
        </w:rPr>
        <w:t>l artículo 485 del CPPC</w:t>
      </w:r>
      <w:r w:rsidR="00E004FE" w:rsidRPr="0033784B">
        <w:rPr>
          <w:rFonts w:cstheme="majorHAnsi"/>
          <w:sz w:val="20"/>
          <w:szCs w:val="20"/>
          <w:lang w:val="es-AR"/>
        </w:rPr>
        <w:t xml:space="preserve">, en los mismos términos del artículo 476 del CPPN, regula la procedencia del recurso de queja: </w:t>
      </w:r>
    </w:p>
    <w:p w14:paraId="3CC6E4AE" w14:textId="77777777" w:rsidR="000724C2" w:rsidRPr="0033784B" w:rsidRDefault="000724C2" w:rsidP="000724C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890"/>
        </w:tabs>
        <w:ind w:left="810"/>
        <w:jc w:val="both"/>
        <w:rPr>
          <w:rFonts w:cstheme="majorHAnsi"/>
          <w:sz w:val="20"/>
          <w:szCs w:val="20"/>
          <w:lang w:val="es-AR"/>
        </w:rPr>
      </w:pPr>
    </w:p>
    <w:p w14:paraId="6A25BE29" w14:textId="6C9273DC" w:rsidR="000F6559" w:rsidRPr="0033784B" w:rsidRDefault="000724C2" w:rsidP="0000121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890"/>
        </w:tabs>
        <w:ind w:left="810" w:right="720"/>
        <w:jc w:val="both"/>
        <w:rPr>
          <w:rFonts w:cstheme="majorHAnsi"/>
          <w:sz w:val="20"/>
          <w:szCs w:val="20"/>
          <w:lang w:val="es-AR"/>
        </w:rPr>
      </w:pPr>
      <w:r w:rsidRPr="0033784B">
        <w:rPr>
          <w:rFonts w:cstheme="majorHAnsi"/>
          <w:sz w:val="20"/>
          <w:szCs w:val="20"/>
          <w:lang w:val="es-AR"/>
        </w:rPr>
        <w:t xml:space="preserve">Cuando sea denegado indebidamente un recurso que procediere ante otro Tribunal, el recurrente podrá presentarse en queja ante éste, a fin de que lo declare mal denegado. </w:t>
      </w:r>
    </w:p>
    <w:p w14:paraId="3ECBA663" w14:textId="2EFB6FE0" w:rsidR="000F6559" w:rsidRPr="0033784B" w:rsidRDefault="000F6559" w:rsidP="00D05831">
      <w:pPr>
        <w:pStyle w:val="Heading2"/>
        <w:numPr>
          <w:ilvl w:val="0"/>
          <w:numId w:val="57"/>
        </w:numPr>
        <w:ind w:left="1440" w:hanging="720"/>
        <w:rPr>
          <w:rFonts w:ascii="Cambria" w:hAnsi="Cambria"/>
          <w:i w:val="0"/>
          <w:sz w:val="20"/>
          <w:szCs w:val="20"/>
          <w:lang w:val="es-AR"/>
        </w:rPr>
      </w:pPr>
      <w:bookmarkStart w:id="12" w:name="_Toc489610455"/>
      <w:r w:rsidRPr="0033784B">
        <w:rPr>
          <w:rFonts w:ascii="Cambria" w:hAnsi="Cambria"/>
          <w:i w:val="0"/>
          <w:sz w:val="20"/>
          <w:szCs w:val="20"/>
          <w:lang w:val="es-AR"/>
        </w:rPr>
        <w:t>Los procesos penales se</w:t>
      </w:r>
      <w:r w:rsidR="00785424" w:rsidRPr="0033784B">
        <w:rPr>
          <w:rFonts w:ascii="Cambria" w:hAnsi="Cambria"/>
          <w:i w:val="0"/>
          <w:sz w:val="20"/>
          <w:szCs w:val="20"/>
          <w:lang w:val="es-AR"/>
        </w:rPr>
        <w:t>guidos a las presuntas víctimas</w:t>
      </w:r>
      <w:bookmarkEnd w:id="12"/>
    </w:p>
    <w:p w14:paraId="25BAFCAF" w14:textId="77777777" w:rsidR="000F6559" w:rsidRPr="0033784B" w:rsidRDefault="000F6559" w:rsidP="000F6559">
      <w:pPr>
        <w:pStyle w:val="ListParagraph"/>
        <w:tabs>
          <w:tab w:val="left" w:pos="1440"/>
          <w:tab w:val="left" w:pos="1890"/>
        </w:tabs>
        <w:jc w:val="both"/>
        <w:rPr>
          <w:rFonts w:cstheme="majorHAnsi"/>
          <w:sz w:val="20"/>
          <w:szCs w:val="20"/>
          <w:lang w:val="es-AR"/>
        </w:rPr>
      </w:pPr>
    </w:p>
    <w:p w14:paraId="117C86EA" w14:textId="44F88A8B" w:rsidR="000F6559" w:rsidRPr="0033784B" w:rsidRDefault="00E6314D" w:rsidP="00D0583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890"/>
        </w:tabs>
        <w:jc w:val="both"/>
        <w:rPr>
          <w:rFonts w:cstheme="majorHAnsi"/>
          <w:sz w:val="20"/>
          <w:szCs w:val="20"/>
          <w:lang w:val="es-AR"/>
        </w:rPr>
      </w:pPr>
      <w:r w:rsidRPr="0033784B">
        <w:rPr>
          <w:rFonts w:cstheme="majorHAnsi"/>
          <w:sz w:val="20"/>
          <w:szCs w:val="20"/>
          <w:lang w:val="es-AR"/>
        </w:rPr>
        <w:t xml:space="preserve">El </w:t>
      </w:r>
      <w:r w:rsidR="000F6559" w:rsidRPr="0033784B">
        <w:rPr>
          <w:rFonts w:cstheme="majorHAnsi"/>
          <w:sz w:val="20"/>
          <w:szCs w:val="20"/>
          <w:lang w:val="es-AR"/>
        </w:rPr>
        <w:t xml:space="preserve">20 de diciembre de 1996 el Ministerio Fiscal del Séptimo Turno, solicitó al Juez de Instrucción la elevación a juicio de la causa </w:t>
      </w:r>
      <w:r w:rsidR="00EB19FD" w:rsidRPr="0033784B">
        <w:rPr>
          <w:rFonts w:cstheme="majorHAnsi"/>
          <w:sz w:val="20"/>
          <w:szCs w:val="20"/>
          <w:lang w:val="es-AR"/>
        </w:rPr>
        <w:t xml:space="preserve">en la que </w:t>
      </w:r>
      <w:r w:rsidR="000F6559" w:rsidRPr="0033784B">
        <w:rPr>
          <w:rFonts w:cstheme="majorHAnsi"/>
          <w:sz w:val="20"/>
          <w:szCs w:val="20"/>
          <w:lang w:val="es-AR"/>
        </w:rPr>
        <w:t xml:space="preserve">se encontraban imputados los señores Carlos Eduardo Domínguez Linares y Julio Cesar </w:t>
      </w:r>
      <w:r w:rsidR="004B26C6" w:rsidRPr="0033784B">
        <w:rPr>
          <w:rFonts w:cstheme="majorHAnsi"/>
          <w:sz w:val="20"/>
          <w:szCs w:val="20"/>
          <w:lang w:val="es-AR"/>
        </w:rPr>
        <w:t xml:space="preserve">Ramón </w:t>
      </w:r>
      <w:r w:rsidR="00EB19FD" w:rsidRPr="0033784B">
        <w:rPr>
          <w:rFonts w:cstheme="majorHAnsi"/>
          <w:sz w:val="20"/>
          <w:szCs w:val="20"/>
          <w:lang w:val="es-AR"/>
        </w:rPr>
        <w:t>D</w:t>
      </w:r>
      <w:r w:rsidR="000F6559" w:rsidRPr="0033784B">
        <w:rPr>
          <w:rFonts w:cstheme="majorHAnsi"/>
          <w:sz w:val="20"/>
          <w:szCs w:val="20"/>
          <w:lang w:val="es-AR"/>
        </w:rPr>
        <w:t>el Valle Ambrosio</w:t>
      </w:r>
      <w:r w:rsidR="000F6559" w:rsidRPr="0033784B">
        <w:rPr>
          <w:rStyle w:val="FootnoteReference"/>
          <w:sz w:val="20"/>
          <w:szCs w:val="20"/>
          <w:lang w:val="es-AR"/>
        </w:rPr>
        <w:footnoteReference w:id="5"/>
      </w:r>
      <w:r w:rsidR="000F6559" w:rsidRPr="0033784B">
        <w:rPr>
          <w:rFonts w:cstheme="majorHAnsi"/>
          <w:sz w:val="20"/>
          <w:szCs w:val="20"/>
          <w:lang w:val="es-AR"/>
        </w:rPr>
        <w:t xml:space="preserve">. </w:t>
      </w:r>
    </w:p>
    <w:p w14:paraId="71508177" w14:textId="77777777" w:rsidR="000F6559" w:rsidRPr="0033784B" w:rsidRDefault="000F6559" w:rsidP="000F6559">
      <w:pPr>
        <w:pStyle w:val="ListParagraph"/>
        <w:tabs>
          <w:tab w:val="left" w:pos="1440"/>
          <w:tab w:val="left" w:pos="1890"/>
        </w:tabs>
        <w:ind w:left="0" w:firstLine="720"/>
        <w:jc w:val="both"/>
        <w:rPr>
          <w:rFonts w:cstheme="majorHAnsi"/>
          <w:sz w:val="20"/>
          <w:szCs w:val="20"/>
          <w:lang w:val="es-AR"/>
        </w:rPr>
      </w:pPr>
    </w:p>
    <w:p w14:paraId="3883B6DB" w14:textId="0F536A02" w:rsidR="000F6559" w:rsidRPr="0033784B" w:rsidRDefault="00B8486D" w:rsidP="00D0583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cstheme="majorHAnsi"/>
          <w:sz w:val="20"/>
          <w:szCs w:val="20"/>
          <w:lang w:val="es-AR"/>
        </w:rPr>
      </w:pPr>
      <w:r w:rsidRPr="0033784B">
        <w:rPr>
          <w:rFonts w:cstheme="majorHAnsi"/>
          <w:sz w:val="20"/>
          <w:szCs w:val="20"/>
          <w:lang w:val="es-AR"/>
        </w:rPr>
        <w:t>El 23 de diciembre de 1997 l</w:t>
      </w:r>
      <w:r w:rsidR="000F6559" w:rsidRPr="0033784B">
        <w:rPr>
          <w:rFonts w:cstheme="majorHAnsi"/>
          <w:sz w:val="20"/>
          <w:szCs w:val="20"/>
          <w:lang w:val="es-AR"/>
        </w:rPr>
        <w:t>a Cámara Novena del Crimen de Córdoba resolvió declarar a Carlos Eduardo Domínguez</w:t>
      </w:r>
      <w:r w:rsidR="00EB19FD" w:rsidRPr="0033784B">
        <w:rPr>
          <w:rFonts w:cstheme="majorHAnsi"/>
          <w:sz w:val="20"/>
          <w:szCs w:val="20"/>
          <w:lang w:val="es-AR"/>
        </w:rPr>
        <w:t xml:space="preserve"> Linares y a Julio Cesar Ramón D</w:t>
      </w:r>
      <w:r w:rsidR="000F6559" w:rsidRPr="0033784B">
        <w:rPr>
          <w:rFonts w:cstheme="majorHAnsi"/>
          <w:sz w:val="20"/>
          <w:szCs w:val="20"/>
          <w:lang w:val="es-AR"/>
        </w:rPr>
        <w:t>el Valle Ambrosio cómplices necesarios del delito de defraudación calificada por administración fraudulenta</w:t>
      </w:r>
      <w:r w:rsidR="00BD4C56" w:rsidRPr="0033784B">
        <w:rPr>
          <w:rFonts w:cstheme="majorHAnsi"/>
          <w:sz w:val="20"/>
          <w:szCs w:val="20"/>
          <w:lang w:val="es-AR"/>
        </w:rPr>
        <w:t>,</w:t>
      </w:r>
      <w:r w:rsidR="000F6559" w:rsidRPr="0033784B">
        <w:rPr>
          <w:rFonts w:cstheme="majorHAnsi"/>
          <w:sz w:val="20"/>
          <w:szCs w:val="20"/>
          <w:lang w:val="es-AR"/>
        </w:rPr>
        <w:t xml:space="preserve"> en los términos de los art</w:t>
      </w:r>
      <w:r w:rsidR="00581B94" w:rsidRPr="0033784B">
        <w:rPr>
          <w:rFonts w:cstheme="majorHAnsi"/>
          <w:sz w:val="20"/>
          <w:szCs w:val="20"/>
          <w:lang w:val="es-AR"/>
        </w:rPr>
        <w:t>ículos</w:t>
      </w:r>
      <w:r w:rsidR="000F6559" w:rsidRPr="0033784B">
        <w:rPr>
          <w:rFonts w:cstheme="majorHAnsi"/>
          <w:sz w:val="20"/>
          <w:szCs w:val="20"/>
          <w:lang w:val="es-AR"/>
        </w:rPr>
        <w:t xml:space="preserve"> 45, 174 </w:t>
      </w:r>
      <w:proofErr w:type="gramStart"/>
      <w:r w:rsidR="000F6559" w:rsidRPr="0033784B">
        <w:rPr>
          <w:rFonts w:cstheme="majorHAnsi"/>
          <w:sz w:val="20"/>
          <w:szCs w:val="20"/>
          <w:lang w:val="es-AR"/>
        </w:rPr>
        <w:t>inc.</w:t>
      </w:r>
      <w:proofErr w:type="gramEnd"/>
      <w:r w:rsidR="000F6559" w:rsidRPr="0033784B">
        <w:rPr>
          <w:rFonts w:cstheme="majorHAnsi"/>
          <w:sz w:val="20"/>
          <w:szCs w:val="20"/>
          <w:lang w:val="es-AR"/>
        </w:rPr>
        <w:t xml:space="preserve"> 5 y 173 inc. 7 del Código Penal e imponerles a cada uno la pena de tres años y seis meses de prisión con accesorias de ley y costas (arts. 9, 12 del Código Penal; 550 y 551 del Código Procesal Penal de la Provincia de Córdoba)</w:t>
      </w:r>
      <w:r w:rsidR="000F6559" w:rsidRPr="0033784B">
        <w:rPr>
          <w:rStyle w:val="FootnoteReference"/>
          <w:sz w:val="20"/>
          <w:szCs w:val="20"/>
          <w:lang w:val="es-AR"/>
        </w:rPr>
        <w:footnoteReference w:id="6"/>
      </w:r>
      <w:r w:rsidR="000F6559" w:rsidRPr="0033784B">
        <w:rPr>
          <w:rFonts w:cstheme="majorHAnsi"/>
          <w:sz w:val="20"/>
          <w:szCs w:val="20"/>
          <w:lang w:val="es-AR"/>
        </w:rPr>
        <w:t>.</w:t>
      </w:r>
    </w:p>
    <w:p w14:paraId="300AB684" w14:textId="77777777" w:rsidR="000F6559" w:rsidRPr="0033784B" w:rsidRDefault="000F6559" w:rsidP="000F6559">
      <w:pPr>
        <w:tabs>
          <w:tab w:val="left" w:pos="1440"/>
          <w:tab w:val="left" w:pos="1890"/>
        </w:tabs>
        <w:ind w:firstLine="720"/>
        <w:jc w:val="both"/>
        <w:rPr>
          <w:rFonts w:ascii="Cambria" w:hAnsi="Cambria" w:cstheme="majorHAnsi"/>
          <w:sz w:val="20"/>
          <w:szCs w:val="20"/>
          <w:lang w:val="es-AR"/>
        </w:rPr>
      </w:pPr>
    </w:p>
    <w:p w14:paraId="2608C052" w14:textId="0DB4B1C3" w:rsidR="009A5BD0" w:rsidRPr="0033784B" w:rsidRDefault="00364DA4" w:rsidP="00D0583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890"/>
        </w:tabs>
        <w:jc w:val="both"/>
        <w:rPr>
          <w:rFonts w:cstheme="majorHAnsi"/>
          <w:sz w:val="20"/>
          <w:szCs w:val="20"/>
          <w:lang w:val="es-AR"/>
        </w:rPr>
      </w:pPr>
      <w:r w:rsidRPr="0033784B">
        <w:rPr>
          <w:rFonts w:cstheme="majorHAnsi"/>
          <w:sz w:val="20"/>
          <w:szCs w:val="20"/>
          <w:lang w:val="es-AR"/>
        </w:rPr>
        <w:t xml:space="preserve">El </w:t>
      </w:r>
      <w:r w:rsidR="009A5BD0" w:rsidRPr="0033784B">
        <w:rPr>
          <w:rFonts w:cstheme="majorHAnsi"/>
          <w:sz w:val="20"/>
          <w:szCs w:val="20"/>
          <w:lang w:val="es-AR"/>
        </w:rPr>
        <w:t>abogado defensor de Carlos Eduardo Domínguez Linares, interpuso recurso de casación contra la sentencia</w:t>
      </w:r>
      <w:r w:rsidR="00C8563D" w:rsidRPr="0033784B">
        <w:rPr>
          <w:rFonts w:cstheme="majorHAnsi"/>
          <w:sz w:val="20"/>
          <w:szCs w:val="20"/>
          <w:lang w:val="es-AR"/>
        </w:rPr>
        <w:t xml:space="preserve"> condenatoria </w:t>
      </w:r>
      <w:r w:rsidRPr="0033784B">
        <w:rPr>
          <w:rFonts w:cstheme="majorHAnsi"/>
          <w:sz w:val="20"/>
          <w:szCs w:val="20"/>
          <w:lang w:val="es-AR"/>
        </w:rPr>
        <w:t>alegando que</w:t>
      </w:r>
      <w:r w:rsidR="00C8563D" w:rsidRPr="0033784B">
        <w:rPr>
          <w:rFonts w:cstheme="majorHAnsi"/>
          <w:sz w:val="20"/>
          <w:szCs w:val="20"/>
          <w:lang w:val="es-AR"/>
        </w:rPr>
        <w:t xml:space="preserve"> en la misma se</w:t>
      </w:r>
      <w:r w:rsidRPr="0033784B">
        <w:rPr>
          <w:rFonts w:cstheme="majorHAnsi"/>
          <w:sz w:val="20"/>
          <w:szCs w:val="20"/>
          <w:lang w:val="es-AR"/>
        </w:rPr>
        <w:t xml:space="preserve"> </w:t>
      </w:r>
      <w:r w:rsidR="009A5BD0" w:rsidRPr="0033784B">
        <w:rPr>
          <w:rFonts w:cstheme="majorHAnsi"/>
          <w:sz w:val="20"/>
          <w:szCs w:val="20"/>
          <w:lang w:val="es-AR"/>
        </w:rPr>
        <w:t xml:space="preserve">“ha aplicado erróneamente el Código Penal […]”. En </w:t>
      </w:r>
      <w:r w:rsidR="003F3E00" w:rsidRPr="0033784B">
        <w:rPr>
          <w:rFonts w:cstheme="majorHAnsi"/>
          <w:sz w:val="20"/>
          <w:szCs w:val="20"/>
          <w:lang w:val="es-AR"/>
        </w:rPr>
        <w:t xml:space="preserve">su </w:t>
      </w:r>
      <w:r w:rsidR="009A5BD0" w:rsidRPr="0033784B">
        <w:rPr>
          <w:rFonts w:cstheme="majorHAnsi"/>
          <w:sz w:val="20"/>
          <w:szCs w:val="20"/>
          <w:lang w:val="es-AR"/>
        </w:rPr>
        <w:t xml:space="preserve">escrito hace referencia a lo establecido </w:t>
      </w:r>
      <w:r w:rsidR="006A00C2" w:rsidRPr="0033784B">
        <w:rPr>
          <w:rFonts w:cstheme="majorHAnsi"/>
          <w:sz w:val="20"/>
          <w:szCs w:val="20"/>
          <w:lang w:val="es-AR"/>
        </w:rPr>
        <w:t xml:space="preserve">en </w:t>
      </w:r>
      <w:r w:rsidR="009A5BD0" w:rsidRPr="0033784B">
        <w:rPr>
          <w:rFonts w:cstheme="majorHAnsi"/>
          <w:sz w:val="20"/>
          <w:szCs w:val="20"/>
          <w:lang w:val="es-AR"/>
        </w:rPr>
        <w:t>la ley penal, comparando con lo determinado en la sentencia. Así, refiere que “ha fijado el hecho y el reproche de mi defendido, basada en el RIESGO innecesario o excesivo que ocasionaron los administradores al patrimonio del Banco, con los préstamos acordados”. Indicando también que “el perjuicio exigido por la ley con relación a esta forma de comisión es EFECTIVO y no potencial. Debe haberse producido una DISMINUCIÓN del patrimonio después del hecho cuestionado”. A</w:t>
      </w:r>
      <w:r w:rsidR="006A00C2" w:rsidRPr="0033784B">
        <w:rPr>
          <w:rFonts w:cstheme="majorHAnsi"/>
          <w:sz w:val="20"/>
          <w:szCs w:val="20"/>
          <w:lang w:val="es-AR"/>
        </w:rPr>
        <w:t xml:space="preserve">gregó en el recurso que </w:t>
      </w:r>
      <w:r w:rsidR="009A5BD0" w:rsidRPr="0033784B">
        <w:rPr>
          <w:rFonts w:cstheme="majorHAnsi"/>
          <w:sz w:val="20"/>
          <w:szCs w:val="20"/>
          <w:lang w:val="es-AR"/>
        </w:rPr>
        <w:t xml:space="preserve">“la sentencia de V.E. ha fundado la condena de mi defendido en una circunstancia decisiva para su reproche penal en función de la caracterización típica de la conducta considerada como delictiva. Esa circunstancia, como ya se señaló, NO SE ENCONTRABA DESCRIPTA EN LA ACUSACIÓN, </w:t>
      </w:r>
      <w:r w:rsidR="009A5BD0" w:rsidRPr="0033784B">
        <w:rPr>
          <w:rFonts w:cstheme="majorHAnsi"/>
          <w:sz w:val="20"/>
          <w:szCs w:val="20"/>
          <w:lang w:val="es-AR"/>
        </w:rPr>
        <w:lastRenderedPageBreak/>
        <w:t>CONSITUYENDO UN HECHO [ilegible] de acuerdo al concepto del art. 389 del C.P.P., sin haber cumplido en el debate, las prescripciones de dicha [ilegible] legal”</w:t>
      </w:r>
      <w:r w:rsidR="009A5BD0" w:rsidRPr="0033784B">
        <w:rPr>
          <w:rStyle w:val="FootnoteReference"/>
          <w:sz w:val="20"/>
          <w:szCs w:val="20"/>
          <w:lang w:val="es-AR"/>
        </w:rPr>
        <w:footnoteReference w:id="7"/>
      </w:r>
      <w:r w:rsidR="009A5BD0" w:rsidRPr="0033784B">
        <w:rPr>
          <w:rFonts w:cstheme="majorHAnsi"/>
          <w:sz w:val="20"/>
          <w:szCs w:val="20"/>
          <w:lang w:val="es-AR"/>
        </w:rPr>
        <w:t xml:space="preserve">.  </w:t>
      </w:r>
    </w:p>
    <w:p w14:paraId="38C6BF83" w14:textId="77777777" w:rsidR="009A5BD0" w:rsidRPr="0033784B" w:rsidRDefault="009A5BD0" w:rsidP="009A5BD0">
      <w:pPr>
        <w:pStyle w:val="ListParagraph"/>
        <w:rPr>
          <w:rFonts w:cstheme="majorHAnsi"/>
          <w:color w:val="000000" w:themeColor="text1"/>
          <w:sz w:val="20"/>
          <w:szCs w:val="20"/>
          <w:lang w:val="es-AR"/>
        </w:rPr>
      </w:pPr>
    </w:p>
    <w:p w14:paraId="3BADE77F" w14:textId="2373D931" w:rsidR="00C95722" w:rsidRPr="0033784B" w:rsidRDefault="00E10019" w:rsidP="00D0583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890"/>
        </w:tabs>
        <w:jc w:val="both"/>
        <w:rPr>
          <w:rFonts w:cstheme="majorHAnsi"/>
          <w:color w:val="000000" w:themeColor="text1"/>
          <w:sz w:val="20"/>
          <w:szCs w:val="20"/>
          <w:lang w:val="es-AR"/>
        </w:rPr>
      </w:pPr>
      <w:r w:rsidRPr="0033784B">
        <w:rPr>
          <w:rFonts w:cstheme="majorHAnsi"/>
          <w:color w:val="000000" w:themeColor="text1"/>
          <w:sz w:val="20"/>
          <w:szCs w:val="20"/>
          <w:lang w:val="es-AR"/>
        </w:rPr>
        <w:t>E</w:t>
      </w:r>
      <w:r w:rsidR="000F6559" w:rsidRPr="0033784B">
        <w:rPr>
          <w:rFonts w:cstheme="majorHAnsi"/>
          <w:color w:val="000000" w:themeColor="text1"/>
          <w:sz w:val="20"/>
          <w:szCs w:val="20"/>
          <w:lang w:val="es-AR"/>
        </w:rPr>
        <w:t xml:space="preserve">l 19 de febrero de 1998, el abogado </w:t>
      </w:r>
      <w:r w:rsidR="003A698D" w:rsidRPr="0033784B">
        <w:rPr>
          <w:rFonts w:cstheme="majorHAnsi"/>
          <w:color w:val="000000" w:themeColor="text1"/>
          <w:sz w:val="20"/>
          <w:szCs w:val="20"/>
          <w:lang w:val="es-AR"/>
        </w:rPr>
        <w:t>defensor de Julio Cesar Ramón D</w:t>
      </w:r>
      <w:r w:rsidR="000F6559" w:rsidRPr="0033784B">
        <w:rPr>
          <w:rFonts w:cstheme="majorHAnsi"/>
          <w:color w:val="000000" w:themeColor="text1"/>
          <w:sz w:val="20"/>
          <w:szCs w:val="20"/>
          <w:lang w:val="es-AR"/>
        </w:rPr>
        <w:t>el Valle Ambrosio,</w:t>
      </w:r>
      <w:r w:rsidR="00364DA4" w:rsidRPr="0033784B">
        <w:rPr>
          <w:rFonts w:cstheme="majorHAnsi"/>
          <w:color w:val="000000" w:themeColor="text1"/>
          <w:sz w:val="20"/>
          <w:szCs w:val="20"/>
          <w:lang w:val="es-AR"/>
        </w:rPr>
        <w:t xml:space="preserve"> también</w:t>
      </w:r>
      <w:r w:rsidR="000F6559" w:rsidRPr="0033784B">
        <w:rPr>
          <w:rFonts w:cstheme="majorHAnsi"/>
          <w:color w:val="000000" w:themeColor="text1"/>
          <w:sz w:val="20"/>
          <w:szCs w:val="20"/>
          <w:lang w:val="es-AR"/>
        </w:rPr>
        <w:t xml:space="preserve"> interpuso recurso de casación en contra de la sentencia</w:t>
      </w:r>
      <w:r w:rsidRPr="0033784B">
        <w:rPr>
          <w:rFonts w:cstheme="majorHAnsi"/>
          <w:color w:val="000000" w:themeColor="text1"/>
          <w:sz w:val="20"/>
          <w:szCs w:val="20"/>
          <w:lang w:val="es-AR"/>
        </w:rPr>
        <w:t xml:space="preserve"> condenatoria.</w:t>
      </w:r>
      <w:r w:rsidR="00C95722" w:rsidRPr="0033784B">
        <w:rPr>
          <w:rFonts w:cstheme="majorHAnsi"/>
          <w:color w:val="000000" w:themeColor="text1"/>
          <w:sz w:val="20"/>
          <w:szCs w:val="20"/>
          <w:lang w:val="es-AR"/>
        </w:rPr>
        <w:t xml:space="preserve"> De</w:t>
      </w:r>
      <w:r w:rsidR="00FB322A" w:rsidRPr="0033784B">
        <w:rPr>
          <w:rFonts w:cstheme="majorHAnsi"/>
          <w:color w:val="000000" w:themeColor="text1"/>
          <w:sz w:val="20"/>
          <w:szCs w:val="20"/>
          <w:lang w:val="es-AR"/>
        </w:rPr>
        <w:t xml:space="preserve">l expediente se desprende </w:t>
      </w:r>
      <w:r w:rsidR="00C95722" w:rsidRPr="0033784B">
        <w:rPr>
          <w:rFonts w:cstheme="majorHAnsi"/>
          <w:color w:val="000000" w:themeColor="text1"/>
          <w:sz w:val="20"/>
          <w:szCs w:val="20"/>
          <w:lang w:val="es-AR"/>
        </w:rPr>
        <w:t xml:space="preserve"> que el recurso de casación se presentó por: </w:t>
      </w:r>
      <w:r w:rsidR="000F6559" w:rsidRPr="0033784B">
        <w:rPr>
          <w:rFonts w:cstheme="majorHAnsi"/>
          <w:color w:val="000000" w:themeColor="text1"/>
          <w:sz w:val="20"/>
          <w:szCs w:val="20"/>
          <w:lang w:val="es-AR"/>
        </w:rPr>
        <w:t xml:space="preserve"> </w:t>
      </w:r>
    </w:p>
    <w:p w14:paraId="1996C3FD" w14:textId="77777777" w:rsidR="00C95722" w:rsidRPr="0033784B" w:rsidRDefault="00C95722" w:rsidP="00C95722">
      <w:pPr>
        <w:pStyle w:val="ListParagraph"/>
        <w:rPr>
          <w:rFonts w:cstheme="majorHAnsi"/>
          <w:color w:val="000000" w:themeColor="text1"/>
          <w:sz w:val="20"/>
          <w:szCs w:val="20"/>
          <w:lang w:val="es-AR"/>
        </w:rPr>
      </w:pPr>
    </w:p>
    <w:p w14:paraId="47E97403" w14:textId="6BD31325" w:rsidR="000F6559" w:rsidRPr="0033784B" w:rsidRDefault="00075CEC" w:rsidP="00C9572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890"/>
        </w:tabs>
        <w:ind w:left="810" w:right="720"/>
        <w:jc w:val="both"/>
        <w:rPr>
          <w:rFonts w:cstheme="majorHAnsi"/>
          <w:color w:val="000000" w:themeColor="text1"/>
          <w:sz w:val="20"/>
          <w:szCs w:val="20"/>
          <w:lang w:val="es-AR"/>
        </w:rPr>
      </w:pPr>
      <w:r w:rsidRPr="0033784B">
        <w:rPr>
          <w:rFonts w:cstheme="majorHAnsi"/>
          <w:color w:val="000000" w:themeColor="text1"/>
          <w:sz w:val="20"/>
          <w:szCs w:val="20"/>
          <w:lang w:val="es-AR"/>
        </w:rPr>
        <w:t xml:space="preserve">[…] </w:t>
      </w:r>
      <w:r w:rsidR="000F6559" w:rsidRPr="0033784B">
        <w:rPr>
          <w:rFonts w:cstheme="majorHAnsi"/>
          <w:color w:val="000000" w:themeColor="text1"/>
          <w:sz w:val="20"/>
          <w:szCs w:val="20"/>
          <w:lang w:val="es-AR"/>
        </w:rPr>
        <w:t xml:space="preserve">errónea aplicación de la ley sustantiva como consecuencia de la inobservancia de las normas establecidas por el código bajo pena de inadmisibilidad, caducidad o nulidad, porque a su criterio, el Tribunal ha valorado equívocamente los elementos probatorios colectados como prueba y en consecuencia ha violado el art. 406 del C.P.P. al no haberse estado a favor de Ambrosio ante la duda y el art. 413 inc. 4to del mismo ordenamiento procesal penal, toda vez que no se observó las reglas de la sana crítica racional, con respecto a elementos probatorios de valor decisivo lo cual está contemplado en los arts. 39, 115, y concordantes de la Constitución de la </w:t>
      </w:r>
      <w:proofErr w:type="spellStart"/>
      <w:r w:rsidR="000F6559" w:rsidRPr="0033784B">
        <w:rPr>
          <w:rFonts w:cstheme="majorHAnsi"/>
          <w:color w:val="000000" w:themeColor="text1"/>
          <w:sz w:val="20"/>
          <w:szCs w:val="20"/>
          <w:lang w:val="es-AR"/>
        </w:rPr>
        <w:t>Pcia</w:t>
      </w:r>
      <w:proofErr w:type="spellEnd"/>
      <w:r w:rsidR="000F6559" w:rsidRPr="0033784B">
        <w:rPr>
          <w:rFonts w:cstheme="majorHAnsi"/>
          <w:color w:val="000000" w:themeColor="text1"/>
          <w:sz w:val="20"/>
          <w:szCs w:val="20"/>
          <w:lang w:val="es-AR"/>
        </w:rPr>
        <w:t>. De Córdoba y 18 de la Constitución Nacional</w:t>
      </w:r>
      <w:r w:rsidR="000F6559" w:rsidRPr="0033784B">
        <w:rPr>
          <w:rStyle w:val="FootnoteReference"/>
          <w:color w:val="000000" w:themeColor="text1"/>
          <w:sz w:val="20"/>
          <w:szCs w:val="20"/>
          <w:lang w:val="es-AR"/>
        </w:rPr>
        <w:footnoteReference w:id="8"/>
      </w:r>
      <w:r w:rsidR="000F6559" w:rsidRPr="0033784B">
        <w:rPr>
          <w:rFonts w:cstheme="majorHAnsi"/>
          <w:color w:val="000000" w:themeColor="text1"/>
          <w:sz w:val="20"/>
          <w:szCs w:val="20"/>
          <w:lang w:val="es-AR"/>
        </w:rPr>
        <w:t>.</w:t>
      </w:r>
    </w:p>
    <w:p w14:paraId="62146C48" w14:textId="77777777" w:rsidR="000F6559" w:rsidRPr="0033784B" w:rsidRDefault="000F6559" w:rsidP="000F6559">
      <w:pPr>
        <w:tabs>
          <w:tab w:val="left" w:pos="1440"/>
          <w:tab w:val="left" w:pos="1890"/>
        </w:tabs>
        <w:ind w:firstLine="720"/>
        <w:jc w:val="both"/>
        <w:rPr>
          <w:rFonts w:ascii="Cambria" w:hAnsi="Cambria" w:cstheme="majorHAnsi"/>
          <w:sz w:val="20"/>
          <w:szCs w:val="20"/>
          <w:lang w:val="es-AR"/>
        </w:rPr>
      </w:pPr>
    </w:p>
    <w:p w14:paraId="448AF427" w14:textId="73D84C0C" w:rsidR="000F6559" w:rsidRPr="0033784B" w:rsidRDefault="007212DA" w:rsidP="00D0583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890"/>
        </w:tabs>
        <w:jc w:val="both"/>
        <w:rPr>
          <w:rFonts w:cstheme="majorHAnsi"/>
          <w:sz w:val="20"/>
          <w:szCs w:val="20"/>
          <w:lang w:val="es-AR"/>
        </w:rPr>
      </w:pPr>
      <w:r w:rsidRPr="0033784B">
        <w:rPr>
          <w:rFonts w:cstheme="majorHAnsi"/>
          <w:sz w:val="20"/>
          <w:szCs w:val="20"/>
          <w:lang w:val="es-AR"/>
        </w:rPr>
        <w:t>L</w:t>
      </w:r>
      <w:r w:rsidR="003A698D" w:rsidRPr="0033784B">
        <w:rPr>
          <w:rFonts w:cstheme="majorHAnsi"/>
          <w:sz w:val="20"/>
          <w:szCs w:val="20"/>
          <w:lang w:val="es-AR"/>
        </w:rPr>
        <w:t>a Cámara Novena del Crimen de Córdoba</w:t>
      </w:r>
      <w:r w:rsidR="000F6559" w:rsidRPr="0033784B">
        <w:rPr>
          <w:rFonts w:cstheme="majorHAnsi"/>
          <w:sz w:val="20"/>
          <w:szCs w:val="20"/>
          <w:lang w:val="es-AR"/>
        </w:rPr>
        <w:t xml:space="preserve"> resolvió conceder los recursos de casación y elevar</w:t>
      </w:r>
      <w:r w:rsidR="00C0708A">
        <w:rPr>
          <w:rFonts w:cstheme="majorHAnsi"/>
          <w:sz w:val="20"/>
          <w:szCs w:val="20"/>
          <w:lang w:val="es-AR"/>
        </w:rPr>
        <w:t>los</w:t>
      </w:r>
      <w:r w:rsidR="000F6559" w:rsidRPr="0033784B">
        <w:rPr>
          <w:rFonts w:cstheme="majorHAnsi"/>
          <w:sz w:val="20"/>
          <w:szCs w:val="20"/>
          <w:lang w:val="es-AR"/>
        </w:rPr>
        <w:t xml:space="preserve"> a la Sala Penal del Tribunal Superior de Justicia</w:t>
      </w:r>
      <w:r w:rsidR="000F6559" w:rsidRPr="0033784B">
        <w:rPr>
          <w:rStyle w:val="FootnoteReference"/>
          <w:sz w:val="20"/>
          <w:szCs w:val="20"/>
          <w:lang w:val="es-AR"/>
        </w:rPr>
        <w:footnoteReference w:id="9"/>
      </w:r>
      <w:r w:rsidR="000F6559" w:rsidRPr="0033784B">
        <w:rPr>
          <w:rFonts w:cstheme="majorHAnsi"/>
          <w:sz w:val="20"/>
          <w:szCs w:val="20"/>
          <w:lang w:val="es-AR"/>
        </w:rPr>
        <w:t>.</w:t>
      </w:r>
    </w:p>
    <w:p w14:paraId="21C54886" w14:textId="77777777" w:rsidR="000F6559" w:rsidRPr="0033784B" w:rsidRDefault="000F6559" w:rsidP="000F6559">
      <w:pPr>
        <w:tabs>
          <w:tab w:val="left" w:pos="1440"/>
        </w:tabs>
        <w:ind w:firstLine="720"/>
        <w:jc w:val="both"/>
        <w:rPr>
          <w:rFonts w:ascii="Cambria" w:hAnsi="Cambria" w:cstheme="majorHAnsi"/>
          <w:sz w:val="20"/>
          <w:szCs w:val="20"/>
          <w:lang w:val="es-AR"/>
        </w:rPr>
      </w:pPr>
    </w:p>
    <w:p w14:paraId="0AC7EFB7" w14:textId="55410561" w:rsidR="005A7CD4" w:rsidRPr="0033784B" w:rsidRDefault="001F7505" w:rsidP="00D0583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sz w:val="20"/>
          <w:szCs w:val="20"/>
          <w:lang w:val="es-ES"/>
        </w:rPr>
      </w:pPr>
      <w:r w:rsidRPr="0033784B">
        <w:rPr>
          <w:rFonts w:cstheme="majorHAnsi"/>
          <w:sz w:val="20"/>
          <w:szCs w:val="20"/>
          <w:lang w:val="es-AR"/>
        </w:rPr>
        <w:t xml:space="preserve">El </w:t>
      </w:r>
      <w:r w:rsidR="000F6559" w:rsidRPr="0033784B">
        <w:rPr>
          <w:rFonts w:cstheme="majorHAnsi"/>
          <w:sz w:val="20"/>
          <w:szCs w:val="20"/>
          <w:lang w:val="es-AR"/>
        </w:rPr>
        <w:t>17 de diciembre de 1998 la Sala Penal del Tribunal Superior de Justicia de la Provincia de Córdoba resolvió declarar formalmente inadmisible el recurso de casación interpuesto en favor de Carlos Eduardo Domínguez Linares</w:t>
      </w:r>
      <w:r w:rsidR="000F6559" w:rsidRPr="0033784B">
        <w:rPr>
          <w:rStyle w:val="FootnoteReference"/>
          <w:sz w:val="20"/>
          <w:szCs w:val="20"/>
          <w:lang w:val="es-AR"/>
        </w:rPr>
        <w:footnoteReference w:id="10"/>
      </w:r>
      <w:r w:rsidR="00EC1658" w:rsidRPr="0033784B">
        <w:rPr>
          <w:rFonts w:cstheme="majorHAnsi"/>
          <w:sz w:val="20"/>
          <w:szCs w:val="20"/>
          <w:lang w:val="es-AR"/>
        </w:rPr>
        <w:t>.</w:t>
      </w:r>
      <w:r w:rsidR="000F6559" w:rsidRPr="0033784B">
        <w:rPr>
          <w:rFonts w:cstheme="majorHAnsi"/>
          <w:sz w:val="20"/>
          <w:szCs w:val="20"/>
          <w:lang w:val="es-AR"/>
        </w:rPr>
        <w:t xml:space="preserve"> </w:t>
      </w:r>
      <w:r w:rsidR="009F68BB" w:rsidRPr="0033784B">
        <w:rPr>
          <w:rFonts w:cstheme="majorHAnsi"/>
          <w:sz w:val="20"/>
          <w:szCs w:val="20"/>
          <w:lang w:val="es-AR"/>
        </w:rPr>
        <w:t xml:space="preserve"> </w:t>
      </w:r>
      <w:r w:rsidR="00C37058" w:rsidRPr="0033784B">
        <w:rPr>
          <w:rFonts w:cstheme="majorHAnsi"/>
          <w:sz w:val="20"/>
          <w:szCs w:val="20"/>
          <w:lang w:val="es-AR"/>
        </w:rPr>
        <w:t xml:space="preserve">Dicha </w:t>
      </w:r>
      <w:r w:rsidR="000F6559" w:rsidRPr="0033784B">
        <w:rPr>
          <w:sz w:val="20"/>
          <w:szCs w:val="20"/>
          <w:lang w:val="es-ES"/>
        </w:rPr>
        <w:t xml:space="preserve">Sala señaló </w:t>
      </w:r>
      <w:r w:rsidR="005A7CD4" w:rsidRPr="0033784B">
        <w:rPr>
          <w:sz w:val="20"/>
          <w:szCs w:val="20"/>
          <w:lang w:val="es-ES"/>
        </w:rPr>
        <w:t xml:space="preserve"> </w:t>
      </w:r>
      <w:r w:rsidR="000F6559" w:rsidRPr="0033784B">
        <w:rPr>
          <w:sz w:val="20"/>
          <w:szCs w:val="20"/>
          <w:lang w:val="es-ES"/>
        </w:rPr>
        <w:t>que</w:t>
      </w:r>
      <w:r w:rsidR="005A7CD4" w:rsidRPr="0033784B">
        <w:rPr>
          <w:sz w:val="20"/>
          <w:szCs w:val="20"/>
          <w:lang w:val="es-ES"/>
        </w:rPr>
        <w:t>:</w:t>
      </w:r>
    </w:p>
    <w:p w14:paraId="50289A0C" w14:textId="77777777" w:rsidR="005A7CD4" w:rsidRPr="0033784B" w:rsidRDefault="005A7CD4" w:rsidP="005A7CD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
        </w:rPr>
      </w:pPr>
    </w:p>
    <w:p w14:paraId="26542F14" w14:textId="77777777" w:rsidR="00FD5ADE" w:rsidRPr="0033784B" w:rsidRDefault="00FD5ADE" w:rsidP="005A7CD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sz w:val="20"/>
          <w:szCs w:val="20"/>
          <w:lang w:val="es-ES"/>
        </w:rPr>
      </w:pPr>
      <w:r w:rsidRPr="0033784B">
        <w:rPr>
          <w:sz w:val="20"/>
          <w:szCs w:val="20"/>
          <w:lang w:val="es-ES"/>
        </w:rPr>
        <w:t>[…]</w:t>
      </w:r>
    </w:p>
    <w:p w14:paraId="16090532" w14:textId="77777777" w:rsidR="00FD5ADE" w:rsidRPr="0033784B" w:rsidRDefault="00FD5ADE" w:rsidP="005A7CD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sz w:val="20"/>
          <w:szCs w:val="20"/>
          <w:lang w:val="es-ES"/>
        </w:rPr>
      </w:pPr>
    </w:p>
    <w:p w14:paraId="287BF3AE" w14:textId="167E52EC" w:rsidR="00C37058" w:rsidRPr="0033784B" w:rsidRDefault="00C44A14" w:rsidP="005A7CD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rFonts w:cstheme="majorHAnsi"/>
          <w:sz w:val="20"/>
          <w:szCs w:val="20"/>
          <w:lang w:val="es-ES"/>
        </w:rPr>
      </w:pPr>
      <w:r w:rsidRPr="0033784B">
        <w:rPr>
          <w:sz w:val="20"/>
          <w:szCs w:val="20"/>
          <w:lang w:val="es-ES"/>
        </w:rPr>
        <w:tab/>
      </w:r>
      <w:r w:rsidR="005A7CD4" w:rsidRPr="0033784B">
        <w:rPr>
          <w:sz w:val="20"/>
          <w:szCs w:val="20"/>
          <w:lang w:val="es-ES"/>
        </w:rPr>
        <w:t xml:space="preserve">2. </w:t>
      </w:r>
      <w:r w:rsidR="005A7CD4" w:rsidRPr="0033784B">
        <w:rPr>
          <w:rFonts w:cstheme="majorHAnsi"/>
          <w:sz w:val="20"/>
          <w:szCs w:val="20"/>
          <w:lang w:val="es-AR"/>
        </w:rPr>
        <w:t>Constituye una doctrina jurisprudencial consolidada de la Sala Penal, a partir de un antiguo precedente</w:t>
      </w:r>
      <w:r w:rsidR="00887A47" w:rsidRPr="0033784B">
        <w:rPr>
          <w:rFonts w:cstheme="majorHAnsi"/>
          <w:sz w:val="20"/>
          <w:szCs w:val="20"/>
          <w:lang w:val="es-AR"/>
        </w:rPr>
        <w:t xml:space="preserve"> mantenido en sucesivas integrac</w:t>
      </w:r>
      <w:r w:rsidR="00736157" w:rsidRPr="0033784B">
        <w:rPr>
          <w:rFonts w:cstheme="majorHAnsi"/>
          <w:sz w:val="20"/>
          <w:szCs w:val="20"/>
          <w:lang w:val="es-AR"/>
        </w:rPr>
        <w:t>iones, que el recurso de casació</w:t>
      </w:r>
      <w:r w:rsidR="00887A47" w:rsidRPr="0033784B">
        <w:rPr>
          <w:rFonts w:cstheme="majorHAnsi"/>
          <w:sz w:val="20"/>
          <w:szCs w:val="20"/>
          <w:lang w:val="es-AR"/>
        </w:rPr>
        <w:t xml:space="preserve">n por el motivo sustancial es inadmisible si se ignoran, parcializan o modifican los hechos en base a los cuales el tribunal de juicio efectuó la calificación legal que el impugnante reputa errada o no aplicó la que considera correcta </w:t>
      </w:r>
      <w:r w:rsidR="00887A47" w:rsidRPr="0033784B">
        <w:rPr>
          <w:rFonts w:cstheme="majorHAnsi"/>
          <w:sz w:val="20"/>
          <w:szCs w:val="20"/>
          <w:lang w:val="es-ES"/>
        </w:rPr>
        <w:t>[…]</w:t>
      </w:r>
      <w:r w:rsidR="008050F6" w:rsidRPr="0033784B">
        <w:rPr>
          <w:rFonts w:cstheme="majorHAnsi"/>
          <w:sz w:val="20"/>
          <w:szCs w:val="20"/>
          <w:lang w:val="es-ES"/>
        </w:rPr>
        <w:t>.</w:t>
      </w:r>
    </w:p>
    <w:p w14:paraId="79408E59" w14:textId="77777777" w:rsidR="00887A47" w:rsidRPr="0033784B" w:rsidRDefault="00887A47" w:rsidP="005A7CD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rFonts w:cstheme="majorHAnsi"/>
          <w:sz w:val="20"/>
          <w:szCs w:val="20"/>
          <w:lang w:val="es-ES"/>
        </w:rPr>
      </w:pPr>
    </w:p>
    <w:p w14:paraId="1C1CC679" w14:textId="5EF16150" w:rsidR="008050F6" w:rsidRPr="0033784B" w:rsidRDefault="00C44A14" w:rsidP="008858A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rFonts w:cstheme="majorHAnsi"/>
          <w:sz w:val="20"/>
          <w:szCs w:val="20"/>
          <w:lang w:val="es-ES"/>
        </w:rPr>
      </w:pPr>
      <w:r w:rsidRPr="0033784B">
        <w:rPr>
          <w:rFonts w:cstheme="majorHAnsi"/>
          <w:sz w:val="20"/>
          <w:szCs w:val="20"/>
          <w:lang w:val="es-ES"/>
        </w:rPr>
        <w:tab/>
      </w:r>
      <w:r w:rsidR="00887A47" w:rsidRPr="0033784B">
        <w:rPr>
          <w:rFonts w:cstheme="majorHAnsi"/>
          <w:sz w:val="20"/>
          <w:szCs w:val="20"/>
          <w:lang w:val="es-ES"/>
        </w:rPr>
        <w:t xml:space="preserve">Dicha doctrina resulta ajustada a la inteligencia acordada por el legislador, conforme a la </w:t>
      </w:r>
      <w:r w:rsidR="00A74CC7" w:rsidRPr="0033784B">
        <w:rPr>
          <w:rFonts w:cstheme="majorHAnsi"/>
          <w:sz w:val="20"/>
          <w:szCs w:val="20"/>
          <w:lang w:val="es-ES"/>
        </w:rPr>
        <w:t>cual por</w:t>
      </w:r>
      <w:r w:rsidR="00887A47" w:rsidRPr="0033784B">
        <w:rPr>
          <w:rFonts w:cstheme="majorHAnsi"/>
          <w:sz w:val="20"/>
          <w:szCs w:val="20"/>
          <w:lang w:val="es-ES"/>
        </w:rPr>
        <w:t xml:space="preserve"> el motivo sustancial de casación (CPP, 468, inc. 1º) </w:t>
      </w:r>
      <w:r w:rsidR="008050F6" w:rsidRPr="0033784B">
        <w:rPr>
          <w:rFonts w:cstheme="majorHAnsi"/>
          <w:sz w:val="20"/>
          <w:szCs w:val="20"/>
          <w:lang w:val="es-ES"/>
        </w:rPr>
        <w:t xml:space="preserve">[ilegible] </w:t>
      </w:r>
      <w:r w:rsidR="00887A47" w:rsidRPr="0033784B">
        <w:rPr>
          <w:rFonts w:cstheme="majorHAnsi"/>
          <w:sz w:val="20"/>
          <w:szCs w:val="20"/>
          <w:lang w:val="es-ES"/>
        </w:rPr>
        <w:t>coordina la interpretación unitaria de la ley de fondo, sometiendo en definitiva</w:t>
      </w:r>
      <w:r w:rsidR="008050F6" w:rsidRPr="0033784B">
        <w:rPr>
          <w:rFonts w:cstheme="majorHAnsi"/>
          <w:sz w:val="20"/>
          <w:szCs w:val="20"/>
          <w:lang w:val="es-ES"/>
        </w:rPr>
        <w:t xml:space="preserve"> la interpretación de la ley al [ilegible] </w:t>
      </w:r>
      <w:r w:rsidR="008858A1" w:rsidRPr="0033784B">
        <w:rPr>
          <w:rFonts w:cstheme="majorHAnsi"/>
          <w:sz w:val="20"/>
          <w:szCs w:val="20"/>
          <w:lang w:val="es-ES"/>
        </w:rPr>
        <w:t>Alto Tribunal de la Provinci</w:t>
      </w:r>
      <w:r w:rsidR="008050F6" w:rsidRPr="0033784B">
        <w:rPr>
          <w:rFonts w:cstheme="majorHAnsi"/>
          <w:sz w:val="20"/>
          <w:szCs w:val="20"/>
          <w:lang w:val="es-ES"/>
        </w:rPr>
        <w:t xml:space="preserve">a y ante el cual la causa [ilegible] </w:t>
      </w:r>
      <w:r w:rsidR="008858A1" w:rsidRPr="0033784B">
        <w:rPr>
          <w:rFonts w:cstheme="majorHAnsi"/>
          <w:sz w:val="20"/>
          <w:szCs w:val="20"/>
          <w:lang w:val="es-ES"/>
        </w:rPr>
        <w:t>con los hechos del proc</w:t>
      </w:r>
      <w:r w:rsidR="008050F6" w:rsidRPr="0033784B">
        <w:rPr>
          <w:rFonts w:cstheme="majorHAnsi"/>
          <w:sz w:val="20"/>
          <w:szCs w:val="20"/>
          <w:lang w:val="es-ES"/>
        </w:rPr>
        <w:t xml:space="preserve">eso definitivamente fijados, [ilegible] </w:t>
      </w:r>
      <w:r w:rsidR="008858A1" w:rsidRPr="0033784B">
        <w:rPr>
          <w:rFonts w:cstheme="majorHAnsi"/>
          <w:sz w:val="20"/>
          <w:szCs w:val="20"/>
          <w:lang w:val="es-ES"/>
        </w:rPr>
        <w:t>que solamente se juz</w:t>
      </w:r>
      <w:r w:rsidR="008050F6" w:rsidRPr="0033784B">
        <w:rPr>
          <w:rFonts w:cstheme="majorHAnsi"/>
          <w:sz w:val="20"/>
          <w:szCs w:val="20"/>
          <w:lang w:val="es-ES"/>
        </w:rPr>
        <w:t xml:space="preserve">gue de la corrección jurídica con [ilegible] </w:t>
      </w:r>
      <w:r w:rsidR="008858A1" w:rsidRPr="0033784B">
        <w:rPr>
          <w:rFonts w:cstheme="majorHAnsi"/>
          <w:sz w:val="20"/>
          <w:szCs w:val="20"/>
          <w:lang w:val="es-ES"/>
        </w:rPr>
        <w:t xml:space="preserve">han sido calificados […]. </w:t>
      </w:r>
    </w:p>
    <w:p w14:paraId="1604705C" w14:textId="77777777" w:rsidR="008050F6" w:rsidRPr="0033784B" w:rsidRDefault="008050F6" w:rsidP="008858A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rFonts w:cstheme="majorHAnsi"/>
          <w:sz w:val="20"/>
          <w:szCs w:val="20"/>
          <w:lang w:val="es-ES"/>
        </w:rPr>
      </w:pPr>
    </w:p>
    <w:p w14:paraId="6CFDCAEC" w14:textId="6D2F2728" w:rsidR="00AF67E9" w:rsidRPr="0033784B" w:rsidRDefault="00C44A14" w:rsidP="00313FE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rFonts w:cstheme="majorHAnsi"/>
          <w:sz w:val="20"/>
          <w:szCs w:val="20"/>
          <w:lang w:val="es-ES"/>
        </w:rPr>
      </w:pPr>
      <w:r w:rsidRPr="0033784B">
        <w:rPr>
          <w:rFonts w:cstheme="majorHAnsi"/>
          <w:sz w:val="20"/>
          <w:szCs w:val="20"/>
          <w:lang w:val="es-ES"/>
        </w:rPr>
        <w:tab/>
      </w:r>
      <w:r w:rsidR="008858A1" w:rsidRPr="0033784B">
        <w:rPr>
          <w:rFonts w:cstheme="majorHAnsi"/>
          <w:sz w:val="20"/>
          <w:szCs w:val="20"/>
          <w:lang w:val="es-ES"/>
        </w:rPr>
        <w:t xml:space="preserve">3. En el caso, el recurrente presenta disconformidad con la </w:t>
      </w:r>
      <w:r w:rsidR="00EE6A3A" w:rsidRPr="0033784B">
        <w:rPr>
          <w:rFonts w:cstheme="majorHAnsi"/>
          <w:sz w:val="20"/>
          <w:szCs w:val="20"/>
          <w:lang w:val="es-ES"/>
        </w:rPr>
        <w:t xml:space="preserve">calificación </w:t>
      </w:r>
      <w:r w:rsidR="00BA1E8B" w:rsidRPr="0033784B">
        <w:rPr>
          <w:rFonts w:cstheme="majorHAnsi"/>
          <w:sz w:val="20"/>
          <w:szCs w:val="20"/>
          <w:lang w:val="es-ES"/>
        </w:rPr>
        <w:t xml:space="preserve">legal otorgada a los hechos, con prescindencia de todas las conclusiones </w:t>
      </w:r>
      <w:r w:rsidR="00075CEC" w:rsidRPr="0033784B">
        <w:rPr>
          <w:rFonts w:cstheme="majorHAnsi"/>
          <w:sz w:val="20"/>
          <w:szCs w:val="20"/>
          <w:lang w:val="es-ES"/>
        </w:rPr>
        <w:t>fácticas</w:t>
      </w:r>
      <w:r w:rsidR="00BA1E8B" w:rsidRPr="0033784B">
        <w:rPr>
          <w:rFonts w:cstheme="majorHAnsi"/>
          <w:sz w:val="20"/>
          <w:szCs w:val="20"/>
          <w:lang w:val="es-ES"/>
        </w:rPr>
        <w:t xml:space="preserve"> adoptadas por el </w:t>
      </w:r>
      <w:proofErr w:type="spellStart"/>
      <w:r w:rsidR="00BA1E8B" w:rsidRPr="0033784B">
        <w:rPr>
          <w:rFonts w:cstheme="majorHAnsi"/>
          <w:sz w:val="20"/>
          <w:szCs w:val="20"/>
          <w:lang w:val="es-ES"/>
        </w:rPr>
        <w:t>sentenciante</w:t>
      </w:r>
      <w:proofErr w:type="spellEnd"/>
      <w:r w:rsidR="00BA1E8B" w:rsidRPr="0033784B">
        <w:rPr>
          <w:rFonts w:cstheme="majorHAnsi"/>
          <w:sz w:val="20"/>
          <w:szCs w:val="20"/>
          <w:lang w:val="es-ES"/>
        </w:rPr>
        <w:t xml:space="preserve">, conforme a las cuales la conducta endilgada al imputado no consistió en mero incumplimiento contractual que aparejase un perjuicio potencial, sino en la complicidad </w:t>
      </w:r>
      <w:r w:rsidR="008050F6" w:rsidRPr="0033784B">
        <w:rPr>
          <w:rFonts w:cstheme="majorHAnsi"/>
          <w:sz w:val="20"/>
          <w:szCs w:val="20"/>
          <w:lang w:val="es-ES"/>
        </w:rPr>
        <w:lastRenderedPageBreak/>
        <w:t>primaria en la obtención</w:t>
      </w:r>
      <w:r w:rsidR="00BA1E8B" w:rsidRPr="0033784B">
        <w:rPr>
          <w:rFonts w:cstheme="majorHAnsi"/>
          <w:sz w:val="20"/>
          <w:szCs w:val="20"/>
          <w:lang w:val="es-ES"/>
        </w:rPr>
        <w:t xml:space="preserve"> de asistencias crediticias fraudulentas que ocasionaron </w:t>
      </w:r>
      <w:r w:rsidR="008050F6" w:rsidRPr="0033784B">
        <w:rPr>
          <w:rFonts w:cstheme="majorHAnsi"/>
          <w:sz w:val="20"/>
          <w:szCs w:val="20"/>
          <w:lang w:val="es-ES"/>
        </w:rPr>
        <w:t>(sic) [ilegible]</w:t>
      </w:r>
      <w:r w:rsidR="00BA1E8B" w:rsidRPr="0033784B">
        <w:rPr>
          <w:rFonts w:cstheme="majorHAnsi"/>
          <w:sz w:val="20"/>
          <w:szCs w:val="20"/>
          <w:lang w:val="es-ES"/>
        </w:rPr>
        <w:t xml:space="preserve"> Banco Social un perjuicio efectivo. Tomando como eje</w:t>
      </w:r>
      <w:r w:rsidR="008050F6" w:rsidRPr="0033784B">
        <w:rPr>
          <w:rFonts w:cstheme="majorHAnsi"/>
          <w:sz w:val="20"/>
          <w:szCs w:val="20"/>
          <w:lang w:val="es-ES"/>
        </w:rPr>
        <w:t xml:space="preserve"> [ilegible]</w:t>
      </w:r>
      <w:r w:rsidR="00351EB0" w:rsidRPr="0033784B">
        <w:rPr>
          <w:rFonts w:cstheme="majorHAnsi"/>
          <w:sz w:val="20"/>
          <w:szCs w:val="20"/>
          <w:lang w:val="es-ES"/>
        </w:rPr>
        <w:t xml:space="preserve"> impugnación aisladas referencias efectuadas por </w:t>
      </w:r>
      <w:r w:rsidR="008050F6" w:rsidRPr="0033784B">
        <w:rPr>
          <w:rFonts w:cstheme="majorHAnsi"/>
          <w:sz w:val="20"/>
          <w:szCs w:val="20"/>
          <w:lang w:val="es-ES"/>
        </w:rPr>
        <w:t>[ilegible]</w:t>
      </w:r>
      <w:r w:rsidR="00351EB0" w:rsidRPr="0033784B">
        <w:rPr>
          <w:rFonts w:cstheme="majorHAnsi"/>
          <w:sz w:val="20"/>
          <w:szCs w:val="20"/>
          <w:lang w:val="es-ES"/>
        </w:rPr>
        <w:t xml:space="preserve"> </w:t>
      </w:r>
      <w:proofErr w:type="spellStart"/>
      <w:r w:rsidR="00351EB0" w:rsidRPr="0033784B">
        <w:rPr>
          <w:rFonts w:cstheme="majorHAnsi"/>
          <w:sz w:val="20"/>
          <w:szCs w:val="20"/>
          <w:lang w:val="es-ES"/>
        </w:rPr>
        <w:t>sentenciante</w:t>
      </w:r>
      <w:proofErr w:type="spellEnd"/>
      <w:r w:rsidR="00351EB0" w:rsidRPr="0033784B">
        <w:rPr>
          <w:rFonts w:cstheme="majorHAnsi"/>
          <w:sz w:val="20"/>
          <w:szCs w:val="20"/>
          <w:lang w:val="es-ES"/>
        </w:rPr>
        <w:t xml:space="preserve"> acerca del riesgo innecesario, </w:t>
      </w:r>
      <w:proofErr w:type="spellStart"/>
      <w:proofErr w:type="gramStart"/>
      <w:r w:rsidR="00351EB0" w:rsidRPr="0033784B">
        <w:rPr>
          <w:rFonts w:cstheme="majorHAnsi"/>
          <w:sz w:val="20"/>
          <w:szCs w:val="20"/>
          <w:lang w:val="es-ES"/>
        </w:rPr>
        <w:t>c</w:t>
      </w:r>
      <w:r w:rsidR="008050F6" w:rsidRPr="0033784B">
        <w:rPr>
          <w:rFonts w:cstheme="majorHAnsi"/>
          <w:sz w:val="20"/>
          <w:szCs w:val="20"/>
          <w:lang w:val="es-ES"/>
        </w:rPr>
        <w:t>onvie</w:t>
      </w:r>
      <w:proofErr w:type="spellEnd"/>
      <w:r w:rsidR="008050F6" w:rsidRPr="0033784B">
        <w:rPr>
          <w:rFonts w:cstheme="majorHAnsi"/>
          <w:sz w:val="20"/>
          <w:szCs w:val="20"/>
          <w:lang w:val="es-ES"/>
        </w:rPr>
        <w:t>[</w:t>
      </w:r>
      <w:proofErr w:type="gramEnd"/>
      <w:r w:rsidR="008050F6" w:rsidRPr="0033784B">
        <w:rPr>
          <w:rFonts w:cstheme="majorHAnsi"/>
          <w:sz w:val="20"/>
          <w:szCs w:val="20"/>
          <w:lang w:val="es-ES"/>
        </w:rPr>
        <w:t xml:space="preserve">ilegible] </w:t>
      </w:r>
      <w:r w:rsidR="00351EB0" w:rsidRPr="0033784B">
        <w:rPr>
          <w:rFonts w:cstheme="majorHAnsi"/>
          <w:sz w:val="20"/>
          <w:szCs w:val="20"/>
          <w:lang w:val="es-ES"/>
        </w:rPr>
        <w:t>éste argumento</w:t>
      </w:r>
      <w:r w:rsidR="008050F6" w:rsidRPr="0033784B">
        <w:rPr>
          <w:rFonts w:cstheme="majorHAnsi"/>
          <w:sz w:val="20"/>
          <w:szCs w:val="20"/>
          <w:lang w:val="es-ES"/>
        </w:rPr>
        <w:t xml:space="preserve"> dirimente del decisorio, sin [ilegible]</w:t>
      </w:r>
      <w:r w:rsidR="00351EB0" w:rsidRPr="0033784B">
        <w:rPr>
          <w:rFonts w:cstheme="majorHAnsi"/>
          <w:sz w:val="20"/>
          <w:szCs w:val="20"/>
          <w:lang w:val="es-ES"/>
        </w:rPr>
        <w:t xml:space="preserve"> demostración de su rele</w:t>
      </w:r>
      <w:r w:rsidR="008050F6" w:rsidRPr="0033784B">
        <w:rPr>
          <w:rFonts w:cstheme="majorHAnsi"/>
          <w:sz w:val="20"/>
          <w:szCs w:val="20"/>
          <w:lang w:val="es-ES"/>
        </w:rPr>
        <w:t>vancia y a él circunscribe el [ilegible]</w:t>
      </w:r>
      <w:r w:rsidR="00351EB0" w:rsidRPr="0033784B">
        <w:rPr>
          <w:rFonts w:cstheme="majorHAnsi"/>
          <w:sz w:val="20"/>
          <w:szCs w:val="20"/>
          <w:lang w:val="es-ES"/>
        </w:rPr>
        <w:t xml:space="preserve"> recursivo.</w:t>
      </w:r>
    </w:p>
    <w:p w14:paraId="61A422F3" w14:textId="77777777" w:rsidR="00C514C3" w:rsidRPr="0033784B" w:rsidRDefault="00C514C3" w:rsidP="008858A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rFonts w:cstheme="majorHAnsi"/>
          <w:sz w:val="20"/>
          <w:szCs w:val="20"/>
          <w:lang w:val="es-ES"/>
        </w:rPr>
      </w:pPr>
    </w:p>
    <w:p w14:paraId="017211CA" w14:textId="39FB43F3" w:rsidR="00C514C3" w:rsidRPr="0033784B" w:rsidRDefault="005F2C7D" w:rsidP="008858A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rFonts w:cstheme="majorHAnsi"/>
          <w:sz w:val="20"/>
          <w:szCs w:val="20"/>
          <w:lang w:val="es-ES"/>
        </w:rPr>
      </w:pPr>
      <w:r w:rsidRPr="0033784B">
        <w:rPr>
          <w:rFonts w:cstheme="majorHAnsi"/>
          <w:sz w:val="20"/>
          <w:szCs w:val="20"/>
          <w:lang w:val="es-ES"/>
        </w:rPr>
        <w:t>[…]</w:t>
      </w:r>
    </w:p>
    <w:p w14:paraId="724AC883" w14:textId="77777777" w:rsidR="005F2C7D" w:rsidRPr="0033784B" w:rsidRDefault="005F2C7D" w:rsidP="008858A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rFonts w:cstheme="majorHAnsi"/>
          <w:sz w:val="20"/>
          <w:szCs w:val="20"/>
          <w:lang w:val="es-ES"/>
        </w:rPr>
      </w:pPr>
    </w:p>
    <w:p w14:paraId="776A8C94" w14:textId="44FE155A" w:rsidR="005F2C7D" w:rsidRPr="0033784B" w:rsidRDefault="00C44A14" w:rsidP="008858A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rFonts w:cstheme="majorHAnsi"/>
          <w:sz w:val="20"/>
          <w:szCs w:val="20"/>
          <w:lang w:val="es-ES"/>
        </w:rPr>
      </w:pPr>
      <w:r w:rsidRPr="0033784B">
        <w:rPr>
          <w:rFonts w:cstheme="majorHAnsi"/>
          <w:sz w:val="20"/>
          <w:szCs w:val="20"/>
          <w:lang w:val="es-ES"/>
        </w:rPr>
        <w:tab/>
      </w:r>
      <w:r w:rsidR="005F2C7D" w:rsidRPr="0033784B">
        <w:rPr>
          <w:rFonts w:cstheme="majorHAnsi"/>
          <w:sz w:val="20"/>
          <w:szCs w:val="20"/>
          <w:lang w:val="es-ES"/>
        </w:rPr>
        <w:t xml:space="preserve">II.1. El defensor del imputado Domínguez Linares, impetra la nulidad de la sentencia, atribuyéndole la falta de congruencia con la acusación. </w:t>
      </w:r>
    </w:p>
    <w:p w14:paraId="1ACEDCC6" w14:textId="3BC8A698" w:rsidR="00165779" w:rsidRPr="0033784B" w:rsidRDefault="00165779" w:rsidP="00F9752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720"/>
        <w:jc w:val="both"/>
        <w:rPr>
          <w:rFonts w:ascii="Cambria" w:hAnsi="Cambria" w:cstheme="majorHAnsi"/>
          <w:sz w:val="20"/>
          <w:szCs w:val="20"/>
          <w:lang w:val="es-ES"/>
        </w:rPr>
      </w:pPr>
    </w:p>
    <w:p w14:paraId="34341F11" w14:textId="7DA0AF13" w:rsidR="00165779" w:rsidRPr="0033784B" w:rsidRDefault="004B6CDF" w:rsidP="0016577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rFonts w:cstheme="majorHAnsi"/>
          <w:sz w:val="20"/>
          <w:szCs w:val="20"/>
          <w:lang w:val="es-ES"/>
        </w:rPr>
      </w:pPr>
      <w:r w:rsidRPr="0033784B">
        <w:rPr>
          <w:rFonts w:cstheme="majorHAnsi"/>
          <w:sz w:val="20"/>
          <w:szCs w:val="20"/>
          <w:lang w:val="es-ES"/>
        </w:rPr>
        <w:tab/>
      </w:r>
      <w:r w:rsidR="00165779" w:rsidRPr="0033784B">
        <w:rPr>
          <w:rFonts w:cstheme="majorHAnsi"/>
          <w:sz w:val="20"/>
          <w:szCs w:val="20"/>
          <w:lang w:val="es-ES"/>
        </w:rPr>
        <w:t>[…]</w:t>
      </w:r>
    </w:p>
    <w:p w14:paraId="36401A20" w14:textId="77777777" w:rsidR="00280F42" w:rsidRPr="0033784B" w:rsidRDefault="00280F42" w:rsidP="00A779BC">
      <w:pPr>
        <w:rPr>
          <w:rFonts w:ascii="Cambria" w:hAnsi="Cambria"/>
          <w:sz w:val="20"/>
          <w:szCs w:val="20"/>
          <w:lang w:val="es-ES"/>
        </w:rPr>
      </w:pPr>
    </w:p>
    <w:p w14:paraId="54371524" w14:textId="6B94E381" w:rsidR="007C77D7" w:rsidRPr="0033784B" w:rsidRDefault="004B2117" w:rsidP="00C3705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rFonts w:cstheme="majorHAnsi"/>
          <w:sz w:val="20"/>
          <w:szCs w:val="20"/>
          <w:lang w:val="es-AR"/>
        </w:rPr>
      </w:pPr>
      <w:r w:rsidRPr="0033784B">
        <w:rPr>
          <w:rFonts w:cstheme="majorHAnsi"/>
          <w:sz w:val="20"/>
          <w:szCs w:val="20"/>
          <w:lang w:val="es-AR"/>
        </w:rPr>
        <w:tab/>
      </w:r>
      <w:r w:rsidR="00075CEC" w:rsidRPr="0033784B">
        <w:rPr>
          <w:rFonts w:cstheme="majorHAnsi"/>
          <w:sz w:val="20"/>
          <w:szCs w:val="20"/>
          <w:lang w:val="es-AR"/>
        </w:rPr>
        <w:t>2.</w:t>
      </w:r>
      <w:r w:rsidRPr="0033784B">
        <w:rPr>
          <w:rFonts w:cstheme="majorHAnsi"/>
          <w:sz w:val="20"/>
          <w:szCs w:val="20"/>
          <w:lang w:val="es-AR"/>
        </w:rPr>
        <w:t xml:space="preserve">  </w:t>
      </w:r>
      <w:r w:rsidR="000F6559" w:rsidRPr="0033784B">
        <w:rPr>
          <w:rFonts w:cstheme="majorHAnsi"/>
          <w:sz w:val="20"/>
          <w:szCs w:val="20"/>
          <w:lang w:val="es-AR"/>
        </w:rPr>
        <w:t>El recurso de casación deducido por motivo formal es inadmisible por</w:t>
      </w:r>
      <w:r w:rsidR="007C77D7" w:rsidRPr="0033784B">
        <w:rPr>
          <w:rFonts w:cstheme="majorHAnsi"/>
          <w:sz w:val="20"/>
          <w:szCs w:val="20"/>
          <w:lang w:val="es-AR"/>
        </w:rPr>
        <w:t xml:space="preserve"> las razones que a continuación se exponen</w:t>
      </w:r>
      <w:r w:rsidR="000F6559" w:rsidRPr="0033784B">
        <w:rPr>
          <w:rFonts w:cstheme="majorHAnsi"/>
          <w:sz w:val="20"/>
          <w:szCs w:val="20"/>
          <w:lang w:val="es-AR"/>
        </w:rPr>
        <w:t xml:space="preserve">: </w:t>
      </w:r>
    </w:p>
    <w:p w14:paraId="6032E5E9" w14:textId="77777777" w:rsidR="007C77D7" w:rsidRPr="0033784B" w:rsidRDefault="007C77D7" w:rsidP="00C3705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rFonts w:cstheme="majorHAnsi"/>
          <w:sz w:val="20"/>
          <w:szCs w:val="20"/>
          <w:lang w:val="es-AR"/>
        </w:rPr>
      </w:pPr>
    </w:p>
    <w:p w14:paraId="1BAB01B3" w14:textId="49E8B4B0" w:rsidR="00280F42" w:rsidRPr="0033784B" w:rsidRDefault="004B2117" w:rsidP="00C3705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rFonts w:cstheme="majorHAnsi"/>
          <w:sz w:val="20"/>
          <w:szCs w:val="20"/>
          <w:lang w:val="es-AR"/>
        </w:rPr>
      </w:pPr>
      <w:r w:rsidRPr="0033784B">
        <w:rPr>
          <w:rFonts w:cstheme="majorHAnsi"/>
          <w:sz w:val="20"/>
          <w:szCs w:val="20"/>
          <w:lang w:val="es-AR"/>
        </w:rPr>
        <w:tab/>
      </w:r>
      <w:r w:rsidR="000F6559" w:rsidRPr="0033784B">
        <w:rPr>
          <w:rFonts w:cstheme="majorHAnsi"/>
          <w:sz w:val="20"/>
          <w:szCs w:val="20"/>
          <w:lang w:val="es-AR"/>
        </w:rPr>
        <w:t>a)</w:t>
      </w:r>
      <w:r w:rsidR="002F7231" w:rsidRPr="0033784B">
        <w:rPr>
          <w:rFonts w:cstheme="majorHAnsi"/>
          <w:sz w:val="20"/>
          <w:szCs w:val="20"/>
          <w:lang w:val="es-AR"/>
        </w:rPr>
        <w:t xml:space="preserve"> </w:t>
      </w:r>
      <w:r w:rsidR="007C77D7" w:rsidRPr="0033784B">
        <w:rPr>
          <w:rFonts w:cstheme="majorHAnsi"/>
          <w:sz w:val="20"/>
          <w:szCs w:val="20"/>
          <w:lang w:val="es-AR"/>
        </w:rPr>
        <w:t>Conforme a la invariable jurisprudencia de esta Sala, el recurso debe exponer un agravio[ilegible] s</w:t>
      </w:r>
      <w:r w:rsidR="000F6559" w:rsidRPr="0033784B">
        <w:rPr>
          <w:rFonts w:cstheme="majorHAnsi"/>
          <w:sz w:val="20"/>
          <w:szCs w:val="20"/>
          <w:lang w:val="es-AR"/>
        </w:rPr>
        <w:t xml:space="preserve">ustento veraz en las constancias de la causa, de modo </w:t>
      </w:r>
      <w:r w:rsidR="007C77D7" w:rsidRPr="0033784B">
        <w:rPr>
          <w:rFonts w:cstheme="majorHAnsi"/>
          <w:sz w:val="20"/>
          <w:szCs w:val="20"/>
          <w:lang w:val="es-AR"/>
        </w:rPr>
        <w:t xml:space="preserve">que </w:t>
      </w:r>
      <w:r w:rsidR="000F6559" w:rsidRPr="0033784B">
        <w:rPr>
          <w:rFonts w:cstheme="majorHAnsi"/>
          <w:sz w:val="20"/>
          <w:szCs w:val="20"/>
          <w:lang w:val="es-AR"/>
        </w:rPr>
        <w:t xml:space="preserve"> si estas son parcializadas, ignoradas o modificadas y [</w:t>
      </w:r>
      <w:r w:rsidR="007C77D7" w:rsidRPr="0033784B">
        <w:rPr>
          <w:rFonts w:cstheme="majorHAnsi"/>
          <w:sz w:val="20"/>
          <w:szCs w:val="20"/>
          <w:lang w:val="es-AR"/>
        </w:rPr>
        <w:t>ilegible</w:t>
      </w:r>
      <w:r w:rsidR="000F6559" w:rsidRPr="0033784B">
        <w:rPr>
          <w:rFonts w:cstheme="majorHAnsi"/>
          <w:sz w:val="20"/>
          <w:szCs w:val="20"/>
          <w:lang w:val="es-AR"/>
        </w:rPr>
        <w:t xml:space="preserve">] tales alteraciones se construye el gravamen, </w:t>
      </w:r>
      <w:proofErr w:type="spellStart"/>
      <w:r w:rsidR="000F6559" w:rsidRPr="0033784B">
        <w:rPr>
          <w:rFonts w:cstheme="majorHAnsi"/>
          <w:sz w:val="20"/>
          <w:szCs w:val="20"/>
          <w:lang w:val="es-AR"/>
        </w:rPr>
        <w:t>prescin</w:t>
      </w:r>
      <w:proofErr w:type="spellEnd"/>
      <w:r w:rsidR="000F6559" w:rsidRPr="0033784B">
        <w:rPr>
          <w:rFonts w:cstheme="majorHAnsi"/>
          <w:sz w:val="20"/>
          <w:szCs w:val="20"/>
          <w:lang w:val="es-AR"/>
        </w:rPr>
        <w:t>[</w:t>
      </w:r>
      <w:r w:rsidR="007C77D7" w:rsidRPr="0033784B">
        <w:rPr>
          <w:rFonts w:cstheme="majorHAnsi"/>
          <w:sz w:val="20"/>
          <w:szCs w:val="20"/>
          <w:lang w:val="es-AR"/>
        </w:rPr>
        <w:t>ilegible</w:t>
      </w:r>
      <w:r w:rsidR="000F6559" w:rsidRPr="0033784B">
        <w:rPr>
          <w:rFonts w:cstheme="majorHAnsi"/>
          <w:sz w:val="20"/>
          <w:szCs w:val="20"/>
          <w:lang w:val="es-AR"/>
        </w:rPr>
        <w:t>] de los actos procesales tal como han sido realizados [</w:t>
      </w:r>
      <w:r w:rsidR="00280F42" w:rsidRPr="0033784B">
        <w:rPr>
          <w:rFonts w:cstheme="majorHAnsi"/>
          <w:sz w:val="20"/>
          <w:szCs w:val="20"/>
          <w:lang w:val="es-AR"/>
        </w:rPr>
        <w:t>ilegible</w:t>
      </w:r>
      <w:r w:rsidR="000F6559" w:rsidRPr="0033784B">
        <w:rPr>
          <w:rFonts w:cstheme="majorHAnsi"/>
          <w:sz w:val="20"/>
          <w:szCs w:val="20"/>
          <w:lang w:val="es-AR"/>
        </w:rPr>
        <w:t>] impugn</w:t>
      </w:r>
      <w:r w:rsidR="00280F42" w:rsidRPr="0033784B">
        <w:rPr>
          <w:rFonts w:cstheme="majorHAnsi"/>
          <w:sz w:val="20"/>
          <w:szCs w:val="20"/>
          <w:lang w:val="es-AR"/>
        </w:rPr>
        <w:t>ación no es viable formalmente […]</w:t>
      </w:r>
      <w:r w:rsidR="00313FE4" w:rsidRPr="0033784B">
        <w:rPr>
          <w:rFonts w:cstheme="majorHAnsi"/>
          <w:sz w:val="20"/>
          <w:szCs w:val="20"/>
          <w:lang w:val="es-AR"/>
        </w:rPr>
        <w:t>.</w:t>
      </w:r>
    </w:p>
    <w:p w14:paraId="0A6CF2A4" w14:textId="77777777" w:rsidR="00280F42" w:rsidRPr="0033784B" w:rsidRDefault="00280F42" w:rsidP="00C3705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rFonts w:cstheme="majorHAnsi"/>
          <w:sz w:val="20"/>
          <w:szCs w:val="20"/>
          <w:lang w:val="es-AR"/>
        </w:rPr>
      </w:pPr>
    </w:p>
    <w:p w14:paraId="10A5436A" w14:textId="7F68A245" w:rsidR="000F6559" w:rsidRPr="0033784B" w:rsidRDefault="004B2117" w:rsidP="00C3705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rFonts w:cstheme="majorHAnsi"/>
          <w:sz w:val="20"/>
          <w:szCs w:val="20"/>
          <w:lang w:val="es-AR"/>
        </w:rPr>
      </w:pPr>
      <w:r w:rsidRPr="0033784B">
        <w:rPr>
          <w:rFonts w:cstheme="majorHAnsi"/>
          <w:sz w:val="20"/>
          <w:szCs w:val="20"/>
          <w:lang w:val="es-AR"/>
        </w:rPr>
        <w:tab/>
      </w:r>
      <w:r w:rsidR="00280F42" w:rsidRPr="0033784B">
        <w:rPr>
          <w:rFonts w:cstheme="majorHAnsi"/>
          <w:sz w:val="20"/>
          <w:szCs w:val="20"/>
          <w:lang w:val="es-AR"/>
        </w:rPr>
        <w:t>E</w:t>
      </w:r>
      <w:r w:rsidR="000F6559" w:rsidRPr="0033784B">
        <w:rPr>
          <w:rFonts w:cstheme="majorHAnsi"/>
          <w:sz w:val="20"/>
          <w:szCs w:val="20"/>
          <w:lang w:val="es-AR"/>
        </w:rPr>
        <w:t>n tal defecto se incurre en el escrito de interposición acerca del vicio que acusa: falta de correlación entre acusación y sentencia.</w:t>
      </w:r>
    </w:p>
    <w:p w14:paraId="5AEE86E6" w14:textId="77777777" w:rsidR="00075CEC" w:rsidRPr="0033784B" w:rsidRDefault="00075CEC" w:rsidP="00C3705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rFonts w:cstheme="majorHAnsi"/>
          <w:sz w:val="20"/>
          <w:szCs w:val="20"/>
          <w:lang w:val="es-AR"/>
        </w:rPr>
      </w:pPr>
    </w:p>
    <w:p w14:paraId="37055A11" w14:textId="0E8839AE" w:rsidR="00A93350" w:rsidRPr="0033784B" w:rsidRDefault="004B2117" w:rsidP="00C3705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rFonts w:cstheme="majorHAnsi"/>
          <w:sz w:val="20"/>
          <w:szCs w:val="20"/>
          <w:lang w:val="es-AR"/>
        </w:rPr>
      </w:pPr>
      <w:r w:rsidRPr="0033784B">
        <w:rPr>
          <w:rFonts w:cstheme="majorHAnsi"/>
          <w:sz w:val="20"/>
          <w:szCs w:val="20"/>
          <w:lang w:val="es-AR"/>
        </w:rPr>
        <w:tab/>
      </w:r>
      <w:r w:rsidR="00A93350" w:rsidRPr="0033784B">
        <w:rPr>
          <w:rFonts w:cstheme="majorHAnsi"/>
          <w:sz w:val="20"/>
          <w:szCs w:val="20"/>
          <w:lang w:val="es-AR"/>
        </w:rPr>
        <w:t>Ello así</w:t>
      </w:r>
      <w:r w:rsidR="00075CEC" w:rsidRPr="0033784B">
        <w:rPr>
          <w:rFonts w:cstheme="majorHAnsi"/>
          <w:sz w:val="20"/>
          <w:szCs w:val="20"/>
          <w:lang w:val="es-AR"/>
        </w:rPr>
        <w:t xml:space="preserve"> por cuanto</w:t>
      </w:r>
      <w:r w:rsidR="00A93350" w:rsidRPr="0033784B">
        <w:rPr>
          <w:rFonts w:cstheme="majorHAnsi"/>
          <w:sz w:val="20"/>
          <w:szCs w:val="20"/>
          <w:lang w:val="es-AR"/>
        </w:rPr>
        <w:t xml:space="preserve"> en primer té</w:t>
      </w:r>
      <w:r w:rsidR="00075CEC" w:rsidRPr="0033784B">
        <w:rPr>
          <w:rFonts w:cstheme="majorHAnsi"/>
          <w:sz w:val="20"/>
          <w:szCs w:val="20"/>
          <w:lang w:val="es-AR"/>
        </w:rPr>
        <w:t>rmino,</w:t>
      </w:r>
      <w:r w:rsidR="00A93350" w:rsidRPr="0033784B">
        <w:rPr>
          <w:rFonts w:cstheme="majorHAnsi"/>
          <w:sz w:val="20"/>
          <w:szCs w:val="20"/>
          <w:lang w:val="es-AR"/>
        </w:rPr>
        <w:t xml:space="preserve"> circunscribe el hecho al mutuo inicial, cuando tanto la </w:t>
      </w:r>
      <w:r w:rsidR="00E740E8" w:rsidRPr="0033784B">
        <w:rPr>
          <w:rFonts w:cstheme="majorHAnsi"/>
          <w:sz w:val="20"/>
          <w:szCs w:val="20"/>
          <w:lang w:val="es-AR"/>
        </w:rPr>
        <w:t>acusación</w:t>
      </w:r>
      <w:r w:rsidR="00A93350" w:rsidRPr="0033784B">
        <w:rPr>
          <w:rFonts w:cstheme="majorHAnsi"/>
          <w:sz w:val="20"/>
          <w:szCs w:val="20"/>
          <w:lang w:val="es-AR"/>
        </w:rPr>
        <w:t xml:space="preserve"> como la sentencia al fijarlo incluyen otras numerosas asistencias crediticias que consideran </w:t>
      </w:r>
      <w:proofErr w:type="spellStart"/>
      <w:r w:rsidR="00A93350" w:rsidRPr="0033784B">
        <w:rPr>
          <w:rFonts w:cstheme="majorHAnsi"/>
          <w:sz w:val="20"/>
          <w:szCs w:val="20"/>
          <w:lang w:val="es-AR"/>
        </w:rPr>
        <w:t>fraudulentemente</w:t>
      </w:r>
      <w:proofErr w:type="spellEnd"/>
      <w:r w:rsidR="00A93350" w:rsidRPr="0033784B">
        <w:rPr>
          <w:rFonts w:cstheme="majorHAnsi"/>
          <w:sz w:val="20"/>
          <w:szCs w:val="20"/>
          <w:lang w:val="es-AR"/>
        </w:rPr>
        <w:t xml:space="preserve"> obtenidas y prejudiciales, tal como lo indicado en </w:t>
      </w:r>
      <w:r w:rsidR="00E740E8" w:rsidRPr="0033784B">
        <w:rPr>
          <w:rFonts w:cstheme="majorHAnsi"/>
          <w:sz w:val="20"/>
          <w:szCs w:val="20"/>
          <w:lang w:val="es-AR"/>
        </w:rPr>
        <w:t>relación</w:t>
      </w:r>
      <w:r w:rsidR="00A93350" w:rsidRPr="0033784B">
        <w:rPr>
          <w:rFonts w:cstheme="majorHAnsi"/>
          <w:sz w:val="20"/>
          <w:szCs w:val="20"/>
          <w:lang w:val="es-AR"/>
        </w:rPr>
        <w:t xml:space="preserve"> al primer agravio (</w:t>
      </w:r>
      <w:proofErr w:type="spellStart"/>
      <w:r w:rsidR="00A93350" w:rsidRPr="0033784B">
        <w:rPr>
          <w:rFonts w:cstheme="majorHAnsi"/>
          <w:sz w:val="20"/>
          <w:szCs w:val="20"/>
          <w:lang w:val="es-AR"/>
        </w:rPr>
        <w:t>supre</w:t>
      </w:r>
      <w:proofErr w:type="spellEnd"/>
      <w:r w:rsidR="00A93350" w:rsidRPr="0033784B">
        <w:rPr>
          <w:rFonts w:cstheme="majorHAnsi"/>
          <w:sz w:val="20"/>
          <w:szCs w:val="20"/>
          <w:lang w:val="es-AR"/>
        </w:rPr>
        <w:t xml:space="preserve"> I.3.a)).</w:t>
      </w:r>
    </w:p>
    <w:p w14:paraId="2E11877B" w14:textId="77777777" w:rsidR="00A93350" w:rsidRPr="0033784B" w:rsidRDefault="00A93350" w:rsidP="00C3705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rFonts w:cstheme="majorHAnsi"/>
          <w:sz w:val="20"/>
          <w:szCs w:val="20"/>
          <w:lang w:val="es-AR"/>
        </w:rPr>
      </w:pPr>
    </w:p>
    <w:p w14:paraId="6F4E1F0E" w14:textId="06B5538B" w:rsidR="00A93350" w:rsidRPr="0033784B" w:rsidRDefault="004B2117" w:rsidP="00C3705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rFonts w:cstheme="majorHAnsi"/>
          <w:sz w:val="20"/>
          <w:szCs w:val="20"/>
          <w:lang w:val="es-AR"/>
        </w:rPr>
      </w:pPr>
      <w:r w:rsidRPr="0033784B">
        <w:rPr>
          <w:rFonts w:cstheme="majorHAnsi"/>
          <w:sz w:val="20"/>
          <w:szCs w:val="20"/>
          <w:lang w:val="es-AR"/>
        </w:rPr>
        <w:tab/>
      </w:r>
      <w:r w:rsidR="00A93350" w:rsidRPr="0033784B">
        <w:rPr>
          <w:rFonts w:cstheme="majorHAnsi"/>
          <w:sz w:val="20"/>
          <w:szCs w:val="20"/>
          <w:lang w:val="es-AR"/>
        </w:rPr>
        <w:t xml:space="preserve">En segundo término, </w:t>
      </w:r>
      <w:r w:rsidR="00E740E8" w:rsidRPr="0033784B">
        <w:rPr>
          <w:rFonts w:cstheme="majorHAnsi"/>
          <w:sz w:val="20"/>
          <w:szCs w:val="20"/>
          <w:lang w:val="es-AR"/>
        </w:rPr>
        <w:t>únicamente</w:t>
      </w:r>
      <w:r w:rsidR="00A93350" w:rsidRPr="0033784B">
        <w:rPr>
          <w:rFonts w:cstheme="majorHAnsi"/>
          <w:sz w:val="20"/>
          <w:szCs w:val="20"/>
          <w:lang w:val="es-AR"/>
        </w:rPr>
        <w:t xml:space="preserve"> en </w:t>
      </w:r>
      <w:r w:rsidR="00E740E8" w:rsidRPr="0033784B">
        <w:rPr>
          <w:rFonts w:cstheme="majorHAnsi"/>
          <w:sz w:val="20"/>
          <w:szCs w:val="20"/>
          <w:lang w:val="es-AR"/>
        </w:rPr>
        <w:t>relación</w:t>
      </w:r>
      <w:r w:rsidR="00A93350" w:rsidRPr="0033784B">
        <w:rPr>
          <w:rFonts w:cstheme="majorHAnsi"/>
          <w:sz w:val="20"/>
          <w:szCs w:val="20"/>
          <w:lang w:val="es-AR"/>
        </w:rPr>
        <w:t xml:space="preserve"> al mutuo inicial incluido tanto la </w:t>
      </w:r>
      <w:r w:rsidR="00E740E8" w:rsidRPr="0033784B">
        <w:rPr>
          <w:rFonts w:cstheme="majorHAnsi"/>
          <w:sz w:val="20"/>
          <w:szCs w:val="20"/>
          <w:lang w:val="es-AR"/>
        </w:rPr>
        <w:t>acusación</w:t>
      </w:r>
      <w:r w:rsidR="00A93350" w:rsidRPr="0033784B">
        <w:rPr>
          <w:rFonts w:cstheme="majorHAnsi"/>
          <w:sz w:val="20"/>
          <w:szCs w:val="20"/>
          <w:lang w:val="es-AR"/>
        </w:rPr>
        <w:t xml:space="preserve"> como la sentencia, </w:t>
      </w:r>
      <w:proofErr w:type="gramStart"/>
      <w:r w:rsidR="00A93350" w:rsidRPr="0033784B">
        <w:rPr>
          <w:rFonts w:cstheme="majorHAnsi"/>
          <w:sz w:val="20"/>
          <w:szCs w:val="20"/>
          <w:lang w:val="es-AR"/>
        </w:rPr>
        <w:t>aluden</w:t>
      </w:r>
      <w:proofErr w:type="gramEnd"/>
      <w:r w:rsidR="00A93350" w:rsidRPr="0033784B">
        <w:rPr>
          <w:rFonts w:cstheme="majorHAnsi"/>
          <w:sz w:val="20"/>
          <w:szCs w:val="20"/>
          <w:lang w:val="es-AR"/>
        </w:rPr>
        <w:t xml:space="preserve"> a la garantía hipotecaria sobre el inmueble del cementerio parque.</w:t>
      </w:r>
    </w:p>
    <w:p w14:paraId="5C13BC34" w14:textId="77777777" w:rsidR="00A93350" w:rsidRPr="0033784B" w:rsidRDefault="00A93350" w:rsidP="00C3705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rFonts w:cstheme="majorHAnsi"/>
          <w:sz w:val="20"/>
          <w:szCs w:val="20"/>
          <w:lang w:val="es-AR"/>
        </w:rPr>
      </w:pPr>
    </w:p>
    <w:p w14:paraId="0BBA028B" w14:textId="5A1D7C81" w:rsidR="00075CEC" w:rsidRPr="0033784B" w:rsidRDefault="004B2117" w:rsidP="00C3705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rFonts w:cstheme="majorHAnsi"/>
          <w:sz w:val="20"/>
          <w:szCs w:val="20"/>
          <w:lang w:val="es-AR"/>
        </w:rPr>
      </w:pPr>
      <w:r w:rsidRPr="0033784B">
        <w:rPr>
          <w:rFonts w:cstheme="majorHAnsi"/>
          <w:sz w:val="20"/>
          <w:szCs w:val="20"/>
          <w:lang w:val="es-AR"/>
        </w:rPr>
        <w:tab/>
      </w:r>
      <w:r w:rsidR="00A93350" w:rsidRPr="0033784B">
        <w:rPr>
          <w:rFonts w:cstheme="majorHAnsi"/>
          <w:sz w:val="20"/>
          <w:szCs w:val="20"/>
          <w:lang w:val="es-AR"/>
        </w:rPr>
        <w:t xml:space="preserve">Como puede advertirse a </w:t>
      </w:r>
      <w:r w:rsidR="00446160" w:rsidRPr="0033784B">
        <w:rPr>
          <w:rFonts w:cstheme="majorHAnsi"/>
          <w:sz w:val="20"/>
          <w:szCs w:val="20"/>
          <w:lang w:val="es-AR"/>
        </w:rPr>
        <w:t>través</w:t>
      </w:r>
      <w:r w:rsidR="00A93350" w:rsidRPr="0033784B">
        <w:rPr>
          <w:rFonts w:cstheme="majorHAnsi"/>
          <w:sz w:val="20"/>
          <w:szCs w:val="20"/>
          <w:lang w:val="es-AR"/>
        </w:rPr>
        <w:t xml:space="preserve"> de la </w:t>
      </w:r>
      <w:r w:rsidR="00E740E8" w:rsidRPr="0033784B">
        <w:rPr>
          <w:rFonts w:cstheme="majorHAnsi"/>
          <w:sz w:val="20"/>
          <w:szCs w:val="20"/>
          <w:lang w:val="es-AR"/>
        </w:rPr>
        <w:t>confrontación</w:t>
      </w:r>
      <w:r w:rsidR="00A93350" w:rsidRPr="0033784B">
        <w:rPr>
          <w:rFonts w:cstheme="majorHAnsi"/>
          <w:sz w:val="20"/>
          <w:szCs w:val="20"/>
          <w:lang w:val="es-AR"/>
        </w:rPr>
        <w:t xml:space="preserve"> entre la </w:t>
      </w:r>
      <w:r w:rsidR="00E740E8" w:rsidRPr="0033784B">
        <w:rPr>
          <w:rFonts w:cstheme="majorHAnsi"/>
          <w:sz w:val="20"/>
          <w:szCs w:val="20"/>
          <w:lang w:val="es-AR"/>
        </w:rPr>
        <w:t>acusación</w:t>
      </w:r>
      <w:r w:rsidR="00A93350" w:rsidRPr="0033784B">
        <w:rPr>
          <w:rFonts w:cstheme="majorHAnsi"/>
          <w:sz w:val="20"/>
          <w:szCs w:val="20"/>
          <w:lang w:val="es-AR"/>
        </w:rPr>
        <w:t xml:space="preserve"> (fs. 422/455) y la </w:t>
      </w:r>
      <w:r w:rsidR="00E740E8" w:rsidRPr="0033784B">
        <w:rPr>
          <w:rFonts w:cstheme="majorHAnsi"/>
          <w:sz w:val="20"/>
          <w:szCs w:val="20"/>
          <w:lang w:val="es-AR"/>
        </w:rPr>
        <w:t>fijación</w:t>
      </w:r>
      <w:r w:rsidR="00A93350" w:rsidRPr="0033784B">
        <w:rPr>
          <w:rFonts w:cstheme="majorHAnsi"/>
          <w:sz w:val="20"/>
          <w:szCs w:val="20"/>
          <w:lang w:val="es-AR"/>
        </w:rPr>
        <w:t xml:space="preserve"> del hecho acreditado en la sentencia</w:t>
      </w:r>
      <w:r w:rsidR="00075CEC" w:rsidRPr="0033784B">
        <w:rPr>
          <w:rFonts w:cstheme="majorHAnsi"/>
          <w:sz w:val="20"/>
          <w:szCs w:val="20"/>
          <w:lang w:val="es-AR"/>
        </w:rPr>
        <w:t xml:space="preserve"> </w:t>
      </w:r>
      <w:r w:rsidR="00A93350" w:rsidRPr="0033784B">
        <w:rPr>
          <w:rFonts w:cstheme="majorHAnsi"/>
          <w:sz w:val="20"/>
          <w:szCs w:val="20"/>
          <w:lang w:val="es-AR"/>
        </w:rPr>
        <w:t xml:space="preserve">(fs. 586/618), ambos actos procesales coinciden tanto en la sobrevaluación del inmueble que se colocó como garantía del préstamo, </w:t>
      </w:r>
      <w:r w:rsidR="00E740E8" w:rsidRPr="0033784B">
        <w:rPr>
          <w:rFonts w:cstheme="majorHAnsi"/>
          <w:sz w:val="20"/>
          <w:szCs w:val="20"/>
          <w:lang w:val="es-AR"/>
        </w:rPr>
        <w:t>también</w:t>
      </w:r>
      <w:r w:rsidR="00A93350" w:rsidRPr="0033784B">
        <w:rPr>
          <w:rFonts w:cstheme="majorHAnsi"/>
          <w:sz w:val="20"/>
          <w:szCs w:val="20"/>
          <w:lang w:val="es-AR"/>
        </w:rPr>
        <w:t xml:space="preserve"> acerca de que se trataba de un lote de un cementerio parque cuya naturaleza </w:t>
      </w:r>
      <w:r w:rsidR="00E740E8" w:rsidRPr="0033784B">
        <w:rPr>
          <w:rFonts w:cstheme="majorHAnsi"/>
          <w:sz w:val="20"/>
          <w:szCs w:val="20"/>
          <w:lang w:val="es-AR"/>
        </w:rPr>
        <w:t>jurídica</w:t>
      </w:r>
      <w:r w:rsidR="00A93350" w:rsidRPr="0033784B">
        <w:rPr>
          <w:rFonts w:cstheme="majorHAnsi"/>
          <w:sz w:val="20"/>
          <w:szCs w:val="20"/>
          <w:lang w:val="es-AR"/>
        </w:rPr>
        <w:t xml:space="preserve"> conllevaba limitaciones para la ejecución: como asimismo hacen referencia al perjudicial precedente de aceptar en pago parcelas de otro cementerio parque. </w:t>
      </w:r>
    </w:p>
    <w:p w14:paraId="6762B3AF" w14:textId="77777777" w:rsidR="00A93350" w:rsidRPr="0033784B" w:rsidRDefault="00A93350" w:rsidP="00C3705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rFonts w:cstheme="majorHAnsi"/>
          <w:sz w:val="20"/>
          <w:szCs w:val="20"/>
          <w:lang w:val="es-AR"/>
        </w:rPr>
      </w:pPr>
    </w:p>
    <w:p w14:paraId="50943B28" w14:textId="48C041A5" w:rsidR="00A93350" w:rsidRPr="0033784B" w:rsidRDefault="004B2117" w:rsidP="00C3705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rFonts w:cstheme="majorHAnsi"/>
          <w:sz w:val="20"/>
          <w:szCs w:val="20"/>
          <w:lang w:val="es-ES"/>
        </w:rPr>
      </w:pPr>
      <w:r w:rsidRPr="0033784B">
        <w:rPr>
          <w:rFonts w:cstheme="majorHAnsi"/>
          <w:sz w:val="20"/>
          <w:szCs w:val="20"/>
          <w:lang w:val="es-AR"/>
        </w:rPr>
        <w:tab/>
      </w:r>
      <w:r w:rsidR="00A93350" w:rsidRPr="0033784B">
        <w:rPr>
          <w:rFonts w:cstheme="majorHAnsi"/>
          <w:sz w:val="20"/>
          <w:szCs w:val="20"/>
          <w:lang w:val="es-AR"/>
        </w:rPr>
        <w:t xml:space="preserve">La </w:t>
      </w:r>
      <w:r w:rsidR="00E740E8" w:rsidRPr="0033784B">
        <w:rPr>
          <w:rFonts w:cstheme="majorHAnsi"/>
          <w:sz w:val="20"/>
          <w:szCs w:val="20"/>
          <w:lang w:val="es-AR"/>
        </w:rPr>
        <w:t>inclusión</w:t>
      </w:r>
      <w:r w:rsidR="00A93350" w:rsidRPr="0033784B">
        <w:rPr>
          <w:rFonts w:cstheme="majorHAnsi"/>
          <w:sz w:val="20"/>
          <w:szCs w:val="20"/>
          <w:lang w:val="es-AR"/>
        </w:rPr>
        <w:t xml:space="preserve"> en la sentencia de referencia acerca de que la comercialización de bienes de cambio que afectarían el valor y la </w:t>
      </w:r>
      <w:proofErr w:type="spellStart"/>
      <w:r w:rsidR="00A93350" w:rsidRPr="0033784B">
        <w:rPr>
          <w:rFonts w:cstheme="majorHAnsi"/>
          <w:sz w:val="20"/>
          <w:szCs w:val="20"/>
          <w:lang w:val="es-AR"/>
        </w:rPr>
        <w:t>ejecutabilidad</w:t>
      </w:r>
      <w:proofErr w:type="spellEnd"/>
      <w:r w:rsidR="00A93350" w:rsidRPr="0033784B">
        <w:rPr>
          <w:rFonts w:cstheme="majorHAnsi"/>
          <w:sz w:val="20"/>
          <w:szCs w:val="20"/>
          <w:lang w:val="es-AR"/>
        </w:rPr>
        <w:t xml:space="preserve"> del bien ofrecido en garantía, fueron efectuadas junto con otras  </w:t>
      </w:r>
      <w:r w:rsidR="00A93350" w:rsidRPr="0033784B">
        <w:rPr>
          <w:rFonts w:cstheme="majorHAnsi"/>
          <w:sz w:val="20"/>
          <w:szCs w:val="20"/>
          <w:lang w:val="es-ES"/>
        </w:rPr>
        <w:t>[…], que fueran efectivamente mencionadas también en la acusación. Idéntica situación</w:t>
      </w:r>
      <w:r w:rsidR="00313FE4" w:rsidRPr="0033784B">
        <w:rPr>
          <w:rFonts w:cstheme="majorHAnsi"/>
          <w:sz w:val="20"/>
          <w:szCs w:val="20"/>
          <w:lang w:val="es-ES"/>
        </w:rPr>
        <w:t xml:space="preserve"> se produce respecto de [ilegible]</w:t>
      </w:r>
      <w:r w:rsidR="00A93350" w:rsidRPr="0033784B">
        <w:rPr>
          <w:rFonts w:cstheme="majorHAnsi"/>
          <w:sz w:val="20"/>
          <w:szCs w:val="20"/>
          <w:lang w:val="es-ES"/>
        </w:rPr>
        <w:t xml:space="preserve"> referencia acerca de que los funcionarios del Banco condenados, aceptaron </w:t>
      </w:r>
      <w:r w:rsidR="00704F85" w:rsidRPr="0033784B">
        <w:rPr>
          <w:rFonts w:cstheme="majorHAnsi"/>
          <w:sz w:val="20"/>
          <w:szCs w:val="20"/>
          <w:lang w:val="es-ES"/>
        </w:rPr>
        <w:t xml:space="preserve">“una situación particular […]”, la que mencionada entre otras circunstancias idénticas descriptas en la acusación relacionadas con el obrar ilegitimo y a sabiendas. </w:t>
      </w:r>
    </w:p>
    <w:p w14:paraId="49A911E4" w14:textId="77777777" w:rsidR="00704F85" w:rsidRPr="0033784B" w:rsidRDefault="00704F85" w:rsidP="00C3705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rFonts w:cstheme="majorHAnsi"/>
          <w:sz w:val="20"/>
          <w:szCs w:val="20"/>
          <w:lang w:val="es-ES"/>
        </w:rPr>
      </w:pPr>
    </w:p>
    <w:p w14:paraId="4CFE74B4" w14:textId="562CE2EB" w:rsidR="00704F85" w:rsidRPr="0033784B" w:rsidRDefault="004B2117" w:rsidP="00C3705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rFonts w:cstheme="majorHAnsi"/>
          <w:sz w:val="20"/>
          <w:szCs w:val="20"/>
          <w:lang w:val="es-ES"/>
        </w:rPr>
      </w:pPr>
      <w:r w:rsidRPr="0033784B">
        <w:rPr>
          <w:rFonts w:cstheme="majorHAnsi"/>
          <w:sz w:val="20"/>
          <w:szCs w:val="20"/>
          <w:lang w:val="es-ES"/>
        </w:rPr>
        <w:tab/>
      </w:r>
      <w:r w:rsidR="00704F85" w:rsidRPr="0033784B">
        <w:rPr>
          <w:rFonts w:cstheme="majorHAnsi"/>
          <w:sz w:val="20"/>
          <w:szCs w:val="20"/>
          <w:lang w:val="es-ES"/>
        </w:rPr>
        <w:t xml:space="preserve">El impugnante con la dogmática afirmación de que esas circunstancias eran decisivas, no ha fundamentado esa calificación, toda vez que ha prescindido de procurar demostrar su </w:t>
      </w:r>
      <w:proofErr w:type="spellStart"/>
      <w:r w:rsidR="00704F85" w:rsidRPr="0033784B">
        <w:rPr>
          <w:rFonts w:cstheme="majorHAnsi"/>
          <w:sz w:val="20"/>
          <w:szCs w:val="20"/>
          <w:lang w:val="es-ES"/>
        </w:rPr>
        <w:t>dirimencia</w:t>
      </w:r>
      <w:proofErr w:type="spellEnd"/>
      <w:r w:rsidR="00704F85" w:rsidRPr="0033784B">
        <w:rPr>
          <w:rFonts w:cstheme="majorHAnsi"/>
          <w:sz w:val="20"/>
          <w:szCs w:val="20"/>
          <w:lang w:val="es-ES"/>
        </w:rPr>
        <w:t xml:space="preserve"> a los efectos de </w:t>
      </w:r>
      <w:r w:rsidR="000367EA" w:rsidRPr="0033784B">
        <w:rPr>
          <w:rFonts w:cstheme="majorHAnsi"/>
          <w:sz w:val="20"/>
          <w:szCs w:val="20"/>
          <w:lang w:val="es-ES"/>
        </w:rPr>
        <w:t>exponer una falta de correlación de su procedencia formal conforme a la invariable jurisprudencia de la Sala […].</w:t>
      </w:r>
    </w:p>
    <w:p w14:paraId="70D2D154" w14:textId="77777777" w:rsidR="00484EEF" w:rsidRPr="0033784B" w:rsidRDefault="00484EEF" w:rsidP="00C3705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rFonts w:cstheme="majorHAnsi"/>
          <w:sz w:val="20"/>
          <w:szCs w:val="20"/>
          <w:lang w:val="es-ES"/>
        </w:rPr>
      </w:pPr>
    </w:p>
    <w:p w14:paraId="62B5709C" w14:textId="130A28F7" w:rsidR="00484EEF" w:rsidRPr="0033784B" w:rsidRDefault="004B2117" w:rsidP="00C3705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rFonts w:cstheme="majorHAnsi"/>
          <w:sz w:val="20"/>
          <w:szCs w:val="20"/>
          <w:lang w:val="es-ES"/>
        </w:rPr>
      </w:pPr>
      <w:r w:rsidRPr="0033784B">
        <w:rPr>
          <w:rFonts w:cstheme="majorHAnsi"/>
          <w:sz w:val="20"/>
          <w:szCs w:val="20"/>
          <w:lang w:val="es-ES"/>
        </w:rPr>
        <w:lastRenderedPageBreak/>
        <w:tab/>
      </w:r>
      <w:r w:rsidR="00BE3C58" w:rsidRPr="0033784B">
        <w:rPr>
          <w:rFonts w:cstheme="majorHAnsi"/>
          <w:sz w:val="20"/>
          <w:szCs w:val="20"/>
          <w:lang w:val="es-ES"/>
        </w:rPr>
        <w:t>b) Asimismo</w:t>
      </w:r>
      <w:r w:rsidR="00484EEF" w:rsidRPr="0033784B">
        <w:rPr>
          <w:rFonts w:cstheme="majorHAnsi"/>
          <w:sz w:val="20"/>
          <w:szCs w:val="20"/>
          <w:lang w:val="es-ES"/>
        </w:rPr>
        <w:t xml:space="preserve"> se advierte que el impugnante, en relación únicamente con el mutuo inicial al que aluden tanto la acusación como la sentencia, identifica la disminución de la garantía hipotecaria por la efectiva comercialización posterior de las parcela</w:t>
      </w:r>
      <w:r w:rsidR="00313FE4" w:rsidRPr="0033784B">
        <w:rPr>
          <w:rFonts w:cstheme="majorHAnsi"/>
          <w:sz w:val="20"/>
          <w:szCs w:val="20"/>
          <w:lang w:val="es-ES"/>
        </w:rPr>
        <w:t>s del cementerio parque que para</w:t>
      </w:r>
      <w:r w:rsidR="00484EEF" w:rsidRPr="0033784B">
        <w:rPr>
          <w:rFonts w:cstheme="majorHAnsi"/>
          <w:sz w:val="20"/>
          <w:szCs w:val="20"/>
          <w:lang w:val="es-ES"/>
        </w:rPr>
        <w:t xml:space="preserve"> el tribunal de juicio constituyeron hechos comprobados en el debate no incluidos en la acusación y por tanto excluidos de la condena. </w:t>
      </w:r>
      <w:r w:rsidR="003C73EA" w:rsidRPr="0033784B">
        <w:rPr>
          <w:rFonts w:cstheme="majorHAnsi"/>
          <w:sz w:val="20"/>
          <w:szCs w:val="20"/>
          <w:lang w:val="es-ES"/>
        </w:rPr>
        <w:t>[…].</w:t>
      </w:r>
    </w:p>
    <w:p w14:paraId="2FBA9C2D" w14:textId="77777777" w:rsidR="003C73EA" w:rsidRPr="0033784B" w:rsidRDefault="003C73EA" w:rsidP="00C3705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rFonts w:cstheme="majorHAnsi"/>
          <w:sz w:val="20"/>
          <w:szCs w:val="20"/>
          <w:lang w:val="es-ES"/>
        </w:rPr>
      </w:pPr>
    </w:p>
    <w:p w14:paraId="2EFC90D3" w14:textId="07D24C2C" w:rsidR="00075CEC" w:rsidRPr="0033784B" w:rsidRDefault="004B2117" w:rsidP="009517E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rFonts w:cstheme="majorHAnsi"/>
          <w:sz w:val="20"/>
          <w:szCs w:val="20"/>
          <w:lang w:val="es-ES"/>
        </w:rPr>
      </w:pPr>
      <w:r w:rsidRPr="0033784B">
        <w:rPr>
          <w:rFonts w:cstheme="majorHAnsi"/>
          <w:sz w:val="20"/>
          <w:szCs w:val="20"/>
          <w:lang w:val="es-ES"/>
        </w:rPr>
        <w:tab/>
      </w:r>
      <w:r w:rsidR="003C73EA" w:rsidRPr="0033784B">
        <w:rPr>
          <w:rFonts w:cstheme="majorHAnsi"/>
          <w:sz w:val="20"/>
          <w:szCs w:val="20"/>
          <w:lang w:val="es-ES"/>
        </w:rPr>
        <w:t xml:space="preserve">Desde que el recurso también </w:t>
      </w:r>
      <w:r w:rsidR="00313FE4" w:rsidRPr="0033784B">
        <w:rPr>
          <w:rFonts w:cstheme="majorHAnsi"/>
          <w:sz w:val="20"/>
          <w:szCs w:val="20"/>
          <w:lang w:val="es-ES"/>
        </w:rPr>
        <w:t>se endereza a cuestionar el</w:t>
      </w:r>
      <w:r w:rsidR="007860A4" w:rsidRPr="0033784B">
        <w:rPr>
          <w:rFonts w:cstheme="majorHAnsi"/>
          <w:sz w:val="20"/>
          <w:szCs w:val="20"/>
          <w:lang w:val="es-ES"/>
        </w:rPr>
        <w:t xml:space="preserve"> punto</w:t>
      </w:r>
      <w:r w:rsidR="003C73EA" w:rsidRPr="0033784B">
        <w:rPr>
          <w:rFonts w:cstheme="majorHAnsi"/>
          <w:sz w:val="20"/>
          <w:szCs w:val="20"/>
          <w:lang w:val="es-ES"/>
        </w:rPr>
        <w:t xml:space="preserve"> de la parte dispositiva de la sentencia que en consonancia con esos fundamentos dispuso en [ilegible] a esos hechos bajar las actuaciones al Juzgado de Instrucción “a sus efectos”, en rigor de verdad [ilegible] objeto no es impugnable en </w:t>
      </w:r>
      <w:r w:rsidR="000C20B1" w:rsidRPr="0033784B">
        <w:rPr>
          <w:rFonts w:cstheme="majorHAnsi"/>
          <w:sz w:val="20"/>
          <w:szCs w:val="20"/>
          <w:lang w:val="es-ES"/>
        </w:rPr>
        <w:t>casación</w:t>
      </w:r>
      <w:r w:rsidR="0002562F" w:rsidRPr="0033784B">
        <w:rPr>
          <w:rFonts w:cstheme="majorHAnsi"/>
          <w:sz w:val="20"/>
          <w:szCs w:val="20"/>
          <w:lang w:val="es-ES"/>
        </w:rPr>
        <w:t xml:space="preserve"> (C.P.P.</w:t>
      </w:r>
      <w:r w:rsidR="009517EF" w:rsidRPr="0033784B">
        <w:rPr>
          <w:rFonts w:cstheme="majorHAnsi"/>
          <w:sz w:val="20"/>
          <w:szCs w:val="20"/>
          <w:lang w:val="es-ES"/>
        </w:rPr>
        <w:t xml:space="preserve"> 469) [ilegible] punto no es sentencia definitiva y no impide oportunamente haga valer sus defensas concernientes [ilegible] identidad entre esos hechos sobre los cuales no [ilegible] iniciado aun </w:t>
      </w:r>
      <w:proofErr w:type="spellStart"/>
      <w:r w:rsidR="009517EF" w:rsidRPr="0033784B">
        <w:rPr>
          <w:rFonts w:cstheme="majorHAnsi"/>
          <w:sz w:val="20"/>
          <w:szCs w:val="20"/>
          <w:lang w:val="es-ES"/>
        </w:rPr>
        <w:t>persecusión</w:t>
      </w:r>
      <w:proofErr w:type="spellEnd"/>
      <w:r w:rsidR="009517EF" w:rsidRPr="0033784B">
        <w:rPr>
          <w:rFonts w:cstheme="majorHAnsi"/>
          <w:sz w:val="20"/>
          <w:szCs w:val="20"/>
          <w:lang w:val="es-ES"/>
        </w:rPr>
        <w:t xml:space="preserve"> (sic)penal, con los incluidos [ilegible] sentencia condenatoria.   </w:t>
      </w:r>
    </w:p>
    <w:p w14:paraId="764CE28C" w14:textId="77777777" w:rsidR="00553C69" w:rsidRPr="0033784B" w:rsidRDefault="00553C69" w:rsidP="00C3705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rFonts w:cstheme="majorHAnsi"/>
          <w:sz w:val="20"/>
          <w:szCs w:val="20"/>
          <w:lang w:val="es-ES"/>
        </w:rPr>
      </w:pPr>
    </w:p>
    <w:p w14:paraId="29C0EF8E" w14:textId="19CD87C9" w:rsidR="004B2117" w:rsidRPr="0033784B" w:rsidRDefault="004B2117" w:rsidP="00C3705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rFonts w:cstheme="majorHAnsi"/>
          <w:sz w:val="20"/>
          <w:szCs w:val="20"/>
          <w:lang w:val="es-ES"/>
        </w:rPr>
      </w:pPr>
      <w:r w:rsidRPr="0033784B">
        <w:rPr>
          <w:rFonts w:cstheme="majorHAnsi"/>
          <w:sz w:val="20"/>
          <w:szCs w:val="20"/>
          <w:lang w:val="es-ES"/>
        </w:rPr>
        <w:t>[…]</w:t>
      </w:r>
    </w:p>
    <w:p w14:paraId="7CDEEECD" w14:textId="77777777" w:rsidR="004B2117" w:rsidRPr="0033784B" w:rsidRDefault="004B2117" w:rsidP="00C3705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rFonts w:cstheme="majorHAnsi"/>
          <w:sz w:val="20"/>
          <w:szCs w:val="20"/>
          <w:lang w:val="es-ES"/>
        </w:rPr>
      </w:pPr>
    </w:p>
    <w:p w14:paraId="7E9C1A87" w14:textId="0F7C24F0" w:rsidR="00553C69" w:rsidRPr="0033784B" w:rsidRDefault="004B2117" w:rsidP="00C3705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rFonts w:cstheme="majorHAnsi"/>
          <w:sz w:val="20"/>
          <w:szCs w:val="20"/>
          <w:lang w:val="es-AR"/>
        </w:rPr>
      </w:pPr>
      <w:r w:rsidRPr="0033784B">
        <w:rPr>
          <w:rFonts w:cstheme="majorHAnsi"/>
          <w:sz w:val="20"/>
          <w:szCs w:val="20"/>
          <w:lang w:val="es-AR"/>
        </w:rPr>
        <w:tab/>
      </w:r>
      <w:r w:rsidR="00553C69" w:rsidRPr="0033784B">
        <w:rPr>
          <w:rFonts w:cstheme="majorHAnsi"/>
          <w:sz w:val="20"/>
          <w:szCs w:val="20"/>
          <w:lang w:val="es-AR"/>
        </w:rPr>
        <w:t>RESUELVE: Declarar que el recurso de casación deducido a favor del imputado Carlos Eduardo Domínguez Linares, es formalmente inadmisible (CPP 455 y 474). Con costas (CPP 550/551)</w:t>
      </w:r>
      <w:r w:rsidR="00553C69" w:rsidRPr="0033784B">
        <w:rPr>
          <w:rStyle w:val="FootnoteReference"/>
          <w:rFonts w:cstheme="majorHAnsi"/>
          <w:sz w:val="20"/>
          <w:szCs w:val="20"/>
          <w:lang w:val="es-AR"/>
        </w:rPr>
        <w:footnoteReference w:id="11"/>
      </w:r>
    </w:p>
    <w:p w14:paraId="45B2AF0B" w14:textId="77777777" w:rsidR="000F6559" w:rsidRPr="0033784B" w:rsidRDefault="000F6559" w:rsidP="000F6559">
      <w:pPr>
        <w:tabs>
          <w:tab w:val="left" w:pos="1440"/>
        </w:tabs>
        <w:ind w:firstLine="720"/>
        <w:jc w:val="both"/>
        <w:rPr>
          <w:rFonts w:ascii="Cambria" w:hAnsi="Cambria" w:cstheme="majorHAnsi"/>
          <w:sz w:val="20"/>
          <w:szCs w:val="20"/>
          <w:lang w:val="es-AR"/>
        </w:rPr>
      </w:pPr>
    </w:p>
    <w:p w14:paraId="72F21887" w14:textId="67E1C996" w:rsidR="00A17234" w:rsidRPr="0033784B" w:rsidRDefault="00A17234" w:rsidP="00D0583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cstheme="majorHAnsi"/>
          <w:sz w:val="20"/>
          <w:szCs w:val="20"/>
          <w:lang w:val="es-AR"/>
        </w:rPr>
      </w:pPr>
      <w:r w:rsidRPr="0033784B">
        <w:rPr>
          <w:rFonts w:cstheme="majorHAnsi"/>
          <w:sz w:val="20"/>
          <w:szCs w:val="20"/>
          <w:lang w:val="es-AR"/>
        </w:rPr>
        <w:t xml:space="preserve">Según información presentada por </w:t>
      </w:r>
      <w:r w:rsidR="00AD7AE2" w:rsidRPr="0033784B">
        <w:rPr>
          <w:rFonts w:cstheme="majorHAnsi"/>
          <w:sz w:val="20"/>
          <w:szCs w:val="20"/>
          <w:lang w:val="es-AR"/>
        </w:rPr>
        <w:t>la parte peticionaria</w:t>
      </w:r>
      <w:r w:rsidRPr="0033784B">
        <w:rPr>
          <w:rFonts w:cstheme="majorHAnsi"/>
          <w:sz w:val="20"/>
          <w:szCs w:val="20"/>
          <w:lang w:val="es-AR"/>
        </w:rPr>
        <w:t xml:space="preserve">, y no controvertida por el Estado, el 17 de diciembre de 1998 </w:t>
      </w:r>
      <w:r w:rsidR="00BB17AB" w:rsidRPr="0033784B">
        <w:rPr>
          <w:rFonts w:cstheme="majorHAnsi"/>
          <w:sz w:val="20"/>
          <w:szCs w:val="20"/>
          <w:lang w:val="es-AR"/>
        </w:rPr>
        <w:t xml:space="preserve">la Sala Penal del </w:t>
      </w:r>
      <w:r w:rsidRPr="0033784B">
        <w:rPr>
          <w:rFonts w:cstheme="majorHAnsi"/>
          <w:sz w:val="20"/>
          <w:szCs w:val="20"/>
          <w:lang w:val="es-AR"/>
        </w:rPr>
        <w:t>Tribunal Superior de Justicia de la Provincia de Córdoba resolvió</w:t>
      </w:r>
      <w:r w:rsidR="00435E4E" w:rsidRPr="0033784B">
        <w:rPr>
          <w:rFonts w:cstheme="majorHAnsi"/>
          <w:sz w:val="20"/>
          <w:szCs w:val="20"/>
          <w:lang w:val="es-AR"/>
        </w:rPr>
        <w:t>, en similar sentido,</w:t>
      </w:r>
      <w:r w:rsidRPr="0033784B">
        <w:rPr>
          <w:rFonts w:cstheme="majorHAnsi"/>
          <w:sz w:val="20"/>
          <w:szCs w:val="20"/>
          <w:lang w:val="es-AR"/>
        </w:rPr>
        <w:t xml:space="preserve"> declarar la inadmisibilidad del recurso de casación</w:t>
      </w:r>
      <w:r w:rsidR="00AD7AE2" w:rsidRPr="0033784B">
        <w:rPr>
          <w:rFonts w:cstheme="majorHAnsi"/>
          <w:sz w:val="20"/>
          <w:szCs w:val="20"/>
          <w:lang w:val="es-AR"/>
        </w:rPr>
        <w:t xml:space="preserve"> respecto del señor Julio Cesar Ramón Del Valle Ambrosio</w:t>
      </w:r>
      <w:r w:rsidRPr="0033784B">
        <w:rPr>
          <w:rStyle w:val="FootnoteReference"/>
          <w:sz w:val="20"/>
          <w:szCs w:val="20"/>
          <w:lang w:val="es-AR"/>
        </w:rPr>
        <w:footnoteReference w:id="12"/>
      </w:r>
      <w:r w:rsidRPr="0033784B">
        <w:rPr>
          <w:rFonts w:cstheme="majorHAnsi"/>
          <w:sz w:val="20"/>
          <w:szCs w:val="20"/>
          <w:lang w:val="es-AR"/>
        </w:rPr>
        <w:t>.</w:t>
      </w:r>
    </w:p>
    <w:p w14:paraId="4CA3E396" w14:textId="77777777" w:rsidR="00553C69" w:rsidRPr="0033784B" w:rsidRDefault="00553C69" w:rsidP="00553C6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jc w:val="both"/>
        <w:rPr>
          <w:sz w:val="20"/>
          <w:szCs w:val="20"/>
          <w:lang w:val="es-AR"/>
        </w:rPr>
      </w:pPr>
    </w:p>
    <w:p w14:paraId="465EC4BD" w14:textId="7D962A6A" w:rsidR="00246835" w:rsidRPr="0033784B" w:rsidRDefault="00246835" w:rsidP="00D0583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cstheme="majorHAnsi"/>
          <w:sz w:val="20"/>
          <w:szCs w:val="20"/>
          <w:lang w:val="es-AR"/>
        </w:rPr>
      </w:pPr>
      <w:r w:rsidRPr="0033784B">
        <w:rPr>
          <w:rFonts w:cstheme="majorHAnsi"/>
          <w:sz w:val="20"/>
          <w:szCs w:val="20"/>
          <w:lang w:val="es-AR"/>
        </w:rPr>
        <w:t>L</w:t>
      </w:r>
      <w:r w:rsidR="00E02903" w:rsidRPr="0033784B">
        <w:rPr>
          <w:rFonts w:cstheme="majorHAnsi"/>
          <w:sz w:val="20"/>
          <w:szCs w:val="20"/>
          <w:lang w:val="es-AR"/>
        </w:rPr>
        <w:t>a</w:t>
      </w:r>
      <w:r w:rsidRPr="0033784B">
        <w:rPr>
          <w:rFonts w:cstheme="majorHAnsi"/>
          <w:sz w:val="20"/>
          <w:szCs w:val="20"/>
          <w:lang w:val="es-AR"/>
        </w:rPr>
        <w:t xml:space="preserve"> </w:t>
      </w:r>
      <w:r w:rsidR="00E02903" w:rsidRPr="0033784B">
        <w:rPr>
          <w:rFonts w:cstheme="majorHAnsi"/>
          <w:sz w:val="20"/>
          <w:szCs w:val="20"/>
          <w:lang w:val="es-AR"/>
        </w:rPr>
        <w:t xml:space="preserve">parte </w:t>
      </w:r>
      <w:r w:rsidRPr="0033784B">
        <w:rPr>
          <w:rFonts w:cstheme="majorHAnsi"/>
          <w:sz w:val="20"/>
          <w:szCs w:val="20"/>
          <w:lang w:val="es-AR"/>
        </w:rPr>
        <w:t>peticionari</w:t>
      </w:r>
      <w:r w:rsidR="00E02903" w:rsidRPr="0033784B">
        <w:rPr>
          <w:rFonts w:cstheme="majorHAnsi"/>
          <w:sz w:val="20"/>
          <w:szCs w:val="20"/>
          <w:lang w:val="es-AR"/>
        </w:rPr>
        <w:t>a</w:t>
      </w:r>
      <w:r w:rsidRPr="0033784B">
        <w:rPr>
          <w:rFonts w:cstheme="majorHAnsi"/>
          <w:sz w:val="20"/>
          <w:szCs w:val="20"/>
          <w:lang w:val="es-AR"/>
        </w:rPr>
        <w:t xml:space="preserve"> afirm</w:t>
      </w:r>
      <w:r w:rsidR="00A57E11" w:rsidRPr="0033784B">
        <w:rPr>
          <w:rFonts w:cstheme="majorHAnsi"/>
          <w:sz w:val="20"/>
          <w:szCs w:val="20"/>
          <w:lang w:val="es-AR"/>
        </w:rPr>
        <w:t>ó</w:t>
      </w:r>
      <w:r w:rsidRPr="0033784B">
        <w:rPr>
          <w:rFonts w:cstheme="majorHAnsi"/>
          <w:sz w:val="20"/>
          <w:szCs w:val="20"/>
          <w:lang w:val="es-AR"/>
        </w:rPr>
        <w:t xml:space="preserve"> que el 4 de febrero de 1999, la defensa del señor Del Valle Ambrosio interpuso recurso extraordinario ante la Corte Suprema de Justicia de la Nación en contra del auto que declar</w:t>
      </w:r>
      <w:r w:rsidR="00A57E11" w:rsidRPr="0033784B">
        <w:rPr>
          <w:rFonts w:cstheme="majorHAnsi"/>
          <w:sz w:val="20"/>
          <w:szCs w:val="20"/>
          <w:lang w:val="es-AR"/>
        </w:rPr>
        <w:t>ó</w:t>
      </w:r>
      <w:r w:rsidRPr="0033784B">
        <w:rPr>
          <w:rFonts w:cstheme="majorHAnsi"/>
          <w:sz w:val="20"/>
          <w:szCs w:val="20"/>
          <w:lang w:val="es-AR"/>
        </w:rPr>
        <w:t xml:space="preserve"> la inadmisibilidad formal del recurso de casación</w:t>
      </w:r>
      <w:r w:rsidRPr="0033784B">
        <w:rPr>
          <w:rStyle w:val="FootnoteReference"/>
          <w:sz w:val="20"/>
          <w:szCs w:val="20"/>
          <w:lang w:val="es-AR"/>
        </w:rPr>
        <w:footnoteReference w:id="13"/>
      </w:r>
      <w:r w:rsidRPr="0033784B">
        <w:rPr>
          <w:rFonts w:cstheme="majorHAnsi"/>
          <w:sz w:val="20"/>
          <w:szCs w:val="20"/>
          <w:lang w:val="es-AR"/>
        </w:rPr>
        <w:t xml:space="preserve">. </w:t>
      </w:r>
      <w:r w:rsidR="00A57E11" w:rsidRPr="0033784B">
        <w:rPr>
          <w:rFonts w:cstheme="majorHAnsi"/>
          <w:sz w:val="20"/>
          <w:szCs w:val="20"/>
          <w:lang w:val="es-AR"/>
        </w:rPr>
        <w:t xml:space="preserve">Indicó que </w:t>
      </w:r>
      <w:r w:rsidRPr="0033784B">
        <w:rPr>
          <w:rFonts w:cstheme="majorHAnsi"/>
          <w:sz w:val="20"/>
          <w:szCs w:val="20"/>
          <w:lang w:val="es-AR"/>
        </w:rPr>
        <w:t xml:space="preserve"> el señor Domínguez Linares interpuso recurso extraordinario el 5 de febrero de 1999</w:t>
      </w:r>
      <w:r w:rsidRPr="0033784B">
        <w:rPr>
          <w:rStyle w:val="FootnoteReference"/>
          <w:sz w:val="20"/>
          <w:szCs w:val="20"/>
          <w:lang w:val="es-AR"/>
        </w:rPr>
        <w:footnoteReference w:id="14"/>
      </w:r>
      <w:r w:rsidRPr="0033784B">
        <w:rPr>
          <w:rFonts w:cstheme="majorHAnsi"/>
          <w:sz w:val="20"/>
          <w:szCs w:val="20"/>
          <w:lang w:val="es-AR"/>
        </w:rPr>
        <w:t xml:space="preserve">. </w:t>
      </w:r>
    </w:p>
    <w:p w14:paraId="3CAE58EF" w14:textId="77777777" w:rsidR="00246835" w:rsidRPr="0033784B" w:rsidRDefault="00246835" w:rsidP="00246835">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jc w:val="both"/>
        <w:rPr>
          <w:sz w:val="20"/>
          <w:szCs w:val="20"/>
          <w:lang w:val="es-AR"/>
        </w:rPr>
      </w:pPr>
    </w:p>
    <w:p w14:paraId="07968D3D" w14:textId="7BF0B176" w:rsidR="00B96B11" w:rsidRPr="0033784B" w:rsidRDefault="00E0749C" w:rsidP="00D0583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sz w:val="20"/>
          <w:szCs w:val="20"/>
          <w:lang w:val="es-AR"/>
        </w:rPr>
      </w:pPr>
      <w:r w:rsidRPr="0033784B">
        <w:rPr>
          <w:rFonts w:cstheme="majorHAnsi"/>
          <w:sz w:val="20"/>
          <w:szCs w:val="20"/>
          <w:lang w:val="es-AR"/>
        </w:rPr>
        <w:t>El 16 de junio d</w:t>
      </w:r>
      <w:r w:rsidR="00CF2EC7" w:rsidRPr="0033784B">
        <w:rPr>
          <w:rFonts w:cstheme="majorHAnsi"/>
          <w:sz w:val="20"/>
          <w:szCs w:val="20"/>
          <w:lang w:val="es-AR"/>
        </w:rPr>
        <w:t>e</w:t>
      </w:r>
      <w:r w:rsidRPr="0033784B">
        <w:rPr>
          <w:rFonts w:cstheme="majorHAnsi"/>
          <w:sz w:val="20"/>
          <w:szCs w:val="20"/>
          <w:lang w:val="es-AR"/>
        </w:rPr>
        <w:t xml:space="preserve"> 1999 </w:t>
      </w:r>
      <w:r w:rsidR="005E7E7A" w:rsidRPr="0033784B">
        <w:rPr>
          <w:sz w:val="20"/>
          <w:szCs w:val="20"/>
          <w:lang w:val="es-AR"/>
        </w:rPr>
        <w:t>la Sala Penal del Tribunal Superior de Justicia de Córdoba</w:t>
      </w:r>
      <w:r w:rsidR="005E7E7A" w:rsidRPr="0033784B">
        <w:rPr>
          <w:rFonts w:cstheme="majorHAnsi"/>
          <w:sz w:val="20"/>
          <w:szCs w:val="20"/>
          <w:lang w:val="es-AR"/>
        </w:rPr>
        <w:t xml:space="preserve"> declar</w:t>
      </w:r>
      <w:r w:rsidR="00CC5050" w:rsidRPr="0033784B">
        <w:rPr>
          <w:rFonts w:cstheme="majorHAnsi"/>
          <w:sz w:val="20"/>
          <w:szCs w:val="20"/>
          <w:lang w:val="es-AR"/>
        </w:rPr>
        <w:t>ó</w:t>
      </w:r>
      <w:r w:rsidR="005E7E7A" w:rsidRPr="0033784B">
        <w:rPr>
          <w:rFonts w:cstheme="majorHAnsi"/>
          <w:sz w:val="20"/>
          <w:szCs w:val="20"/>
          <w:lang w:val="es-AR"/>
        </w:rPr>
        <w:t xml:space="preserve"> formalmente inadmisible el recurso extraordinario a favor del señor Domínguez Linares, señalando que</w:t>
      </w:r>
      <w:r w:rsidR="008006C8">
        <w:rPr>
          <w:rFonts w:cstheme="majorHAnsi"/>
          <w:sz w:val="20"/>
          <w:szCs w:val="20"/>
          <w:lang w:val="es-AR"/>
        </w:rPr>
        <w:t>:</w:t>
      </w:r>
      <w:r w:rsidR="005E7E7A" w:rsidRPr="0033784B">
        <w:rPr>
          <w:rFonts w:cstheme="majorHAnsi"/>
          <w:sz w:val="20"/>
          <w:szCs w:val="20"/>
          <w:lang w:val="es-AR"/>
        </w:rPr>
        <w:t xml:space="preserve"> </w:t>
      </w:r>
    </w:p>
    <w:p w14:paraId="35B50A6B" w14:textId="77777777" w:rsidR="00B96B11" w:rsidRPr="0033784B" w:rsidRDefault="00B96B11" w:rsidP="00B96B1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jc w:val="both"/>
        <w:rPr>
          <w:sz w:val="20"/>
          <w:szCs w:val="20"/>
          <w:lang w:val="es-AR"/>
        </w:rPr>
      </w:pPr>
    </w:p>
    <w:p w14:paraId="7D5D799E" w14:textId="77777777" w:rsidR="0021311D" w:rsidRPr="0033784B" w:rsidRDefault="000F6559" w:rsidP="00B96B1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sz w:val="20"/>
          <w:szCs w:val="20"/>
          <w:lang w:val="es-AR"/>
        </w:rPr>
      </w:pPr>
      <w:r w:rsidRPr="0033784B">
        <w:rPr>
          <w:sz w:val="20"/>
          <w:szCs w:val="20"/>
          <w:lang w:val="es-AR"/>
        </w:rPr>
        <w:t xml:space="preserve">La doctrina de la arbitrariedad, elaborada por la Corte Suprema de Justicia ha establecido reiteradamente que esta vía recursiva no tiene por objeto la corrección en tercera instancia de decisiones que a criterio de los impugnantes se estimen equivocadas, sino que está dirigida a la revisión de los pronunciamientos en los que se advierta la inexistencia de las calidades mínimas para que el acto impugnado constituya una resolución judicial (CSJN, fallos 237:74, 239:126). </w:t>
      </w:r>
    </w:p>
    <w:p w14:paraId="060F9EEF" w14:textId="77777777" w:rsidR="0021311D" w:rsidRPr="0033784B" w:rsidRDefault="0021311D" w:rsidP="00B96B1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sz w:val="20"/>
          <w:szCs w:val="20"/>
          <w:lang w:val="es-AR"/>
        </w:rPr>
      </w:pPr>
    </w:p>
    <w:p w14:paraId="2050E61B" w14:textId="77777777" w:rsidR="00AF52FD" w:rsidRPr="0033784B" w:rsidRDefault="000F6559" w:rsidP="00B96B1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sz w:val="20"/>
          <w:szCs w:val="20"/>
          <w:lang w:val="es-AR"/>
        </w:rPr>
      </w:pPr>
      <w:r w:rsidRPr="0033784B">
        <w:rPr>
          <w:sz w:val="20"/>
          <w:szCs w:val="20"/>
          <w:lang w:val="es-AR"/>
        </w:rPr>
        <w:t>Su aplicación</w:t>
      </w:r>
      <w:r w:rsidR="0021311D" w:rsidRPr="0033784B">
        <w:rPr>
          <w:sz w:val="20"/>
          <w:szCs w:val="20"/>
          <w:lang w:val="es-AR"/>
        </w:rPr>
        <w:t>, por otra parte,</w:t>
      </w:r>
      <w:r w:rsidRPr="0033784B">
        <w:rPr>
          <w:sz w:val="20"/>
          <w:szCs w:val="20"/>
          <w:lang w:val="es-AR"/>
        </w:rPr>
        <w:t xml:space="preserve"> es particularmente restringida cuando se trata de resoluciones de los más altos tribunales provinciales que deciden acerca de los recursos locales que le son llevados a su conocimiento (“Pérez Ángel”, 15/5/90).</w:t>
      </w:r>
    </w:p>
    <w:p w14:paraId="5A9864E3" w14:textId="77777777" w:rsidR="00AF52FD" w:rsidRPr="0033784B" w:rsidRDefault="00AF52FD" w:rsidP="00B96B1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sz w:val="20"/>
          <w:szCs w:val="20"/>
          <w:lang w:val="es-AR"/>
        </w:rPr>
      </w:pPr>
    </w:p>
    <w:p w14:paraId="23633275" w14:textId="77777777" w:rsidR="00AF52FD" w:rsidRPr="0033784B" w:rsidRDefault="00AF52FD" w:rsidP="00B96B1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sz w:val="20"/>
          <w:szCs w:val="20"/>
          <w:lang w:val="es-AR"/>
        </w:rPr>
      </w:pPr>
      <w:r w:rsidRPr="0033784B">
        <w:rPr>
          <w:sz w:val="20"/>
          <w:szCs w:val="20"/>
          <w:lang w:val="es-AR"/>
        </w:rPr>
        <w:t xml:space="preserve">Cuando se trata de la interpretación de derecho común o local, no basta para abrir la jurisdicción excepcional la mera invocación de la arbitrariedad adoptada en la resolución </w:t>
      </w:r>
      <w:r w:rsidRPr="0033784B">
        <w:rPr>
          <w:sz w:val="20"/>
          <w:szCs w:val="20"/>
          <w:lang w:val="es-AR"/>
        </w:rPr>
        <w:lastRenderedPageBreak/>
        <w:t>recurrida, si ella no viene precedida de una crítica razonada de todos y cada uno de los argumentos en los que se sustenta la conclusión que los agravia (CSJN, Fallos 308:761; 308:2421; 310:722; 311.499; 311:2619).</w:t>
      </w:r>
    </w:p>
    <w:p w14:paraId="2F936BC0" w14:textId="77777777" w:rsidR="00AF52FD" w:rsidRPr="0033784B" w:rsidRDefault="00AF52FD" w:rsidP="00B96B1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sz w:val="20"/>
          <w:szCs w:val="20"/>
          <w:lang w:val="es-AR"/>
        </w:rPr>
      </w:pPr>
    </w:p>
    <w:p w14:paraId="459975E6" w14:textId="77777777" w:rsidR="000F6559" w:rsidRPr="0033784B" w:rsidRDefault="00AF52FD" w:rsidP="00B96B1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sz w:val="20"/>
          <w:szCs w:val="20"/>
          <w:lang w:val="es-AR"/>
        </w:rPr>
      </w:pPr>
      <w:r w:rsidRPr="0033784B">
        <w:rPr>
          <w:sz w:val="20"/>
          <w:szCs w:val="20"/>
          <w:lang w:val="es-AR"/>
        </w:rPr>
        <w:t xml:space="preserve">En el caso, el escrito no es sino una reiteración condensada de los agravios que fueron traídos a conocimiento de esta Sala por vía del recurso de casación- como lo señala en su dictamen el Sr. Fiscal General-, pero con una inhábil crítica en relación a los fundamentos proporcionados en la sentencia que los rechazó. </w:t>
      </w:r>
    </w:p>
    <w:p w14:paraId="2B4CC788" w14:textId="77777777" w:rsidR="00246835" w:rsidRPr="0033784B" w:rsidRDefault="00246835" w:rsidP="00B96B1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sz w:val="20"/>
          <w:szCs w:val="20"/>
          <w:lang w:val="es-AR"/>
        </w:rPr>
      </w:pPr>
    </w:p>
    <w:p w14:paraId="3B8F711E" w14:textId="77777777" w:rsidR="00246835" w:rsidRPr="0033784B" w:rsidRDefault="00246835" w:rsidP="00B96B1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sz w:val="20"/>
          <w:szCs w:val="20"/>
          <w:lang w:val="es-AR"/>
        </w:rPr>
      </w:pPr>
      <w:r w:rsidRPr="0033784B">
        <w:rPr>
          <w:sz w:val="20"/>
          <w:szCs w:val="20"/>
          <w:lang w:val="es-AR"/>
        </w:rPr>
        <w:t>[…]</w:t>
      </w:r>
    </w:p>
    <w:p w14:paraId="08F35508" w14:textId="77777777" w:rsidR="00246835" w:rsidRPr="0033784B" w:rsidRDefault="00246835" w:rsidP="005E7E7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720"/>
        <w:jc w:val="both"/>
        <w:rPr>
          <w:rFonts w:ascii="Cambria" w:hAnsi="Cambria"/>
          <w:sz w:val="20"/>
          <w:szCs w:val="20"/>
          <w:lang w:val="es-AR"/>
        </w:rPr>
      </w:pPr>
      <w:r w:rsidRPr="0033784B">
        <w:rPr>
          <w:rFonts w:ascii="Cambria" w:hAnsi="Cambria"/>
          <w:sz w:val="20"/>
          <w:szCs w:val="20"/>
          <w:lang w:val="es-AR"/>
        </w:rPr>
        <w:tab/>
      </w:r>
    </w:p>
    <w:p w14:paraId="7A11D22B" w14:textId="77777777" w:rsidR="00246835" w:rsidRPr="0033784B" w:rsidRDefault="00246835" w:rsidP="005E7E7A">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sz w:val="20"/>
          <w:szCs w:val="20"/>
          <w:lang w:val="es-AR"/>
        </w:rPr>
      </w:pPr>
      <w:r w:rsidRPr="0033784B">
        <w:rPr>
          <w:sz w:val="20"/>
          <w:szCs w:val="20"/>
          <w:lang w:val="es-AR"/>
        </w:rPr>
        <w:t xml:space="preserve">En suma, </w:t>
      </w:r>
      <w:r w:rsidR="000F6559" w:rsidRPr="0033784B">
        <w:rPr>
          <w:sz w:val="20"/>
          <w:szCs w:val="20"/>
          <w:lang w:val="es-AR"/>
        </w:rPr>
        <w:t>el intento del recurrente traduce el solo designio de lograr un nuevo examen, en tercera instancia, de una resolución con la cual discrepa y a la que se discute la interpretación de cuestiones de derecho común, presentadas sin una idónea fundamentación que atienda a todos y cada uno de los argumentos del fallo que ataca</w:t>
      </w:r>
      <w:r w:rsidR="005E7E7A" w:rsidRPr="0033784B">
        <w:rPr>
          <w:sz w:val="20"/>
          <w:szCs w:val="20"/>
          <w:lang w:val="es-AR"/>
        </w:rPr>
        <w:t>.</w:t>
      </w:r>
    </w:p>
    <w:p w14:paraId="18B8B9A7" w14:textId="77777777" w:rsidR="005E7E7A" w:rsidRPr="0033784B" w:rsidRDefault="005E7E7A" w:rsidP="005E7E7A">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sz w:val="20"/>
          <w:szCs w:val="20"/>
          <w:lang w:val="es-AR"/>
        </w:rPr>
      </w:pPr>
    </w:p>
    <w:p w14:paraId="01B7033B" w14:textId="77777777" w:rsidR="000F6559" w:rsidRPr="0033784B" w:rsidRDefault="005E7E7A" w:rsidP="005E7E7A">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sz w:val="20"/>
          <w:szCs w:val="20"/>
          <w:lang w:val="es-AR"/>
        </w:rPr>
      </w:pPr>
      <w:r w:rsidRPr="0033784B">
        <w:rPr>
          <w:sz w:val="20"/>
          <w:szCs w:val="20"/>
          <w:lang w:val="es-AR"/>
        </w:rPr>
        <w:t>Como ya se ha dicho, pues, esa intención hace errar al quejoso respecto del objeto impugnable del remedio procesal del art. 14 Ley No. 48 y se materializa en una pretensión que excede la acotada y excepcional competencia de la Excma. C.S.J.N. con lo cual el recurso deviene improcedente</w:t>
      </w:r>
      <w:r w:rsidR="000F6559" w:rsidRPr="0033784B">
        <w:rPr>
          <w:rStyle w:val="FootnoteReference"/>
          <w:sz w:val="20"/>
          <w:szCs w:val="20"/>
          <w:lang w:val="es-AR"/>
        </w:rPr>
        <w:footnoteReference w:id="15"/>
      </w:r>
      <w:r w:rsidR="000F6559" w:rsidRPr="0033784B">
        <w:rPr>
          <w:sz w:val="20"/>
          <w:szCs w:val="20"/>
          <w:lang w:val="es-AR"/>
        </w:rPr>
        <w:t>.</w:t>
      </w:r>
    </w:p>
    <w:p w14:paraId="65038D74" w14:textId="77777777" w:rsidR="000F6559" w:rsidRPr="0033784B" w:rsidRDefault="000F6559" w:rsidP="000F6559">
      <w:pPr>
        <w:pStyle w:val="ListParagraph"/>
        <w:rPr>
          <w:rFonts w:cstheme="majorHAnsi"/>
          <w:sz w:val="20"/>
          <w:szCs w:val="20"/>
          <w:lang w:val="es-AR"/>
        </w:rPr>
      </w:pPr>
    </w:p>
    <w:p w14:paraId="54567CA0" w14:textId="46FF3C06" w:rsidR="000F6559" w:rsidRPr="0033784B" w:rsidRDefault="005E7E7A" w:rsidP="00D0583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cstheme="majorHAnsi"/>
          <w:sz w:val="20"/>
          <w:szCs w:val="20"/>
          <w:lang w:val="es-AR"/>
        </w:rPr>
      </w:pPr>
      <w:r w:rsidRPr="0033784B">
        <w:rPr>
          <w:rFonts w:cstheme="majorHAnsi"/>
          <w:sz w:val="20"/>
          <w:szCs w:val="20"/>
          <w:lang w:val="es-AR"/>
        </w:rPr>
        <w:t xml:space="preserve">Según información presentada por Julio Cesar Ramón Del Valle Ambrosio, y no controvertida por el Estado, </w:t>
      </w:r>
      <w:r w:rsidR="00791C1F" w:rsidRPr="0033784B">
        <w:rPr>
          <w:rFonts w:cstheme="majorHAnsi"/>
          <w:sz w:val="20"/>
          <w:szCs w:val="20"/>
          <w:lang w:val="es-AR"/>
        </w:rPr>
        <w:t xml:space="preserve">en </w:t>
      </w:r>
      <w:r w:rsidRPr="0033784B">
        <w:rPr>
          <w:rFonts w:cstheme="majorHAnsi"/>
          <w:sz w:val="20"/>
          <w:szCs w:val="20"/>
          <w:lang w:val="es-AR"/>
        </w:rPr>
        <w:t>la misma fecha</w:t>
      </w:r>
      <w:r w:rsidR="000F6559" w:rsidRPr="0033784B">
        <w:rPr>
          <w:rFonts w:cstheme="majorHAnsi"/>
          <w:sz w:val="20"/>
          <w:szCs w:val="20"/>
          <w:lang w:val="es-AR"/>
        </w:rPr>
        <w:t xml:space="preserve">, </w:t>
      </w:r>
      <w:r w:rsidRPr="0033784B">
        <w:rPr>
          <w:sz w:val="20"/>
          <w:szCs w:val="20"/>
          <w:lang w:val="es-AR"/>
        </w:rPr>
        <w:t>la Sala Penal del Tribunal Superior de Justicia de Córdoba</w:t>
      </w:r>
      <w:r w:rsidRPr="0033784B">
        <w:rPr>
          <w:rFonts w:cstheme="majorHAnsi"/>
          <w:sz w:val="20"/>
          <w:szCs w:val="20"/>
          <w:lang w:val="es-AR"/>
        </w:rPr>
        <w:t xml:space="preserve"> declaró formalmente inadmisible el recurso extraordinario interpuesto </w:t>
      </w:r>
      <w:r w:rsidR="000F6559" w:rsidRPr="0033784B">
        <w:rPr>
          <w:rFonts w:cstheme="majorHAnsi"/>
          <w:sz w:val="20"/>
          <w:szCs w:val="20"/>
          <w:lang w:val="es-AR"/>
        </w:rPr>
        <w:t xml:space="preserve">a </w:t>
      </w:r>
      <w:r w:rsidR="007D5573" w:rsidRPr="0033784B">
        <w:rPr>
          <w:rFonts w:cstheme="majorHAnsi"/>
          <w:sz w:val="20"/>
          <w:szCs w:val="20"/>
          <w:lang w:val="es-AR"/>
        </w:rPr>
        <w:t xml:space="preserve">su </w:t>
      </w:r>
      <w:r w:rsidR="000F6559" w:rsidRPr="0033784B">
        <w:rPr>
          <w:rFonts w:cstheme="majorHAnsi"/>
          <w:sz w:val="20"/>
          <w:szCs w:val="20"/>
          <w:lang w:val="es-AR"/>
        </w:rPr>
        <w:t>favor</w:t>
      </w:r>
      <w:r w:rsidR="000F6559" w:rsidRPr="0033784B">
        <w:rPr>
          <w:rStyle w:val="FootnoteReference"/>
          <w:sz w:val="20"/>
          <w:szCs w:val="20"/>
          <w:lang w:val="es-AR"/>
        </w:rPr>
        <w:footnoteReference w:id="16"/>
      </w:r>
      <w:r w:rsidR="000F6559" w:rsidRPr="0033784B">
        <w:rPr>
          <w:rFonts w:cstheme="majorHAnsi"/>
          <w:sz w:val="20"/>
          <w:szCs w:val="20"/>
          <w:lang w:val="es-AR"/>
        </w:rPr>
        <w:t xml:space="preserve">. </w:t>
      </w:r>
    </w:p>
    <w:p w14:paraId="14F7DCAC" w14:textId="77777777" w:rsidR="000F6559" w:rsidRPr="0033784B" w:rsidRDefault="000F6559" w:rsidP="000F6559">
      <w:pPr>
        <w:pStyle w:val="ListParagraph"/>
        <w:tabs>
          <w:tab w:val="left" w:pos="1440"/>
        </w:tabs>
        <w:ind w:left="0" w:firstLine="720"/>
        <w:rPr>
          <w:rFonts w:cstheme="majorHAnsi"/>
          <w:sz w:val="20"/>
          <w:szCs w:val="20"/>
          <w:lang w:val="es-AR"/>
        </w:rPr>
      </w:pPr>
    </w:p>
    <w:p w14:paraId="03D95E19" w14:textId="0DEE3692" w:rsidR="000960AB" w:rsidRPr="0033784B" w:rsidRDefault="000F6559" w:rsidP="00D0583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cstheme="majorHAnsi"/>
          <w:sz w:val="20"/>
          <w:szCs w:val="20"/>
          <w:lang w:val="es-AR"/>
        </w:rPr>
      </w:pPr>
      <w:r w:rsidRPr="0033784B">
        <w:rPr>
          <w:rFonts w:cstheme="majorHAnsi"/>
          <w:sz w:val="20"/>
          <w:szCs w:val="20"/>
          <w:lang w:val="es-AR"/>
        </w:rPr>
        <w:t>Con fecha 5 de julio de 1999,</w:t>
      </w:r>
      <w:r w:rsidR="00EA5184" w:rsidRPr="0033784B">
        <w:rPr>
          <w:rFonts w:cstheme="majorHAnsi"/>
          <w:sz w:val="20"/>
          <w:szCs w:val="20"/>
          <w:lang w:val="es-AR"/>
        </w:rPr>
        <w:t xml:space="preserve"> </w:t>
      </w:r>
      <w:r w:rsidR="00791C1F" w:rsidRPr="0033784B">
        <w:rPr>
          <w:rFonts w:cstheme="majorHAnsi"/>
          <w:sz w:val="20"/>
          <w:szCs w:val="20"/>
          <w:lang w:val="es-AR"/>
        </w:rPr>
        <w:t xml:space="preserve">la defensa de </w:t>
      </w:r>
      <w:r w:rsidR="00EA5184" w:rsidRPr="0033784B">
        <w:rPr>
          <w:rFonts w:cstheme="majorHAnsi"/>
          <w:sz w:val="20"/>
          <w:szCs w:val="20"/>
          <w:lang w:val="es-AR"/>
        </w:rPr>
        <w:t xml:space="preserve">los señores </w:t>
      </w:r>
      <w:r w:rsidRPr="0033784B">
        <w:rPr>
          <w:rFonts w:cstheme="majorHAnsi"/>
          <w:sz w:val="20"/>
          <w:szCs w:val="20"/>
          <w:lang w:val="es-AR"/>
        </w:rPr>
        <w:t>Domínguez Linares</w:t>
      </w:r>
      <w:r w:rsidR="00EA5184" w:rsidRPr="0033784B">
        <w:rPr>
          <w:rFonts w:cstheme="majorHAnsi"/>
          <w:sz w:val="20"/>
          <w:szCs w:val="20"/>
          <w:lang w:val="es-AR"/>
        </w:rPr>
        <w:t xml:space="preserve"> y </w:t>
      </w:r>
      <w:r w:rsidR="00834C1B" w:rsidRPr="0033784B">
        <w:rPr>
          <w:rFonts w:cstheme="majorHAnsi"/>
          <w:sz w:val="20"/>
          <w:szCs w:val="20"/>
          <w:lang w:val="es-AR"/>
        </w:rPr>
        <w:t xml:space="preserve">Del Valle Ambrosio interpuso </w:t>
      </w:r>
      <w:r w:rsidRPr="0033784B">
        <w:rPr>
          <w:rFonts w:cstheme="majorHAnsi"/>
          <w:sz w:val="20"/>
          <w:szCs w:val="20"/>
          <w:lang w:val="es-AR"/>
        </w:rPr>
        <w:t>recurso de queja</w:t>
      </w:r>
      <w:r w:rsidR="00834C1B" w:rsidRPr="0033784B">
        <w:rPr>
          <w:rFonts w:cstheme="majorHAnsi"/>
          <w:sz w:val="20"/>
          <w:szCs w:val="20"/>
          <w:lang w:val="es-AR"/>
        </w:rPr>
        <w:t xml:space="preserve"> </w:t>
      </w:r>
      <w:r w:rsidRPr="0033784B">
        <w:rPr>
          <w:rFonts w:cstheme="majorHAnsi"/>
          <w:sz w:val="20"/>
          <w:szCs w:val="20"/>
          <w:lang w:val="es-AR"/>
        </w:rPr>
        <w:t>ante la Corte Suprema de Justicia de la Nación</w:t>
      </w:r>
      <w:r w:rsidRPr="0033784B">
        <w:rPr>
          <w:rStyle w:val="FootnoteReference"/>
          <w:sz w:val="20"/>
          <w:szCs w:val="20"/>
          <w:lang w:val="es-AR"/>
        </w:rPr>
        <w:footnoteReference w:id="17"/>
      </w:r>
      <w:r w:rsidR="00834C1B" w:rsidRPr="0033784B">
        <w:rPr>
          <w:rFonts w:cstheme="majorHAnsi"/>
          <w:sz w:val="20"/>
          <w:szCs w:val="20"/>
          <w:lang w:val="es-AR"/>
        </w:rPr>
        <w:t xml:space="preserve"> contra el auto de 16 de junio de 1999. </w:t>
      </w:r>
      <w:r w:rsidR="009B231A" w:rsidRPr="0033784B">
        <w:rPr>
          <w:rFonts w:cstheme="majorHAnsi"/>
          <w:sz w:val="20"/>
          <w:szCs w:val="20"/>
          <w:lang w:val="es-AR"/>
        </w:rPr>
        <w:t xml:space="preserve">El </w:t>
      </w:r>
      <w:r w:rsidRPr="0033784B">
        <w:rPr>
          <w:rFonts w:cstheme="majorHAnsi"/>
          <w:sz w:val="20"/>
          <w:szCs w:val="20"/>
          <w:lang w:val="es-AR"/>
        </w:rPr>
        <w:t>21 de marzo de 2000</w:t>
      </w:r>
      <w:r w:rsidR="000B43BC" w:rsidRPr="0033784B">
        <w:rPr>
          <w:rFonts w:cstheme="majorHAnsi"/>
          <w:sz w:val="20"/>
          <w:szCs w:val="20"/>
          <w:lang w:val="es-AR"/>
        </w:rPr>
        <w:t xml:space="preserve"> la Corte Suprema resolvió en un solo párrafo</w:t>
      </w:r>
      <w:r w:rsidR="000960AB" w:rsidRPr="0033784B">
        <w:rPr>
          <w:rFonts w:cstheme="majorHAnsi"/>
          <w:sz w:val="20"/>
          <w:szCs w:val="20"/>
          <w:lang w:val="es-AR"/>
        </w:rPr>
        <w:t>:</w:t>
      </w:r>
    </w:p>
    <w:p w14:paraId="44FB8D9E" w14:textId="77777777" w:rsidR="000960AB" w:rsidRPr="0033784B" w:rsidRDefault="000960AB" w:rsidP="000960AB">
      <w:pPr>
        <w:pStyle w:val="ListParagraph"/>
        <w:rPr>
          <w:rFonts w:cstheme="majorHAnsi"/>
          <w:sz w:val="20"/>
          <w:szCs w:val="20"/>
          <w:lang w:val="es-AR"/>
        </w:rPr>
      </w:pPr>
    </w:p>
    <w:p w14:paraId="0174CA82" w14:textId="0A087A40" w:rsidR="000960AB" w:rsidRPr="0033784B" w:rsidRDefault="000B43BC" w:rsidP="000960A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jc w:val="both"/>
        <w:rPr>
          <w:rFonts w:cstheme="majorHAnsi"/>
          <w:sz w:val="20"/>
          <w:szCs w:val="20"/>
          <w:lang w:val="es-AR"/>
        </w:rPr>
      </w:pPr>
      <w:r w:rsidRPr="0033784B">
        <w:rPr>
          <w:rFonts w:cstheme="majorHAnsi"/>
          <w:sz w:val="20"/>
          <w:szCs w:val="20"/>
          <w:lang w:val="es-AR"/>
        </w:rPr>
        <w:t>Que el recurso extraordinario cuya denegación motiva la presente queja es inadmisible (art. 280 del Código Procesal Civil y Comercial</w:t>
      </w:r>
      <w:r w:rsidR="00F63E7F">
        <w:rPr>
          <w:rFonts w:cstheme="majorHAnsi"/>
          <w:sz w:val="20"/>
          <w:szCs w:val="20"/>
          <w:lang w:val="es-AR"/>
        </w:rPr>
        <w:t>.</w:t>
      </w:r>
    </w:p>
    <w:p w14:paraId="7889841C" w14:textId="77777777" w:rsidR="000960AB" w:rsidRPr="0033784B" w:rsidRDefault="000960AB" w:rsidP="000960A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jc w:val="both"/>
        <w:rPr>
          <w:rFonts w:cstheme="majorHAnsi"/>
          <w:sz w:val="20"/>
          <w:szCs w:val="20"/>
          <w:lang w:val="es-AR"/>
        </w:rPr>
      </w:pPr>
    </w:p>
    <w:p w14:paraId="4E9E30CA" w14:textId="77777777" w:rsidR="000F6559" w:rsidRPr="0033784B" w:rsidRDefault="000960AB" w:rsidP="000960A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jc w:val="both"/>
        <w:rPr>
          <w:rFonts w:cstheme="majorHAnsi"/>
          <w:sz w:val="20"/>
          <w:szCs w:val="20"/>
          <w:lang w:val="es-AR"/>
        </w:rPr>
      </w:pPr>
      <w:r w:rsidRPr="0033784B">
        <w:rPr>
          <w:rFonts w:cstheme="majorHAnsi"/>
          <w:sz w:val="20"/>
          <w:szCs w:val="20"/>
          <w:lang w:val="es-AR"/>
        </w:rPr>
        <w:t>Por ello, se desestima la queja</w:t>
      </w:r>
      <w:r w:rsidR="000F6559" w:rsidRPr="0033784B">
        <w:rPr>
          <w:rStyle w:val="FootnoteReference"/>
          <w:sz w:val="20"/>
          <w:szCs w:val="20"/>
          <w:lang w:val="es-AR"/>
        </w:rPr>
        <w:footnoteReference w:id="18"/>
      </w:r>
      <w:r w:rsidRPr="0033784B">
        <w:rPr>
          <w:rFonts w:cstheme="majorHAnsi"/>
          <w:sz w:val="20"/>
          <w:szCs w:val="20"/>
          <w:lang w:val="es-AR"/>
        </w:rPr>
        <w:t>.</w:t>
      </w:r>
    </w:p>
    <w:p w14:paraId="25C29C1D" w14:textId="77777777" w:rsidR="000960AB" w:rsidRDefault="000960AB" w:rsidP="000960A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jc w:val="both"/>
        <w:rPr>
          <w:rFonts w:cstheme="majorHAnsi"/>
          <w:sz w:val="20"/>
          <w:szCs w:val="20"/>
          <w:lang w:val="es-AR"/>
        </w:rPr>
      </w:pPr>
    </w:p>
    <w:p w14:paraId="73A465DE" w14:textId="77777777" w:rsidR="00E06F22" w:rsidRPr="0033784B" w:rsidRDefault="00E06F22" w:rsidP="00E06F22">
      <w:pPr>
        <w:pStyle w:val="Heading2"/>
        <w:numPr>
          <w:ilvl w:val="0"/>
          <w:numId w:val="57"/>
        </w:numPr>
        <w:ind w:left="1440" w:hanging="720"/>
        <w:rPr>
          <w:rFonts w:ascii="Cambria" w:hAnsi="Cambria"/>
          <w:i w:val="0"/>
          <w:sz w:val="20"/>
          <w:szCs w:val="20"/>
          <w:lang w:val="es-AR"/>
        </w:rPr>
      </w:pPr>
      <w:bookmarkStart w:id="13" w:name="_Toc489610454"/>
      <w:r w:rsidRPr="0033784B">
        <w:rPr>
          <w:rFonts w:ascii="Cambria" w:hAnsi="Cambria"/>
          <w:i w:val="0"/>
          <w:sz w:val="20"/>
          <w:szCs w:val="20"/>
          <w:lang w:val="es-AR"/>
        </w:rPr>
        <w:t>La práctica judicial en Argentina y el fallo “Casal” de 2005</w:t>
      </w:r>
      <w:bookmarkEnd w:id="13"/>
    </w:p>
    <w:p w14:paraId="04E4F1F5" w14:textId="77777777" w:rsidR="00E06F22" w:rsidRPr="0033784B" w:rsidRDefault="00E06F22" w:rsidP="00E06F22">
      <w:pPr>
        <w:tabs>
          <w:tab w:val="left" w:pos="1440"/>
          <w:tab w:val="left" w:pos="1890"/>
        </w:tabs>
        <w:jc w:val="both"/>
        <w:rPr>
          <w:rFonts w:ascii="Cambria" w:hAnsi="Cambria" w:cstheme="majorHAnsi"/>
          <w:sz w:val="20"/>
          <w:szCs w:val="20"/>
          <w:lang w:val="es-AR"/>
        </w:rPr>
      </w:pPr>
    </w:p>
    <w:p w14:paraId="5E2304AA" w14:textId="77777777" w:rsidR="00E06F22" w:rsidRPr="0033784B" w:rsidRDefault="00E06F22" w:rsidP="00E06F2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890"/>
        </w:tabs>
        <w:jc w:val="both"/>
        <w:rPr>
          <w:rFonts w:cstheme="majorHAnsi"/>
          <w:sz w:val="20"/>
          <w:szCs w:val="20"/>
          <w:lang w:val="es-AR"/>
        </w:rPr>
      </w:pPr>
      <w:r w:rsidRPr="0033784B">
        <w:rPr>
          <w:rFonts w:cstheme="majorHAnsi"/>
          <w:sz w:val="20"/>
          <w:szCs w:val="20"/>
          <w:lang w:val="es-AR"/>
        </w:rPr>
        <w:t xml:space="preserve">De lo anterior resulta que el marco jurídico aplicable al momento de los hechos en la Provincia de Córdoba, contemplaba el recurso de casación como el medio para recurrir una sentencia condenatoria emitida por un juez de primera instancia. La Comisión reitera que la procedencia de dicho recurso se encuentra regulada en términos casi idénticos en el CPPC y en el CPPN. </w:t>
      </w:r>
    </w:p>
    <w:p w14:paraId="0076E499" w14:textId="77777777" w:rsidR="00E06F22" w:rsidRPr="0033784B" w:rsidRDefault="00E06F22" w:rsidP="00E06F2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890"/>
        </w:tabs>
        <w:ind w:left="810"/>
        <w:jc w:val="both"/>
        <w:rPr>
          <w:rFonts w:cstheme="majorHAnsi"/>
          <w:sz w:val="20"/>
          <w:szCs w:val="20"/>
          <w:lang w:val="es-AR"/>
        </w:rPr>
      </w:pPr>
    </w:p>
    <w:p w14:paraId="6C2C7834" w14:textId="77777777" w:rsidR="00E06F22" w:rsidRPr="0033784B" w:rsidRDefault="00E06F22" w:rsidP="00E06F2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890"/>
        </w:tabs>
        <w:jc w:val="both"/>
        <w:rPr>
          <w:rFonts w:cstheme="majorHAnsi"/>
          <w:sz w:val="20"/>
          <w:szCs w:val="20"/>
          <w:lang w:val="es-AR"/>
        </w:rPr>
      </w:pPr>
      <w:r w:rsidRPr="0033784B">
        <w:rPr>
          <w:rFonts w:cstheme="majorHAnsi"/>
          <w:sz w:val="20"/>
          <w:szCs w:val="20"/>
          <w:lang w:val="es-AR"/>
        </w:rPr>
        <w:lastRenderedPageBreak/>
        <w:t>La Corte Suprema de Justicia de la Nación en la sentencia conocida como “fallo Casal”, emitida el 20 de septiembre de 2005, se refirió a la forma restrictiva como los jueces y, en particular, la Cámara Nacional de Casación Penal, interpretaron el alcance de la materia revisable a través del recurso de casación. En palabras de la Corte Suprema de Justicia de la Nación:</w:t>
      </w:r>
    </w:p>
    <w:p w14:paraId="010C4CB2" w14:textId="77777777" w:rsidR="00E06F22" w:rsidRPr="0033784B" w:rsidRDefault="00E06F22" w:rsidP="00E06F22">
      <w:pPr>
        <w:tabs>
          <w:tab w:val="left" w:pos="1440"/>
          <w:tab w:val="left" w:pos="1890"/>
        </w:tabs>
        <w:ind w:left="720" w:right="720"/>
        <w:jc w:val="both"/>
        <w:rPr>
          <w:rFonts w:ascii="Cambria" w:hAnsi="Cambria" w:cstheme="majorHAnsi"/>
          <w:sz w:val="20"/>
          <w:szCs w:val="20"/>
          <w:lang w:val="es-AR"/>
        </w:rPr>
      </w:pPr>
    </w:p>
    <w:p w14:paraId="4FE6F399" w14:textId="77777777" w:rsidR="00E06F22" w:rsidRPr="0033784B" w:rsidRDefault="00E06F22" w:rsidP="00E06F22">
      <w:pPr>
        <w:tabs>
          <w:tab w:val="left" w:pos="1440"/>
          <w:tab w:val="left" w:pos="1890"/>
        </w:tabs>
        <w:ind w:left="720" w:right="720"/>
        <w:jc w:val="both"/>
        <w:rPr>
          <w:rFonts w:ascii="Cambria" w:hAnsi="Cambria" w:cstheme="majorHAnsi"/>
          <w:sz w:val="20"/>
          <w:szCs w:val="20"/>
          <w:lang w:val="es-AR"/>
        </w:rPr>
      </w:pPr>
      <w:r w:rsidRPr="0033784B">
        <w:rPr>
          <w:rFonts w:ascii="Cambria" w:hAnsi="Cambria" w:cstheme="majorHAnsi"/>
          <w:sz w:val="20"/>
          <w:szCs w:val="20"/>
          <w:lang w:val="es-AR"/>
        </w:rPr>
        <w:t xml:space="preserve">Resulta ilustrativo a los fines expositivos, destacar que este concepto de diferenciación entre cuestiones de hecho y derecho, vicios </w:t>
      </w:r>
      <w:r w:rsidRPr="0033784B">
        <w:rPr>
          <w:rFonts w:ascii="Cambria" w:hAnsi="Cambria" w:cstheme="majorHAnsi"/>
          <w:i/>
          <w:sz w:val="20"/>
          <w:szCs w:val="20"/>
          <w:lang w:val="es-AR"/>
        </w:rPr>
        <w:t xml:space="preserve">in </w:t>
      </w:r>
      <w:proofErr w:type="spellStart"/>
      <w:r w:rsidRPr="0033784B">
        <w:rPr>
          <w:rFonts w:ascii="Cambria" w:hAnsi="Cambria" w:cstheme="majorHAnsi"/>
          <w:i/>
          <w:sz w:val="20"/>
          <w:szCs w:val="20"/>
          <w:lang w:val="es-AR"/>
        </w:rPr>
        <w:t>iudicando</w:t>
      </w:r>
      <w:proofErr w:type="spellEnd"/>
      <w:r w:rsidRPr="0033784B">
        <w:rPr>
          <w:rFonts w:ascii="Cambria" w:hAnsi="Cambria" w:cstheme="majorHAnsi"/>
          <w:sz w:val="20"/>
          <w:szCs w:val="20"/>
          <w:lang w:val="es-AR"/>
        </w:rPr>
        <w:t xml:space="preserve"> y vicios </w:t>
      </w:r>
      <w:r w:rsidRPr="0033784B">
        <w:rPr>
          <w:rFonts w:ascii="Cambria" w:hAnsi="Cambria" w:cstheme="majorHAnsi"/>
          <w:i/>
          <w:sz w:val="20"/>
          <w:szCs w:val="20"/>
          <w:lang w:val="es-AR"/>
        </w:rPr>
        <w:t xml:space="preserve">in </w:t>
      </w:r>
      <w:proofErr w:type="spellStart"/>
      <w:r w:rsidRPr="0033784B">
        <w:rPr>
          <w:rFonts w:ascii="Cambria" w:hAnsi="Cambria" w:cstheme="majorHAnsi"/>
          <w:i/>
          <w:sz w:val="20"/>
          <w:szCs w:val="20"/>
          <w:lang w:val="es-AR"/>
        </w:rPr>
        <w:t>procedendo</w:t>
      </w:r>
      <w:proofErr w:type="spellEnd"/>
      <w:r w:rsidRPr="0033784B">
        <w:rPr>
          <w:rFonts w:ascii="Cambria" w:hAnsi="Cambria" w:cstheme="majorHAnsi"/>
          <w:sz w:val="20"/>
          <w:szCs w:val="20"/>
          <w:lang w:val="es-AR"/>
        </w:rPr>
        <w:t xml:space="preserve">, vicios de la actividad y vicios del juicio, o cualquier otra clasificación diferencial sobre las materias atendibles, ha deformado la práctica recursiva ante la Casación Nacional. </w:t>
      </w:r>
    </w:p>
    <w:p w14:paraId="6A1C117E" w14:textId="77777777" w:rsidR="00E06F22" w:rsidRPr="0033784B" w:rsidRDefault="00E06F22" w:rsidP="00E06F22">
      <w:pPr>
        <w:tabs>
          <w:tab w:val="left" w:pos="1440"/>
          <w:tab w:val="left" w:pos="1890"/>
        </w:tabs>
        <w:ind w:left="720" w:right="720"/>
        <w:jc w:val="both"/>
        <w:rPr>
          <w:rFonts w:ascii="Cambria" w:hAnsi="Cambria" w:cstheme="majorHAnsi"/>
          <w:sz w:val="20"/>
          <w:szCs w:val="20"/>
          <w:lang w:val="es-AR"/>
        </w:rPr>
      </w:pPr>
    </w:p>
    <w:p w14:paraId="51D7FD11" w14:textId="77777777" w:rsidR="00E06F22" w:rsidRPr="0033784B" w:rsidRDefault="00E06F22" w:rsidP="00E06F22">
      <w:pPr>
        <w:tabs>
          <w:tab w:val="left" w:pos="1440"/>
          <w:tab w:val="left" w:pos="1890"/>
        </w:tabs>
        <w:ind w:left="720" w:right="720"/>
        <w:jc w:val="both"/>
        <w:rPr>
          <w:rFonts w:ascii="Cambria" w:hAnsi="Cambria" w:cstheme="majorHAnsi"/>
          <w:sz w:val="20"/>
          <w:szCs w:val="20"/>
          <w:lang w:val="es-AR"/>
        </w:rPr>
      </w:pPr>
      <w:r w:rsidRPr="0033784B">
        <w:rPr>
          <w:rFonts w:ascii="Cambria" w:hAnsi="Cambria" w:cstheme="majorHAnsi"/>
          <w:sz w:val="20"/>
          <w:szCs w:val="20"/>
          <w:lang w:val="es-AR"/>
        </w:rPr>
        <w:t xml:space="preserve">Los recurrentes en general, advertidos de la política restrictiva en la admisión de recursos, intentan centrar los agravios que desarrollan bajo la fórmula del inc. 1 del art. 456 del Código Procesal Penal de la Nación, es decir, bajo el supuesto de inobservancia o errónea aplicación de la ley sustantiva, en casos en los cuales se discuten problemas de subsunción. La verdad, es que gran parte de estos planteos introducen y a su vez versan sobre problemas vinculados con los hechos, con la prueba y la valoración que se haga de éstas, sea para demostrar la existencia o inexistencia de algún elemento del tipo objetivo, del dolo o de elementos subjetivos distintos del dolo que conforman el tipo penal. </w:t>
      </w:r>
    </w:p>
    <w:p w14:paraId="66145D66" w14:textId="77777777" w:rsidR="00E06F22" w:rsidRPr="0033784B" w:rsidRDefault="00E06F22" w:rsidP="00E06F22">
      <w:pPr>
        <w:tabs>
          <w:tab w:val="left" w:pos="1440"/>
          <w:tab w:val="left" w:pos="1890"/>
        </w:tabs>
        <w:ind w:left="720" w:right="720"/>
        <w:jc w:val="both"/>
        <w:rPr>
          <w:rFonts w:ascii="Cambria" w:hAnsi="Cambria" w:cstheme="majorHAnsi"/>
          <w:sz w:val="20"/>
          <w:szCs w:val="20"/>
          <w:lang w:val="es-AR"/>
        </w:rPr>
      </w:pPr>
    </w:p>
    <w:p w14:paraId="3650054C" w14:textId="77777777" w:rsidR="00E06F22" w:rsidRPr="0033784B" w:rsidRDefault="00E06F22" w:rsidP="00E06F22">
      <w:pPr>
        <w:tabs>
          <w:tab w:val="left" w:pos="1440"/>
          <w:tab w:val="left" w:pos="1890"/>
        </w:tabs>
        <w:ind w:left="720" w:right="720"/>
        <w:jc w:val="both"/>
        <w:rPr>
          <w:rFonts w:ascii="Cambria" w:hAnsi="Cambria" w:cstheme="majorHAnsi"/>
          <w:sz w:val="20"/>
          <w:szCs w:val="20"/>
          <w:lang w:val="es-AR"/>
        </w:rPr>
      </w:pPr>
      <w:r w:rsidRPr="0033784B">
        <w:rPr>
          <w:rFonts w:ascii="Cambria" w:hAnsi="Cambria" w:cstheme="majorHAnsi"/>
          <w:sz w:val="20"/>
          <w:szCs w:val="20"/>
          <w:lang w:val="es-AR"/>
        </w:rPr>
        <w:t xml:space="preserve">[…] es sabido que los defensores, conociendo la renuencia jurisprudencial a discutir agravios vinculados con el hecho o con la prueba y su valoración en el ámbito </w:t>
      </w:r>
      <w:proofErr w:type="spellStart"/>
      <w:r w:rsidRPr="0033784B">
        <w:rPr>
          <w:rFonts w:ascii="Cambria" w:hAnsi="Cambria" w:cstheme="majorHAnsi"/>
          <w:sz w:val="20"/>
          <w:szCs w:val="20"/>
          <w:lang w:val="es-AR"/>
        </w:rPr>
        <w:t>casacional</w:t>
      </w:r>
      <w:proofErr w:type="spellEnd"/>
      <w:r w:rsidRPr="0033784B">
        <w:rPr>
          <w:rFonts w:ascii="Cambria" w:hAnsi="Cambria" w:cstheme="majorHAnsi"/>
          <w:sz w:val="20"/>
          <w:szCs w:val="20"/>
          <w:lang w:val="es-AR"/>
        </w:rPr>
        <w:t>, tiendan a forzar el alcance del inc. 1 del art. 456 del Código Procesal Penal de la Nación</w:t>
      </w:r>
      <w:r w:rsidRPr="0033784B">
        <w:rPr>
          <w:rStyle w:val="FootnoteReference"/>
          <w:rFonts w:ascii="Cambria" w:hAnsi="Cambria"/>
          <w:sz w:val="20"/>
          <w:szCs w:val="20"/>
          <w:lang w:val="es-AR"/>
        </w:rPr>
        <w:footnoteReference w:id="19"/>
      </w:r>
      <w:r w:rsidRPr="0033784B">
        <w:rPr>
          <w:rFonts w:ascii="Cambria" w:hAnsi="Cambria" w:cstheme="majorHAnsi"/>
          <w:sz w:val="20"/>
          <w:szCs w:val="20"/>
          <w:lang w:val="es-AR"/>
        </w:rPr>
        <w:t xml:space="preserve">. </w:t>
      </w:r>
    </w:p>
    <w:p w14:paraId="36E7F606" w14:textId="77777777" w:rsidR="00E06F22" w:rsidRPr="0033784B" w:rsidRDefault="00E06F22" w:rsidP="00E06F22">
      <w:pPr>
        <w:tabs>
          <w:tab w:val="left" w:pos="1440"/>
          <w:tab w:val="left" w:pos="1890"/>
        </w:tabs>
        <w:jc w:val="both"/>
        <w:rPr>
          <w:rFonts w:ascii="Cambria" w:hAnsi="Cambria" w:cstheme="majorHAnsi"/>
          <w:sz w:val="20"/>
          <w:szCs w:val="20"/>
          <w:lang w:val="es-AR"/>
        </w:rPr>
      </w:pPr>
    </w:p>
    <w:p w14:paraId="7BD60D9B" w14:textId="77777777" w:rsidR="00E06F22" w:rsidRPr="0033784B" w:rsidRDefault="00E06F22" w:rsidP="00E06F2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890"/>
        </w:tabs>
        <w:jc w:val="both"/>
        <w:rPr>
          <w:rFonts w:cstheme="majorHAnsi"/>
          <w:sz w:val="20"/>
          <w:szCs w:val="20"/>
          <w:lang w:val="es-AR"/>
        </w:rPr>
      </w:pPr>
      <w:r w:rsidRPr="0033784B">
        <w:rPr>
          <w:rFonts w:cstheme="majorHAnsi"/>
          <w:sz w:val="20"/>
          <w:szCs w:val="20"/>
          <w:lang w:val="es-AR"/>
        </w:rPr>
        <w:t xml:space="preserve">Precisamente tras considerar que la distinción entre cuestiones de derecho por un lado y de hecho o valoración probatoria por el otro, no debe determinar el alcance de la revisión en casación, la Corte Suprema de Justicia de la Nación emitió el fallo Casal, a través del cual efectuó una interpretación más amplia. </w:t>
      </w:r>
      <w:r w:rsidRPr="0033784B">
        <w:rPr>
          <w:sz w:val="20"/>
          <w:szCs w:val="20"/>
          <w:lang w:val="es-AR"/>
        </w:rPr>
        <w:t>El fallo Casal presenta una evaluación muy relevante de la normativa y la práctica al momento de los hechos. En consecuencia, se presentan algunas consideraciones en la sección de análisis de derecho que resultan pertinentes para la formulación de las recomendaciones, específicamente, las relativas al componente de no repetición</w:t>
      </w:r>
      <w:r>
        <w:rPr>
          <w:sz w:val="20"/>
          <w:szCs w:val="20"/>
          <w:lang w:val="es-AR"/>
        </w:rPr>
        <w:t>.</w:t>
      </w:r>
    </w:p>
    <w:p w14:paraId="35EBB923" w14:textId="1BD66EA1" w:rsidR="000F6559" w:rsidRPr="0033784B" w:rsidRDefault="000F6559" w:rsidP="00C50824">
      <w:pPr>
        <w:pStyle w:val="Heading1"/>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Cambria" w:hAnsi="Cambria" w:cstheme="majorHAnsi"/>
          <w:b w:val="0"/>
          <w:color w:val="auto"/>
          <w:sz w:val="20"/>
          <w:szCs w:val="20"/>
          <w:lang w:val="es-AR"/>
        </w:rPr>
      </w:pPr>
      <w:bookmarkStart w:id="14" w:name="_Toc489610456"/>
      <w:r w:rsidRPr="0033784B">
        <w:rPr>
          <w:rFonts w:ascii="Cambria" w:hAnsi="Cambria" w:cstheme="majorHAnsi"/>
          <w:color w:val="auto"/>
          <w:sz w:val="20"/>
          <w:szCs w:val="20"/>
          <w:lang w:val="es-AR"/>
        </w:rPr>
        <w:t>ANÁLISIS DE DERECHO</w:t>
      </w:r>
      <w:bookmarkEnd w:id="14"/>
    </w:p>
    <w:p w14:paraId="2F2A3AD3" w14:textId="77777777" w:rsidR="000F6559" w:rsidRPr="0033784B" w:rsidRDefault="000F6559" w:rsidP="000F6559">
      <w:pPr>
        <w:tabs>
          <w:tab w:val="left" w:pos="0"/>
          <w:tab w:val="left" w:pos="1440"/>
        </w:tabs>
        <w:ind w:firstLine="720"/>
        <w:jc w:val="both"/>
        <w:rPr>
          <w:rFonts w:ascii="Cambria" w:hAnsi="Cambria" w:cs="Univers"/>
          <w:b/>
          <w:sz w:val="20"/>
          <w:szCs w:val="20"/>
          <w:lang w:val="es-MX"/>
        </w:rPr>
      </w:pPr>
    </w:p>
    <w:p w14:paraId="0FBD6E93" w14:textId="241F1E3E" w:rsidR="00E86903" w:rsidRPr="0033784B" w:rsidRDefault="0048487A" w:rsidP="0037522C">
      <w:pPr>
        <w:pStyle w:val="ListParagraph"/>
        <w:numPr>
          <w:ilvl w:val="0"/>
          <w:numId w:val="61"/>
        </w:numPr>
        <w:tabs>
          <w:tab w:val="left" w:pos="1440"/>
        </w:tabs>
        <w:ind w:left="1440" w:hanging="720"/>
        <w:jc w:val="both"/>
        <w:rPr>
          <w:rFonts w:cs="Arial"/>
          <w:b/>
          <w:sz w:val="20"/>
          <w:szCs w:val="20"/>
          <w:lang w:val="es-ES"/>
        </w:rPr>
      </w:pPr>
      <w:r w:rsidRPr="0033784B">
        <w:rPr>
          <w:rFonts w:cs="Univers"/>
          <w:b/>
          <w:sz w:val="20"/>
          <w:szCs w:val="20"/>
          <w:lang w:val="es-MX"/>
        </w:rPr>
        <w:t xml:space="preserve">Derecho de </w:t>
      </w:r>
      <w:r w:rsidR="000F6559" w:rsidRPr="0033784B">
        <w:rPr>
          <w:rFonts w:cs="Univers"/>
          <w:b/>
          <w:sz w:val="20"/>
          <w:szCs w:val="20"/>
          <w:lang w:val="es-MX"/>
        </w:rPr>
        <w:t>recurrir el fallo ante juez o tribunal superior</w:t>
      </w:r>
      <w:r w:rsidR="00E271A9" w:rsidRPr="0033784B">
        <w:rPr>
          <w:rStyle w:val="FootnoteReference"/>
          <w:rFonts w:cs="Univers"/>
          <w:b/>
          <w:sz w:val="20"/>
          <w:szCs w:val="20"/>
          <w:lang w:val="es-MX"/>
        </w:rPr>
        <w:footnoteReference w:id="20"/>
      </w:r>
      <w:r w:rsidR="007B5AC6" w:rsidRPr="0033784B">
        <w:rPr>
          <w:rFonts w:cs="Univers"/>
          <w:b/>
          <w:sz w:val="20"/>
          <w:szCs w:val="20"/>
          <w:lang w:val="es-MX"/>
        </w:rPr>
        <w:t xml:space="preserve"> y </w:t>
      </w:r>
      <w:r w:rsidR="00AF0938" w:rsidRPr="0033784B">
        <w:rPr>
          <w:rFonts w:cs="Univers"/>
          <w:b/>
          <w:sz w:val="20"/>
          <w:szCs w:val="20"/>
          <w:lang w:val="es-MX"/>
        </w:rPr>
        <w:t xml:space="preserve">derecho a la </w:t>
      </w:r>
      <w:r w:rsidR="007B5AC6" w:rsidRPr="0033784B">
        <w:rPr>
          <w:rFonts w:cs="Univers"/>
          <w:b/>
          <w:sz w:val="20"/>
          <w:szCs w:val="20"/>
          <w:lang w:val="es-MX"/>
        </w:rPr>
        <w:t>protección judicial</w:t>
      </w:r>
      <w:r w:rsidR="005644B0" w:rsidRPr="0033784B">
        <w:rPr>
          <w:rStyle w:val="FootnoteReference"/>
          <w:rFonts w:cs="Univers"/>
          <w:b/>
          <w:sz w:val="20"/>
          <w:szCs w:val="20"/>
          <w:lang w:val="es-MX"/>
        </w:rPr>
        <w:footnoteReference w:id="21"/>
      </w:r>
      <w:r w:rsidR="000F6559" w:rsidRPr="0033784B">
        <w:rPr>
          <w:rFonts w:cs="Univers"/>
          <w:b/>
          <w:sz w:val="20"/>
          <w:szCs w:val="20"/>
          <w:lang w:val="es-MX"/>
        </w:rPr>
        <w:t xml:space="preserve"> </w:t>
      </w:r>
    </w:p>
    <w:p w14:paraId="69505744" w14:textId="77777777" w:rsidR="000F6559" w:rsidRPr="0033784B" w:rsidRDefault="000F6559" w:rsidP="000F6559">
      <w:pPr>
        <w:tabs>
          <w:tab w:val="left" w:pos="1440"/>
        </w:tabs>
        <w:jc w:val="both"/>
        <w:rPr>
          <w:rFonts w:ascii="Cambria" w:hAnsi="Cambria"/>
          <w:spacing w:val="-2"/>
          <w:sz w:val="20"/>
          <w:szCs w:val="20"/>
          <w:lang w:val="es-ES_tradnl"/>
        </w:rPr>
      </w:pPr>
    </w:p>
    <w:p w14:paraId="4A30BDD2" w14:textId="6F524EA6" w:rsidR="000F6559" w:rsidRPr="0033784B" w:rsidRDefault="000F6559" w:rsidP="000F6559">
      <w:pPr>
        <w:ind w:firstLine="720"/>
        <w:jc w:val="both"/>
        <w:rPr>
          <w:rFonts w:ascii="Cambria" w:hAnsi="Cambria"/>
          <w:sz w:val="20"/>
          <w:szCs w:val="20"/>
          <w:lang w:val="es-ES_tradnl"/>
        </w:rPr>
      </w:pPr>
      <w:r w:rsidRPr="0033784B">
        <w:rPr>
          <w:rFonts w:ascii="Cambria" w:hAnsi="Cambria"/>
          <w:b/>
          <w:sz w:val="20"/>
          <w:szCs w:val="20"/>
          <w:lang w:val="es-ES_tradnl"/>
        </w:rPr>
        <w:t xml:space="preserve">1. </w:t>
      </w:r>
      <w:r w:rsidRPr="0033784B">
        <w:rPr>
          <w:rFonts w:ascii="Cambria" w:hAnsi="Cambria"/>
          <w:b/>
          <w:sz w:val="20"/>
          <w:szCs w:val="20"/>
          <w:lang w:val="es-ES_tradnl"/>
        </w:rPr>
        <w:tab/>
        <w:t>C</w:t>
      </w:r>
      <w:r w:rsidR="0037522C" w:rsidRPr="0033784B">
        <w:rPr>
          <w:rFonts w:ascii="Cambria" w:hAnsi="Cambria"/>
          <w:b/>
          <w:sz w:val="20"/>
          <w:szCs w:val="20"/>
          <w:lang w:val="es-ES_tradnl"/>
        </w:rPr>
        <w:t>onsideraciones</w:t>
      </w:r>
      <w:r w:rsidRPr="0033784B">
        <w:rPr>
          <w:rFonts w:ascii="Cambria" w:hAnsi="Cambria"/>
          <w:b/>
          <w:sz w:val="20"/>
          <w:szCs w:val="20"/>
          <w:lang w:val="es-ES_tradnl"/>
        </w:rPr>
        <w:t xml:space="preserve"> generales sobre el derecho a recurrir del fallo</w:t>
      </w:r>
      <w:r w:rsidRPr="0033784B">
        <w:rPr>
          <w:rFonts w:ascii="Cambria" w:hAnsi="Cambria"/>
          <w:sz w:val="20"/>
          <w:szCs w:val="20"/>
          <w:lang w:val="es-ES_tradnl"/>
        </w:rPr>
        <w:t xml:space="preserve"> </w:t>
      </w:r>
    </w:p>
    <w:p w14:paraId="4AEEED44" w14:textId="77777777" w:rsidR="000F6559" w:rsidRPr="0033784B" w:rsidRDefault="000F6559" w:rsidP="000F6559">
      <w:pPr>
        <w:jc w:val="both"/>
        <w:rPr>
          <w:rFonts w:ascii="Cambria" w:hAnsi="Cambria"/>
          <w:b/>
          <w:sz w:val="20"/>
          <w:szCs w:val="20"/>
          <w:lang w:val="es-ES"/>
        </w:rPr>
      </w:pPr>
    </w:p>
    <w:p w14:paraId="7D2715B7" w14:textId="44937559" w:rsidR="00CB6A88" w:rsidRPr="0033784B" w:rsidRDefault="00CB6A88" w:rsidP="00F302D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spacing w:val="-2"/>
          <w:sz w:val="20"/>
          <w:szCs w:val="20"/>
          <w:lang w:val="es-ES_tradnl"/>
        </w:rPr>
      </w:pPr>
      <w:r w:rsidRPr="0033784B">
        <w:rPr>
          <w:sz w:val="20"/>
          <w:szCs w:val="20"/>
          <w:lang w:val="es-ES_tradnl"/>
        </w:rPr>
        <w:t xml:space="preserve">El derecho a recurrir el fallo ante un juez o tribunal distinto y de superior jerarquía es una garantía </w:t>
      </w:r>
      <w:r w:rsidRPr="0033784B">
        <w:rPr>
          <w:rFonts w:cstheme="majorHAnsi"/>
          <w:sz w:val="20"/>
          <w:szCs w:val="20"/>
          <w:lang w:val="es-AR"/>
        </w:rPr>
        <w:t>primordial</w:t>
      </w:r>
      <w:r w:rsidRPr="0033784B">
        <w:rPr>
          <w:sz w:val="20"/>
          <w:szCs w:val="20"/>
          <w:lang w:val="es-ES_tradnl"/>
        </w:rPr>
        <w:t xml:space="preserve"> en el marco del debido proceso legal, cuya finalidad es evitar que se consolide una situación de injusticia</w:t>
      </w:r>
      <w:r w:rsidR="00E740E8" w:rsidRPr="0033784B">
        <w:rPr>
          <w:rStyle w:val="FootnoteReference"/>
          <w:sz w:val="20"/>
          <w:szCs w:val="20"/>
          <w:lang w:val="es-ES_tradnl"/>
        </w:rPr>
        <w:footnoteReference w:id="22"/>
      </w:r>
      <w:r w:rsidRPr="0033784B">
        <w:rPr>
          <w:sz w:val="20"/>
          <w:szCs w:val="20"/>
          <w:lang w:val="es-ES_tradnl"/>
        </w:rPr>
        <w:t xml:space="preserve">. De acuerdo a la jurisprudencia interamericana, el objetivo de este derecho es permitir que una sentencia adversa pueda ser revisada por un juez o tribunal distinto y de superior </w:t>
      </w:r>
      <w:r w:rsidRPr="0033784B">
        <w:rPr>
          <w:sz w:val="20"/>
          <w:szCs w:val="20"/>
          <w:lang w:val="es-ES_tradnl"/>
        </w:rPr>
        <w:lastRenderedPageBreak/>
        <w:t>jerarquía orgánica</w:t>
      </w:r>
      <w:r w:rsidRPr="0033784B">
        <w:rPr>
          <w:rStyle w:val="FootnoteReference"/>
          <w:sz w:val="20"/>
          <w:szCs w:val="20"/>
        </w:rPr>
        <w:footnoteReference w:id="23"/>
      </w:r>
      <w:r w:rsidRPr="0033784B">
        <w:rPr>
          <w:sz w:val="20"/>
          <w:szCs w:val="20"/>
          <w:lang w:val="es-ES_tradnl"/>
        </w:rPr>
        <w:t xml:space="preserve"> y evitar que quede firme una decisión que fue adoptada con vicios y que contiene errores que ocasionarán un perjuicio indebido a los intereses de una persona</w:t>
      </w:r>
      <w:r w:rsidRPr="0033784B">
        <w:rPr>
          <w:rStyle w:val="FootnoteReference"/>
          <w:sz w:val="20"/>
          <w:szCs w:val="20"/>
          <w:lang w:val="es-ES_tradnl"/>
        </w:rPr>
        <w:footnoteReference w:id="24"/>
      </w:r>
      <w:r w:rsidRPr="0033784B">
        <w:rPr>
          <w:sz w:val="20"/>
          <w:szCs w:val="20"/>
          <w:lang w:val="es-ES_tradnl"/>
        </w:rPr>
        <w:t xml:space="preserve">. </w:t>
      </w:r>
      <w:r w:rsidRPr="0033784B">
        <w:rPr>
          <w:spacing w:val="-2"/>
          <w:sz w:val="20"/>
          <w:szCs w:val="20"/>
          <w:lang w:val="es-ES_tradnl"/>
        </w:rPr>
        <w:t>El debido proceso legal carecería de eficacia sin el derecho a la defensa en juicio y la oportunidad de defenderse contra una sentencia mediante una revisión adecuada</w:t>
      </w:r>
      <w:r w:rsidRPr="0033784B">
        <w:rPr>
          <w:rStyle w:val="FootnoteReference"/>
          <w:spacing w:val="-2"/>
          <w:sz w:val="20"/>
          <w:szCs w:val="20"/>
          <w:lang w:val="es-ES_tradnl"/>
        </w:rPr>
        <w:footnoteReference w:id="25"/>
      </w:r>
      <w:r w:rsidRPr="0033784B">
        <w:rPr>
          <w:spacing w:val="-2"/>
          <w:sz w:val="20"/>
          <w:szCs w:val="20"/>
          <w:lang w:val="es-ES_tradnl"/>
        </w:rPr>
        <w:t>.  </w:t>
      </w:r>
    </w:p>
    <w:p w14:paraId="5F790404" w14:textId="77777777" w:rsidR="00CB6A88" w:rsidRPr="0033784B" w:rsidRDefault="00CB6A88" w:rsidP="00CB6A88">
      <w:pPr>
        <w:tabs>
          <w:tab w:val="left" w:pos="1440"/>
        </w:tabs>
        <w:jc w:val="both"/>
        <w:rPr>
          <w:rFonts w:ascii="Cambria" w:hAnsi="Cambria"/>
          <w:spacing w:val="-2"/>
          <w:sz w:val="20"/>
          <w:szCs w:val="20"/>
          <w:lang w:val="es-ES_tradnl"/>
        </w:rPr>
      </w:pPr>
    </w:p>
    <w:p w14:paraId="409BF514" w14:textId="77777777" w:rsidR="00CB6A88" w:rsidRPr="0033784B" w:rsidRDefault="00CB6A88" w:rsidP="00FD639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spacing w:val="-2"/>
          <w:sz w:val="20"/>
          <w:szCs w:val="20"/>
          <w:lang w:val="es-ES_tradnl"/>
        </w:rPr>
      </w:pPr>
      <w:r w:rsidRPr="0033784B">
        <w:rPr>
          <w:sz w:val="20"/>
          <w:szCs w:val="20"/>
          <w:lang w:val="es-ES_tradnl"/>
        </w:rPr>
        <w:t xml:space="preserve">La Corte ha sostenido que “la doble conformidad judicial, expresada mediante el acceso a un recurso que </w:t>
      </w:r>
      <w:r w:rsidRPr="0033784B">
        <w:rPr>
          <w:spacing w:val="-2"/>
          <w:sz w:val="20"/>
          <w:szCs w:val="20"/>
          <w:lang w:val="es-ES_tradnl"/>
        </w:rPr>
        <w:t>otorgue</w:t>
      </w:r>
      <w:r w:rsidRPr="0033784B">
        <w:rPr>
          <w:sz w:val="20"/>
          <w:szCs w:val="20"/>
          <w:lang w:val="es-ES_tradnl"/>
        </w:rPr>
        <w:t xml:space="preserve"> la posibilidad de una revisión íntegra del fallo condenatorio, confirma el fundamento y otorga mayor credibilidad al acto jurisdiccional del Estado, y al mismo tiempo brinda mayor seguridad y tutela a los derechos del condenado”</w:t>
      </w:r>
      <w:r w:rsidRPr="0033784B">
        <w:rPr>
          <w:rStyle w:val="FootnoteReference"/>
          <w:sz w:val="20"/>
          <w:szCs w:val="20"/>
        </w:rPr>
        <w:footnoteReference w:id="26"/>
      </w:r>
      <w:r w:rsidRPr="0033784B">
        <w:rPr>
          <w:sz w:val="20"/>
          <w:szCs w:val="20"/>
          <w:lang w:val="es-ES_tradnl"/>
        </w:rPr>
        <w:t>.</w:t>
      </w:r>
    </w:p>
    <w:p w14:paraId="3A15E21F" w14:textId="77777777" w:rsidR="00CB6A88" w:rsidRPr="0033784B" w:rsidRDefault="00CB6A88" w:rsidP="00CB6A88">
      <w:pPr>
        <w:jc w:val="both"/>
        <w:rPr>
          <w:rFonts w:ascii="Cambria" w:hAnsi="Cambria"/>
          <w:spacing w:val="-2"/>
          <w:sz w:val="20"/>
          <w:szCs w:val="20"/>
          <w:lang w:val="es-ES_tradnl"/>
        </w:rPr>
      </w:pPr>
    </w:p>
    <w:p w14:paraId="7490A1A4" w14:textId="77777777" w:rsidR="00CB6A88" w:rsidRPr="0033784B" w:rsidRDefault="00CB6A88" w:rsidP="00FD639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spacing w:val="-2"/>
          <w:sz w:val="20"/>
          <w:szCs w:val="20"/>
          <w:lang w:val="es-ES_tradnl"/>
        </w:rPr>
      </w:pPr>
      <w:r w:rsidRPr="0033784B">
        <w:rPr>
          <w:spacing w:val="-2"/>
          <w:sz w:val="20"/>
          <w:szCs w:val="20"/>
          <w:lang w:val="es-ES_tradnl"/>
        </w:rPr>
        <w:t>En ese sentido, para el derecho internacional de los derechos humanos es irrelevante la denominación o el nombre con el que se designe a este recurso</w:t>
      </w:r>
      <w:r w:rsidRPr="0033784B">
        <w:rPr>
          <w:rStyle w:val="FootnoteReference"/>
          <w:spacing w:val="-2"/>
          <w:sz w:val="20"/>
          <w:szCs w:val="20"/>
          <w:lang w:val="es-ES_tradnl"/>
        </w:rPr>
        <w:footnoteReference w:id="27"/>
      </w:r>
      <w:r w:rsidRPr="0033784B">
        <w:rPr>
          <w:spacing w:val="-2"/>
          <w:sz w:val="20"/>
          <w:szCs w:val="20"/>
          <w:lang w:val="es-ES_tradnl"/>
        </w:rPr>
        <w:t xml:space="preserve">, lo importante es que cumpla con determinados </w:t>
      </w:r>
      <w:r w:rsidRPr="0033784B">
        <w:rPr>
          <w:sz w:val="20"/>
          <w:szCs w:val="20"/>
          <w:lang w:val="es-ES_tradnl"/>
        </w:rPr>
        <w:t>estándares</w:t>
      </w:r>
      <w:r w:rsidRPr="0033784B">
        <w:rPr>
          <w:spacing w:val="-2"/>
          <w:sz w:val="20"/>
          <w:szCs w:val="20"/>
          <w:lang w:val="es-ES_tradnl"/>
        </w:rPr>
        <w:t>. En primer lugar, debe proceder antes que la sentencia adquiera calidad de cosa juzgada</w:t>
      </w:r>
      <w:r w:rsidRPr="0033784B">
        <w:rPr>
          <w:rStyle w:val="FootnoteReference"/>
          <w:spacing w:val="-2"/>
          <w:sz w:val="20"/>
          <w:szCs w:val="20"/>
          <w:lang w:val="es-ES_tradnl"/>
        </w:rPr>
        <w:footnoteReference w:id="28"/>
      </w:r>
      <w:r w:rsidRPr="0033784B">
        <w:rPr>
          <w:spacing w:val="-2"/>
          <w:sz w:val="20"/>
          <w:szCs w:val="20"/>
          <w:lang w:val="es-ES_tradnl"/>
        </w:rPr>
        <w:t xml:space="preserve"> y debe ser resuelto en un plazo razonable, es decir, debe ser </w:t>
      </w:r>
      <w:r w:rsidRPr="0033784B">
        <w:rPr>
          <w:i/>
          <w:spacing w:val="-2"/>
          <w:sz w:val="20"/>
          <w:szCs w:val="20"/>
          <w:lang w:val="es-ES_tradnl"/>
        </w:rPr>
        <w:t>oportuno</w:t>
      </w:r>
      <w:r w:rsidRPr="0033784B">
        <w:rPr>
          <w:spacing w:val="-2"/>
          <w:sz w:val="20"/>
          <w:szCs w:val="20"/>
          <w:lang w:val="es-ES_tradnl"/>
        </w:rPr>
        <w:t xml:space="preserve">. Asimismo, debe ser un recurso </w:t>
      </w:r>
      <w:r w:rsidRPr="0033784B">
        <w:rPr>
          <w:i/>
          <w:spacing w:val="-2"/>
          <w:sz w:val="20"/>
          <w:szCs w:val="20"/>
          <w:lang w:val="es-ES_tradnl"/>
        </w:rPr>
        <w:t>eficaz</w:t>
      </w:r>
      <w:r w:rsidRPr="0033784B">
        <w:rPr>
          <w:spacing w:val="-2"/>
          <w:sz w:val="20"/>
          <w:szCs w:val="20"/>
          <w:lang w:val="es-ES_tradnl"/>
        </w:rPr>
        <w:t>, es decir, debe dar resultados o respuestas al fin para el cual fue concebido</w:t>
      </w:r>
      <w:r w:rsidRPr="0033784B">
        <w:rPr>
          <w:rStyle w:val="FootnoteReference"/>
          <w:spacing w:val="-2"/>
          <w:sz w:val="20"/>
          <w:szCs w:val="20"/>
          <w:lang w:val="es-ES_tradnl"/>
        </w:rPr>
        <w:footnoteReference w:id="29"/>
      </w:r>
      <w:r w:rsidRPr="0033784B">
        <w:rPr>
          <w:spacing w:val="-2"/>
          <w:sz w:val="20"/>
          <w:szCs w:val="20"/>
          <w:lang w:val="es-ES_tradnl"/>
        </w:rPr>
        <w:t xml:space="preserve">, esto es, evitar la consolidación de una situación de injusticia. Además, debe ser </w:t>
      </w:r>
      <w:r w:rsidRPr="0033784B">
        <w:rPr>
          <w:i/>
          <w:spacing w:val="-2"/>
          <w:sz w:val="20"/>
          <w:szCs w:val="20"/>
          <w:lang w:val="es-ES_tradnl"/>
        </w:rPr>
        <w:t>accesible</w:t>
      </w:r>
      <w:r w:rsidRPr="0033784B">
        <w:rPr>
          <w:spacing w:val="-2"/>
          <w:sz w:val="20"/>
          <w:szCs w:val="20"/>
          <w:lang w:val="es-ES_tradnl"/>
        </w:rPr>
        <w:t>, sin requerir mayores formalidades que tornen ilusorio el derecho</w:t>
      </w:r>
      <w:r w:rsidRPr="0033784B">
        <w:rPr>
          <w:rStyle w:val="FootnoteReference"/>
          <w:spacing w:val="-2"/>
          <w:sz w:val="20"/>
          <w:szCs w:val="20"/>
          <w:lang w:val="es-ES_tradnl"/>
        </w:rPr>
        <w:footnoteReference w:id="30"/>
      </w:r>
      <w:r w:rsidRPr="0033784B">
        <w:rPr>
          <w:spacing w:val="-2"/>
          <w:sz w:val="20"/>
          <w:szCs w:val="20"/>
          <w:lang w:val="es-ES_tradnl"/>
        </w:rPr>
        <w:t xml:space="preserve">. </w:t>
      </w:r>
    </w:p>
    <w:p w14:paraId="6B95FD5F" w14:textId="77777777" w:rsidR="00CB6A88" w:rsidRPr="0033784B" w:rsidRDefault="00CB6A88" w:rsidP="00CB6A88">
      <w:pPr>
        <w:tabs>
          <w:tab w:val="left" w:pos="1440"/>
        </w:tabs>
        <w:jc w:val="both"/>
        <w:rPr>
          <w:rFonts w:ascii="Cambria" w:hAnsi="Cambria"/>
          <w:sz w:val="20"/>
          <w:szCs w:val="20"/>
          <w:lang w:val="es-ES_tradnl"/>
        </w:rPr>
      </w:pPr>
    </w:p>
    <w:p w14:paraId="74261BD2" w14:textId="30DEF2EA" w:rsidR="00CB6A88" w:rsidRPr="0033784B" w:rsidRDefault="00CB6A88" w:rsidP="00FD639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i/>
          <w:sz w:val="20"/>
          <w:szCs w:val="20"/>
          <w:lang w:val="es-ES_tradnl"/>
        </w:rPr>
      </w:pPr>
      <w:r w:rsidRPr="0033784B">
        <w:rPr>
          <w:sz w:val="20"/>
          <w:szCs w:val="20"/>
          <w:lang w:val="es-ES_tradnl"/>
        </w:rPr>
        <w:t xml:space="preserve">La Comisión resalta que la eficacia del recurso se encuentra estrechamente vinculada con el alcance de las </w:t>
      </w:r>
      <w:r w:rsidRPr="0033784B">
        <w:rPr>
          <w:spacing w:val="-2"/>
          <w:sz w:val="20"/>
          <w:szCs w:val="20"/>
          <w:lang w:val="es-ES_tradnl"/>
        </w:rPr>
        <w:t>posibilidades</w:t>
      </w:r>
      <w:r w:rsidRPr="0033784B">
        <w:rPr>
          <w:sz w:val="20"/>
          <w:szCs w:val="20"/>
          <w:lang w:val="es-ES_tradnl"/>
        </w:rPr>
        <w:t xml:space="preserve"> de recurrir el fallo</w:t>
      </w:r>
      <w:r w:rsidR="00712219" w:rsidRPr="0033784B">
        <w:rPr>
          <w:rStyle w:val="FootnoteReference"/>
          <w:sz w:val="20"/>
          <w:szCs w:val="20"/>
          <w:lang w:val="es-ES_tradnl"/>
        </w:rPr>
        <w:footnoteReference w:id="31"/>
      </w:r>
      <w:r w:rsidRPr="0033784B">
        <w:rPr>
          <w:sz w:val="20"/>
          <w:szCs w:val="20"/>
          <w:lang w:val="es-ES_tradnl"/>
        </w:rPr>
        <w:t xml:space="preserve">. Esto, debido a que la </w:t>
      </w:r>
      <w:r w:rsidR="00712219" w:rsidRPr="0033784B">
        <w:rPr>
          <w:sz w:val="20"/>
          <w:szCs w:val="20"/>
          <w:lang w:val="es-ES_tradnl"/>
        </w:rPr>
        <w:t xml:space="preserve">posibilidad </w:t>
      </w:r>
      <w:r w:rsidRPr="0033784B">
        <w:rPr>
          <w:sz w:val="20"/>
          <w:szCs w:val="20"/>
          <w:lang w:val="es-ES_tradnl"/>
        </w:rPr>
        <w:t>de</w:t>
      </w:r>
      <w:r w:rsidR="00712219" w:rsidRPr="0033784B">
        <w:rPr>
          <w:sz w:val="20"/>
          <w:szCs w:val="20"/>
          <w:lang w:val="es-ES_tradnl"/>
        </w:rPr>
        <w:t xml:space="preserve"> que</w:t>
      </w:r>
      <w:r w:rsidRPr="0033784B">
        <w:rPr>
          <w:sz w:val="20"/>
          <w:szCs w:val="20"/>
          <w:lang w:val="es-ES_tradnl"/>
        </w:rPr>
        <w:t xml:space="preserve"> las autoridades judiciales cometan errores que generen una situación de injusticia, no se limita a la aplicación de la ley, sino que incluye otros aspectos tales como la determinación de los hechos o los criterios de valoración probatoria. De esta manera, el recurso será eficaz para lograr la finalidad para el cual fue concebido, si </w:t>
      </w:r>
      <w:r w:rsidRPr="0033784B">
        <w:rPr>
          <w:sz w:val="20"/>
          <w:szCs w:val="20"/>
          <w:lang w:val="es-ES_tradnl"/>
        </w:rPr>
        <w:lastRenderedPageBreak/>
        <w:t xml:space="preserve">permite una revisión sobre tales cuestiones sin limitar </w:t>
      </w:r>
      <w:r w:rsidRPr="0033784B">
        <w:rPr>
          <w:i/>
          <w:sz w:val="20"/>
          <w:szCs w:val="20"/>
          <w:lang w:val="es-ES_tradnl"/>
        </w:rPr>
        <w:t>a priori</w:t>
      </w:r>
      <w:r w:rsidRPr="0033784B">
        <w:rPr>
          <w:sz w:val="20"/>
          <w:szCs w:val="20"/>
          <w:lang w:val="es-ES_tradnl"/>
        </w:rPr>
        <w:t xml:space="preserve"> su procedencia a determinados extremos de la actuación de la autoridad judicial</w:t>
      </w:r>
      <w:r w:rsidRPr="0033784B">
        <w:rPr>
          <w:rStyle w:val="FootnoteReference"/>
          <w:sz w:val="20"/>
          <w:szCs w:val="20"/>
          <w:lang w:val="es-ES_tradnl"/>
        </w:rPr>
        <w:footnoteReference w:id="32"/>
      </w:r>
      <w:r w:rsidRPr="0033784B">
        <w:rPr>
          <w:sz w:val="20"/>
          <w:szCs w:val="20"/>
          <w:lang w:val="es-ES_tradnl"/>
        </w:rPr>
        <w:t xml:space="preserve">. </w:t>
      </w:r>
    </w:p>
    <w:p w14:paraId="7506404C" w14:textId="77777777" w:rsidR="00CB6A88" w:rsidRPr="0033784B" w:rsidRDefault="00CB6A88" w:rsidP="00CB6A88">
      <w:pPr>
        <w:jc w:val="both"/>
        <w:rPr>
          <w:rFonts w:ascii="Cambria" w:hAnsi="Cambria"/>
          <w:i/>
          <w:sz w:val="20"/>
          <w:szCs w:val="20"/>
          <w:lang w:val="es-ES_tradnl"/>
        </w:rPr>
      </w:pPr>
    </w:p>
    <w:p w14:paraId="0BDD8AF0" w14:textId="77777777" w:rsidR="00CB6A88" w:rsidRPr="0033784B" w:rsidRDefault="00CB6A88" w:rsidP="0086569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sz w:val="20"/>
          <w:szCs w:val="20"/>
          <w:lang w:val="es-ES_tradnl"/>
        </w:rPr>
      </w:pPr>
      <w:r w:rsidRPr="0033784B">
        <w:rPr>
          <w:sz w:val="20"/>
          <w:szCs w:val="20"/>
          <w:lang w:val="es-ES_tradnl"/>
        </w:rPr>
        <w:t xml:space="preserve">Al respecto, en el caso </w:t>
      </w:r>
      <w:r w:rsidRPr="0033784B">
        <w:rPr>
          <w:i/>
          <w:sz w:val="20"/>
          <w:szCs w:val="20"/>
          <w:lang w:val="es-ES_tradnl"/>
        </w:rPr>
        <w:t xml:space="preserve">Abella </w:t>
      </w:r>
      <w:r w:rsidRPr="0033784B">
        <w:rPr>
          <w:sz w:val="20"/>
          <w:szCs w:val="20"/>
          <w:lang w:val="es-ES_tradnl"/>
        </w:rPr>
        <w:t xml:space="preserve">respecto de Argentina, la Comisión Interamericana indicó: </w:t>
      </w:r>
    </w:p>
    <w:p w14:paraId="4D27DF3F" w14:textId="77777777" w:rsidR="00CB6A88" w:rsidRPr="0033784B" w:rsidRDefault="00CB6A88" w:rsidP="008C47B7">
      <w:pPr>
        <w:ind w:firstLine="720"/>
        <w:jc w:val="both"/>
        <w:rPr>
          <w:rFonts w:ascii="Cambria" w:hAnsi="Cambria"/>
          <w:sz w:val="20"/>
          <w:szCs w:val="20"/>
          <w:lang w:val="es-ES_tradnl"/>
        </w:rPr>
      </w:pPr>
    </w:p>
    <w:p w14:paraId="0DAC475C" w14:textId="77777777" w:rsidR="00CB6A88" w:rsidRPr="0033784B" w:rsidRDefault="00CB6A88" w:rsidP="00CB6A88">
      <w:pPr>
        <w:ind w:left="720" w:right="720"/>
        <w:jc w:val="both"/>
        <w:rPr>
          <w:rFonts w:ascii="Cambria" w:hAnsi="Cambria"/>
          <w:sz w:val="20"/>
          <w:szCs w:val="20"/>
          <w:lang w:val="es-ES_tradnl"/>
        </w:rPr>
      </w:pPr>
      <w:r w:rsidRPr="0033784B">
        <w:rPr>
          <w:rFonts w:ascii="Cambria" w:hAnsi="Cambria"/>
          <w:spacing w:val="-2"/>
          <w:sz w:val="20"/>
          <w:szCs w:val="20"/>
          <w:lang w:val="es-ES_tradnl"/>
        </w:rPr>
        <w:t xml:space="preserve">[E]l artículo 8.2.h se refiere a las características mínimas de un recurso que controle la corrección del fallo tanto material como formal. En este sentido, desde un punto de vista formal, el derecho de recurrir el fallo ante un juez o tribunal superior, a que se refiere la Convención Americana, debe en primer lugar proceder […] con la finalidad de examinar la aplicación indebida, la falta de aplicación o errónea interpretación, de normas de Derecho que determinen la parte resolutiva de la sentencia. La Comisión considera, además, que para garantizar el pleno derecho de defensa, dicho recurso debe incluir una revisión material en relación a la interpretación de las normas procesales que hubieran influido en la decisión de la causa, cuando hayan producido nulidad insanable o provocado indefensión, así como la interpretación de las normas referentes a la valoración de las pruebas, siempre que hayan conducido a una equivocada aplicación o a la no aplicación de las mismas.   </w:t>
      </w:r>
    </w:p>
    <w:p w14:paraId="253A553D" w14:textId="77777777" w:rsidR="00CB6A88" w:rsidRPr="0033784B" w:rsidRDefault="00CB6A88" w:rsidP="00CB6A88">
      <w:pPr>
        <w:ind w:left="720"/>
        <w:jc w:val="both"/>
        <w:rPr>
          <w:rFonts w:ascii="Cambria" w:hAnsi="Cambria"/>
          <w:sz w:val="20"/>
          <w:szCs w:val="20"/>
          <w:lang w:val="es-ES_tradnl"/>
        </w:rPr>
      </w:pPr>
    </w:p>
    <w:p w14:paraId="49E4BD35" w14:textId="77777777" w:rsidR="00CB6A88" w:rsidRPr="0033784B" w:rsidRDefault="00CB6A88" w:rsidP="00CB6A88">
      <w:pPr>
        <w:ind w:left="720"/>
        <w:jc w:val="both"/>
        <w:rPr>
          <w:rFonts w:ascii="Cambria" w:hAnsi="Cambria"/>
          <w:sz w:val="20"/>
          <w:szCs w:val="20"/>
          <w:lang w:val="es-ES_tradnl"/>
        </w:rPr>
      </w:pPr>
      <w:r w:rsidRPr="0033784B">
        <w:rPr>
          <w:rFonts w:ascii="Cambria" w:hAnsi="Cambria"/>
          <w:sz w:val="20"/>
          <w:szCs w:val="20"/>
          <w:lang w:val="es-ES_tradnl"/>
        </w:rPr>
        <w:t>[…]</w:t>
      </w:r>
    </w:p>
    <w:p w14:paraId="673B6EFF" w14:textId="77777777" w:rsidR="00CB6A88" w:rsidRPr="0033784B" w:rsidRDefault="00CB6A88" w:rsidP="00CB6A88">
      <w:pPr>
        <w:ind w:left="720"/>
        <w:jc w:val="both"/>
        <w:rPr>
          <w:rFonts w:ascii="Cambria" w:hAnsi="Cambria"/>
          <w:sz w:val="20"/>
          <w:szCs w:val="20"/>
          <w:lang w:val="es-ES_tradnl"/>
        </w:rPr>
      </w:pPr>
    </w:p>
    <w:p w14:paraId="136C4B28" w14:textId="7AF2FF6B" w:rsidR="00CB6A88" w:rsidRDefault="00CB6A88" w:rsidP="003F3250">
      <w:pPr>
        <w:ind w:left="720" w:right="720"/>
        <w:jc w:val="both"/>
        <w:rPr>
          <w:rFonts w:ascii="Cambria" w:hAnsi="Cambria"/>
          <w:spacing w:val="-2"/>
          <w:sz w:val="20"/>
          <w:szCs w:val="20"/>
          <w:lang w:val="es-ES_tradnl"/>
        </w:rPr>
      </w:pPr>
      <w:r w:rsidRPr="0033784B">
        <w:rPr>
          <w:rFonts w:ascii="Cambria" w:hAnsi="Cambria"/>
          <w:spacing w:val="-2"/>
          <w:sz w:val="20"/>
          <w:szCs w:val="20"/>
          <w:lang w:val="es-ES_tradnl"/>
        </w:rPr>
        <w:t>El recurso debería constituir igualmente un medio relativamente sencillo para que el tribunal de revisión pueda examinar la validez de la sentencia recurrida en general, e igualmente controlar el respeto a los derechos fundamentales del imputado, en especial los de defensa y el debido proceso</w:t>
      </w:r>
      <w:r w:rsidRPr="0033784B">
        <w:rPr>
          <w:rStyle w:val="FootnoteReference"/>
          <w:rFonts w:ascii="Cambria" w:hAnsi="Cambria"/>
          <w:spacing w:val="-2"/>
          <w:sz w:val="20"/>
          <w:szCs w:val="20"/>
          <w:lang w:val="es-ES_tradnl"/>
        </w:rPr>
        <w:footnoteReference w:id="33"/>
      </w:r>
      <w:r w:rsidRPr="0033784B">
        <w:rPr>
          <w:rFonts w:ascii="Cambria" w:hAnsi="Cambria"/>
          <w:spacing w:val="-2"/>
          <w:sz w:val="20"/>
          <w:szCs w:val="20"/>
          <w:lang w:val="es-ES_tradnl"/>
        </w:rPr>
        <w:t>. </w:t>
      </w:r>
    </w:p>
    <w:p w14:paraId="49D75EBA" w14:textId="77777777" w:rsidR="003F3250" w:rsidRPr="003F3250" w:rsidRDefault="003F3250" w:rsidP="003F3250">
      <w:pPr>
        <w:ind w:right="720"/>
        <w:jc w:val="both"/>
        <w:rPr>
          <w:rFonts w:ascii="Cambria" w:hAnsi="Cambria"/>
          <w:spacing w:val="-2"/>
          <w:sz w:val="20"/>
          <w:szCs w:val="20"/>
          <w:lang w:val="es-ES_tradnl"/>
        </w:rPr>
      </w:pPr>
    </w:p>
    <w:p w14:paraId="3C8BF25B" w14:textId="417A81A9" w:rsidR="00CB6A88" w:rsidRPr="0033784B" w:rsidRDefault="00CB6A88" w:rsidP="0043576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sz w:val="20"/>
          <w:szCs w:val="20"/>
          <w:lang w:val="es-ES_tradnl"/>
        </w:rPr>
      </w:pPr>
      <w:r w:rsidRPr="0033784B">
        <w:rPr>
          <w:sz w:val="20"/>
          <w:szCs w:val="20"/>
          <w:lang w:val="es-ES_tradnl"/>
        </w:rPr>
        <w:t>Por su parte, el Comité de Derechos Humanos del P</w:t>
      </w:r>
      <w:r w:rsidR="005E764F">
        <w:rPr>
          <w:sz w:val="20"/>
          <w:szCs w:val="20"/>
          <w:lang w:val="es-ES_tradnl"/>
        </w:rPr>
        <w:t xml:space="preserve">acto </w:t>
      </w:r>
      <w:r w:rsidRPr="0033784B">
        <w:rPr>
          <w:sz w:val="20"/>
          <w:szCs w:val="20"/>
          <w:lang w:val="es-ES_tradnl"/>
        </w:rPr>
        <w:t>I</w:t>
      </w:r>
      <w:r w:rsidR="005E764F">
        <w:rPr>
          <w:sz w:val="20"/>
          <w:szCs w:val="20"/>
          <w:lang w:val="es-ES_tradnl"/>
        </w:rPr>
        <w:t xml:space="preserve">nternational de </w:t>
      </w:r>
      <w:r w:rsidRPr="0033784B">
        <w:rPr>
          <w:sz w:val="20"/>
          <w:szCs w:val="20"/>
          <w:lang w:val="es-ES_tradnl"/>
        </w:rPr>
        <w:t>D</w:t>
      </w:r>
      <w:r w:rsidR="005E764F">
        <w:rPr>
          <w:sz w:val="20"/>
          <w:szCs w:val="20"/>
          <w:lang w:val="es-ES_tradnl"/>
        </w:rPr>
        <w:t xml:space="preserve">erechos </w:t>
      </w:r>
      <w:r w:rsidRPr="0033784B">
        <w:rPr>
          <w:sz w:val="20"/>
          <w:szCs w:val="20"/>
          <w:lang w:val="es-ES_tradnl"/>
        </w:rPr>
        <w:t>C</w:t>
      </w:r>
      <w:r w:rsidR="005E764F">
        <w:rPr>
          <w:sz w:val="20"/>
          <w:szCs w:val="20"/>
          <w:lang w:val="es-ES_tradnl"/>
        </w:rPr>
        <w:t xml:space="preserve">iviles y </w:t>
      </w:r>
      <w:r w:rsidRPr="0033784B">
        <w:rPr>
          <w:sz w:val="20"/>
          <w:szCs w:val="20"/>
          <w:lang w:val="es-ES_tradnl"/>
        </w:rPr>
        <w:t>P</w:t>
      </w:r>
      <w:r w:rsidR="005E764F">
        <w:rPr>
          <w:sz w:val="20"/>
          <w:szCs w:val="20"/>
          <w:lang w:val="es-ES_tradnl"/>
        </w:rPr>
        <w:t>olíticos</w:t>
      </w:r>
      <w:r w:rsidRPr="0033784B">
        <w:rPr>
          <w:sz w:val="20"/>
          <w:szCs w:val="20"/>
          <w:lang w:val="es-ES_tradnl"/>
        </w:rPr>
        <w:t xml:space="preserve"> ha establecido reiteradamente que</w:t>
      </w:r>
      <w:r w:rsidRPr="0033784B">
        <w:rPr>
          <w:rStyle w:val="FootnoteReference"/>
          <w:sz w:val="20"/>
          <w:szCs w:val="20"/>
          <w:lang w:val="es-ES_tradnl"/>
        </w:rPr>
        <w:footnoteReference w:id="34"/>
      </w:r>
      <w:r w:rsidRPr="0033784B">
        <w:rPr>
          <w:sz w:val="20"/>
          <w:szCs w:val="20"/>
          <w:lang w:val="es-ES_tradnl"/>
        </w:rPr>
        <w:t>:</w:t>
      </w:r>
    </w:p>
    <w:p w14:paraId="5FDD6912" w14:textId="77777777" w:rsidR="00CB6A88" w:rsidRPr="0033784B" w:rsidRDefault="00CB6A88" w:rsidP="00CB6A88">
      <w:pPr>
        <w:ind w:firstLine="720"/>
        <w:jc w:val="both"/>
        <w:rPr>
          <w:rFonts w:ascii="Cambria" w:hAnsi="Cambria"/>
          <w:sz w:val="20"/>
          <w:szCs w:val="20"/>
          <w:lang w:val="es-ES_tradnl"/>
        </w:rPr>
      </w:pPr>
    </w:p>
    <w:p w14:paraId="4C14B37A" w14:textId="77777777" w:rsidR="00CB6A88" w:rsidRPr="0033784B" w:rsidRDefault="00CB6A88" w:rsidP="00CB6A88">
      <w:pPr>
        <w:autoSpaceDE w:val="0"/>
        <w:autoSpaceDN w:val="0"/>
        <w:adjustRightInd w:val="0"/>
        <w:ind w:left="720" w:right="720"/>
        <w:jc w:val="both"/>
        <w:rPr>
          <w:rFonts w:ascii="Cambria" w:hAnsi="Cambria"/>
          <w:sz w:val="20"/>
          <w:szCs w:val="20"/>
          <w:lang w:val="es-ES_tradnl"/>
        </w:rPr>
      </w:pPr>
      <w:r w:rsidRPr="0033784B">
        <w:rPr>
          <w:rFonts w:ascii="Cambria" w:hAnsi="Cambria"/>
          <w:sz w:val="20"/>
          <w:szCs w:val="20"/>
          <w:lang w:val="es-ES_tradnl"/>
        </w:rPr>
        <w:t>El derecho de toda persona a que el fallo condenatorio y la pena impuesta se sometan a un tribunal superior, establecido en el párrafo 5 del artículo 14, impone al Estado Parte la obligación de revisar sustancialmente el fallo condenatorio y la pena, en lo relativo a la suficiencia tanto de las pruebas como de la legislación, de modo que el procedimiento permita tomar debidamente en consideración la naturaleza de la causa. Una revisión que se limite a los aspectos formales o jurídicos de la condena solamente no es suficiente al tenor del Pacto</w:t>
      </w:r>
      <w:r w:rsidRPr="0033784B">
        <w:rPr>
          <w:rStyle w:val="FootnoteReference"/>
          <w:rFonts w:ascii="Cambria" w:hAnsi="Cambria"/>
          <w:sz w:val="20"/>
          <w:szCs w:val="20"/>
          <w:lang w:val="es-ES_tradnl"/>
        </w:rPr>
        <w:footnoteReference w:id="35"/>
      </w:r>
      <w:r w:rsidRPr="0033784B">
        <w:rPr>
          <w:rFonts w:ascii="Cambria" w:hAnsi="Cambria"/>
          <w:sz w:val="20"/>
          <w:szCs w:val="20"/>
          <w:lang w:val="es-ES_tradnl"/>
        </w:rPr>
        <w:t>.</w:t>
      </w:r>
    </w:p>
    <w:p w14:paraId="5136244A" w14:textId="77777777" w:rsidR="00CB6A88" w:rsidRPr="0033784B" w:rsidRDefault="00CB6A88" w:rsidP="00CB6A88">
      <w:pPr>
        <w:jc w:val="both"/>
        <w:rPr>
          <w:rFonts w:ascii="Cambria" w:hAnsi="Cambria"/>
          <w:sz w:val="20"/>
          <w:szCs w:val="20"/>
          <w:lang w:val="es-ES_tradnl"/>
        </w:rPr>
      </w:pPr>
    </w:p>
    <w:p w14:paraId="251B03F9" w14:textId="73FFBAE6" w:rsidR="00CB6A88" w:rsidRPr="0033784B" w:rsidRDefault="00CB6A88" w:rsidP="0043576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sz w:val="20"/>
          <w:szCs w:val="20"/>
          <w:lang w:val="es-ES_tradnl"/>
        </w:rPr>
      </w:pPr>
      <w:r w:rsidRPr="0033784B">
        <w:rPr>
          <w:rFonts w:cs="ArialMT"/>
          <w:sz w:val="20"/>
          <w:szCs w:val="20"/>
          <w:lang w:val="es-ES_tradnl" w:bidi="en-US"/>
        </w:rPr>
        <w:t>En</w:t>
      </w:r>
      <w:r w:rsidRPr="0033784B">
        <w:rPr>
          <w:sz w:val="20"/>
          <w:szCs w:val="20"/>
          <w:lang w:val="es-CO"/>
        </w:rPr>
        <w:t xml:space="preserve"> la </w:t>
      </w:r>
      <w:r w:rsidRPr="0033784B">
        <w:rPr>
          <w:sz w:val="20"/>
          <w:szCs w:val="20"/>
          <w:lang w:val="es-ES_tradnl"/>
        </w:rPr>
        <w:t>misma</w:t>
      </w:r>
      <w:r w:rsidRPr="0033784B">
        <w:rPr>
          <w:sz w:val="20"/>
          <w:szCs w:val="20"/>
          <w:lang w:val="es-CO"/>
        </w:rPr>
        <w:t xml:space="preserve"> línea de lo establecido por el Comité de Derechos Humanos del PIDCP, la CIDH destaca que el derecho a recurrir no implica </w:t>
      </w:r>
      <w:r w:rsidR="00AA127B">
        <w:rPr>
          <w:sz w:val="20"/>
          <w:szCs w:val="20"/>
          <w:lang w:val="es-CO"/>
        </w:rPr>
        <w:t xml:space="preserve">necesariamente </w:t>
      </w:r>
      <w:r w:rsidRPr="0033784B">
        <w:rPr>
          <w:sz w:val="20"/>
          <w:szCs w:val="20"/>
          <w:lang w:val="es-ES_tradnl"/>
        </w:rPr>
        <w:t xml:space="preserve">un nuevo juicio o una nueva “audiencia”, siempre que el tribunal que realiza la </w:t>
      </w:r>
      <w:r w:rsidRPr="0033784B">
        <w:rPr>
          <w:rFonts w:cs="Times-Roman"/>
          <w:sz w:val="20"/>
          <w:szCs w:val="20"/>
          <w:lang w:val="es-ES_tradnl" w:bidi="en-US"/>
        </w:rPr>
        <w:t xml:space="preserve">revisión no esté impedido de </w:t>
      </w:r>
      <w:r w:rsidRPr="0033784B">
        <w:rPr>
          <w:sz w:val="20"/>
          <w:szCs w:val="20"/>
          <w:lang w:val="es-ES_tradnl"/>
        </w:rPr>
        <w:t>estudiar los hechos de la causa</w:t>
      </w:r>
      <w:r w:rsidRPr="0033784B">
        <w:rPr>
          <w:rStyle w:val="FootnoteReference"/>
          <w:sz w:val="20"/>
          <w:szCs w:val="20"/>
          <w:lang w:val="es-ES_tradnl"/>
        </w:rPr>
        <w:footnoteReference w:id="36"/>
      </w:r>
      <w:r w:rsidRPr="0033784B">
        <w:rPr>
          <w:sz w:val="20"/>
          <w:szCs w:val="20"/>
          <w:lang w:val="es-ES_tradnl"/>
        </w:rPr>
        <w:t xml:space="preserve">. Lo que exige la norma es la posibilidad de señalar y obtener respuesta sobre errores que hubiera podido cometer el juez o tribunal, sin excluir </w:t>
      </w:r>
      <w:r w:rsidRPr="0033784B">
        <w:rPr>
          <w:i/>
          <w:sz w:val="20"/>
          <w:szCs w:val="20"/>
          <w:lang w:val="es-ES_tradnl"/>
        </w:rPr>
        <w:t>a priori</w:t>
      </w:r>
      <w:r w:rsidRPr="0033784B">
        <w:rPr>
          <w:sz w:val="20"/>
          <w:szCs w:val="20"/>
          <w:lang w:val="es-ES_tradnl"/>
        </w:rPr>
        <w:t xml:space="preserve"> ciertas categorías como los hechos y la valoración y recepción de la </w:t>
      </w:r>
      <w:r w:rsidRPr="0033784B">
        <w:rPr>
          <w:sz w:val="20"/>
          <w:szCs w:val="20"/>
          <w:lang w:val="es-ES_tradnl"/>
        </w:rPr>
        <w:lastRenderedPageBreak/>
        <w:t>prueba. La forma y los medios a través de los cuales se realice la revisión dependerán de la naturaleza de las cuestiones en debate así como de las particularidades del sistema procesal penal en el Estado concernido</w:t>
      </w:r>
      <w:r w:rsidRPr="0033784B">
        <w:rPr>
          <w:rStyle w:val="FootnoteReference"/>
          <w:sz w:val="20"/>
          <w:szCs w:val="20"/>
          <w:lang w:val="es-ES_tradnl"/>
        </w:rPr>
        <w:footnoteReference w:id="37"/>
      </w:r>
      <w:r w:rsidRPr="0033784B">
        <w:rPr>
          <w:sz w:val="20"/>
          <w:szCs w:val="20"/>
          <w:lang w:val="es-ES_tradnl"/>
        </w:rPr>
        <w:t>.</w:t>
      </w:r>
    </w:p>
    <w:p w14:paraId="69969335" w14:textId="77777777" w:rsidR="00CB6A88" w:rsidRPr="0033784B" w:rsidRDefault="00CB6A88" w:rsidP="00CB6A88">
      <w:pPr>
        <w:tabs>
          <w:tab w:val="left" w:pos="1440"/>
        </w:tabs>
        <w:jc w:val="both"/>
        <w:rPr>
          <w:rFonts w:ascii="Cambria" w:hAnsi="Cambria"/>
          <w:sz w:val="20"/>
          <w:szCs w:val="20"/>
          <w:lang w:val="es-ES_tradnl"/>
        </w:rPr>
      </w:pPr>
    </w:p>
    <w:p w14:paraId="509A4CC4" w14:textId="4DC47669" w:rsidR="00CB6A88" w:rsidRPr="0033784B" w:rsidRDefault="00CB6A88" w:rsidP="007960C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sz w:val="20"/>
          <w:szCs w:val="20"/>
          <w:lang w:val="es-ES_tradnl"/>
        </w:rPr>
      </w:pPr>
      <w:r w:rsidRPr="0033784B">
        <w:rPr>
          <w:sz w:val="20"/>
          <w:szCs w:val="20"/>
          <w:lang w:val="es-ES_tradnl"/>
        </w:rPr>
        <w:t xml:space="preserve">Estos estándares que regulan el derecho a recurrir el fallo, fueron acogidos por la Corte Interamericana en el caso </w:t>
      </w:r>
      <w:r w:rsidRPr="0033784B">
        <w:rPr>
          <w:i/>
          <w:sz w:val="20"/>
          <w:szCs w:val="20"/>
          <w:lang w:val="es-ES_tradnl"/>
        </w:rPr>
        <w:t xml:space="preserve">Mendoza y otros vs. Argentina. </w:t>
      </w:r>
      <w:r w:rsidRPr="0033784B">
        <w:rPr>
          <w:sz w:val="20"/>
          <w:szCs w:val="20"/>
          <w:lang w:val="es-ES_tradnl"/>
        </w:rPr>
        <w:t>Particularmente, en lo relativo al alcance de la revisión, la Corte sostuvo que</w:t>
      </w:r>
      <w:r w:rsidRPr="0033784B">
        <w:rPr>
          <w:i/>
          <w:sz w:val="20"/>
          <w:szCs w:val="20"/>
          <w:lang w:val="es-ES_tradnl"/>
        </w:rPr>
        <w:t xml:space="preserve"> </w:t>
      </w:r>
      <w:r w:rsidRPr="0033784B">
        <w:rPr>
          <w:sz w:val="20"/>
          <w:szCs w:val="20"/>
          <w:lang w:val="es-ES_tradnl"/>
        </w:rPr>
        <w:t xml:space="preserve">independientemente del régimen o sistema recursivo que adopten los Estados Parte y de la denominación que den al medio de impugnación de la sentencia condenatoria, para que éste sea eficaz debe constituir </w:t>
      </w:r>
      <w:r w:rsidRPr="0033784B">
        <w:rPr>
          <w:sz w:val="20"/>
          <w:szCs w:val="20"/>
          <w:lang w:val="es-CR"/>
        </w:rPr>
        <w:t>un medio adecuado para procurar la corrección de una condena errónea</w:t>
      </w:r>
      <w:r w:rsidRPr="0033784B">
        <w:rPr>
          <w:rStyle w:val="FootnoteReference"/>
          <w:sz w:val="20"/>
          <w:szCs w:val="20"/>
          <w:lang w:val="es-CR"/>
        </w:rPr>
        <w:footnoteReference w:id="38"/>
      </w:r>
      <w:r w:rsidRPr="0033784B">
        <w:rPr>
          <w:sz w:val="20"/>
          <w:szCs w:val="20"/>
          <w:lang w:val="es-CR"/>
        </w:rPr>
        <w:t xml:space="preserve">. Ello requiere que </w:t>
      </w:r>
      <w:r w:rsidRPr="0033784B">
        <w:rPr>
          <w:sz w:val="20"/>
          <w:szCs w:val="20"/>
          <w:lang w:val="es-ES_tradnl"/>
        </w:rPr>
        <w:t>pueda</w:t>
      </w:r>
      <w:r w:rsidRPr="0033784B">
        <w:rPr>
          <w:sz w:val="20"/>
          <w:szCs w:val="20"/>
          <w:lang w:val="es-CR"/>
        </w:rPr>
        <w:t xml:space="preserve"> analizar las cuestiones fácticas, probatorias y jurídicas </w:t>
      </w:r>
      <w:r w:rsidRPr="0033784B">
        <w:rPr>
          <w:sz w:val="20"/>
          <w:szCs w:val="20"/>
          <w:lang w:val="es-ES_tradnl"/>
        </w:rPr>
        <w:t xml:space="preserve">en que se basa la sentencia impugnada, puesto que en la actividad jurisdiccional existe una interdependencia entre las determinaciones fácticas y la aplicación del derecho, de forma tal que una errónea determinación de los hechos implica una errada o indebida aplicación del derecho. </w:t>
      </w:r>
      <w:r w:rsidRPr="0033784B">
        <w:rPr>
          <w:sz w:val="20"/>
          <w:szCs w:val="20"/>
          <w:lang w:val="es-CR"/>
        </w:rPr>
        <w:t xml:space="preserve">Consecuentemente, las causales de procedencia del recurso deben </w:t>
      </w:r>
      <w:r w:rsidRPr="0033784B">
        <w:rPr>
          <w:sz w:val="20"/>
          <w:szCs w:val="20"/>
          <w:lang w:val="es-ES_tradnl"/>
        </w:rPr>
        <w:t>posibilitar un control amplio de los aspectos impugnados de la sentencia condenatoria</w:t>
      </w:r>
      <w:r w:rsidRPr="0033784B">
        <w:rPr>
          <w:rStyle w:val="FootnoteReference"/>
          <w:sz w:val="20"/>
          <w:szCs w:val="20"/>
        </w:rPr>
        <w:footnoteReference w:id="39"/>
      </w:r>
      <w:r w:rsidRPr="0033784B">
        <w:rPr>
          <w:sz w:val="20"/>
          <w:szCs w:val="20"/>
          <w:lang w:val="es-ES_tradnl"/>
        </w:rPr>
        <w:t>. La Corte también precisó, en la misma línea de lo sostenido por la Comisión</w:t>
      </w:r>
      <w:r w:rsidR="004B2CB0">
        <w:rPr>
          <w:sz w:val="20"/>
          <w:szCs w:val="20"/>
          <w:lang w:val="es-ES_tradnl"/>
        </w:rPr>
        <w:t xml:space="preserve"> en su informe de fondo respecto al mismo caso,</w:t>
      </w:r>
      <w:r w:rsidRPr="0033784B">
        <w:rPr>
          <w:sz w:val="20"/>
          <w:szCs w:val="20"/>
          <w:lang w:val="es-ES_tradnl"/>
        </w:rPr>
        <w:t xml:space="preserve"> que el recurso debe respetar </w:t>
      </w:r>
      <w:r w:rsidRPr="0033784B">
        <w:rPr>
          <w:sz w:val="20"/>
          <w:szCs w:val="20"/>
          <w:lang w:val="es-CR"/>
        </w:rPr>
        <w:t>las garantías procesales mínimas que, bajo el artículo 8 de la Convención, resulten relevantes y necesarias para resolver los agravios planteados por el recurrente, lo cual no implica que deba realizarse un nuevo juicio</w:t>
      </w:r>
      <w:r w:rsidRPr="0033784B">
        <w:rPr>
          <w:rStyle w:val="FootnoteReference"/>
          <w:sz w:val="20"/>
          <w:szCs w:val="20"/>
          <w:lang w:val="es-CR"/>
        </w:rPr>
        <w:footnoteReference w:id="40"/>
      </w:r>
      <w:r w:rsidRPr="0033784B">
        <w:rPr>
          <w:sz w:val="20"/>
          <w:szCs w:val="20"/>
          <w:lang w:val="es-CR"/>
        </w:rPr>
        <w:t>.</w:t>
      </w:r>
    </w:p>
    <w:p w14:paraId="4A7FE65A" w14:textId="77777777" w:rsidR="00CB6A88" w:rsidRPr="0033784B" w:rsidRDefault="00CB6A88" w:rsidP="00CB6A88">
      <w:pPr>
        <w:jc w:val="both"/>
        <w:rPr>
          <w:rFonts w:ascii="Cambria" w:hAnsi="Cambria"/>
          <w:sz w:val="20"/>
          <w:szCs w:val="20"/>
          <w:lang w:val="es-ES_tradnl"/>
        </w:rPr>
      </w:pPr>
    </w:p>
    <w:p w14:paraId="11A23D87" w14:textId="059F7941" w:rsidR="00CB6A88" w:rsidRPr="0033784B" w:rsidRDefault="00CB6A88" w:rsidP="007960C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sz w:val="20"/>
          <w:szCs w:val="20"/>
          <w:lang w:val="es-ES_tradnl"/>
        </w:rPr>
      </w:pPr>
      <w:r w:rsidRPr="0033784B">
        <w:rPr>
          <w:sz w:val="20"/>
          <w:szCs w:val="20"/>
          <w:lang w:val="es-ES_tradnl"/>
        </w:rPr>
        <w:t xml:space="preserve">Por otra parte, y en cuanto a la </w:t>
      </w:r>
      <w:r w:rsidRPr="008C47B7">
        <w:rPr>
          <w:sz w:val="20"/>
          <w:szCs w:val="20"/>
          <w:lang w:val="es-ES_tradnl"/>
        </w:rPr>
        <w:t>accesibilidad</w:t>
      </w:r>
      <w:r w:rsidRPr="0033784B">
        <w:rPr>
          <w:i/>
          <w:sz w:val="20"/>
          <w:szCs w:val="20"/>
          <w:lang w:val="es-ES_tradnl"/>
        </w:rPr>
        <w:t xml:space="preserve"> </w:t>
      </w:r>
      <w:r w:rsidRPr="0033784B">
        <w:rPr>
          <w:sz w:val="20"/>
          <w:szCs w:val="20"/>
          <w:lang w:val="es-ES_tradnl"/>
        </w:rPr>
        <w:t>del recurso, la Comisión considera que, en principio, la regulación de algunas exigencias mínimas para la procedencia del recurso no es incompatible con el derecho contenido en el artículo 8.2 h) de la Convención. Algunas de esas exigencias mínimas son, por ejemplo, la presentación del recurso como tal – dado que el artículo 8.2 h) no exige una revisión automática – o la regulación de un plazo razonable dentro del cual debe interponerse</w:t>
      </w:r>
      <w:r w:rsidR="009C72FF" w:rsidRPr="0033784B">
        <w:rPr>
          <w:rStyle w:val="FootnoteReference"/>
          <w:sz w:val="20"/>
          <w:szCs w:val="20"/>
          <w:lang w:val="es-ES_tradnl"/>
        </w:rPr>
        <w:footnoteReference w:id="41"/>
      </w:r>
      <w:r w:rsidRPr="0033784B">
        <w:rPr>
          <w:sz w:val="20"/>
          <w:szCs w:val="20"/>
          <w:lang w:val="es-ES_tradnl"/>
        </w:rPr>
        <w:t>. Sin embargo, en ciertas circunstancias, el rechazo de los recursos sobre la base del incumplimiento de requisitos formales establecidos legalmente o definidos mediante la práctica judicial en una región determinada, puede resultar en una violación del derecho a recurrir el fallo</w:t>
      </w:r>
      <w:r w:rsidR="009C72FF" w:rsidRPr="0033784B">
        <w:rPr>
          <w:rStyle w:val="FootnoteReference"/>
          <w:sz w:val="20"/>
          <w:szCs w:val="20"/>
          <w:lang w:val="es-ES_tradnl"/>
        </w:rPr>
        <w:footnoteReference w:id="42"/>
      </w:r>
      <w:r w:rsidRPr="0033784B">
        <w:rPr>
          <w:sz w:val="20"/>
          <w:szCs w:val="20"/>
          <w:lang w:val="es-ES_tradnl"/>
        </w:rPr>
        <w:t xml:space="preserve">. </w:t>
      </w:r>
    </w:p>
    <w:p w14:paraId="7B54C0CE" w14:textId="77777777" w:rsidR="00CB6A88" w:rsidRPr="0033784B" w:rsidRDefault="00CB6A88" w:rsidP="00CB6A8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
        </w:rPr>
      </w:pPr>
    </w:p>
    <w:p w14:paraId="21C374C6" w14:textId="4F9ACF01" w:rsidR="000F6559" w:rsidRPr="0033784B" w:rsidRDefault="000F6559" w:rsidP="007960C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sz w:val="20"/>
          <w:szCs w:val="20"/>
          <w:lang w:val="es-ES_tradnl"/>
        </w:rPr>
      </w:pPr>
      <w:r w:rsidRPr="0033784B">
        <w:rPr>
          <w:sz w:val="20"/>
          <w:szCs w:val="20"/>
          <w:lang w:val="es-ES"/>
        </w:rPr>
        <w:t>A continuación, la Comisión analizará si en los procesos de l</w:t>
      </w:r>
      <w:r w:rsidR="008C7938" w:rsidRPr="0033784B">
        <w:rPr>
          <w:sz w:val="20"/>
          <w:szCs w:val="20"/>
          <w:lang w:val="es-ES"/>
        </w:rPr>
        <w:t xml:space="preserve">os señores Del Valle Ambrosio y Domínguez Linares </w:t>
      </w:r>
      <w:r w:rsidRPr="0033784B">
        <w:rPr>
          <w:sz w:val="20"/>
          <w:szCs w:val="20"/>
          <w:lang w:val="es-ES"/>
        </w:rPr>
        <w:t>se respetó la garantía contemplada en el artículo 8.2 h) de la C</w:t>
      </w:r>
      <w:r w:rsidR="008C7938" w:rsidRPr="0033784B">
        <w:rPr>
          <w:sz w:val="20"/>
          <w:szCs w:val="20"/>
          <w:lang w:val="es-ES"/>
        </w:rPr>
        <w:t>onvención Americana</w:t>
      </w:r>
      <w:r w:rsidR="001C18A2" w:rsidRPr="0033784B">
        <w:rPr>
          <w:sz w:val="20"/>
          <w:szCs w:val="20"/>
          <w:lang w:val="es-ES"/>
        </w:rPr>
        <w:t xml:space="preserve">, tomando en cuenta el marco normativo aplicable y las especificidades de los recursos interpuestos en el caso concreto. </w:t>
      </w:r>
      <w:r w:rsidRPr="0033784B">
        <w:rPr>
          <w:sz w:val="20"/>
          <w:szCs w:val="20"/>
          <w:lang w:val="es-ES"/>
        </w:rPr>
        <w:t xml:space="preserve"> </w:t>
      </w:r>
    </w:p>
    <w:p w14:paraId="6263946A" w14:textId="77777777" w:rsidR="000F6559" w:rsidRPr="0033784B" w:rsidRDefault="000F6559" w:rsidP="000F6559">
      <w:pPr>
        <w:rPr>
          <w:rFonts w:ascii="Cambria" w:hAnsi="Cambria"/>
          <w:sz w:val="20"/>
          <w:szCs w:val="20"/>
          <w:lang w:val="es-ES"/>
        </w:rPr>
      </w:pPr>
    </w:p>
    <w:p w14:paraId="21418119" w14:textId="77777777" w:rsidR="000F6559" w:rsidRPr="0033784B" w:rsidRDefault="000F6559" w:rsidP="008C7938">
      <w:pPr>
        <w:ind w:left="90" w:firstLine="720"/>
        <w:jc w:val="both"/>
        <w:rPr>
          <w:rFonts w:ascii="Cambria" w:hAnsi="Cambria"/>
          <w:b/>
          <w:sz w:val="20"/>
          <w:szCs w:val="20"/>
          <w:lang w:val="es-ES_tradnl"/>
        </w:rPr>
      </w:pPr>
      <w:r w:rsidRPr="0033784B">
        <w:rPr>
          <w:rFonts w:ascii="Cambria" w:hAnsi="Cambria"/>
          <w:b/>
          <w:sz w:val="20"/>
          <w:szCs w:val="20"/>
          <w:lang w:val="es-ES_tradnl"/>
        </w:rPr>
        <w:t>2.</w:t>
      </w:r>
      <w:r w:rsidRPr="0033784B">
        <w:rPr>
          <w:rFonts w:ascii="Cambria" w:hAnsi="Cambria"/>
          <w:b/>
          <w:sz w:val="20"/>
          <w:szCs w:val="20"/>
          <w:lang w:val="es-ES_tradnl"/>
        </w:rPr>
        <w:tab/>
        <w:t>Análisis de los casos concretos</w:t>
      </w:r>
    </w:p>
    <w:p w14:paraId="690266B5" w14:textId="77777777" w:rsidR="000F6559" w:rsidRPr="0033784B" w:rsidRDefault="000F6559" w:rsidP="000F6559">
      <w:pPr>
        <w:ind w:firstLine="720"/>
        <w:jc w:val="both"/>
        <w:rPr>
          <w:rFonts w:ascii="Cambria" w:hAnsi="Cambria"/>
          <w:b/>
          <w:sz w:val="20"/>
          <w:szCs w:val="20"/>
          <w:lang w:val="es-ES_tradnl"/>
        </w:rPr>
      </w:pPr>
    </w:p>
    <w:p w14:paraId="06661C75" w14:textId="0F7F718E" w:rsidR="00E40DA3" w:rsidRPr="0033784B" w:rsidRDefault="008677FF" w:rsidP="00E40DA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sz w:val="20"/>
          <w:szCs w:val="20"/>
          <w:lang w:val="es-ES_tradnl"/>
        </w:rPr>
      </w:pPr>
      <w:r w:rsidRPr="0033784B">
        <w:rPr>
          <w:sz w:val="20"/>
          <w:szCs w:val="20"/>
          <w:lang w:val="es-ES_tradnl"/>
        </w:rPr>
        <w:t xml:space="preserve">Conforme a los hechos probados, la defensa </w:t>
      </w:r>
      <w:r w:rsidR="000F6559" w:rsidRPr="0033784B">
        <w:rPr>
          <w:sz w:val="20"/>
          <w:szCs w:val="20"/>
          <w:lang w:val="es-ES_tradnl"/>
        </w:rPr>
        <w:t xml:space="preserve">de los señores </w:t>
      </w:r>
      <w:r w:rsidR="00032AB8" w:rsidRPr="0033784B">
        <w:rPr>
          <w:sz w:val="20"/>
          <w:szCs w:val="20"/>
          <w:lang w:val="es-ES_tradnl"/>
        </w:rPr>
        <w:t>D</w:t>
      </w:r>
      <w:r w:rsidR="001F10A5" w:rsidRPr="0033784B">
        <w:rPr>
          <w:sz w:val="20"/>
          <w:szCs w:val="20"/>
          <w:lang w:val="es-ES_tradnl"/>
        </w:rPr>
        <w:t xml:space="preserve">el Valle Ambrosio y Domínguez </w:t>
      </w:r>
      <w:r w:rsidR="000F6559" w:rsidRPr="0033784B">
        <w:rPr>
          <w:sz w:val="20"/>
          <w:szCs w:val="20"/>
          <w:lang w:val="es-ES_tradnl"/>
        </w:rPr>
        <w:t>Linares interpuso recursos de casación, extrao</w:t>
      </w:r>
      <w:r w:rsidR="001F10A5" w:rsidRPr="0033784B">
        <w:rPr>
          <w:sz w:val="20"/>
          <w:szCs w:val="20"/>
          <w:lang w:val="es-ES_tradnl"/>
        </w:rPr>
        <w:t>r</w:t>
      </w:r>
      <w:r w:rsidR="000F6559" w:rsidRPr="0033784B">
        <w:rPr>
          <w:sz w:val="20"/>
          <w:szCs w:val="20"/>
          <w:lang w:val="es-ES_tradnl"/>
        </w:rPr>
        <w:t>dinario</w:t>
      </w:r>
      <w:r w:rsidR="00032AB8" w:rsidRPr="0033784B">
        <w:rPr>
          <w:sz w:val="20"/>
          <w:szCs w:val="20"/>
          <w:lang w:val="es-ES_tradnl"/>
        </w:rPr>
        <w:t>s</w:t>
      </w:r>
      <w:r w:rsidR="006A5324" w:rsidRPr="0033784B">
        <w:rPr>
          <w:sz w:val="20"/>
          <w:szCs w:val="20"/>
          <w:lang w:val="es-ES_tradnl"/>
        </w:rPr>
        <w:t xml:space="preserve"> federal</w:t>
      </w:r>
      <w:r w:rsidR="00032AB8" w:rsidRPr="0033784B">
        <w:rPr>
          <w:sz w:val="20"/>
          <w:szCs w:val="20"/>
          <w:lang w:val="es-ES_tradnl"/>
        </w:rPr>
        <w:t>es</w:t>
      </w:r>
      <w:r w:rsidR="006A5324" w:rsidRPr="0033784B">
        <w:rPr>
          <w:sz w:val="20"/>
          <w:szCs w:val="20"/>
          <w:lang w:val="es-ES_tradnl"/>
        </w:rPr>
        <w:t xml:space="preserve"> </w:t>
      </w:r>
      <w:r w:rsidR="000F6559" w:rsidRPr="0033784B">
        <w:rPr>
          <w:sz w:val="20"/>
          <w:szCs w:val="20"/>
          <w:lang w:val="es-ES_tradnl"/>
        </w:rPr>
        <w:t xml:space="preserve">y de queja, contra la sentencia </w:t>
      </w:r>
      <w:r w:rsidR="00032AB8" w:rsidRPr="0033784B">
        <w:rPr>
          <w:sz w:val="20"/>
          <w:szCs w:val="20"/>
          <w:lang w:val="es-ES_tradnl"/>
        </w:rPr>
        <w:t>el 23 de diciembre de 1997</w:t>
      </w:r>
      <w:r w:rsidR="002F7231" w:rsidRPr="0033784B">
        <w:rPr>
          <w:sz w:val="20"/>
          <w:szCs w:val="20"/>
          <w:lang w:val="es-ES_tradnl"/>
        </w:rPr>
        <w:t>, que los declaró</w:t>
      </w:r>
      <w:r w:rsidR="002F7231" w:rsidRPr="0033784B">
        <w:rPr>
          <w:sz w:val="20"/>
          <w:szCs w:val="20"/>
          <w:lang w:val="es-MX"/>
        </w:rPr>
        <w:t xml:space="preserve"> cómplices necesarios del delito de defraudación calificada por administración fraudulenta y les impuso la pena de tres años y seis meses de prisión.</w:t>
      </w:r>
      <w:r w:rsidR="00E40DA3" w:rsidRPr="0033784B">
        <w:rPr>
          <w:sz w:val="20"/>
          <w:szCs w:val="20"/>
          <w:lang w:val="es-MX"/>
        </w:rPr>
        <w:t xml:space="preserve"> </w:t>
      </w:r>
      <w:r w:rsidR="00E40DA3" w:rsidRPr="0033784B">
        <w:rPr>
          <w:sz w:val="20"/>
          <w:szCs w:val="20"/>
          <w:lang w:val="es-AR"/>
        </w:rPr>
        <w:t xml:space="preserve">Según </w:t>
      </w:r>
      <w:r w:rsidR="00196BEB" w:rsidRPr="0033784B">
        <w:rPr>
          <w:sz w:val="20"/>
          <w:szCs w:val="20"/>
          <w:lang w:val="es-AR"/>
        </w:rPr>
        <w:t>la legislación procesal penal naciona</w:t>
      </w:r>
      <w:r w:rsidR="00032AB8" w:rsidRPr="0033784B">
        <w:rPr>
          <w:sz w:val="20"/>
          <w:szCs w:val="20"/>
          <w:lang w:val="es-AR"/>
        </w:rPr>
        <w:t xml:space="preserve">l </w:t>
      </w:r>
      <w:r w:rsidR="00196BEB" w:rsidRPr="0033784B">
        <w:rPr>
          <w:sz w:val="20"/>
          <w:szCs w:val="20"/>
          <w:lang w:val="es-AR"/>
        </w:rPr>
        <w:t xml:space="preserve">y </w:t>
      </w:r>
      <w:r w:rsidR="00032AB8" w:rsidRPr="0033784B">
        <w:rPr>
          <w:sz w:val="20"/>
          <w:szCs w:val="20"/>
          <w:lang w:val="es-AR"/>
        </w:rPr>
        <w:t xml:space="preserve">la legislación </w:t>
      </w:r>
      <w:r w:rsidR="00196BEB" w:rsidRPr="0033784B">
        <w:rPr>
          <w:sz w:val="20"/>
          <w:szCs w:val="20"/>
          <w:lang w:val="es-AR"/>
        </w:rPr>
        <w:t>de la Provincia de Córdoba, la casación es el recurso que procede en contra de una sentencia penal condenatoria</w:t>
      </w:r>
      <w:r w:rsidR="00E40DA3" w:rsidRPr="0033784B">
        <w:rPr>
          <w:sz w:val="20"/>
          <w:szCs w:val="20"/>
          <w:lang w:val="es-AR"/>
        </w:rPr>
        <w:t xml:space="preserve"> de primera instancia. En ese sentido, este es el recurso </w:t>
      </w:r>
      <w:r w:rsidR="00E35DC1" w:rsidRPr="0033784B">
        <w:rPr>
          <w:sz w:val="20"/>
          <w:szCs w:val="20"/>
          <w:lang w:val="es-AR"/>
        </w:rPr>
        <w:t xml:space="preserve">principal </w:t>
      </w:r>
      <w:r w:rsidR="00E40DA3" w:rsidRPr="0033784B">
        <w:rPr>
          <w:sz w:val="20"/>
          <w:szCs w:val="20"/>
          <w:lang w:val="es-AR"/>
        </w:rPr>
        <w:lastRenderedPageBreak/>
        <w:t>que la CIDH debe analizar a fin de determinar si el mismo satisface las exigencias del derecho consagrado en el artículo 8.2 h) de la Convención</w:t>
      </w:r>
      <w:r w:rsidR="006037EF" w:rsidRPr="0033784B">
        <w:rPr>
          <w:rStyle w:val="FootnoteReference"/>
          <w:sz w:val="20"/>
          <w:szCs w:val="20"/>
          <w:lang w:val="es-AR"/>
        </w:rPr>
        <w:footnoteReference w:id="43"/>
      </w:r>
      <w:r w:rsidR="00E40DA3" w:rsidRPr="0033784B">
        <w:rPr>
          <w:sz w:val="20"/>
          <w:szCs w:val="20"/>
          <w:lang w:val="es-AR"/>
        </w:rPr>
        <w:t xml:space="preserve">. </w:t>
      </w:r>
    </w:p>
    <w:p w14:paraId="41995965" w14:textId="77777777" w:rsidR="00E40DA3" w:rsidRPr="0033784B" w:rsidRDefault="00E40DA3" w:rsidP="00E40DA3">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jc w:val="both"/>
        <w:rPr>
          <w:sz w:val="20"/>
          <w:szCs w:val="20"/>
          <w:lang w:val="es-ES_tradnl"/>
        </w:rPr>
      </w:pPr>
    </w:p>
    <w:p w14:paraId="006C22DD" w14:textId="370EA16F" w:rsidR="00DD34D9" w:rsidRPr="0033784B" w:rsidRDefault="00DD34D9" w:rsidP="00E40DA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sz w:val="20"/>
          <w:szCs w:val="20"/>
          <w:lang w:val="es-ES_tradnl"/>
        </w:rPr>
      </w:pPr>
      <w:r w:rsidRPr="0033784B">
        <w:rPr>
          <w:sz w:val="20"/>
          <w:szCs w:val="20"/>
          <w:lang w:val="es-ES_tradnl"/>
        </w:rPr>
        <w:t xml:space="preserve">En primer lugar, </w:t>
      </w:r>
      <w:r w:rsidR="006A5324" w:rsidRPr="0033784B">
        <w:rPr>
          <w:sz w:val="20"/>
          <w:szCs w:val="20"/>
          <w:lang w:val="es-ES_tradnl"/>
        </w:rPr>
        <w:t xml:space="preserve">la Comisión destaca que </w:t>
      </w:r>
      <w:r w:rsidR="00970D6E" w:rsidRPr="0033784B">
        <w:rPr>
          <w:sz w:val="20"/>
          <w:szCs w:val="20"/>
          <w:lang w:val="es-ES_tradnl"/>
        </w:rPr>
        <w:t xml:space="preserve">el </w:t>
      </w:r>
      <w:r w:rsidR="00F15C53" w:rsidRPr="0033784B">
        <w:rPr>
          <w:sz w:val="20"/>
          <w:szCs w:val="20"/>
          <w:lang w:val="es-ES_tradnl"/>
        </w:rPr>
        <w:t xml:space="preserve">artículo 468 del CPPC </w:t>
      </w:r>
      <w:r w:rsidR="00D56C97" w:rsidRPr="0033784B">
        <w:rPr>
          <w:sz w:val="20"/>
          <w:szCs w:val="20"/>
          <w:lang w:val="es-ES_tradnl"/>
        </w:rPr>
        <w:t>regula los dos motivos que pueden alegarse en un recurso de casación: la inobservancia o errónea aplicación de la ley sustantiva; o</w:t>
      </w:r>
      <w:r w:rsidR="00D84BC1" w:rsidRPr="0033784B">
        <w:rPr>
          <w:sz w:val="20"/>
          <w:szCs w:val="20"/>
          <w:lang w:val="es-ES_tradnl"/>
        </w:rPr>
        <w:t xml:space="preserve"> la inobservancia de normas pro</w:t>
      </w:r>
      <w:r w:rsidR="00A04378">
        <w:rPr>
          <w:sz w:val="20"/>
          <w:szCs w:val="20"/>
          <w:lang w:val="es-ES_tradnl"/>
        </w:rPr>
        <w:t xml:space="preserve">cesales bajo </w:t>
      </w:r>
      <w:r w:rsidR="00130B68" w:rsidRPr="0033784B">
        <w:rPr>
          <w:sz w:val="20"/>
          <w:szCs w:val="20"/>
          <w:lang w:val="es-ES_tradnl"/>
        </w:rPr>
        <w:t>ciert</w:t>
      </w:r>
      <w:r w:rsidR="00A04378">
        <w:rPr>
          <w:sz w:val="20"/>
          <w:szCs w:val="20"/>
          <w:lang w:val="es-ES_tradnl"/>
        </w:rPr>
        <w:t>o</w:t>
      </w:r>
      <w:r w:rsidR="00130B68" w:rsidRPr="0033784B">
        <w:rPr>
          <w:sz w:val="20"/>
          <w:szCs w:val="20"/>
          <w:lang w:val="es-ES_tradnl"/>
        </w:rPr>
        <w:t xml:space="preserve">s </w:t>
      </w:r>
      <w:r w:rsidR="00A04378">
        <w:rPr>
          <w:sz w:val="20"/>
          <w:szCs w:val="20"/>
          <w:lang w:val="es-ES_tradnl"/>
        </w:rPr>
        <w:t>supuestos</w:t>
      </w:r>
      <w:r w:rsidR="00D84BC1" w:rsidRPr="0033784B">
        <w:rPr>
          <w:sz w:val="20"/>
          <w:szCs w:val="20"/>
          <w:lang w:val="es-ES_tradnl"/>
        </w:rPr>
        <w:t>.</w:t>
      </w:r>
      <w:r w:rsidR="00130B68" w:rsidRPr="0033784B">
        <w:rPr>
          <w:sz w:val="20"/>
          <w:szCs w:val="20"/>
          <w:lang w:val="es-ES_tradnl"/>
        </w:rPr>
        <w:t xml:space="preserve"> En ese sentido, la propia regulación limita al recurso de casación a errores de derecho tanto sustantivo como procesal.</w:t>
      </w:r>
    </w:p>
    <w:p w14:paraId="501AA669" w14:textId="77777777" w:rsidR="00DD34D9" w:rsidRPr="0033784B" w:rsidRDefault="00DD34D9" w:rsidP="00DD34D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sz w:val="20"/>
          <w:szCs w:val="20"/>
          <w:lang w:val="es-ES_tradnl"/>
        </w:rPr>
      </w:pPr>
    </w:p>
    <w:p w14:paraId="6A74EB04" w14:textId="74735457" w:rsidR="00C54B02" w:rsidRPr="0033784B" w:rsidRDefault="00DD34D9" w:rsidP="00E40DA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sz w:val="20"/>
          <w:szCs w:val="20"/>
          <w:lang w:val="es-ES_tradnl"/>
        </w:rPr>
      </w:pPr>
      <w:r w:rsidRPr="0033784B">
        <w:rPr>
          <w:sz w:val="20"/>
          <w:szCs w:val="20"/>
          <w:lang w:val="es-ES_tradnl"/>
        </w:rPr>
        <w:t>En</w:t>
      </w:r>
      <w:r w:rsidR="00130B68" w:rsidRPr="0033784B">
        <w:rPr>
          <w:sz w:val="20"/>
          <w:szCs w:val="20"/>
          <w:lang w:val="es-ES_tradnl"/>
        </w:rPr>
        <w:t xml:space="preserve"> </w:t>
      </w:r>
      <w:r w:rsidR="00C54B02" w:rsidRPr="0033784B">
        <w:rPr>
          <w:sz w:val="20"/>
          <w:szCs w:val="20"/>
          <w:lang w:val="es-ES_tradnl"/>
        </w:rPr>
        <w:t>segundo lugar, la Comisión observa que este marco legal dio lugar a una práctica judicial descrita en la sección de hechos</w:t>
      </w:r>
      <w:r w:rsidR="00E35DC1" w:rsidRPr="0033784B">
        <w:rPr>
          <w:sz w:val="20"/>
          <w:szCs w:val="20"/>
          <w:lang w:val="es-ES_tradnl"/>
        </w:rPr>
        <w:t>,</w:t>
      </w:r>
      <w:r w:rsidR="00C54B02" w:rsidRPr="0033784B">
        <w:rPr>
          <w:sz w:val="20"/>
          <w:szCs w:val="20"/>
          <w:lang w:val="es-ES_tradnl"/>
        </w:rPr>
        <w:t xml:space="preserve"> reconocida por la Corte Suprema de Justicia de la Nación en el ámbito federal, </w:t>
      </w:r>
      <w:r w:rsidR="00E35DC1" w:rsidRPr="0033784B">
        <w:rPr>
          <w:sz w:val="20"/>
          <w:szCs w:val="20"/>
          <w:lang w:val="es-ES_tradnl"/>
        </w:rPr>
        <w:t xml:space="preserve">y </w:t>
      </w:r>
      <w:r w:rsidR="00C54B02" w:rsidRPr="0033784B">
        <w:rPr>
          <w:sz w:val="20"/>
          <w:szCs w:val="20"/>
          <w:lang w:val="es-ES_tradnl"/>
        </w:rPr>
        <w:t>que resulta aplicable al presente caso tomando en cuenta la coincidencia en la regulación del recurso de casación en dicho ámbito y en la Provincia de Córdoba</w:t>
      </w:r>
      <w:r w:rsidR="00E35DC1" w:rsidRPr="0033784B">
        <w:rPr>
          <w:sz w:val="20"/>
          <w:szCs w:val="20"/>
          <w:lang w:val="es-ES_tradnl"/>
        </w:rPr>
        <w:t>, así como en otras provincias</w:t>
      </w:r>
      <w:r w:rsidR="00C54B02" w:rsidRPr="0033784B">
        <w:rPr>
          <w:sz w:val="20"/>
          <w:szCs w:val="20"/>
          <w:lang w:val="es-ES_tradnl"/>
        </w:rPr>
        <w:t xml:space="preserve">. Dicha práctica </w:t>
      </w:r>
      <w:r w:rsidR="00E73100">
        <w:rPr>
          <w:sz w:val="20"/>
          <w:szCs w:val="20"/>
          <w:lang w:val="es-ES_tradnl"/>
        </w:rPr>
        <w:t xml:space="preserve">ha </w:t>
      </w:r>
      <w:r w:rsidR="00C54B02" w:rsidRPr="0033784B">
        <w:rPr>
          <w:sz w:val="20"/>
          <w:szCs w:val="20"/>
          <w:lang w:val="es-ES_tradnl"/>
        </w:rPr>
        <w:t>consist</w:t>
      </w:r>
      <w:r w:rsidR="00E73100">
        <w:rPr>
          <w:sz w:val="20"/>
          <w:szCs w:val="20"/>
          <w:lang w:val="es-ES_tradnl"/>
        </w:rPr>
        <w:t>ido</w:t>
      </w:r>
      <w:r w:rsidR="00C54B02" w:rsidRPr="0033784B">
        <w:rPr>
          <w:sz w:val="20"/>
          <w:szCs w:val="20"/>
          <w:lang w:val="es-ES_tradnl"/>
        </w:rPr>
        <w:t xml:space="preserve"> en </w:t>
      </w:r>
      <w:r w:rsidR="006A5324" w:rsidRPr="0033784B">
        <w:rPr>
          <w:sz w:val="20"/>
          <w:szCs w:val="20"/>
          <w:lang w:val="es-ES_tradnl"/>
        </w:rPr>
        <w:t xml:space="preserve">interpretar restrictivamente </w:t>
      </w:r>
      <w:r w:rsidR="00C54B02" w:rsidRPr="0033784B">
        <w:rPr>
          <w:sz w:val="20"/>
          <w:szCs w:val="20"/>
          <w:lang w:val="es-ES_tradnl"/>
        </w:rPr>
        <w:t xml:space="preserve">el marco legal que regula el recurso de casación, de forma tal que quedaban excluidos de la revisión cuestiones de hecho o de valoración probatoria. </w:t>
      </w:r>
    </w:p>
    <w:p w14:paraId="2DE78FEC" w14:textId="77777777" w:rsidR="00C54B02" w:rsidRPr="0033784B" w:rsidRDefault="00C54B02" w:rsidP="00C54B0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sz w:val="20"/>
          <w:szCs w:val="20"/>
          <w:lang w:val="es-ES_tradnl"/>
        </w:rPr>
      </w:pPr>
    </w:p>
    <w:p w14:paraId="12995047" w14:textId="50955C65" w:rsidR="0059136D" w:rsidRPr="0033784B" w:rsidRDefault="00C54B02" w:rsidP="0059136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sz w:val="20"/>
          <w:szCs w:val="20"/>
          <w:lang w:val="es-ES_tradnl"/>
        </w:rPr>
      </w:pPr>
      <w:r w:rsidRPr="0033784B">
        <w:rPr>
          <w:sz w:val="20"/>
          <w:szCs w:val="20"/>
          <w:lang w:val="es-ES_tradnl"/>
        </w:rPr>
        <w:t>En virtud de lo anterior, en términos generales</w:t>
      </w:r>
      <w:r w:rsidR="0015574E">
        <w:rPr>
          <w:sz w:val="20"/>
          <w:szCs w:val="20"/>
          <w:lang w:val="es-ES_tradnl"/>
        </w:rPr>
        <w:t xml:space="preserve"> ha</w:t>
      </w:r>
      <w:r w:rsidRPr="0033784B">
        <w:rPr>
          <w:sz w:val="20"/>
          <w:szCs w:val="20"/>
          <w:lang w:val="es-ES_tradnl"/>
        </w:rPr>
        <w:t xml:space="preserve"> </w:t>
      </w:r>
      <w:r w:rsidR="006A5324" w:rsidRPr="0033784B">
        <w:rPr>
          <w:sz w:val="20"/>
          <w:szCs w:val="20"/>
          <w:lang w:val="es-ES_tradnl"/>
        </w:rPr>
        <w:t>exist</w:t>
      </w:r>
      <w:r w:rsidR="009032E9">
        <w:rPr>
          <w:sz w:val="20"/>
          <w:szCs w:val="20"/>
          <w:lang w:val="es-ES_tradnl"/>
        </w:rPr>
        <w:t>ido</w:t>
      </w:r>
      <w:r w:rsidR="006A5324" w:rsidRPr="0033784B">
        <w:rPr>
          <w:sz w:val="20"/>
          <w:szCs w:val="20"/>
          <w:lang w:val="es-ES_tradnl"/>
        </w:rPr>
        <w:t xml:space="preserve"> una seria limitación </w:t>
      </w:r>
      <w:r w:rsidR="00E35DC1" w:rsidRPr="0033784B">
        <w:rPr>
          <w:sz w:val="20"/>
          <w:szCs w:val="20"/>
          <w:lang w:val="es-ES_tradnl"/>
        </w:rPr>
        <w:t xml:space="preserve">en la ley y en la práctica </w:t>
      </w:r>
      <w:r w:rsidR="006A5324" w:rsidRPr="0033784B">
        <w:rPr>
          <w:sz w:val="20"/>
          <w:szCs w:val="20"/>
          <w:lang w:val="es-ES_tradnl"/>
        </w:rPr>
        <w:t xml:space="preserve">en cuanto a las perspectivas de efectividad de cualquier alegato que no se enmarcara dentro de lo que históricamente se había considerado “revisable” mediante el recurso de casación. </w:t>
      </w:r>
    </w:p>
    <w:p w14:paraId="657B21C3" w14:textId="77777777" w:rsidR="0059136D" w:rsidRPr="0033784B" w:rsidRDefault="0059136D" w:rsidP="0059136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sz w:val="20"/>
          <w:szCs w:val="20"/>
          <w:lang w:val="es-ES_tradnl"/>
        </w:rPr>
      </w:pPr>
    </w:p>
    <w:p w14:paraId="43761D6F" w14:textId="0CF1D436" w:rsidR="0059136D" w:rsidRPr="0033784B" w:rsidRDefault="000F6559" w:rsidP="0059136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sz w:val="20"/>
          <w:szCs w:val="20"/>
          <w:lang w:val="es-ES_tradnl"/>
        </w:rPr>
      </w:pPr>
      <w:r w:rsidRPr="0033784B">
        <w:rPr>
          <w:sz w:val="20"/>
          <w:szCs w:val="20"/>
          <w:lang w:val="es-ES_tradnl"/>
        </w:rPr>
        <w:t>No corresponde a la Comisión determinar las posibles cuestiones que hubieran podido form</w:t>
      </w:r>
      <w:r w:rsidR="00A676FC" w:rsidRPr="0033784B">
        <w:rPr>
          <w:sz w:val="20"/>
          <w:szCs w:val="20"/>
          <w:lang w:val="es-ES_tradnl"/>
        </w:rPr>
        <w:t>ularse</w:t>
      </w:r>
      <w:r w:rsidR="00E35DC1" w:rsidRPr="0033784B">
        <w:rPr>
          <w:sz w:val="20"/>
          <w:szCs w:val="20"/>
          <w:lang w:val="es-ES_tradnl"/>
        </w:rPr>
        <w:t xml:space="preserve"> en el presente caso de no haberse presentado los factores limitantes</w:t>
      </w:r>
      <w:r w:rsidR="00A676FC" w:rsidRPr="0033784B">
        <w:rPr>
          <w:sz w:val="20"/>
          <w:szCs w:val="20"/>
          <w:lang w:val="es-ES_tradnl"/>
        </w:rPr>
        <w:t xml:space="preserve">. </w:t>
      </w:r>
      <w:r w:rsidR="0059136D" w:rsidRPr="0033784B">
        <w:rPr>
          <w:sz w:val="20"/>
          <w:szCs w:val="20"/>
          <w:lang w:val="es-AR"/>
        </w:rPr>
        <w:t>Tal como la Comisión ha referido “r</w:t>
      </w:r>
      <w:proofErr w:type="spellStart"/>
      <w:r w:rsidR="0059136D" w:rsidRPr="0033784B">
        <w:rPr>
          <w:sz w:val="20"/>
          <w:szCs w:val="20"/>
          <w:lang w:val="es-ES_tradnl"/>
        </w:rPr>
        <w:t>esulta</w:t>
      </w:r>
      <w:proofErr w:type="spellEnd"/>
      <w:r w:rsidR="0059136D" w:rsidRPr="0033784B">
        <w:rPr>
          <w:sz w:val="20"/>
          <w:szCs w:val="20"/>
          <w:lang w:val="es-ES_tradnl"/>
        </w:rPr>
        <w:t xml:space="preserve"> suficiente determinar que las presuntas víctimas iniciaron la etapa recursiva con una limitación normativa respecto de los alegatos que podían presentar (…) operaba una exclusión automática de las cuestiones de hecho o valoración probatoria, sin análisis de la importancia o naturaleza de dichas cuestiones a la luz del caso concreto. Esta exclusión resulta, en sí misma, incompatible con el alcance amplio del recurso contemplado en el artículo 8.2 h) de la Convención Americana”</w:t>
      </w:r>
      <w:r w:rsidR="0059136D" w:rsidRPr="0033784B">
        <w:rPr>
          <w:rStyle w:val="FootnoteReference"/>
          <w:sz w:val="20"/>
          <w:szCs w:val="20"/>
          <w:lang w:val="es-ES_tradnl"/>
        </w:rPr>
        <w:footnoteReference w:id="44"/>
      </w:r>
      <w:r w:rsidR="0059136D" w:rsidRPr="0033784B">
        <w:rPr>
          <w:sz w:val="20"/>
          <w:szCs w:val="20"/>
          <w:lang w:val="es-ES_tradnl"/>
        </w:rPr>
        <w:t>.</w:t>
      </w:r>
    </w:p>
    <w:p w14:paraId="10A14800" w14:textId="1C6EAE04" w:rsidR="00D41DED" w:rsidRPr="0033784B" w:rsidRDefault="00D41DED" w:rsidP="0059136D">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jc w:val="both"/>
        <w:rPr>
          <w:sz w:val="20"/>
          <w:szCs w:val="20"/>
          <w:lang w:val="es-ES_tradnl"/>
        </w:rPr>
      </w:pPr>
    </w:p>
    <w:p w14:paraId="20C67E5E" w14:textId="026FFE8B" w:rsidR="00CC2F6E" w:rsidRPr="0033784B" w:rsidRDefault="00CC5408" w:rsidP="00D41DE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sz w:val="20"/>
          <w:szCs w:val="20"/>
          <w:lang w:val="es-ES_tradnl"/>
        </w:rPr>
      </w:pPr>
      <w:r w:rsidRPr="0033784B">
        <w:rPr>
          <w:sz w:val="20"/>
          <w:szCs w:val="20"/>
          <w:lang w:val="es-ES_tradnl"/>
        </w:rPr>
        <w:t xml:space="preserve">En todo caso, </w:t>
      </w:r>
      <w:r w:rsidR="004723DA" w:rsidRPr="0033784B">
        <w:rPr>
          <w:sz w:val="20"/>
          <w:szCs w:val="20"/>
          <w:lang w:val="es-ES_tradnl"/>
        </w:rPr>
        <w:t>e</w:t>
      </w:r>
      <w:r w:rsidR="00D41DED" w:rsidRPr="0033784B">
        <w:rPr>
          <w:sz w:val="20"/>
          <w:szCs w:val="20"/>
          <w:lang w:val="es-ES_tradnl"/>
        </w:rPr>
        <w:t xml:space="preserve">l alcance limitado del recurso de casación </w:t>
      </w:r>
      <w:r w:rsidR="00EC4F3B" w:rsidRPr="0033784B">
        <w:rPr>
          <w:sz w:val="20"/>
          <w:szCs w:val="20"/>
          <w:lang w:val="es-ES_tradnl"/>
        </w:rPr>
        <w:t>se vio reflejado en la manera en que fueron resueltos dichos recursos en el caso concreto</w:t>
      </w:r>
      <w:r w:rsidR="00A23F6A" w:rsidRPr="0033784B">
        <w:rPr>
          <w:sz w:val="20"/>
          <w:szCs w:val="20"/>
          <w:lang w:val="es-ES_tradnl"/>
        </w:rPr>
        <w:t>. Como se desprende de los hechos probados, los respectivos recursos de casación incorporaron una serie de argumentos relacionados con los hechos y la manera en que los hechos se adecuaban o no al tipo penal. Asimismo, se argumentó que la valoración probatoria fue inadecuada</w:t>
      </w:r>
      <w:r w:rsidR="00790667" w:rsidRPr="0033784B">
        <w:rPr>
          <w:sz w:val="20"/>
          <w:szCs w:val="20"/>
          <w:lang w:val="es-ES_tradnl"/>
        </w:rPr>
        <w:t xml:space="preserve">. </w:t>
      </w:r>
      <w:r w:rsidR="00A23F6A" w:rsidRPr="0033784B">
        <w:rPr>
          <w:sz w:val="20"/>
          <w:szCs w:val="20"/>
          <w:lang w:val="es-ES_tradnl"/>
        </w:rPr>
        <w:t>Ambos recursos fueron declarados inadmisibles</w:t>
      </w:r>
      <w:r w:rsidR="00790667" w:rsidRPr="0033784B">
        <w:rPr>
          <w:sz w:val="20"/>
          <w:szCs w:val="20"/>
          <w:lang w:val="es-ES_tradnl"/>
        </w:rPr>
        <w:t xml:space="preserve"> en lo formal, inv</w:t>
      </w:r>
      <w:r w:rsidR="00CA5FAF">
        <w:rPr>
          <w:sz w:val="20"/>
          <w:szCs w:val="20"/>
          <w:lang w:val="es-ES_tradnl"/>
        </w:rPr>
        <w:t>ocando el artículo 455 del CPPC.</w:t>
      </w:r>
      <w:r w:rsidR="00790667" w:rsidRPr="0033784B">
        <w:rPr>
          <w:sz w:val="20"/>
          <w:szCs w:val="20"/>
          <w:lang w:val="es-ES_tradnl"/>
        </w:rPr>
        <w:t xml:space="preserve"> </w:t>
      </w:r>
      <w:r w:rsidR="00CC2F6E" w:rsidRPr="0033784B">
        <w:rPr>
          <w:sz w:val="20"/>
          <w:szCs w:val="20"/>
          <w:lang w:val="es-ES_tradnl"/>
        </w:rPr>
        <w:t xml:space="preserve">Conforme a dicho artículo, una declaratoria de inadmisibilidad con base en el mismo, implica que no se efectúa un pronunciamiento sobre el fondo. </w:t>
      </w:r>
      <w:r w:rsidR="00CA5FAF">
        <w:rPr>
          <w:sz w:val="20"/>
          <w:szCs w:val="20"/>
          <w:lang w:val="es-ES_tradnl"/>
        </w:rPr>
        <w:t>El análisis efectuado para sustentar la declaratoria formal de admisibilidad tiene que ver, entre otros aspectos, con que no se expuso un “agravio” susceptible de ser revisado en casaci</w:t>
      </w:r>
      <w:r w:rsidR="00D72BB1">
        <w:rPr>
          <w:sz w:val="20"/>
          <w:szCs w:val="20"/>
          <w:lang w:val="es-ES_tradnl"/>
        </w:rPr>
        <w:t>ón, y que el</w:t>
      </w:r>
      <w:r w:rsidR="003819EA">
        <w:rPr>
          <w:sz w:val="20"/>
          <w:szCs w:val="20"/>
          <w:lang w:val="es-ES_tradnl"/>
        </w:rPr>
        <w:t xml:space="preserve"> mismo se basó</w:t>
      </w:r>
      <w:r w:rsidR="00D72BB1">
        <w:rPr>
          <w:sz w:val="20"/>
          <w:szCs w:val="20"/>
          <w:lang w:val="es-ES_tradnl"/>
        </w:rPr>
        <w:t xml:space="preserve"> en la mera disconformidad de la defensa. </w:t>
      </w:r>
    </w:p>
    <w:p w14:paraId="015263AE" w14:textId="77777777" w:rsidR="00AC3698" w:rsidRPr="0033784B" w:rsidRDefault="00AC3698" w:rsidP="00AC369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sz w:val="20"/>
          <w:szCs w:val="20"/>
          <w:lang w:val="es-ES_tradnl"/>
        </w:rPr>
      </w:pPr>
    </w:p>
    <w:p w14:paraId="022674E8" w14:textId="556405DB" w:rsidR="00BD1CB7" w:rsidRPr="0033784B" w:rsidRDefault="00AC3698" w:rsidP="00CC2F6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sz w:val="20"/>
          <w:szCs w:val="20"/>
          <w:lang w:val="es-ES_tradnl"/>
        </w:rPr>
      </w:pPr>
      <w:r w:rsidRPr="0033784B">
        <w:rPr>
          <w:sz w:val="20"/>
          <w:szCs w:val="20"/>
          <w:lang w:val="es-ES_tradnl"/>
        </w:rPr>
        <w:t xml:space="preserve">Esto implica que los argumentos formulados por la defensa mediante la interposición de los recursos de casación y que </w:t>
      </w:r>
      <w:r w:rsidR="00F661BD">
        <w:rPr>
          <w:sz w:val="20"/>
          <w:szCs w:val="20"/>
          <w:lang w:val="es-ES_tradnl"/>
        </w:rPr>
        <w:t>planteaban</w:t>
      </w:r>
      <w:r w:rsidRPr="0033784B">
        <w:rPr>
          <w:sz w:val="20"/>
          <w:szCs w:val="20"/>
          <w:lang w:val="es-ES_tradnl"/>
        </w:rPr>
        <w:t xml:space="preserve"> </w:t>
      </w:r>
      <w:r w:rsidR="00E85D6A">
        <w:rPr>
          <w:sz w:val="20"/>
          <w:szCs w:val="20"/>
          <w:lang w:val="es-ES_tradnl"/>
        </w:rPr>
        <w:t>cuestiones relacionadas</w:t>
      </w:r>
      <w:r w:rsidR="00B85F07">
        <w:rPr>
          <w:sz w:val="20"/>
          <w:szCs w:val="20"/>
          <w:lang w:val="es-ES_tradnl"/>
        </w:rPr>
        <w:t xml:space="preserve"> con los</w:t>
      </w:r>
      <w:r w:rsidRPr="0033784B">
        <w:rPr>
          <w:sz w:val="20"/>
          <w:szCs w:val="20"/>
          <w:lang w:val="es-ES_tradnl"/>
        </w:rPr>
        <w:t xml:space="preserve"> hecho</w:t>
      </w:r>
      <w:r w:rsidR="00CD5ED2">
        <w:rPr>
          <w:sz w:val="20"/>
          <w:szCs w:val="20"/>
          <w:lang w:val="es-ES_tradnl"/>
        </w:rPr>
        <w:t>s</w:t>
      </w:r>
      <w:r w:rsidRPr="0033784B">
        <w:rPr>
          <w:sz w:val="20"/>
          <w:szCs w:val="20"/>
          <w:lang w:val="es-ES_tradnl"/>
        </w:rPr>
        <w:t xml:space="preserve"> y de valoración probatoria, fueron considerados por la Sala Penal del Tribunal Superior de Justicia de la Provincia de Córdoba, manifiestamente inadmisibles y, por lo tanto, no merecieron un análisis de fondo. </w:t>
      </w:r>
      <w:r w:rsidR="005933F9" w:rsidRPr="0033784B">
        <w:rPr>
          <w:sz w:val="20"/>
          <w:szCs w:val="20"/>
          <w:lang w:val="es-ES_tradnl"/>
        </w:rPr>
        <w:t>La decisión de los recursos de casación por parte de esta autoridad judicial incluye motivaci</w:t>
      </w:r>
      <w:r w:rsidR="00814F75" w:rsidRPr="0033784B">
        <w:rPr>
          <w:sz w:val="20"/>
          <w:szCs w:val="20"/>
          <w:lang w:val="es-ES_tradnl"/>
        </w:rPr>
        <w:t>o</w:t>
      </w:r>
      <w:r w:rsidR="005933F9" w:rsidRPr="0033784B">
        <w:rPr>
          <w:sz w:val="20"/>
          <w:szCs w:val="20"/>
          <w:lang w:val="es-ES_tradnl"/>
        </w:rPr>
        <w:t>n</w:t>
      </w:r>
      <w:r w:rsidR="00814F75" w:rsidRPr="0033784B">
        <w:rPr>
          <w:sz w:val="20"/>
          <w:szCs w:val="20"/>
          <w:lang w:val="es-ES_tradnl"/>
        </w:rPr>
        <w:t>es</w:t>
      </w:r>
      <w:r w:rsidR="005933F9" w:rsidRPr="0033784B">
        <w:rPr>
          <w:sz w:val="20"/>
          <w:szCs w:val="20"/>
          <w:lang w:val="es-ES_tradnl"/>
        </w:rPr>
        <w:t xml:space="preserve"> que ponen en evidencia que el rechazo de los recursos se debió a la práctica judicial de interpretación restrictiva de la regulación del recurso de casación. Así</w:t>
      </w:r>
      <w:r w:rsidR="00814F75" w:rsidRPr="0033784B">
        <w:rPr>
          <w:sz w:val="20"/>
          <w:szCs w:val="20"/>
          <w:lang w:val="es-ES_tradnl"/>
        </w:rPr>
        <w:t>, se destaca por ejemplo que la Sala Penal indicó la inadmisibilidad del recurso por el motivo sustancial, cuando en el mismo se</w:t>
      </w:r>
      <w:r w:rsidR="00D21E37">
        <w:rPr>
          <w:sz w:val="20"/>
          <w:szCs w:val="20"/>
          <w:lang w:val="es-ES_tradnl"/>
        </w:rPr>
        <w:t xml:space="preserve"> solicitan</w:t>
      </w:r>
      <w:r w:rsidR="00814F75" w:rsidRPr="0033784B">
        <w:rPr>
          <w:sz w:val="20"/>
          <w:szCs w:val="20"/>
          <w:lang w:val="es-ES_tradnl"/>
        </w:rPr>
        <w:t xml:space="preserve"> modifica</w:t>
      </w:r>
      <w:r w:rsidR="00D21E37">
        <w:rPr>
          <w:sz w:val="20"/>
          <w:szCs w:val="20"/>
          <w:lang w:val="es-ES_tradnl"/>
        </w:rPr>
        <w:t>ciones de</w:t>
      </w:r>
      <w:r w:rsidR="00814F75" w:rsidRPr="0033784B">
        <w:rPr>
          <w:sz w:val="20"/>
          <w:szCs w:val="20"/>
          <w:lang w:val="es-ES_tradnl"/>
        </w:rPr>
        <w:t xml:space="preserve"> los hechos con base en los cuales el tribunal de primera instancia efectuó la calificación legal. Igualmente, señaló la Sala que al “Alto Tribunal de la Provincia” sólo le corresponde la interpretación de la ley, pues los hechos del proceso están “definitivamente fijados” y su rol consiste “solamente” en juzgar la “corrección jurídica” con que fueron calificados. </w:t>
      </w:r>
    </w:p>
    <w:p w14:paraId="28880066" w14:textId="77777777" w:rsidR="00BD1CB7" w:rsidRPr="0033784B" w:rsidRDefault="00BD1CB7" w:rsidP="00BD1CB7">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jc w:val="both"/>
        <w:rPr>
          <w:sz w:val="20"/>
          <w:szCs w:val="20"/>
          <w:lang w:val="es-ES_tradnl"/>
        </w:rPr>
      </w:pPr>
    </w:p>
    <w:p w14:paraId="5A753872" w14:textId="3466D0AB" w:rsidR="00540F3D" w:rsidRPr="0033784B" w:rsidRDefault="00CB391B" w:rsidP="00CC2F6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sz w:val="20"/>
          <w:szCs w:val="20"/>
          <w:lang w:val="es-ES_tradnl"/>
        </w:rPr>
      </w:pPr>
      <w:r w:rsidRPr="0033784B">
        <w:rPr>
          <w:sz w:val="20"/>
          <w:szCs w:val="20"/>
          <w:lang w:val="es-ES_tradnl"/>
        </w:rPr>
        <w:lastRenderedPageBreak/>
        <w:t xml:space="preserve">Como se indicó anteriormente, </w:t>
      </w:r>
      <w:r w:rsidR="00CC5408" w:rsidRPr="0033784B">
        <w:rPr>
          <w:sz w:val="20"/>
          <w:szCs w:val="20"/>
          <w:lang w:val="es-ES_tradnl"/>
        </w:rPr>
        <w:t xml:space="preserve">el recurso de casación es el recurso ordinario que procede contra la sentencia condenatoria, por lo que es el </w:t>
      </w:r>
      <w:r w:rsidR="00E35DC1" w:rsidRPr="0033784B">
        <w:rPr>
          <w:sz w:val="20"/>
          <w:szCs w:val="20"/>
          <w:lang w:val="es-ES_tradnl"/>
        </w:rPr>
        <w:t xml:space="preserve">recurso principal </w:t>
      </w:r>
      <w:r w:rsidR="00CC5408" w:rsidRPr="0033784B">
        <w:rPr>
          <w:sz w:val="20"/>
          <w:szCs w:val="20"/>
          <w:lang w:val="es-ES_tradnl"/>
        </w:rPr>
        <w:t xml:space="preserve">que debe ser analizado a la luz del artículo 8.2 h) de la Convención. </w:t>
      </w:r>
    </w:p>
    <w:p w14:paraId="42FEAA2D" w14:textId="77777777" w:rsidR="00540F3D" w:rsidRPr="0033784B" w:rsidRDefault="00540F3D" w:rsidP="00540F3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sz w:val="20"/>
          <w:szCs w:val="20"/>
          <w:lang w:val="es-ES_tradnl"/>
        </w:rPr>
      </w:pPr>
    </w:p>
    <w:p w14:paraId="5BD8B7B6" w14:textId="2B52CB43" w:rsidR="00B2649A" w:rsidRPr="0033784B" w:rsidRDefault="00050D70" w:rsidP="00B2649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sz w:val="20"/>
          <w:szCs w:val="20"/>
          <w:lang w:val="es-ES_tradnl"/>
        </w:rPr>
      </w:pPr>
      <w:r w:rsidRPr="0033784B">
        <w:rPr>
          <w:sz w:val="20"/>
          <w:szCs w:val="20"/>
          <w:lang w:val="es-ES_tradnl"/>
        </w:rPr>
        <w:t xml:space="preserve">Lo anterior, resulta consistente con lo indicado por </w:t>
      </w:r>
      <w:r w:rsidR="00540F3D" w:rsidRPr="0033784B">
        <w:rPr>
          <w:sz w:val="20"/>
          <w:szCs w:val="20"/>
          <w:lang w:val="es-ES_tradnl"/>
        </w:rPr>
        <w:t>la</w:t>
      </w:r>
      <w:r w:rsidR="00B2649A" w:rsidRPr="0033784B">
        <w:rPr>
          <w:sz w:val="20"/>
          <w:szCs w:val="20"/>
          <w:lang w:val="es-ES_tradnl"/>
        </w:rPr>
        <w:t xml:space="preserve"> Corte Interamericana </w:t>
      </w:r>
      <w:r w:rsidRPr="0033784B">
        <w:rPr>
          <w:sz w:val="20"/>
          <w:szCs w:val="20"/>
          <w:lang w:val="es-ES_tradnl"/>
        </w:rPr>
        <w:t xml:space="preserve">respecto del </w:t>
      </w:r>
      <w:r w:rsidR="00B2649A" w:rsidRPr="0033784B">
        <w:rPr>
          <w:sz w:val="20"/>
          <w:szCs w:val="20"/>
          <w:lang w:val="es-AR"/>
        </w:rPr>
        <w:t>recurso extraordinario que es decidida por el mismo tribunal que dictó la sentencia que se impugna y, de ser admitido, es decidido en el fondo por la Corte Suprema de Justicia de la Nación</w:t>
      </w:r>
      <w:r w:rsidR="00B2649A" w:rsidRPr="0033784B">
        <w:rPr>
          <w:rStyle w:val="FootnoteReference"/>
          <w:sz w:val="20"/>
          <w:szCs w:val="20"/>
          <w:lang w:val="es-ES_tradnl"/>
        </w:rPr>
        <w:footnoteReference w:id="45"/>
      </w:r>
      <w:r w:rsidR="00B2649A" w:rsidRPr="0033784B">
        <w:rPr>
          <w:sz w:val="20"/>
          <w:szCs w:val="20"/>
          <w:lang w:val="es-AR"/>
        </w:rPr>
        <w:t>. La Corte estableció que</w:t>
      </w:r>
      <w:r w:rsidR="00E81C47" w:rsidRPr="0033784B">
        <w:rPr>
          <w:sz w:val="20"/>
          <w:szCs w:val="20"/>
          <w:lang w:val="es-AR"/>
        </w:rPr>
        <w:t xml:space="preserve"> dicho recurso</w:t>
      </w:r>
      <w:r w:rsidR="00B2649A" w:rsidRPr="0033784B">
        <w:rPr>
          <w:sz w:val="20"/>
          <w:szCs w:val="20"/>
          <w:lang w:val="es-AR"/>
        </w:rPr>
        <w:t xml:space="preserve"> no constituye un medio de impugnación procesal penal y que las causales que condicionan la procedencia de dicho recurso están limitadas a la revisión de cuestiones referidas a la validez de una ley, tratado, norma constitucional o a la arbitrariedad de una sentencia, y excluye las cuestiones fácticas y probatorias, así como de derecho de naturaleza jurídica no constitucional</w:t>
      </w:r>
      <w:r w:rsidR="00B2649A" w:rsidRPr="0033784B">
        <w:rPr>
          <w:rStyle w:val="FootnoteReference"/>
          <w:sz w:val="20"/>
          <w:szCs w:val="20"/>
          <w:lang w:val="es-AR"/>
        </w:rPr>
        <w:footnoteReference w:id="46"/>
      </w:r>
      <w:r w:rsidR="00457F0C" w:rsidRPr="0033784B">
        <w:rPr>
          <w:sz w:val="20"/>
          <w:szCs w:val="20"/>
          <w:lang w:val="es-AR"/>
        </w:rPr>
        <w:t>.</w:t>
      </w:r>
      <w:r w:rsidR="009379E4" w:rsidRPr="0033784B">
        <w:rPr>
          <w:sz w:val="20"/>
          <w:szCs w:val="20"/>
          <w:lang w:val="es-AR"/>
        </w:rPr>
        <w:t xml:space="preserve"> </w:t>
      </w:r>
    </w:p>
    <w:p w14:paraId="2CAF2A1B" w14:textId="77777777" w:rsidR="00B2649A" w:rsidRPr="0033784B" w:rsidRDefault="00B2649A" w:rsidP="009379E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sz w:val="20"/>
          <w:szCs w:val="20"/>
          <w:lang w:val="es-ES_tradnl"/>
        </w:rPr>
      </w:pPr>
    </w:p>
    <w:p w14:paraId="56281098" w14:textId="2D33E6F4" w:rsidR="00B52CF9" w:rsidRPr="0033784B" w:rsidRDefault="009379E4" w:rsidP="0011110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sz w:val="20"/>
          <w:szCs w:val="20"/>
          <w:lang w:val="es-ES_tradnl"/>
        </w:rPr>
      </w:pPr>
      <w:r w:rsidRPr="0033784B">
        <w:rPr>
          <w:sz w:val="20"/>
          <w:szCs w:val="20"/>
          <w:lang w:val="es-ES_tradnl"/>
        </w:rPr>
        <w:t xml:space="preserve">Sin perjuicio de ello, la Comisión </w:t>
      </w:r>
      <w:r w:rsidR="006037EF" w:rsidRPr="0033784B">
        <w:rPr>
          <w:sz w:val="20"/>
          <w:szCs w:val="20"/>
          <w:lang w:val="es-ES_tradnl"/>
        </w:rPr>
        <w:t xml:space="preserve">también toma en cuenta </w:t>
      </w:r>
      <w:r w:rsidRPr="0033784B">
        <w:rPr>
          <w:sz w:val="20"/>
          <w:szCs w:val="20"/>
          <w:lang w:val="es-ES_tradnl"/>
        </w:rPr>
        <w:t xml:space="preserve">que </w:t>
      </w:r>
      <w:r w:rsidR="000F6559" w:rsidRPr="0033784B">
        <w:rPr>
          <w:sz w:val="20"/>
          <w:szCs w:val="20"/>
          <w:lang w:val="es-ES_tradnl"/>
        </w:rPr>
        <w:t>los recursos extraordinarios presentados por los señores</w:t>
      </w:r>
      <w:r w:rsidR="00F3250A" w:rsidRPr="0033784B">
        <w:rPr>
          <w:sz w:val="20"/>
          <w:szCs w:val="20"/>
          <w:lang w:val="es-ES_tradnl"/>
        </w:rPr>
        <w:t xml:space="preserve"> D</w:t>
      </w:r>
      <w:r w:rsidR="000F6559" w:rsidRPr="0033784B">
        <w:rPr>
          <w:sz w:val="20"/>
          <w:szCs w:val="20"/>
          <w:lang w:val="es-ES_tradnl"/>
        </w:rPr>
        <w:t>el Valle Ambrosio y Domínguez Linares</w:t>
      </w:r>
      <w:r w:rsidR="00540F3D" w:rsidRPr="0033784B">
        <w:rPr>
          <w:sz w:val="20"/>
          <w:szCs w:val="20"/>
          <w:lang w:val="es-ES_tradnl"/>
        </w:rPr>
        <w:t xml:space="preserve"> </w:t>
      </w:r>
      <w:r w:rsidR="000F6559" w:rsidRPr="0033784B">
        <w:rPr>
          <w:sz w:val="20"/>
          <w:szCs w:val="20"/>
          <w:lang w:val="es-ES_tradnl"/>
        </w:rPr>
        <w:t>fueron declarados</w:t>
      </w:r>
      <w:r w:rsidR="00032AB8" w:rsidRPr="0033784B">
        <w:rPr>
          <w:sz w:val="20"/>
          <w:szCs w:val="20"/>
          <w:lang w:val="es-ES_tradnl"/>
        </w:rPr>
        <w:t xml:space="preserve"> formalmente</w:t>
      </w:r>
      <w:r w:rsidR="000F6559" w:rsidRPr="0033784B">
        <w:rPr>
          <w:sz w:val="20"/>
          <w:szCs w:val="20"/>
          <w:lang w:val="es-ES_tradnl"/>
        </w:rPr>
        <w:t xml:space="preserve"> inadmisibles por la Sala Penal del Tribunal Superior de Justicia de Córdoba</w:t>
      </w:r>
      <w:r w:rsidR="000F6559" w:rsidRPr="0033784B">
        <w:rPr>
          <w:i/>
          <w:sz w:val="20"/>
          <w:szCs w:val="20"/>
          <w:lang w:val="es-ES_tradnl"/>
        </w:rPr>
        <w:t>,</w:t>
      </w:r>
      <w:r w:rsidR="000F6559" w:rsidRPr="0033784B">
        <w:rPr>
          <w:sz w:val="20"/>
          <w:szCs w:val="20"/>
          <w:lang w:val="es-ES_tradnl"/>
        </w:rPr>
        <w:t xml:space="preserve"> siguiendo la doctrina de la arbitrariedad, elaborada por la Corte Suprema de Justicia de Argentina, la cual establecía que dicha vía recursiva no tenía por objeto la corrección en tercera instancia de decisiones que a criterio de los impugnantes se estim</w:t>
      </w:r>
      <w:r w:rsidR="00380081" w:rsidRPr="0033784B">
        <w:rPr>
          <w:sz w:val="20"/>
          <w:szCs w:val="20"/>
          <w:lang w:val="es-ES_tradnl"/>
        </w:rPr>
        <w:t>ara</w:t>
      </w:r>
      <w:r w:rsidR="000F6559" w:rsidRPr="0033784B">
        <w:rPr>
          <w:sz w:val="20"/>
          <w:szCs w:val="20"/>
          <w:lang w:val="es-ES_tradnl"/>
        </w:rPr>
        <w:t>n equivocadas</w:t>
      </w:r>
      <w:r w:rsidR="00540F3D" w:rsidRPr="0033784B">
        <w:rPr>
          <w:sz w:val="20"/>
          <w:szCs w:val="20"/>
          <w:lang w:val="es-ES_tradnl"/>
        </w:rPr>
        <w:t xml:space="preserve">. En estos rechazos se enfatizó en la “acotada y excepcional” competencia de la Corte Suprema. </w:t>
      </w:r>
      <w:r w:rsidR="000F6559" w:rsidRPr="0033784B">
        <w:rPr>
          <w:sz w:val="20"/>
          <w:szCs w:val="20"/>
          <w:lang w:val="es-ES_tradnl"/>
        </w:rPr>
        <w:t>Dicha inadmisi</w:t>
      </w:r>
      <w:r w:rsidR="00540F3D" w:rsidRPr="0033784B">
        <w:rPr>
          <w:sz w:val="20"/>
          <w:szCs w:val="20"/>
          <w:lang w:val="es-ES_tradnl"/>
        </w:rPr>
        <w:t>bilida</w:t>
      </w:r>
      <w:r w:rsidR="009A7266">
        <w:rPr>
          <w:sz w:val="20"/>
          <w:szCs w:val="20"/>
          <w:lang w:val="es-ES_tradnl"/>
        </w:rPr>
        <w:t xml:space="preserve">d fue ratificada luego por la Corte suprema de Justicia de la Nación, </w:t>
      </w:r>
      <w:r w:rsidR="000F6559" w:rsidRPr="0033784B">
        <w:rPr>
          <w:sz w:val="20"/>
          <w:szCs w:val="20"/>
          <w:lang w:val="es-ES_tradnl"/>
        </w:rPr>
        <w:t>con la improce</w:t>
      </w:r>
      <w:r w:rsidR="00540F3D" w:rsidRPr="0033784B">
        <w:rPr>
          <w:sz w:val="20"/>
          <w:szCs w:val="20"/>
          <w:lang w:val="es-ES_tradnl"/>
        </w:rPr>
        <w:t xml:space="preserve">dencia de los recursos de queja. </w:t>
      </w:r>
      <w:r w:rsidR="000F6559" w:rsidRPr="0033784B">
        <w:rPr>
          <w:sz w:val="20"/>
          <w:szCs w:val="20"/>
          <w:lang w:val="es-ES_tradnl"/>
        </w:rPr>
        <w:t xml:space="preserve"> </w:t>
      </w:r>
      <w:r w:rsidR="006037EF" w:rsidRPr="0033784B">
        <w:rPr>
          <w:sz w:val="20"/>
          <w:szCs w:val="20"/>
          <w:lang w:val="es-ES_tradnl"/>
        </w:rPr>
        <w:t xml:space="preserve">De esa forma, el recurso extraordinario fue rechazado </w:t>
      </w:r>
      <w:r w:rsidR="006037EF" w:rsidRPr="0033784B">
        <w:rPr>
          <w:i/>
          <w:sz w:val="20"/>
          <w:szCs w:val="20"/>
          <w:lang w:val="es-ES_tradnl"/>
        </w:rPr>
        <w:t xml:space="preserve">in </w:t>
      </w:r>
      <w:proofErr w:type="spellStart"/>
      <w:r w:rsidR="006037EF" w:rsidRPr="0033784B">
        <w:rPr>
          <w:i/>
          <w:sz w:val="20"/>
          <w:szCs w:val="20"/>
          <w:lang w:val="es-ES_tradnl"/>
        </w:rPr>
        <w:t>limine</w:t>
      </w:r>
      <w:proofErr w:type="spellEnd"/>
      <w:r w:rsidR="006037EF" w:rsidRPr="0033784B">
        <w:rPr>
          <w:sz w:val="20"/>
          <w:szCs w:val="20"/>
          <w:lang w:val="es-ES_tradnl"/>
        </w:rPr>
        <w:t>.</w:t>
      </w:r>
    </w:p>
    <w:p w14:paraId="75734735" w14:textId="65B50689" w:rsidR="005D7839" w:rsidRPr="0033784B" w:rsidRDefault="005D7839" w:rsidP="0011110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sz w:val="20"/>
          <w:szCs w:val="20"/>
          <w:lang w:val="es-AR"/>
        </w:rPr>
      </w:pPr>
    </w:p>
    <w:p w14:paraId="627FBEC7" w14:textId="7F287886" w:rsidR="005D7839" w:rsidRPr="0033784B" w:rsidRDefault="00111100" w:rsidP="004671F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sz w:val="20"/>
          <w:szCs w:val="20"/>
          <w:lang w:val="es-AR"/>
        </w:rPr>
      </w:pPr>
      <w:r w:rsidRPr="0033784B">
        <w:rPr>
          <w:sz w:val="20"/>
          <w:szCs w:val="20"/>
          <w:lang w:val="es-AR"/>
        </w:rPr>
        <w:t xml:space="preserve">En virtud de las anteriores consideraciones, la Comisión concluye que </w:t>
      </w:r>
      <w:r w:rsidR="005D7839" w:rsidRPr="0033784B">
        <w:rPr>
          <w:sz w:val="20"/>
          <w:szCs w:val="20"/>
          <w:lang w:val="es-CL"/>
        </w:rPr>
        <w:t>los señores Del Valle</w:t>
      </w:r>
      <w:r w:rsidRPr="0033784B">
        <w:rPr>
          <w:sz w:val="20"/>
          <w:szCs w:val="20"/>
          <w:lang w:val="es-CL"/>
        </w:rPr>
        <w:t xml:space="preserve"> Ambrosio y Domínguez Linares, no contaron con un recurso ante autoridad jerárquica que efectuara una revisión integral de la condena emitida en su contra, incluyendo las cuestiones </w:t>
      </w:r>
      <w:r w:rsidR="006037EF" w:rsidRPr="0033784B">
        <w:rPr>
          <w:sz w:val="20"/>
          <w:szCs w:val="20"/>
          <w:lang w:val="es-CL"/>
        </w:rPr>
        <w:t>de</w:t>
      </w:r>
      <w:r w:rsidRPr="0033784B">
        <w:rPr>
          <w:sz w:val="20"/>
          <w:szCs w:val="20"/>
          <w:lang w:val="es-CL"/>
        </w:rPr>
        <w:t xml:space="preserve"> hecho y de valoración probatoria alegadas por la defensa mediante los recursos de casación.</w:t>
      </w:r>
      <w:r w:rsidR="004671F0" w:rsidRPr="0033784B">
        <w:rPr>
          <w:sz w:val="20"/>
          <w:szCs w:val="20"/>
          <w:lang w:val="es-CL"/>
        </w:rPr>
        <w:t xml:space="preserve"> </w:t>
      </w:r>
      <w:r w:rsidR="005D7839" w:rsidRPr="0033784B">
        <w:rPr>
          <w:sz w:val="20"/>
          <w:szCs w:val="20"/>
          <w:lang w:val="es-CL"/>
        </w:rPr>
        <w:t>En ese sentido, la Comisión concluye que el Estado argentino violó</w:t>
      </w:r>
      <w:r w:rsidR="004671F0" w:rsidRPr="0033784B">
        <w:rPr>
          <w:sz w:val="20"/>
          <w:szCs w:val="20"/>
          <w:lang w:val="es-CL"/>
        </w:rPr>
        <w:t xml:space="preserve"> en su perjuicio</w:t>
      </w:r>
      <w:r w:rsidR="005D7839" w:rsidRPr="0033784B">
        <w:rPr>
          <w:sz w:val="20"/>
          <w:szCs w:val="20"/>
          <w:lang w:val="es-CL"/>
        </w:rPr>
        <w:t xml:space="preserve"> el derecho a recurrir del fallo establecido en el a</w:t>
      </w:r>
      <w:r w:rsidR="004671F0" w:rsidRPr="0033784B">
        <w:rPr>
          <w:sz w:val="20"/>
          <w:szCs w:val="20"/>
          <w:lang w:val="es-CL"/>
        </w:rPr>
        <w:t>rtículo 8.2 h) de la Convención, en relación con las</w:t>
      </w:r>
      <w:r w:rsidR="00936FF4" w:rsidRPr="0033784B">
        <w:rPr>
          <w:sz w:val="20"/>
          <w:szCs w:val="20"/>
          <w:lang w:val="es-CL"/>
        </w:rPr>
        <w:t xml:space="preserve"> obligaciones establecidas en los</w:t>
      </w:r>
      <w:r w:rsidR="004671F0" w:rsidRPr="0033784B">
        <w:rPr>
          <w:sz w:val="20"/>
          <w:szCs w:val="20"/>
          <w:lang w:val="es-CL"/>
        </w:rPr>
        <w:t xml:space="preserve"> artículo</w:t>
      </w:r>
      <w:r w:rsidR="00936FF4" w:rsidRPr="0033784B">
        <w:rPr>
          <w:sz w:val="20"/>
          <w:szCs w:val="20"/>
          <w:lang w:val="es-CL"/>
        </w:rPr>
        <w:t xml:space="preserve">s 1.1 y </w:t>
      </w:r>
      <w:r w:rsidR="004671F0" w:rsidRPr="0033784B">
        <w:rPr>
          <w:sz w:val="20"/>
          <w:szCs w:val="20"/>
          <w:lang w:val="es-CL"/>
        </w:rPr>
        <w:t xml:space="preserve">2 del mismo instrumento.  Asimismo, </w:t>
      </w:r>
      <w:r w:rsidR="00936FF4" w:rsidRPr="0033784B">
        <w:rPr>
          <w:sz w:val="20"/>
          <w:szCs w:val="20"/>
          <w:lang w:val="es-CL"/>
        </w:rPr>
        <w:t>la Comisión concluye que como consecuencia del carácter limitado del recurso de casación y aún más limitado del recurso extraordinario, las víctimas no contaron</w:t>
      </w:r>
      <w:r w:rsidR="00DA2EE3">
        <w:rPr>
          <w:sz w:val="20"/>
          <w:szCs w:val="20"/>
          <w:lang w:val="es-CL"/>
        </w:rPr>
        <w:t xml:space="preserve"> con</w:t>
      </w:r>
      <w:r w:rsidR="00936FF4" w:rsidRPr="0033784B">
        <w:rPr>
          <w:sz w:val="20"/>
          <w:szCs w:val="20"/>
          <w:lang w:val="es-CL"/>
        </w:rPr>
        <w:t xml:space="preserve"> recursos judiciales sencillos y efectivos en el marco del proceso penal que culminó con su condena, en violación también del derecho establecido en el artículo 25.1 de la Convención,</w:t>
      </w:r>
      <w:r w:rsidR="00052DAB" w:rsidRPr="0033784B">
        <w:rPr>
          <w:sz w:val="20"/>
          <w:szCs w:val="20"/>
          <w:lang w:val="es-CL"/>
        </w:rPr>
        <w:t xml:space="preserve"> </w:t>
      </w:r>
      <w:r w:rsidR="005D7839" w:rsidRPr="0033784B">
        <w:rPr>
          <w:sz w:val="20"/>
          <w:szCs w:val="20"/>
          <w:lang w:val="es-CL"/>
        </w:rPr>
        <w:t xml:space="preserve">en relación con las obligaciones </w:t>
      </w:r>
      <w:r w:rsidR="00052DAB" w:rsidRPr="0033784B">
        <w:rPr>
          <w:sz w:val="20"/>
          <w:szCs w:val="20"/>
          <w:lang w:val="es-CL"/>
        </w:rPr>
        <w:t xml:space="preserve">de </w:t>
      </w:r>
      <w:r w:rsidR="005D7839" w:rsidRPr="0033784B">
        <w:rPr>
          <w:sz w:val="20"/>
          <w:szCs w:val="20"/>
          <w:lang w:val="es-CL"/>
        </w:rPr>
        <w:t>los artículos 1.1 y 2 del mismo inst</w:t>
      </w:r>
      <w:r w:rsidR="00936FF4" w:rsidRPr="0033784B">
        <w:rPr>
          <w:sz w:val="20"/>
          <w:szCs w:val="20"/>
          <w:lang w:val="es-CL"/>
        </w:rPr>
        <w:t>rumento.</w:t>
      </w:r>
    </w:p>
    <w:p w14:paraId="59C6C251" w14:textId="77777777" w:rsidR="000F6559" w:rsidRPr="0033784B" w:rsidRDefault="000F6559" w:rsidP="000F6559">
      <w:pPr>
        <w:pStyle w:val="ListParagraph"/>
        <w:rPr>
          <w:spacing w:val="-2"/>
          <w:sz w:val="20"/>
          <w:szCs w:val="20"/>
          <w:lang w:val="es-AR"/>
        </w:rPr>
      </w:pPr>
    </w:p>
    <w:p w14:paraId="39197817" w14:textId="77777777" w:rsidR="000F6559" w:rsidRPr="0033784B" w:rsidRDefault="000F6559" w:rsidP="000F6559">
      <w:pPr>
        <w:ind w:left="1440" w:hanging="720"/>
        <w:jc w:val="both"/>
        <w:rPr>
          <w:rFonts w:ascii="Cambria" w:hAnsi="Cambria"/>
          <w:b/>
          <w:sz w:val="20"/>
          <w:szCs w:val="20"/>
          <w:lang w:val="es-ES_tradnl"/>
        </w:rPr>
      </w:pPr>
      <w:r w:rsidRPr="0033784B">
        <w:rPr>
          <w:rFonts w:ascii="Cambria" w:hAnsi="Cambria"/>
          <w:b/>
          <w:sz w:val="20"/>
          <w:szCs w:val="20"/>
          <w:lang w:val="es-ES_tradnl"/>
        </w:rPr>
        <w:t>3.</w:t>
      </w:r>
      <w:r w:rsidRPr="0033784B">
        <w:rPr>
          <w:rFonts w:ascii="Cambria" w:hAnsi="Cambria"/>
          <w:b/>
          <w:sz w:val="20"/>
          <w:szCs w:val="20"/>
          <w:lang w:val="es-ES_tradnl"/>
        </w:rPr>
        <w:tab/>
        <w:t>Consideraciones en cuanto a los desarrollos posteriores sobre el derecho a recurrir del fallo</w:t>
      </w:r>
    </w:p>
    <w:p w14:paraId="2120DBF4" w14:textId="77777777" w:rsidR="000F6559" w:rsidRPr="0033784B" w:rsidRDefault="000F6559" w:rsidP="000F6559">
      <w:pPr>
        <w:jc w:val="both"/>
        <w:rPr>
          <w:rFonts w:ascii="Cambria" w:hAnsi="Cambria"/>
          <w:sz w:val="20"/>
          <w:szCs w:val="20"/>
          <w:lang w:val="es-ES_tradnl"/>
        </w:rPr>
      </w:pPr>
    </w:p>
    <w:p w14:paraId="6D5EBCF6" w14:textId="77777777" w:rsidR="00B57962" w:rsidRPr="0033784B" w:rsidRDefault="000F6559" w:rsidP="00B5796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sz w:val="20"/>
          <w:szCs w:val="20"/>
          <w:lang w:val="es-ES_tradnl"/>
        </w:rPr>
      </w:pPr>
      <w:r w:rsidRPr="0033784B">
        <w:rPr>
          <w:sz w:val="20"/>
          <w:szCs w:val="20"/>
          <w:lang w:val="es-ES_tradnl"/>
        </w:rPr>
        <w:t xml:space="preserve">La Comisión ha concluido que el Estado de Argentina violó el derecho a recurrir del fallo, consagrado en el </w:t>
      </w:r>
      <w:r w:rsidRPr="0033784B">
        <w:rPr>
          <w:sz w:val="20"/>
          <w:szCs w:val="20"/>
          <w:lang w:val="es-AR"/>
        </w:rPr>
        <w:t>artículo</w:t>
      </w:r>
      <w:r w:rsidRPr="0033784B">
        <w:rPr>
          <w:sz w:val="20"/>
          <w:szCs w:val="20"/>
          <w:lang w:val="es-ES_tradnl"/>
        </w:rPr>
        <w:t xml:space="preserve"> 8.2 h) de la Conven</w:t>
      </w:r>
      <w:r w:rsidR="006A7CFD" w:rsidRPr="0033784B">
        <w:rPr>
          <w:sz w:val="20"/>
          <w:szCs w:val="20"/>
          <w:lang w:val="es-ES_tradnl"/>
        </w:rPr>
        <w:t>ción Americana, en perjuicio de</w:t>
      </w:r>
      <w:r w:rsidR="006635F4" w:rsidRPr="0033784B">
        <w:rPr>
          <w:sz w:val="20"/>
          <w:szCs w:val="20"/>
          <w:lang w:val="es-ES_tradnl"/>
        </w:rPr>
        <w:t xml:space="preserve"> </w:t>
      </w:r>
      <w:r w:rsidR="006A7CFD" w:rsidRPr="0033784B">
        <w:rPr>
          <w:sz w:val="20"/>
          <w:szCs w:val="20"/>
          <w:lang w:val="es-ES_tradnl"/>
        </w:rPr>
        <w:t>l</w:t>
      </w:r>
      <w:r w:rsidR="006635F4" w:rsidRPr="0033784B">
        <w:rPr>
          <w:sz w:val="20"/>
          <w:szCs w:val="20"/>
          <w:lang w:val="es-ES_tradnl"/>
        </w:rPr>
        <w:t>os</w:t>
      </w:r>
      <w:r w:rsidR="006A7CFD" w:rsidRPr="0033784B">
        <w:rPr>
          <w:sz w:val="20"/>
          <w:szCs w:val="20"/>
          <w:lang w:val="es-ES_tradnl"/>
        </w:rPr>
        <w:t xml:space="preserve"> señor</w:t>
      </w:r>
      <w:r w:rsidR="006635F4" w:rsidRPr="0033784B">
        <w:rPr>
          <w:sz w:val="20"/>
          <w:szCs w:val="20"/>
          <w:lang w:val="es-ES_tradnl"/>
        </w:rPr>
        <w:t>es</w:t>
      </w:r>
      <w:r w:rsidR="006A7CFD" w:rsidRPr="0033784B">
        <w:rPr>
          <w:sz w:val="20"/>
          <w:szCs w:val="20"/>
          <w:lang w:val="es-ES_tradnl"/>
        </w:rPr>
        <w:t xml:space="preserve"> </w:t>
      </w:r>
      <w:r w:rsidR="009135AE" w:rsidRPr="0033784B">
        <w:rPr>
          <w:sz w:val="20"/>
          <w:szCs w:val="20"/>
          <w:lang w:val="es-ES_tradnl"/>
        </w:rPr>
        <w:t>D</w:t>
      </w:r>
      <w:r w:rsidR="006A7CFD" w:rsidRPr="0033784B">
        <w:rPr>
          <w:sz w:val="20"/>
          <w:szCs w:val="20"/>
          <w:lang w:val="es-ES_tradnl"/>
        </w:rPr>
        <w:t xml:space="preserve">el Valle Ambrosio y Domínguez </w:t>
      </w:r>
      <w:r w:rsidRPr="0033784B">
        <w:rPr>
          <w:sz w:val="20"/>
          <w:szCs w:val="20"/>
          <w:lang w:val="es-ES_tradnl"/>
        </w:rPr>
        <w:t>Linares</w:t>
      </w:r>
      <w:r w:rsidR="006635F4" w:rsidRPr="0033784B">
        <w:rPr>
          <w:sz w:val="20"/>
          <w:szCs w:val="20"/>
          <w:lang w:val="es-ES_tradnl"/>
        </w:rPr>
        <w:t>.</w:t>
      </w:r>
    </w:p>
    <w:p w14:paraId="72FD08AB" w14:textId="77777777" w:rsidR="00B57962" w:rsidRPr="0033784B" w:rsidRDefault="00B57962" w:rsidP="00B5796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jc w:val="both"/>
        <w:rPr>
          <w:sz w:val="20"/>
          <w:szCs w:val="20"/>
          <w:lang w:val="es-ES_tradnl"/>
        </w:rPr>
      </w:pPr>
    </w:p>
    <w:p w14:paraId="64834DF5" w14:textId="53BBB307" w:rsidR="00B57962" w:rsidRPr="0033784B" w:rsidRDefault="000F6559" w:rsidP="00B5796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sz w:val="20"/>
          <w:szCs w:val="20"/>
          <w:lang w:val="es-ES_tradnl"/>
        </w:rPr>
      </w:pPr>
      <w:r w:rsidRPr="0033784B">
        <w:rPr>
          <w:sz w:val="20"/>
          <w:szCs w:val="20"/>
          <w:lang w:val="es-ES_tradnl"/>
        </w:rPr>
        <w:t>Estas violaciones no obedecieron a la interpretación aislada de un juez en los casos particulares de las víctimas, sino que ocurri</w:t>
      </w:r>
      <w:r w:rsidR="00845275" w:rsidRPr="0033784B">
        <w:rPr>
          <w:sz w:val="20"/>
          <w:szCs w:val="20"/>
          <w:lang w:val="es-ES_tradnl"/>
        </w:rPr>
        <w:t>eron</w:t>
      </w:r>
      <w:r w:rsidRPr="0033784B">
        <w:rPr>
          <w:sz w:val="20"/>
          <w:szCs w:val="20"/>
          <w:lang w:val="es-ES_tradnl"/>
        </w:rPr>
        <w:t xml:space="preserve"> en el contexto de una legislación y práctica que exclu</w:t>
      </w:r>
      <w:r w:rsidR="006037EF" w:rsidRPr="0033784B">
        <w:rPr>
          <w:sz w:val="20"/>
          <w:szCs w:val="20"/>
          <w:lang w:val="es-ES_tradnl"/>
        </w:rPr>
        <w:t>ía</w:t>
      </w:r>
      <w:r w:rsidRPr="0033784B">
        <w:rPr>
          <w:sz w:val="20"/>
          <w:szCs w:val="20"/>
          <w:lang w:val="es-ES_tradnl"/>
        </w:rPr>
        <w:t xml:space="preserve"> la revisión de los hechos y la valoración y recepción de prueba. </w:t>
      </w:r>
      <w:r w:rsidR="00DA2EE3">
        <w:rPr>
          <w:sz w:val="20"/>
          <w:szCs w:val="20"/>
          <w:lang w:val="es-ES_tradnl"/>
        </w:rPr>
        <w:t xml:space="preserve">En ese sentido, </w:t>
      </w:r>
      <w:r w:rsidRPr="0033784B">
        <w:rPr>
          <w:sz w:val="20"/>
          <w:szCs w:val="20"/>
          <w:lang w:val="es-ES_tradnl"/>
        </w:rPr>
        <w:t>la Comisión</w:t>
      </w:r>
      <w:r w:rsidR="00DA2EE3">
        <w:rPr>
          <w:sz w:val="20"/>
          <w:szCs w:val="20"/>
          <w:lang w:val="es-ES_tradnl"/>
        </w:rPr>
        <w:t xml:space="preserve"> ha concluido </w:t>
      </w:r>
      <w:r w:rsidRPr="0033784B">
        <w:rPr>
          <w:sz w:val="20"/>
          <w:szCs w:val="20"/>
          <w:lang w:val="es-ES_tradnl"/>
        </w:rPr>
        <w:t xml:space="preserve">que el Estado incumplió, además del derecho consagrado en el artículo 8.2 h) de la Convención Americana, la obligación de adoptar disposiciones de derecho interno </w:t>
      </w:r>
      <w:proofErr w:type="gramStart"/>
      <w:r w:rsidRPr="0033784B">
        <w:rPr>
          <w:sz w:val="20"/>
          <w:szCs w:val="20"/>
          <w:lang w:val="es-ES_tradnl"/>
        </w:rPr>
        <w:t>establecida</w:t>
      </w:r>
      <w:proofErr w:type="gramEnd"/>
      <w:r w:rsidRPr="0033784B">
        <w:rPr>
          <w:sz w:val="20"/>
          <w:szCs w:val="20"/>
          <w:lang w:val="es-ES_tradnl"/>
        </w:rPr>
        <w:t xml:space="preserve"> en el artículo 2 de dicho instrumento. </w:t>
      </w:r>
    </w:p>
    <w:p w14:paraId="261D0E08" w14:textId="77777777" w:rsidR="00B57962" w:rsidRPr="0033784B" w:rsidRDefault="00B57962" w:rsidP="00B5796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sz w:val="20"/>
          <w:szCs w:val="20"/>
          <w:lang w:val="es-ES_tradnl"/>
        </w:rPr>
      </w:pPr>
    </w:p>
    <w:p w14:paraId="6BE722E7" w14:textId="5AC504D1" w:rsidR="00386735" w:rsidRPr="0033784B" w:rsidRDefault="000F6559" w:rsidP="0038673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sz w:val="20"/>
          <w:szCs w:val="20"/>
          <w:lang w:val="es-ES_tradnl"/>
        </w:rPr>
      </w:pPr>
      <w:r w:rsidRPr="0033784B">
        <w:rPr>
          <w:sz w:val="20"/>
          <w:szCs w:val="20"/>
          <w:lang w:val="es-ES_tradnl"/>
        </w:rPr>
        <w:lastRenderedPageBreak/>
        <w:t xml:space="preserve">Teniendo en cuenta el alcance más general de estas conclusiones, la Comisión no puede dejar de referirse a los </w:t>
      </w:r>
      <w:r w:rsidR="00C43EA8" w:rsidRPr="0033784B">
        <w:rPr>
          <w:sz w:val="20"/>
          <w:szCs w:val="20"/>
          <w:lang w:val="es-ES_tradnl"/>
        </w:rPr>
        <w:t xml:space="preserve">desarrollos </w:t>
      </w:r>
      <w:r w:rsidRPr="0033784B">
        <w:rPr>
          <w:sz w:val="20"/>
          <w:szCs w:val="20"/>
          <w:lang w:val="es-ES_tradnl"/>
        </w:rPr>
        <w:t xml:space="preserve">que se han presentado con posterioridad a las decisiones analizadas en los párrafos precedentes. Particularmente, la Comisión destaca la sentencia emitida por la Corte Suprema de Justicia de la Nación el 20 de septiembre de 2005, conocida como “el fallo Casal”. </w:t>
      </w:r>
    </w:p>
    <w:p w14:paraId="435ABD91" w14:textId="77777777" w:rsidR="00386735" w:rsidRPr="0033784B" w:rsidRDefault="00386735" w:rsidP="0038673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sz w:val="20"/>
          <w:szCs w:val="20"/>
          <w:lang w:val="es-ES_tradnl"/>
        </w:rPr>
      </w:pPr>
    </w:p>
    <w:p w14:paraId="18EAA660" w14:textId="1D32DD26" w:rsidR="000F6559" w:rsidRPr="0033784B" w:rsidRDefault="000F6559" w:rsidP="0038673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sz w:val="20"/>
          <w:szCs w:val="20"/>
          <w:lang w:val="es-ES_tradnl"/>
        </w:rPr>
      </w:pPr>
      <w:r w:rsidRPr="0033784B">
        <w:rPr>
          <w:sz w:val="20"/>
          <w:szCs w:val="20"/>
          <w:lang w:val="es-ES_tradnl"/>
        </w:rPr>
        <w:t>Como se indicó en la sección de hechos probados, mediante esta decisión la Corte Suprema de Justicia de la Nación efectuó un análisis de la práctica judicial de los tribunales argentinos y especialmente de la Sala de Casación Penal, en el sentido de interpretar de manera restrictiva las normas que regulan el recurso de casación y la consecuente denegación de dicho recurso cuando se solicitaba una revisión de cuestiones relacionadas con los hechos o con la valoración probatoria. Tomando en cuenta las disposiciones relevantes del derecho internacional de los derechos humanos y haciendo expresa mención al artículo 8.2 h) de la Convención Americana y al artículo 14.5 del Pacto Internacional de Derechos Civiles y Políticos, la Corte Suprema de Justicia de la Nación indicó la necesidad de cambiar dicha interpretación restrictiva por una más amplia que no limitara la revisión a cuestiones de derecho, sino que incluyera aquellas cuestiones de hecho o de valoración probatoria, con la limitación de lo que esté exclusivamente reservado a quienes hayan estado presentes como jueces en el juicio oral</w:t>
      </w:r>
      <w:r w:rsidRPr="0033784B">
        <w:rPr>
          <w:rStyle w:val="FootnoteReference"/>
          <w:sz w:val="20"/>
          <w:szCs w:val="20"/>
          <w:lang w:val="es-ES_tradnl"/>
        </w:rPr>
        <w:footnoteReference w:id="47"/>
      </w:r>
      <w:r w:rsidRPr="0033784B">
        <w:rPr>
          <w:sz w:val="20"/>
          <w:szCs w:val="20"/>
          <w:lang w:val="es-ES_tradnl"/>
        </w:rPr>
        <w:t>.</w:t>
      </w:r>
    </w:p>
    <w:p w14:paraId="7CFD68D8" w14:textId="77777777" w:rsidR="000F6559" w:rsidRPr="0033784B" w:rsidRDefault="000F6559" w:rsidP="000F6559">
      <w:pPr>
        <w:ind w:firstLine="720"/>
        <w:jc w:val="both"/>
        <w:rPr>
          <w:rFonts w:ascii="Cambria" w:hAnsi="Cambria"/>
          <w:sz w:val="20"/>
          <w:szCs w:val="20"/>
          <w:lang w:val="es-ES_tradnl"/>
        </w:rPr>
      </w:pPr>
      <w:r w:rsidRPr="0033784B">
        <w:rPr>
          <w:rFonts w:ascii="Cambria" w:hAnsi="Cambria"/>
          <w:sz w:val="20"/>
          <w:szCs w:val="20"/>
          <w:lang w:val="es-ES_tradnl"/>
        </w:rPr>
        <w:t xml:space="preserve"> </w:t>
      </w:r>
    </w:p>
    <w:p w14:paraId="20AC261D" w14:textId="7A37318A" w:rsidR="000F6559" w:rsidRPr="0033784B" w:rsidRDefault="000F6559" w:rsidP="00882DB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spacing w:val="-2"/>
          <w:sz w:val="20"/>
          <w:szCs w:val="20"/>
          <w:lang w:val="es-ES_tradnl"/>
        </w:rPr>
      </w:pPr>
      <w:r w:rsidRPr="0033784B">
        <w:rPr>
          <w:spacing w:val="-2"/>
          <w:sz w:val="20"/>
          <w:szCs w:val="20"/>
          <w:lang w:val="es-ES_tradnl"/>
        </w:rPr>
        <w:t xml:space="preserve">La Comisión valora positivamente el fallo Casal y lo entiende como un primer esfuerzo a fin de compatibilizar las prácticas judiciales con las obligaciones internacionales de Argentina en materia de derechos humanos. </w:t>
      </w:r>
      <w:r w:rsidRPr="0033784B">
        <w:rPr>
          <w:sz w:val="20"/>
          <w:szCs w:val="20"/>
          <w:lang w:val="es-ES_tradnl"/>
        </w:rPr>
        <w:t>Resulta</w:t>
      </w:r>
      <w:r w:rsidRPr="0033784B">
        <w:rPr>
          <w:spacing w:val="-2"/>
          <w:sz w:val="20"/>
          <w:szCs w:val="20"/>
          <w:lang w:val="es-ES_tradnl"/>
        </w:rPr>
        <w:t xml:space="preserve"> de especial relevancia la aclaración efectuada por la Corte Suprema de Justicia de la Nación, en el sentido de que la distinción entre cuestiones de hecho y de derecho no debe ser el elemento determinante de la procedencia del recurso de casación. La única limitación contemplada en el fallo Casal es la relacionada con aquella prueba que fue conocida directamente por el juez presente en el juicio oral, principalmente la prueba testimonial. </w:t>
      </w:r>
    </w:p>
    <w:p w14:paraId="073ED72B" w14:textId="77777777" w:rsidR="000F6559" w:rsidRPr="0033784B" w:rsidRDefault="000F6559" w:rsidP="000F6559">
      <w:pPr>
        <w:ind w:firstLine="720"/>
        <w:jc w:val="both"/>
        <w:rPr>
          <w:rFonts w:ascii="Cambria" w:hAnsi="Cambria"/>
          <w:spacing w:val="-2"/>
          <w:sz w:val="20"/>
          <w:szCs w:val="20"/>
          <w:lang w:val="es-ES_tradnl"/>
        </w:rPr>
      </w:pPr>
    </w:p>
    <w:p w14:paraId="10D13BAE" w14:textId="3AA398DE" w:rsidR="000F6559" w:rsidRPr="0033784B" w:rsidRDefault="000F6559" w:rsidP="005F352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spacing w:val="-2"/>
          <w:sz w:val="20"/>
          <w:szCs w:val="20"/>
          <w:lang w:val="es-ES_tradnl"/>
        </w:rPr>
      </w:pPr>
      <w:r w:rsidRPr="0033784B">
        <w:rPr>
          <w:spacing w:val="-2"/>
          <w:sz w:val="20"/>
          <w:szCs w:val="20"/>
          <w:lang w:val="es-ES_tradnl"/>
        </w:rPr>
        <w:t>Sin embargo, según la información disponible</w:t>
      </w:r>
      <w:r w:rsidR="00C43EA8" w:rsidRPr="0033784B">
        <w:rPr>
          <w:spacing w:val="-2"/>
          <w:sz w:val="20"/>
          <w:szCs w:val="20"/>
          <w:lang w:val="es-ES_tradnl"/>
        </w:rPr>
        <w:t xml:space="preserve"> a través del sistema de casos y el trabajo de monitoreo de la Comisión, </w:t>
      </w:r>
      <w:r w:rsidRPr="0033784B">
        <w:rPr>
          <w:spacing w:val="-2"/>
          <w:sz w:val="20"/>
          <w:szCs w:val="20"/>
          <w:lang w:val="es-ES_tradnl"/>
        </w:rPr>
        <w:t xml:space="preserve">dicho fallo no ha provocado cambios suficientes para resolver los problemas señalados en el presente análisis. </w:t>
      </w:r>
      <w:r w:rsidR="00C43EA8" w:rsidRPr="0033784B">
        <w:rPr>
          <w:spacing w:val="-2"/>
          <w:sz w:val="20"/>
          <w:szCs w:val="20"/>
          <w:lang w:val="es-ES_tradnl"/>
        </w:rPr>
        <w:t xml:space="preserve">Uno de los </w:t>
      </w:r>
      <w:r w:rsidRPr="0033784B">
        <w:rPr>
          <w:spacing w:val="-2"/>
          <w:sz w:val="20"/>
          <w:szCs w:val="20"/>
          <w:lang w:val="es-ES_tradnl"/>
        </w:rPr>
        <w:t>obstáculo</w:t>
      </w:r>
      <w:r w:rsidR="00C43EA8" w:rsidRPr="0033784B">
        <w:rPr>
          <w:spacing w:val="-2"/>
          <w:sz w:val="20"/>
          <w:szCs w:val="20"/>
          <w:lang w:val="es-ES_tradnl"/>
        </w:rPr>
        <w:t>s</w:t>
      </w:r>
      <w:r w:rsidRPr="0033784B">
        <w:rPr>
          <w:spacing w:val="-2"/>
          <w:sz w:val="20"/>
          <w:szCs w:val="20"/>
          <w:lang w:val="es-ES_tradnl"/>
        </w:rPr>
        <w:t xml:space="preserve"> que encuentra la Comisión para concluir que el Estado ha subsanado esta problemática, es la falta de obligatoriedad del fallo Casal. La Comisión observa que la Corte Suprema de Justicia de la Nación se abstuvo de declarar la inconstitucionalidad del artículo 456 del CPPN – que regula la procedencia del recurso de casación</w:t>
      </w:r>
      <w:r w:rsidR="005F3525" w:rsidRPr="0033784B">
        <w:rPr>
          <w:spacing w:val="-2"/>
          <w:sz w:val="20"/>
          <w:szCs w:val="20"/>
          <w:lang w:val="es-ES_tradnl"/>
        </w:rPr>
        <w:t xml:space="preserve"> y que como se indicó es de contenido casi idéntico al artículo 468 del CPPC –</w:t>
      </w:r>
      <w:r w:rsidRPr="0033784B">
        <w:rPr>
          <w:spacing w:val="-2"/>
          <w:sz w:val="20"/>
          <w:szCs w:val="20"/>
          <w:lang w:val="es-ES_tradnl"/>
        </w:rPr>
        <w:t xml:space="preserve"> dicha sentencia constituye una pauta interpretativa pero jurídicamente no es de obligatorio acatamiento por los jueces</w:t>
      </w:r>
      <w:r w:rsidRPr="0033784B">
        <w:rPr>
          <w:rStyle w:val="FootnoteReference"/>
          <w:spacing w:val="-2"/>
          <w:sz w:val="20"/>
          <w:szCs w:val="20"/>
          <w:lang w:val="es-ES_tradnl"/>
        </w:rPr>
        <w:footnoteReference w:id="48"/>
      </w:r>
      <w:r w:rsidRPr="0033784B">
        <w:rPr>
          <w:spacing w:val="-2"/>
          <w:sz w:val="20"/>
          <w:szCs w:val="20"/>
          <w:lang w:val="es-ES_tradnl"/>
        </w:rPr>
        <w:t>. Aún más, la Comisión nota que la pauta interpretativa ofrecida por el fallo Casal, no resulta evidente del texto de la norma.</w:t>
      </w:r>
    </w:p>
    <w:p w14:paraId="45EB3862" w14:textId="77777777" w:rsidR="000F6559" w:rsidRPr="0033784B" w:rsidRDefault="000F6559" w:rsidP="000F6559">
      <w:pPr>
        <w:ind w:firstLine="720"/>
        <w:jc w:val="both"/>
        <w:rPr>
          <w:rFonts w:ascii="Cambria" w:hAnsi="Cambria"/>
          <w:spacing w:val="-2"/>
          <w:sz w:val="20"/>
          <w:szCs w:val="20"/>
          <w:lang w:val="es-ES_tradnl"/>
        </w:rPr>
      </w:pPr>
    </w:p>
    <w:p w14:paraId="6BDEEDF4" w14:textId="77777777" w:rsidR="000F6559" w:rsidRPr="0033784B" w:rsidRDefault="000F6559" w:rsidP="0046352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spacing w:val="-2"/>
          <w:sz w:val="20"/>
          <w:szCs w:val="20"/>
          <w:lang w:val="es-ES_tradnl"/>
        </w:rPr>
      </w:pPr>
      <w:r w:rsidRPr="0033784B">
        <w:rPr>
          <w:spacing w:val="-2"/>
          <w:sz w:val="20"/>
          <w:szCs w:val="20"/>
          <w:lang w:val="es-ES_tradnl"/>
        </w:rPr>
        <w:t>Cabe mencionar que en el año 2010 el Comité de Derechos Humanos del PIDCP hizo referencia a la persistencia de los problemas que impiden la revisión sustancial de los fallos condenatorios en Argentina. Según el referido Comité:</w:t>
      </w:r>
    </w:p>
    <w:p w14:paraId="625B8820" w14:textId="77777777" w:rsidR="000F6559" w:rsidRPr="0033784B" w:rsidRDefault="000F6559" w:rsidP="000F6559">
      <w:pPr>
        <w:ind w:firstLine="720"/>
        <w:jc w:val="both"/>
        <w:rPr>
          <w:rFonts w:ascii="Cambria" w:hAnsi="Cambria"/>
          <w:spacing w:val="-2"/>
          <w:sz w:val="20"/>
          <w:szCs w:val="20"/>
          <w:lang w:val="es-ES_tradnl"/>
        </w:rPr>
      </w:pPr>
    </w:p>
    <w:p w14:paraId="6C820F69" w14:textId="77777777" w:rsidR="000F6559" w:rsidRPr="0033784B" w:rsidRDefault="000F6559" w:rsidP="000F6559">
      <w:pPr>
        <w:ind w:left="720" w:right="720"/>
        <w:jc w:val="both"/>
        <w:rPr>
          <w:rFonts w:ascii="Cambria" w:hAnsi="Cambria"/>
          <w:spacing w:val="-2"/>
          <w:sz w:val="20"/>
          <w:szCs w:val="20"/>
          <w:lang w:val="es-ES_tradnl"/>
        </w:rPr>
      </w:pPr>
      <w:r w:rsidRPr="0033784B">
        <w:rPr>
          <w:rFonts w:ascii="Cambria" w:hAnsi="Cambria" w:cs="Times-Roman"/>
          <w:sz w:val="20"/>
          <w:szCs w:val="20"/>
          <w:lang w:val="es-ES_tradnl" w:bidi="en-US"/>
        </w:rPr>
        <w:t>El Comité observa con preocupación la ausencia de normatividad y práctica procesal que garantice, en todo el territorio nacional, la aplicación efectiva del derecho enunciado en el párrafo 5 del artículo 14 del Pacto (art. 14 del Pacto). El Estado parte debe tomar medidas necesarias y eficaces para garantizar el derecho de toda persona declarada culpable de un delito a que el fallo condenatorio y la pena impuesta sean sometidos a un tribunal superior. En este sentido el Comité recuerda su Observación general N</w:t>
      </w:r>
      <w:proofErr w:type="gramStart"/>
      <w:r w:rsidRPr="0033784B">
        <w:rPr>
          <w:rFonts w:ascii="Cambria" w:hAnsi="Cambria" w:cs="Times-Roman"/>
          <w:sz w:val="20"/>
          <w:szCs w:val="20"/>
          <w:lang w:val="es-ES_tradnl" w:bidi="en-US"/>
        </w:rPr>
        <w:t>.º</w:t>
      </w:r>
      <w:proofErr w:type="gramEnd"/>
      <w:r w:rsidRPr="0033784B">
        <w:rPr>
          <w:rFonts w:ascii="Cambria" w:hAnsi="Cambria" w:cs="Times-Roman"/>
          <w:sz w:val="20"/>
          <w:szCs w:val="20"/>
          <w:lang w:val="es-ES_tradnl" w:bidi="en-US"/>
        </w:rPr>
        <w:t xml:space="preserve"> 32, relativa al derecho a un juicio imparcial y a la igualdad ante los tribunales y cortes de justicia, cuyo párrafo 48 enfatiza la necesidad de revisar sustancialmente el fallo condenatorio y la pena</w:t>
      </w:r>
      <w:r w:rsidRPr="0033784B">
        <w:rPr>
          <w:rStyle w:val="FootnoteReference"/>
          <w:rFonts w:ascii="Cambria" w:hAnsi="Cambria"/>
          <w:sz w:val="20"/>
          <w:szCs w:val="20"/>
          <w:lang w:bidi="en-US"/>
        </w:rPr>
        <w:footnoteReference w:id="49"/>
      </w:r>
      <w:r w:rsidRPr="0033784B">
        <w:rPr>
          <w:rFonts w:ascii="Cambria" w:hAnsi="Cambria" w:cs="Times-Roman"/>
          <w:sz w:val="20"/>
          <w:szCs w:val="20"/>
          <w:lang w:val="es-ES_tradnl" w:bidi="en-US"/>
        </w:rPr>
        <w:t>.</w:t>
      </w:r>
    </w:p>
    <w:p w14:paraId="54961C8A" w14:textId="77777777" w:rsidR="000F6559" w:rsidRPr="0033784B" w:rsidRDefault="000F6559" w:rsidP="000F6559">
      <w:pPr>
        <w:jc w:val="both"/>
        <w:rPr>
          <w:rFonts w:ascii="Cambria" w:hAnsi="Cambria"/>
          <w:spacing w:val="-2"/>
          <w:sz w:val="20"/>
          <w:szCs w:val="20"/>
          <w:lang w:val="es-ES_tradnl"/>
        </w:rPr>
      </w:pPr>
    </w:p>
    <w:p w14:paraId="1DD1BB78" w14:textId="7605FDF1" w:rsidR="000F6559" w:rsidRPr="00DD49D1" w:rsidRDefault="00576FC7" w:rsidP="006C070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spacing w:val="-2"/>
          <w:sz w:val="20"/>
          <w:szCs w:val="20"/>
          <w:lang w:val="es-ES_tradnl"/>
        </w:rPr>
      </w:pPr>
      <w:r w:rsidRPr="0033784B">
        <w:rPr>
          <w:spacing w:val="-2"/>
          <w:sz w:val="20"/>
          <w:szCs w:val="20"/>
          <w:lang w:val="es-ES_tradnl"/>
        </w:rPr>
        <w:t xml:space="preserve">Posteriormente, en el año 2013 la Corte Interamericana emitió su sentencia en el caso </w:t>
      </w:r>
      <w:r w:rsidRPr="0033784B">
        <w:rPr>
          <w:i/>
          <w:spacing w:val="-2"/>
          <w:sz w:val="20"/>
          <w:szCs w:val="20"/>
          <w:lang w:val="es-ES_tradnl"/>
        </w:rPr>
        <w:t>Mendoza y otros,</w:t>
      </w:r>
      <w:r w:rsidR="00CB252F" w:rsidRPr="0033784B">
        <w:rPr>
          <w:i/>
          <w:spacing w:val="-2"/>
          <w:sz w:val="20"/>
          <w:szCs w:val="20"/>
          <w:lang w:val="es-ES_tradnl"/>
        </w:rPr>
        <w:t xml:space="preserve"> </w:t>
      </w:r>
      <w:r w:rsidR="00CB252F" w:rsidRPr="0033784B">
        <w:rPr>
          <w:spacing w:val="-2"/>
          <w:sz w:val="20"/>
          <w:szCs w:val="20"/>
          <w:lang w:val="es-ES_tradnl"/>
        </w:rPr>
        <w:t xml:space="preserve">adoptando la misma </w:t>
      </w:r>
      <w:r w:rsidR="00CB252F" w:rsidRPr="00DD49D1">
        <w:rPr>
          <w:spacing w:val="-2"/>
          <w:sz w:val="20"/>
          <w:szCs w:val="20"/>
          <w:lang w:val="es-ES_tradnl"/>
        </w:rPr>
        <w:t>posición de la CIDH respecto del fallo Casal. Al respecto, señaló que “valora positivamente el fallo Casal (…) en cuanto a los criterios que se desprenden sobre el alcance del derecho de recurrir del fallo ante un juez o tribunal superior”.</w:t>
      </w:r>
      <w:r w:rsidR="00C43EA8" w:rsidRPr="00DD49D1">
        <w:rPr>
          <w:spacing w:val="-2"/>
          <w:sz w:val="20"/>
          <w:szCs w:val="20"/>
          <w:lang w:val="es-ES_tradnl"/>
        </w:rPr>
        <w:t xml:space="preserve"> La Corte consideró “que los jueces en Argentina deben seguir ejerciendo un control de convencionalidad a fin de garantizar el derecho de recurrir el fallo conforme al artículo 8.2.h de la Convención Americana”.</w:t>
      </w:r>
      <w:r w:rsidR="00CB252F" w:rsidRPr="00DD49D1">
        <w:rPr>
          <w:spacing w:val="-2"/>
          <w:sz w:val="20"/>
          <w:szCs w:val="20"/>
          <w:lang w:val="es-ES_tradnl"/>
        </w:rPr>
        <w:t xml:space="preserve"> </w:t>
      </w:r>
      <w:r w:rsidR="00641021" w:rsidRPr="00DD49D1">
        <w:rPr>
          <w:spacing w:val="-2"/>
          <w:sz w:val="20"/>
          <w:szCs w:val="20"/>
          <w:lang w:val="es-ES_tradnl"/>
        </w:rPr>
        <w:t xml:space="preserve">Asimismo, </w:t>
      </w:r>
      <w:r w:rsidR="00825AFB" w:rsidRPr="00DD49D1">
        <w:rPr>
          <w:spacing w:val="-2"/>
          <w:sz w:val="20"/>
          <w:szCs w:val="20"/>
          <w:lang w:val="es-ES_tradnl"/>
        </w:rPr>
        <w:t xml:space="preserve">ordenó como medida de reparación que el Estado adecue su ordenamiento jurídico interno de conformidad con la jurisprudencia de dicho tribunal sobre el derecho de recurrir el fallo ante el juez o tribunal superior. </w:t>
      </w:r>
    </w:p>
    <w:p w14:paraId="22046378" w14:textId="77777777" w:rsidR="00F10C10" w:rsidRPr="00DD49D1" w:rsidRDefault="00F10C10" w:rsidP="00F10C10">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jc w:val="both"/>
        <w:rPr>
          <w:spacing w:val="-2"/>
          <w:sz w:val="20"/>
          <w:szCs w:val="20"/>
          <w:lang w:val="es-ES_tradnl"/>
        </w:rPr>
      </w:pPr>
    </w:p>
    <w:p w14:paraId="4B309657" w14:textId="2118878A" w:rsidR="00F10C10" w:rsidRPr="003F3250" w:rsidRDefault="00DD49D1" w:rsidP="00F10C10">
      <w:pPr>
        <w:pStyle w:val="Style2"/>
        <w:numPr>
          <w:ilvl w:val="0"/>
          <w:numId w:val="55"/>
        </w:numPr>
        <w:rPr>
          <w:spacing w:val="-2"/>
          <w:lang w:val="es-VE"/>
        </w:rPr>
      </w:pPr>
      <w:r w:rsidRPr="00DD49D1">
        <w:rPr>
          <w:spacing w:val="-2"/>
          <w:lang w:val="es-ES_tradnl"/>
        </w:rPr>
        <w:t xml:space="preserve">Aunque la Corte Interamericana hizo un llamado a sus autoridades judiciales a asegurar el control de convencionalidad sobre este punto, en todo caso, estimó necesario ordenar, a la luz del artículo 2 de la Convención, la adecuación del marco legal conforme a los estándares de la sentencia. </w:t>
      </w:r>
    </w:p>
    <w:p w14:paraId="12119C33" w14:textId="22110427" w:rsidR="00114BB6" w:rsidRPr="00DD49D1" w:rsidRDefault="00114BB6" w:rsidP="005778C3">
      <w:pPr>
        <w:pStyle w:val="Heading1"/>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Cambria" w:hAnsi="Cambria"/>
          <w:color w:val="auto"/>
          <w:sz w:val="20"/>
          <w:szCs w:val="20"/>
          <w:lang w:val="es-VE"/>
        </w:rPr>
      </w:pPr>
      <w:bookmarkStart w:id="15" w:name="_Toc477355364"/>
      <w:bookmarkStart w:id="16" w:name="_Toc480897210"/>
      <w:bookmarkStart w:id="17" w:name="_Toc484439869"/>
      <w:bookmarkStart w:id="18" w:name="_Toc489610457"/>
      <w:r w:rsidRPr="00DD49D1">
        <w:rPr>
          <w:rFonts w:ascii="Cambria" w:hAnsi="Cambria"/>
          <w:color w:val="auto"/>
          <w:sz w:val="20"/>
          <w:szCs w:val="20"/>
          <w:lang w:val="es-AR"/>
        </w:rPr>
        <w:t>CONCLUSIONES</w:t>
      </w:r>
      <w:bookmarkEnd w:id="15"/>
      <w:bookmarkEnd w:id="16"/>
      <w:bookmarkEnd w:id="17"/>
      <w:bookmarkEnd w:id="18"/>
      <w:r w:rsidR="00227531" w:rsidRPr="00DD49D1">
        <w:rPr>
          <w:rFonts w:ascii="Cambria" w:hAnsi="Cambria"/>
          <w:color w:val="auto"/>
          <w:sz w:val="20"/>
          <w:szCs w:val="20"/>
          <w:lang w:val="es-AR"/>
        </w:rPr>
        <w:t xml:space="preserve"> Y RECOMENDACIONES</w:t>
      </w:r>
    </w:p>
    <w:p w14:paraId="48A20D72" w14:textId="77777777" w:rsidR="00114BB6" w:rsidRPr="0033784B" w:rsidRDefault="00114BB6" w:rsidP="00114BB6">
      <w:pPr>
        <w:ind w:left="720"/>
        <w:jc w:val="both"/>
        <w:rPr>
          <w:rFonts w:ascii="Cambria" w:eastAsia="Times New Roman" w:hAnsi="Cambria"/>
          <w:sz w:val="20"/>
          <w:szCs w:val="20"/>
          <w:lang w:val="es-AR"/>
        </w:rPr>
      </w:pPr>
    </w:p>
    <w:p w14:paraId="0BEA9BBE" w14:textId="5FC127EA" w:rsidR="00114BB6" w:rsidRPr="0033784B" w:rsidRDefault="00114BB6" w:rsidP="00DC2DE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sz w:val="20"/>
          <w:szCs w:val="20"/>
          <w:lang w:val="es-CL"/>
        </w:rPr>
      </w:pPr>
      <w:r w:rsidRPr="0033784B">
        <w:rPr>
          <w:sz w:val="20"/>
          <w:szCs w:val="20"/>
          <w:lang w:val="es-CL"/>
        </w:rPr>
        <w:t>La Comisión concluye que el Estado argentino es responsable por la violación de</w:t>
      </w:r>
      <w:r w:rsidR="00DC2DE9" w:rsidRPr="0033784B">
        <w:rPr>
          <w:sz w:val="20"/>
          <w:szCs w:val="20"/>
          <w:lang w:val="es-CL"/>
        </w:rPr>
        <w:t xml:space="preserve"> </w:t>
      </w:r>
      <w:r w:rsidRPr="0033784B">
        <w:rPr>
          <w:sz w:val="20"/>
          <w:szCs w:val="20"/>
          <w:lang w:val="es-CL"/>
        </w:rPr>
        <w:t>l</w:t>
      </w:r>
      <w:r w:rsidR="00DC2DE9" w:rsidRPr="0033784B">
        <w:rPr>
          <w:sz w:val="20"/>
          <w:szCs w:val="20"/>
          <w:lang w:val="es-CL"/>
        </w:rPr>
        <w:t>os</w:t>
      </w:r>
      <w:r w:rsidRPr="0033784B">
        <w:rPr>
          <w:sz w:val="20"/>
          <w:szCs w:val="20"/>
          <w:lang w:val="es-CL"/>
        </w:rPr>
        <w:t xml:space="preserve"> derecho</w:t>
      </w:r>
      <w:r w:rsidR="00DC2DE9" w:rsidRPr="0033784B">
        <w:rPr>
          <w:sz w:val="20"/>
          <w:szCs w:val="20"/>
          <w:lang w:val="es-CL"/>
        </w:rPr>
        <w:t>s</w:t>
      </w:r>
      <w:r w:rsidRPr="0033784B">
        <w:rPr>
          <w:sz w:val="20"/>
          <w:szCs w:val="20"/>
          <w:lang w:val="es-CL"/>
        </w:rPr>
        <w:t xml:space="preserve"> a </w:t>
      </w:r>
      <w:r w:rsidR="00DC2DE9" w:rsidRPr="0033784B">
        <w:rPr>
          <w:sz w:val="20"/>
          <w:szCs w:val="20"/>
          <w:lang w:val="es-CL"/>
        </w:rPr>
        <w:t xml:space="preserve">recurrir el fallo y a la protección judicial </w:t>
      </w:r>
      <w:r w:rsidRPr="0033784B">
        <w:rPr>
          <w:sz w:val="20"/>
          <w:szCs w:val="20"/>
          <w:lang w:val="es-CL"/>
        </w:rPr>
        <w:t xml:space="preserve">consagrados en los artículos  8.2 h) y 25.1 de la Convención Americana en relación con las obligaciones establecidas en los artículos 1.1 y 2 del mismo instrumento, en perjuicio de </w:t>
      </w:r>
      <w:r w:rsidR="00B865A4" w:rsidRPr="0033784B">
        <w:rPr>
          <w:sz w:val="20"/>
          <w:szCs w:val="20"/>
          <w:lang w:val="es-CL"/>
        </w:rPr>
        <w:t xml:space="preserve">Julio César Ramón </w:t>
      </w:r>
      <w:r w:rsidR="00704769" w:rsidRPr="0033784B">
        <w:rPr>
          <w:sz w:val="20"/>
          <w:szCs w:val="20"/>
          <w:lang w:val="es-CL"/>
        </w:rPr>
        <w:t xml:space="preserve">Del Valle Ambrosio y </w:t>
      </w:r>
      <w:r w:rsidR="00B865A4" w:rsidRPr="0033784B">
        <w:rPr>
          <w:sz w:val="20"/>
          <w:szCs w:val="20"/>
          <w:lang w:val="es-CL"/>
        </w:rPr>
        <w:t xml:space="preserve">Carlos Eduardo </w:t>
      </w:r>
      <w:r w:rsidR="00704769" w:rsidRPr="0033784B">
        <w:rPr>
          <w:sz w:val="20"/>
          <w:szCs w:val="20"/>
          <w:lang w:val="es-CL"/>
        </w:rPr>
        <w:t>Domínguez Linares</w:t>
      </w:r>
      <w:r w:rsidRPr="0033784B">
        <w:rPr>
          <w:sz w:val="20"/>
          <w:szCs w:val="20"/>
          <w:lang w:val="es-CL"/>
        </w:rPr>
        <w:t xml:space="preserve">. </w:t>
      </w:r>
    </w:p>
    <w:p w14:paraId="4CDA912B" w14:textId="77777777" w:rsidR="00114BB6" w:rsidRPr="0033784B" w:rsidRDefault="00114BB6" w:rsidP="00114BB6">
      <w:pPr>
        <w:ind w:left="720"/>
        <w:jc w:val="both"/>
        <w:rPr>
          <w:rFonts w:ascii="Cambria" w:eastAsia="Times New Roman" w:hAnsi="Cambria"/>
          <w:sz w:val="20"/>
          <w:szCs w:val="20"/>
          <w:lang w:val="es-AR"/>
        </w:rPr>
      </w:pPr>
    </w:p>
    <w:p w14:paraId="77FFFB01" w14:textId="77777777" w:rsidR="00114BB6" w:rsidRPr="0033784B" w:rsidRDefault="00114BB6" w:rsidP="00900D8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eastAsia="Times New Roman"/>
          <w:sz w:val="20"/>
          <w:szCs w:val="20"/>
          <w:lang w:val="es-CL"/>
        </w:rPr>
      </w:pPr>
      <w:r w:rsidRPr="0033784B">
        <w:rPr>
          <w:sz w:val="20"/>
          <w:szCs w:val="20"/>
          <w:lang w:val="es-CL"/>
        </w:rPr>
        <w:t>En virtud de las anteriores conclusiones,</w:t>
      </w:r>
    </w:p>
    <w:p w14:paraId="324D5425" w14:textId="77777777" w:rsidR="00114BB6" w:rsidRPr="0033784B" w:rsidRDefault="00114BB6" w:rsidP="00114BB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Times New Roman" w:hAnsi="Cambria"/>
          <w:sz w:val="20"/>
          <w:szCs w:val="20"/>
          <w:lang w:val="es-CL" w:eastAsia="es-ES"/>
        </w:rPr>
      </w:pPr>
    </w:p>
    <w:p w14:paraId="5BA1CFCE" w14:textId="77777777" w:rsidR="00114BB6" w:rsidRPr="0033784B" w:rsidRDefault="00114BB6" w:rsidP="00114BB6">
      <w:pPr>
        <w:jc w:val="both"/>
        <w:rPr>
          <w:rFonts w:ascii="Cambria" w:hAnsi="Cambria"/>
          <w:b/>
          <w:sz w:val="20"/>
          <w:szCs w:val="20"/>
          <w:lang w:val="es-ES"/>
        </w:rPr>
      </w:pPr>
      <w:r w:rsidRPr="0033784B">
        <w:rPr>
          <w:rFonts w:ascii="Cambria" w:hAnsi="Cambria"/>
          <w:b/>
          <w:sz w:val="20"/>
          <w:szCs w:val="20"/>
          <w:lang w:val="es-ES"/>
        </w:rPr>
        <w:tab/>
        <w:t>LA COMISIÓN INTERAMERICANA DE DERECHOS HUMANOS RECOMIENDA AL ESTADO ARGENTINO,</w:t>
      </w:r>
    </w:p>
    <w:p w14:paraId="69ADECCC" w14:textId="77777777" w:rsidR="00114BB6" w:rsidRPr="0033784B" w:rsidRDefault="00114BB6" w:rsidP="00114BB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14:paraId="50623B94" w14:textId="6837E6F4" w:rsidR="00961D15" w:rsidRPr="0033784B" w:rsidRDefault="00961D15" w:rsidP="00D05831">
      <w:pPr>
        <w:pStyle w:val="BodyTextIndent3"/>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990"/>
          <w:tab w:val="num" w:pos="0"/>
        </w:tabs>
        <w:spacing w:after="0"/>
        <w:ind w:left="0" w:firstLine="720"/>
        <w:jc w:val="both"/>
        <w:rPr>
          <w:rFonts w:ascii="Cambria" w:hAnsi="Cambria"/>
          <w:spacing w:val="-2"/>
          <w:sz w:val="20"/>
          <w:szCs w:val="20"/>
          <w:lang w:val="es-ES"/>
        </w:rPr>
      </w:pPr>
      <w:r w:rsidRPr="0033784B">
        <w:rPr>
          <w:rFonts w:ascii="Cambria" w:hAnsi="Cambria"/>
          <w:spacing w:val="-2"/>
          <w:sz w:val="20"/>
          <w:szCs w:val="20"/>
          <w:lang w:val="es-ES"/>
        </w:rPr>
        <w:t>Disponer las medidas necesarias para que</w:t>
      </w:r>
      <w:r w:rsidR="00EB4387" w:rsidRPr="0033784B">
        <w:rPr>
          <w:rFonts w:ascii="Cambria" w:hAnsi="Cambria"/>
          <w:spacing w:val="-2"/>
          <w:sz w:val="20"/>
          <w:szCs w:val="20"/>
          <w:lang w:val="es-ES"/>
        </w:rPr>
        <w:t>, en caso de ser su voluntad, los señores</w:t>
      </w:r>
      <w:r w:rsidR="00A2379D" w:rsidRPr="0033784B">
        <w:rPr>
          <w:rFonts w:ascii="Cambria" w:hAnsi="Cambria"/>
          <w:spacing w:val="-2"/>
          <w:sz w:val="20"/>
          <w:szCs w:val="20"/>
          <w:lang w:val="es-ES"/>
        </w:rPr>
        <w:t xml:space="preserve"> Del Valle Ambrosio y Domínguez Linares puedan interponer un recurso mediante el cual obtengan una revisión amplia de</w:t>
      </w:r>
      <w:r w:rsidR="00EB4387" w:rsidRPr="0033784B">
        <w:rPr>
          <w:rFonts w:ascii="Cambria" w:hAnsi="Cambria"/>
          <w:spacing w:val="-2"/>
          <w:sz w:val="20"/>
          <w:szCs w:val="20"/>
          <w:lang w:val="es-ES"/>
        </w:rPr>
        <w:t xml:space="preserve"> la sentencia condenatoria, </w:t>
      </w:r>
      <w:r w:rsidR="00A2379D" w:rsidRPr="0033784B">
        <w:rPr>
          <w:rFonts w:ascii="Cambria" w:hAnsi="Cambria"/>
          <w:spacing w:val="-2"/>
          <w:sz w:val="20"/>
          <w:szCs w:val="20"/>
          <w:lang w:val="es-ES"/>
        </w:rPr>
        <w:t xml:space="preserve">en cumplimiento del artículo 8.2 h) de la Convención Americana. </w:t>
      </w:r>
    </w:p>
    <w:p w14:paraId="63948510" w14:textId="77777777" w:rsidR="000F022C" w:rsidRPr="0033784B" w:rsidRDefault="000F022C" w:rsidP="000F022C">
      <w:pPr>
        <w:pStyle w:val="BodyTextIndent3"/>
        <w:pBdr>
          <w:top w:val="none" w:sz="0" w:space="0" w:color="auto"/>
          <w:left w:val="none" w:sz="0" w:space="0" w:color="auto"/>
          <w:bottom w:val="none" w:sz="0" w:space="0" w:color="auto"/>
          <w:right w:val="none" w:sz="0" w:space="0" w:color="auto"/>
          <w:between w:val="none" w:sz="0" w:space="0" w:color="auto"/>
          <w:bar w:val="none" w:sz="0" w:color="auto"/>
        </w:pBdr>
        <w:spacing w:after="0"/>
        <w:ind w:left="720"/>
        <w:jc w:val="both"/>
        <w:rPr>
          <w:rFonts w:ascii="Cambria" w:hAnsi="Cambria"/>
          <w:spacing w:val="-2"/>
          <w:sz w:val="20"/>
          <w:szCs w:val="20"/>
          <w:lang w:val="es-ES"/>
        </w:rPr>
      </w:pPr>
    </w:p>
    <w:p w14:paraId="2B60D224" w14:textId="77777777" w:rsidR="00CF367A" w:rsidRPr="0033784B" w:rsidRDefault="00CF367A" w:rsidP="00CF367A">
      <w:pPr>
        <w:pStyle w:val="BodyTextIndent3"/>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990"/>
          <w:tab w:val="num" w:pos="0"/>
        </w:tabs>
        <w:spacing w:after="0"/>
        <w:ind w:left="0" w:firstLine="720"/>
        <w:jc w:val="both"/>
        <w:rPr>
          <w:rFonts w:ascii="Cambria" w:hAnsi="Cambria"/>
          <w:spacing w:val="-2"/>
          <w:sz w:val="20"/>
          <w:szCs w:val="20"/>
          <w:lang w:val="es-ES"/>
        </w:rPr>
      </w:pPr>
      <w:r w:rsidRPr="0033784B">
        <w:rPr>
          <w:rFonts w:ascii="Cambria" w:hAnsi="Cambria"/>
          <w:spacing w:val="-2"/>
          <w:sz w:val="20"/>
          <w:szCs w:val="20"/>
          <w:lang w:val="es-ES"/>
        </w:rPr>
        <w:lastRenderedPageBreak/>
        <w:t>Reparar integralmente las violaciones declaradas en el presente informe, incluyendo el daño material e inmaterial.</w:t>
      </w:r>
    </w:p>
    <w:p w14:paraId="5B954DC0" w14:textId="77777777" w:rsidR="00CF367A" w:rsidRPr="0033784B" w:rsidRDefault="00CF367A" w:rsidP="00CF367A">
      <w:pPr>
        <w:pStyle w:val="BodyTextIndent3"/>
        <w:pBdr>
          <w:top w:val="none" w:sz="0" w:space="0" w:color="auto"/>
          <w:left w:val="none" w:sz="0" w:space="0" w:color="auto"/>
          <w:bottom w:val="none" w:sz="0" w:space="0" w:color="auto"/>
          <w:right w:val="none" w:sz="0" w:space="0" w:color="auto"/>
          <w:between w:val="none" w:sz="0" w:space="0" w:color="auto"/>
          <w:bar w:val="none" w:sz="0" w:color="auto"/>
        </w:pBdr>
        <w:spacing w:after="0"/>
        <w:ind w:left="0"/>
        <w:jc w:val="both"/>
        <w:rPr>
          <w:rFonts w:ascii="Cambria" w:hAnsi="Cambria"/>
          <w:spacing w:val="-2"/>
          <w:sz w:val="20"/>
          <w:szCs w:val="20"/>
          <w:lang w:val="es-ES"/>
        </w:rPr>
      </w:pPr>
    </w:p>
    <w:p w14:paraId="53C1B105" w14:textId="21349CF2" w:rsidR="000F022C" w:rsidRPr="0033784B" w:rsidRDefault="000F022C" w:rsidP="00CF367A">
      <w:pPr>
        <w:pStyle w:val="BodyTextIndent3"/>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990"/>
          <w:tab w:val="num" w:pos="0"/>
        </w:tabs>
        <w:spacing w:after="0"/>
        <w:ind w:left="0" w:firstLine="720"/>
        <w:jc w:val="both"/>
        <w:rPr>
          <w:rFonts w:ascii="Cambria" w:hAnsi="Cambria"/>
          <w:spacing w:val="-2"/>
          <w:sz w:val="20"/>
          <w:szCs w:val="20"/>
          <w:lang w:val="es-ES"/>
        </w:rPr>
      </w:pPr>
      <w:r w:rsidRPr="0033784B">
        <w:rPr>
          <w:rFonts w:ascii="Cambria" w:hAnsi="Cambria"/>
          <w:spacing w:val="-2"/>
          <w:sz w:val="20"/>
          <w:szCs w:val="20"/>
          <w:lang w:val="es-ES"/>
        </w:rPr>
        <w:t>Disponer las medidas legislativas</w:t>
      </w:r>
      <w:r w:rsidR="00CF367A" w:rsidRPr="0033784B">
        <w:rPr>
          <w:rFonts w:ascii="Cambria" w:hAnsi="Cambria"/>
          <w:spacing w:val="-2"/>
          <w:sz w:val="20"/>
          <w:szCs w:val="20"/>
          <w:lang w:val="es-ES"/>
        </w:rPr>
        <w:t xml:space="preserve"> necesarias para adecuar la legislación interna relativa al recurso de casación a los estándares establecidos en el presente informe sobre el derecho </w:t>
      </w:r>
      <w:r w:rsidRPr="0033784B">
        <w:rPr>
          <w:rFonts w:ascii="Cambria" w:hAnsi="Cambria"/>
          <w:spacing w:val="-2"/>
          <w:sz w:val="20"/>
          <w:szCs w:val="20"/>
          <w:lang w:val="es-ES"/>
        </w:rPr>
        <w:t>consagrado en el artículo 8.2 h) de la Convención Americana.</w:t>
      </w:r>
      <w:r w:rsidR="009375E4" w:rsidRPr="0033784B">
        <w:rPr>
          <w:rFonts w:ascii="Cambria" w:hAnsi="Cambria"/>
          <w:spacing w:val="-2"/>
          <w:sz w:val="20"/>
          <w:szCs w:val="20"/>
          <w:lang w:val="es-ES"/>
        </w:rPr>
        <w:t xml:space="preserve"> Asimismo, </w:t>
      </w:r>
      <w:r w:rsidR="00DE6CF0" w:rsidRPr="0033784B">
        <w:rPr>
          <w:rFonts w:ascii="Cambria" w:hAnsi="Cambria"/>
          <w:spacing w:val="-2"/>
          <w:sz w:val="20"/>
          <w:szCs w:val="20"/>
          <w:lang w:val="es-ES"/>
        </w:rPr>
        <w:t xml:space="preserve">y de manera independiente a la adecuación normativa, </w:t>
      </w:r>
      <w:r w:rsidR="009375E4" w:rsidRPr="0033784B">
        <w:rPr>
          <w:rFonts w:ascii="Cambria" w:hAnsi="Cambria"/>
          <w:spacing w:val="-2"/>
          <w:sz w:val="20"/>
          <w:szCs w:val="20"/>
          <w:lang w:val="es-ES"/>
        </w:rPr>
        <w:t xml:space="preserve">asegurar que </w:t>
      </w:r>
      <w:r w:rsidR="00DE6CF0" w:rsidRPr="0033784B">
        <w:rPr>
          <w:rFonts w:ascii="Cambria" w:hAnsi="Cambria"/>
          <w:spacing w:val="-2"/>
          <w:sz w:val="20"/>
          <w:szCs w:val="20"/>
          <w:lang w:val="es-ES"/>
        </w:rPr>
        <w:t xml:space="preserve">las autoridades judiciales ejerzan un control de convencionalidad al momento de resolver los recursos  contra sentencias condenatorias, de forma consistente con los estándares establecidos en el presente informe. </w:t>
      </w:r>
    </w:p>
    <w:p w14:paraId="225A0772" w14:textId="77777777" w:rsidR="00114BB6" w:rsidRPr="0043576B" w:rsidRDefault="00114BB6" w:rsidP="00114BB6">
      <w:pPr>
        <w:tabs>
          <w:tab w:val="num" w:pos="0"/>
        </w:tabs>
        <w:ind w:firstLine="720"/>
        <w:jc w:val="both"/>
        <w:rPr>
          <w:rFonts w:ascii="Cambria" w:hAnsi="Cambria"/>
          <w:spacing w:val="-2"/>
          <w:sz w:val="20"/>
          <w:szCs w:val="20"/>
          <w:lang w:val="es-CO"/>
        </w:rPr>
      </w:pPr>
    </w:p>
    <w:p w14:paraId="3DBE3568" w14:textId="1E68503A" w:rsidR="00FB51B8" w:rsidRPr="00A37B82" w:rsidRDefault="00FB51B8" w:rsidP="00FB51B8">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Aprobado por la Comisión Interamericana de Derechos Humanos</w:t>
      </w:r>
      <w:r w:rsidRPr="00A37B82">
        <w:rPr>
          <w:rFonts w:asciiTheme="majorHAnsi" w:hAnsiTheme="majorHAnsi" w:cs="Arial"/>
          <w:noProof/>
          <w:spacing w:val="-2"/>
          <w:sz w:val="20"/>
          <w:szCs w:val="20"/>
          <w:lang w:val="es-CL"/>
        </w:rPr>
        <w:t xml:space="preserve"> en la ciudad de </w:t>
      </w:r>
      <w:r>
        <w:rPr>
          <w:rFonts w:asciiTheme="majorHAnsi" w:hAnsiTheme="majorHAnsi" w:cs="Arial"/>
          <w:noProof/>
          <w:spacing w:val="-2"/>
          <w:sz w:val="20"/>
          <w:szCs w:val="20"/>
          <w:lang w:val="es-CL"/>
        </w:rPr>
        <w:t>México, México, a los cinco</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septiembre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2017</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Francisco José Eguiguren, 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Margarette May Macaulay, Primera Vicepresidenta</w:t>
      </w:r>
      <w:r w:rsidRPr="00A37B82">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Segunda Vicepresidenta; José de Jesús Orozco Henríquez, Paulo Vannuchi,</w:t>
      </w:r>
      <w:r w:rsidRPr="00A37B82">
        <w:rPr>
          <w:rFonts w:asciiTheme="majorHAnsi" w:hAnsiTheme="majorHAnsi" w:cs="Arial"/>
          <w:noProof/>
          <w:spacing w:val="-2"/>
          <w:sz w:val="20"/>
          <w:szCs w:val="20"/>
          <w:lang w:val="es-CL"/>
        </w:rPr>
        <w:t xml:space="preserve"> James L. Cavallaro</w:t>
      </w:r>
      <w:r>
        <w:rPr>
          <w:rFonts w:asciiTheme="majorHAnsi" w:hAnsiTheme="majorHAnsi" w:cs="Arial"/>
          <w:noProof/>
          <w:spacing w:val="-2"/>
          <w:sz w:val="20"/>
          <w:szCs w:val="20"/>
          <w:lang w:val="es-CL"/>
        </w:rPr>
        <w:t xml:space="preserve">, y Luis Ernesto Vargas Silva,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45139B31" w14:textId="77777777" w:rsidR="00FB51B8" w:rsidRPr="00A37B82" w:rsidRDefault="00FB51B8" w:rsidP="00FB51B8">
      <w:pPr>
        <w:suppressAutoHyphens/>
        <w:ind w:firstLine="720"/>
        <w:jc w:val="both"/>
        <w:rPr>
          <w:rFonts w:asciiTheme="majorHAnsi" w:hAnsiTheme="majorHAnsi" w:cs="Arial"/>
          <w:noProof/>
          <w:spacing w:val="-2"/>
          <w:sz w:val="20"/>
          <w:szCs w:val="20"/>
          <w:lang w:val="es-CL"/>
        </w:rPr>
      </w:pPr>
    </w:p>
    <w:p w14:paraId="1C357A6C" w14:textId="107EE0E4" w:rsidR="00FB51B8" w:rsidRPr="00A37B82" w:rsidRDefault="00FB51B8" w:rsidP="00FB51B8">
      <w:pPr>
        <w:ind w:firstLine="720"/>
        <w:jc w:val="both"/>
        <w:rPr>
          <w:rFonts w:asciiTheme="majorHAnsi" w:hAnsiTheme="majorHAnsi" w:cs="Arial"/>
          <w:noProof/>
          <w:sz w:val="20"/>
          <w:szCs w:val="20"/>
          <w:lang w:val="es-CL"/>
        </w:rPr>
      </w:pPr>
      <w:r>
        <w:rPr>
          <w:rFonts w:asciiTheme="majorHAnsi" w:hAnsiTheme="majorHAnsi" w:cs="Arial"/>
          <w:noProof/>
          <w:sz w:val="20"/>
          <w:szCs w:val="20"/>
          <w:lang w:val="es-CL"/>
        </w:rPr>
        <w:t>La</w:t>
      </w:r>
      <w:r w:rsidRPr="00A37B82">
        <w:rPr>
          <w:rFonts w:asciiTheme="majorHAnsi" w:hAnsiTheme="majorHAnsi" w:cs="Arial"/>
          <w:noProof/>
          <w:sz w:val="20"/>
          <w:szCs w:val="20"/>
          <w:lang w:val="es-CL"/>
        </w:rPr>
        <w:t xml:space="preserve"> que suscribe, </w:t>
      </w:r>
      <w:r w:rsidR="00DA5B7A">
        <w:rPr>
          <w:rFonts w:asciiTheme="majorHAnsi" w:hAnsiTheme="majorHAnsi"/>
          <w:spacing w:val="-2"/>
          <w:sz w:val="20"/>
          <w:szCs w:val="20"/>
          <w:lang w:val="es-SV"/>
        </w:rPr>
        <w:t>María Claudia Pulido</w:t>
      </w:r>
      <w:r>
        <w:rPr>
          <w:rFonts w:asciiTheme="majorHAnsi" w:hAnsiTheme="majorHAnsi" w:cs="Arial"/>
          <w:noProof/>
          <w:sz w:val="20"/>
          <w:szCs w:val="20"/>
          <w:lang w:val="es-CL"/>
        </w:rPr>
        <w:t>, en su carácter de Secretaria Ejecutiva Adjunta</w:t>
      </w:r>
      <w:r w:rsidRPr="00A37B82">
        <w:rPr>
          <w:rFonts w:asciiTheme="majorHAnsi" w:hAnsiTheme="majorHAnsi" w:cs="Arial"/>
          <w:noProof/>
          <w:sz w:val="20"/>
          <w:szCs w:val="20"/>
          <w:lang w:val="es-CL"/>
        </w:rPr>
        <w:t xml:space="preserve"> de la Comisión Interamericana de Derechos Humanos, de conformidad con el artículo 49 del Reglamento de la Comisión, certifica que es copia fiel del original depositado en los archivos de la Secretaría de la CIDH.</w:t>
      </w:r>
    </w:p>
    <w:p w14:paraId="4AA64FFC" w14:textId="77777777" w:rsidR="00FB51B8" w:rsidRPr="00A37B82" w:rsidRDefault="00FB51B8" w:rsidP="00FB51B8">
      <w:pPr>
        <w:suppressAutoHyphens/>
        <w:jc w:val="both"/>
        <w:rPr>
          <w:rFonts w:asciiTheme="majorHAnsi" w:hAnsiTheme="majorHAnsi" w:cs="Arial"/>
          <w:noProof/>
          <w:spacing w:val="-2"/>
          <w:sz w:val="20"/>
          <w:szCs w:val="20"/>
          <w:lang w:val="es-CL"/>
        </w:rPr>
      </w:pPr>
    </w:p>
    <w:p w14:paraId="69574CB6" w14:textId="77777777" w:rsidR="00FB51B8" w:rsidRDefault="00FB51B8" w:rsidP="00FB51B8">
      <w:pPr>
        <w:ind w:left="720" w:hanging="720"/>
        <w:jc w:val="center"/>
        <w:rPr>
          <w:rFonts w:asciiTheme="majorHAnsi" w:hAnsiTheme="majorHAnsi" w:cs="Arial"/>
          <w:sz w:val="20"/>
          <w:szCs w:val="20"/>
          <w:lang w:val="es-SV"/>
        </w:rPr>
      </w:pPr>
    </w:p>
    <w:p w14:paraId="6F111D60" w14:textId="77777777" w:rsidR="00FB51B8" w:rsidRDefault="00FB51B8" w:rsidP="00FB51B8">
      <w:pPr>
        <w:ind w:left="720" w:hanging="720"/>
        <w:jc w:val="center"/>
        <w:rPr>
          <w:rFonts w:asciiTheme="majorHAnsi" w:hAnsiTheme="majorHAnsi" w:cs="Arial"/>
          <w:sz w:val="20"/>
          <w:szCs w:val="20"/>
          <w:lang w:val="es-SV"/>
        </w:rPr>
      </w:pPr>
    </w:p>
    <w:p w14:paraId="7EA0D239" w14:textId="77777777" w:rsidR="00FB51B8" w:rsidRDefault="00FB51B8" w:rsidP="00FB51B8">
      <w:pPr>
        <w:ind w:left="720" w:hanging="720"/>
        <w:jc w:val="center"/>
        <w:rPr>
          <w:rFonts w:asciiTheme="majorHAnsi" w:hAnsiTheme="majorHAnsi" w:cs="Arial"/>
          <w:sz w:val="20"/>
          <w:szCs w:val="20"/>
          <w:lang w:val="es-SV"/>
        </w:rPr>
      </w:pPr>
    </w:p>
    <w:p w14:paraId="7AADD98D" w14:textId="77777777" w:rsidR="00FB51B8" w:rsidRDefault="00FB51B8" w:rsidP="00FB51B8">
      <w:pPr>
        <w:ind w:left="720" w:hanging="720"/>
        <w:jc w:val="center"/>
        <w:rPr>
          <w:rFonts w:asciiTheme="majorHAnsi" w:hAnsiTheme="majorHAnsi" w:cs="Arial"/>
          <w:sz w:val="20"/>
          <w:szCs w:val="20"/>
          <w:lang w:val="es-SV"/>
        </w:rPr>
      </w:pPr>
    </w:p>
    <w:p w14:paraId="7A7FF85F" w14:textId="77777777" w:rsidR="00FB51B8" w:rsidRPr="00A37B82" w:rsidRDefault="00FB51B8" w:rsidP="00FB51B8">
      <w:pPr>
        <w:ind w:left="720" w:hanging="720"/>
        <w:jc w:val="center"/>
        <w:rPr>
          <w:rFonts w:asciiTheme="majorHAnsi" w:hAnsiTheme="majorHAnsi" w:cs="Arial"/>
          <w:sz w:val="20"/>
          <w:szCs w:val="20"/>
          <w:lang w:val="es-SV"/>
        </w:rPr>
      </w:pPr>
    </w:p>
    <w:p w14:paraId="5526DDF9" w14:textId="758E1DC5" w:rsidR="00FB51B8" w:rsidRPr="00A37B82" w:rsidRDefault="00DA5B7A" w:rsidP="00FB51B8">
      <w:pPr>
        <w:suppressAutoHyphens/>
        <w:jc w:val="center"/>
        <w:rPr>
          <w:rFonts w:asciiTheme="majorHAnsi" w:hAnsiTheme="majorHAnsi"/>
          <w:spacing w:val="-2"/>
          <w:sz w:val="20"/>
          <w:szCs w:val="20"/>
          <w:lang w:val="es-SV"/>
        </w:rPr>
      </w:pPr>
      <w:r>
        <w:rPr>
          <w:rFonts w:asciiTheme="majorHAnsi" w:hAnsiTheme="majorHAnsi"/>
          <w:spacing w:val="-2"/>
          <w:sz w:val="20"/>
          <w:szCs w:val="20"/>
          <w:lang w:val="es-SV"/>
        </w:rPr>
        <w:t>María Claudia Pulido</w:t>
      </w:r>
      <w:bookmarkStart w:id="19" w:name="_GoBack"/>
      <w:bookmarkEnd w:id="19"/>
    </w:p>
    <w:p w14:paraId="4F1E7CF6" w14:textId="4602A8C3" w:rsidR="00FB51B8" w:rsidRPr="00A37B82" w:rsidRDefault="00FB51B8" w:rsidP="00FB51B8">
      <w:pPr>
        <w:ind w:left="720" w:hanging="720"/>
        <w:jc w:val="center"/>
        <w:rPr>
          <w:rFonts w:asciiTheme="majorHAnsi" w:hAnsiTheme="majorHAnsi" w:cs="Arial"/>
          <w:noProof/>
          <w:spacing w:val="-2"/>
          <w:sz w:val="20"/>
          <w:szCs w:val="20"/>
          <w:lang w:val="es-CL"/>
        </w:rPr>
      </w:pPr>
      <w:r w:rsidRPr="00A37B82">
        <w:rPr>
          <w:rFonts w:asciiTheme="majorHAnsi" w:hAnsiTheme="majorHAnsi"/>
          <w:spacing w:val="-2"/>
          <w:sz w:val="20"/>
          <w:szCs w:val="20"/>
          <w:lang w:val="es-SV"/>
        </w:rPr>
        <w:t>Secretari</w:t>
      </w:r>
      <w:r>
        <w:rPr>
          <w:rFonts w:asciiTheme="majorHAnsi" w:hAnsiTheme="majorHAnsi"/>
          <w:spacing w:val="-2"/>
          <w:sz w:val="20"/>
          <w:szCs w:val="20"/>
          <w:lang w:val="es-SV"/>
        </w:rPr>
        <w:t>a Ejecutiva Adjunta</w:t>
      </w:r>
    </w:p>
    <w:p w14:paraId="72DC6B31" w14:textId="77777777" w:rsidR="002B3CB4" w:rsidRPr="0043576B" w:rsidRDefault="002B3CB4" w:rsidP="002B3CB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jc w:val="both"/>
        <w:rPr>
          <w:rFonts w:ascii="Cambria" w:hAnsi="Cambria"/>
          <w:bCs/>
          <w:sz w:val="20"/>
          <w:szCs w:val="20"/>
          <w:lang w:val="es-CO"/>
        </w:rPr>
      </w:pPr>
    </w:p>
    <w:p w14:paraId="0D091B48" w14:textId="77777777" w:rsidR="0048487A" w:rsidRPr="0043576B" w:rsidRDefault="0048487A" w:rsidP="00F336B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jc w:val="both"/>
        <w:rPr>
          <w:rFonts w:ascii="Cambria" w:hAnsi="Cambria"/>
          <w:spacing w:val="-2"/>
          <w:sz w:val="20"/>
          <w:szCs w:val="20"/>
          <w:lang w:val="es-ES_tradnl"/>
        </w:rPr>
      </w:pPr>
    </w:p>
    <w:p w14:paraId="316862F6" w14:textId="77777777" w:rsidR="000F6559" w:rsidRPr="0043576B" w:rsidRDefault="000F6559" w:rsidP="006A7CF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jc w:val="both"/>
        <w:rPr>
          <w:rFonts w:ascii="Cambria" w:hAnsi="Cambria"/>
          <w:spacing w:val="-2"/>
          <w:sz w:val="20"/>
          <w:szCs w:val="20"/>
          <w:lang w:val="es-ES_tradnl"/>
        </w:rPr>
      </w:pPr>
    </w:p>
    <w:p w14:paraId="0CA94DFD" w14:textId="77777777" w:rsidR="0048487A" w:rsidRPr="0043576B" w:rsidRDefault="0048487A" w:rsidP="006A7CFD">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jc w:val="both"/>
        <w:rPr>
          <w:spacing w:val="-2"/>
          <w:sz w:val="20"/>
          <w:szCs w:val="20"/>
          <w:lang w:val="es-ES_tradnl"/>
        </w:rPr>
      </w:pPr>
    </w:p>
    <w:sectPr w:rsidR="0048487A" w:rsidRPr="0043576B"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5ED0E" w14:textId="77777777" w:rsidR="005F2FA3" w:rsidRDefault="005F2FA3">
      <w:r>
        <w:separator/>
      </w:r>
    </w:p>
  </w:endnote>
  <w:endnote w:type="continuationSeparator" w:id="0">
    <w:p w14:paraId="46C5FFC3" w14:textId="77777777" w:rsidR="005F2FA3" w:rsidRDefault="005F2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Roman">
    <w:altName w:val="Times"/>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14:paraId="0A7C793E" w14:textId="77777777" w:rsidR="009379E4" w:rsidRPr="00934A2C" w:rsidRDefault="009379E4">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A5B7A">
          <w:rPr>
            <w:noProof/>
            <w:sz w:val="16"/>
            <w:szCs w:val="22"/>
          </w:rPr>
          <w:t>18</w:t>
        </w:r>
        <w:r w:rsidRPr="00934A2C">
          <w:rPr>
            <w:noProof/>
            <w:sz w:val="16"/>
            <w:szCs w:val="22"/>
          </w:rPr>
          <w:fldChar w:fldCharType="end"/>
        </w:r>
      </w:p>
    </w:sdtContent>
  </w:sdt>
  <w:p w14:paraId="6443FC37" w14:textId="77777777" w:rsidR="009379E4" w:rsidRDefault="009379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A386E" w14:textId="77777777" w:rsidR="009379E4" w:rsidRPr="00934A2C" w:rsidRDefault="009379E4">
    <w:pPr>
      <w:pStyle w:val="Footer"/>
      <w:jc w:val="center"/>
      <w:rPr>
        <w:sz w:val="16"/>
        <w:szCs w:val="22"/>
      </w:rPr>
    </w:pPr>
  </w:p>
  <w:p w14:paraId="4003838A" w14:textId="77777777" w:rsidR="009379E4" w:rsidRDefault="009379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3AFA2" w14:textId="77777777" w:rsidR="005F2FA3" w:rsidRPr="000F35ED" w:rsidRDefault="005F2FA3">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2AB9B0A" w14:textId="77777777" w:rsidR="005F2FA3" w:rsidRPr="000F35ED" w:rsidRDefault="005F2FA3" w:rsidP="000F35ED">
      <w:pPr>
        <w:rPr>
          <w:rFonts w:asciiTheme="majorHAnsi" w:hAnsiTheme="majorHAnsi"/>
          <w:sz w:val="16"/>
          <w:szCs w:val="16"/>
        </w:rPr>
      </w:pPr>
      <w:r w:rsidRPr="000F35ED">
        <w:rPr>
          <w:rFonts w:asciiTheme="majorHAnsi" w:hAnsiTheme="majorHAnsi"/>
          <w:sz w:val="16"/>
          <w:szCs w:val="16"/>
        </w:rPr>
        <w:separator/>
      </w:r>
    </w:p>
    <w:p w14:paraId="7C678D92" w14:textId="77777777" w:rsidR="005F2FA3" w:rsidRPr="000F35ED" w:rsidRDefault="005F2FA3"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7521AA34" w14:textId="77777777" w:rsidR="005F2FA3" w:rsidRPr="000F35ED" w:rsidRDefault="005F2FA3"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5A11806F" w14:textId="77777777" w:rsidR="009379E4" w:rsidRPr="00463527" w:rsidRDefault="009379E4" w:rsidP="00445A10">
      <w:pPr>
        <w:pStyle w:val="FootnoteText"/>
        <w:spacing w:after="120"/>
        <w:ind w:firstLine="720"/>
        <w:jc w:val="both"/>
        <w:rPr>
          <w:rFonts w:ascii="Cambria" w:hAnsi="Cambria"/>
          <w:sz w:val="16"/>
          <w:szCs w:val="16"/>
          <w:lang w:val="es-MX"/>
        </w:rPr>
      </w:pPr>
      <w:r w:rsidRPr="00463527">
        <w:rPr>
          <w:rStyle w:val="FootnoteReference"/>
          <w:rFonts w:ascii="Cambria" w:hAnsi="Cambria"/>
          <w:sz w:val="16"/>
          <w:szCs w:val="16"/>
        </w:rPr>
        <w:footnoteRef/>
      </w:r>
      <w:r w:rsidRPr="00463527">
        <w:rPr>
          <w:rFonts w:ascii="Cambria" w:hAnsi="Cambria"/>
          <w:sz w:val="16"/>
          <w:szCs w:val="16"/>
          <w:lang w:val="es-MX"/>
        </w:rPr>
        <w:t>Ambas peticiones fueron presentadas por el abogado Ramiro Hernán Rúa.</w:t>
      </w:r>
    </w:p>
  </w:footnote>
  <w:footnote w:id="3">
    <w:p w14:paraId="6C78F5DE" w14:textId="77777777" w:rsidR="009379E4" w:rsidRPr="00463527" w:rsidRDefault="009379E4" w:rsidP="00445A10">
      <w:pPr>
        <w:pStyle w:val="FootnoteText"/>
        <w:spacing w:after="120"/>
        <w:ind w:firstLine="720"/>
        <w:rPr>
          <w:rFonts w:ascii="Cambria" w:hAnsi="Cambria"/>
          <w:sz w:val="16"/>
          <w:szCs w:val="16"/>
          <w:lang w:val="es-MX"/>
        </w:rPr>
      </w:pPr>
      <w:r w:rsidRPr="00463527">
        <w:rPr>
          <w:rStyle w:val="FootnoteReference"/>
          <w:rFonts w:ascii="Cambria" w:hAnsi="Cambria"/>
          <w:sz w:val="16"/>
          <w:szCs w:val="16"/>
        </w:rPr>
        <w:footnoteRef/>
      </w:r>
      <w:r w:rsidRPr="00463527">
        <w:rPr>
          <w:rFonts w:ascii="Cambria" w:hAnsi="Cambria"/>
          <w:sz w:val="16"/>
          <w:szCs w:val="16"/>
          <w:lang w:val="es-MX"/>
        </w:rPr>
        <w:t xml:space="preserve"> CIDH, </w:t>
      </w:r>
      <w:r w:rsidR="00DA5B7A">
        <w:fldChar w:fldCharType="begin"/>
      </w:r>
      <w:r w:rsidR="00DA5B7A" w:rsidRPr="00DA5B7A">
        <w:rPr>
          <w:lang w:val="es-PE"/>
        </w:rPr>
        <w:instrText xml:space="preserve"> HYPERLINK "http://www.oas.org/es/cidh/decisiones/2013/ARAD828-01ES.doc" </w:instrText>
      </w:r>
      <w:r w:rsidR="00DA5B7A">
        <w:fldChar w:fldCharType="separate"/>
      </w:r>
      <w:r w:rsidRPr="00463527">
        <w:rPr>
          <w:rStyle w:val="Hyperlink"/>
          <w:rFonts w:ascii="Cambria" w:hAnsi="Cambria" w:cstheme="minorBidi"/>
          <w:sz w:val="16"/>
          <w:szCs w:val="16"/>
          <w:lang w:val="es-MX"/>
        </w:rPr>
        <w:t>Informe No. 35/13</w:t>
      </w:r>
      <w:r w:rsidR="00DA5B7A">
        <w:rPr>
          <w:rStyle w:val="Hyperlink"/>
          <w:rFonts w:ascii="Cambria" w:hAnsi="Cambria" w:cstheme="minorBidi"/>
          <w:sz w:val="16"/>
          <w:szCs w:val="16"/>
          <w:lang w:val="es-MX"/>
        </w:rPr>
        <w:fldChar w:fldCharType="end"/>
      </w:r>
      <w:r w:rsidRPr="00463527">
        <w:rPr>
          <w:rFonts w:ascii="Cambria" w:hAnsi="Cambria"/>
          <w:sz w:val="16"/>
          <w:szCs w:val="16"/>
          <w:lang w:val="es-MX"/>
        </w:rPr>
        <w:t xml:space="preserve">, Petición 828-01, Admisibilidad. </w:t>
      </w:r>
      <w:r w:rsidRPr="00463527">
        <w:rPr>
          <w:rFonts w:ascii="Cambria" w:hAnsi="Cambria"/>
          <w:i/>
          <w:sz w:val="16"/>
          <w:szCs w:val="16"/>
          <w:lang w:val="es-MX"/>
        </w:rPr>
        <w:t>Marcelo Darío Posadas y otros,</w:t>
      </w:r>
      <w:r w:rsidRPr="00463527">
        <w:rPr>
          <w:rFonts w:ascii="Cambria" w:hAnsi="Cambria"/>
          <w:sz w:val="16"/>
          <w:szCs w:val="16"/>
          <w:lang w:val="es-MX"/>
        </w:rPr>
        <w:t xml:space="preserve"> 11 de julio de 2013.  </w:t>
      </w:r>
    </w:p>
  </w:footnote>
  <w:footnote w:id="4">
    <w:p w14:paraId="777D33CA" w14:textId="5556F232" w:rsidR="009379E4" w:rsidRPr="00463527" w:rsidRDefault="009379E4" w:rsidP="00445A10">
      <w:pPr>
        <w:pStyle w:val="FootnoteText"/>
        <w:spacing w:after="120"/>
        <w:ind w:firstLine="720"/>
        <w:jc w:val="both"/>
        <w:rPr>
          <w:rFonts w:ascii="Cambria" w:hAnsi="Cambria"/>
          <w:sz w:val="16"/>
          <w:szCs w:val="16"/>
          <w:lang w:val="es-ES"/>
        </w:rPr>
      </w:pPr>
      <w:r w:rsidRPr="00463527">
        <w:rPr>
          <w:rStyle w:val="FootnoteReference"/>
          <w:rFonts w:ascii="Cambria" w:hAnsi="Cambria"/>
          <w:sz w:val="16"/>
          <w:szCs w:val="16"/>
        </w:rPr>
        <w:footnoteRef/>
      </w:r>
      <w:r w:rsidRPr="00463527">
        <w:rPr>
          <w:rFonts w:ascii="Cambria" w:hAnsi="Cambria"/>
          <w:sz w:val="16"/>
          <w:szCs w:val="16"/>
          <w:lang w:val="es-MX"/>
        </w:rPr>
        <w:t xml:space="preserve"> La parte peticionaria indicó que e</w:t>
      </w:r>
      <w:r w:rsidRPr="00463527">
        <w:rPr>
          <w:rFonts w:ascii="Cambria" w:hAnsi="Cambria" w:cstheme="majorHAnsi"/>
          <w:sz w:val="16"/>
          <w:szCs w:val="16"/>
          <w:lang w:val="es-AR"/>
        </w:rPr>
        <w:t xml:space="preserve">n la etapa de admisibilidad los peticionarios intentaron llegar a una solución amistosa con el Estado en el marco de la cual se reconoció la violación a la Convención Americana, pero no se avanzó en las modificaciones legislativas y el resarcimiento. </w:t>
      </w:r>
    </w:p>
  </w:footnote>
  <w:footnote w:id="5">
    <w:p w14:paraId="16981BA5" w14:textId="77777777" w:rsidR="009379E4" w:rsidRPr="00463527" w:rsidRDefault="009379E4" w:rsidP="00445A10">
      <w:pPr>
        <w:pStyle w:val="FootnoteText"/>
        <w:spacing w:after="120"/>
        <w:ind w:firstLine="720"/>
        <w:jc w:val="both"/>
        <w:rPr>
          <w:rFonts w:ascii="Cambria" w:hAnsi="Cambria"/>
          <w:sz w:val="16"/>
          <w:szCs w:val="16"/>
          <w:lang w:val="es-AR"/>
        </w:rPr>
      </w:pPr>
      <w:r w:rsidRPr="00463527">
        <w:rPr>
          <w:rStyle w:val="FootnoteReference"/>
          <w:rFonts w:ascii="Cambria" w:hAnsi="Cambria"/>
          <w:sz w:val="16"/>
          <w:szCs w:val="16"/>
        </w:rPr>
        <w:footnoteRef/>
      </w:r>
      <w:r w:rsidRPr="00463527">
        <w:rPr>
          <w:rFonts w:ascii="Cambria" w:hAnsi="Cambria"/>
          <w:sz w:val="16"/>
          <w:szCs w:val="16"/>
          <w:lang w:val="es-AR"/>
        </w:rPr>
        <w:t xml:space="preserve"> Anexo. Requerimiento de elevación a juicio de fecha 20 de diciembre de 1996. Anexo a las peticiones iniciales</w:t>
      </w:r>
      <w:r w:rsidRPr="00463527">
        <w:rPr>
          <w:rFonts w:ascii="Cambria" w:hAnsi="Cambria" w:cstheme="majorHAnsi"/>
          <w:sz w:val="16"/>
          <w:szCs w:val="16"/>
          <w:lang w:val="es-ES"/>
        </w:rPr>
        <w:t xml:space="preserve">. </w:t>
      </w:r>
    </w:p>
  </w:footnote>
  <w:footnote w:id="6">
    <w:p w14:paraId="6469560A" w14:textId="03965497" w:rsidR="009379E4" w:rsidRPr="00463527" w:rsidRDefault="009379E4" w:rsidP="00445A10">
      <w:pPr>
        <w:pStyle w:val="FootnoteText"/>
        <w:spacing w:after="120"/>
        <w:ind w:firstLine="720"/>
        <w:jc w:val="both"/>
        <w:rPr>
          <w:rFonts w:ascii="Cambria" w:hAnsi="Cambria"/>
          <w:sz w:val="16"/>
          <w:szCs w:val="16"/>
          <w:lang w:val="es-AR"/>
        </w:rPr>
      </w:pPr>
      <w:r w:rsidRPr="00463527">
        <w:rPr>
          <w:rStyle w:val="FootnoteReference"/>
          <w:rFonts w:ascii="Cambria" w:hAnsi="Cambria"/>
          <w:sz w:val="16"/>
          <w:szCs w:val="16"/>
        </w:rPr>
        <w:footnoteRef/>
      </w:r>
      <w:r w:rsidRPr="00463527">
        <w:rPr>
          <w:rFonts w:ascii="Cambria" w:hAnsi="Cambria"/>
          <w:sz w:val="16"/>
          <w:szCs w:val="16"/>
          <w:lang w:val="es-AR"/>
        </w:rPr>
        <w:t xml:space="preserve"> Anexo. Cámara Novena del Crimen de Córdoba, Sentencia Nro. 47, fecha 23 de diciembre de 1997, folio 250vta. </w:t>
      </w:r>
      <w:proofErr w:type="spellStart"/>
      <w:r w:rsidRPr="00463527">
        <w:rPr>
          <w:rFonts w:ascii="Cambria" w:hAnsi="Cambria"/>
          <w:sz w:val="16"/>
          <w:szCs w:val="16"/>
          <w:lang w:val="es-AR"/>
        </w:rPr>
        <w:t>pto</w:t>
      </w:r>
      <w:proofErr w:type="spellEnd"/>
      <w:r w:rsidRPr="00463527">
        <w:rPr>
          <w:rFonts w:ascii="Cambria" w:hAnsi="Cambria"/>
          <w:sz w:val="16"/>
          <w:szCs w:val="16"/>
          <w:lang w:val="es-AR"/>
        </w:rPr>
        <w:t>. XIII. Anexo a la petición inicial del señor Julio Cesar Ramón del Valle Ambrosio.</w:t>
      </w:r>
    </w:p>
  </w:footnote>
  <w:footnote w:id="7">
    <w:p w14:paraId="174D6741" w14:textId="673990C9" w:rsidR="009379E4" w:rsidRPr="00463527" w:rsidRDefault="009379E4" w:rsidP="00445A10">
      <w:pPr>
        <w:pStyle w:val="FootnoteText"/>
        <w:spacing w:after="120"/>
        <w:ind w:firstLine="720"/>
        <w:rPr>
          <w:rFonts w:ascii="Cambria" w:hAnsi="Cambria"/>
          <w:sz w:val="16"/>
          <w:szCs w:val="16"/>
          <w:lang w:val="es-AR"/>
        </w:rPr>
      </w:pPr>
      <w:r w:rsidRPr="00463527">
        <w:rPr>
          <w:rStyle w:val="FootnoteReference"/>
          <w:rFonts w:ascii="Cambria" w:hAnsi="Cambria"/>
          <w:sz w:val="16"/>
          <w:szCs w:val="16"/>
        </w:rPr>
        <w:footnoteRef/>
      </w:r>
      <w:r w:rsidRPr="00463527">
        <w:rPr>
          <w:rFonts w:ascii="Cambria" w:hAnsi="Cambria"/>
          <w:sz w:val="16"/>
          <w:szCs w:val="16"/>
          <w:lang w:val="es-AR"/>
        </w:rPr>
        <w:t xml:space="preserve"> Recurso de Casación presentado en favor de Carlos Eduardo Domínguez Linares, folio 82, anexo a la petición inicial de Carlos Eduardo Domínguez Linares.</w:t>
      </w:r>
    </w:p>
  </w:footnote>
  <w:footnote w:id="8">
    <w:p w14:paraId="0F7EDA12" w14:textId="77777777" w:rsidR="009379E4" w:rsidRPr="00463527" w:rsidRDefault="009379E4" w:rsidP="00445A10">
      <w:pPr>
        <w:pStyle w:val="FootnoteText"/>
        <w:spacing w:after="120"/>
        <w:ind w:firstLine="720"/>
        <w:jc w:val="both"/>
        <w:rPr>
          <w:rFonts w:ascii="Cambria" w:hAnsi="Cambria"/>
          <w:sz w:val="16"/>
          <w:szCs w:val="16"/>
          <w:lang w:val="es-AR"/>
        </w:rPr>
      </w:pPr>
      <w:r w:rsidRPr="00463527">
        <w:rPr>
          <w:rStyle w:val="FootnoteReference"/>
          <w:rFonts w:ascii="Cambria" w:hAnsi="Cambria"/>
          <w:sz w:val="16"/>
          <w:szCs w:val="16"/>
        </w:rPr>
        <w:footnoteRef/>
      </w:r>
      <w:r w:rsidRPr="00463527">
        <w:rPr>
          <w:rFonts w:ascii="Cambria" w:hAnsi="Cambria"/>
          <w:sz w:val="16"/>
          <w:szCs w:val="16"/>
          <w:lang w:val="es-AR"/>
        </w:rPr>
        <w:t xml:space="preserve"> Auto interlocutorio nro. 7 de fecha 5 de marzo de 1998, folio 86. Anexo a la petición inicial del Sr. Carlos Eduardo Domínguez Linares recibida con fecha 04 de octubre de 2000.</w:t>
      </w:r>
    </w:p>
  </w:footnote>
  <w:footnote w:id="9">
    <w:p w14:paraId="10809386" w14:textId="77777777" w:rsidR="009379E4" w:rsidRPr="00463527" w:rsidRDefault="009379E4" w:rsidP="00445A10">
      <w:pPr>
        <w:pStyle w:val="FootnoteText"/>
        <w:spacing w:after="120"/>
        <w:ind w:firstLine="720"/>
        <w:jc w:val="both"/>
        <w:rPr>
          <w:rFonts w:ascii="Cambria" w:hAnsi="Cambria"/>
          <w:sz w:val="16"/>
          <w:szCs w:val="16"/>
          <w:lang w:val="es-AR"/>
        </w:rPr>
      </w:pPr>
      <w:r w:rsidRPr="00463527">
        <w:rPr>
          <w:rStyle w:val="FootnoteReference"/>
          <w:rFonts w:ascii="Cambria" w:hAnsi="Cambria"/>
          <w:sz w:val="16"/>
          <w:szCs w:val="16"/>
        </w:rPr>
        <w:footnoteRef/>
      </w:r>
      <w:r w:rsidRPr="00463527">
        <w:rPr>
          <w:rFonts w:ascii="Cambria" w:hAnsi="Cambria"/>
          <w:sz w:val="16"/>
          <w:szCs w:val="16"/>
          <w:lang w:val="es-AR"/>
        </w:rPr>
        <w:t xml:space="preserve"> Auto interlocutorio nro. 7 de fecha 5 de marzo de 1998, folio 88vta</w:t>
      </w:r>
      <w:proofErr w:type="gramStart"/>
      <w:r w:rsidRPr="00463527">
        <w:rPr>
          <w:rFonts w:ascii="Cambria" w:hAnsi="Cambria"/>
          <w:sz w:val="16"/>
          <w:szCs w:val="16"/>
          <w:lang w:val="es-AR"/>
        </w:rPr>
        <w:t>..</w:t>
      </w:r>
      <w:proofErr w:type="gramEnd"/>
      <w:r w:rsidRPr="00463527">
        <w:rPr>
          <w:rFonts w:ascii="Cambria" w:hAnsi="Cambria"/>
          <w:sz w:val="16"/>
          <w:szCs w:val="16"/>
          <w:lang w:val="es-AR"/>
        </w:rPr>
        <w:t xml:space="preserve"> Anexo a la petición inicial del Sr. Carlos Eduardo Domínguez Linares recibida con fecha 04 de octubre de 2000.</w:t>
      </w:r>
    </w:p>
  </w:footnote>
  <w:footnote w:id="10">
    <w:p w14:paraId="2FA82AE3" w14:textId="77777777" w:rsidR="009379E4" w:rsidRPr="00463527" w:rsidRDefault="009379E4" w:rsidP="00445A10">
      <w:pPr>
        <w:pStyle w:val="FootnoteText"/>
        <w:spacing w:after="120"/>
        <w:ind w:firstLine="720"/>
        <w:jc w:val="both"/>
        <w:rPr>
          <w:rFonts w:ascii="Cambria" w:hAnsi="Cambria"/>
          <w:sz w:val="16"/>
          <w:szCs w:val="16"/>
          <w:lang w:val="es-AR"/>
        </w:rPr>
      </w:pPr>
      <w:r w:rsidRPr="00463527">
        <w:rPr>
          <w:rStyle w:val="FootnoteReference"/>
          <w:rFonts w:ascii="Cambria" w:hAnsi="Cambria"/>
          <w:sz w:val="16"/>
          <w:szCs w:val="16"/>
        </w:rPr>
        <w:footnoteRef/>
      </w:r>
      <w:r w:rsidRPr="00463527">
        <w:rPr>
          <w:rFonts w:ascii="Cambria" w:hAnsi="Cambria"/>
          <w:sz w:val="16"/>
          <w:szCs w:val="16"/>
          <w:lang w:val="es-AR"/>
        </w:rPr>
        <w:t xml:space="preserve"> Sentencia de la Sala Penal del Tribunal Superior de Justicia de Córdoba, auto nro. 396, autos “Pompas Jaime y otros </w:t>
      </w:r>
      <w:proofErr w:type="spellStart"/>
      <w:r w:rsidRPr="00463527">
        <w:rPr>
          <w:rFonts w:ascii="Cambria" w:hAnsi="Cambria"/>
          <w:sz w:val="16"/>
          <w:szCs w:val="16"/>
          <w:lang w:val="es-AR"/>
        </w:rPr>
        <w:t>P.ss.aa</w:t>
      </w:r>
      <w:proofErr w:type="spellEnd"/>
      <w:r w:rsidRPr="00463527">
        <w:rPr>
          <w:rFonts w:ascii="Cambria" w:hAnsi="Cambria"/>
          <w:sz w:val="16"/>
          <w:szCs w:val="16"/>
          <w:lang w:val="es-AR"/>
        </w:rPr>
        <w:t>. de defraudación calificada –recurso de casación-”, de fecha 17 de diciembre de 1998, folio 104 vta., y Cédula de notificación de fecha 18 de diciembre de 1998 que notifica la denegación del recurso de casación, ambos anexos a la petición inicial correspondiente al Sr. Julio Cesar Ramón del Valle Ambrosio Folio recibida con fecha 10 de julio de 2000.</w:t>
      </w:r>
    </w:p>
  </w:footnote>
  <w:footnote w:id="11">
    <w:p w14:paraId="61820A93" w14:textId="77777777" w:rsidR="009379E4" w:rsidRPr="00463527" w:rsidRDefault="009379E4" w:rsidP="00445A10">
      <w:pPr>
        <w:pStyle w:val="FootnoteText"/>
        <w:spacing w:after="120"/>
        <w:ind w:firstLine="720"/>
        <w:rPr>
          <w:rFonts w:ascii="Cambria" w:hAnsi="Cambria"/>
          <w:sz w:val="16"/>
          <w:szCs w:val="16"/>
          <w:lang w:val="es-MX"/>
        </w:rPr>
      </w:pPr>
      <w:r w:rsidRPr="00463527">
        <w:rPr>
          <w:rStyle w:val="FootnoteReference"/>
          <w:rFonts w:ascii="Cambria" w:hAnsi="Cambria"/>
          <w:sz w:val="16"/>
          <w:szCs w:val="16"/>
        </w:rPr>
        <w:footnoteRef/>
      </w:r>
      <w:r w:rsidRPr="00463527">
        <w:rPr>
          <w:rFonts w:ascii="Cambria" w:hAnsi="Cambria"/>
          <w:sz w:val="16"/>
          <w:szCs w:val="16"/>
          <w:lang w:val="es-MX"/>
        </w:rPr>
        <w:t xml:space="preserve"> </w:t>
      </w:r>
      <w:r w:rsidRPr="00463527">
        <w:rPr>
          <w:rFonts w:ascii="Cambria" w:hAnsi="Cambria"/>
          <w:sz w:val="16"/>
          <w:szCs w:val="16"/>
          <w:lang w:val="es-AR"/>
        </w:rPr>
        <w:t xml:space="preserve">Sentencia de la Sala Penal del Tribunal Superior de Justicia de Córdoba, Auto nro. 396 autos “Pompas Jaime y otros </w:t>
      </w:r>
      <w:proofErr w:type="spellStart"/>
      <w:r w:rsidRPr="00463527">
        <w:rPr>
          <w:rFonts w:ascii="Cambria" w:hAnsi="Cambria"/>
          <w:sz w:val="16"/>
          <w:szCs w:val="16"/>
          <w:lang w:val="es-AR"/>
        </w:rPr>
        <w:t>P.ss.aa</w:t>
      </w:r>
      <w:proofErr w:type="spellEnd"/>
      <w:r w:rsidRPr="00463527">
        <w:rPr>
          <w:rFonts w:ascii="Cambria" w:hAnsi="Cambria"/>
          <w:sz w:val="16"/>
          <w:szCs w:val="16"/>
          <w:lang w:val="es-AR"/>
        </w:rPr>
        <w:t xml:space="preserve">. de defraudación calificada –recurso de casación-” de fecha 17 de diciembre de 1998, folio 102vta, </w:t>
      </w:r>
      <w:proofErr w:type="spellStart"/>
      <w:r w:rsidRPr="00463527">
        <w:rPr>
          <w:rFonts w:ascii="Cambria" w:hAnsi="Cambria"/>
          <w:sz w:val="16"/>
          <w:szCs w:val="16"/>
          <w:lang w:val="es-AR"/>
        </w:rPr>
        <w:t>pto</w:t>
      </w:r>
      <w:proofErr w:type="spellEnd"/>
      <w:r w:rsidRPr="00463527">
        <w:rPr>
          <w:rFonts w:ascii="Cambria" w:hAnsi="Cambria"/>
          <w:sz w:val="16"/>
          <w:szCs w:val="16"/>
          <w:lang w:val="es-AR"/>
        </w:rPr>
        <w:t xml:space="preserve"> 2. A). anexo a la petición inicial correspondiente al Sr. Carlos Eduardo Domínguez Linares recibida con fecha 10 de julio de 2000.</w:t>
      </w:r>
    </w:p>
  </w:footnote>
  <w:footnote w:id="12">
    <w:p w14:paraId="54DC8783" w14:textId="77777777" w:rsidR="009379E4" w:rsidRPr="00463527" w:rsidRDefault="009379E4" w:rsidP="00445A10">
      <w:pPr>
        <w:pStyle w:val="FootnoteText"/>
        <w:spacing w:after="120"/>
        <w:ind w:firstLine="720"/>
        <w:rPr>
          <w:rFonts w:ascii="Cambria" w:hAnsi="Cambria"/>
          <w:sz w:val="16"/>
          <w:szCs w:val="16"/>
          <w:lang w:val="es-AR"/>
        </w:rPr>
      </w:pPr>
      <w:r w:rsidRPr="00463527">
        <w:rPr>
          <w:rStyle w:val="FootnoteReference"/>
          <w:rFonts w:ascii="Cambria" w:hAnsi="Cambria"/>
          <w:sz w:val="16"/>
          <w:szCs w:val="16"/>
        </w:rPr>
        <w:footnoteRef/>
      </w:r>
      <w:r w:rsidRPr="00463527">
        <w:rPr>
          <w:rFonts w:ascii="Cambria" w:hAnsi="Cambria"/>
          <w:sz w:val="16"/>
          <w:szCs w:val="16"/>
          <w:lang w:val="es-AR"/>
        </w:rPr>
        <w:t xml:space="preserve"> Petición inicial correspondiente al Sr. Julio Cesar Ramón del Valle Ambrosio, pág. VII, recibida con fecha 10 de julio de 2000. </w:t>
      </w:r>
    </w:p>
  </w:footnote>
  <w:footnote w:id="13">
    <w:p w14:paraId="2B478BD3" w14:textId="77777777" w:rsidR="009379E4" w:rsidRPr="00463527" w:rsidRDefault="009379E4" w:rsidP="00445A10">
      <w:pPr>
        <w:pStyle w:val="FootnoteText"/>
        <w:spacing w:after="120"/>
        <w:ind w:firstLine="720"/>
        <w:jc w:val="both"/>
        <w:rPr>
          <w:rFonts w:ascii="Cambria" w:hAnsi="Cambria"/>
          <w:sz w:val="16"/>
          <w:szCs w:val="16"/>
          <w:lang w:val="es-AR"/>
        </w:rPr>
      </w:pPr>
      <w:r w:rsidRPr="00463527">
        <w:rPr>
          <w:rStyle w:val="FootnoteReference"/>
          <w:rFonts w:ascii="Cambria" w:hAnsi="Cambria"/>
          <w:sz w:val="16"/>
          <w:szCs w:val="16"/>
        </w:rPr>
        <w:footnoteRef/>
      </w:r>
      <w:r w:rsidRPr="00463527">
        <w:rPr>
          <w:rFonts w:ascii="Cambria" w:hAnsi="Cambria"/>
          <w:sz w:val="16"/>
          <w:szCs w:val="16"/>
          <w:lang w:val="es-AR"/>
        </w:rPr>
        <w:t xml:space="preserve"> Petición inicial correspondiente al Sr. Julio Cesar Ramón del Valle Ambrosio, pág. VII, recibida con fecha 10 de julio de 2000. </w:t>
      </w:r>
    </w:p>
  </w:footnote>
  <w:footnote w:id="14">
    <w:p w14:paraId="72CBF252" w14:textId="77777777" w:rsidR="009379E4" w:rsidRPr="00463527" w:rsidRDefault="009379E4" w:rsidP="00445A10">
      <w:pPr>
        <w:pStyle w:val="FootnoteText"/>
        <w:spacing w:after="120"/>
        <w:ind w:firstLine="720"/>
        <w:jc w:val="both"/>
        <w:rPr>
          <w:rFonts w:ascii="Cambria" w:hAnsi="Cambria"/>
          <w:sz w:val="16"/>
          <w:szCs w:val="16"/>
          <w:lang w:val="es-AR"/>
        </w:rPr>
      </w:pPr>
      <w:r w:rsidRPr="00463527">
        <w:rPr>
          <w:rStyle w:val="FootnoteReference"/>
          <w:rFonts w:ascii="Cambria" w:hAnsi="Cambria"/>
          <w:sz w:val="16"/>
          <w:szCs w:val="16"/>
        </w:rPr>
        <w:footnoteRef/>
      </w:r>
      <w:r w:rsidRPr="00463527">
        <w:rPr>
          <w:rFonts w:ascii="Cambria" w:hAnsi="Cambria"/>
          <w:sz w:val="16"/>
          <w:szCs w:val="16"/>
          <w:lang w:val="es-AR"/>
        </w:rPr>
        <w:t xml:space="preserve"> Recurso extraordinario interpuesto por el Dr. Carlos María </w:t>
      </w:r>
      <w:proofErr w:type="spellStart"/>
      <w:r w:rsidRPr="00463527">
        <w:rPr>
          <w:rFonts w:ascii="Cambria" w:hAnsi="Cambria"/>
          <w:sz w:val="16"/>
          <w:szCs w:val="16"/>
          <w:lang w:val="es-AR"/>
        </w:rPr>
        <w:t>Lescano</w:t>
      </w:r>
      <w:proofErr w:type="spellEnd"/>
      <w:r w:rsidRPr="00463527">
        <w:rPr>
          <w:rFonts w:ascii="Cambria" w:hAnsi="Cambria"/>
          <w:sz w:val="16"/>
          <w:szCs w:val="16"/>
          <w:lang w:val="es-AR"/>
        </w:rPr>
        <w:t xml:space="preserve"> Roque en representación de Carlos Eduardo Domínguez Linares, folio 107-117, anexo a la petición inicial del Sr. Carlos Eduardo Domínguez Linares recibida con fecha 04 de octubre de 2000.</w:t>
      </w:r>
    </w:p>
  </w:footnote>
  <w:footnote w:id="15">
    <w:p w14:paraId="151C175F" w14:textId="77777777" w:rsidR="009379E4" w:rsidRPr="00463527" w:rsidRDefault="009379E4" w:rsidP="00445A10">
      <w:pPr>
        <w:pStyle w:val="FootnoteText"/>
        <w:spacing w:after="120"/>
        <w:ind w:firstLine="720"/>
        <w:jc w:val="both"/>
        <w:rPr>
          <w:rFonts w:ascii="Cambria" w:hAnsi="Cambria"/>
          <w:sz w:val="16"/>
          <w:szCs w:val="16"/>
          <w:lang w:val="es-AR"/>
        </w:rPr>
      </w:pPr>
      <w:r w:rsidRPr="00463527">
        <w:rPr>
          <w:rStyle w:val="FootnoteReference"/>
          <w:rFonts w:ascii="Cambria" w:hAnsi="Cambria"/>
          <w:sz w:val="16"/>
          <w:szCs w:val="16"/>
        </w:rPr>
        <w:footnoteRef/>
      </w:r>
      <w:r w:rsidRPr="00463527">
        <w:rPr>
          <w:rFonts w:ascii="Cambria" w:hAnsi="Cambria"/>
          <w:sz w:val="16"/>
          <w:szCs w:val="16"/>
          <w:lang w:val="es-AR"/>
        </w:rPr>
        <w:t xml:space="preserve"> Sentencia de la Sala Penal del Tribunal Superior de Justicia de Córdoba, auto nro. 222, autos “Pompas Jaime y otros </w:t>
      </w:r>
      <w:proofErr w:type="spellStart"/>
      <w:r w:rsidRPr="00463527">
        <w:rPr>
          <w:rFonts w:ascii="Cambria" w:hAnsi="Cambria"/>
          <w:sz w:val="16"/>
          <w:szCs w:val="16"/>
          <w:lang w:val="es-AR"/>
        </w:rPr>
        <w:t>P.ss.aa</w:t>
      </w:r>
      <w:proofErr w:type="spellEnd"/>
      <w:r w:rsidRPr="00463527">
        <w:rPr>
          <w:rFonts w:ascii="Cambria" w:hAnsi="Cambria"/>
          <w:sz w:val="16"/>
          <w:szCs w:val="16"/>
          <w:lang w:val="es-AR"/>
        </w:rPr>
        <w:t>. de defraudación calificada –recurso extraordinario-”, de fecha 16 de junio de 1999, folio 122 vta. anexo a la petición inicial correspondiente al Sr. Carlos Eduardo Domínguez Linares recibida con fecha 10 de julio de 2000.</w:t>
      </w:r>
    </w:p>
  </w:footnote>
  <w:footnote w:id="16">
    <w:p w14:paraId="71B95A6C" w14:textId="77777777" w:rsidR="009379E4" w:rsidRPr="00463527" w:rsidRDefault="009379E4" w:rsidP="00445A10">
      <w:pPr>
        <w:pStyle w:val="FootnoteText"/>
        <w:spacing w:after="120"/>
        <w:ind w:firstLine="720"/>
        <w:rPr>
          <w:rFonts w:ascii="Cambria" w:hAnsi="Cambria"/>
          <w:sz w:val="16"/>
          <w:szCs w:val="16"/>
          <w:lang w:val="es-AR"/>
        </w:rPr>
      </w:pPr>
      <w:r w:rsidRPr="00463527">
        <w:rPr>
          <w:rStyle w:val="FootnoteReference"/>
          <w:rFonts w:ascii="Cambria" w:hAnsi="Cambria"/>
          <w:sz w:val="16"/>
          <w:szCs w:val="16"/>
        </w:rPr>
        <w:footnoteRef/>
      </w:r>
      <w:r w:rsidRPr="00463527">
        <w:rPr>
          <w:rFonts w:ascii="Cambria" w:hAnsi="Cambria"/>
          <w:sz w:val="16"/>
          <w:szCs w:val="16"/>
          <w:lang w:val="es-AR"/>
        </w:rPr>
        <w:t xml:space="preserve"> Petición inicial correspondiente al Sr. Julio Cesar Ramón del Valle Ambrosio, pág. VIII, recibida con fecha 10 de julio de 2000. </w:t>
      </w:r>
    </w:p>
  </w:footnote>
  <w:footnote w:id="17">
    <w:p w14:paraId="6ECEC2F0" w14:textId="77777777" w:rsidR="009379E4" w:rsidRPr="00463527" w:rsidRDefault="009379E4" w:rsidP="00445A10">
      <w:pPr>
        <w:pStyle w:val="FootnoteText"/>
        <w:spacing w:after="120"/>
        <w:ind w:firstLine="720"/>
        <w:jc w:val="both"/>
        <w:rPr>
          <w:rFonts w:ascii="Cambria" w:hAnsi="Cambria"/>
          <w:sz w:val="16"/>
          <w:szCs w:val="16"/>
          <w:lang w:val="es-AR"/>
        </w:rPr>
      </w:pPr>
      <w:r w:rsidRPr="00463527">
        <w:rPr>
          <w:rStyle w:val="FootnoteReference"/>
          <w:rFonts w:ascii="Cambria" w:hAnsi="Cambria"/>
          <w:sz w:val="16"/>
          <w:szCs w:val="16"/>
        </w:rPr>
        <w:footnoteRef/>
      </w:r>
      <w:r w:rsidRPr="00463527">
        <w:rPr>
          <w:rFonts w:ascii="Cambria" w:hAnsi="Cambria"/>
          <w:sz w:val="16"/>
          <w:szCs w:val="16"/>
          <w:lang w:val="es-AR"/>
        </w:rPr>
        <w:t xml:space="preserve"> Recurso de queja presentado por el Dr. Carlos María </w:t>
      </w:r>
      <w:proofErr w:type="spellStart"/>
      <w:r w:rsidRPr="00463527">
        <w:rPr>
          <w:rFonts w:ascii="Cambria" w:hAnsi="Cambria"/>
          <w:sz w:val="16"/>
          <w:szCs w:val="16"/>
          <w:lang w:val="es-AR"/>
        </w:rPr>
        <w:t>Lescano</w:t>
      </w:r>
      <w:proofErr w:type="spellEnd"/>
      <w:r w:rsidRPr="00463527">
        <w:rPr>
          <w:rFonts w:ascii="Cambria" w:hAnsi="Cambria"/>
          <w:sz w:val="16"/>
          <w:szCs w:val="16"/>
          <w:lang w:val="es-AR"/>
        </w:rPr>
        <w:t xml:space="preserve"> Roque. Anexo a la petición inicial del Sr. Carlos Eduardo Domínguez Linares recibida con fecha 04 de octubre de 2000 y Petición inicial correspondiente al Sr. Julio Cesar Ramón del Valle Ambrosio, pág. VIII, recibida con fecha 10 de julio de 2000. </w:t>
      </w:r>
    </w:p>
  </w:footnote>
  <w:footnote w:id="18">
    <w:p w14:paraId="0D196C00" w14:textId="77777777" w:rsidR="009379E4" w:rsidRPr="00463527" w:rsidRDefault="009379E4" w:rsidP="00445A10">
      <w:pPr>
        <w:pStyle w:val="FootnoteText"/>
        <w:spacing w:after="120"/>
        <w:ind w:firstLine="720"/>
        <w:jc w:val="both"/>
        <w:rPr>
          <w:rFonts w:ascii="Cambria" w:hAnsi="Cambria"/>
          <w:sz w:val="16"/>
          <w:szCs w:val="16"/>
          <w:lang w:val="es-AR"/>
        </w:rPr>
      </w:pPr>
      <w:r w:rsidRPr="00463527">
        <w:rPr>
          <w:rStyle w:val="FootnoteReference"/>
          <w:rFonts w:ascii="Cambria" w:hAnsi="Cambria"/>
          <w:sz w:val="16"/>
          <w:szCs w:val="16"/>
        </w:rPr>
        <w:footnoteRef/>
      </w:r>
      <w:r w:rsidRPr="00463527">
        <w:rPr>
          <w:rFonts w:ascii="Cambria" w:hAnsi="Cambria"/>
          <w:sz w:val="16"/>
          <w:szCs w:val="16"/>
          <w:lang w:val="es-AR"/>
        </w:rPr>
        <w:t xml:space="preserve"> Sentencia de la Corte Suprema de Justicia de la Nación, Recurso de hecho, “Pompas y otros s/</w:t>
      </w:r>
      <w:proofErr w:type="spellStart"/>
      <w:r w:rsidRPr="00463527">
        <w:rPr>
          <w:rFonts w:ascii="Cambria" w:hAnsi="Cambria"/>
          <w:sz w:val="16"/>
          <w:szCs w:val="16"/>
          <w:lang w:val="es-AR"/>
        </w:rPr>
        <w:t>p.ss.aa</w:t>
      </w:r>
      <w:proofErr w:type="spellEnd"/>
      <w:r w:rsidRPr="00463527">
        <w:rPr>
          <w:rFonts w:ascii="Cambria" w:hAnsi="Cambria"/>
          <w:sz w:val="16"/>
          <w:szCs w:val="16"/>
          <w:lang w:val="es-AR"/>
        </w:rPr>
        <w:t xml:space="preserve">. de defraudación calificada –causa </w:t>
      </w:r>
      <w:proofErr w:type="spellStart"/>
      <w:r w:rsidRPr="00463527">
        <w:rPr>
          <w:rFonts w:ascii="Cambria" w:hAnsi="Cambria"/>
          <w:sz w:val="16"/>
          <w:szCs w:val="16"/>
          <w:lang w:val="es-AR"/>
        </w:rPr>
        <w:t>Nro</w:t>
      </w:r>
      <w:proofErr w:type="spellEnd"/>
      <w:r w:rsidRPr="00463527">
        <w:rPr>
          <w:rFonts w:ascii="Cambria" w:hAnsi="Cambria"/>
          <w:sz w:val="16"/>
          <w:szCs w:val="16"/>
          <w:lang w:val="es-AR"/>
        </w:rPr>
        <w:t xml:space="preserve"> 1/99 “p””, de fecha 21 de marzo de 2000, anexo a la petición inicial del Sr. Carlos Eduardo Domínguez Linares recibida con fecha 04 de octubre de 2000.</w:t>
      </w:r>
    </w:p>
  </w:footnote>
  <w:footnote w:id="19">
    <w:p w14:paraId="5DD4F3CF" w14:textId="77777777" w:rsidR="00E06F22" w:rsidRPr="00463527" w:rsidRDefault="00E06F22" w:rsidP="00E06F22">
      <w:pPr>
        <w:pStyle w:val="FootnoteText"/>
        <w:spacing w:after="120"/>
        <w:ind w:firstLine="720"/>
        <w:rPr>
          <w:rFonts w:ascii="Cambria" w:hAnsi="Cambria"/>
          <w:sz w:val="16"/>
          <w:szCs w:val="16"/>
          <w:lang w:val="es-AR"/>
        </w:rPr>
      </w:pPr>
      <w:r w:rsidRPr="00445A10">
        <w:rPr>
          <w:rStyle w:val="FootnoteReference"/>
          <w:rFonts w:ascii="Cambria" w:hAnsi="Cambria"/>
          <w:sz w:val="16"/>
          <w:szCs w:val="16"/>
        </w:rPr>
        <w:footnoteRef/>
      </w:r>
      <w:r w:rsidRPr="00445A10">
        <w:rPr>
          <w:rFonts w:ascii="Cambria" w:hAnsi="Cambria"/>
          <w:sz w:val="16"/>
          <w:szCs w:val="16"/>
          <w:lang w:val="es-MX"/>
        </w:rPr>
        <w:t xml:space="preserve"> Casal, Matías Eugenio y otros s/robo simple en grado de tentativa, Causa No. 1681, Corte Suprema de Justicia de la Nación Argentina, 20 de septiembre de 2005.</w:t>
      </w:r>
      <w:r w:rsidRPr="00463527">
        <w:rPr>
          <w:rFonts w:ascii="Cambria" w:hAnsi="Cambria"/>
          <w:sz w:val="16"/>
          <w:szCs w:val="16"/>
          <w:lang w:val="es-AR"/>
        </w:rPr>
        <w:t xml:space="preserve">  </w:t>
      </w:r>
    </w:p>
  </w:footnote>
  <w:footnote w:id="20">
    <w:p w14:paraId="772110FB" w14:textId="5D7379BF" w:rsidR="009379E4" w:rsidRPr="00463527" w:rsidRDefault="009379E4" w:rsidP="00445A10">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120"/>
        <w:ind w:left="0" w:firstLine="720"/>
        <w:jc w:val="both"/>
        <w:rPr>
          <w:sz w:val="16"/>
          <w:szCs w:val="16"/>
          <w:lang w:val="es-ES_tradnl"/>
        </w:rPr>
      </w:pPr>
      <w:r w:rsidRPr="00463527">
        <w:rPr>
          <w:rStyle w:val="FootnoteReference"/>
          <w:sz w:val="16"/>
          <w:szCs w:val="16"/>
        </w:rPr>
        <w:footnoteRef/>
      </w:r>
      <w:r w:rsidRPr="00446160">
        <w:rPr>
          <w:sz w:val="16"/>
          <w:szCs w:val="16"/>
          <w:lang w:val="es-MX"/>
        </w:rPr>
        <w:t xml:space="preserve"> </w:t>
      </w:r>
      <w:r w:rsidRPr="00463527">
        <w:rPr>
          <w:sz w:val="16"/>
          <w:szCs w:val="16"/>
          <w:lang w:val="es-ES_tradnl"/>
        </w:rPr>
        <w:t>El artículo 8.2 h) de la Convención Americana establece: Toda persona inculpada de un delito tiene derecho a que se presuma su inocencia mientras no se establezca legalmente su culpabilidad. Durante el proceso, toda persona tiene derecho, en plena igualdad, a las siguientes garantías mínimas: (…) h. derecho de recurrir del fallo ante juez o tribunal superior.</w:t>
      </w:r>
    </w:p>
  </w:footnote>
  <w:footnote w:id="21">
    <w:p w14:paraId="56669B24" w14:textId="17031BB5" w:rsidR="009379E4" w:rsidRPr="00463527" w:rsidRDefault="009379E4" w:rsidP="00445A1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9360"/>
        </w:tabs>
        <w:spacing w:after="120"/>
        <w:jc w:val="both"/>
        <w:rPr>
          <w:rFonts w:ascii="Cambria" w:hAnsi="Cambria"/>
          <w:sz w:val="16"/>
          <w:szCs w:val="16"/>
          <w:lang w:val="es-ES_tradnl"/>
        </w:rPr>
      </w:pPr>
      <w:r w:rsidRPr="00446160">
        <w:rPr>
          <w:rFonts w:ascii="Cambria" w:hAnsi="Cambria"/>
          <w:sz w:val="16"/>
          <w:szCs w:val="16"/>
          <w:lang w:val="es-MX"/>
        </w:rPr>
        <w:tab/>
      </w:r>
      <w:r w:rsidRPr="00463527">
        <w:rPr>
          <w:rStyle w:val="FootnoteReference"/>
          <w:rFonts w:ascii="Cambria" w:hAnsi="Cambria"/>
          <w:sz w:val="16"/>
          <w:szCs w:val="16"/>
        </w:rPr>
        <w:footnoteRef/>
      </w:r>
      <w:r w:rsidRPr="00446160">
        <w:rPr>
          <w:rFonts w:ascii="Cambria" w:hAnsi="Cambria"/>
          <w:sz w:val="16"/>
          <w:szCs w:val="16"/>
          <w:lang w:val="es-MX"/>
        </w:rPr>
        <w:t xml:space="preserve"> </w:t>
      </w:r>
      <w:r w:rsidRPr="00463527">
        <w:rPr>
          <w:rFonts w:ascii="Cambria" w:hAnsi="Cambria"/>
          <w:sz w:val="16"/>
          <w:szCs w:val="16"/>
          <w:lang w:val="es-ES_tradnl"/>
        </w:rPr>
        <w:t>El artículo 25.1 de la Convención Americana establece: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22">
    <w:p w14:paraId="6809B4FE" w14:textId="05F875E1" w:rsidR="00E740E8" w:rsidRPr="0033784B" w:rsidRDefault="00E740E8" w:rsidP="00445A10">
      <w:pPr>
        <w:pStyle w:val="FootnoteText"/>
        <w:spacing w:after="120"/>
        <w:ind w:firstLine="720"/>
        <w:jc w:val="both"/>
        <w:rPr>
          <w:rFonts w:asciiTheme="majorHAnsi" w:hAnsiTheme="majorHAnsi"/>
          <w:sz w:val="16"/>
          <w:szCs w:val="16"/>
          <w:lang w:val="es-MX"/>
        </w:rPr>
      </w:pPr>
      <w:r w:rsidRPr="0033784B">
        <w:rPr>
          <w:rStyle w:val="FootnoteReference"/>
          <w:rFonts w:asciiTheme="majorHAnsi" w:hAnsiTheme="majorHAnsi"/>
          <w:sz w:val="16"/>
          <w:szCs w:val="16"/>
        </w:rPr>
        <w:footnoteRef/>
      </w:r>
      <w:r w:rsidRPr="0033784B">
        <w:rPr>
          <w:rFonts w:asciiTheme="majorHAnsi" w:hAnsiTheme="majorHAnsi"/>
          <w:sz w:val="16"/>
          <w:szCs w:val="16"/>
          <w:lang w:val="es-MX"/>
        </w:rPr>
        <w:t xml:space="preserve"> CIDH, Informe No. 33/14, Caso 12.820, Fondo, </w:t>
      </w:r>
      <w:proofErr w:type="spellStart"/>
      <w:r w:rsidRPr="0033784B">
        <w:rPr>
          <w:rFonts w:asciiTheme="majorHAnsi" w:hAnsiTheme="majorHAnsi"/>
          <w:sz w:val="16"/>
          <w:szCs w:val="16"/>
          <w:lang w:val="es-MX"/>
        </w:rPr>
        <w:t>Manfred</w:t>
      </w:r>
      <w:proofErr w:type="spellEnd"/>
      <w:r w:rsidRPr="0033784B">
        <w:rPr>
          <w:rFonts w:asciiTheme="majorHAnsi" w:hAnsiTheme="majorHAnsi"/>
          <w:sz w:val="16"/>
          <w:szCs w:val="16"/>
          <w:lang w:val="es-MX"/>
        </w:rPr>
        <w:t xml:space="preserve"> </w:t>
      </w:r>
      <w:proofErr w:type="spellStart"/>
      <w:r w:rsidRPr="0033784B">
        <w:rPr>
          <w:rFonts w:asciiTheme="majorHAnsi" w:hAnsiTheme="majorHAnsi"/>
          <w:sz w:val="16"/>
          <w:szCs w:val="16"/>
          <w:lang w:val="es-MX"/>
        </w:rPr>
        <w:t>Amrhein</w:t>
      </w:r>
      <w:proofErr w:type="spellEnd"/>
      <w:r w:rsidRPr="0033784B">
        <w:rPr>
          <w:rFonts w:asciiTheme="majorHAnsi" w:hAnsiTheme="majorHAnsi"/>
          <w:sz w:val="16"/>
          <w:szCs w:val="16"/>
          <w:lang w:val="es-MX"/>
        </w:rPr>
        <w:t xml:space="preserve"> y otros, Costa Rica, 4 de abril de 2014, párr. 18</w:t>
      </w:r>
      <w:r w:rsidR="00241369">
        <w:rPr>
          <w:rFonts w:asciiTheme="majorHAnsi" w:hAnsiTheme="majorHAnsi"/>
          <w:sz w:val="16"/>
          <w:szCs w:val="16"/>
          <w:lang w:val="es-MX"/>
        </w:rPr>
        <w:t>6</w:t>
      </w:r>
      <w:r w:rsidR="00C35B6F">
        <w:rPr>
          <w:rFonts w:asciiTheme="majorHAnsi" w:hAnsiTheme="majorHAnsi"/>
          <w:sz w:val="16"/>
          <w:szCs w:val="16"/>
          <w:lang w:val="es-MX"/>
        </w:rPr>
        <w:t>.</w:t>
      </w:r>
      <w:r w:rsidRPr="0033784B">
        <w:rPr>
          <w:rFonts w:asciiTheme="majorHAnsi" w:hAnsiTheme="majorHAnsi"/>
          <w:sz w:val="16"/>
          <w:szCs w:val="16"/>
          <w:lang w:val="es-MX"/>
        </w:rPr>
        <w:t>.</w:t>
      </w:r>
    </w:p>
  </w:footnote>
  <w:footnote w:id="23">
    <w:p w14:paraId="3F0A5BA8" w14:textId="25EF518B" w:rsidR="009379E4" w:rsidRPr="00445A10" w:rsidRDefault="009379E4" w:rsidP="00445A10">
      <w:pPr>
        <w:spacing w:after="120"/>
        <w:ind w:firstLine="720"/>
        <w:jc w:val="both"/>
        <w:rPr>
          <w:rFonts w:ascii="Cambria" w:hAnsi="Cambria"/>
          <w:sz w:val="16"/>
          <w:szCs w:val="16"/>
          <w:lang w:val="es-ES_tradnl"/>
        </w:rPr>
      </w:pPr>
      <w:r w:rsidRPr="00445A10">
        <w:rPr>
          <w:rStyle w:val="FootnoteReference"/>
          <w:rFonts w:ascii="Cambria" w:hAnsi="Cambria"/>
          <w:sz w:val="16"/>
          <w:szCs w:val="16"/>
        </w:rPr>
        <w:footnoteRef/>
      </w:r>
      <w:r w:rsidRPr="00445A10">
        <w:rPr>
          <w:rFonts w:ascii="Cambria" w:hAnsi="Cambria"/>
          <w:sz w:val="16"/>
          <w:szCs w:val="16"/>
          <w:lang w:val="es-ES_tradnl"/>
        </w:rPr>
        <w:t xml:space="preserve"> </w:t>
      </w:r>
      <w:r w:rsidR="00241369" w:rsidRPr="0033784B">
        <w:rPr>
          <w:rFonts w:asciiTheme="majorHAnsi" w:hAnsiTheme="majorHAnsi"/>
          <w:sz w:val="16"/>
          <w:szCs w:val="16"/>
          <w:lang w:val="es-MX"/>
        </w:rPr>
        <w:t xml:space="preserve">CIDH, Informe No. 33/14, Caso 12.820, Fondo, </w:t>
      </w:r>
      <w:proofErr w:type="spellStart"/>
      <w:r w:rsidR="00241369" w:rsidRPr="0033784B">
        <w:rPr>
          <w:rFonts w:asciiTheme="majorHAnsi" w:hAnsiTheme="majorHAnsi"/>
          <w:sz w:val="16"/>
          <w:szCs w:val="16"/>
          <w:lang w:val="es-MX"/>
        </w:rPr>
        <w:t>Manfred</w:t>
      </w:r>
      <w:proofErr w:type="spellEnd"/>
      <w:r w:rsidR="00241369" w:rsidRPr="0033784B">
        <w:rPr>
          <w:rFonts w:asciiTheme="majorHAnsi" w:hAnsiTheme="majorHAnsi"/>
          <w:sz w:val="16"/>
          <w:szCs w:val="16"/>
          <w:lang w:val="es-MX"/>
        </w:rPr>
        <w:t xml:space="preserve"> </w:t>
      </w:r>
      <w:proofErr w:type="spellStart"/>
      <w:r w:rsidR="00241369" w:rsidRPr="0033784B">
        <w:rPr>
          <w:rFonts w:asciiTheme="majorHAnsi" w:hAnsiTheme="majorHAnsi"/>
          <w:sz w:val="16"/>
          <w:szCs w:val="16"/>
          <w:lang w:val="es-MX"/>
        </w:rPr>
        <w:t>Amrhein</w:t>
      </w:r>
      <w:proofErr w:type="spellEnd"/>
      <w:r w:rsidR="00241369" w:rsidRPr="0033784B">
        <w:rPr>
          <w:rFonts w:asciiTheme="majorHAnsi" w:hAnsiTheme="majorHAnsi"/>
          <w:sz w:val="16"/>
          <w:szCs w:val="16"/>
          <w:lang w:val="es-MX"/>
        </w:rPr>
        <w:t xml:space="preserve"> y otros, Costa Rica, 4 de abril de 2014, párr.</w:t>
      </w:r>
      <w:r w:rsidR="00C35B6F">
        <w:rPr>
          <w:rFonts w:asciiTheme="majorHAnsi" w:hAnsiTheme="majorHAnsi"/>
          <w:sz w:val="16"/>
          <w:szCs w:val="16"/>
          <w:lang w:val="es-MX"/>
        </w:rPr>
        <w:t xml:space="preserve"> 186. Citando. </w:t>
      </w:r>
      <w:r w:rsidRPr="00445A10">
        <w:rPr>
          <w:rFonts w:ascii="Cambria" w:hAnsi="Cambria"/>
          <w:sz w:val="16"/>
          <w:szCs w:val="16"/>
          <w:lang w:val="es-ES_tradnl"/>
        </w:rPr>
        <w:t xml:space="preserve">Corte IDH., </w:t>
      </w:r>
      <w:r w:rsidRPr="00445A10">
        <w:rPr>
          <w:rFonts w:ascii="Cambria" w:hAnsi="Cambria"/>
          <w:i/>
          <w:sz w:val="16"/>
          <w:szCs w:val="16"/>
          <w:lang w:val="es-ES_tradnl"/>
        </w:rPr>
        <w:t>Caso Mendoza y otros Vs. Argentina</w:t>
      </w:r>
      <w:r w:rsidRPr="00445A10">
        <w:rPr>
          <w:rFonts w:ascii="Cambria" w:hAnsi="Cambria"/>
          <w:sz w:val="16"/>
          <w:szCs w:val="16"/>
          <w:lang w:val="es-ES_tradnl"/>
        </w:rPr>
        <w:t xml:space="preserve">. Sentencia de Excepciones Preliminares, Fondo y Reparaciones. 14 de mayo de 2013. Serie C No. 260, párr. 242; </w:t>
      </w:r>
      <w:r w:rsidRPr="00445A10">
        <w:rPr>
          <w:rFonts w:ascii="Cambria" w:hAnsi="Cambria"/>
          <w:i/>
          <w:sz w:val="16"/>
          <w:szCs w:val="16"/>
          <w:lang w:val="es-ES_tradnl"/>
        </w:rPr>
        <w:t xml:space="preserve">Caso Herrera Ulloa Vs. Costa Rica. </w:t>
      </w:r>
      <w:r w:rsidRPr="00445A10">
        <w:rPr>
          <w:rFonts w:ascii="Cambria" w:hAnsi="Cambria"/>
          <w:sz w:val="16"/>
          <w:szCs w:val="16"/>
          <w:lang w:val="es-ES_tradnl"/>
        </w:rPr>
        <w:t>Sentencia de Excepciones Preliminares, Fondo, Reparaciones y Costas.</w:t>
      </w:r>
      <w:r w:rsidRPr="00445A10">
        <w:rPr>
          <w:rFonts w:ascii="Cambria" w:hAnsi="Cambria"/>
          <w:i/>
          <w:sz w:val="16"/>
          <w:szCs w:val="16"/>
          <w:lang w:val="es-ES_tradnl"/>
        </w:rPr>
        <w:t xml:space="preserve"> </w:t>
      </w:r>
      <w:r w:rsidRPr="00445A10">
        <w:rPr>
          <w:rFonts w:ascii="Cambria" w:hAnsi="Cambria"/>
          <w:sz w:val="16"/>
          <w:szCs w:val="16"/>
          <w:lang w:val="es-ES_tradnl"/>
        </w:rPr>
        <w:t>Sentencia de 2 julio de 2004. Serie C No. 107, párr. 158</w:t>
      </w:r>
      <w:r w:rsidRPr="00445A10">
        <w:rPr>
          <w:rFonts w:ascii="Cambria" w:hAnsi="Cambria"/>
          <w:i/>
          <w:sz w:val="16"/>
          <w:szCs w:val="16"/>
          <w:lang w:val="es-ES_tradnl"/>
        </w:rPr>
        <w:t xml:space="preserve">, y </w:t>
      </w:r>
      <w:r w:rsidRPr="00445A10">
        <w:rPr>
          <w:rFonts w:ascii="Cambria" w:hAnsi="Cambria"/>
          <w:bCs/>
          <w:i/>
          <w:sz w:val="16"/>
          <w:szCs w:val="16"/>
          <w:lang w:val="es-ES_tradnl"/>
        </w:rPr>
        <w:t xml:space="preserve">Caso Mohamed Vs. Argentina. </w:t>
      </w:r>
      <w:r w:rsidRPr="00445A10">
        <w:rPr>
          <w:rFonts w:ascii="Cambria" w:hAnsi="Cambria"/>
          <w:bCs/>
          <w:sz w:val="16"/>
          <w:szCs w:val="16"/>
          <w:lang w:val="es-ES_tradnl"/>
        </w:rPr>
        <w:t xml:space="preserve">Sentencia de </w:t>
      </w:r>
      <w:r w:rsidRPr="00445A10">
        <w:rPr>
          <w:rFonts w:ascii="Cambria" w:hAnsi="Cambria"/>
          <w:sz w:val="16"/>
          <w:szCs w:val="16"/>
          <w:lang w:val="es-ES_tradnl"/>
        </w:rPr>
        <w:t>Excepción Preliminar, Fondo, Reparaciones y Costas. 23 noviembre de 2012. Serie C No. 255, párr. 97.</w:t>
      </w:r>
    </w:p>
  </w:footnote>
  <w:footnote w:id="24">
    <w:p w14:paraId="0B6AFFEB" w14:textId="50E40370" w:rsidR="009379E4" w:rsidRPr="00445A10" w:rsidRDefault="009379E4" w:rsidP="00445A10">
      <w:pPr>
        <w:tabs>
          <w:tab w:val="left" w:pos="720"/>
        </w:tabs>
        <w:spacing w:after="120"/>
        <w:ind w:firstLine="720"/>
        <w:jc w:val="both"/>
        <w:rPr>
          <w:rFonts w:ascii="Cambria" w:hAnsi="Cambria"/>
          <w:sz w:val="16"/>
          <w:szCs w:val="16"/>
          <w:lang w:val="es-ES_tradnl"/>
        </w:rPr>
      </w:pPr>
      <w:r w:rsidRPr="00445A10">
        <w:rPr>
          <w:rStyle w:val="FootnoteReference"/>
          <w:rFonts w:ascii="Cambria" w:hAnsi="Cambria"/>
          <w:sz w:val="16"/>
          <w:szCs w:val="16"/>
        </w:rPr>
        <w:footnoteRef/>
      </w:r>
      <w:r w:rsidRPr="003C786B">
        <w:rPr>
          <w:rFonts w:ascii="Cambria" w:hAnsi="Cambria"/>
          <w:sz w:val="16"/>
          <w:szCs w:val="16"/>
          <w:lang w:val="es-MX"/>
        </w:rPr>
        <w:t xml:space="preserve"> </w:t>
      </w:r>
      <w:r w:rsidR="005E51C5" w:rsidRPr="0033784B">
        <w:rPr>
          <w:rFonts w:asciiTheme="majorHAnsi" w:hAnsiTheme="majorHAnsi"/>
          <w:sz w:val="16"/>
          <w:szCs w:val="16"/>
          <w:lang w:val="es-MX"/>
        </w:rPr>
        <w:t xml:space="preserve">CIDH, Informe No. 33/14, Caso 12.820, Fondo, </w:t>
      </w:r>
      <w:proofErr w:type="spellStart"/>
      <w:r w:rsidR="005E51C5" w:rsidRPr="0033784B">
        <w:rPr>
          <w:rFonts w:asciiTheme="majorHAnsi" w:hAnsiTheme="majorHAnsi"/>
          <w:sz w:val="16"/>
          <w:szCs w:val="16"/>
          <w:lang w:val="es-MX"/>
        </w:rPr>
        <w:t>Manfred</w:t>
      </w:r>
      <w:proofErr w:type="spellEnd"/>
      <w:r w:rsidR="005E51C5" w:rsidRPr="0033784B">
        <w:rPr>
          <w:rFonts w:asciiTheme="majorHAnsi" w:hAnsiTheme="majorHAnsi"/>
          <w:sz w:val="16"/>
          <w:szCs w:val="16"/>
          <w:lang w:val="es-MX"/>
        </w:rPr>
        <w:t xml:space="preserve"> </w:t>
      </w:r>
      <w:proofErr w:type="spellStart"/>
      <w:r w:rsidR="005E51C5" w:rsidRPr="0033784B">
        <w:rPr>
          <w:rFonts w:asciiTheme="majorHAnsi" w:hAnsiTheme="majorHAnsi"/>
          <w:sz w:val="16"/>
          <w:szCs w:val="16"/>
          <w:lang w:val="es-MX"/>
        </w:rPr>
        <w:t>Amrhein</w:t>
      </w:r>
      <w:proofErr w:type="spellEnd"/>
      <w:r w:rsidR="005E51C5" w:rsidRPr="0033784B">
        <w:rPr>
          <w:rFonts w:asciiTheme="majorHAnsi" w:hAnsiTheme="majorHAnsi"/>
          <w:sz w:val="16"/>
          <w:szCs w:val="16"/>
          <w:lang w:val="es-MX"/>
        </w:rPr>
        <w:t xml:space="preserve"> y otros, Costa Rica, 4 de abril de 2014, párr.</w:t>
      </w:r>
      <w:r w:rsidR="005E51C5">
        <w:rPr>
          <w:rFonts w:asciiTheme="majorHAnsi" w:hAnsiTheme="majorHAnsi"/>
          <w:sz w:val="16"/>
          <w:szCs w:val="16"/>
          <w:lang w:val="es-MX"/>
        </w:rPr>
        <w:t xml:space="preserve"> 186; </w:t>
      </w:r>
      <w:r w:rsidRPr="003C786B">
        <w:rPr>
          <w:rFonts w:ascii="Cambria" w:hAnsi="Cambria"/>
          <w:sz w:val="16"/>
          <w:szCs w:val="16"/>
          <w:lang w:val="es-MX"/>
        </w:rPr>
        <w:t xml:space="preserve">Corte IDH., </w:t>
      </w:r>
      <w:r w:rsidRPr="003C786B">
        <w:rPr>
          <w:rFonts w:ascii="Cambria" w:hAnsi="Cambria"/>
          <w:i/>
          <w:sz w:val="16"/>
          <w:szCs w:val="16"/>
          <w:lang w:val="es-MX"/>
        </w:rPr>
        <w:t xml:space="preserve">Caso Herrera Ulloa Vs. </w:t>
      </w:r>
      <w:r w:rsidRPr="00445A10">
        <w:rPr>
          <w:rFonts w:ascii="Cambria" w:hAnsi="Cambria"/>
          <w:i/>
          <w:sz w:val="16"/>
          <w:szCs w:val="16"/>
          <w:lang w:val="es-ES_tradnl"/>
        </w:rPr>
        <w:t>Costa Rica</w:t>
      </w:r>
      <w:r w:rsidRPr="00445A10">
        <w:rPr>
          <w:rFonts w:ascii="Cambria" w:hAnsi="Cambria"/>
          <w:sz w:val="16"/>
          <w:szCs w:val="16"/>
          <w:lang w:val="es-ES_tradnl"/>
        </w:rPr>
        <w:t>. Sentencia de Excepciones Preliminares, Fondo, Reparaciones y Costas. 2 de julio de 2004. Serie C No. 107, párr. 158.</w:t>
      </w:r>
      <w:r w:rsidR="005874B5" w:rsidRPr="00445A10">
        <w:rPr>
          <w:rFonts w:ascii="Cambria" w:hAnsi="Cambria"/>
          <w:sz w:val="16"/>
          <w:szCs w:val="16"/>
          <w:lang w:val="es-ES_tradnl"/>
        </w:rPr>
        <w:t xml:space="preserve"> </w:t>
      </w:r>
      <w:r w:rsidR="00845275" w:rsidRPr="00445A10">
        <w:rPr>
          <w:rFonts w:ascii="Cambria" w:hAnsi="Cambria"/>
          <w:sz w:val="16"/>
          <w:szCs w:val="16"/>
          <w:lang w:val="es-ES_tradnl"/>
        </w:rPr>
        <w:t xml:space="preserve">Véase: </w:t>
      </w:r>
      <w:r w:rsidR="005874B5" w:rsidRPr="00445A10">
        <w:rPr>
          <w:rFonts w:ascii="Cambria" w:hAnsi="Cambria"/>
          <w:sz w:val="16"/>
          <w:szCs w:val="16"/>
          <w:lang w:val="es-MX"/>
        </w:rPr>
        <w:t xml:space="preserve">CIDH, </w:t>
      </w:r>
      <w:r w:rsidR="00DA5B7A">
        <w:fldChar w:fldCharType="begin"/>
      </w:r>
      <w:r w:rsidR="00DA5B7A" w:rsidRPr="00DA5B7A">
        <w:rPr>
          <w:lang w:val="es-PE"/>
        </w:rPr>
        <w:instrText xml:space="preserve"> HYPERLINK "http://www.oas.org/es/cidh/decisiones/2017/USPU12254ES.pdf" </w:instrText>
      </w:r>
      <w:r w:rsidR="00DA5B7A">
        <w:fldChar w:fldCharType="separate"/>
      </w:r>
      <w:r w:rsidR="005874B5" w:rsidRPr="00445A10">
        <w:rPr>
          <w:rStyle w:val="Hyperlink"/>
          <w:rFonts w:ascii="Cambria" w:hAnsi="Cambria"/>
          <w:sz w:val="16"/>
          <w:szCs w:val="16"/>
          <w:lang w:val="es-MX"/>
        </w:rPr>
        <w:t>Informe No. 24/17</w:t>
      </w:r>
      <w:r w:rsidR="00DA5B7A">
        <w:rPr>
          <w:rStyle w:val="Hyperlink"/>
          <w:rFonts w:ascii="Cambria" w:hAnsi="Cambria"/>
          <w:sz w:val="16"/>
          <w:szCs w:val="16"/>
          <w:lang w:val="es-MX"/>
        </w:rPr>
        <w:fldChar w:fldCharType="end"/>
      </w:r>
      <w:r w:rsidR="005874B5" w:rsidRPr="00445A10">
        <w:rPr>
          <w:rFonts w:ascii="Cambria" w:hAnsi="Cambria"/>
          <w:sz w:val="16"/>
          <w:szCs w:val="16"/>
          <w:lang w:val="es-MX"/>
        </w:rPr>
        <w:t>, Caso 12.254, Fondo. V</w:t>
      </w:r>
      <w:proofErr w:type="spellStart"/>
      <w:r w:rsidR="005874B5" w:rsidRPr="00445A10">
        <w:rPr>
          <w:rFonts w:ascii="Cambria" w:hAnsi="Cambria"/>
          <w:sz w:val="16"/>
          <w:szCs w:val="16"/>
          <w:lang w:val="es-CO"/>
        </w:rPr>
        <w:t>íctor</w:t>
      </w:r>
      <w:proofErr w:type="spellEnd"/>
      <w:r w:rsidR="005874B5" w:rsidRPr="00445A10">
        <w:rPr>
          <w:rFonts w:ascii="Cambria" w:hAnsi="Cambria"/>
          <w:sz w:val="16"/>
          <w:szCs w:val="16"/>
          <w:lang w:val="es-CO"/>
        </w:rPr>
        <w:t xml:space="preserve"> Hugo </w:t>
      </w:r>
      <w:proofErr w:type="spellStart"/>
      <w:r w:rsidR="005874B5" w:rsidRPr="00445A10">
        <w:rPr>
          <w:rFonts w:ascii="Cambria" w:hAnsi="Cambria"/>
          <w:sz w:val="16"/>
          <w:szCs w:val="16"/>
          <w:lang w:val="es-MX"/>
        </w:rPr>
        <w:t>Saldaño</w:t>
      </w:r>
      <w:proofErr w:type="spellEnd"/>
      <w:r w:rsidR="005874B5" w:rsidRPr="00445A10">
        <w:rPr>
          <w:rFonts w:ascii="Cambria" w:hAnsi="Cambria"/>
          <w:sz w:val="16"/>
          <w:szCs w:val="16"/>
          <w:lang w:val="es-MX"/>
        </w:rPr>
        <w:t>. Estados Unidos. 18 de marzo de 2017, párr. 204.</w:t>
      </w:r>
    </w:p>
  </w:footnote>
  <w:footnote w:id="25">
    <w:p w14:paraId="22E8A394" w14:textId="77777777" w:rsidR="009379E4" w:rsidRPr="00445A10" w:rsidRDefault="009379E4" w:rsidP="00445A10">
      <w:pPr>
        <w:pStyle w:val="FootnoteText"/>
        <w:tabs>
          <w:tab w:val="left" w:pos="720"/>
        </w:tabs>
        <w:spacing w:after="120"/>
        <w:ind w:firstLine="720"/>
        <w:jc w:val="both"/>
        <w:rPr>
          <w:rFonts w:ascii="Cambria" w:hAnsi="Cambria"/>
          <w:sz w:val="16"/>
          <w:szCs w:val="16"/>
          <w:lang w:val="es-ES_tradnl"/>
        </w:rPr>
      </w:pPr>
      <w:r w:rsidRPr="00445A10">
        <w:rPr>
          <w:rStyle w:val="FootnoteReference"/>
          <w:rFonts w:ascii="Cambria" w:hAnsi="Cambria"/>
          <w:sz w:val="16"/>
          <w:szCs w:val="16"/>
        </w:rPr>
        <w:footnoteRef/>
      </w:r>
      <w:r w:rsidRPr="00445A10">
        <w:rPr>
          <w:rFonts w:ascii="Cambria" w:hAnsi="Cambria"/>
          <w:sz w:val="16"/>
          <w:szCs w:val="16"/>
          <w:lang w:val="es-ES_tradnl"/>
        </w:rPr>
        <w:t xml:space="preserve"> CIDH, Informe No. 55/97, Caso 11.137, Fondo, Juan Carlos Abella (Argentina), 18 de noviembre de 1997, párr. 252.</w:t>
      </w:r>
    </w:p>
  </w:footnote>
  <w:footnote w:id="26">
    <w:p w14:paraId="51D82A00" w14:textId="4D02F68A" w:rsidR="009379E4" w:rsidRPr="00445A10" w:rsidRDefault="009379E4" w:rsidP="00445A10">
      <w:pPr>
        <w:spacing w:after="120" w:line="230" w:lineRule="atLeast"/>
        <w:ind w:firstLine="720"/>
        <w:jc w:val="both"/>
        <w:rPr>
          <w:rFonts w:ascii="Cambria" w:hAnsi="Cambria" w:cs="Arial"/>
          <w:color w:val="262626"/>
          <w:sz w:val="16"/>
          <w:szCs w:val="16"/>
          <w:lang w:val="es-ES_tradnl"/>
        </w:rPr>
      </w:pPr>
      <w:r w:rsidRPr="00445A10">
        <w:rPr>
          <w:rStyle w:val="FootnoteReference"/>
          <w:rFonts w:ascii="Cambria" w:hAnsi="Cambria"/>
          <w:sz w:val="16"/>
          <w:szCs w:val="16"/>
        </w:rPr>
        <w:footnoteRef/>
      </w:r>
      <w:r w:rsidRPr="00445A10">
        <w:rPr>
          <w:rFonts w:ascii="Cambria" w:hAnsi="Cambria"/>
          <w:sz w:val="16"/>
          <w:szCs w:val="16"/>
          <w:lang w:val="es-ES_tradnl"/>
        </w:rPr>
        <w:t xml:space="preserve"> Corte IDH., </w:t>
      </w:r>
      <w:r w:rsidRPr="00445A10">
        <w:rPr>
          <w:rFonts w:ascii="Cambria" w:hAnsi="Cambria"/>
          <w:i/>
          <w:sz w:val="16"/>
          <w:szCs w:val="16"/>
          <w:lang w:val="es-ES_tradnl"/>
        </w:rPr>
        <w:t>Caso Mendoza y otros Vs. Argentina</w:t>
      </w:r>
      <w:r w:rsidRPr="00445A10">
        <w:rPr>
          <w:rFonts w:ascii="Cambria" w:hAnsi="Cambria"/>
          <w:sz w:val="16"/>
          <w:szCs w:val="16"/>
          <w:lang w:val="es-ES_tradnl"/>
        </w:rPr>
        <w:t xml:space="preserve">. Sentencia de Excepciones Preliminares, Fondo y Reparaciones. 14 de mayo de 2013. Serie C No. 260, párr. 242; </w:t>
      </w:r>
      <w:r w:rsidRPr="00445A10">
        <w:rPr>
          <w:rFonts w:ascii="Cambria" w:hAnsi="Cambria"/>
          <w:i/>
          <w:sz w:val="16"/>
          <w:szCs w:val="16"/>
          <w:lang w:val="es-ES_tradnl"/>
        </w:rPr>
        <w:t xml:space="preserve">Caso Barreto Leiva Vs. Venezuela. </w:t>
      </w:r>
      <w:r w:rsidRPr="00445A10">
        <w:rPr>
          <w:rFonts w:ascii="Cambria" w:hAnsi="Cambria"/>
          <w:sz w:val="16"/>
          <w:szCs w:val="16"/>
          <w:lang w:val="es-ES_tradnl"/>
        </w:rPr>
        <w:t>Sentencia de Fondo, Reparaciones y Costas 17 de noviembre de 2009. Serie C No. 206</w:t>
      </w:r>
      <w:r w:rsidRPr="00445A10">
        <w:rPr>
          <w:rFonts w:ascii="Cambria" w:hAnsi="Cambria"/>
          <w:i/>
          <w:sz w:val="16"/>
          <w:szCs w:val="16"/>
          <w:lang w:val="es-ES_tradnl"/>
        </w:rPr>
        <w:t xml:space="preserve">, </w:t>
      </w:r>
      <w:r w:rsidRPr="00445A10">
        <w:rPr>
          <w:rFonts w:ascii="Cambria" w:hAnsi="Cambria"/>
          <w:sz w:val="16"/>
          <w:szCs w:val="16"/>
          <w:lang w:val="es-ES_tradnl"/>
        </w:rPr>
        <w:t xml:space="preserve">párr. 89; </w:t>
      </w:r>
      <w:r w:rsidRPr="00445A10">
        <w:rPr>
          <w:rFonts w:ascii="Cambria" w:hAnsi="Cambria"/>
          <w:bCs/>
          <w:i/>
          <w:sz w:val="16"/>
          <w:szCs w:val="16"/>
          <w:lang w:val="es-ES_tradnl"/>
        </w:rPr>
        <w:t xml:space="preserve">Caso Mohamed Vs. Argentina. </w:t>
      </w:r>
      <w:r w:rsidRPr="00445A10">
        <w:rPr>
          <w:rFonts w:ascii="Cambria" w:hAnsi="Cambria"/>
          <w:bCs/>
          <w:sz w:val="16"/>
          <w:szCs w:val="16"/>
          <w:lang w:val="es-ES_tradnl"/>
        </w:rPr>
        <w:t xml:space="preserve">Sentencia de </w:t>
      </w:r>
      <w:r w:rsidRPr="00445A10">
        <w:rPr>
          <w:rFonts w:ascii="Cambria" w:hAnsi="Cambria"/>
          <w:sz w:val="16"/>
          <w:szCs w:val="16"/>
          <w:lang w:val="es-ES_tradnl"/>
        </w:rPr>
        <w:t xml:space="preserve">Excepción Preliminar, Fondo, Reparaciones y Costas. </w:t>
      </w:r>
      <w:r w:rsidRPr="00445A10">
        <w:rPr>
          <w:rFonts w:ascii="Cambria" w:hAnsi="Cambria"/>
          <w:sz w:val="16"/>
          <w:szCs w:val="16"/>
          <w:lang w:val="pt-BR"/>
        </w:rPr>
        <w:t xml:space="preserve">23 noviembre de 2012. Serie C No. 255, párr. 97; ; </w:t>
      </w:r>
      <w:r w:rsidRPr="00445A10">
        <w:rPr>
          <w:rFonts w:ascii="Cambria" w:hAnsi="Cambria" w:cs="Arial"/>
          <w:color w:val="262626"/>
          <w:sz w:val="16"/>
          <w:szCs w:val="16"/>
          <w:lang w:val="pt-BR"/>
        </w:rPr>
        <w:t xml:space="preserve">Corte IDH. </w:t>
      </w:r>
      <w:r w:rsidRPr="00445A10">
        <w:rPr>
          <w:rFonts w:ascii="Cambria" w:hAnsi="Cambria" w:cs="Arial"/>
          <w:i/>
          <w:color w:val="262626"/>
          <w:sz w:val="16"/>
          <w:szCs w:val="16"/>
          <w:lang w:val="pt-BR"/>
        </w:rPr>
        <w:t>Caso Liakat Ali Alibux Vs. Suriname</w:t>
      </w:r>
      <w:r w:rsidRPr="00445A10">
        <w:rPr>
          <w:rFonts w:ascii="Cambria" w:hAnsi="Cambria" w:cs="Arial"/>
          <w:color w:val="262626"/>
          <w:sz w:val="16"/>
          <w:szCs w:val="16"/>
          <w:lang w:val="pt-BR"/>
        </w:rPr>
        <w:t xml:space="preserve">. </w:t>
      </w:r>
      <w:r w:rsidRPr="00445A10">
        <w:rPr>
          <w:rFonts w:ascii="Cambria" w:hAnsi="Cambria" w:cs="Arial"/>
          <w:color w:val="262626"/>
          <w:sz w:val="16"/>
          <w:szCs w:val="16"/>
          <w:lang w:val="es-ES_tradnl"/>
        </w:rPr>
        <w:t>Excepciones Preliminares, Fondo, Reparaciones y Costas. Sentencia de 30 de enero de 2014. Serie C No. 276, párr. 85.</w:t>
      </w:r>
    </w:p>
  </w:footnote>
  <w:footnote w:id="27">
    <w:p w14:paraId="6CD0158B" w14:textId="218D2430" w:rsidR="009379E4" w:rsidRPr="00445A10" w:rsidRDefault="009379E4" w:rsidP="00445A10">
      <w:pPr>
        <w:tabs>
          <w:tab w:val="left" w:pos="720"/>
        </w:tabs>
        <w:spacing w:after="120"/>
        <w:ind w:firstLine="720"/>
        <w:jc w:val="both"/>
        <w:rPr>
          <w:rFonts w:ascii="Cambria" w:hAnsi="Cambria"/>
          <w:sz w:val="16"/>
          <w:szCs w:val="16"/>
          <w:lang w:val="es-ES_tradnl"/>
        </w:rPr>
      </w:pPr>
      <w:r w:rsidRPr="00445A10">
        <w:rPr>
          <w:rStyle w:val="FootnoteReference"/>
          <w:rFonts w:ascii="Cambria" w:hAnsi="Cambria"/>
          <w:sz w:val="16"/>
          <w:szCs w:val="16"/>
        </w:rPr>
        <w:footnoteRef/>
      </w:r>
      <w:r w:rsidRPr="003C786B">
        <w:rPr>
          <w:rFonts w:ascii="Cambria" w:hAnsi="Cambria"/>
          <w:sz w:val="16"/>
          <w:szCs w:val="16"/>
          <w:lang w:val="es-MX"/>
        </w:rPr>
        <w:t xml:space="preserve"> Corte IDH., </w:t>
      </w:r>
      <w:r w:rsidRPr="003C786B">
        <w:rPr>
          <w:rFonts w:ascii="Cambria" w:hAnsi="Cambria"/>
          <w:i/>
          <w:sz w:val="16"/>
          <w:szCs w:val="16"/>
          <w:lang w:val="es-MX"/>
        </w:rPr>
        <w:t xml:space="preserve">Caso Herrera Ulloa Vs. </w:t>
      </w:r>
      <w:r w:rsidRPr="00445A10">
        <w:rPr>
          <w:rFonts w:ascii="Cambria" w:hAnsi="Cambria"/>
          <w:i/>
          <w:sz w:val="16"/>
          <w:szCs w:val="16"/>
          <w:lang w:val="es-ES_tradnl"/>
        </w:rPr>
        <w:t>Costa Rica</w:t>
      </w:r>
      <w:r w:rsidRPr="00445A10">
        <w:rPr>
          <w:rFonts w:ascii="Cambria" w:hAnsi="Cambria"/>
          <w:sz w:val="16"/>
          <w:szCs w:val="16"/>
          <w:lang w:val="es-ES_tradnl"/>
        </w:rPr>
        <w:t xml:space="preserve">. Sentencia de Excepciones Preliminares, Fondo, Reparaciones y Costas. 2 de julio de 2004. Serie C No. 107, párr. 165; ONU, Comité de Derechos Humanos. </w:t>
      </w:r>
      <w:r w:rsidRPr="00445A10">
        <w:rPr>
          <w:rFonts w:ascii="Cambria" w:hAnsi="Cambria"/>
          <w:i/>
          <w:sz w:val="16"/>
          <w:szCs w:val="16"/>
          <w:lang w:val="es-ES_tradnl"/>
        </w:rPr>
        <w:t>Gómez Vázquez v. España</w:t>
      </w:r>
      <w:r w:rsidRPr="00445A10">
        <w:rPr>
          <w:rFonts w:ascii="Cambria" w:hAnsi="Cambria"/>
          <w:sz w:val="16"/>
          <w:szCs w:val="16"/>
          <w:lang w:val="es-ES_tradnl"/>
        </w:rPr>
        <w:t xml:space="preserve">. Comunicación No. 701/1996. Decisión de 11 de agosto de 2000, párr. 11.1. </w:t>
      </w:r>
      <w:r w:rsidRPr="00445A10">
        <w:rPr>
          <w:rFonts w:ascii="Cambria" w:hAnsi="Cambria"/>
          <w:i/>
          <w:sz w:val="16"/>
          <w:szCs w:val="16"/>
          <w:lang w:val="es-ES_tradnl"/>
        </w:rPr>
        <w:t xml:space="preserve">   </w:t>
      </w:r>
    </w:p>
  </w:footnote>
  <w:footnote w:id="28">
    <w:p w14:paraId="05D763A5" w14:textId="0D7AADB6" w:rsidR="009379E4" w:rsidRPr="00445A10" w:rsidRDefault="009379E4" w:rsidP="00445A10">
      <w:pPr>
        <w:pStyle w:val="FootnoteText"/>
        <w:tabs>
          <w:tab w:val="left" w:pos="720"/>
        </w:tabs>
        <w:spacing w:after="120"/>
        <w:ind w:firstLine="720"/>
        <w:jc w:val="both"/>
        <w:rPr>
          <w:rFonts w:ascii="Cambria" w:hAnsi="Cambria"/>
          <w:sz w:val="16"/>
          <w:szCs w:val="16"/>
          <w:lang w:val="es-ES_tradnl"/>
        </w:rPr>
      </w:pPr>
      <w:r w:rsidRPr="00445A10">
        <w:rPr>
          <w:rStyle w:val="FootnoteReference"/>
          <w:rFonts w:ascii="Cambria" w:hAnsi="Cambria"/>
          <w:sz w:val="16"/>
          <w:szCs w:val="16"/>
        </w:rPr>
        <w:footnoteRef/>
      </w:r>
      <w:r w:rsidRPr="00445A10">
        <w:rPr>
          <w:rFonts w:ascii="Cambria" w:hAnsi="Cambria"/>
          <w:sz w:val="16"/>
          <w:szCs w:val="16"/>
          <w:lang w:val="es-ES_tradnl"/>
        </w:rPr>
        <w:t xml:space="preserve"> ONU, Comité de Derechos Humanos. </w:t>
      </w:r>
      <w:proofErr w:type="spellStart"/>
      <w:r w:rsidRPr="00445A10">
        <w:rPr>
          <w:rFonts w:ascii="Cambria" w:hAnsi="Cambria"/>
          <w:i/>
          <w:sz w:val="16"/>
          <w:szCs w:val="16"/>
          <w:lang w:val="es-ES_tradnl"/>
        </w:rPr>
        <w:t>Bandajevsky</w:t>
      </w:r>
      <w:proofErr w:type="spellEnd"/>
      <w:r w:rsidRPr="00445A10">
        <w:rPr>
          <w:rFonts w:ascii="Cambria" w:hAnsi="Cambria"/>
          <w:i/>
          <w:sz w:val="16"/>
          <w:szCs w:val="16"/>
          <w:lang w:val="es-ES_tradnl"/>
        </w:rPr>
        <w:t xml:space="preserve"> v. </w:t>
      </w:r>
      <w:proofErr w:type="spellStart"/>
      <w:r w:rsidRPr="00445A10">
        <w:rPr>
          <w:rFonts w:ascii="Cambria" w:hAnsi="Cambria"/>
          <w:i/>
          <w:sz w:val="16"/>
          <w:szCs w:val="16"/>
          <w:lang w:val="es-ES_tradnl"/>
        </w:rPr>
        <w:t>Belarús</w:t>
      </w:r>
      <w:proofErr w:type="spellEnd"/>
      <w:r w:rsidRPr="00445A10">
        <w:rPr>
          <w:rFonts w:ascii="Cambria" w:hAnsi="Cambria"/>
          <w:i/>
          <w:sz w:val="16"/>
          <w:szCs w:val="16"/>
          <w:lang w:val="es-ES_tradnl"/>
        </w:rPr>
        <w:t xml:space="preserve">. </w:t>
      </w:r>
      <w:r w:rsidRPr="00445A10">
        <w:rPr>
          <w:rFonts w:ascii="Cambria" w:hAnsi="Cambria"/>
          <w:sz w:val="16"/>
          <w:szCs w:val="16"/>
          <w:lang w:val="es-ES_tradnl"/>
        </w:rPr>
        <w:t xml:space="preserve">Comunicación No. 1100/202, Decisión de 18 de abril de 2006, párr. </w:t>
      </w:r>
      <w:r w:rsidRPr="003C786B">
        <w:rPr>
          <w:rFonts w:ascii="Cambria" w:hAnsi="Cambria"/>
          <w:sz w:val="16"/>
          <w:szCs w:val="16"/>
          <w:lang w:val="es-MX"/>
        </w:rPr>
        <w:t xml:space="preserve">11.13. Corte IDH., </w:t>
      </w:r>
      <w:r w:rsidRPr="003C786B">
        <w:rPr>
          <w:rFonts w:ascii="Cambria" w:hAnsi="Cambria"/>
          <w:i/>
          <w:sz w:val="16"/>
          <w:szCs w:val="16"/>
          <w:lang w:val="es-MX"/>
        </w:rPr>
        <w:t>Caso Herrera Ulloa Vs. Costa Rica</w:t>
      </w:r>
      <w:r w:rsidRPr="003C786B">
        <w:rPr>
          <w:rFonts w:ascii="Cambria" w:hAnsi="Cambria"/>
          <w:sz w:val="16"/>
          <w:szCs w:val="16"/>
          <w:lang w:val="es-MX"/>
        </w:rPr>
        <w:t xml:space="preserve">. </w:t>
      </w:r>
      <w:r w:rsidRPr="00445A10">
        <w:rPr>
          <w:rFonts w:ascii="Cambria" w:hAnsi="Cambria"/>
          <w:sz w:val="16"/>
          <w:szCs w:val="16"/>
          <w:lang w:val="es-ES_tradnl"/>
        </w:rPr>
        <w:t xml:space="preserve">Sentencia de Excepciones Preliminares, Fondo, Reparaciones y Costas. 2 de julio de 2004. Serie C No. 107, párr. 158; y </w:t>
      </w:r>
      <w:r w:rsidRPr="00445A10">
        <w:rPr>
          <w:rFonts w:ascii="Cambria" w:hAnsi="Cambria"/>
          <w:i/>
          <w:sz w:val="16"/>
          <w:szCs w:val="16"/>
          <w:lang w:val="es-ES_tradnl"/>
        </w:rPr>
        <w:t>Caso Mendoza y otros Vs. Argentina</w:t>
      </w:r>
      <w:r w:rsidRPr="00445A10">
        <w:rPr>
          <w:rFonts w:ascii="Cambria" w:hAnsi="Cambria"/>
          <w:sz w:val="16"/>
          <w:szCs w:val="16"/>
          <w:lang w:val="es-ES_tradnl"/>
        </w:rPr>
        <w:t>. Sentencia de Excepciones Preliminares, Fondo y Reparaciones. 14 de mayo de 2013. Serie C No. 260, párr. 244.</w:t>
      </w:r>
    </w:p>
  </w:footnote>
  <w:footnote w:id="29">
    <w:p w14:paraId="33166505" w14:textId="7141823F" w:rsidR="009379E4" w:rsidRPr="00445A10" w:rsidRDefault="009379E4" w:rsidP="00445A10">
      <w:pPr>
        <w:tabs>
          <w:tab w:val="left" w:pos="720"/>
        </w:tabs>
        <w:spacing w:after="120"/>
        <w:ind w:firstLine="720"/>
        <w:jc w:val="both"/>
        <w:rPr>
          <w:rFonts w:ascii="Cambria" w:hAnsi="Cambria"/>
          <w:sz w:val="16"/>
          <w:szCs w:val="16"/>
          <w:lang w:val="es-ES_tradnl"/>
        </w:rPr>
      </w:pPr>
      <w:r w:rsidRPr="00445A10">
        <w:rPr>
          <w:rStyle w:val="FootnoteReference"/>
          <w:rFonts w:ascii="Cambria" w:hAnsi="Cambria"/>
          <w:sz w:val="16"/>
          <w:szCs w:val="16"/>
        </w:rPr>
        <w:footnoteRef/>
      </w:r>
      <w:r w:rsidRPr="003C786B">
        <w:rPr>
          <w:rFonts w:ascii="Cambria" w:hAnsi="Cambria"/>
          <w:sz w:val="16"/>
          <w:szCs w:val="16"/>
          <w:lang w:val="es-MX"/>
        </w:rPr>
        <w:t xml:space="preserve"> Corte IDH., </w:t>
      </w:r>
      <w:r w:rsidRPr="003C786B">
        <w:rPr>
          <w:rFonts w:ascii="Cambria" w:hAnsi="Cambria"/>
          <w:i/>
          <w:sz w:val="16"/>
          <w:szCs w:val="16"/>
          <w:lang w:val="es-MX"/>
        </w:rPr>
        <w:t xml:space="preserve">Caso Herrera Ulloa Vs. </w:t>
      </w:r>
      <w:r w:rsidRPr="00445A10">
        <w:rPr>
          <w:rFonts w:ascii="Cambria" w:hAnsi="Cambria"/>
          <w:i/>
          <w:sz w:val="16"/>
          <w:szCs w:val="16"/>
          <w:lang w:val="es-ES_tradnl"/>
        </w:rPr>
        <w:t>Costa Rica</w:t>
      </w:r>
      <w:r w:rsidRPr="00445A10">
        <w:rPr>
          <w:rFonts w:ascii="Cambria" w:hAnsi="Cambria"/>
          <w:sz w:val="16"/>
          <w:szCs w:val="16"/>
          <w:lang w:val="es-ES_tradnl"/>
        </w:rPr>
        <w:t xml:space="preserve">. Sentencia de Excepciones Preliminares, Fondo, Reparaciones y Costas. 2 de julio de 2004. Serie C No. 107, párr. 161; y </w:t>
      </w:r>
      <w:r w:rsidRPr="00445A10">
        <w:rPr>
          <w:rFonts w:ascii="Cambria" w:hAnsi="Cambria"/>
          <w:i/>
          <w:sz w:val="16"/>
          <w:szCs w:val="16"/>
          <w:lang w:val="es-ES_tradnl"/>
        </w:rPr>
        <w:t>Caso Mendoza y otros Vs. Argentina</w:t>
      </w:r>
      <w:r w:rsidRPr="00445A10">
        <w:rPr>
          <w:rFonts w:ascii="Cambria" w:hAnsi="Cambria"/>
          <w:sz w:val="16"/>
          <w:szCs w:val="16"/>
          <w:lang w:val="es-ES_tradnl"/>
        </w:rPr>
        <w:t>. Sentencia de Excepciones Preliminares, Fondo y Reparaciones. 14 de mayo de 2013. Serie C No. 260, párr. 244.</w:t>
      </w:r>
    </w:p>
  </w:footnote>
  <w:footnote w:id="30">
    <w:p w14:paraId="7D2E2D81" w14:textId="68D7D116" w:rsidR="009379E4" w:rsidRPr="00445A10" w:rsidRDefault="009379E4" w:rsidP="00445A10">
      <w:pPr>
        <w:pStyle w:val="FootnoteText"/>
        <w:tabs>
          <w:tab w:val="left" w:pos="720"/>
        </w:tabs>
        <w:spacing w:after="120"/>
        <w:ind w:firstLine="720"/>
        <w:jc w:val="both"/>
        <w:rPr>
          <w:rFonts w:ascii="Cambria" w:hAnsi="Cambria"/>
          <w:sz w:val="16"/>
          <w:szCs w:val="16"/>
          <w:lang w:val="es-ES_tradnl"/>
        </w:rPr>
      </w:pPr>
      <w:r w:rsidRPr="00445A10">
        <w:rPr>
          <w:rStyle w:val="FootnoteReference"/>
          <w:rFonts w:ascii="Cambria" w:hAnsi="Cambria"/>
          <w:sz w:val="16"/>
          <w:szCs w:val="16"/>
        </w:rPr>
        <w:footnoteRef/>
      </w:r>
      <w:r w:rsidRPr="003C786B">
        <w:rPr>
          <w:rFonts w:ascii="Cambria" w:hAnsi="Cambria"/>
          <w:sz w:val="16"/>
          <w:szCs w:val="16"/>
          <w:lang w:val="es-MX"/>
        </w:rPr>
        <w:t xml:space="preserve"> Corte IDH., </w:t>
      </w:r>
      <w:r w:rsidRPr="003C786B">
        <w:rPr>
          <w:rFonts w:ascii="Cambria" w:hAnsi="Cambria"/>
          <w:i/>
          <w:sz w:val="16"/>
          <w:szCs w:val="16"/>
          <w:lang w:val="es-MX"/>
        </w:rPr>
        <w:t xml:space="preserve">Caso Herrera Ulloa Vs. </w:t>
      </w:r>
      <w:r w:rsidRPr="00445A10">
        <w:rPr>
          <w:rFonts w:ascii="Cambria" w:hAnsi="Cambria"/>
          <w:i/>
          <w:sz w:val="16"/>
          <w:szCs w:val="16"/>
          <w:lang w:val="es-ES_tradnl"/>
        </w:rPr>
        <w:t>Costa Rica</w:t>
      </w:r>
      <w:r w:rsidRPr="00445A10">
        <w:rPr>
          <w:rFonts w:ascii="Cambria" w:hAnsi="Cambria"/>
          <w:sz w:val="16"/>
          <w:szCs w:val="16"/>
          <w:lang w:val="es-ES_tradnl"/>
        </w:rPr>
        <w:t xml:space="preserve">. Sentencia de Excepciones Preliminares, Fondo, Reparaciones y Costas. 2 de julio de 2004. Serie C No. 107, párr. 164; y </w:t>
      </w:r>
      <w:r w:rsidRPr="00445A10">
        <w:rPr>
          <w:rFonts w:ascii="Cambria" w:hAnsi="Cambria"/>
          <w:i/>
          <w:sz w:val="16"/>
          <w:szCs w:val="16"/>
          <w:lang w:val="es-ES_tradnl"/>
        </w:rPr>
        <w:t>Caso Mendoza y otros Vs. Argentina</w:t>
      </w:r>
      <w:r w:rsidRPr="00445A10">
        <w:rPr>
          <w:rFonts w:ascii="Cambria" w:hAnsi="Cambria"/>
          <w:sz w:val="16"/>
          <w:szCs w:val="16"/>
          <w:lang w:val="es-ES_tradnl"/>
        </w:rPr>
        <w:t>. Sentencia de Excepciones Preliminares, Fondo y Reparaciones. 14 de mayo de 2013. Serie C No. 260, párr. 244.</w:t>
      </w:r>
    </w:p>
  </w:footnote>
  <w:footnote w:id="31">
    <w:p w14:paraId="09CBBFA5" w14:textId="23EAB579" w:rsidR="00712219" w:rsidRPr="00445A10" w:rsidRDefault="00712219" w:rsidP="00445A10">
      <w:pPr>
        <w:pStyle w:val="FootnoteText"/>
        <w:spacing w:after="120"/>
        <w:ind w:firstLine="720"/>
        <w:jc w:val="both"/>
        <w:rPr>
          <w:lang w:val="es-MX"/>
        </w:rPr>
      </w:pPr>
      <w:r w:rsidRPr="00445A10">
        <w:rPr>
          <w:rStyle w:val="FootnoteReference"/>
          <w:rFonts w:asciiTheme="majorHAnsi" w:hAnsiTheme="majorHAnsi"/>
          <w:sz w:val="16"/>
          <w:szCs w:val="16"/>
        </w:rPr>
        <w:footnoteRef/>
      </w:r>
      <w:r w:rsidRPr="00445A10">
        <w:rPr>
          <w:rFonts w:asciiTheme="majorHAnsi" w:hAnsiTheme="majorHAnsi"/>
          <w:sz w:val="16"/>
          <w:szCs w:val="16"/>
          <w:lang w:val="es-MX"/>
        </w:rPr>
        <w:t xml:space="preserve"> </w:t>
      </w:r>
      <w:r w:rsidRPr="00445A10">
        <w:rPr>
          <w:rFonts w:asciiTheme="majorHAnsi" w:hAnsiTheme="majorHAnsi"/>
          <w:sz w:val="16"/>
          <w:szCs w:val="16"/>
          <w:lang w:val="es-ES_tradnl"/>
        </w:rPr>
        <w:t xml:space="preserve">CIDH, Informe No. 33/14, Caso 12.820, Fondo, </w:t>
      </w:r>
      <w:proofErr w:type="spellStart"/>
      <w:r w:rsidRPr="00445A10">
        <w:rPr>
          <w:rFonts w:asciiTheme="majorHAnsi" w:hAnsiTheme="majorHAnsi"/>
          <w:sz w:val="16"/>
          <w:szCs w:val="16"/>
          <w:lang w:val="es-ES_tradnl"/>
        </w:rPr>
        <w:t>Manfred</w:t>
      </w:r>
      <w:proofErr w:type="spellEnd"/>
      <w:r w:rsidRPr="00445A10">
        <w:rPr>
          <w:rFonts w:asciiTheme="majorHAnsi" w:hAnsiTheme="majorHAnsi"/>
          <w:sz w:val="16"/>
          <w:szCs w:val="16"/>
          <w:lang w:val="es-ES_tradnl"/>
        </w:rPr>
        <w:t xml:space="preserve"> </w:t>
      </w:r>
      <w:proofErr w:type="spellStart"/>
      <w:r w:rsidRPr="00445A10">
        <w:rPr>
          <w:rFonts w:asciiTheme="majorHAnsi" w:hAnsiTheme="majorHAnsi"/>
          <w:sz w:val="16"/>
          <w:szCs w:val="16"/>
          <w:lang w:val="es-ES_tradnl"/>
        </w:rPr>
        <w:t>Amrhein</w:t>
      </w:r>
      <w:proofErr w:type="spellEnd"/>
      <w:r w:rsidRPr="00445A10">
        <w:rPr>
          <w:rFonts w:asciiTheme="majorHAnsi" w:hAnsiTheme="majorHAnsi"/>
          <w:sz w:val="16"/>
          <w:szCs w:val="16"/>
          <w:lang w:val="es-ES_tradnl"/>
        </w:rPr>
        <w:t xml:space="preserve"> y otros, Costa Rica, 4 de abril de 2014, párr. 188.</w:t>
      </w:r>
    </w:p>
  </w:footnote>
  <w:footnote w:id="32">
    <w:p w14:paraId="6F94B302" w14:textId="77777777" w:rsidR="009379E4" w:rsidRPr="00463527" w:rsidRDefault="009379E4" w:rsidP="00445A10">
      <w:pPr>
        <w:pStyle w:val="FootnoteText"/>
        <w:spacing w:after="120"/>
        <w:ind w:firstLine="720"/>
        <w:jc w:val="both"/>
        <w:rPr>
          <w:rFonts w:ascii="Cambria" w:hAnsi="Cambria"/>
          <w:sz w:val="16"/>
          <w:szCs w:val="16"/>
          <w:highlight w:val="yellow"/>
          <w:lang w:val="es-ES_tradnl"/>
        </w:rPr>
      </w:pPr>
      <w:r w:rsidRPr="00445A10">
        <w:rPr>
          <w:rStyle w:val="FootnoteReference"/>
          <w:rFonts w:ascii="Cambria" w:hAnsi="Cambria"/>
          <w:sz w:val="16"/>
          <w:szCs w:val="16"/>
        </w:rPr>
        <w:footnoteRef/>
      </w:r>
      <w:r w:rsidRPr="00445A10">
        <w:rPr>
          <w:rFonts w:ascii="Cambria" w:hAnsi="Cambria"/>
          <w:sz w:val="16"/>
          <w:szCs w:val="16"/>
          <w:lang w:val="es-ES_tradnl"/>
        </w:rPr>
        <w:t xml:space="preserve"> CIDH, Informe No. 172/10, Caso 12.561, Fondo, César Alberto Mendoza y otros (Prisión y reclusión perpetuas de adolescentes), Argentina, 2 de noviembre de 2010, párr. 186.</w:t>
      </w:r>
    </w:p>
  </w:footnote>
  <w:footnote w:id="33">
    <w:p w14:paraId="36A44B63" w14:textId="77777777" w:rsidR="009379E4" w:rsidRPr="0033784B" w:rsidRDefault="009379E4" w:rsidP="00445A10">
      <w:pPr>
        <w:pStyle w:val="FootnoteText"/>
        <w:tabs>
          <w:tab w:val="left" w:pos="720"/>
        </w:tabs>
        <w:spacing w:after="120"/>
        <w:ind w:firstLine="720"/>
        <w:jc w:val="both"/>
        <w:rPr>
          <w:rFonts w:ascii="Cambria" w:hAnsi="Cambria"/>
          <w:sz w:val="16"/>
          <w:szCs w:val="16"/>
          <w:lang w:val="es-ES_tradnl"/>
        </w:rPr>
      </w:pPr>
      <w:r w:rsidRPr="0033784B">
        <w:rPr>
          <w:rStyle w:val="FootnoteReference"/>
          <w:rFonts w:ascii="Cambria" w:hAnsi="Cambria"/>
          <w:sz w:val="16"/>
          <w:szCs w:val="16"/>
        </w:rPr>
        <w:footnoteRef/>
      </w:r>
      <w:r w:rsidRPr="0033784B">
        <w:rPr>
          <w:rFonts w:ascii="Cambria" w:hAnsi="Cambria"/>
          <w:sz w:val="16"/>
          <w:szCs w:val="16"/>
          <w:lang w:val="es-ES_tradnl"/>
        </w:rPr>
        <w:t xml:space="preserve"> CIDH, Informe No. 55/97, Caso 11.137, Fondo, Juan Carlos Abella, Argentina, 18 de noviembre de 1997, </w:t>
      </w:r>
      <w:proofErr w:type="spellStart"/>
      <w:r w:rsidRPr="0033784B">
        <w:rPr>
          <w:rFonts w:ascii="Cambria" w:hAnsi="Cambria"/>
          <w:sz w:val="16"/>
          <w:szCs w:val="16"/>
          <w:lang w:val="es-ES_tradnl"/>
        </w:rPr>
        <w:t>párrs</w:t>
      </w:r>
      <w:proofErr w:type="spellEnd"/>
      <w:r w:rsidRPr="0033784B">
        <w:rPr>
          <w:rFonts w:ascii="Cambria" w:hAnsi="Cambria"/>
          <w:sz w:val="16"/>
          <w:szCs w:val="16"/>
          <w:lang w:val="es-ES_tradnl"/>
        </w:rPr>
        <w:t>. 261-262.</w:t>
      </w:r>
    </w:p>
  </w:footnote>
  <w:footnote w:id="34">
    <w:p w14:paraId="57ECF1F3" w14:textId="77777777" w:rsidR="009379E4" w:rsidRPr="0033784B" w:rsidRDefault="009379E4" w:rsidP="00445A10">
      <w:pPr>
        <w:pStyle w:val="FootnoteText"/>
        <w:tabs>
          <w:tab w:val="left" w:pos="720"/>
        </w:tabs>
        <w:spacing w:after="120"/>
        <w:ind w:firstLine="720"/>
        <w:jc w:val="both"/>
        <w:rPr>
          <w:rFonts w:ascii="Cambria" w:hAnsi="Cambria"/>
          <w:sz w:val="16"/>
          <w:szCs w:val="16"/>
          <w:lang w:val="es-ES_tradnl"/>
        </w:rPr>
      </w:pPr>
      <w:r w:rsidRPr="0033784B">
        <w:rPr>
          <w:rStyle w:val="FootnoteReference"/>
          <w:rFonts w:ascii="Cambria" w:hAnsi="Cambria"/>
          <w:sz w:val="16"/>
          <w:szCs w:val="16"/>
        </w:rPr>
        <w:footnoteRef/>
      </w:r>
      <w:r w:rsidRPr="0033784B">
        <w:rPr>
          <w:rFonts w:ascii="Cambria" w:hAnsi="Cambria"/>
          <w:sz w:val="16"/>
          <w:szCs w:val="16"/>
          <w:lang w:val="es-ES_tradnl"/>
        </w:rPr>
        <w:t xml:space="preserve"> La redacción de del artículo 14.5 del PIDCP es sustancialmente similar a la del artículo 8.2.h de la Convención Americana, por lo tanto las interpretaciones que haga el Comité de los Derechos Humanos de la ONU con relación al contenido y alcance de dicho artículo son pertinentes como pauta de interpretación del artículo 8.2.h de la Convención Americana.</w:t>
      </w:r>
    </w:p>
  </w:footnote>
  <w:footnote w:id="35">
    <w:p w14:paraId="380AE114" w14:textId="77777777" w:rsidR="009379E4" w:rsidRPr="0033784B" w:rsidRDefault="009379E4" w:rsidP="00445A10">
      <w:pPr>
        <w:pStyle w:val="FootnoteText"/>
        <w:tabs>
          <w:tab w:val="left" w:pos="720"/>
        </w:tabs>
        <w:spacing w:after="120"/>
        <w:ind w:firstLine="720"/>
        <w:jc w:val="both"/>
        <w:rPr>
          <w:rFonts w:ascii="Cambria" w:hAnsi="Cambria" w:cs="Times-Roman"/>
          <w:i/>
          <w:sz w:val="16"/>
          <w:szCs w:val="16"/>
          <w:lang w:val="es-ES_tradnl" w:bidi="en-US"/>
        </w:rPr>
      </w:pPr>
      <w:r w:rsidRPr="0033784B">
        <w:rPr>
          <w:rStyle w:val="FootnoteReference"/>
          <w:rFonts w:ascii="Cambria" w:hAnsi="Cambria"/>
          <w:sz w:val="16"/>
          <w:szCs w:val="16"/>
        </w:rPr>
        <w:footnoteRef/>
      </w:r>
      <w:r w:rsidRPr="0033784B">
        <w:rPr>
          <w:rFonts w:ascii="Cambria" w:hAnsi="Cambria"/>
          <w:sz w:val="16"/>
          <w:szCs w:val="16"/>
          <w:lang w:val="es-ES_tradnl"/>
        </w:rPr>
        <w:t xml:space="preserve"> ONU, Comité de Derechos Humanos. </w:t>
      </w:r>
      <w:proofErr w:type="spellStart"/>
      <w:r w:rsidRPr="0033784B">
        <w:rPr>
          <w:rFonts w:ascii="Cambria" w:hAnsi="Cambria" w:cs="Times-Roman"/>
          <w:i/>
          <w:sz w:val="16"/>
          <w:szCs w:val="16"/>
          <w:lang w:val="es-ES_tradnl" w:bidi="en-US"/>
        </w:rPr>
        <w:t>Aliboev</w:t>
      </w:r>
      <w:proofErr w:type="spellEnd"/>
      <w:r w:rsidRPr="0033784B">
        <w:rPr>
          <w:rFonts w:ascii="Cambria" w:hAnsi="Cambria" w:cs="Times-Roman"/>
          <w:i/>
          <w:sz w:val="16"/>
          <w:szCs w:val="16"/>
          <w:lang w:val="es-ES_tradnl" w:bidi="en-US"/>
        </w:rPr>
        <w:t xml:space="preserve"> v. </w:t>
      </w:r>
      <w:proofErr w:type="spellStart"/>
      <w:r w:rsidRPr="0033784B">
        <w:rPr>
          <w:rFonts w:ascii="Cambria" w:hAnsi="Cambria" w:cs="Times-Roman"/>
          <w:i/>
          <w:sz w:val="16"/>
          <w:szCs w:val="16"/>
          <w:lang w:val="es-ES_tradnl" w:bidi="en-US"/>
        </w:rPr>
        <w:t>Tajikistan</w:t>
      </w:r>
      <w:proofErr w:type="spellEnd"/>
      <w:r w:rsidRPr="0033784B">
        <w:rPr>
          <w:rFonts w:ascii="Cambria" w:hAnsi="Cambria" w:cs="Times-Roman"/>
          <w:sz w:val="16"/>
          <w:szCs w:val="16"/>
          <w:lang w:val="es-ES_tradnl" w:bidi="en-US"/>
        </w:rPr>
        <w:t xml:space="preserve">, Comunicación No. 985/2001, Decisión de 18 de octubre de 2005; </w:t>
      </w:r>
      <w:proofErr w:type="spellStart"/>
      <w:r w:rsidRPr="0033784B">
        <w:rPr>
          <w:rFonts w:ascii="Cambria" w:hAnsi="Cambria" w:cs="Times-Roman"/>
          <w:i/>
          <w:sz w:val="16"/>
          <w:szCs w:val="16"/>
          <w:lang w:val="es-ES_tradnl" w:bidi="en-US"/>
        </w:rPr>
        <w:t>Khalilov</w:t>
      </w:r>
      <w:proofErr w:type="spellEnd"/>
      <w:r w:rsidRPr="0033784B">
        <w:rPr>
          <w:rFonts w:ascii="Cambria" w:hAnsi="Cambria" w:cs="Times-Roman"/>
          <w:i/>
          <w:sz w:val="16"/>
          <w:szCs w:val="16"/>
          <w:lang w:val="es-ES_tradnl" w:bidi="en-US"/>
        </w:rPr>
        <w:t xml:space="preserve"> v. </w:t>
      </w:r>
      <w:proofErr w:type="spellStart"/>
      <w:r w:rsidRPr="0033784B">
        <w:rPr>
          <w:rFonts w:ascii="Cambria" w:hAnsi="Cambria" w:cs="Times-Roman"/>
          <w:i/>
          <w:sz w:val="16"/>
          <w:szCs w:val="16"/>
          <w:lang w:val="es-ES_tradnl" w:bidi="en-US"/>
        </w:rPr>
        <w:t>Tajikistan</w:t>
      </w:r>
      <w:proofErr w:type="spellEnd"/>
      <w:r w:rsidRPr="0033784B">
        <w:rPr>
          <w:rFonts w:ascii="Cambria" w:hAnsi="Cambria" w:cs="Times-Roman"/>
          <w:sz w:val="16"/>
          <w:szCs w:val="16"/>
          <w:lang w:val="es-ES_tradnl" w:bidi="en-US"/>
        </w:rPr>
        <w:t xml:space="preserve">, Comunicación No. 973/2001, Decisión de 30 de marzo de 2005; </w:t>
      </w:r>
      <w:proofErr w:type="spellStart"/>
      <w:r w:rsidRPr="0033784B">
        <w:rPr>
          <w:rFonts w:ascii="Cambria" w:hAnsi="Cambria" w:cs="Times-Roman"/>
          <w:i/>
          <w:sz w:val="16"/>
          <w:szCs w:val="16"/>
          <w:lang w:val="es-ES_tradnl" w:bidi="en-US"/>
        </w:rPr>
        <w:t>Domukovsky</w:t>
      </w:r>
      <w:proofErr w:type="spellEnd"/>
      <w:r w:rsidRPr="0033784B">
        <w:rPr>
          <w:rFonts w:ascii="Cambria" w:hAnsi="Cambria" w:cs="Times-Roman"/>
          <w:i/>
          <w:sz w:val="16"/>
          <w:szCs w:val="16"/>
          <w:lang w:val="es-ES_tradnl" w:bidi="en-US"/>
        </w:rPr>
        <w:t xml:space="preserve"> et al. v. Georgia, </w:t>
      </w:r>
      <w:r w:rsidRPr="0033784B">
        <w:rPr>
          <w:rFonts w:ascii="Cambria" w:hAnsi="Cambria" w:cs="Times-Roman"/>
          <w:sz w:val="16"/>
          <w:szCs w:val="16"/>
          <w:lang w:val="es-ES_tradnl" w:bidi="en-US"/>
        </w:rPr>
        <w:t xml:space="preserve">Comunicación No. 623-627/1995, Decisión de 6 de abril de 1998; y </w:t>
      </w:r>
      <w:proofErr w:type="spellStart"/>
      <w:r w:rsidRPr="0033784B">
        <w:rPr>
          <w:rFonts w:ascii="Cambria" w:hAnsi="Cambria" w:cs="Times-Roman"/>
          <w:i/>
          <w:sz w:val="16"/>
          <w:szCs w:val="16"/>
          <w:lang w:val="es-ES_tradnl" w:bidi="en-US"/>
        </w:rPr>
        <w:t>Saidova</w:t>
      </w:r>
      <w:proofErr w:type="spellEnd"/>
      <w:r w:rsidRPr="0033784B">
        <w:rPr>
          <w:rFonts w:ascii="Cambria" w:hAnsi="Cambria" w:cs="Times-Roman"/>
          <w:i/>
          <w:sz w:val="16"/>
          <w:szCs w:val="16"/>
          <w:lang w:val="es-ES_tradnl" w:bidi="en-US"/>
        </w:rPr>
        <w:t xml:space="preserve"> v. </w:t>
      </w:r>
      <w:proofErr w:type="spellStart"/>
      <w:r w:rsidRPr="0033784B">
        <w:rPr>
          <w:rFonts w:ascii="Cambria" w:hAnsi="Cambria" w:cs="Times-Roman"/>
          <w:i/>
          <w:sz w:val="16"/>
          <w:szCs w:val="16"/>
          <w:lang w:val="es-ES_tradnl" w:bidi="en-US"/>
        </w:rPr>
        <w:t>Tajikistan</w:t>
      </w:r>
      <w:proofErr w:type="spellEnd"/>
      <w:r w:rsidRPr="0033784B">
        <w:rPr>
          <w:rFonts w:ascii="Cambria" w:hAnsi="Cambria" w:cs="Times-Roman"/>
          <w:sz w:val="16"/>
          <w:szCs w:val="16"/>
          <w:lang w:val="es-ES_tradnl" w:bidi="en-US"/>
        </w:rPr>
        <w:t>, Comunicación No. 964/2001, Decisión de 8 de julio de 2004.</w:t>
      </w:r>
    </w:p>
  </w:footnote>
  <w:footnote w:id="36">
    <w:p w14:paraId="14698207" w14:textId="77777777" w:rsidR="009379E4" w:rsidRPr="0033784B" w:rsidRDefault="009379E4" w:rsidP="00445A10">
      <w:pPr>
        <w:pStyle w:val="FootnoteText"/>
        <w:tabs>
          <w:tab w:val="left" w:pos="720"/>
        </w:tabs>
        <w:spacing w:after="120"/>
        <w:ind w:firstLine="720"/>
        <w:jc w:val="both"/>
        <w:rPr>
          <w:rFonts w:ascii="Cambria" w:hAnsi="Cambria"/>
          <w:sz w:val="16"/>
          <w:szCs w:val="16"/>
          <w:lang w:val="es-ES_tradnl"/>
        </w:rPr>
      </w:pPr>
      <w:r w:rsidRPr="0033784B">
        <w:rPr>
          <w:rStyle w:val="FootnoteReference"/>
          <w:rFonts w:ascii="Cambria" w:hAnsi="Cambria"/>
          <w:sz w:val="16"/>
          <w:szCs w:val="16"/>
        </w:rPr>
        <w:footnoteRef/>
      </w:r>
      <w:r w:rsidRPr="0033784B">
        <w:rPr>
          <w:rFonts w:ascii="Cambria" w:hAnsi="Cambria"/>
          <w:sz w:val="16"/>
          <w:szCs w:val="16"/>
          <w:lang w:val="es-ES_tradnl"/>
        </w:rPr>
        <w:t xml:space="preserve"> ONU, Comité de Derechos Humanos. Observación General No. 32 “</w:t>
      </w:r>
      <w:r w:rsidRPr="0033784B">
        <w:rPr>
          <w:rFonts w:ascii="Cambria" w:hAnsi="Cambria"/>
          <w:iCs/>
          <w:sz w:val="16"/>
          <w:szCs w:val="16"/>
          <w:lang w:val="es-ES_tradnl"/>
        </w:rPr>
        <w:t>Artículo 14. El derecho a un juicio imparcial y a la igualdad ante los tribunales y cortes de justicia</w:t>
      </w:r>
      <w:r w:rsidRPr="0033784B">
        <w:rPr>
          <w:rFonts w:ascii="Cambria" w:hAnsi="Cambria"/>
          <w:sz w:val="16"/>
          <w:szCs w:val="16"/>
          <w:lang w:val="es-ES_tradnl"/>
        </w:rPr>
        <w:t>”</w:t>
      </w:r>
      <w:r w:rsidRPr="0033784B">
        <w:rPr>
          <w:rFonts w:ascii="Cambria" w:hAnsi="Cambria"/>
          <w:iCs/>
          <w:sz w:val="16"/>
          <w:szCs w:val="16"/>
          <w:lang w:val="es-ES_tradnl"/>
        </w:rPr>
        <w:t>.</w:t>
      </w:r>
      <w:r w:rsidRPr="0033784B">
        <w:rPr>
          <w:rFonts w:ascii="Cambria" w:hAnsi="Cambria"/>
          <w:i/>
          <w:iCs/>
          <w:sz w:val="16"/>
          <w:szCs w:val="16"/>
          <w:lang w:val="es-ES_tradnl"/>
        </w:rPr>
        <w:t xml:space="preserve"> </w:t>
      </w:r>
      <w:r w:rsidRPr="0033784B">
        <w:rPr>
          <w:rFonts w:ascii="Cambria" w:hAnsi="Cambria"/>
          <w:iCs/>
          <w:sz w:val="16"/>
          <w:szCs w:val="16"/>
          <w:lang w:val="es-ES_tradnl"/>
        </w:rPr>
        <w:t xml:space="preserve">2007, </w:t>
      </w:r>
      <w:r w:rsidRPr="0033784B">
        <w:rPr>
          <w:rFonts w:ascii="Cambria" w:hAnsi="Cambria"/>
          <w:sz w:val="16"/>
          <w:szCs w:val="16"/>
          <w:lang w:val="es-ES_tradnl"/>
        </w:rPr>
        <w:t>párr. 48.</w:t>
      </w:r>
    </w:p>
  </w:footnote>
  <w:footnote w:id="37">
    <w:p w14:paraId="2EADFE24" w14:textId="77777777" w:rsidR="009379E4" w:rsidRPr="00463527" w:rsidRDefault="009379E4" w:rsidP="00445A10">
      <w:pPr>
        <w:pStyle w:val="FootnoteText"/>
        <w:spacing w:after="120"/>
        <w:ind w:firstLine="720"/>
        <w:jc w:val="both"/>
        <w:rPr>
          <w:rFonts w:ascii="Cambria" w:hAnsi="Cambria"/>
          <w:sz w:val="16"/>
          <w:szCs w:val="16"/>
          <w:highlight w:val="yellow"/>
          <w:lang w:val="es-ES_tradnl"/>
        </w:rPr>
      </w:pPr>
      <w:r w:rsidRPr="0033784B">
        <w:rPr>
          <w:rStyle w:val="FootnoteReference"/>
          <w:rFonts w:ascii="Cambria" w:hAnsi="Cambria"/>
          <w:sz w:val="16"/>
          <w:szCs w:val="16"/>
        </w:rPr>
        <w:footnoteRef/>
      </w:r>
      <w:r w:rsidRPr="0033784B">
        <w:rPr>
          <w:rFonts w:ascii="Cambria" w:hAnsi="Cambria"/>
          <w:sz w:val="16"/>
          <w:szCs w:val="16"/>
          <w:lang w:val="es-ES_tradnl"/>
        </w:rPr>
        <w:t xml:space="preserve"> CIDH, Informe No. 172/10, Caso 12.561, Fondo, César Alberto Mendoza y otros (Prisión y reclusión perpetuas de adolescentes), Argentina, 2 de noviembre de 2010, párr. 189.</w:t>
      </w:r>
    </w:p>
  </w:footnote>
  <w:footnote w:id="38">
    <w:p w14:paraId="41DF4BC9" w14:textId="2F306E66" w:rsidR="009379E4" w:rsidRPr="0033784B" w:rsidRDefault="009379E4" w:rsidP="00445A10">
      <w:pPr>
        <w:pStyle w:val="FootnoteText"/>
        <w:spacing w:after="120"/>
        <w:ind w:firstLine="720"/>
        <w:jc w:val="both"/>
        <w:rPr>
          <w:rFonts w:ascii="Cambria" w:hAnsi="Cambria"/>
          <w:sz w:val="16"/>
          <w:szCs w:val="16"/>
          <w:lang w:val="es-ES_tradnl"/>
        </w:rPr>
      </w:pPr>
      <w:r w:rsidRPr="0033784B">
        <w:rPr>
          <w:rStyle w:val="FootnoteReference"/>
          <w:rFonts w:ascii="Cambria" w:hAnsi="Cambria"/>
          <w:sz w:val="16"/>
          <w:szCs w:val="16"/>
        </w:rPr>
        <w:footnoteRef/>
      </w:r>
      <w:r w:rsidRPr="0033784B">
        <w:rPr>
          <w:rFonts w:ascii="Cambria" w:hAnsi="Cambria"/>
          <w:sz w:val="16"/>
          <w:szCs w:val="16"/>
          <w:lang w:val="es-ES_tradnl"/>
        </w:rPr>
        <w:t xml:space="preserve"> Corte IDH., </w:t>
      </w:r>
      <w:r w:rsidRPr="0033784B">
        <w:rPr>
          <w:rFonts w:ascii="Cambria" w:hAnsi="Cambria"/>
          <w:i/>
          <w:sz w:val="16"/>
          <w:szCs w:val="16"/>
          <w:lang w:val="es-ES_tradnl"/>
        </w:rPr>
        <w:t>Caso Mendoza y otros Vs. Argentina</w:t>
      </w:r>
      <w:r w:rsidRPr="0033784B">
        <w:rPr>
          <w:rFonts w:ascii="Cambria" w:hAnsi="Cambria"/>
          <w:sz w:val="16"/>
          <w:szCs w:val="16"/>
          <w:lang w:val="es-ES_tradnl"/>
        </w:rPr>
        <w:t>. Sentencia de Excepciones Preliminares, Fondo y Reparaciones. 14 de mayo de 2013. Serie C No. 260, párr. 245.</w:t>
      </w:r>
    </w:p>
  </w:footnote>
  <w:footnote w:id="39">
    <w:p w14:paraId="2E6B40DA" w14:textId="7FCCF096" w:rsidR="009379E4" w:rsidRPr="0033784B" w:rsidRDefault="009379E4" w:rsidP="00445A10">
      <w:pPr>
        <w:pStyle w:val="FootnoteText"/>
        <w:spacing w:after="120"/>
        <w:ind w:firstLine="720"/>
        <w:jc w:val="both"/>
        <w:rPr>
          <w:rFonts w:ascii="Cambria" w:hAnsi="Cambria"/>
          <w:sz w:val="16"/>
          <w:szCs w:val="16"/>
          <w:lang w:val="es-ES_tradnl"/>
        </w:rPr>
      </w:pPr>
      <w:r w:rsidRPr="0033784B">
        <w:rPr>
          <w:rStyle w:val="FootnoteReference"/>
          <w:rFonts w:ascii="Cambria" w:hAnsi="Cambria"/>
          <w:sz w:val="16"/>
          <w:szCs w:val="16"/>
        </w:rPr>
        <w:footnoteRef/>
      </w:r>
      <w:r w:rsidRPr="003C786B">
        <w:rPr>
          <w:rFonts w:ascii="Cambria" w:hAnsi="Cambria"/>
          <w:sz w:val="16"/>
          <w:szCs w:val="16"/>
          <w:lang w:val="es-MX"/>
        </w:rPr>
        <w:t xml:space="preserve"> Corte IDH., </w:t>
      </w:r>
      <w:r w:rsidRPr="003C786B">
        <w:rPr>
          <w:rFonts w:ascii="Cambria" w:hAnsi="Cambria"/>
          <w:bCs/>
          <w:i/>
          <w:sz w:val="16"/>
          <w:szCs w:val="16"/>
          <w:lang w:val="es-MX"/>
        </w:rPr>
        <w:t xml:space="preserve">Caso Mohamed Vs. </w:t>
      </w:r>
      <w:r w:rsidRPr="0033784B">
        <w:rPr>
          <w:rFonts w:ascii="Cambria" w:hAnsi="Cambria"/>
          <w:bCs/>
          <w:i/>
          <w:sz w:val="16"/>
          <w:szCs w:val="16"/>
          <w:lang w:val="es-ES_tradnl"/>
        </w:rPr>
        <w:t xml:space="preserve">Argentina. </w:t>
      </w:r>
      <w:r w:rsidRPr="0033784B">
        <w:rPr>
          <w:rFonts w:ascii="Cambria" w:hAnsi="Cambria"/>
          <w:bCs/>
          <w:sz w:val="16"/>
          <w:szCs w:val="16"/>
          <w:lang w:val="es-ES_tradnl"/>
        </w:rPr>
        <w:t>Sentencia de Excepción Preliminar, Fondo, Reparaciones y Costas. 23 de noviembre de 2012. Serie C No. 255,</w:t>
      </w:r>
      <w:r w:rsidRPr="0033784B">
        <w:rPr>
          <w:rFonts w:ascii="Cambria" w:hAnsi="Cambria"/>
          <w:bCs/>
          <w:i/>
          <w:sz w:val="16"/>
          <w:szCs w:val="16"/>
          <w:lang w:val="es-ES_tradnl"/>
        </w:rPr>
        <w:t xml:space="preserve"> </w:t>
      </w:r>
      <w:r w:rsidRPr="0033784B">
        <w:rPr>
          <w:rFonts w:ascii="Cambria" w:hAnsi="Cambria"/>
          <w:sz w:val="16"/>
          <w:szCs w:val="16"/>
          <w:lang w:val="es-ES_tradnl"/>
        </w:rPr>
        <w:t xml:space="preserve">párr. 100; </w:t>
      </w:r>
      <w:r w:rsidRPr="0033784B">
        <w:rPr>
          <w:rFonts w:ascii="Cambria" w:hAnsi="Cambria"/>
          <w:i/>
          <w:sz w:val="16"/>
          <w:szCs w:val="16"/>
          <w:lang w:val="es-ES_tradnl"/>
        </w:rPr>
        <w:t>Caso Mendoza y otros Vs. Argentina</w:t>
      </w:r>
      <w:r w:rsidRPr="0033784B">
        <w:rPr>
          <w:rFonts w:ascii="Cambria" w:hAnsi="Cambria"/>
          <w:sz w:val="16"/>
          <w:szCs w:val="16"/>
          <w:lang w:val="es-ES_tradnl"/>
        </w:rPr>
        <w:t>. Sentencia de Excepciones Preliminares, Fondo y Reparaciones. 14 de mayo de 2013. Serie C No. 260, párr. 245.</w:t>
      </w:r>
    </w:p>
  </w:footnote>
  <w:footnote w:id="40">
    <w:p w14:paraId="63A3B513" w14:textId="7072FE15" w:rsidR="009379E4" w:rsidRPr="0033784B" w:rsidRDefault="009379E4" w:rsidP="00445A10">
      <w:pPr>
        <w:pStyle w:val="FootnoteText"/>
        <w:spacing w:after="120"/>
        <w:ind w:firstLine="720"/>
        <w:jc w:val="both"/>
        <w:rPr>
          <w:rFonts w:ascii="Cambria" w:hAnsi="Cambria"/>
          <w:sz w:val="16"/>
          <w:szCs w:val="16"/>
          <w:lang w:val="es-ES_tradnl"/>
        </w:rPr>
      </w:pPr>
      <w:r w:rsidRPr="0033784B">
        <w:rPr>
          <w:rStyle w:val="FootnoteReference"/>
          <w:rFonts w:ascii="Cambria" w:hAnsi="Cambria"/>
          <w:sz w:val="16"/>
          <w:szCs w:val="16"/>
        </w:rPr>
        <w:footnoteRef/>
      </w:r>
      <w:r w:rsidRPr="003C786B">
        <w:rPr>
          <w:rFonts w:ascii="Cambria" w:hAnsi="Cambria"/>
          <w:sz w:val="16"/>
          <w:szCs w:val="16"/>
          <w:lang w:val="es-MX"/>
        </w:rPr>
        <w:t xml:space="preserve"> Corte IDH., </w:t>
      </w:r>
      <w:r w:rsidRPr="003C786B">
        <w:rPr>
          <w:rFonts w:ascii="Cambria" w:hAnsi="Cambria"/>
          <w:bCs/>
          <w:i/>
          <w:sz w:val="16"/>
          <w:szCs w:val="16"/>
          <w:lang w:val="es-MX"/>
        </w:rPr>
        <w:t xml:space="preserve">Caso Mohamed Vs. </w:t>
      </w:r>
      <w:r w:rsidRPr="0033784B">
        <w:rPr>
          <w:rFonts w:ascii="Cambria" w:hAnsi="Cambria"/>
          <w:bCs/>
          <w:i/>
          <w:sz w:val="16"/>
          <w:szCs w:val="16"/>
          <w:lang w:val="es-ES_tradnl"/>
        </w:rPr>
        <w:t xml:space="preserve">Argentina. </w:t>
      </w:r>
      <w:r w:rsidRPr="0033784B">
        <w:rPr>
          <w:rFonts w:ascii="Cambria" w:hAnsi="Cambria"/>
          <w:bCs/>
          <w:sz w:val="16"/>
          <w:szCs w:val="16"/>
          <w:lang w:val="es-ES_tradnl"/>
        </w:rPr>
        <w:t>Sentencia de Excepción Preliminar, Fondo, Reparaciones y Costas. 23 de noviembre de 2012. Serie C No. 255,</w:t>
      </w:r>
      <w:r w:rsidRPr="0033784B">
        <w:rPr>
          <w:rFonts w:ascii="Cambria" w:hAnsi="Cambria"/>
          <w:bCs/>
          <w:i/>
          <w:sz w:val="16"/>
          <w:szCs w:val="16"/>
          <w:lang w:val="es-ES_tradnl"/>
        </w:rPr>
        <w:t xml:space="preserve"> </w:t>
      </w:r>
      <w:r w:rsidRPr="0033784B">
        <w:rPr>
          <w:rFonts w:ascii="Cambria" w:hAnsi="Cambria"/>
          <w:sz w:val="16"/>
          <w:szCs w:val="16"/>
          <w:lang w:val="es-ES_tradnl"/>
        </w:rPr>
        <w:t xml:space="preserve">párr. 101; </w:t>
      </w:r>
      <w:r w:rsidRPr="0033784B">
        <w:rPr>
          <w:rFonts w:ascii="Cambria" w:hAnsi="Cambria"/>
          <w:i/>
          <w:sz w:val="16"/>
          <w:szCs w:val="16"/>
          <w:lang w:val="es-ES_tradnl"/>
        </w:rPr>
        <w:t>Caso Mendoza y otros Vs. Argentina</w:t>
      </w:r>
      <w:r w:rsidRPr="0033784B">
        <w:rPr>
          <w:rFonts w:ascii="Cambria" w:hAnsi="Cambria"/>
          <w:sz w:val="16"/>
          <w:szCs w:val="16"/>
          <w:lang w:val="es-ES_tradnl"/>
        </w:rPr>
        <w:t>. Sentencia de Excepciones Preliminares, Fondo y Reparaciones. 14 de mayo de 2013. Serie C No. 260, párr. 245.</w:t>
      </w:r>
    </w:p>
  </w:footnote>
  <w:footnote w:id="41">
    <w:p w14:paraId="69ECEA25" w14:textId="66A63E80" w:rsidR="009C72FF" w:rsidRPr="0033784B" w:rsidRDefault="009C72FF" w:rsidP="00445A10">
      <w:pPr>
        <w:pStyle w:val="FootnoteText"/>
        <w:spacing w:after="120"/>
        <w:ind w:firstLine="720"/>
        <w:rPr>
          <w:rFonts w:asciiTheme="majorHAnsi" w:hAnsiTheme="majorHAnsi"/>
          <w:sz w:val="16"/>
          <w:szCs w:val="16"/>
          <w:lang w:val="es-MX"/>
        </w:rPr>
      </w:pPr>
      <w:r w:rsidRPr="0033784B">
        <w:rPr>
          <w:rStyle w:val="FootnoteReference"/>
          <w:rFonts w:asciiTheme="majorHAnsi" w:hAnsiTheme="majorHAnsi"/>
          <w:sz w:val="16"/>
          <w:szCs w:val="16"/>
        </w:rPr>
        <w:footnoteRef/>
      </w:r>
      <w:r w:rsidRPr="0033784B">
        <w:rPr>
          <w:rFonts w:asciiTheme="majorHAnsi" w:hAnsiTheme="majorHAnsi"/>
          <w:sz w:val="16"/>
          <w:szCs w:val="16"/>
          <w:lang w:val="es-MX"/>
        </w:rPr>
        <w:t xml:space="preserve"> CIDH, Informe No. 33/14, Caso 12.820, Fondo, </w:t>
      </w:r>
      <w:proofErr w:type="spellStart"/>
      <w:r w:rsidRPr="0033784B">
        <w:rPr>
          <w:rFonts w:asciiTheme="majorHAnsi" w:hAnsiTheme="majorHAnsi"/>
          <w:sz w:val="16"/>
          <w:szCs w:val="16"/>
          <w:lang w:val="es-MX"/>
        </w:rPr>
        <w:t>Manfred</w:t>
      </w:r>
      <w:proofErr w:type="spellEnd"/>
      <w:r w:rsidRPr="0033784B">
        <w:rPr>
          <w:rFonts w:asciiTheme="majorHAnsi" w:hAnsiTheme="majorHAnsi"/>
          <w:sz w:val="16"/>
          <w:szCs w:val="16"/>
          <w:lang w:val="es-MX"/>
        </w:rPr>
        <w:t xml:space="preserve"> </w:t>
      </w:r>
      <w:proofErr w:type="spellStart"/>
      <w:r w:rsidRPr="0033784B">
        <w:rPr>
          <w:rFonts w:asciiTheme="majorHAnsi" w:hAnsiTheme="majorHAnsi"/>
          <w:sz w:val="16"/>
          <w:szCs w:val="16"/>
          <w:lang w:val="es-MX"/>
        </w:rPr>
        <w:t>Amrhein</w:t>
      </w:r>
      <w:proofErr w:type="spellEnd"/>
      <w:r w:rsidRPr="0033784B">
        <w:rPr>
          <w:rFonts w:asciiTheme="majorHAnsi" w:hAnsiTheme="majorHAnsi"/>
          <w:sz w:val="16"/>
          <w:szCs w:val="16"/>
          <w:lang w:val="es-MX"/>
        </w:rPr>
        <w:t xml:space="preserve"> y otros, Costa Rica, 4 de abril de 2014, párr. 188.</w:t>
      </w:r>
    </w:p>
  </w:footnote>
  <w:footnote w:id="42">
    <w:p w14:paraId="51FB736D" w14:textId="26C86F56" w:rsidR="009C72FF" w:rsidRPr="0033784B" w:rsidRDefault="009C72FF" w:rsidP="00445A10">
      <w:pPr>
        <w:pStyle w:val="FootnoteText"/>
        <w:spacing w:after="120"/>
        <w:ind w:firstLine="720"/>
        <w:rPr>
          <w:rFonts w:asciiTheme="majorHAnsi" w:hAnsiTheme="majorHAnsi"/>
          <w:sz w:val="16"/>
          <w:szCs w:val="16"/>
          <w:lang w:val="es-MX"/>
        </w:rPr>
      </w:pPr>
      <w:r w:rsidRPr="0033784B">
        <w:rPr>
          <w:rStyle w:val="FootnoteReference"/>
          <w:rFonts w:asciiTheme="majorHAnsi" w:hAnsiTheme="majorHAnsi"/>
          <w:sz w:val="16"/>
          <w:szCs w:val="16"/>
        </w:rPr>
        <w:footnoteRef/>
      </w:r>
      <w:r w:rsidRPr="0033784B">
        <w:rPr>
          <w:rFonts w:asciiTheme="majorHAnsi" w:hAnsiTheme="majorHAnsi"/>
          <w:sz w:val="16"/>
          <w:szCs w:val="16"/>
          <w:lang w:val="es-MX"/>
        </w:rPr>
        <w:t xml:space="preserve"> CIDH, Informe No. 53/13, Caso 12.864, Fondo (Publicación), Iván </w:t>
      </w:r>
      <w:proofErr w:type="spellStart"/>
      <w:r w:rsidRPr="0033784B">
        <w:rPr>
          <w:rFonts w:asciiTheme="majorHAnsi" w:hAnsiTheme="majorHAnsi"/>
          <w:sz w:val="16"/>
          <w:szCs w:val="16"/>
          <w:lang w:val="es-MX"/>
        </w:rPr>
        <w:t>Teleguz</w:t>
      </w:r>
      <w:proofErr w:type="spellEnd"/>
      <w:r w:rsidRPr="0033784B">
        <w:rPr>
          <w:rFonts w:asciiTheme="majorHAnsi" w:hAnsiTheme="majorHAnsi"/>
          <w:sz w:val="16"/>
          <w:szCs w:val="16"/>
          <w:lang w:val="es-MX"/>
        </w:rPr>
        <w:t>, Estados Unidos, 15 de julio de 2013, párr. 105</w:t>
      </w:r>
      <w:r w:rsidR="00845275" w:rsidRPr="0033784B">
        <w:rPr>
          <w:rFonts w:asciiTheme="majorHAnsi" w:hAnsiTheme="majorHAnsi"/>
          <w:sz w:val="16"/>
          <w:szCs w:val="16"/>
          <w:lang w:val="es-MX"/>
        </w:rPr>
        <w:t>.</w:t>
      </w:r>
    </w:p>
  </w:footnote>
  <w:footnote w:id="43">
    <w:p w14:paraId="07D5F764" w14:textId="44E2F155" w:rsidR="006037EF" w:rsidRPr="0033784B" w:rsidRDefault="006037EF" w:rsidP="00445A10">
      <w:pPr>
        <w:pStyle w:val="FootnoteText"/>
        <w:spacing w:after="120"/>
        <w:ind w:firstLine="720"/>
        <w:rPr>
          <w:rFonts w:asciiTheme="majorHAnsi" w:hAnsiTheme="majorHAnsi"/>
          <w:sz w:val="16"/>
          <w:szCs w:val="16"/>
          <w:lang w:val="es-MX"/>
        </w:rPr>
      </w:pPr>
      <w:r w:rsidRPr="0033784B">
        <w:rPr>
          <w:rStyle w:val="FootnoteReference"/>
          <w:rFonts w:asciiTheme="majorHAnsi" w:hAnsiTheme="majorHAnsi"/>
          <w:sz w:val="16"/>
          <w:szCs w:val="16"/>
        </w:rPr>
        <w:footnoteRef/>
      </w:r>
      <w:r w:rsidR="0033784B">
        <w:rPr>
          <w:rFonts w:asciiTheme="majorHAnsi" w:hAnsiTheme="majorHAnsi"/>
          <w:sz w:val="16"/>
          <w:szCs w:val="16"/>
          <w:lang w:val="es-MX"/>
        </w:rPr>
        <w:t xml:space="preserve"> </w:t>
      </w:r>
      <w:r w:rsidRPr="0033784B">
        <w:rPr>
          <w:rFonts w:asciiTheme="majorHAnsi" w:hAnsiTheme="majorHAnsi"/>
          <w:sz w:val="16"/>
          <w:szCs w:val="16"/>
          <w:lang w:val="es-MX"/>
        </w:rPr>
        <w:t xml:space="preserve">CIDH, Informe No. 33/14, Caso 12.820, Fondo, </w:t>
      </w:r>
      <w:proofErr w:type="spellStart"/>
      <w:r w:rsidRPr="0033784B">
        <w:rPr>
          <w:rFonts w:asciiTheme="majorHAnsi" w:hAnsiTheme="majorHAnsi"/>
          <w:sz w:val="16"/>
          <w:szCs w:val="16"/>
          <w:lang w:val="es-MX"/>
        </w:rPr>
        <w:t>Manfred</w:t>
      </w:r>
      <w:proofErr w:type="spellEnd"/>
      <w:r w:rsidRPr="0033784B">
        <w:rPr>
          <w:rFonts w:asciiTheme="majorHAnsi" w:hAnsiTheme="majorHAnsi"/>
          <w:sz w:val="16"/>
          <w:szCs w:val="16"/>
          <w:lang w:val="es-MX"/>
        </w:rPr>
        <w:t xml:space="preserve"> </w:t>
      </w:r>
      <w:proofErr w:type="spellStart"/>
      <w:r w:rsidRPr="0033784B">
        <w:rPr>
          <w:rFonts w:asciiTheme="majorHAnsi" w:hAnsiTheme="majorHAnsi"/>
          <w:sz w:val="16"/>
          <w:szCs w:val="16"/>
          <w:lang w:val="es-MX"/>
        </w:rPr>
        <w:t>Amrhein</w:t>
      </w:r>
      <w:proofErr w:type="spellEnd"/>
      <w:r w:rsidRPr="0033784B">
        <w:rPr>
          <w:rFonts w:asciiTheme="majorHAnsi" w:hAnsiTheme="majorHAnsi"/>
          <w:sz w:val="16"/>
          <w:szCs w:val="16"/>
          <w:lang w:val="es-MX"/>
        </w:rPr>
        <w:t xml:space="preserve"> y otros, Costa Rica, 4 de abril de 2014, párr. 208.</w:t>
      </w:r>
    </w:p>
  </w:footnote>
  <w:footnote w:id="44">
    <w:p w14:paraId="2553FA00" w14:textId="6DC84D05" w:rsidR="009379E4" w:rsidRPr="00463527" w:rsidRDefault="009379E4" w:rsidP="00445A10">
      <w:pPr>
        <w:pStyle w:val="FootnoteText"/>
        <w:spacing w:after="120"/>
        <w:ind w:firstLine="720"/>
        <w:rPr>
          <w:rFonts w:ascii="Cambria" w:hAnsi="Cambria"/>
          <w:sz w:val="16"/>
          <w:szCs w:val="16"/>
          <w:lang w:val="es-AR"/>
        </w:rPr>
      </w:pPr>
      <w:r w:rsidRPr="00463527">
        <w:rPr>
          <w:rStyle w:val="FootnoteReference"/>
          <w:rFonts w:ascii="Cambria" w:hAnsi="Cambria"/>
          <w:sz w:val="16"/>
          <w:szCs w:val="16"/>
        </w:rPr>
        <w:footnoteRef/>
      </w:r>
      <w:r w:rsidRPr="00463527">
        <w:rPr>
          <w:rFonts w:ascii="Cambria" w:hAnsi="Cambria"/>
          <w:sz w:val="16"/>
          <w:szCs w:val="16"/>
          <w:lang w:val="es-AR"/>
        </w:rPr>
        <w:t xml:space="preserve"> </w:t>
      </w:r>
      <w:r w:rsidR="00F10C10">
        <w:rPr>
          <w:rFonts w:ascii="Cambria" w:hAnsi="Cambria"/>
          <w:sz w:val="16"/>
          <w:szCs w:val="16"/>
          <w:lang w:val="es-AR"/>
        </w:rPr>
        <w:t xml:space="preserve">CIDH. </w:t>
      </w:r>
      <w:r w:rsidRPr="00463527">
        <w:rPr>
          <w:rFonts w:ascii="Cambria" w:hAnsi="Cambria"/>
          <w:sz w:val="16"/>
          <w:szCs w:val="16"/>
          <w:lang w:val="es-AR"/>
        </w:rPr>
        <w:t xml:space="preserve">Informe No. 33/14 Caso 12.820 Fondo </w:t>
      </w:r>
      <w:proofErr w:type="spellStart"/>
      <w:r w:rsidRPr="00463527">
        <w:rPr>
          <w:rFonts w:ascii="Cambria" w:hAnsi="Cambria"/>
          <w:sz w:val="16"/>
          <w:szCs w:val="16"/>
          <w:lang w:val="es-AR"/>
        </w:rPr>
        <w:t>Manfred</w:t>
      </w:r>
      <w:proofErr w:type="spellEnd"/>
      <w:r w:rsidRPr="00463527">
        <w:rPr>
          <w:rFonts w:ascii="Cambria" w:hAnsi="Cambria"/>
          <w:sz w:val="16"/>
          <w:szCs w:val="16"/>
          <w:lang w:val="es-AR"/>
        </w:rPr>
        <w:t xml:space="preserve"> </w:t>
      </w:r>
      <w:proofErr w:type="spellStart"/>
      <w:r w:rsidRPr="00463527">
        <w:rPr>
          <w:rFonts w:ascii="Cambria" w:hAnsi="Cambria"/>
          <w:sz w:val="16"/>
          <w:szCs w:val="16"/>
          <w:lang w:val="es-AR"/>
        </w:rPr>
        <w:t>Amrhein</w:t>
      </w:r>
      <w:proofErr w:type="spellEnd"/>
      <w:r w:rsidRPr="00463527">
        <w:rPr>
          <w:rFonts w:ascii="Cambria" w:hAnsi="Cambria"/>
          <w:sz w:val="16"/>
          <w:szCs w:val="16"/>
          <w:lang w:val="es-AR"/>
        </w:rPr>
        <w:t xml:space="preserve"> Y Otros Costa Rica 4 De Abril De 2014, párr. 208.</w:t>
      </w:r>
    </w:p>
  </w:footnote>
  <w:footnote w:id="45">
    <w:p w14:paraId="2FF35B6D" w14:textId="02F68E91" w:rsidR="009379E4" w:rsidRPr="00463527" w:rsidRDefault="009379E4" w:rsidP="00445A10">
      <w:pPr>
        <w:pStyle w:val="FootnoteText"/>
        <w:spacing w:after="120"/>
        <w:ind w:firstLine="720"/>
        <w:rPr>
          <w:rFonts w:ascii="Cambria" w:hAnsi="Cambria"/>
          <w:sz w:val="16"/>
          <w:szCs w:val="16"/>
          <w:lang w:val="es-AR"/>
        </w:rPr>
      </w:pPr>
      <w:r w:rsidRPr="00463527">
        <w:rPr>
          <w:rStyle w:val="FootnoteReference"/>
          <w:rFonts w:ascii="Cambria" w:hAnsi="Cambria"/>
          <w:sz w:val="16"/>
          <w:szCs w:val="16"/>
        </w:rPr>
        <w:footnoteRef/>
      </w:r>
      <w:r w:rsidRPr="003C786B">
        <w:rPr>
          <w:rFonts w:ascii="Cambria" w:hAnsi="Cambria"/>
          <w:sz w:val="16"/>
          <w:szCs w:val="16"/>
          <w:lang w:val="es-MX"/>
        </w:rPr>
        <w:t xml:space="preserve"> Cfr. Corte IDH., </w:t>
      </w:r>
      <w:r w:rsidRPr="003C786B">
        <w:rPr>
          <w:rFonts w:ascii="Cambria" w:hAnsi="Cambria"/>
          <w:bCs/>
          <w:i/>
          <w:sz w:val="16"/>
          <w:szCs w:val="16"/>
          <w:lang w:val="es-MX"/>
        </w:rPr>
        <w:t xml:space="preserve">Caso Mohamed Vs. </w:t>
      </w:r>
      <w:r w:rsidRPr="00463527">
        <w:rPr>
          <w:rFonts w:ascii="Cambria" w:hAnsi="Cambria"/>
          <w:bCs/>
          <w:i/>
          <w:sz w:val="16"/>
          <w:szCs w:val="16"/>
          <w:lang w:val="es-ES_tradnl"/>
        </w:rPr>
        <w:t xml:space="preserve">Argentina. </w:t>
      </w:r>
      <w:r w:rsidRPr="00463527">
        <w:rPr>
          <w:rFonts w:ascii="Cambria" w:hAnsi="Cambria"/>
          <w:bCs/>
          <w:sz w:val="16"/>
          <w:szCs w:val="16"/>
          <w:lang w:val="es-ES_tradnl"/>
        </w:rPr>
        <w:t>Sentencia de Excepción Preliminar, Fondo, Reparaciones y Costas. 23 de noviembre de 2012. Serie C No. 255,</w:t>
      </w:r>
      <w:r w:rsidRPr="00463527">
        <w:rPr>
          <w:rFonts w:ascii="Cambria" w:hAnsi="Cambria"/>
          <w:bCs/>
          <w:i/>
          <w:sz w:val="16"/>
          <w:szCs w:val="16"/>
          <w:lang w:val="es-ES_tradnl"/>
        </w:rPr>
        <w:t xml:space="preserve"> </w:t>
      </w:r>
      <w:r w:rsidRPr="00463527">
        <w:rPr>
          <w:rFonts w:ascii="Cambria" w:hAnsi="Cambria"/>
          <w:sz w:val="16"/>
          <w:szCs w:val="16"/>
          <w:lang w:val="es-ES_tradnl"/>
        </w:rPr>
        <w:t>párr. 103.</w:t>
      </w:r>
      <w:r w:rsidR="006037EF" w:rsidRPr="0033784B">
        <w:rPr>
          <w:lang w:val="es-ES_tradnl"/>
        </w:rPr>
        <w:t xml:space="preserve"> </w:t>
      </w:r>
      <w:r w:rsidR="006037EF" w:rsidRPr="006037EF">
        <w:rPr>
          <w:rFonts w:ascii="Cambria" w:hAnsi="Cambria"/>
          <w:sz w:val="16"/>
          <w:szCs w:val="16"/>
          <w:lang w:val="es-ES_tradnl"/>
        </w:rPr>
        <w:t>Asimismo, véase: CIDH, Informe No. 173/10, Caso 11.618, Oscar Alberto Mohammed, Fondo, Argentina, 13 de abril de 2011.</w:t>
      </w:r>
    </w:p>
  </w:footnote>
  <w:footnote w:id="46">
    <w:p w14:paraId="260732E6" w14:textId="5FB2F993" w:rsidR="009379E4" w:rsidRPr="00463527" w:rsidRDefault="009379E4" w:rsidP="00445A10">
      <w:pPr>
        <w:pStyle w:val="FootnoteText"/>
        <w:spacing w:after="120"/>
        <w:ind w:firstLine="720"/>
        <w:rPr>
          <w:rFonts w:ascii="Cambria" w:hAnsi="Cambria"/>
          <w:sz w:val="16"/>
          <w:szCs w:val="16"/>
          <w:lang w:val="es-AR"/>
        </w:rPr>
      </w:pPr>
      <w:r w:rsidRPr="00463527">
        <w:rPr>
          <w:rStyle w:val="FootnoteReference"/>
          <w:rFonts w:ascii="Cambria" w:hAnsi="Cambria"/>
          <w:sz w:val="16"/>
          <w:szCs w:val="16"/>
        </w:rPr>
        <w:footnoteRef/>
      </w:r>
      <w:r w:rsidRPr="0033784B">
        <w:rPr>
          <w:rFonts w:ascii="Cambria" w:hAnsi="Cambria"/>
          <w:sz w:val="16"/>
          <w:szCs w:val="16"/>
          <w:lang w:val="pt-BR"/>
        </w:rPr>
        <w:t xml:space="preserve"> Cfr. Corte IDH., </w:t>
      </w:r>
      <w:r w:rsidRPr="0033784B">
        <w:rPr>
          <w:rFonts w:ascii="Cambria" w:hAnsi="Cambria"/>
          <w:bCs/>
          <w:i/>
          <w:sz w:val="16"/>
          <w:szCs w:val="16"/>
          <w:lang w:val="pt-BR"/>
        </w:rPr>
        <w:t xml:space="preserve">Caso Mohamed Vs. </w:t>
      </w:r>
      <w:r w:rsidRPr="00463527">
        <w:rPr>
          <w:rFonts w:ascii="Cambria" w:hAnsi="Cambria"/>
          <w:bCs/>
          <w:i/>
          <w:sz w:val="16"/>
          <w:szCs w:val="16"/>
          <w:lang w:val="es-ES_tradnl"/>
        </w:rPr>
        <w:t xml:space="preserve">Argentina. </w:t>
      </w:r>
      <w:r w:rsidRPr="00463527">
        <w:rPr>
          <w:rFonts w:ascii="Cambria" w:hAnsi="Cambria"/>
          <w:bCs/>
          <w:sz w:val="16"/>
          <w:szCs w:val="16"/>
          <w:lang w:val="es-ES_tradnl"/>
        </w:rPr>
        <w:t>Sentencia de Excepción Preliminar, Fondo, Reparaciones y Costas. 23 de noviembre de 2012. Serie C No. 255,</w:t>
      </w:r>
      <w:r w:rsidRPr="00463527">
        <w:rPr>
          <w:rFonts w:ascii="Cambria" w:hAnsi="Cambria"/>
          <w:bCs/>
          <w:i/>
          <w:sz w:val="16"/>
          <w:szCs w:val="16"/>
          <w:lang w:val="es-ES_tradnl"/>
        </w:rPr>
        <w:t xml:space="preserve"> </w:t>
      </w:r>
      <w:r w:rsidRPr="00463527">
        <w:rPr>
          <w:rFonts w:ascii="Cambria" w:hAnsi="Cambria"/>
          <w:sz w:val="16"/>
          <w:szCs w:val="16"/>
          <w:lang w:val="es-ES_tradnl"/>
        </w:rPr>
        <w:t>párr. 104.</w:t>
      </w:r>
    </w:p>
    <w:p w14:paraId="7D387446" w14:textId="77777777" w:rsidR="009379E4" w:rsidRPr="00446160" w:rsidRDefault="009379E4" w:rsidP="00B2649A">
      <w:pPr>
        <w:pStyle w:val="FootnoteText"/>
        <w:rPr>
          <w:rFonts w:ascii="Cambria" w:hAnsi="Cambria"/>
          <w:sz w:val="16"/>
          <w:szCs w:val="16"/>
          <w:lang w:val="es-MX"/>
        </w:rPr>
      </w:pPr>
    </w:p>
  </w:footnote>
  <w:footnote w:id="47">
    <w:p w14:paraId="05B87797" w14:textId="77777777" w:rsidR="009379E4" w:rsidRPr="0033784B" w:rsidRDefault="009379E4" w:rsidP="00445A10">
      <w:pPr>
        <w:pStyle w:val="FootnoteText"/>
        <w:tabs>
          <w:tab w:val="left" w:pos="720"/>
        </w:tabs>
        <w:spacing w:after="120"/>
        <w:ind w:firstLine="720"/>
        <w:jc w:val="both"/>
        <w:rPr>
          <w:rFonts w:ascii="Cambria" w:hAnsi="Cambria"/>
          <w:sz w:val="16"/>
          <w:szCs w:val="16"/>
          <w:lang w:val="es-ES_tradnl"/>
        </w:rPr>
      </w:pPr>
      <w:r w:rsidRPr="0033784B">
        <w:rPr>
          <w:rStyle w:val="FootnoteReference"/>
          <w:rFonts w:ascii="Cambria" w:hAnsi="Cambria"/>
          <w:sz w:val="16"/>
          <w:szCs w:val="16"/>
        </w:rPr>
        <w:footnoteRef/>
      </w:r>
      <w:r w:rsidRPr="0033784B">
        <w:rPr>
          <w:rFonts w:ascii="Cambria" w:hAnsi="Cambria"/>
          <w:sz w:val="16"/>
          <w:szCs w:val="16"/>
          <w:lang w:val="es-ES_tradnl"/>
        </w:rPr>
        <w:t xml:space="preserve"> Algunos extractos relevantes de la decisión son:</w:t>
      </w:r>
    </w:p>
    <w:p w14:paraId="10D08931" w14:textId="77777777" w:rsidR="009379E4" w:rsidRPr="0033784B" w:rsidRDefault="009379E4" w:rsidP="00445A10">
      <w:pPr>
        <w:tabs>
          <w:tab w:val="left" w:pos="720"/>
        </w:tabs>
        <w:spacing w:after="120"/>
        <w:ind w:firstLine="720"/>
        <w:jc w:val="both"/>
        <w:rPr>
          <w:rFonts w:ascii="Cambria" w:hAnsi="Cambria"/>
          <w:sz w:val="16"/>
          <w:szCs w:val="16"/>
          <w:lang w:val="es-ES_tradnl"/>
        </w:rPr>
      </w:pPr>
      <w:r w:rsidRPr="0033784B">
        <w:rPr>
          <w:rFonts w:ascii="Cambria" w:hAnsi="Cambria"/>
          <w:sz w:val="16"/>
          <w:szCs w:val="16"/>
          <w:lang w:val="es-ES_tradnl"/>
        </w:rPr>
        <w:t>[D]</w:t>
      </w:r>
      <w:proofErr w:type="spellStart"/>
      <w:r w:rsidRPr="0033784B">
        <w:rPr>
          <w:rFonts w:ascii="Cambria" w:hAnsi="Cambria"/>
          <w:sz w:val="16"/>
          <w:szCs w:val="16"/>
          <w:lang w:val="es-ES_tradnl"/>
        </w:rPr>
        <w:t>ebe</w:t>
      </w:r>
      <w:proofErr w:type="spellEnd"/>
      <w:r w:rsidRPr="0033784B">
        <w:rPr>
          <w:rFonts w:ascii="Cambria" w:hAnsi="Cambria"/>
          <w:sz w:val="16"/>
          <w:szCs w:val="16"/>
          <w:lang w:val="es-ES_tradnl"/>
        </w:rPr>
        <w:t xml:space="preserve"> interpretarse que los Arts. 8.2 h) de la Convención y 14.5 del Pacto [Internacional de Derechos Civiles y Políticos] exigen la revisión de todo aquello que no esté exclusivamente reservado a quienes hayan estado presentes como jueces en el juicio oral. Esto es lo único que los jueces de casación no pueden valorar, no sólo porque cancelaría el principio de publicidad, sino también porque directamente no lo conocen, o sea, que a su respecto rige un límite real de conocimiento. Se trata directamente de una limitación fáctica, impuesta por la naturaleza de las cosas, y que debe apreciarse en cada caso.</w:t>
      </w:r>
    </w:p>
    <w:p w14:paraId="2B2BCC28" w14:textId="77777777" w:rsidR="009379E4" w:rsidRPr="0033784B" w:rsidRDefault="009379E4" w:rsidP="00445A10">
      <w:pPr>
        <w:tabs>
          <w:tab w:val="left" w:pos="720"/>
        </w:tabs>
        <w:spacing w:after="120"/>
        <w:ind w:firstLine="720"/>
        <w:jc w:val="both"/>
        <w:rPr>
          <w:rFonts w:ascii="Cambria" w:hAnsi="Cambria"/>
          <w:sz w:val="16"/>
          <w:szCs w:val="16"/>
          <w:lang w:val="es-ES_tradnl"/>
        </w:rPr>
      </w:pPr>
      <w:r w:rsidRPr="0033784B">
        <w:rPr>
          <w:rFonts w:ascii="Cambria" w:hAnsi="Cambria"/>
          <w:sz w:val="16"/>
          <w:szCs w:val="16"/>
          <w:lang w:val="es-ES_tradnl"/>
        </w:rPr>
        <w:t>(…)</w:t>
      </w:r>
    </w:p>
    <w:p w14:paraId="4A43EC94" w14:textId="77777777" w:rsidR="009379E4" w:rsidRPr="0033784B" w:rsidRDefault="009379E4" w:rsidP="00445A10">
      <w:pPr>
        <w:tabs>
          <w:tab w:val="left" w:pos="720"/>
        </w:tabs>
        <w:spacing w:after="120"/>
        <w:ind w:firstLine="720"/>
        <w:jc w:val="both"/>
        <w:rPr>
          <w:rFonts w:ascii="Cambria" w:hAnsi="Cambria"/>
          <w:sz w:val="16"/>
          <w:szCs w:val="16"/>
          <w:lang w:val="es-ES_tradnl"/>
        </w:rPr>
      </w:pPr>
      <w:r w:rsidRPr="0033784B">
        <w:rPr>
          <w:rFonts w:ascii="Cambria" w:hAnsi="Cambria"/>
          <w:sz w:val="16"/>
          <w:szCs w:val="16"/>
          <w:lang w:val="es-ES_tradnl"/>
        </w:rPr>
        <w:t>Si bien es cierto que esto sólo puede establecerse en cada caso, lo cierto es que, en general, no es mucho lo que presenta la característica de conocimiento exclusivamente proveniente de la inmediación. Por regla, buena parte de la prueba se halla en la propia causa registrada por escrito, sea documental o pericial. La principal cuestión, generalmente queda limitada a los testigos.</w:t>
      </w:r>
    </w:p>
    <w:p w14:paraId="2AD7BFA3" w14:textId="77777777" w:rsidR="009379E4" w:rsidRPr="0033784B" w:rsidRDefault="009379E4" w:rsidP="00445A10">
      <w:pPr>
        <w:tabs>
          <w:tab w:val="left" w:pos="720"/>
        </w:tabs>
        <w:spacing w:after="120"/>
        <w:ind w:firstLine="720"/>
        <w:jc w:val="both"/>
        <w:rPr>
          <w:rFonts w:ascii="Cambria" w:hAnsi="Cambria"/>
          <w:sz w:val="16"/>
          <w:szCs w:val="16"/>
          <w:lang w:val="es-ES_tradnl"/>
        </w:rPr>
      </w:pPr>
      <w:r w:rsidRPr="0033784B">
        <w:rPr>
          <w:rFonts w:ascii="Cambria" w:hAnsi="Cambria"/>
          <w:sz w:val="16"/>
          <w:szCs w:val="16"/>
          <w:lang w:val="es-ES_tradnl"/>
        </w:rPr>
        <w:t>(…)</w:t>
      </w:r>
    </w:p>
    <w:p w14:paraId="31DF89D6" w14:textId="77777777" w:rsidR="009379E4" w:rsidRPr="0033784B" w:rsidRDefault="009379E4" w:rsidP="00445A10">
      <w:pPr>
        <w:tabs>
          <w:tab w:val="left" w:pos="720"/>
        </w:tabs>
        <w:spacing w:after="120"/>
        <w:ind w:firstLine="720"/>
        <w:jc w:val="both"/>
        <w:rPr>
          <w:rFonts w:ascii="Cambria" w:hAnsi="Cambria"/>
          <w:sz w:val="16"/>
          <w:szCs w:val="16"/>
          <w:lang w:val="es-ES_tradnl"/>
        </w:rPr>
      </w:pPr>
      <w:r w:rsidRPr="0033784B">
        <w:rPr>
          <w:rFonts w:ascii="Cambria" w:hAnsi="Cambria"/>
          <w:sz w:val="16"/>
          <w:szCs w:val="16"/>
          <w:lang w:val="es-ES_tradnl"/>
        </w:rPr>
        <w:t>[E]n síntesis, cabe entender que el art. 456 del Código Procesal Penal de la Nación debe entenderse en el sentido de que habilita a una revisión amplia de la sentencia, todo lo extensa que sea posible al máximo esfuerzo de revisión de los jueces de casación, conforme a las posibilidades y constancias de cada caso particular y sin magnificar las cuestiones reservadas a la inmediación, sólo inevitables por imperio de la oralidad conforme a la naturaleza de las cosas.</w:t>
      </w:r>
    </w:p>
    <w:p w14:paraId="0B298AE2" w14:textId="752B4048" w:rsidR="009379E4" w:rsidRPr="0033784B" w:rsidRDefault="009379E4" w:rsidP="00445A10">
      <w:pPr>
        <w:tabs>
          <w:tab w:val="left" w:pos="720"/>
        </w:tabs>
        <w:spacing w:after="120"/>
        <w:ind w:firstLine="720"/>
        <w:jc w:val="both"/>
        <w:rPr>
          <w:rFonts w:ascii="Cambria" w:hAnsi="Cambria"/>
          <w:sz w:val="16"/>
          <w:szCs w:val="16"/>
          <w:lang w:val="es-ES_tradnl"/>
        </w:rPr>
      </w:pPr>
      <w:r w:rsidRPr="0033784B">
        <w:rPr>
          <w:rFonts w:ascii="Cambria" w:hAnsi="Cambria"/>
          <w:sz w:val="16"/>
          <w:szCs w:val="16"/>
          <w:lang w:val="es-ES_tradnl"/>
        </w:rPr>
        <w:t>Dicho entendimiento se impone como resultado de […]  (b) la imposibilidad práctica de distinguir entre cuestiones de hecho y de derecho, que no pasa de configurar un ámbito de arbitrariedad selectiva (…).</w:t>
      </w:r>
    </w:p>
  </w:footnote>
  <w:footnote w:id="48">
    <w:p w14:paraId="24E82017" w14:textId="77777777" w:rsidR="006C0700" w:rsidRPr="0033784B" w:rsidRDefault="009379E4" w:rsidP="00445A10">
      <w:pPr>
        <w:tabs>
          <w:tab w:val="left" w:pos="720"/>
        </w:tabs>
        <w:spacing w:after="120"/>
        <w:ind w:firstLine="720"/>
        <w:jc w:val="both"/>
        <w:rPr>
          <w:rFonts w:ascii="Cambria" w:hAnsi="Cambria"/>
          <w:sz w:val="16"/>
          <w:szCs w:val="16"/>
          <w:lang w:val="es-ES_tradnl"/>
        </w:rPr>
      </w:pPr>
      <w:r w:rsidRPr="0033784B">
        <w:rPr>
          <w:rStyle w:val="FootnoteReference"/>
          <w:rFonts w:ascii="Cambria" w:hAnsi="Cambria"/>
          <w:sz w:val="16"/>
          <w:szCs w:val="16"/>
        </w:rPr>
        <w:footnoteRef/>
      </w:r>
      <w:r w:rsidRPr="0033784B">
        <w:rPr>
          <w:rFonts w:ascii="Cambria" w:hAnsi="Cambria"/>
          <w:sz w:val="16"/>
          <w:szCs w:val="16"/>
          <w:lang w:val="es-ES_tradnl"/>
        </w:rPr>
        <w:t xml:space="preserve"> En el fallo “Casal” se indica que el artículo 456 del CPPN permite una interpretación restrictiva pero también admite una interpretación amplia. En palabras de la Corte Suprema de Justicia de la Nación: </w:t>
      </w:r>
    </w:p>
    <w:p w14:paraId="4BF00575" w14:textId="7823CC7F" w:rsidR="009379E4" w:rsidRPr="0033784B" w:rsidRDefault="009379E4" w:rsidP="00445A10">
      <w:pPr>
        <w:tabs>
          <w:tab w:val="left" w:pos="720"/>
        </w:tabs>
        <w:spacing w:after="120"/>
        <w:ind w:firstLine="720"/>
        <w:jc w:val="both"/>
        <w:rPr>
          <w:rFonts w:ascii="Cambria" w:hAnsi="Cambria"/>
          <w:sz w:val="16"/>
          <w:szCs w:val="16"/>
          <w:lang w:val="es-ES_tradnl"/>
        </w:rPr>
      </w:pPr>
      <w:r w:rsidRPr="0033784B">
        <w:rPr>
          <w:rFonts w:ascii="Cambria" w:hAnsi="Cambria"/>
          <w:sz w:val="16"/>
          <w:szCs w:val="16"/>
          <w:lang w:val="es-ES_tradnl"/>
        </w:rPr>
        <w:t xml:space="preserve"> </w:t>
      </w:r>
      <w:r w:rsidRPr="0033784B">
        <w:rPr>
          <w:rFonts w:ascii="Cambria" w:hAnsi="Cambria"/>
          <w:sz w:val="16"/>
          <w:szCs w:val="16"/>
          <w:lang w:val="es-ES_tradnl"/>
        </w:rPr>
        <w:br/>
        <w:t>“(…) es claro que en la letra del inc. 2 del art. 456 del CPPN, nada impide otra interpretación. Lo único que decide una interpretación restrictiva del alcance del recurso de casación es la tradición legislativa e histórica de esta institución en su versión originaria. El texto en sí mismo admite tanto una interpretación restrictiva como otra amplia: la resistencia semántica del texto no se altera ni excede por esta última (…)”.</w:t>
      </w:r>
    </w:p>
    <w:p w14:paraId="520E4A32" w14:textId="77777777" w:rsidR="009379E4" w:rsidRPr="00463527" w:rsidRDefault="009379E4" w:rsidP="00445A10">
      <w:pPr>
        <w:pStyle w:val="FootnoteText"/>
        <w:tabs>
          <w:tab w:val="left" w:pos="720"/>
        </w:tabs>
        <w:spacing w:after="120"/>
        <w:ind w:firstLine="720"/>
        <w:jc w:val="both"/>
        <w:rPr>
          <w:rFonts w:ascii="Cambria" w:hAnsi="Cambria"/>
          <w:sz w:val="16"/>
          <w:szCs w:val="16"/>
          <w:highlight w:val="yellow"/>
          <w:lang w:val="es-ES_tradnl"/>
        </w:rPr>
      </w:pPr>
    </w:p>
  </w:footnote>
  <w:footnote w:id="49">
    <w:p w14:paraId="09414133" w14:textId="721BDEB8" w:rsidR="009379E4" w:rsidRPr="00463527" w:rsidRDefault="009379E4" w:rsidP="00445A10">
      <w:pPr>
        <w:pStyle w:val="FootnoteText"/>
        <w:tabs>
          <w:tab w:val="left" w:pos="720"/>
        </w:tabs>
        <w:spacing w:after="120"/>
        <w:ind w:firstLine="720"/>
        <w:jc w:val="both"/>
        <w:rPr>
          <w:rFonts w:ascii="Cambria" w:hAnsi="Cambria"/>
          <w:sz w:val="16"/>
          <w:szCs w:val="16"/>
          <w:lang w:val="es-ES_tradnl"/>
        </w:rPr>
      </w:pPr>
      <w:r w:rsidRPr="0033784B">
        <w:rPr>
          <w:rStyle w:val="FootnoteReference"/>
          <w:rFonts w:ascii="Cambria" w:hAnsi="Cambria"/>
          <w:sz w:val="16"/>
          <w:szCs w:val="16"/>
        </w:rPr>
        <w:footnoteRef/>
      </w:r>
      <w:r w:rsidRPr="0033784B">
        <w:rPr>
          <w:rFonts w:ascii="Cambria" w:hAnsi="Cambria"/>
          <w:sz w:val="16"/>
          <w:szCs w:val="16"/>
          <w:lang w:val="es-ES_tradnl"/>
        </w:rPr>
        <w:t xml:space="preserve"> Comité de Derechos Humanos. Observaciones finales respecto de Argentina. </w:t>
      </w:r>
      <w:r w:rsidRPr="0033784B">
        <w:rPr>
          <w:rFonts w:ascii="Cambria" w:hAnsi="Cambria" w:cs="Times-Roman"/>
          <w:sz w:val="16"/>
          <w:szCs w:val="16"/>
          <w:lang w:val="es-ES_tradnl" w:bidi="en-US"/>
        </w:rPr>
        <w:t>CCPR/C/ARG/CO/4. 31 de marzo de 2010</w:t>
      </w:r>
      <w:r w:rsidR="0033784B">
        <w:rPr>
          <w:rFonts w:ascii="Cambria" w:hAnsi="Cambria" w:cs="Times-Roman"/>
          <w:sz w:val="16"/>
          <w:szCs w:val="16"/>
          <w:lang w:val="es-ES_tradnl" w:bidi="en-US"/>
        </w:rPr>
        <w:t>, p</w:t>
      </w:r>
      <w:r w:rsidRPr="0033784B">
        <w:rPr>
          <w:rFonts w:ascii="Cambria" w:hAnsi="Cambria" w:cs="Times-Roman"/>
          <w:sz w:val="16"/>
          <w:szCs w:val="16"/>
          <w:lang w:val="es-ES_tradnl" w:bidi="en-US"/>
        </w:rPr>
        <w:t>árr. 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CF8E7" w14:textId="77777777" w:rsidR="009379E4" w:rsidRDefault="009379E4" w:rsidP="0040428D">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5458CC3" w14:textId="77777777" w:rsidR="009379E4" w:rsidRDefault="009379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21A91" w14:textId="77777777" w:rsidR="009379E4" w:rsidRDefault="009379E4" w:rsidP="00A50FCF">
    <w:pPr>
      <w:pStyle w:val="Header"/>
      <w:tabs>
        <w:tab w:val="clear" w:pos="4320"/>
        <w:tab w:val="clear" w:pos="8640"/>
      </w:tabs>
      <w:jc w:val="center"/>
      <w:rPr>
        <w:sz w:val="22"/>
        <w:szCs w:val="22"/>
      </w:rPr>
    </w:pPr>
    <w:r>
      <w:rPr>
        <w:noProof/>
        <w:sz w:val="22"/>
        <w:szCs w:val="22"/>
      </w:rPr>
      <w:drawing>
        <wp:inline distT="0" distB="0" distL="0" distR="0" wp14:anchorId="11508E8B" wp14:editId="5A792E61">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9D2125A" w14:textId="77777777" w:rsidR="009379E4" w:rsidRPr="00EC7D62" w:rsidRDefault="00DA5B7A" w:rsidP="00A50FCF">
    <w:pPr>
      <w:pStyle w:val="Header"/>
      <w:tabs>
        <w:tab w:val="clear" w:pos="4320"/>
        <w:tab w:val="clear" w:pos="8640"/>
      </w:tabs>
      <w:jc w:val="center"/>
      <w:rPr>
        <w:sz w:val="22"/>
        <w:szCs w:val="22"/>
      </w:rPr>
    </w:pPr>
    <w:r>
      <w:rPr>
        <w:sz w:val="22"/>
        <w:szCs w:val="22"/>
      </w:rPr>
      <w:pict w14:anchorId="75F52ECE">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105D7A2C"/>
    <w:multiLevelType w:val="hybridMultilevel"/>
    <w:tmpl w:val="33E64D00"/>
    <w:lvl w:ilvl="0" w:tplc="5B7E6350">
      <w:start w:val="1"/>
      <w:numFmt w:val="upperRoman"/>
      <w:lvlText w:val="%1."/>
      <w:lvlJc w:val="left"/>
      <w:pPr>
        <w:ind w:left="144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750F6B"/>
    <w:multiLevelType w:val="hybridMultilevel"/>
    <w:tmpl w:val="B22485BA"/>
    <w:lvl w:ilvl="0" w:tplc="CC962494">
      <w:start w:val="1"/>
      <w:numFmt w:val="decimal"/>
      <w:lvlText w:val="%1."/>
      <w:lvlJc w:val="left"/>
      <w:pPr>
        <w:tabs>
          <w:tab w:val="num" w:pos="810"/>
        </w:tabs>
        <w:ind w:left="90" w:firstLine="720"/>
      </w:pPr>
      <w:rPr>
        <w:rFonts w:hint="default"/>
        <w:b w:val="0"/>
        <w:i w:val="0"/>
        <w:color w:val="auto"/>
        <w:sz w:val="20"/>
        <w:szCs w:val="20"/>
        <w:lang w:val="es-E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6023686"/>
    <w:multiLevelType w:val="hybridMultilevel"/>
    <w:tmpl w:val="F86E1812"/>
    <w:lvl w:ilvl="0" w:tplc="91D2B51C">
      <w:start w:val="1"/>
      <w:numFmt w:val="decimal"/>
      <w:lvlText w:val="%1."/>
      <w:lvlJc w:val="left"/>
      <w:pPr>
        <w:tabs>
          <w:tab w:val="num" w:pos="990"/>
        </w:tabs>
        <w:ind w:left="990" w:hanging="360"/>
      </w:pPr>
      <w:rPr>
        <w:rFonts w:ascii="Cambria" w:hAnsi="Cambria" w:hint="default"/>
        <w:b w:val="0"/>
        <w:sz w:val="20"/>
        <w:szCs w:val="20"/>
        <w:lang w:val="es-CO"/>
      </w:rPr>
    </w:lvl>
    <w:lvl w:ilvl="1" w:tplc="D92C12E8">
      <w:start w:val="59"/>
      <w:numFmt w:val="decimal"/>
      <w:lvlText w:val="%2."/>
      <w:lvlJc w:val="left"/>
      <w:pPr>
        <w:tabs>
          <w:tab w:val="num" w:pos="2580"/>
        </w:tabs>
        <w:ind w:left="2580" w:hanging="1500"/>
      </w:pPr>
      <w:rPr>
        <w:rFonts w:hint="default"/>
      </w:rPr>
    </w:lvl>
    <w:lvl w:ilvl="2" w:tplc="99CCD1F2">
      <w:start w:val="3"/>
      <w:numFmt w:val="upperLetter"/>
      <w:lvlText w:val="%3."/>
      <w:lvlJc w:val="left"/>
      <w:pPr>
        <w:tabs>
          <w:tab w:val="num" w:pos="2340"/>
        </w:tabs>
        <w:ind w:left="2340" w:hanging="360"/>
      </w:pPr>
      <w:rPr>
        <w:rFonts w:hint="default"/>
      </w:rPr>
    </w:lvl>
    <w:lvl w:ilvl="3" w:tplc="0409000F">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88B366F"/>
    <w:multiLevelType w:val="hybridMultilevel"/>
    <w:tmpl w:val="C2F6FBEC"/>
    <w:lvl w:ilvl="0" w:tplc="103E63C8">
      <w:start w:val="1"/>
      <w:numFmt w:val="decimal"/>
      <w:lvlText w:val="%1."/>
      <w:lvlJc w:val="left"/>
      <w:pPr>
        <w:tabs>
          <w:tab w:val="num" w:pos="810"/>
        </w:tabs>
        <w:ind w:left="90" w:firstLine="720"/>
      </w:pPr>
      <w:rPr>
        <w:rFonts w:hint="default"/>
        <w:b w:val="0"/>
        <w:i w:val="0"/>
        <w:color w:val="auto"/>
        <w:sz w:val="20"/>
        <w:szCs w:val="20"/>
        <w:lang w:val="es-E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D485FBF"/>
    <w:multiLevelType w:val="hybridMultilevel"/>
    <w:tmpl w:val="E8FCC38C"/>
    <w:lvl w:ilvl="0" w:tplc="59A693C4">
      <w:start w:val="1"/>
      <w:numFmt w:val="decimal"/>
      <w:lvlText w:val="%1."/>
      <w:lvlJc w:val="left"/>
      <w:pPr>
        <w:tabs>
          <w:tab w:val="num" w:pos="1080"/>
        </w:tabs>
        <w:ind w:left="1080" w:hanging="360"/>
      </w:pPr>
      <w:rPr>
        <w:rFonts w:ascii="Cambria" w:hAnsi="Cambria" w:hint="default"/>
        <w:b w:val="0"/>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C7977CC"/>
    <w:multiLevelType w:val="hybridMultilevel"/>
    <w:tmpl w:val="EA0A2A5A"/>
    <w:lvl w:ilvl="0" w:tplc="C0226666">
      <w:start w:val="1"/>
      <w:numFmt w:val="upperLetter"/>
      <w:lvlText w:val="%1."/>
      <w:lvlJc w:val="left"/>
      <w:pPr>
        <w:ind w:left="1080" w:hanging="360"/>
      </w:pPr>
      <w:rPr>
        <w:rFonts w:cs="Univer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CE64D32"/>
    <w:multiLevelType w:val="hybridMultilevel"/>
    <w:tmpl w:val="BDF029A4"/>
    <w:lvl w:ilvl="0" w:tplc="D3501ECE">
      <w:start w:val="1"/>
      <w:numFmt w:val="decimal"/>
      <w:lvlText w:val="%1."/>
      <w:lvlJc w:val="left"/>
      <w:pPr>
        <w:tabs>
          <w:tab w:val="num" w:pos="1427"/>
        </w:tabs>
      </w:pPr>
      <w:rPr>
        <w:rFonts w:ascii="Verdana" w:eastAsia="Times New Roman" w:hAnsi="Verdana" w:cs="Times New Roman"/>
        <w:b w:val="0"/>
        <w:i w:val="0"/>
        <w:strike w:val="0"/>
        <w:color w:val="auto"/>
        <w:sz w:val="20"/>
        <w:lang w:val="es-ES_tradnl"/>
      </w:rPr>
    </w:lvl>
    <w:lvl w:ilvl="1" w:tplc="91ECB87E">
      <w:start w:val="1"/>
      <w:numFmt w:val="lowerLetter"/>
      <w:lvlText w:val="%2)"/>
      <w:lvlJc w:val="left"/>
      <w:pPr>
        <w:tabs>
          <w:tab w:val="num" w:pos="1080"/>
        </w:tabs>
        <w:ind w:left="1080" w:hanging="360"/>
      </w:pPr>
      <w:rPr>
        <w:rFonts w:cs="Times New Roman" w:hint="default"/>
        <w:b w:val="0"/>
        <w:i w:val="0"/>
        <w:sz w:val="20"/>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59">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ECC36F6"/>
    <w:multiLevelType w:val="hybridMultilevel"/>
    <w:tmpl w:val="009824F4"/>
    <w:lvl w:ilvl="0" w:tplc="CE203FF4">
      <w:start w:val="24"/>
      <w:numFmt w:val="decimal"/>
      <w:pStyle w:val="Style2"/>
      <w:lvlText w:val="%1."/>
      <w:lvlJc w:val="left"/>
      <w:pPr>
        <w:tabs>
          <w:tab w:val="num" w:pos="720"/>
        </w:tabs>
        <w:ind w:left="0" w:firstLine="720"/>
      </w:pPr>
      <w:rPr>
        <w:rFonts w:ascii="Cambria" w:hAnsi="Cambria" w:hint="default"/>
        <w:b w:val="0"/>
        <w:i w:val="0"/>
        <w:color w:val="auto"/>
        <w:sz w:val="20"/>
        <w:szCs w:val="20"/>
      </w:rPr>
    </w:lvl>
    <w:lvl w:ilvl="1" w:tplc="8818AAE4">
      <w:start w:val="4"/>
      <w:numFmt w:val="upperRoman"/>
      <w:lvlText w:val="%2."/>
      <w:lvlJc w:val="left"/>
      <w:pPr>
        <w:tabs>
          <w:tab w:val="num" w:pos="2160"/>
        </w:tabs>
        <w:ind w:left="2160" w:hanging="720"/>
      </w:pPr>
      <w:rPr>
        <w:rFonts w:hint="default"/>
        <w:b/>
      </w:rPr>
    </w:lvl>
    <w:lvl w:ilvl="2" w:tplc="ECA8A366">
      <w:start w:val="1"/>
      <w:numFmt w:val="upperLetter"/>
      <w:lvlText w:val="%3."/>
      <w:lvlJc w:val="left"/>
      <w:pPr>
        <w:tabs>
          <w:tab w:val="num" w:pos="3060"/>
        </w:tabs>
        <w:ind w:left="3060" w:hanging="720"/>
      </w:pPr>
      <w:rPr>
        <w:rFonts w:hint="default"/>
        <w:b/>
      </w:rPr>
    </w:lvl>
    <w:lvl w:ilvl="3" w:tplc="CFE897F8">
      <w:start w:val="1"/>
      <w:numFmt w:val="lowerLetter"/>
      <w:lvlText w:val="%4."/>
      <w:lvlJc w:val="left"/>
      <w:pPr>
        <w:tabs>
          <w:tab w:val="num" w:pos="3240"/>
        </w:tabs>
        <w:ind w:left="3240" w:hanging="360"/>
      </w:pPr>
      <w:rPr>
        <w:rFonts w:hint="default"/>
      </w:rPr>
    </w:lvl>
    <w:lvl w:ilvl="4" w:tplc="1D229B08">
      <w:start w:val="9"/>
      <w:numFmt w:val="bullet"/>
      <w:lvlText w:val="-"/>
      <w:lvlJc w:val="left"/>
      <w:pPr>
        <w:tabs>
          <w:tab w:val="num" w:pos="3960"/>
        </w:tabs>
        <w:ind w:left="3960" w:hanging="360"/>
      </w:pPr>
      <w:rPr>
        <w:rFonts w:ascii="Univers" w:eastAsia="Times New Roman" w:hAnsi="Univer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62">
    <w:nsid w:val="7FBF0BC4"/>
    <w:multiLevelType w:val="hybridMultilevel"/>
    <w:tmpl w:val="49C2EF38"/>
    <w:lvl w:ilvl="0" w:tplc="A0D496DC">
      <w:start w:val="1"/>
      <w:numFmt w:val="upp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7FED0AC8"/>
    <w:multiLevelType w:val="hybridMultilevel"/>
    <w:tmpl w:val="73667AFE"/>
    <w:lvl w:ilvl="0" w:tplc="F53C9592">
      <w:start w:val="1"/>
      <w:numFmt w:val="decimal"/>
      <w:lvlText w:val="%1."/>
      <w:lvlJc w:val="left"/>
      <w:pPr>
        <w:ind w:left="135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3"/>
  </w:num>
  <w:num w:numId="2">
    <w:abstractNumId w:val="6"/>
  </w:num>
  <w:num w:numId="3">
    <w:abstractNumId w:val="53"/>
  </w:num>
  <w:num w:numId="4">
    <w:abstractNumId w:val="21"/>
  </w:num>
  <w:num w:numId="5">
    <w:abstractNumId w:val="47"/>
  </w:num>
  <w:num w:numId="6">
    <w:abstractNumId w:val="27"/>
  </w:num>
  <w:num w:numId="7">
    <w:abstractNumId w:val="7"/>
  </w:num>
  <w:num w:numId="8">
    <w:abstractNumId w:val="17"/>
  </w:num>
  <w:num w:numId="9">
    <w:abstractNumId w:val="42"/>
  </w:num>
  <w:num w:numId="10">
    <w:abstractNumId w:val="0"/>
  </w:num>
  <w:num w:numId="11">
    <w:abstractNumId w:val="37"/>
  </w:num>
  <w:num w:numId="12">
    <w:abstractNumId w:val="38"/>
  </w:num>
  <w:num w:numId="13">
    <w:abstractNumId w:val="43"/>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5"/>
  </w:num>
  <w:num w:numId="38">
    <w:abstractNumId w:val="36"/>
  </w:num>
  <w:num w:numId="39">
    <w:abstractNumId w:val="39"/>
  </w:num>
  <w:num w:numId="40">
    <w:abstractNumId w:val="40"/>
  </w:num>
  <w:num w:numId="41">
    <w:abstractNumId w:val="46"/>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9"/>
  </w:num>
  <w:num w:numId="50">
    <w:abstractNumId w:val="61"/>
  </w:num>
  <w:num w:numId="51">
    <w:abstractNumId w:val="20"/>
  </w:num>
  <w:num w:numId="52">
    <w:abstractNumId w:val="41"/>
  </w:num>
  <w:num w:numId="53">
    <w:abstractNumId w:val="50"/>
  </w:num>
  <w:num w:numId="54">
    <w:abstractNumId w:val="44"/>
  </w:num>
  <w:num w:numId="55">
    <w:abstractNumId w:val="5"/>
  </w:num>
  <w:num w:numId="56">
    <w:abstractNumId w:val="4"/>
  </w:num>
  <w:num w:numId="57">
    <w:abstractNumId w:val="62"/>
  </w:num>
  <w:num w:numId="58">
    <w:abstractNumId w:val="25"/>
  </w:num>
  <w:num w:numId="59">
    <w:abstractNumId w:val="63"/>
  </w:num>
  <w:num w:numId="60">
    <w:abstractNumId w:val="58"/>
  </w:num>
  <w:num w:numId="61">
    <w:abstractNumId w:val="57"/>
  </w:num>
  <w:num w:numId="62">
    <w:abstractNumId w:val="34"/>
  </w:num>
  <w:num w:numId="63">
    <w:abstractNumId w:val="45"/>
  </w:num>
  <w:num w:numId="64">
    <w:abstractNumId w:val="50"/>
  </w:num>
  <w:num w:numId="65">
    <w:abstractNumId w:val="50"/>
  </w:num>
  <w:num w:numId="66">
    <w:abstractNumId w:val="50"/>
  </w:num>
  <w:num w:numId="67">
    <w:abstractNumId w:val="60"/>
  </w:num>
  <w:numIdMacAtCleanup w:val="5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lvia Serrano">
    <w15:presenceInfo w15:providerId="Windows Live" w15:userId="54b24af38b9fab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4578"/>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1218"/>
    <w:rsid w:val="00003625"/>
    <w:rsid w:val="000040A0"/>
    <w:rsid w:val="000059AC"/>
    <w:rsid w:val="0000690D"/>
    <w:rsid w:val="00006E1F"/>
    <w:rsid w:val="000070D7"/>
    <w:rsid w:val="0001107B"/>
    <w:rsid w:val="0001206F"/>
    <w:rsid w:val="00015C6A"/>
    <w:rsid w:val="00015E58"/>
    <w:rsid w:val="0001788C"/>
    <w:rsid w:val="00023167"/>
    <w:rsid w:val="0002562F"/>
    <w:rsid w:val="00031314"/>
    <w:rsid w:val="00032AB8"/>
    <w:rsid w:val="000353F0"/>
    <w:rsid w:val="000367EA"/>
    <w:rsid w:val="00040C3A"/>
    <w:rsid w:val="0005099E"/>
    <w:rsid w:val="00050D70"/>
    <w:rsid w:val="00052DAB"/>
    <w:rsid w:val="00055AB5"/>
    <w:rsid w:val="00060434"/>
    <w:rsid w:val="000634A4"/>
    <w:rsid w:val="00063A69"/>
    <w:rsid w:val="000716C5"/>
    <w:rsid w:val="000724C2"/>
    <w:rsid w:val="00074571"/>
    <w:rsid w:val="00075CEC"/>
    <w:rsid w:val="00075E23"/>
    <w:rsid w:val="0009344A"/>
    <w:rsid w:val="00095FA8"/>
    <w:rsid w:val="000960AB"/>
    <w:rsid w:val="00097141"/>
    <w:rsid w:val="000975EA"/>
    <w:rsid w:val="000A392E"/>
    <w:rsid w:val="000A575F"/>
    <w:rsid w:val="000B276E"/>
    <w:rsid w:val="000B43BC"/>
    <w:rsid w:val="000B7B8B"/>
    <w:rsid w:val="000C19E6"/>
    <w:rsid w:val="000C20B1"/>
    <w:rsid w:val="000D10DB"/>
    <w:rsid w:val="000D714D"/>
    <w:rsid w:val="000E5EB5"/>
    <w:rsid w:val="000F022C"/>
    <w:rsid w:val="000F35ED"/>
    <w:rsid w:val="000F6559"/>
    <w:rsid w:val="00107131"/>
    <w:rsid w:val="0010736F"/>
    <w:rsid w:val="001076AF"/>
    <w:rsid w:val="00111100"/>
    <w:rsid w:val="00113F73"/>
    <w:rsid w:val="00114BB6"/>
    <w:rsid w:val="00121CC2"/>
    <w:rsid w:val="00130B68"/>
    <w:rsid w:val="00133EE5"/>
    <w:rsid w:val="00142CAF"/>
    <w:rsid w:val="00142DD8"/>
    <w:rsid w:val="00153D4A"/>
    <w:rsid w:val="0015574E"/>
    <w:rsid w:val="0015735C"/>
    <w:rsid w:val="00165779"/>
    <w:rsid w:val="00167A34"/>
    <w:rsid w:val="00172E70"/>
    <w:rsid w:val="00173E7A"/>
    <w:rsid w:val="00187792"/>
    <w:rsid w:val="00194C3C"/>
    <w:rsid w:val="00196BEB"/>
    <w:rsid w:val="001A7357"/>
    <w:rsid w:val="001A7870"/>
    <w:rsid w:val="001B3D71"/>
    <w:rsid w:val="001C18A2"/>
    <w:rsid w:val="001C19C6"/>
    <w:rsid w:val="001C1B41"/>
    <w:rsid w:val="001C1BD9"/>
    <w:rsid w:val="001C3730"/>
    <w:rsid w:val="001C556B"/>
    <w:rsid w:val="001D0285"/>
    <w:rsid w:val="001D546D"/>
    <w:rsid w:val="001D65EF"/>
    <w:rsid w:val="001E51BB"/>
    <w:rsid w:val="001F10A5"/>
    <w:rsid w:val="001F7505"/>
    <w:rsid w:val="0020051E"/>
    <w:rsid w:val="002049F8"/>
    <w:rsid w:val="00205AC0"/>
    <w:rsid w:val="0021311D"/>
    <w:rsid w:val="00215531"/>
    <w:rsid w:val="002250A3"/>
    <w:rsid w:val="00227531"/>
    <w:rsid w:val="00235217"/>
    <w:rsid w:val="00241369"/>
    <w:rsid w:val="00243C76"/>
    <w:rsid w:val="002457FC"/>
    <w:rsid w:val="00246835"/>
    <w:rsid w:val="00246D1F"/>
    <w:rsid w:val="00247403"/>
    <w:rsid w:val="00247542"/>
    <w:rsid w:val="0025196C"/>
    <w:rsid w:val="00254EA9"/>
    <w:rsid w:val="00257887"/>
    <w:rsid w:val="00266B61"/>
    <w:rsid w:val="0026712A"/>
    <w:rsid w:val="002704DB"/>
    <w:rsid w:val="00272B8E"/>
    <w:rsid w:val="002800A9"/>
    <w:rsid w:val="00280F42"/>
    <w:rsid w:val="00280F54"/>
    <w:rsid w:val="00281118"/>
    <w:rsid w:val="00286296"/>
    <w:rsid w:val="002923DD"/>
    <w:rsid w:val="002959A2"/>
    <w:rsid w:val="002A0AAE"/>
    <w:rsid w:val="002A5820"/>
    <w:rsid w:val="002B3CB4"/>
    <w:rsid w:val="002D2B26"/>
    <w:rsid w:val="002D2FE2"/>
    <w:rsid w:val="002D481C"/>
    <w:rsid w:val="002D7EA2"/>
    <w:rsid w:val="002E187C"/>
    <w:rsid w:val="002E3A2B"/>
    <w:rsid w:val="002F5586"/>
    <w:rsid w:val="002F7231"/>
    <w:rsid w:val="002F7F91"/>
    <w:rsid w:val="00301F26"/>
    <w:rsid w:val="00302733"/>
    <w:rsid w:val="00304177"/>
    <w:rsid w:val="00310326"/>
    <w:rsid w:val="00310F6C"/>
    <w:rsid w:val="00313FE4"/>
    <w:rsid w:val="00314078"/>
    <w:rsid w:val="0031535D"/>
    <w:rsid w:val="0033169F"/>
    <w:rsid w:val="00337446"/>
    <w:rsid w:val="0033784B"/>
    <w:rsid w:val="003422C3"/>
    <w:rsid w:val="00342628"/>
    <w:rsid w:val="00346C95"/>
    <w:rsid w:val="0035180C"/>
    <w:rsid w:val="00351EB0"/>
    <w:rsid w:val="00356185"/>
    <w:rsid w:val="00360380"/>
    <w:rsid w:val="00360E2F"/>
    <w:rsid w:val="00364DA4"/>
    <w:rsid w:val="00365465"/>
    <w:rsid w:val="003706DF"/>
    <w:rsid w:val="00374688"/>
    <w:rsid w:val="0037519E"/>
    <w:rsid w:val="0037522C"/>
    <w:rsid w:val="00380081"/>
    <w:rsid w:val="003819EA"/>
    <w:rsid w:val="00386735"/>
    <w:rsid w:val="00386C81"/>
    <w:rsid w:val="00386CF0"/>
    <w:rsid w:val="003926AC"/>
    <w:rsid w:val="003A698D"/>
    <w:rsid w:val="003B3341"/>
    <w:rsid w:val="003B4A4D"/>
    <w:rsid w:val="003C3BBF"/>
    <w:rsid w:val="003C676B"/>
    <w:rsid w:val="003C73EA"/>
    <w:rsid w:val="003C786B"/>
    <w:rsid w:val="003D3BC2"/>
    <w:rsid w:val="003D4A75"/>
    <w:rsid w:val="003E6CA1"/>
    <w:rsid w:val="003F3250"/>
    <w:rsid w:val="003F3E00"/>
    <w:rsid w:val="0040428D"/>
    <w:rsid w:val="004139EE"/>
    <w:rsid w:val="004165C2"/>
    <w:rsid w:val="00423291"/>
    <w:rsid w:val="0043576B"/>
    <w:rsid w:val="00435E4E"/>
    <w:rsid w:val="00441ECB"/>
    <w:rsid w:val="00445A10"/>
    <w:rsid w:val="00446160"/>
    <w:rsid w:val="00447D83"/>
    <w:rsid w:val="00451748"/>
    <w:rsid w:val="0045551E"/>
    <w:rsid w:val="00457F0C"/>
    <w:rsid w:val="0046095C"/>
    <w:rsid w:val="004623D3"/>
    <w:rsid w:val="00462E12"/>
    <w:rsid w:val="00463527"/>
    <w:rsid w:val="004639DF"/>
    <w:rsid w:val="004671F0"/>
    <w:rsid w:val="00467B7E"/>
    <w:rsid w:val="004723DA"/>
    <w:rsid w:val="00477592"/>
    <w:rsid w:val="0048487A"/>
    <w:rsid w:val="00484EEF"/>
    <w:rsid w:val="00486F1C"/>
    <w:rsid w:val="004933C2"/>
    <w:rsid w:val="0049419D"/>
    <w:rsid w:val="004A2551"/>
    <w:rsid w:val="004B2117"/>
    <w:rsid w:val="004B26C6"/>
    <w:rsid w:val="004B2CB0"/>
    <w:rsid w:val="004B6CDF"/>
    <w:rsid w:val="004C15FF"/>
    <w:rsid w:val="004C20BB"/>
    <w:rsid w:val="004C20D2"/>
    <w:rsid w:val="004C4B62"/>
    <w:rsid w:val="004C54C9"/>
    <w:rsid w:val="004D6025"/>
    <w:rsid w:val="004D75F9"/>
    <w:rsid w:val="004D7741"/>
    <w:rsid w:val="004D7C6B"/>
    <w:rsid w:val="004E2649"/>
    <w:rsid w:val="00501399"/>
    <w:rsid w:val="0050341D"/>
    <w:rsid w:val="0050633D"/>
    <w:rsid w:val="00507BC4"/>
    <w:rsid w:val="00510E2A"/>
    <w:rsid w:val="00511D4B"/>
    <w:rsid w:val="005128E4"/>
    <w:rsid w:val="005133DB"/>
    <w:rsid w:val="00514749"/>
    <w:rsid w:val="00520216"/>
    <w:rsid w:val="00525560"/>
    <w:rsid w:val="00540F3D"/>
    <w:rsid w:val="00544C49"/>
    <w:rsid w:val="005516A1"/>
    <w:rsid w:val="00553C69"/>
    <w:rsid w:val="00557CFB"/>
    <w:rsid w:val="00560E79"/>
    <w:rsid w:val="005644B0"/>
    <w:rsid w:val="00565825"/>
    <w:rsid w:val="0057402A"/>
    <w:rsid w:val="005764F6"/>
    <w:rsid w:val="00576FC7"/>
    <w:rsid w:val="005771D0"/>
    <w:rsid w:val="005778C3"/>
    <w:rsid w:val="00580BB8"/>
    <w:rsid w:val="00581B94"/>
    <w:rsid w:val="005863C4"/>
    <w:rsid w:val="005874B5"/>
    <w:rsid w:val="0059136D"/>
    <w:rsid w:val="0059191A"/>
    <w:rsid w:val="005921FF"/>
    <w:rsid w:val="005933F9"/>
    <w:rsid w:val="005943B0"/>
    <w:rsid w:val="00594ED3"/>
    <w:rsid w:val="005A6D0E"/>
    <w:rsid w:val="005A78A2"/>
    <w:rsid w:val="005A7CD4"/>
    <w:rsid w:val="005B058B"/>
    <w:rsid w:val="005B52B0"/>
    <w:rsid w:val="005B6806"/>
    <w:rsid w:val="005B73E5"/>
    <w:rsid w:val="005C4225"/>
    <w:rsid w:val="005D7290"/>
    <w:rsid w:val="005D7839"/>
    <w:rsid w:val="005E51C5"/>
    <w:rsid w:val="005E764F"/>
    <w:rsid w:val="005E7E7A"/>
    <w:rsid w:val="005F0DAD"/>
    <w:rsid w:val="005F0F33"/>
    <w:rsid w:val="005F2C7D"/>
    <w:rsid w:val="005F2FA3"/>
    <w:rsid w:val="005F301F"/>
    <w:rsid w:val="005F344D"/>
    <w:rsid w:val="005F3525"/>
    <w:rsid w:val="00600910"/>
    <w:rsid w:val="00600DEB"/>
    <w:rsid w:val="006037EF"/>
    <w:rsid w:val="00604564"/>
    <w:rsid w:val="0061239A"/>
    <w:rsid w:val="00614298"/>
    <w:rsid w:val="006172E4"/>
    <w:rsid w:val="006237DE"/>
    <w:rsid w:val="00627C9F"/>
    <w:rsid w:val="006311E9"/>
    <w:rsid w:val="00631FD3"/>
    <w:rsid w:val="00632354"/>
    <w:rsid w:val="006400BB"/>
    <w:rsid w:val="00641021"/>
    <w:rsid w:val="006425DA"/>
    <w:rsid w:val="00642810"/>
    <w:rsid w:val="00652333"/>
    <w:rsid w:val="00655188"/>
    <w:rsid w:val="00657762"/>
    <w:rsid w:val="00663393"/>
    <w:rsid w:val="0066340B"/>
    <w:rsid w:val="006635F4"/>
    <w:rsid w:val="0068009E"/>
    <w:rsid w:val="00692219"/>
    <w:rsid w:val="006A00C2"/>
    <w:rsid w:val="006A17D2"/>
    <w:rsid w:val="006A5324"/>
    <w:rsid w:val="006A73E6"/>
    <w:rsid w:val="006A741D"/>
    <w:rsid w:val="006A7CFD"/>
    <w:rsid w:val="006B2063"/>
    <w:rsid w:val="006B2D5C"/>
    <w:rsid w:val="006B6FAE"/>
    <w:rsid w:val="006C0700"/>
    <w:rsid w:val="006C1981"/>
    <w:rsid w:val="006C404F"/>
    <w:rsid w:val="006C4EB1"/>
    <w:rsid w:val="006C57A7"/>
    <w:rsid w:val="006D45F5"/>
    <w:rsid w:val="006E0166"/>
    <w:rsid w:val="006E771D"/>
    <w:rsid w:val="006E7B34"/>
    <w:rsid w:val="006F39DF"/>
    <w:rsid w:val="006F472C"/>
    <w:rsid w:val="007041B4"/>
    <w:rsid w:val="00704769"/>
    <w:rsid w:val="00704F85"/>
    <w:rsid w:val="0070697F"/>
    <w:rsid w:val="00712219"/>
    <w:rsid w:val="007143B2"/>
    <w:rsid w:val="007212DA"/>
    <w:rsid w:val="0072199C"/>
    <w:rsid w:val="00722137"/>
    <w:rsid w:val="00722C9F"/>
    <w:rsid w:val="007253B8"/>
    <w:rsid w:val="00736157"/>
    <w:rsid w:val="0073741F"/>
    <w:rsid w:val="00741B04"/>
    <w:rsid w:val="0076643F"/>
    <w:rsid w:val="007745B9"/>
    <w:rsid w:val="00777F63"/>
    <w:rsid w:val="00782D97"/>
    <w:rsid w:val="00785424"/>
    <w:rsid w:val="007860A4"/>
    <w:rsid w:val="00786866"/>
    <w:rsid w:val="00787E01"/>
    <w:rsid w:val="00790667"/>
    <w:rsid w:val="00791C1F"/>
    <w:rsid w:val="00795DD6"/>
    <w:rsid w:val="007960CE"/>
    <w:rsid w:val="007A06A8"/>
    <w:rsid w:val="007A1124"/>
    <w:rsid w:val="007A5817"/>
    <w:rsid w:val="007B2FF6"/>
    <w:rsid w:val="007B5AC6"/>
    <w:rsid w:val="007B60E9"/>
    <w:rsid w:val="007B6CC3"/>
    <w:rsid w:val="007B7C8B"/>
    <w:rsid w:val="007C0166"/>
    <w:rsid w:val="007C3334"/>
    <w:rsid w:val="007C77D7"/>
    <w:rsid w:val="007D2B98"/>
    <w:rsid w:val="007D5573"/>
    <w:rsid w:val="007D7119"/>
    <w:rsid w:val="007D7816"/>
    <w:rsid w:val="007E21BC"/>
    <w:rsid w:val="007E31C2"/>
    <w:rsid w:val="008006C8"/>
    <w:rsid w:val="00803F1C"/>
    <w:rsid w:val="008050F6"/>
    <w:rsid w:val="0080600E"/>
    <w:rsid w:val="00813625"/>
    <w:rsid w:val="00814F75"/>
    <w:rsid w:val="008150C1"/>
    <w:rsid w:val="00817612"/>
    <w:rsid w:val="008247A0"/>
    <w:rsid w:val="00825AFB"/>
    <w:rsid w:val="00826D8F"/>
    <w:rsid w:val="0082729F"/>
    <w:rsid w:val="008338A4"/>
    <w:rsid w:val="00834C1B"/>
    <w:rsid w:val="00834D38"/>
    <w:rsid w:val="00835DCD"/>
    <w:rsid w:val="00837C45"/>
    <w:rsid w:val="00842331"/>
    <w:rsid w:val="00844730"/>
    <w:rsid w:val="00845275"/>
    <w:rsid w:val="008457C2"/>
    <w:rsid w:val="0084686C"/>
    <w:rsid w:val="00850B60"/>
    <w:rsid w:val="00851C90"/>
    <w:rsid w:val="00857A82"/>
    <w:rsid w:val="00865690"/>
    <w:rsid w:val="00866A64"/>
    <w:rsid w:val="008677FF"/>
    <w:rsid w:val="00872BA1"/>
    <w:rsid w:val="00873836"/>
    <w:rsid w:val="00882DBF"/>
    <w:rsid w:val="00885737"/>
    <w:rsid w:val="008858A1"/>
    <w:rsid w:val="00887A47"/>
    <w:rsid w:val="00890650"/>
    <w:rsid w:val="00897E12"/>
    <w:rsid w:val="008A770A"/>
    <w:rsid w:val="008A7E0F"/>
    <w:rsid w:val="008B12F5"/>
    <w:rsid w:val="008B51B8"/>
    <w:rsid w:val="008C47B7"/>
    <w:rsid w:val="008C7938"/>
    <w:rsid w:val="008D173F"/>
    <w:rsid w:val="008D2996"/>
    <w:rsid w:val="008D768D"/>
    <w:rsid w:val="008E3759"/>
    <w:rsid w:val="008E4610"/>
    <w:rsid w:val="008F0006"/>
    <w:rsid w:val="008F1912"/>
    <w:rsid w:val="009006F3"/>
    <w:rsid w:val="00900D82"/>
    <w:rsid w:val="0090270B"/>
    <w:rsid w:val="009032E9"/>
    <w:rsid w:val="009041DC"/>
    <w:rsid w:val="009046DE"/>
    <w:rsid w:val="00904940"/>
    <w:rsid w:val="00911677"/>
    <w:rsid w:val="009135AE"/>
    <w:rsid w:val="00917B5A"/>
    <w:rsid w:val="00920A58"/>
    <w:rsid w:val="00920A8C"/>
    <w:rsid w:val="00920E7B"/>
    <w:rsid w:val="009251D6"/>
    <w:rsid w:val="00927B03"/>
    <w:rsid w:val="00931C16"/>
    <w:rsid w:val="00932193"/>
    <w:rsid w:val="00934A2C"/>
    <w:rsid w:val="00936FF4"/>
    <w:rsid w:val="009375E4"/>
    <w:rsid w:val="00937931"/>
    <w:rsid w:val="009379E4"/>
    <w:rsid w:val="009517EF"/>
    <w:rsid w:val="00956380"/>
    <w:rsid w:val="00961D15"/>
    <w:rsid w:val="00961FAE"/>
    <w:rsid w:val="00965AFC"/>
    <w:rsid w:val="0096706E"/>
    <w:rsid w:val="0096715D"/>
    <w:rsid w:val="00970D6E"/>
    <w:rsid w:val="00973062"/>
    <w:rsid w:val="00975C4E"/>
    <w:rsid w:val="00981248"/>
    <w:rsid w:val="00981FBA"/>
    <w:rsid w:val="009909A9"/>
    <w:rsid w:val="00997BC5"/>
    <w:rsid w:val="009A4F41"/>
    <w:rsid w:val="009A50AA"/>
    <w:rsid w:val="009A5BD0"/>
    <w:rsid w:val="009A61C1"/>
    <w:rsid w:val="009A7266"/>
    <w:rsid w:val="009B231A"/>
    <w:rsid w:val="009B381B"/>
    <w:rsid w:val="009C72FF"/>
    <w:rsid w:val="009D1753"/>
    <w:rsid w:val="009D7611"/>
    <w:rsid w:val="009E0B61"/>
    <w:rsid w:val="009E53DE"/>
    <w:rsid w:val="009F1425"/>
    <w:rsid w:val="009F68BB"/>
    <w:rsid w:val="00A04378"/>
    <w:rsid w:val="00A17234"/>
    <w:rsid w:val="00A2379D"/>
    <w:rsid w:val="00A23F6A"/>
    <w:rsid w:val="00A328B3"/>
    <w:rsid w:val="00A43AAF"/>
    <w:rsid w:val="00A43B75"/>
    <w:rsid w:val="00A44343"/>
    <w:rsid w:val="00A50FCF"/>
    <w:rsid w:val="00A528D1"/>
    <w:rsid w:val="00A52B38"/>
    <w:rsid w:val="00A57E11"/>
    <w:rsid w:val="00A610CD"/>
    <w:rsid w:val="00A676FC"/>
    <w:rsid w:val="00A67772"/>
    <w:rsid w:val="00A70C22"/>
    <w:rsid w:val="00A746E8"/>
    <w:rsid w:val="00A74CC7"/>
    <w:rsid w:val="00A7783A"/>
    <w:rsid w:val="00A779BC"/>
    <w:rsid w:val="00A835B3"/>
    <w:rsid w:val="00A84E8F"/>
    <w:rsid w:val="00A91E5B"/>
    <w:rsid w:val="00A93350"/>
    <w:rsid w:val="00A934D2"/>
    <w:rsid w:val="00A9466A"/>
    <w:rsid w:val="00AA09A2"/>
    <w:rsid w:val="00AA127B"/>
    <w:rsid w:val="00AA7996"/>
    <w:rsid w:val="00AB032D"/>
    <w:rsid w:val="00AB324B"/>
    <w:rsid w:val="00AC19CB"/>
    <w:rsid w:val="00AC3698"/>
    <w:rsid w:val="00AC7D19"/>
    <w:rsid w:val="00AD7AE2"/>
    <w:rsid w:val="00AE0D66"/>
    <w:rsid w:val="00AE4943"/>
    <w:rsid w:val="00AE5488"/>
    <w:rsid w:val="00AE6F91"/>
    <w:rsid w:val="00AF0938"/>
    <w:rsid w:val="00AF52FD"/>
    <w:rsid w:val="00AF5571"/>
    <w:rsid w:val="00AF679E"/>
    <w:rsid w:val="00AF67E9"/>
    <w:rsid w:val="00B064CD"/>
    <w:rsid w:val="00B07341"/>
    <w:rsid w:val="00B136E1"/>
    <w:rsid w:val="00B2649A"/>
    <w:rsid w:val="00B30539"/>
    <w:rsid w:val="00B314DB"/>
    <w:rsid w:val="00B35A5A"/>
    <w:rsid w:val="00B35DA2"/>
    <w:rsid w:val="00B361F2"/>
    <w:rsid w:val="00B3718B"/>
    <w:rsid w:val="00B373C8"/>
    <w:rsid w:val="00B3782B"/>
    <w:rsid w:val="00B4632A"/>
    <w:rsid w:val="00B52CF9"/>
    <w:rsid w:val="00B530F1"/>
    <w:rsid w:val="00B53A8E"/>
    <w:rsid w:val="00B57962"/>
    <w:rsid w:val="00B60C2D"/>
    <w:rsid w:val="00B715DE"/>
    <w:rsid w:val="00B71A92"/>
    <w:rsid w:val="00B778F1"/>
    <w:rsid w:val="00B82B33"/>
    <w:rsid w:val="00B8486D"/>
    <w:rsid w:val="00B85F07"/>
    <w:rsid w:val="00B865A4"/>
    <w:rsid w:val="00B86A2A"/>
    <w:rsid w:val="00B9262F"/>
    <w:rsid w:val="00B96B11"/>
    <w:rsid w:val="00BA0723"/>
    <w:rsid w:val="00BA0DF1"/>
    <w:rsid w:val="00BA1E8B"/>
    <w:rsid w:val="00BA276C"/>
    <w:rsid w:val="00BB17AB"/>
    <w:rsid w:val="00BB306F"/>
    <w:rsid w:val="00BB6CC9"/>
    <w:rsid w:val="00BC30AB"/>
    <w:rsid w:val="00BC34D4"/>
    <w:rsid w:val="00BD1CB7"/>
    <w:rsid w:val="00BD4B89"/>
    <w:rsid w:val="00BD4C56"/>
    <w:rsid w:val="00BD4EE1"/>
    <w:rsid w:val="00BD56A1"/>
    <w:rsid w:val="00BD63E3"/>
    <w:rsid w:val="00BE25FB"/>
    <w:rsid w:val="00BE3C58"/>
    <w:rsid w:val="00BF02CB"/>
    <w:rsid w:val="00BF3231"/>
    <w:rsid w:val="00BF6FD8"/>
    <w:rsid w:val="00C03680"/>
    <w:rsid w:val="00C054DF"/>
    <w:rsid w:val="00C0708A"/>
    <w:rsid w:val="00C15F49"/>
    <w:rsid w:val="00C16A8F"/>
    <w:rsid w:val="00C21762"/>
    <w:rsid w:val="00C24543"/>
    <w:rsid w:val="00C256A2"/>
    <w:rsid w:val="00C34F9E"/>
    <w:rsid w:val="00C35B6F"/>
    <w:rsid w:val="00C37058"/>
    <w:rsid w:val="00C40732"/>
    <w:rsid w:val="00C409F2"/>
    <w:rsid w:val="00C43EA8"/>
    <w:rsid w:val="00C44A14"/>
    <w:rsid w:val="00C50824"/>
    <w:rsid w:val="00C514C3"/>
    <w:rsid w:val="00C51515"/>
    <w:rsid w:val="00C54B02"/>
    <w:rsid w:val="00C5660B"/>
    <w:rsid w:val="00C64C16"/>
    <w:rsid w:val="00C66B72"/>
    <w:rsid w:val="00C804F3"/>
    <w:rsid w:val="00C8099B"/>
    <w:rsid w:val="00C84112"/>
    <w:rsid w:val="00C8563D"/>
    <w:rsid w:val="00C9567A"/>
    <w:rsid w:val="00C95722"/>
    <w:rsid w:val="00CA0689"/>
    <w:rsid w:val="00CA35D6"/>
    <w:rsid w:val="00CA5FAF"/>
    <w:rsid w:val="00CB0442"/>
    <w:rsid w:val="00CB212D"/>
    <w:rsid w:val="00CB252F"/>
    <w:rsid w:val="00CB2660"/>
    <w:rsid w:val="00CB391B"/>
    <w:rsid w:val="00CB6A88"/>
    <w:rsid w:val="00CC2F6E"/>
    <w:rsid w:val="00CC5050"/>
    <w:rsid w:val="00CC5408"/>
    <w:rsid w:val="00CC5E90"/>
    <w:rsid w:val="00CD046C"/>
    <w:rsid w:val="00CD4468"/>
    <w:rsid w:val="00CD5ED2"/>
    <w:rsid w:val="00CE076C"/>
    <w:rsid w:val="00CE5199"/>
    <w:rsid w:val="00CE66D5"/>
    <w:rsid w:val="00CF2EC7"/>
    <w:rsid w:val="00CF367A"/>
    <w:rsid w:val="00CF637A"/>
    <w:rsid w:val="00D03547"/>
    <w:rsid w:val="00D035E5"/>
    <w:rsid w:val="00D052DC"/>
    <w:rsid w:val="00D05831"/>
    <w:rsid w:val="00D059DE"/>
    <w:rsid w:val="00D11C82"/>
    <w:rsid w:val="00D12410"/>
    <w:rsid w:val="00D13FCE"/>
    <w:rsid w:val="00D1590B"/>
    <w:rsid w:val="00D169CE"/>
    <w:rsid w:val="00D21E37"/>
    <w:rsid w:val="00D222A3"/>
    <w:rsid w:val="00D250BE"/>
    <w:rsid w:val="00D306D1"/>
    <w:rsid w:val="00D3101D"/>
    <w:rsid w:val="00D321C7"/>
    <w:rsid w:val="00D33266"/>
    <w:rsid w:val="00D34786"/>
    <w:rsid w:val="00D37BFC"/>
    <w:rsid w:val="00D41DED"/>
    <w:rsid w:val="00D42869"/>
    <w:rsid w:val="00D47A8E"/>
    <w:rsid w:val="00D52D14"/>
    <w:rsid w:val="00D56C97"/>
    <w:rsid w:val="00D70F18"/>
    <w:rsid w:val="00D712D3"/>
    <w:rsid w:val="00D71422"/>
    <w:rsid w:val="00D7215F"/>
    <w:rsid w:val="00D72BB1"/>
    <w:rsid w:val="00D72DC6"/>
    <w:rsid w:val="00D732D5"/>
    <w:rsid w:val="00D7558D"/>
    <w:rsid w:val="00D81D92"/>
    <w:rsid w:val="00D84BC1"/>
    <w:rsid w:val="00D8537D"/>
    <w:rsid w:val="00D91932"/>
    <w:rsid w:val="00D941CB"/>
    <w:rsid w:val="00DA2EE3"/>
    <w:rsid w:val="00DA5B7A"/>
    <w:rsid w:val="00DA7B5F"/>
    <w:rsid w:val="00DC11E7"/>
    <w:rsid w:val="00DC2DE9"/>
    <w:rsid w:val="00DC7023"/>
    <w:rsid w:val="00DC769A"/>
    <w:rsid w:val="00DD0AC9"/>
    <w:rsid w:val="00DD34D9"/>
    <w:rsid w:val="00DD3D86"/>
    <w:rsid w:val="00DD49D1"/>
    <w:rsid w:val="00DD5DAE"/>
    <w:rsid w:val="00DE6CF0"/>
    <w:rsid w:val="00DF1EC4"/>
    <w:rsid w:val="00DF7C7A"/>
    <w:rsid w:val="00E004FE"/>
    <w:rsid w:val="00E02903"/>
    <w:rsid w:val="00E0340B"/>
    <w:rsid w:val="00E04A90"/>
    <w:rsid w:val="00E06F22"/>
    <w:rsid w:val="00E0749C"/>
    <w:rsid w:val="00E10019"/>
    <w:rsid w:val="00E158D6"/>
    <w:rsid w:val="00E219C7"/>
    <w:rsid w:val="00E22BB6"/>
    <w:rsid w:val="00E2377D"/>
    <w:rsid w:val="00E271A9"/>
    <w:rsid w:val="00E27AA7"/>
    <w:rsid w:val="00E30D66"/>
    <w:rsid w:val="00E338CE"/>
    <w:rsid w:val="00E35DC1"/>
    <w:rsid w:val="00E361E6"/>
    <w:rsid w:val="00E40DA3"/>
    <w:rsid w:val="00E416D2"/>
    <w:rsid w:val="00E43157"/>
    <w:rsid w:val="00E43A29"/>
    <w:rsid w:val="00E43EAA"/>
    <w:rsid w:val="00E44C01"/>
    <w:rsid w:val="00E461CE"/>
    <w:rsid w:val="00E6314D"/>
    <w:rsid w:val="00E720CA"/>
    <w:rsid w:val="00E72594"/>
    <w:rsid w:val="00E73100"/>
    <w:rsid w:val="00E740E8"/>
    <w:rsid w:val="00E81C47"/>
    <w:rsid w:val="00E84EB5"/>
    <w:rsid w:val="00E85662"/>
    <w:rsid w:val="00E85D6A"/>
    <w:rsid w:val="00E86903"/>
    <w:rsid w:val="00E8789F"/>
    <w:rsid w:val="00E900F3"/>
    <w:rsid w:val="00E9259A"/>
    <w:rsid w:val="00E950FC"/>
    <w:rsid w:val="00E97B71"/>
    <w:rsid w:val="00EA1156"/>
    <w:rsid w:val="00EA2098"/>
    <w:rsid w:val="00EA3D34"/>
    <w:rsid w:val="00EA4837"/>
    <w:rsid w:val="00EA5184"/>
    <w:rsid w:val="00EB19FD"/>
    <w:rsid w:val="00EB4387"/>
    <w:rsid w:val="00EB454D"/>
    <w:rsid w:val="00EC1658"/>
    <w:rsid w:val="00EC4F3B"/>
    <w:rsid w:val="00EC53C2"/>
    <w:rsid w:val="00ED510F"/>
    <w:rsid w:val="00ED76BE"/>
    <w:rsid w:val="00EE019D"/>
    <w:rsid w:val="00EE3236"/>
    <w:rsid w:val="00EE44BE"/>
    <w:rsid w:val="00EE5C59"/>
    <w:rsid w:val="00EE6A3A"/>
    <w:rsid w:val="00EE730B"/>
    <w:rsid w:val="00EF22D1"/>
    <w:rsid w:val="00EF619B"/>
    <w:rsid w:val="00EF6BAA"/>
    <w:rsid w:val="00F00A90"/>
    <w:rsid w:val="00F00B55"/>
    <w:rsid w:val="00F02AD1"/>
    <w:rsid w:val="00F075CA"/>
    <w:rsid w:val="00F10C10"/>
    <w:rsid w:val="00F15C53"/>
    <w:rsid w:val="00F253CC"/>
    <w:rsid w:val="00F302DA"/>
    <w:rsid w:val="00F3250A"/>
    <w:rsid w:val="00F336BC"/>
    <w:rsid w:val="00F37106"/>
    <w:rsid w:val="00F50A16"/>
    <w:rsid w:val="00F519CF"/>
    <w:rsid w:val="00F56BA5"/>
    <w:rsid w:val="00F60E22"/>
    <w:rsid w:val="00F63E7F"/>
    <w:rsid w:val="00F661BD"/>
    <w:rsid w:val="00F810E1"/>
    <w:rsid w:val="00F81395"/>
    <w:rsid w:val="00F917D1"/>
    <w:rsid w:val="00F9653B"/>
    <w:rsid w:val="00F97527"/>
    <w:rsid w:val="00F97DF5"/>
    <w:rsid w:val="00FA5795"/>
    <w:rsid w:val="00FB322A"/>
    <w:rsid w:val="00FB51B8"/>
    <w:rsid w:val="00FB62CF"/>
    <w:rsid w:val="00FC1B9D"/>
    <w:rsid w:val="00FC20A6"/>
    <w:rsid w:val="00FC31B6"/>
    <w:rsid w:val="00FC3B96"/>
    <w:rsid w:val="00FC4F7F"/>
    <w:rsid w:val="00FC6365"/>
    <w:rsid w:val="00FD3C3B"/>
    <w:rsid w:val="00FD5ADE"/>
    <w:rsid w:val="00FD639B"/>
    <w:rsid w:val="00FE07DD"/>
    <w:rsid w:val="00FE6B45"/>
    <w:rsid w:val="00FF0848"/>
    <w:rsid w:val="00FF27AC"/>
    <w:rsid w:val="00FF2E24"/>
    <w:rsid w:val="00FF55F3"/>
    <w:rsid w:val="00FF5851"/>
    <w:rsid w:val="00FF6325"/>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4:docId w14:val="56D8B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List Paragraph1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778C3"/>
    <w:pPr>
      <w:tabs>
        <w:tab w:val="left" w:pos="1440"/>
        <w:tab w:val="right" w:leader="dot" w:pos="9350"/>
      </w:tabs>
      <w:spacing w:after="100"/>
      <w:ind w:left="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Ref. de nota al pi,Re"/>
    <w:basedOn w:val="DefaultParagraphFont"/>
    <w:link w:val="1"/>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styleId="PlainText">
    <w:name w:val="Plain Text"/>
    <w:basedOn w:val="Normal"/>
    <w:link w:val="PlainTextChar"/>
    <w:uiPriority w:val="99"/>
    <w:unhideWhenUsed/>
    <w:rsid w:val="000F655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rPr>
  </w:style>
  <w:style w:type="character" w:customStyle="1" w:styleId="PlainTextChar">
    <w:name w:val="Plain Text Char"/>
    <w:basedOn w:val="DefaultParagraphFont"/>
    <w:link w:val="PlainText"/>
    <w:uiPriority w:val="99"/>
    <w:rsid w:val="000F6559"/>
    <w:rPr>
      <w:rFonts w:ascii="Calibri" w:eastAsiaTheme="minorHAnsi" w:hAnsi="Calibri" w:cstheme="minorBidi"/>
      <w:sz w:val="22"/>
      <w:szCs w:val="21"/>
      <w:bdr w:val="none" w:sz="0" w:space="0" w:color="auto"/>
      <w:lang w:val="en-US" w:eastAsia="en-US"/>
    </w:rPr>
  </w:style>
  <w:style w:type="character" w:styleId="CommentReference">
    <w:name w:val="annotation reference"/>
    <w:basedOn w:val="DefaultParagraphFont"/>
    <w:uiPriority w:val="99"/>
    <w:semiHidden/>
    <w:unhideWhenUsed/>
    <w:rsid w:val="000F6559"/>
    <w:rPr>
      <w:sz w:val="16"/>
      <w:szCs w:val="16"/>
    </w:rPr>
  </w:style>
  <w:style w:type="paragraph" w:styleId="CommentText">
    <w:name w:val="annotation text"/>
    <w:basedOn w:val="Normal"/>
    <w:link w:val="CommentTextChar"/>
    <w:uiPriority w:val="99"/>
    <w:semiHidden/>
    <w:unhideWhenUsed/>
    <w:rsid w:val="000F655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CommentTextChar">
    <w:name w:val="Comment Text Char"/>
    <w:basedOn w:val="DefaultParagraphFont"/>
    <w:link w:val="CommentText"/>
    <w:uiPriority w:val="99"/>
    <w:semiHidden/>
    <w:rsid w:val="000F6559"/>
    <w:rPr>
      <w:rFonts w:eastAsia="Times New Roman"/>
      <w:bdr w:val="none" w:sz="0" w:space="0" w:color="auto"/>
      <w:lang w:val="en-US" w:eastAsia="en-US"/>
    </w:rPr>
  </w:style>
  <w:style w:type="character" w:customStyle="1" w:styleId="apple-converted-space">
    <w:name w:val="apple-converted-space"/>
    <w:basedOn w:val="DefaultParagraphFont"/>
    <w:rsid w:val="000F6559"/>
  </w:style>
  <w:style w:type="character" w:styleId="Strong">
    <w:name w:val="Strong"/>
    <w:basedOn w:val="DefaultParagraphFont"/>
    <w:uiPriority w:val="22"/>
    <w:qFormat/>
    <w:rsid w:val="000F6559"/>
    <w:rPr>
      <w:b/>
      <w:bCs/>
    </w:rPr>
  </w:style>
  <w:style w:type="paragraph" w:customStyle="1" w:styleId="1">
    <w:name w:val="1"/>
    <w:basedOn w:val="Normal"/>
    <w:link w:val="FootnoteReference"/>
    <w:rsid w:val="000F655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ListParagraphChar">
    <w:name w:val="List Paragraph Char"/>
    <w:aliases w:val="Párrafo de lista1 Char,List Paragraph1 Char,List Paragraph11 Char"/>
    <w:link w:val="ListParagraph"/>
    <w:uiPriority w:val="34"/>
    <w:locked/>
    <w:rsid w:val="00F336BC"/>
    <w:rPr>
      <w:rFonts w:ascii="Cambria" w:eastAsia="Cambria" w:hAnsi="Cambria" w:cs="Cambria"/>
      <w:color w:val="000000"/>
      <w:sz w:val="24"/>
      <w:szCs w:val="24"/>
      <w:u w:color="000000"/>
      <w:lang w:val="en-US"/>
    </w:rPr>
  </w:style>
  <w:style w:type="paragraph" w:styleId="BodyTextIndent3">
    <w:name w:val="Body Text Indent 3"/>
    <w:basedOn w:val="Normal"/>
    <w:link w:val="BodyTextIndent3Char"/>
    <w:uiPriority w:val="99"/>
    <w:semiHidden/>
    <w:unhideWhenUsed/>
    <w:rsid w:val="00114BB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14BB6"/>
    <w:rPr>
      <w:sz w:val="16"/>
      <w:szCs w:val="16"/>
      <w:lang w:val="en-US" w:eastAsia="en-US"/>
    </w:rPr>
  </w:style>
  <w:style w:type="paragraph" w:styleId="CommentSubject">
    <w:name w:val="annotation subject"/>
    <w:basedOn w:val="CommentText"/>
    <w:next w:val="CommentText"/>
    <w:link w:val="CommentSubjectChar"/>
    <w:uiPriority w:val="99"/>
    <w:semiHidden/>
    <w:unhideWhenUsed/>
    <w:rsid w:val="003926AC"/>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3926AC"/>
    <w:rPr>
      <w:rFonts w:eastAsia="Times New Roman"/>
      <w:b/>
      <w:bCs/>
      <w:bdr w:val="none" w:sz="0" w:space="0" w:color="auto"/>
      <w:lang w:val="en-US" w:eastAsia="en-US"/>
    </w:rPr>
  </w:style>
  <w:style w:type="paragraph" w:styleId="Revision">
    <w:name w:val="Revision"/>
    <w:hidden/>
    <w:uiPriority w:val="99"/>
    <w:semiHidden/>
    <w:rsid w:val="001C1BD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NormalWeb">
    <w:name w:val="Normal (Web)"/>
    <w:basedOn w:val="Normal"/>
    <w:uiPriority w:val="99"/>
    <w:semiHidden/>
    <w:unhideWhenUsed/>
    <w:rsid w:val="00205A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character" w:customStyle="1" w:styleId="titart">
    <w:name w:val="titart"/>
    <w:basedOn w:val="DefaultParagraphFont"/>
    <w:rsid w:val="00205AC0"/>
  </w:style>
  <w:style w:type="paragraph" w:customStyle="1" w:styleId="Style2">
    <w:name w:val="Style2"/>
    <w:basedOn w:val="Normal"/>
    <w:qFormat/>
    <w:rsid w:val="00F10C10"/>
    <w:pPr>
      <w:numPr>
        <w:numId w:val="67"/>
      </w:num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mbria" w:hAnsi="Cambria"/>
      <w:sz w:val="20"/>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List Paragraph1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778C3"/>
    <w:pPr>
      <w:tabs>
        <w:tab w:val="left" w:pos="1440"/>
        <w:tab w:val="right" w:leader="dot" w:pos="9350"/>
      </w:tabs>
      <w:spacing w:after="100"/>
      <w:ind w:left="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Ref. de nota al pi,Re"/>
    <w:basedOn w:val="DefaultParagraphFont"/>
    <w:link w:val="1"/>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styleId="PlainText">
    <w:name w:val="Plain Text"/>
    <w:basedOn w:val="Normal"/>
    <w:link w:val="PlainTextChar"/>
    <w:uiPriority w:val="99"/>
    <w:unhideWhenUsed/>
    <w:rsid w:val="000F655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rPr>
  </w:style>
  <w:style w:type="character" w:customStyle="1" w:styleId="PlainTextChar">
    <w:name w:val="Plain Text Char"/>
    <w:basedOn w:val="DefaultParagraphFont"/>
    <w:link w:val="PlainText"/>
    <w:uiPriority w:val="99"/>
    <w:rsid w:val="000F6559"/>
    <w:rPr>
      <w:rFonts w:ascii="Calibri" w:eastAsiaTheme="minorHAnsi" w:hAnsi="Calibri" w:cstheme="minorBidi"/>
      <w:sz w:val="22"/>
      <w:szCs w:val="21"/>
      <w:bdr w:val="none" w:sz="0" w:space="0" w:color="auto"/>
      <w:lang w:val="en-US" w:eastAsia="en-US"/>
    </w:rPr>
  </w:style>
  <w:style w:type="character" w:styleId="CommentReference">
    <w:name w:val="annotation reference"/>
    <w:basedOn w:val="DefaultParagraphFont"/>
    <w:uiPriority w:val="99"/>
    <w:semiHidden/>
    <w:unhideWhenUsed/>
    <w:rsid w:val="000F6559"/>
    <w:rPr>
      <w:sz w:val="16"/>
      <w:szCs w:val="16"/>
    </w:rPr>
  </w:style>
  <w:style w:type="paragraph" w:styleId="CommentText">
    <w:name w:val="annotation text"/>
    <w:basedOn w:val="Normal"/>
    <w:link w:val="CommentTextChar"/>
    <w:uiPriority w:val="99"/>
    <w:semiHidden/>
    <w:unhideWhenUsed/>
    <w:rsid w:val="000F655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CommentTextChar">
    <w:name w:val="Comment Text Char"/>
    <w:basedOn w:val="DefaultParagraphFont"/>
    <w:link w:val="CommentText"/>
    <w:uiPriority w:val="99"/>
    <w:semiHidden/>
    <w:rsid w:val="000F6559"/>
    <w:rPr>
      <w:rFonts w:eastAsia="Times New Roman"/>
      <w:bdr w:val="none" w:sz="0" w:space="0" w:color="auto"/>
      <w:lang w:val="en-US" w:eastAsia="en-US"/>
    </w:rPr>
  </w:style>
  <w:style w:type="character" w:customStyle="1" w:styleId="apple-converted-space">
    <w:name w:val="apple-converted-space"/>
    <w:basedOn w:val="DefaultParagraphFont"/>
    <w:rsid w:val="000F6559"/>
  </w:style>
  <w:style w:type="character" w:styleId="Strong">
    <w:name w:val="Strong"/>
    <w:basedOn w:val="DefaultParagraphFont"/>
    <w:uiPriority w:val="22"/>
    <w:qFormat/>
    <w:rsid w:val="000F6559"/>
    <w:rPr>
      <w:b/>
      <w:bCs/>
    </w:rPr>
  </w:style>
  <w:style w:type="paragraph" w:customStyle="1" w:styleId="1">
    <w:name w:val="1"/>
    <w:basedOn w:val="Normal"/>
    <w:link w:val="FootnoteReference"/>
    <w:rsid w:val="000F655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ListParagraphChar">
    <w:name w:val="List Paragraph Char"/>
    <w:aliases w:val="Párrafo de lista1 Char,List Paragraph1 Char,List Paragraph11 Char"/>
    <w:link w:val="ListParagraph"/>
    <w:uiPriority w:val="34"/>
    <w:locked/>
    <w:rsid w:val="00F336BC"/>
    <w:rPr>
      <w:rFonts w:ascii="Cambria" w:eastAsia="Cambria" w:hAnsi="Cambria" w:cs="Cambria"/>
      <w:color w:val="000000"/>
      <w:sz w:val="24"/>
      <w:szCs w:val="24"/>
      <w:u w:color="000000"/>
      <w:lang w:val="en-US"/>
    </w:rPr>
  </w:style>
  <w:style w:type="paragraph" w:styleId="BodyTextIndent3">
    <w:name w:val="Body Text Indent 3"/>
    <w:basedOn w:val="Normal"/>
    <w:link w:val="BodyTextIndent3Char"/>
    <w:uiPriority w:val="99"/>
    <w:semiHidden/>
    <w:unhideWhenUsed/>
    <w:rsid w:val="00114BB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14BB6"/>
    <w:rPr>
      <w:sz w:val="16"/>
      <w:szCs w:val="16"/>
      <w:lang w:val="en-US" w:eastAsia="en-US"/>
    </w:rPr>
  </w:style>
  <w:style w:type="paragraph" w:styleId="CommentSubject">
    <w:name w:val="annotation subject"/>
    <w:basedOn w:val="CommentText"/>
    <w:next w:val="CommentText"/>
    <w:link w:val="CommentSubjectChar"/>
    <w:uiPriority w:val="99"/>
    <w:semiHidden/>
    <w:unhideWhenUsed/>
    <w:rsid w:val="003926AC"/>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3926AC"/>
    <w:rPr>
      <w:rFonts w:eastAsia="Times New Roman"/>
      <w:b/>
      <w:bCs/>
      <w:bdr w:val="none" w:sz="0" w:space="0" w:color="auto"/>
      <w:lang w:val="en-US" w:eastAsia="en-US"/>
    </w:rPr>
  </w:style>
  <w:style w:type="paragraph" w:styleId="Revision">
    <w:name w:val="Revision"/>
    <w:hidden/>
    <w:uiPriority w:val="99"/>
    <w:semiHidden/>
    <w:rsid w:val="001C1BD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NormalWeb">
    <w:name w:val="Normal (Web)"/>
    <w:basedOn w:val="Normal"/>
    <w:uiPriority w:val="99"/>
    <w:semiHidden/>
    <w:unhideWhenUsed/>
    <w:rsid w:val="00205A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character" w:customStyle="1" w:styleId="titart">
    <w:name w:val="titart"/>
    <w:basedOn w:val="DefaultParagraphFont"/>
    <w:rsid w:val="00205AC0"/>
  </w:style>
  <w:style w:type="paragraph" w:customStyle="1" w:styleId="Style2">
    <w:name w:val="Style2"/>
    <w:basedOn w:val="Normal"/>
    <w:qFormat/>
    <w:rsid w:val="00F10C10"/>
    <w:pPr>
      <w:numPr>
        <w:numId w:val="67"/>
      </w:num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mbria" w:hAnsi="Cambria"/>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73713">
      <w:bodyDiv w:val="1"/>
      <w:marLeft w:val="0"/>
      <w:marRight w:val="0"/>
      <w:marTop w:val="0"/>
      <w:marBottom w:val="0"/>
      <w:divBdr>
        <w:top w:val="none" w:sz="0" w:space="0" w:color="auto"/>
        <w:left w:val="none" w:sz="0" w:space="0" w:color="auto"/>
        <w:bottom w:val="none" w:sz="0" w:space="0" w:color="auto"/>
        <w:right w:val="none" w:sz="0" w:space="0" w:color="auto"/>
      </w:divBdr>
    </w:div>
    <w:div w:id="1515218536">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EBD61-7FD2-4E4C-A2CF-5CCD2F685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7702</Words>
  <Characters>43904</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dc:creator>
  <cp:lastModifiedBy>%username%</cp:lastModifiedBy>
  <cp:revision>4</cp:revision>
  <cp:lastPrinted>2014-04-15T14:21:00Z</cp:lastPrinted>
  <dcterms:created xsi:type="dcterms:W3CDTF">2017-10-03T14:40:00Z</dcterms:created>
  <dcterms:modified xsi:type="dcterms:W3CDTF">2017-10-04T16:25:00Z</dcterms:modified>
</cp:coreProperties>
</file>