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E6AB2" w14:textId="77777777" w:rsidR="00D44E93" w:rsidRPr="002D1737" w:rsidRDefault="00D44E93" w:rsidP="00D44E93">
      <w:pPr>
        <w:tabs>
          <w:tab w:val="left" w:pos="810"/>
        </w:tabs>
        <w:suppressAutoHyphens/>
        <w:spacing w:after="0" w:line="240" w:lineRule="auto"/>
        <w:rPr>
          <w:rFonts w:ascii="Cambria" w:hAnsi="Cambria" w:cs="Arial"/>
          <w:sz w:val="21"/>
          <w:szCs w:val="21"/>
          <w:lang w:val="es-CO"/>
        </w:rPr>
      </w:pPr>
    </w:p>
    <w:p w14:paraId="610EEA28" w14:textId="77777777" w:rsidR="004D3279" w:rsidRPr="002D1737" w:rsidRDefault="004D3279" w:rsidP="00D44E93">
      <w:pPr>
        <w:tabs>
          <w:tab w:val="left" w:pos="810"/>
        </w:tabs>
        <w:suppressAutoHyphens/>
        <w:spacing w:after="0" w:line="240" w:lineRule="auto"/>
        <w:rPr>
          <w:rFonts w:ascii="Cambria" w:hAnsi="Cambria" w:cs="Arial"/>
          <w:sz w:val="21"/>
          <w:szCs w:val="21"/>
          <w:lang w:val="es-CO"/>
        </w:rPr>
      </w:pPr>
    </w:p>
    <w:p w14:paraId="57767B56" w14:textId="731F3CCF" w:rsidR="00D44E93" w:rsidRPr="002D1737" w:rsidRDefault="00D44E93" w:rsidP="0081015C">
      <w:pPr>
        <w:tabs>
          <w:tab w:val="left" w:pos="810"/>
        </w:tabs>
        <w:suppressAutoHyphens/>
        <w:spacing w:after="0" w:line="240" w:lineRule="auto"/>
        <w:jc w:val="right"/>
        <w:rPr>
          <w:rFonts w:ascii="Cambria" w:hAnsi="Cambria" w:cs="Arial"/>
          <w:b/>
          <w:sz w:val="21"/>
          <w:szCs w:val="21"/>
          <w:lang w:val="pt-BR"/>
        </w:rPr>
      </w:pPr>
      <w:r w:rsidRPr="002D1737">
        <w:rPr>
          <w:rFonts w:ascii="Cambria" w:hAnsi="Cambria" w:cs="Arial"/>
          <w:sz w:val="21"/>
          <w:szCs w:val="21"/>
          <w:lang w:val="pt-BR"/>
        </w:rPr>
        <w:t>2</w:t>
      </w:r>
      <w:r w:rsidR="004D3279" w:rsidRPr="002D1737">
        <w:rPr>
          <w:rFonts w:ascii="Cambria" w:hAnsi="Cambria" w:cs="Arial"/>
          <w:sz w:val="21"/>
          <w:szCs w:val="21"/>
          <w:lang w:val="pt-BR"/>
        </w:rPr>
        <w:t>6</w:t>
      </w:r>
      <w:r w:rsidRPr="002D1737">
        <w:rPr>
          <w:rFonts w:ascii="Cambria" w:hAnsi="Cambria" w:cs="Arial"/>
          <w:sz w:val="21"/>
          <w:szCs w:val="21"/>
          <w:lang w:val="pt-BR"/>
        </w:rPr>
        <w:t xml:space="preserve"> de agosto de 2016</w:t>
      </w:r>
    </w:p>
    <w:p w14:paraId="4971CFB2" w14:textId="77777777" w:rsidR="004D3279" w:rsidRPr="002D1737" w:rsidRDefault="004D3279" w:rsidP="00D44E93">
      <w:pPr>
        <w:widowControl w:val="0"/>
        <w:tabs>
          <w:tab w:val="left" w:pos="720"/>
        </w:tabs>
        <w:autoSpaceDE w:val="0"/>
        <w:autoSpaceDN w:val="0"/>
        <w:adjustRightInd w:val="0"/>
        <w:spacing w:after="0" w:line="240" w:lineRule="auto"/>
        <w:jc w:val="both"/>
        <w:rPr>
          <w:rFonts w:ascii="Cambria" w:hAnsi="Cambria" w:cs="Arial"/>
          <w:b/>
          <w:sz w:val="21"/>
          <w:szCs w:val="21"/>
          <w:lang w:val="pt-BR"/>
        </w:rPr>
      </w:pPr>
    </w:p>
    <w:p w14:paraId="776683FB" w14:textId="07D896FF" w:rsidR="00D44E93" w:rsidRPr="002D1737" w:rsidRDefault="004D3279" w:rsidP="00D44E93">
      <w:pPr>
        <w:widowControl w:val="0"/>
        <w:tabs>
          <w:tab w:val="left" w:pos="720"/>
        </w:tabs>
        <w:autoSpaceDE w:val="0"/>
        <w:autoSpaceDN w:val="0"/>
        <w:adjustRightInd w:val="0"/>
        <w:spacing w:after="0" w:line="240" w:lineRule="auto"/>
        <w:jc w:val="both"/>
        <w:rPr>
          <w:rFonts w:ascii="Cambria" w:hAnsi="Cambria" w:cs="Arial"/>
          <w:b/>
          <w:sz w:val="21"/>
          <w:szCs w:val="21"/>
          <w:lang w:val="pt-BR"/>
        </w:rPr>
      </w:pPr>
      <w:r w:rsidRPr="002D1737">
        <w:rPr>
          <w:rFonts w:ascii="Cambria" w:hAnsi="Cambria" w:cs="Arial"/>
          <w:b/>
          <w:sz w:val="21"/>
          <w:szCs w:val="21"/>
          <w:lang w:val="pt-BR"/>
        </w:rPr>
        <w:t>REF</w:t>
      </w:r>
      <w:r w:rsidR="00D44E93" w:rsidRPr="002D1737">
        <w:rPr>
          <w:rFonts w:ascii="Cambria" w:hAnsi="Cambria" w:cs="Arial"/>
          <w:b/>
          <w:sz w:val="21"/>
          <w:szCs w:val="21"/>
          <w:lang w:val="pt-BR"/>
        </w:rPr>
        <w:t>.:</w:t>
      </w:r>
      <w:bookmarkStart w:id="0" w:name="Peticion_n"/>
      <w:bookmarkEnd w:id="0"/>
      <w:r w:rsidR="0081015C">
        <w:rPr>
          <w:rFonts w:ascii="Cambria" w:hAnsi="Cambria" w:cs="Arial"/>
          <w:b/>
          <w:sz w:val="21"/>
          <w:szCs w:val="21"/>
          <w:lang w:val="pt-BR"/>
        </w:rPr>
        <w:tab/>
        <w:t xml:space="preserve">Caso Nº </w:t>
      </w:r>
      <w:r w:rsidR="00D44E93" w:rsidRPr="002D1737">
        <w:rPr>
          <w:rFonts w:ascii="Cambria" w:hAnsi="Cambria"/>
          <w:b/>
          <w:sz w:val="21"/>
          <w:szCs w:val="21"/>
          <w:lang w:val="pt-BR"/>
        </w:rPr>
        <w:t>12.695</w:t>
      </w:r>
    </w:p>
    <w:p w14:paraId="32E22A0C" w14:textId="28E86004" w:rsidR="00D44E93" w:rsidRPr="002D1737" w:rsidRDefault="00D44E93" w:rsidP="00D44E93">
      <w:pPr>
        <w:widowControl w:val="0"/>
        <w:tabs>
          <w:tab w:val="left" w:pos="810"/>
        </w:tabs>
        <w:autoSpaceDE w:val="0"/>
        <w:autoSpaceDN w:val="0"/>
        <w:adjustRightInd w:val="0"/>
        <w:spacing w:after="0" w:line="240" w:lineRule="auto"/>
        <w:ind w:firstLine="720"/>
        <w:jc w:val="both"/>
        <w:rPr>
          <w:rFonts w:ascii="Cambria" w:hAnsi="Cambria" w:cs="Arial"/>
          <w:b/>
          <w:sz w:val="21"/>
          <w:szCs w:val="21"/>
          <w:lang w:val="es-ES"/>
        </w:rPr>
      </w:pPr>
      <w:r w:rsidRPr="002D1737">
        <w:rPr>
          <w:rFonts w:ascii="Cambria" w:hAnsi="Cambria"/>
          <w:b/>
          <w:sz w:val="21"/>
          <w:szCs w:val="21"/>
          <w:lang w:val="es-CO"/>
        </w:rPr>
        <w:t>V</w:t>
      </w:r>
      <w:r w:rsidR="00406BDE" w:rsidRPr="002D1737">
        <w:rPr>
          <w:rFonts w:ascii="Cambria" w:hAnsi="Cambria"/>
          <w:b/>
          <w:sz w:val="21"/>
          <w:szCs w:val="21"/>
          <w:lang w:val="es-CO"/>
        </w:rPr>
        <w:t>inicio Antonio Poblete Vilches y familiares</w:t>
      </w:r>
    </w:p>
    <w:p w14:paraId="2973DD8F" w14:textId="10FF7870" w:rsidR="00D44E93" w:rsidRPr="002D1737" w:rsidRDefault="005039AE" w:rsidP="00D44E93">
      <w:pPr>
        <w:tabs>
          <w:tab w:val="left" w:pos="720"/>
          <w:tab w:val="left" w:pos="810"/>
          <w:tab w:val="center" w:pos="6480"/>
        </w:tabs>
        <w:spacing w:after="0" w:line="240" w:lineRule="auto"/>
        <w:ind w:left="720"/>
        <w:jc w:val="both"/>
        <w:rPr>
          <w:rFonts w:ascii="Cambria" w:hAnsi="Cambria" w:cs="Arial"/>
          <w:b/>
          <w:sz w:val="21"/>
          <w:szCs w:val="21"/>
          <w:lang w:val="es-ES_tradnl"/>
        </w:rPr>
      </w:pPr>
      <w:r w:rsidRPr="002D1737">
        <w:rPr>
          <w:rFonts w:ascii="Cambria" w:hAnsi="Cambria" w:cs="Arial"/>
          <w:b/>
          <w:sz w:val="21"/>
          <w:szCs w:val="21"/>
          <w:lang w:val="es-CR"/>
        </w:rPr>
        <w:t>Chile</w:t>
      </w:r>
      <w:r w:rsidR="00D44E93" w:rsidRPr="002D1737">
        <w:rPr>
          <w:rFonts w:ascii="Cambria" w:hAnsi="Cambria" w:cs="Arial"/>
          <w:b/>
          <w:sz w:val="21"/>
          <w:szCs w:val="21"/>
          <w:lang w:val="es-ES_tradnl"/>
        </w:rPr>
        <w:t xml:space="preserve"> </w:t>
      </w:r>
    </w:p>
    <w:p w14:paraId="1439DC65" w14:textId="77777777" w:rsidR="004D3279" w:rsidRPr="002D1737" w:rsidRDefault="004D3279" w:rsidP="00D44E93">
      <w:pPr>
        <w:tabs>
          <w:tab w:val="left" w:pos="720"/>
          <w:tab w:val="left" w:pos="810"/>
          <w:tab w:val="center" w:pos="6480"/>
        </w:tabs>
        <w:spacing w:after="0" w:line="240" w:lineRule="auto"/>
        <w:jc w:val="both"/>
        <w:rPr>
          <w:rFonts w:ascii="Cambria" w:hAnsi="Cambria" w:cs="Arial"/>
          <w:sz w:val="21"/>
          <w:szCs w:val="21"/>
          <w:lang w:val="es-PE"/>
        </w:rPr>
      </w:pPr>
    </w:p>
    <w:p w14:paraId="0641C772" w14:textId="77777777" w:rsidR="00D44E93" w:rsidRPr="002D1737" w:rsidRDefault="00D44E93" w:rsidP="00D44E93">
      <w:pPr>
        <w:tabs>
          <w:tab w:val="left" w:pos="720"/>
          <w:tab w:val="left" w:pos="810"/>
          <w:tab w:val="center" w:pos="6480"/>
        </w:tabs>
        <w:spacing w:after="0" w:line="240" w:lineRule="auto"/>
        <w:jc w:val="both"/>
        <w:rPr>
          <w:rFonts w:ascii="Cambria" w:hAnsi="Cambria" w:cs="Arial"/>
          <w:sz w:val="21"/>
          <w:szCs w:val="21"/>
          <w:lang w:val="es-PE"/>
        </w:rPr>
      </w:pPr>
      <w:r w:rsidRPr="002D1737">
        <w:rPr>
          <w:rFonts w:ascii="Cambria" w:hAnsi="Cambria" w:cs="Arial"/>
          <w:sz w:val="21"/>
          <w:szCs w:val="21"/>
          <w:lang w:val="es-PE"/>
        </w:rPr>
        <w:t>Señor Secretario:</w:t>
      </w:r>
    </w:p>
    <w:p w14:paraId="248D1FCE" w14:textId="77777777" w:rsidR="00D44E93" w:rsidRPr="002D1737" w:rsidRDefault="00D44E93" w:rsidP="002D1737">
      <w:pPr>
        <w:widowControl w:val="0"/>
        <w:tabs>
          <w:tab w:val="left" w:pos="810"/>
        </w:tabs>
        <w:autoSpaceDE w:val="0"/>
        <w:autoSpaceDN w:val="0"/>
        <w:adjustRightInd w:val="0"/>
        <w:spacing w:after="0" w:line="240" w:lineRule="auto"/>
        <w:jc w:val="both"/>
        <w:rPr>
          <w:rFonts w:ascii="Cambria" w:hAnsi="Cambria"/>
          <w:sz w:val="21"/>
          <w:szCs w:val="21"/>
          <w:lang w:val="es-CO"/>
        </w:rPr>
      </w:pPr>
    </w:p>
    <w:p w14:paraId="79204380" w14:textId="73675DF4" w:rsidR="00D44E93" w:rsidRPr="002D1737" w:rsidRDefault="00D44E93" w:rsidP="008215C1">
      <w:pPr>
        <w:widowControl w:val="0"/>
        <w:tabs>
          <w:tab w:val="left" w:pos="810"/>
        </w:tabs>
        <w:autoSpaceDE w:val="0"/>
        <w:autoSpaceDN w:val="0"/>
        <w:adjustRightInd w:val="0"/>
        <w:spacing w:after="0" w:line="240" w:lineRule="auto"/>
        <w:ind w:firstLine="720"/>
        <w:jc w:val="both"/>
        <w:rPr>
          <w:rFonts w:ascii="Cambria" w:hAnsi="Cambria"/>
          <w:sz w:val="21"/>
          <w:szCs w:val="21"/>
          <w:lang w:val="es-ES"/>
        </w:rPr>
      </w:pPr>
      <w:r w:rsidRPr="002D1737">
        <w:rPr>
          <w:rFonts w:ascii="Cambria" w:hAnsi="Cambria"/>
          <w:sz w:val="21"/>
          <w:szCs w:val="21"/>
          <w:lang w:val="es-CO"/>
        </w:rPr>
        <w:t>Tengo el agrado de dirigirme a usted, en nombre de la Comisión Interamericana de Derechos Humanos, con el objeto</w:t>
      </w:r>
      <w:r w:rsidR="00470C2D">
        <w:rPr>
          <w:rFonts w:ascii="Cambria" w:hAnsi="Cambria" w:cs="Arial"/>
          <w:sz w:val="21"/>
          <w:szCs w:val="21"/>
          <w:lang w:val="es-CO"/>
        </w:rPr>
        <w:t xml:space="preserve"> de presenta</w:t>
      </w:r>
      <w:r w:rsidRPr="002D1737">
        <w:rPr>
          <w:rFonts w:ascii="Cambria" w:hAnsi="Cambria" w:cs="Arial"/>
          <w:sz w:val="21"/>
          <w:szCs w:val="21"/>
          <w:lang w:val="es-CO"/>
        </w:rPr>
        <w:t>r a la jurisdicción de la Honorable Corte Interamericana de Derechos Humanos, el caso 12.</w:t>
      </w:r>
      <w:r w:rsidR="00406BDE" w:rsidRPr="002D1737">
        <w:rPr>
          <w:rFonts w:ascii="Cambria" w:hAnsi="Cambria" w:cs="Arial"/>
          <w:sz w:val="21"/>
          <w:szCs w:val="21"/>
          <w:lang w:val="es-CO"/>
        </w:rPr>
        <w:t>695</w:t>
      </w:r>
      <w:r w:rsidRPr="002D1737">
        <w:rPr>
          <w:rFonts w:ascii="Cambria" w:hAnsi="Cambria" w:cs="Arial"/>
          <w:sz w:val="21"/>
          <w:szCs w:val="21"/>
          <w:lang w:val="es-CO"/>
        </w:rPr>
        <w:t xml:space="preserve"> – V</w:t>
      </w:r>
      <w:r w:rsidR="00406BDE" w:rsidRPr="002D1737">
        <w:rPr>
          <w:rFonts w:ascii="Cambria" w:hAnsi="Cambria" w:cs="Arial"/>
          <w:sz w:val="21"/>
          <w:szCs w:val="21"/>
          <w:lang w:val="es-CO"/>
        </w:rPr>
        <w:t>inicio Antonio Poblete Vilches y familiares</w:t>
      </w:r>
      <w:r w:rsidRPr="002D1737">
        <w:rPr>
          <w:rFonts w:ascii="Cambria" w:hAnsi="Cambria" w:cs="Arial"/>
          <w:sz w:val="21"/>
          <w:szCs w:val="21"/>
          <w:lang w:val="es-CO"/>
        </w:rPr>
        <w:t xml:space="preserve"> respecto de la República de </w:t>
      </w:r>
      <w:r w:rsidR="00406BDE" w:rsidRPr="002D1737">
        <w:rPr>
          <w:rFonts w:ascii="Cambria" w:hAnsi="Cambria" w:cs="Arial"/>
          <w:sz w:val="21"/>
          <w:szCs w:val="21"/>
          <w:lang w:val="es-CO"/>
        </w:rPr>
        <w:t xml:space="preserve">Chile </w:t>
      </w:r>
      <w:r w:rsidRPr="002D1737">
        <w:rPr>
          <w:rFonts w:ascii="Cambria" w:hAnsi="Cambria" w:cs="Arial"/>
          <w:sz w:val="21"/>
          <w:szCs w:val="21"/>
          <w:lang w:val="es-CO"/>
        </w:rPr>
        <w:t xml:space="preserve">(en adelante “el Estado”, “el Estado </w:t>
      </w:r>
      <w:r w:rsidR="00406BDE" w:rsidRPr="002D1737">
        <w:rPr>
          <w:rFonts w:ascii="Cambria" w:hAnsi="Cambria" w:cs="Arial"/>
          <w:sz w:val="21"/>
          <w:szCs w:val="21"/>
          <w:lang w:val="es-CO"/>
        </w:rPr>
        <w:t>chileno</w:t>
      </w:r>
      <w:r w:rsidRPr="002D1737">
        <w:rPr>
          <w:rFonts w:ascii="Cambria" w:hAnsi="Cambria" w:cs="Arial"/>
          <w:sz w:val="21"/>
          <w:szCs w:val="21"/>
          <w:lang w:val="es-CO"/>
        </w:rPr>
        <w:t>” o “</w:t>
      </w:r>
      <w:r w:rsidR="00406BDE" w:rsidRPr="002D1737">
        <w:rPr>
          <w:rFonts w:ascii="Cambria" w:hAnsi="Cambria" w:cs="Arial"/>
          <w:sz w:val="21"/>
          <w:szCs w:val="21"/>
          <w:lang w:val="es-CO"/>
        </w:rPr>
        <w:t>Chile</w:t>
      </w:r>
      <w:r w:rsidRPr="002D1737">
        <w:rPr>
          <w:rFonts w:ascii="Cambria" w:hAnsi="Cambria" w:cs="Arial"/>
          <w:sz w:val="21"/>
          <w:szCs w:val="21"/>
          <w:lang w:val="es-CO"/>
        </w:rPr>
        <w:t xml:space="preserve">”), relacionado con </w:t>
      </w:r>
      <w:r w:rsidR="001F0A24" w:rsidRPr="002D1737">
        <w:rPr>
          <w:rFonts w:ascii="Cambria" w:hAnsi="Cambria"/>
          <w:sz w:val="21"/>
          <w:szCs w:val="21"/>
          <w:lang w:val="es-ES"/>
        </w:rPr>
        <w:t>las diversas acciones y omisiones que tuvieron lugar entre el 17 de enero y el 7 de febrero de 2001, fechas en las cuales el señor Vinicio Antonio Poblete Vilches ingresó en</w:t>
      </w:r>
      <w:r w:rsidR="00E14C08">
        <w:rPr>
          <w:rFonts w:ascii="Cambria" w:hAnsi="Cambria"/>
          <w:sz w:val="21"/>
          <w:szCs w:val="21"/>
          <w:lang w:val="es-ES"/>
        </w:rPr>
        <w:t xml:space="preserve"> dos oportunidades al Hospital P</w:t>
      </w:r>
      <w:r w:rsidR="001F0A24" w:rsidRPr="002D1737">
        <w:rPr>
          <w:rFonts w:ascii="Cambria" w:hAnsi="Cambria"/>
          <w:sz w:val="21"/>
          <w:szCs w:val="21"/>
          <w:lang w:val="es-ES"/>
        </w:rPr>
        <w:t xml:space="preserve">úblico </w:t>
      </w:r>
      <w:proofErr w:type="spellStart"/>
      <w:r w:rsidR="001F0A24" w:rsidRPr="002D1737">
        <w:rPr>
          <w:rFonts w:ascii="Cambria" w:hAnsi="Cambria"/>
          <w:sz w:val="21"/>
          <w:szCs w:val="21"/>
          <w:lang w:val="es-ES"/>
        </w:rPr>
        <w:t>Sótero</w:t>
      </w:r>
      <w:proofErr w:type="spellEnd"/>
      <w:r w:rsidR="001F0A24" w:rsidRPr="002D1737">
        <w:rPr>
          <w:rFonts w:ascii="Cambria" w:hAnsi="Cambria"/>
          <w:sz w:val="21"/>
          <w:szCs w:val="21"/>
          <w:lang w:val="es-ES"/>
        </w:rPr>
        <w:t xml:space="preserve"> del Río, donde falleció en la última fecha. </w:t>
      </w:r>
      <w:r w:rsidR="001E0A8D">
        <w:rPr>
          <w:rFonts w:ascii="Cambria" w:hAnsi="Cambria"/>
          <w:sz w:val="21"/>
          <w:szCs w:val="21"/>
          <w:lang w:val="es-ES"/>
        </w:rPr>
        <w:t xml:space="preserve"> </w:t>
      </w:r>
      <w:r w:rsidR="001F0A24" w:rsidRPr="002D1737">
        <w:rPr>
          <w:rFonts w:ascii="Cambria" w:hAnsi="Cambria"/>
          <w:sz w:val="21"/>
          <w:szCs w:val="21"/>
          <w:lang w:val="es-ES"/>
        </w:rPr>
        <w:t xml:space="preserve">Así, la Comisión estableció que en dos momentos el personal médico del hospital se abstuvo de obtener el consentimiento informado para la toma de decisiones en materia de salud. Específicamente, en el marco de un procedimiento realizado el 26 de enero de 2001 durante el primer ingreso al hospital; así como en la decisión de </w:t>
      </w:r>
      <w:r w:rsidR="001F0A24" w:rsidRPr="002D1737">
        <w:rPr>
          <w:rFonts w:ascii="Cambria" w:hAnsi="Cambria" w:cs="Cambria"/>
          <w:sz w:val="21"/>
          <w:szCs w:val="21"/>
          <w:lang w:val="es-MX"/>
        </w:rPr>
        <w:t xml:space="preserve">mantenerlo en “tratamiento intermedio” en las horas anteriores a su muerte en el segundo ingreso al hospital. Por otra parte, la Comisión concluyó que </w:t>
      </w:r>
      <w:r w:rsidR="001F0A24" w:rsidRPr="002D1737">
        <w:rPr>
          <w:rFonts w:ascii="Cambria" w:hAnsi="Cambria"/>
          <w:sz w:val="21"/>
          <w:szCs w:val="21"/>
          <w:lang w:val="es-MX"/>
        </w:rPr>
        <w:t xml:space="preserve">existen suficientes elementos para considerar que la decisión de dar de alta al señor Poblete Vilches y la manera en que la misma se realizó, pudo tener incidencia en el rápido deterioro que sufrió en los días inmediatamente posteriores a su salida del hospital y su posterior muerte cuando ingresó nuevamente en grave estado de salud. </w:t>
      </w:r>
      <w:r w:rsidR="001E0A8D">
        <w:rPr>
          <w:rFonts w:ascii="Cambria" w:hAnsi="Cambria"/>
          <w:sz w:val="21"/>
          <w:szCs w:val="21"/>
          <w:lang w:val="es-MX"/>
        </w:rPr>
        <w:t xml:space="preserve"> </w:t>
      </w:r>
      <w:r w:rsidR="001F0A24" w:rsidRPr="002D1737">
        <w:rPr>
          <w:rFonts w:ascii="Cambria" w:hAnsi="Cambria"/>
          <w:sz w:val="21"/>
          <w:szCs w:val="21"/>
          <w:lang w:val="es-MX"/>
        </w:rPr>
        <w:t xml:space="preserve">Asimismo, la Comisión determinó la responsabilidad estatal por </w:t>
      </w:r>
      <w:r w:rsidR="001F0A24" w:rsidRPr="002D1737">
        <w:rPr>
          <w:rFonts w:ascii="Cambria" w:hAnsi="Cambria" w:cs="Cambria"/>
          <w:sz w:val="21"/>
          <w:szCs w:val="21"/>
          <w:lang w:val="es-ES"/>
        </w:rPr>
        <w:t xml:space="preserve">la falta de provisión del tratamiento intensivo que requería en su </w:t>
      </w:r>
      <w:r w:rsidR="001F0A24" w:rsidRPr="002D1737">
        <w:rPr>
          <w:rFonts w:ascii="Cambria" w:hAnsi="Cambria" w:cs="Cambria"/>
          <w:sz w:val="21"/>
          <w:szCs w:val="21"/>
          <w:lang w:val="es-PE"/>
        </w:rPr>
        <w:t>segundo</w:t>
      </w:r>
      <w:r w:rsidR="001E0A8D">
        <w:rPr>
          <w:rFonts w:ascii="Cambria" w:hAnsi="Cambria" w:cs="Cambria"/>
          <w:sz w:val="21"/>
          <w:szCs w:val="21"/>
          <w:lang w:val="es-PE"/>
        </w:rPr>
        <w:t xml:space="preserve"> ingreso</w:t>
      </w:r>
      <w:r w:rsidR="001F0A24" w:rsidRPr="002D1737">
        <w:rPr>
          <w:rFonts w:ascii="Cambria" w:hAnsi="Cambria" w:cs="Cambria"/>
          <w:sz w:val="21"/>
          <w:szCs w:val="21"/>
          <w:lang w:val="es-ES"/>
        </w:rPr>
        <w:t xml:space="preserve"> al hospital. </w:t>
      </w:r>
      <w:r w:rsidR="001E0A8D">
        <w:rPr>
          <w:rFonts w:ascii="Cambria" w:hAnsi="Cambria" w:cs="Cambria"/>
          <w:sz w:val="21"/>
          <w:szCs w:val="21"/>
          <w:lang w:val="es-ES"/>
        </w:rPr>
        <w:t xml:space="preserve"> </w:t>
      </w:r>
      <w:r w:rsidR="001F0A24" w:rsidRPr="002D1737">
        <w:rPr>
          <w:rFonts w:ascii="Cambria" w:hAnsi="Cambria" w:cs="Cambria"/>
          <w:sz w:val="21"/>
          <w:szCs w:val="21"/>
          <w:lang w:val="es-ES"/>
        </w:rPr>
        <w:t>Finalmente, la Comisión consideró que las investigaciones a nivel interno no fueron reali</w:t>
      </w:r>
      <w:r w:rsidR="00C552AA" w:rsidRPr="002D1737">
        <w:rPr>
          <w:rFonts w:ascii="Cambria" w:hAnsi="Cambria" w:cs="Cambria"/>
          <w:sz w:val="21"/>
          <w:szCs w:val="21"/>
          <w:lang w:val="es-ES"/>
        </w:rPr>
        <w:t>zadas con la debida diligencia ni</w:t>
      </w:r>
      <w:r w:rsidR="001F0A24" w:rsidRPr="002D1737">
        <w:rPr>
          <w:rFonts w:ascii="Cambria" w:hAnsi="Cambria" w:cs="Cambria"/>
          <w:sz w:val="21"/>
          <w:szCs w:val="21"/>
          <w:lang w:val="es-ES"/>
        </w:rPr>
        <w:t xml:space="preserve"> en un plazo razonable. </w:t>
      </w:r>
    </w:p>
    <w:p w14:paraId="2B0AEA34" w14:textId="4CE13F44" w:rsidR="008215C1" w:rsidRPr="002D1737" w:rsidRDefault="008215C1" w:rsidP="00052E2D">
      <w:pPr>
        <w:pStyle w:val="NormalWeb"/>
        <w:ind w:firstLine="720"/>
        <w:jc w:val="both"/>
        <w:rPr>
          <w:rFonts w:ascii="Cambria" w:hAnsi="Cambria"/>
          <w:sz w:val="21"/>
          <w:szCs w:val="21"/>
          <w:lang w:val="es-PE"/>
        </w:rPr>
      </w:pPr>
      <w:r w:rsidRPr="002D1737">
        <w:rPr>
          <w:rFonts w:ascii="Cambria" w:hAnsi="Cambria"/>
          <w:sz w:val="21"/>
          <w:szCs w:val="21"/>
          <w:lang w:val="es-PE"/>
        </w:rPr>
        <w:t xml:space="preserve">El Estado </w:t>
      </w:r>
      <w:r w:rsidR="00115C95" w:rsidRPr="002D1737">
        <w:rPr>
          <w:rFonts w:ascii="Cambria" w:hAnsi="Cambria"/>
          <w:sz w:val="21"/>
          <w:szCs w:val="21"/>
          <w:lang w:val="es-PE"/>
        </w:rPr>
        <w:t xml:space="preserve"> chileno </w:t>
      </w:r>
      <w:r w:rsidRPr="002D1737">
        <w:rPr>
          <w:rFonts w:ascii="Cambria" w:hAnsi="Cambria"/>
          <w:sz w:val="21"/>
          <w:szCs w:val="21"/>
          <w:lang w:val="es-PE"/>
        </w:rPr>
        <w:t xml:space="preserve">ratificó la </w:t>
      </w:r>
      <w:proofErr w:type="spellStart"/>
      <w:r w:rsidRPr="002D1737">
        <w:rPr>
          <w:rFonts w:ascii="Cambria" w:hAnsi="Cambria"/>
          <w:sz w:val="21"/>
          <w:szCs w:val="21"/>
          <w:lang w:val="es-PE"/>
        </w:rPr>
        <w:t>Convención</w:t>
      </w:r>
      <w:proofErr w:type="spellEnd"/>
      <w:r w:rsidRPr="002D1737">
        <w:rPr>
          <w:rFonts w:ascii="Cambria" w:hAnsi="Cambria"/>
          <w:sz w:val="21"/>
          <w:szCs w:val="21"/>
          <w:lang w:val="es-PE"/>
        </w:rPr>
        <w:t xml:space="preserve"> Americana sobre Derechos Humanos el 21 de agosto de 1990 y aceptó la competencia contenciosa de la Corte Interamericana en la misma fecha. </w:t>
      </w:r>
    </w:p>
    <w:p w14:paraId="54D05657" w14:textId="70A50908" w:rsidR="008215C1" w:rsidRPr="002D1737" w:rsidRDefault="00D414B7" w:rsidP="008215C1">
      <w:pPr>
        <w:tabs>
          <w:tab w:val="left" w:pos="810"/>
        </w:tabs>
        <w:spacing w:after="0" w:line="240" w:lineRule="auto"/>
        <w:ind w:firstLine="720"/>
        <w:jc w:val="both"/>
        <w:rPr>
          <w:rFonts w:ascii="Cambria" w:hAnsi="Cambria" w:cs="Arial"/>
          <w:sz w:val="21"/>
          <w:szCs w:val="21"/>
          <w:lang w:val="es-CO"/>
        </w:rPr>
      </w:pPr>
      <w:r w:rsidRPr="002D1737">
        <w:rPr>
          <w:rFonts w:ascii="Cambria" w:hAnsi="Cambria"/>
          <w:sz w:val="21"/>
          <w:szCs w:val="21"/>
          <w:lang w:val="es-CO"/>
        </w:rPr>
        <w:t>La Comisión ha designado al Comisionado</w:t>
      </w:r>
      <w:r w:rsidR="008215C1" w:rsidRPr="002D1737">
        <w:rPr>
          <w:rFonts w:ascii="Cambria" w:hAnsi="Cambria"/>
          <w:sz w:val="21"/>
          <w:szCs w:val="21"/>
          <w:lang w:val="es-CO"/>
        </w:rPr>
        <w:t xml:space="preserve"> </w:t>
      </w:r>
      <w:r w:rsidRPr="002D1737">
        <w:rPr>
          <w:rFonts w:ascii="Cambria" w:hAnsi="Cambria"/>
          <w:sz w:val="21"/>
          <w:szCs w:val="21"/>
          <w:lang w:val="es-CO"/>
        </w:rPr>
        <w:t xml:space="preserve">Enrique Gil Botero </w:t>
      </w:r>
      <w:r w:rsidR="008215C1" w:rsidRPr="002D1737">
        <w:rPr>
          <w:rFonts w:ascii="Cambria" w:hAnsi="Cambria"/>
          <w:sz w:val="21"/>
          <w:szCs w:val="21"/>
          <w:lang w:val="es-CO"/>
        </w:rPr>
        <w:t>y al Secretario Ejecutivo Paulo Abr</w:t>
      </w:r>
      <w:proofErr w:type="spellStart"/>
      <w:r w:rsidR="008215C1" w:rsidRPr="002D1737">
        <w:rPr>
          <w:rFonts w:ascii="Cambria" w:hAnsi="Cambria"/>
          <w:sz w:val="21"/>
          <w:szCs w:val="21"/>
          <w:lang w:val="es-PE"/>
        </w:rPr>
        <w:t>ão</w:t>
      </w:r>
      <w:proofErr w:type="spellEnd"/>
      <w:r w:rsidR="008215C1" w:rsidRPr="002D1737">
        <w:rPr>
          <w:rFonts w:ascii="Cambria" w:hAnsi="Cambria"/>
          <w:sz w:val="21"/>
          <w:szCs w:val="21"/>
          <w:lang w:val="es-PE"/>
        </w:rPr>
        <w:t xml:space="preserve">, </w:t>
      </w:r>
      <w:r w:rsidR="008215C1" w:rsidRPr="002D1737">
        <w:rPr>
          <w:rFonts w:ascii="Cambria" w:hAnsi="Cambria"/>
          <w:sz w:val="21"/>
          <w:szCs w:val="21"/>
          <w:lang w:val="es-CO"/>
        </w:rPr>
        <w:t>como su</w:t>
      </w:r>
      <w:r w:rsidR="00CF5541" w:rsidRPr="002D1737">
        <w:rPr>
          <w:rFonts w:ascii="Cambria" w:hAnsi="Cambria"/>
          <w:sz w:val="21"/>
          <w:szCs w:val="21"/>
          <w:lang w:val="es-CO"/>
        </w:rPr>
        <w:t>s delegados</w:t>
      </w:r>
      <w:r w:rsidR="00B57E80" w:rsidRPr="002D1737">
        <w:rPr>
          <w:rFonts w:ascii="Cambria" w:hAnsi="Cambria"/>
          <w:sz w:val="21"/>
          <w:szCs w:val="21"/>
          <w:lang w:val="es-CO"/>
        </w:rPr>
        <w:t xml:space="preserve">. </w:t>
      </w:r>
      <w:r w:rsidR="008215C1" w:rsidRPr="002D1737">
        <w:rPr>
          <w:rFonts w:ascii="Cambria" w:hAnsi="Cambria"/>
          <w:sz w:val="21"/>
          <w:szCs w:val="21"/>
          <w:lang w:val="es-CO"/>
        </w:rPr>
        <w:t>Asimismo, Elizabeth Abi-Mershed, Secretaria Ejecutiva Adj</w:t>
      </w:r>
      <w:r w:rsidR="00B57E80" w:rsidRPr="002D1737">
        <w:rPr>
          <w:rFonts w:ascii="Cambria" w:hAnsi="Cambria"/>
          <w:sz w:val="21"/>
          <w:szCs w:val="21"/>
          <w:lang w:val="es-CO"/>
        </w:rPr>
        <w:t xml:space="preserve">unta, y Silvia Serrano Guzmán </w:t>
      </w:r>
      <w:r w:rsidR="008215C1" w:rsidRPr="002D1737">
        <w:rPr>
          <w:rFonts w:ascii="Cambria" w:hAnsi="Cambria"/>
          <w:sz w:val="21"/>
          <w:szCs w:val="21"/>
          <w:lang w:val="es-ES"/>
        </w:rPr>
        <w:t xml:space="preserve">abogada de la Secretaría Ejecutiva, </w:t>
      </w:r>
      <w:r w:rsidR="008215C1" w:rsidRPr="002D1737">
        <w:rPr>
          <w:rFonts w:ascii="Cambria" w:hAnsi="Cambria"/>
          <w:sz w:val="21"/>
          <w:szCs w:val="21"/>
          <w:lang w:val="es-CO"/>
        </w:rPr>
        <w:t>actuarán como asesora</w:t>
      </w:r>
      <w:r w:rsidR="001403D3" w:rsidRPr="002D1737">
        <w:rPr>
          <w:rFonts w:ascii="Cambria" w:hAnsi="Cambria"/>
          <w:sz w:val="21"/>
          <w:szCs w:val="21"/>
          <w:lang w:val="es-CO"/>
        </w:rPr>
        <w:t>s</w:t>
      </w:r>
      <w:r w:rsidR="008215C1" w:rsidRPr="002D1737">
        <w:rPr>
          <w:rFonts w:ascii="Cambria" w:hAnsi="Cambria"/>
          <w:sz w:val="21"/>
          <w:szCs w:val="21"/>
          <w:lang w:val="es-CO"/>
        </w:rPr>
        <w:t xml:space="preserve"> legal</w:t>
      </w:r>
      <w:r w:rsidR="001403D3" w:rsidRPr="002D1737">
        <w:rPr>
          <w:rFonts w:ascii="Cambria" w:hAnsi="Cambria"/>
          <w:sz w:val="21"/>
          <w:szCs w:val="21"/>
          <w:lang w:val="es-CO"/>
        </w:rPr>
        <w:t>es</w:t>
      </w:r>
      <w:r w:rsidR="008215C1" w:rsidRPr="002D1737">
        <w:rPr>
          <w:rFonts w:ascii="Cambria" w:hAnsi="Cambria"/>
          <w:sz w:val="21"/>
          <w:szCs w:val="21"/>
          <w:lang w:val="es-CO"/>
        </w:rPr>
        <w:t>.</w:t>
      </w:r>
    </w:p>
    <w:p w14:paraId="2F7E8978" w14:textId="77777777" w:rsidR="008215C1" w:rsidRPr="002D1737" w:rsidRDefault="008215C1" w:rsidP="008215C1">
      <w:pPr>
        <w:widowControl w:val="0"/>
        <w:tabs>
          <w:tab w:val="left" w:pos="810"/>
        </w:tabs>
        <w:autoSpaceDE w:val="0"/>
        <w:autoSpaceDN w:val="0"/>
        <w:adjustRightInd w:val="0"/>
        <w:spacing w:after="0" w:line="240" w:lineRule="auto"/>
        <w:ind w:firstLine="720"/>
        <w:jc w:val="both"/>
        <w:rPr>
          <w:rFonts w:ascii="Cambria" w:hAnsi="Cambria"/>
          <w:sz w:val="21"/>
          <w:szCs w:val="21"/>
          <w:lang w:val="es-ES"/>
        </w:rPr>
      </w:pPr>
    </w:p>
    <w:p w14:paraId="26E80B96" w14:textId="6D684C21" w:rsidR="00D44E93" w:rsidRPr="002D1737" w:rsidRDefault="00052E2D" w:rsidP="00052E2D">
      <w:pPr>
        <w:tabs>
          <w:tab w:val="left" w:pos="810"/>
        </w:tabs>
        <w:spacing w:after="0" w:line="240" w:lineRule="auto"/>
        <w:ind w:firstLine="720"/>
        <w:jc w:val="both"/>
        <w:rPr>
          <w:rFonts w:ascii="Cambria" w:hAnsi="Cambria"/>
          <w:sz w:val="21"/>
          <w:szCs w:val="21"/>
          <w:lang w:val="es-AR"/>
        </w:rPr>
      </w:pPr>
      <w:r w:rsidRPr="002D1737">
        <w:rPr>
          <w:rFonts w:ascii="Cambria" w:hAnsi="Cambria" w:cs="Arial"/>
          <w:sz w:val="21"/>
          <w:szCs w:val="21"/>
          <w:lang w:val="es-CO"/>
        </w:rPr>
        <w:t xml:space="preserve">De conformidad con el artículo 35 del Reglamento de la Corte Interamericana, la Comisión adjunta </w:t>
      </w:r>
      <w:r w:rsidRPr="002D1737">
        <w:rPr>
          <w:rFonts w:ascii="Cambria" w:hAnsi="Cambria"/>
          <w:sz w:val="21"/>
          <w:szCs w:val="21"/>
          <w:lang w:val="es-CO"/>
        </w:rPr>
        <w:t xml:space="preserve">copia del informe de fondo </w:t>
      </w:r>
      <w:r w:rsidR="00EF16ED" w:rsidRPr="002D1737">
        <w:rPr>
          <w:rFonts w:ascii="Cambria" w:hAnsi="Cambria"/>
          <w:sz w:val="21"/>
          <w:szCs w:val="21"/>
          <w:lang w:val="es-CO"/>
        </w:rPr>
        <w:t>1</w:t>
      </w:r>
      <w:r w:rsidRPr="002D1737">
        <w:rPr>
          <w:rFonts w:ascii="Cambria" w:hAnsi="Cambria"/>
          <w:sz w:val="21"/>
          <w:szCs w:val="21"/>
          <w:lang w:val="es-CO"/>
        </w:rPr>
        <w:t xml:space="preserve">/16 elaborado en observancia del artículo 50 de la Convención, así como copia de la totalidad del expediente ante la Comisión Interamericana (Apéndice I) y los anexos utilizados en la elaboración del informe </w:t>
      </w:r>
      <w:r w:rsidR="00EF16ED" w:rsidRPr="002D1737">
        <w:rPr>
          <w:rFonts w:ascii="Cambria" w:hAnsi="Cambria"/>
          <w:sz w:val="21"/>
          <w:szCs w:val="21"/>
          <w:lang w:val="es-CO"/>
        </w:rPr>
        <w:t>1</w:t>
      </w:r>
      <w:r w:rsidRPr="002D1737">
        <w:rPr>
          <w:rFonts w:ascii="Cambria" w:hAnsi="Cambria"/>
          <w:sz w:val="21"/>
          <w:szCs w:val="21"/>
          <w:lang w:val="es-CO"/>
        </w:rPr>
        <w:t xml:space="preserve">/16 (Anexos). </w:t>
      </w:r>
    </w:p>
    <w:p w14:paraId="2F113D14" w14:textId="77777777" w:rsidR="00D44E93" w:rsidRPr="002D1737" w:rsidRDefault="00D44E93" w:rsidP="00D44E93">
      <w:pPr>
        <w:widowControl w:val="0"/>
        <w:tabs>
          <w:tab w:val="left" w:pos="810"/>
        </w:tabs>
        <w:autoSpaceDE w:val="0"/>
        <w:autoSpaceDN w:val="0"/>
        <w:adjustRightInd w:val="0"/>
        <w:spacing w:after="0" w:line="240" w:lineRule="auto"/>
        <w:jc w:val="both"/>
        <w:rPr>
          <w:rFonts w:ascii="Cambria" w:hAnsi="Cambria" w:cs="Arial"/>
          <w:sz w:val="21"/>
          <w:szCs w:val="21"/>
          <w:lang w:val="es-ES"/>
        </w:rPr>
      </w:pPr>
    </w:p>
    <w:p w14:paraId="2E02D257" w14:textId="77777777" w:rsidR="00FA535D" w:rsidRDefault="00FA535D" w:rsidP="00D44E93">
      <w:pPr>
        <w:widowControl w:val="0"/>
        <w:tabs>
          <w:tab w:val="left" w:pos="810"/>
        </w:tabs>
        <w:autoSpaceDE w:val="0"/>
        <w:autoSpaceDN w:val="0"/>
        <w:adjustRightInd w:val="0"/>
        <w:spacing w:after="0" w:line="240" w:lineRule="auto"/>
        <w:jc w:val="both"/>
        <w:rPr>
          <w:rFonts w:ascii="Cambria" w:hAnsi="Cambria" w:cs="Arial"/>
          <w:sz w:val="21"/>
          <w:szCs w:val="21"/>
          <w:lang w:val="es-ES"/>
        </w:rPr>
      </w:pPr>
    </w:p>
    <w:p w14:paraId="45516A86" w14:textId="77777777" w:rsidR="002D1737" w:rsidRPr="002D1737" w:rsidRDefault="002D1737" w:rsidP="00D44E93">
      <w:pPr>
        <w:widowControl w:val="0"/>
        <w:tabs>
          <w:tab w:val="left" w:pos="810"/>
        </w:tabs>
        <w:autoSpaceDE w:val="0"/>
        <w:autoSpaceDN w:val="0"/>
        <w:adjustRightInd w:val="0"/>
        <w:spacing w:after="0" w:line="240" w:lineRule="auto"/>
        <w:jc w:val="both"/>
        <w:rPr>
          <w:rFonts w:ascii="Cambria" w:hAnsi="Cambria" w:cs="Arial"/>
          <w:sz w:val="21"/>
          <w:szCs w:val="21"/>
          <w:lang w:val="es-ES"/>
        </w:rPr>
      </w:pPr>
    </w:p>
    <w:p w14:paraId="4360FBF6" w14:textId="77777777" w:rsidR="00D44E93" w:rsidRPr="002D1737" w:rsidRDefault="00D44E93" w:rsidP="00D44E93">
      <w:pPr>
        <w:widowControl w:val="0"/>
        <w:tabs>
          <w:tab w:val="left" w:pos="810"/>
        </w:tabs>
        <w:autoSpaceDE w:val="0"/>
        <w:autoSpaceDN w:val="0"/>
        <w:adjustRightInd w:val="0"/>
        <w:spacing w:after="0" w:line="240" w:lineRule="auto"/>
        <w:jc w:val="both"/>
        <w:rPr>
          <w:rFonts w:ascii="Cambria" w:hAnsi="Cambria" w:cs="Arial"/>
          <w:snapToGrid w:val="0"/>
          <w:sz w:val="21"/>
          <w:szCs w:val="21"/>
          <w:lang w:val="es-CO"/>
        </w:rPr>
      </w:pPr>
      <w:r w:rsidRPr="002D1737">
        <w:rPr>
          <w:rFonts w:ascii="Cambria" w:hAnsi="Cambria" w:cs="Arial"/>
          <w:snapToGrid w:val="0"/>
          <w:sz w:val="21"/>
          <w:szCs w:val="21"/>
          <w:lang w:val="es-ES_tradnl"/>
        </w:rPr>
        <w:t>Señor</w:t>
      </w:r>
    </w:p>
    <w:p w14:paraId="7AAEE215" w14:textId="77777777" w:rsidR="00D44E93" w:rsidRPr="002D1737" w:rsidRDefault="00D44E93" w:rsidP="00D44E93">
      <w:pPr>
        <w:widowControl w:val="0"/>
        <w:tabs>
          <w:tab w:val="left" w:pos="810"/>
        </w:tabs>
        <w:autoSpaceDE w:val="0"/>
        <w:autoSpaceDN w:val="0"/>
        <w:adjustRightInd w:val="0"/>
        <w:spacing w:after="0" w:line="240" w:lineRule="auto"/>
        <w:jc w:val="both"/>
        <w:rPr>
          <w:rFonts w:ascii="Cambria" w:hAnsi="Cambria" w:cs="Arial"/>
          <w:snapToGrid w:val="0"/>
          <w:sz w:val="21"/>
          <w:szCs w:val="21"/>
          <w:lang w:val="es-CO"/>
        </w:rPr>
      </w:pPr>
      <w:r w:rsidRPr="002D1737">
        <w:rPr>
          <w:rFonts w:ascii="Cambria" w:hAnsi="Cambria" w:cs="Arial"/>
          <w:snapToGrid w:val="0"/>
          <w:sz w:val="21"/>
          <w:szCs w:val="21"/>
          <w:lang w:val="es-CO"/>
        </w:rPr>
        <w:t xml:space="preserve">Pablo </w:t>
      </w:r>
      <w:r w:rsidRPr="002D1737">
        <w:rPr>
          <w:rFonts w:ascii="Cambria" w:hAnsi="Cambria"/>
          <w:sz w:val="21"/>
          <w:szCs w:val="21"/>
          <w:lang w:val="es-ES"/>
        </w:rPr>
        <w:t>Saavedra</w:t>
      </w:r>
      <w:r w:rsidRPr="002D1737">
        <w:rPr>
          <w:rFonts w:ascii="Cambria" w:hAnsi="Cambria" w:cs="Arial"/>
          <w:snapToGrid w:val="0"/>
          <w:sz w:val="21"/>
          <w:szCs w:val="21"/>
          <w:lang w:val="es-CO"/>
        </w:rPr>
        <w:t xml:space="preserve"> Alessandri, Secretario</w:t>
      </w:r>
    </w:p>
    <w:p w14:paraId="2224380A" w14:textId="77777777" w:rsidR="00D44E93" w:rsidRPr="002D1737" w:rsidRDefault="00D44E93" w:rsidP="00D44E93">
      <w:pPr>
        <w:widowControl w:val="0"/>
        <w:tabs>
          <w:tab w:val="left" w:pos="810"/>
        </w:tabs>
        <w:autoSpaceDE w:val="0"/>
        <w:autoSpaceDN w:val="0"/>
        <w:adjustRightInd w:val="0"/>
        <w:spacing w:after="0" w:line="240" w:lineRule="auto"/>
        <w:jc w:val="both"/>
        <w:rPr>
          <w:rFonts w:ascii="Cambria" w:hAnsi="Cambria" w:cs="Arial"/>
          <w:snapToGrid w:val="0"/>
          <w:sz w:val="21"/>
          <w:szCs w:val="21"/>
          <w:lang w:val="es-ES_tradnl"/>
        </w:rPr>
      </w:pPr>
      <w:r w:rsidRPr="002D1737">
        <w:rPr>
          <w:rFonts w:ascii="Cambria" w:hAnsi="Cambria" w:cs="Arial"/>
          <w:snapToGrid w:val="0"/>
          <w:sz w:val="21"/>
          <w:szCs w:val="21"/>
          <w:lang w:val="es-ES_tradnl"/>
        </w:rPr>
        <w:t>Corte Interamericana de Derechos Humanos</w:t>
      </w:r>
    </w:p>
    <w:p w14:paraId="193C2F09" w14:textId="77777777" w:rsidR="00A36BEF" w:rsidRDefault="00D44E93" w:rsidP="00374A26">
      <w:pPr>
        <w:widowControl w:val="0"/>
        <w:tabs>
          <w:tab w:val="left" w:pos="810"/>
        </w:tabs>
        <w:autoSpaceDE w:val="0"/>
        <w:autoSpaceDN w:val="0"/>
        <w:adjustRightInd w:val="0"/>
        <w:spacing w:after="0" w:line="240" w:lineRule="auto"/>
        <w:jc w:val="both"/>
        <w:rPr>
          <w:rFonts w:ascii="Cambria" w:hAnsi="Cambria" w:cs="Arial"/>
          <w:snapToGrid w:val="0"/>
          <w:sz w:val="21"/>
          <w:szCs w:val="21"/>
          <w:lang w:val="es-ES_tradnl"/>
        </w:rPr>
      </w:pPr>
      <w:r w:rsidRPr="002D1737">
        <w:rPr>
          <w:rFonts w:ascii="Cambria" w:hAnsi="Cambria" w:cs="Arial"/>
          <w:snapToGrid w:val="0"/>
          <w:sz w:val="21"/>
          <w:szCs w:val="21"/>
          <w:lang w:val="es-ES_tradnl"/>
        </w:rPr>
        <w:t>Apartado 6906-1000</w:t>
      </w:r>
      <w:r w:rsidR="00A36BEF">
        <w:rPr>
          <w:rFonts w:ascii="Cambria" w:hAnsi="Cambria" w:cs="Arial"/>
          <w:snapToGrid w:val="0"/>
          <w:sz w:val="21"/>
          <w:szCs w:val="21"/>
          <w:lang w:val="es-ES_tradnl"/>
        </w:rPr>
        <w:t>,</w:t>
      </w:r>
    </w:p>
    <w:p w14:paraId="485E06A7" w14:textId="34E518EE" w:rsidR="00374A26" w:rsidRPr="002D1737" w:rsidRDefault="00374A26" w:rsidP="00374A26">
      <w:pPr>
        <w:widowControl w:val="0"/>
        <w:tabs>
          <w:tab w:val="left" w:pos="810"/>
        </w:tabs>
        <w:autoSpaceDE w:val="0"/>
        <w:autoSpaceDN w:val="0"/>
        <w:adjustRightInd w:val="0"/>
        <w:spacing w:after="0" w:line="240" w:lineRule="auto"/>
        <w:jc w:val="both"/>
        <w:rPr>
          <w:rFonts w:ascii="Cambria" w:hAnsi="Cambria" w:cs="Arial"/>
          <w:snapToGrid w:val="0"/>
          <w:sz w:val="21"/>
          <w:szCs w:val="21"/>
          <w:lang w:val="es-ES_tradnl"/>
        </w:rPr>
      </w:pPr>
      <w:r w:rsidRPr="002D1737">
        <w:rPr>
          <w:rFonts w:ascii="Cambria" w:hAnsi="Cambria" w:cs="Arial"/>
          <w:snapToGrid w:val="0"/>
          <w:sz w:val="21"/>
          <w:szCs w:val="21"/>
          <w:lang w:val="es-ES_tradnl"/>
        </w:rPr>
        <w:t>San José, Costa Rica</w:t>
      </w:r>
    </w:p>
    <w:p w14:paraId="5E451D53" w14:textId="1088897B" w:rsidR="00D44E93" w:rsidRPr="002D1737" w:rsidRDefault="00D44E93" w:rsidP="00A434EF">
      <w:pPr>
        <w:widowControl w:val="0"/>
        <w:tabs>
          <w:tab w:val="left" w:pos="810"/>
        </w:tabs>
        <w:autoSpaceDE w:val="0"/>
        <w:autoSpaceDN w:val="0"/>
        <w:adjustRightInd w:val="0"/>
        <w:spacing w:after="0" w:line="240" w:lineRule="auto"/>
        <w:jc w:val="both"/>
        <w:rPr>
          <w:rFonts w:ascii="Cambria" w:hAnsi="Cambria" w:cs="Arial"/>
          <w:sz w:val="21"/>
          <w:szCs w:val="21"/>
          <w:lang w:val="es-ES"/>
        </w:rPr>
      </w:pPr>
    </w:p>
    <w:p w14:paraId="4E9981FB" w14:textId="77777777" w:rsidR="002D1737" w:rsidRDefault="002D1737" w:rsidP="00A434EF">
      <w:pPr>
        <w:widowControl w:val="0"/>
        <w:tabs>
          <w:tab w:val="left" w:pos="810"/>
        </w:tabs>
        <w:autoSpaceDE w:val="0"/>
        <w:autoSpaceDN w:val="0"/>
        <w:adjustRightInd w:val="0"/>
        <w:spacing w:after="0" w:line="240" w:lineRule="auto"/>
        <w:jc w:val="both"/>
        <w:rPr>
          <w:rFonts w:ascii="Cambria" w:hAnsi="Cambria" w:cs="Arial"/>
          <w:sz w:val="21"/>
          <w:szCs w:val="21"/>
          <w:lang w:val="es-ES"/>
        </w:rPr>
      </w:pPr>
    </w:p>
    <w:p w14:paraId="5F7060EF" w14:textId="77777777" w:rsidR="002D1737" w:rsidRPr="002D1737" w:rsidRDefault="002D1737" w:rsidP="00A434EF">
      <w:pPr>
        <w:widowControl w:val="0"/>
        <w:tabs>
          <w:tab w:val="left" w:pos="810"/>
        </w:tabs>
        <w:autoSpaceDE w:val="0"/>
        <w:autoSpaceDN w:val="0"/>
        <w:adjustRightInd w:val="0"/>
        <w:spacing w:after="0" w:line="240" w:lineRule="auto"/>
        <w:jc w:val="both"/>
        <w:rPr>
          <w:rFonts w:ascii="Cambria" w:hAnsi="Cambria" w:cs="Arial"/>
          <w:sz w:val="21"/>
          <w:szCs w:val="21"/>
          <w:lang w:val="es-ES"/>
        </w:rPr>
      </w:pPr>
    </w:p>
    <w:p w14:paraId="6634FA48" w14:textId="738D396C" w:rsidR="00D44E93" w:rsidRPr="002D1737" w:rsidRDefault="00A434EF" w:rsidP="00A434EF">
      <w:pPr>
        <w:tabs>
          <w:tab w:val="left" w:pos="810"/>
        </w:tabs>
        <w:spacing w:after="0" w:line="240" w:lineRule="auto"/>
        <w:jc w:val="both"/>
        <w:rPr>
          <w:rFonts w:ascii="Cambria" w:hAnsi="Cambria"/>
          <w:sz w:val="21"/>
          <w:szCs w:val="21"/>
          <w:lang w:val="es-AR"/>
        </w:rPr>
      </w:pPr>
      <w:r w:rsidRPr="002D1737">
        <w:rPr>
          <w:rFonts w:ascii="Cambria" w:hAnsi="Cambria"/>
          <w:sz w:val="21"/>
          <w:szCs w:val="21"/>
          <w:lang w:val="es-CO"/>
        </w:rPr>
        <w:tab/>
      </w:r>
      <w:r w:rsidR="00FA535D" w:rsidRPr="002D1737">
        <w:rPr>
          <w:rFonts w:ascii="Cambria" w:hAnsi="Cambria"/>
          <w:sz w:val="21"/>
          <w:szCs w:val="21"/>
          <w:lang w:val="es-CO"/>
        </w:rPr>
        <w:t xml:space="preserve">Dicho informe de fondo </w:t>
      </w:r>
      <w:r w:rsidR="00FA535D" w:rsidRPr="002D1737">
        <w:rPr>
          <w:rFonts w:ascii="Cambria" w:hAnsi="Cambria"/>
          <w:sz w:val="21"/>
          <w:szCs w:val="21"/>
          <w:lang w:val="es-AR"/>
        </w:rPr>
        <w:t>fue notificado al Estado el 27 de mayo de 2016, otorgándole dos meses para informar sobre el cumplimiento de las rec</w:t>
      </w:r>
      <w:r w:rsidR="0057586A" w:rsidRPr="002D1737">
        <w:rPr>
          <w:rFonts w:ascii="Cambria" w:hAnsi="Cambria"/>
          <w:sz w:val="21"/>
          <w:szCs w:val="21"/>
          <w:lang w:val="es-AR"/>
        </w:rPr>
        <w:t xml:space="preserve">omendaciones. </w:t>
      </w:r>
      <w:r w:rsidR="006B5AFC">
        <w:rPr>
          <w:rFonts w:ascii="Cambria" w:hAnsi="Cambria"/>
          <w:sz w:val="21"/>
          <w:szCs w:val="21"/>
          <w:lang w:val="es-AR"/>
        </w:rPr>
        <w:t xml:space="preserve"> </w:t>
      </w:r>
      <w:r w:rsidR="0057586A" w:rsidRPr="002D1737">
        <w:rPr>
          <w:rFonts w:ascii="Cambria" w:hAnsi="Cambria"/>
          <w:sz w:val="21"/>
          <w:szCs w:val="21"/>
          <w:lang w:val="es-AR"/>
        </w:rPr>
        <w:t>El Estado de Chile presentó un escrito en el cual si bien informó sobre su voluntad de cumplir con las recomendaciones, se limitó a indicar la divergencia entre las partes sobre las posibles indemnizaciones. El Estado no presentó una contrapropuesta a la solicitud de los peticionarios</w:t>
      </w:r>
      <w:r w:rsidR="0013662E" w:rsidRPr="002D1737">
        <w:rPr>
          <w:rFonts w:ascii="Cambria" w:hAnsi="Cambria"/>
          <w:sz w:val="21"/>
          <w:szCs w:val="21"/>
          <w:lang w:val="es-AR"/>
        </w:rPr>
        <w:t xml:space="preserve"> ni se refirió sustantivamente a las recomendaciones restantes. </w:t>
      </w:r>
      <w:r w:rsidR="006B5AFC">
        <w:rPr>
          <w:rFonts w:ascii="Cambria" w:hAnsi="Cambria"/>
          <w:sz w:val="21"/>
          <w:szCs w:val="21"/>
          <w:lang w:val="es-AR"/>
        </w:rPr>
        <w:t xml:space="preserve"> </w:t>
      </w:r>
      <w:r w:rsidR="00675F9A" w:rsidRPr="002D1737">
        <w:rPr>
          <w:rFonts w:ascii="Cambria" w:hAnsi="Cambria"/>
          <w:sz w:val="21"/>
          <w:szCs w:val="21"/>
          <w:lang w:val="es-AR"/>
        </w:rPr>
        <w:t xml:space="preserve">Además, el Estado no solicitó una prórroga para la suspensión del plazo previsto en el artículo 51 de la Convención Americana. </w:t>
      </w:r>
    </w:p>
    <w:p w14:paraId="17451477" w14:textId="77777777" w:rsidR="00FA535D" w:rsidRPr="002D1737" w:rsidRDefault="00FA535D" w:rsidP="00D44E93">
      <w:pPr>
        <w:tabs>
          <w:tab w:val="left" w:pos="810"/>
        </w:tabs>
        <w:spacing w:after="0" w:line="240" w:lineRule="auto"/>
        <w:ind w:firstLine="720"/>
        <w:jc w:val="both"/>
        <w:rPr>
          <w:rFonts w:ascii="Cambria" w:hAnsi="Cambria"/>
          <w:sz w:val="21"/>
          <w:szCs w:val="21"/>
          <w:lang w:val="es-AR"/>
        </w:rPr>
      </w:pPr>
    </w:p>
    <w:p w14:paraId="19729252" w14:textId="46318959" w:rsidR="00D44E93" w:rsidRPr="002D1737" w:rsidRDefault="00D44E93" w:rsidP="00D44E93">
      <w:pPr>
        <w:tabs>
          <w:tab w:val="left" w:pos="810"/>
        </w:tabs>
        <w:spacing w:after="0" w:line="240" w:lineRule="auto"/>
        <w:ind w:firstLine="720"/>
        <w:jc w:val="both"/>
        <w:rPr>
          <w:rFonts w:ascii="Cambria" w:hAnsi="Cambria"/>
          <w:sz w:val="21"/>
          <w:szCs w:val="21"/>
          <w:lang w:val="es-AR"/>
        </w:rPr>
      </w:pPr>
      <w:r w:rsidRPr="002D1737">
        <w:rPr>
          <w:rFonts w:ascii="Cambria" w:hAnsi="Cambria"/>
          <w:sz w:val="21"/>
          <w:szCs w:val="21"/>
          <w:lang w:val="es-AR"/>
        </w:rPr>
        <w:t>En virtud de lo anterior, l</w:t>
      </w:r>
      <w:r w:rsidRPr="002D1737">
        <w:rPr>
          <w:rFonts w:ascii="Cambria" w:hAnsi="Cambria"/>
          <w:sz w:val="21"/>
          <w:szCs w:val="21"/>
          <w:lang w:val="es-CO"/>
        </w:rPr>
        <w:t xml:space="preserve">a Comisión Interamericana decidió someter a la jurisdicción de la Corte Interamericana la totalidad de los hechos y violaciones de derechos humanos descritos en el informe de fondo </w:t>
      </w:r>
      <w:r w:rsidR="00EF16ED" w:rsidRPr="002D1737">
        <w:rPr>
          <w:rFonts w:ascii="Cambria" w:hAnsi="Cambria"/>
          <w:sz w:val="21"/>
          <w:szCs w:val="21"/>
          <w:lang w:val="es-CO"/>
        </w:rPr>
        <w:t>1</w:t>
      </w:r>
      <w:r w:rsidRPr="002D1737">
        <w:rPr>
          <w:rFonts w:ascii="Cambria" w:hAnsi="Cambria"/>
          <w:sz w:val="21"/>
          <w:szCs w:val="21"/>
          <w:lang w:val="es-CO"/>
        </w:rPr>
        <w:t xml:space="preserve">/16, ante la necesidad de obtención de justicia en el caso particular. </w:t>
      </w:r>
    </w:p>
    <w:p w14:paraId="5B64186C" w14:textId="77777777" w:rsidR="00D44E93" w:rsidRPr="002D1737" w:rsidRDefault="00D44E93" w:rsidP="00D44E93">
      <w:pPr>
        <w:tabs>
          <w:tab w:val="left" w:pos="0"/>
          <w:tab w:val="left" w:pos="810"/>
        </w:tabs>
        <w:spacing w:after="0" w:line="240" w:lineRule="auto"/>
        <w:jc w:val="both"/>
        <w:rPr>
          <w:rFonts w:ascii="Cambria" w:hAnsi="Cambria"/>
          <w:sz w:val="21"/>
          <w:szCs w:val="21"/>
          <w:lang w:val="es-CO"/>
        </w:rPr>
      </w:pPr>
    </w:p>
    <w:p w14:paraId="2A09CFC3" w14:textId="3FD9682D" w:rsidR="00D44E93" w:rsidRPr="002D1737" w:rsidRDefault="00D44E93" w:rsidP="00D44E93">
      <w:pPr>
        <w:tabs>
          <w:tab w:val="left" w:pos="810"/>
        </w:tabs>
        <w:spacing w:after="0" w:line="240" w:lineRule="auto"/>
        <w:ind w:firstLine="720"/>
        <w:jc w:val="both"/>
        <w:rPr>
          <w:rFonts w:ascii="Cambria" w:hAnsi="Cambria" w:cs="Arial"/>
          <w:sz w:val="21"/>
          <w:szCs w:val="21"/>
          <w:lang w:val="es-CL"/>
        </w:rPr>
      </w:pPr>
      <w:r w:rsidRPr="002D1737">
        <w:rPr>
          <w:rFonts w:ascii="Cambria" w:hAnsi="Cambria"/>
          <w:sz w:val="21"/>
          <w:szCs w:val="21"/>
          <w:lang w:val="es-CO"/>
        </w:rPr>
        <w:t>En ese sentido, la Comisión solicita a la Corte que concluya y declare la responsabilidad internacional del</w:t>
      </w:r>
      <w:r w:rsidRPr="002D1737">
        <w:rPr>
          <w:rFonts w:ascii="Cambria" w:hAnsi="Cambria" w:cs="Arial"/>
          <w:sz w:val="21"/>
          <w:szCs w:val="21"/>
          <w:lang w:val="es-CL"/>
        </w:rPr>
        <w:t xml:space="preserve"> Estado de </w:t>
      </w:r>
      <w:r w:rsidR="004C55B9" w:rsidRPr="002D1737">
        <w:rPr>
          <w:rFonts w:ascii="Cambria" w:hAnsi="Cambria" w:cs="Arial"/>
          <w:sz w:val="21"/>
          <w:szCs w:val="21"/>
          <w:lang w:val="es-CL"/>
        </w:rPr>
        <w:t xml:space="preserve">Chile por: </w:t>
      </w:r>
    </w:p>
    <w:p w14:paraId="127E545A" w14:textId="77777777" w:rsidR="004C55B9" w:rsidRPr="002D1737" w:rsidRDefault="004C55B9" w:rsidP="00D44E93">
      <w:pPr>
        <w:tabs>
          <w:tab w:val="left" w:pos="810"/>
        </w:tabs>
        <w:spacing w:after="0" w:line="240" w:lineRule="auto"/>
        <w:ind w:firstLine="720"/>
        <w:jc w:val="both"/>
        <w:rPr>
          <w:rFonts w:ascii="Cambria" w:hAnsi="Cambria" w:cs="Arial"/>
          <w:sz w:val="21"/>
          <w:szCs w:val="21"/>
          <w:lang w:val="es-CL"/>
        </w:rPr>
      </w:pPr>
    </w:p>
    <w:p w14:paraId="4C6C27D6" w14:textId="6A6CDA1F" w:rsidR="004C55B9" w:rsidRPr="006B5AFC" w:rsidRDefault="004C55B9" w:rsidP="006B5AFC">
      <w:pPr>
        <w:pStyle w:val="ListParagraph"/>
        <w:numPr>
          <w:ilvl w:val="0"/>
          <w:numId w:val="3"/>
        </w:numPr>
        <w:tabs>
          <w:tab w:val="left" w:pos="1080"/>
        </w:tabs>
        <w:ind w:left="720" w:right="720" w:firstLine="0"/>
        <w:jc w:val="both"/>
        <w:rPr>
          <w:sz w:val="21"/>
          <w:szCs w:val="21"/>
          <w:lang w:val="es-ES"/>
        </w:rPr>
      </w:pPr>
      <w:r w:rsidRPr="006B5AFC">
        <w:rPr>
          <w:sz w:val="21"/>
          <w:szCs w:val="21"/>
          <w:lang w:val="es-ES"/>
        </w:rPr>
        <w:t xml:space="preserve">La violación del derecho de acceso a la información en materia de salud establecido en el artículo 13 de la Convención, en relación con los derechos a la vida, integridad personal y salud establecidos en los artículos 4 y 5 de la Convención, y con las obligaciones establecidas en el artículo 1.1 del mismo instrumento, en perjuicio de Vinicio Antonio Poblete Vilches y sus familiares; </w:t>
      </w:r>
    </w:p>
    <w:p w14:paraId="6C411C80" w14:textId="77777777" w:rsidR="004C55B9" w:rsidRPr="002D1737" w:rsidRDefault="004C55B9" w:rsidP="00EC31BB">
      <w:pPr>
        <w:pBdr>
          <w:top w:val="nil"/>
          <w:left w:val="nil"/>
          <w:bottom w:val="nil"/>
          <w:right w:val="nil"/>
          <w:between w:val="nil"/>
          <w:bar w:val="nil"/>
        </w:pBdr>
        <w:spacing w:after="0" w:line="240" w:lineRule="auto"/>
        <w:ind w:left="720" w:right="720"/>
        <w:jc w:val="both"/>
        <w:rPr>
          <w:rFonts w:ascii="Cambria" w:hAnsi="Cambria"/>
          <w:sz w:val="21"/>
          <w:szCs w:val="21"/>
          <w:lang w:val="es-ES"/>
        </w:rPr>
      </w:pPr>
    </w:p>
    <w:p w14:paraId="18EF3996" w14:textId="284428CA" w:rsidR="004C55B9" w:rsidRPr="006B5AFC" w:rsidRDefault="004C55B9" w:rsidP="006B5AFC">
      <w:pPr>
        <w:pStyle w:val="ListParagraph"/>
        <w:numPr>
          <w:ilvl w:val="0"/>
          <w:numId w:val="3"/>
        </w:numPr>
        <w:tabs>
          <w:tab w:val="left" w:pos="1080"/>
        </w:tabs>
        <w:ind w:left="720" w:right="720" w:firstLine="0"/>
        <w:jc w:val="both"/>
        <w:rPr>
          <w:sz w:val="21"/>
          <w:szCs w:val="21"/>
          <w:lang w:val="es-ES"/>
        </w:rPr>
      </w:pPr>
      <w:r w:rsidRPr="006B5AFC">
        <w:rPr>
          <w:sz w:val="21"/>
          <w:szCs w:val="21"/>
          <w:lang w:val="es-ES"/>
        </w:rPr>
        <w:t>La violación de los derechos a la vida, integridad personal y salud establecidos en los artículos 4 y 5 de la Convención Americana, en relación con las obligaciones establecidas en el artículo 1.1 del mismo instrumento, en perjuicio de Vinicio Antonio Poblete Vilches; y</w:t>
      </w:r>
    </w:p>
    <w:p w14:paraId="2C80F64D" w14:textId="77777777" w:rsidR="004C55B9" w:rsidRPr="002D1737" w:rsidRDefault="004C55B9" w:rsidP="00EC31BB">
      <w:pPr>
        <w:pBdr>
          <w:top w:val="nil"/>
          <w:left w:val="nil"/>
          <w:bottom w:val="nil"/>
          <w:right w:val="nil"/>
          <w:between w:val="nil"/>
          <w:bar w:val="nil"/>
        </w:pBdr>
        <w:spacing w:after="0" w:line="240" w:lineRule="auto"/>
        <w:ind w:left="720" w:right="720"/>
        <w:jc w:val="both"/>
        <w:rPr>
          <w:rFonts w:ascii="Cambria" w:hAnsi="Cambria"/>
          <w:sz w:val="21"/>
          <w:szCs w:val="21"/>
          <w:lang w:val="es-ES"/>
        </w:rPr>
      </w:pPr>
    </w:p>
    <w:p w14:paraId="6A75B466" w14:textId="5C1038DC" w:rsidR="004C55B9" w:rsidRPr="006B5AFC" w:rsidRDefault="004C55B9" w:rsidP="006B5AFC">
      <w:pPr>
        <w:pStyle w:val="ListParagraph"/>
        <w:numPr>
          <w:ilvl w:val="0"/>
          <w:numId w:val="3"/>
        </w:numPr>
        <w:tabs>
          <w:tab w:val="left" w:pos="1080"/>
        </w:tabs>
        <w:ind w:left="720" w:right="720" w:firstLine="0"/>
        <w:jc w:val="both"/>
        <w:rPr>
          <w:sz w:val="21"/>
          <w:szCs w:val="21"/>
          <w:lang w:val="es-ES"/>
        </w:rPr>
      </w:pPr>
      <w:r w:rsidRPr="006B5AFC">
        <w:rPr>
          <w:sz w:val="21"/>
          <w:szCs w:val="21"/>
          <w:lang w:val="es-ES"/>
        </w:rPr>
        <w:t>La violación de los derechos a la integridad personal, garantías judiciales y protección judicial establecidos en los artículos 5, 8 y 25 de la Convención Americana en relación con el artículo 1.1 del mismo instrumento, en perjuicio de los familiares del señor V</w:t>
      </w:r>
      <w:r w:rsidR="00442F10" w:rsidRPr="006B5AFC">
        <w:rPr>
          <w:sz w:val="21"/>
          <w:szCs w:val="21"/>
          <w:lang w:val="es-ES"/>
        </w:rPr>
        <w:t>inicio Antonio Poblete Vilches.</w:t>
      </w:r>
    </w:p>
    <w:p w14:paraId="55742E3A" w14:textId="77777777" w:rsidR="00D44E93" w:rsidRPr="002D1737" w:rsidRDefault="00D44E93" w:rsidP="00D44E93">
      <w:pPr>
        <w:tabs>
          <w:tab w:val="left" w:pos="810"/>
        </w:tabs>
        <w:autoSpaceDE w:val="0"/>
        <w:autoSpaceDN w:val="0"/>
        <w:adjustRightInd w:val="0"/>
        <w:spacing w:after="0" w:line="240" w:lineRule="auto"/>
        <w:jc w:val="both"/>
        <w:rPr>
          <w:rFonts w:ascii="Cambria" w:hAnsi="Cambria"/>
          <w:sz w:val="21"/>
          <w:szCs w:val="21"/>
          <w:lang w:val="es-CO"/>
        </w:rPr>
      </w:pPr>
    </w:p>
    <w:p w14:paraId="651E3E5C" w14:textId="668F0E3F" w:rsidR="00D44E93" w:rsidRPr="002D1737" w:rsidRDefault="00D44E93" w:rsidP="00D44E93">
      <w:pPr>
        <w:tabs>
          <w:tab w:val="left" w:pos="810"/>
        </w:tabs>
        <w:autoSpaceDE w:val="0"/>
        <w:autoSpaceDN w:val="0"/>
        <w:adjustRightInd w:val="0"/>
        <w:spacing w:after="0" w:line="240" w:lineRule="auto"/>
        <w:ind w:firstLine="720"/>
        <w:jc w:val="both"/>
        <w:rPr>
          <w:rFonts w:ascii="Cambria" w:hAnsi="Cambria"/>
          <w:sz w:val="21"/>
          <w:szCs w:val="21"/>
          <w:lang w:val="es-CO"/>
        </w:rPr>
      </w:pPr>
      <w:r w:rsidRPr="002D1737">
        <w:rPr>
          <w:rFonts w:ascii="Cambria" w:hAnsi="Cambria"/>
          <w:sz w:val="21"/>
          <w:szCs w:val="21"/>
          <w:lang w:val="es-CO"/>
        </w:rPr>
        <w:t>La Comisión solicita a la Corte</w:t>
      </w:r>
      <w:r w:rsidR="00641F17" w:rsidRPr="002D1737">
        <w:rPr>
          <w:rFonts w:ascii="Cambria" w:hAnsi="Cambria"/>
          <w:sz w:val="21"/>
          <w:szCs w:val="21"/>
          <w:lang w:val="es-CO"/>
        </w:rPr>
        <w:t xml:space="preserve"> Interamericana</w:t>
      </w:r>
      <w:r w:rsidRPr="002D1737">
        <w:rPr>
          <w:rFonts w:ascii="Cambria" w:hAnsi="Cambria"/>
          <w:sz w:val="21"/>
          <w:szCs w:val="21"/>
          <w:lang w:val="es-CO"/>
        </w:rPr>
        <w:t xml:space="preserve"> que establezca las siguientes medidas de reparación:</w:t>
      </w:r>
    </w:p>
    <w:p w14:paraId="544B40B6" w14:textId="77777777" w:rsidR="00D44E93" w:rsidRPr="002D1737" w:rsidRDefault="00D44E93" w:rsidP="00D44E93">
      <w:pPr>
        <w:tabs>
          <w:tab w:val="left" w:pos="720"/>
          <w:tab w:val="left" w:pos="810"/>
        </w:tabs>
        <w:autoSpaceDE w:val="0"/>
        <w:autoSpaceDN w:val="0"/>
        <w:adjustRightInd w:val="0"/>
        <w:spacing w:after="0" w:line="240" w:lineRule="auto"/>
        <w:ind w:right="720"/>
        <w:jc w:val="both"/>
        <w:rPr>
          <w:rFonts w:ascii="Cambria" w:hAnsi="Cambria"/>
          <w:sz w:val="21"/>
          <w:szCs w:val="21"/>
          <w:lang w:val="es-CO"/>
        </w:rPr>
      </w:pPr>
    </w:p>
    <w:p w14:paraId="7F4618DC" w14:textId="0BE0DC0C" w:rsidR="00874704" w:rsidRPr="002D1737" w:rsidRDefault="00874704" w:rsidP="006B5AFC">
      <w:pPr>
        <w:pStyle w:val="ListParagraph"/>
        <w:numPr>
          <w:ilvl w:val="0"/>
          <w:numId w:val="2"/>
        </w:numPr>
        <w:tabs>
          <w:tab w:val="clear" w:pos="1260"/>
          <w:tab w:val="left" w:pos="720"/>
          <w:tab w:val="num" w:pos="1080"/>
        </w:tabs>
        <w:suppressAutoHyphens/>
        <w:ind w:left="720" w:right="720" w:firstLine="0"/>
        <w:jc w:val="both"/>
        <w:rPr>
          <w:rFonts w:cs="BookAntiqua"/>
          <w:sz w:val="21"/>
          <w:szCs w:val="21"/>
          <w:lang w:val="es-CO"/>
        </w:rPr>
      </w:pPr>
      <w:r w:rsidRPr="002D1737">
        <w:rPr>
          <w:sz w:val="21"/>
          <w:szCs w:val="21"/>
          <w:lang w:val="es-CO"/>
        </w:rPr>
        <w:t xml:space="preserve">Reparar integralmente a los familiares del señor Vinicio Antonio Poblete Vilches por las violaciones de derechos humanos declaradas en el informe, incluyendo una debida compensación por el daño material y moral causado, así como otras medidas de satisfacción moral. </w:t>
      </w:r>
    </w:p>
    <w:p w14:paraId="3F34A51C" w14:textId="77777777" w:rsidR="00874704" w:rsidRPr="002D1737" w:rsidRDefault="00874704" w:rsidP="00173267">
      <w:pPr>
        <w:tabs>
          <w:tab w:val="left" w:pos="900"/>
        </w:tabs>
        <w:suppressAutoHyphens/>
        <w:spacing w:after="0" w:line="240" w:lineRule="auto"/>
        <w:ind w:left="900" w:right="720" w:hanging="180"/>
        <w:jc w:val="both"/>
        <w:rPr>
          <w:rFonts w:ascii="Cambria" w:hAnsi="Cambria" w:cs="BookAntiqua"/>
          <w:sz w:val="21"/>
          <w:szCs w:val="21"/>
          <w:lang w:val="es-CO"/>
        </w:rPr>
      </w:pPr>
    </w:p>
    <w:p w14:paraId="61AF004E" w14:textId="0052734B" w:rsidR="00874704" w:rsidRPr="002D1737" w:rsidRDefault="00874704" w:rsidP="002736A5">
      <w:pPr>
        <w:numPr>
          <w:ilvl w:val="0"/>
          <w:numId w:val="2"/>
        </w:numPr>
        <w:tabs>
          <w:tab w:val="clear" w:pos="1260"/>
          <w:tab w:val="left" w:pos="720"/>
          <w:tab w:val="left" w:pos="1080"/>
        </w:tabs>
        <w:suppressAutoHyphens/>
        <w:spacing w:after="0" w:line="240" w:lineRule="auto"/>
        <w:ind w:left="720" w:right="720" w:firstLine="0"/>
        <w:jc w:val="both"/>
        <w:rPr>
          <w:rFonts w:ascii="Cambria" w:hAnsi="Cambria" w:cs="BookAntiqua"/>
          <w:sz w:val="21"/>
          <w:szCs w:val="21"/>
          <w:lang w:val="es-CO"/>
        </w:rPr>
      </w:pPr>
      <w:r w:rsidRPr="002D1737">
        <w:rPr>
          <w:rFonts w:ascii="Cambria" w:hAnsi="Cambria" w:cs="Arial"/>
          <w:sz w:val="21"/>
          <w:szCs w:val="21"/>
          <w:lang w:val="es-ES"/>
        </w:rPr>
        <w:t>R</w:t>
      </w:r>
      <w:r w:rsidRPr="002D1737">
        <w:rPr>
          <w:rFonts w:ascii="Cambria" w:hAnsi="Cambria"/>
          <w:sz w:val="21"/>
          <w:szCs w:val="21"/>
          <w:lang w:val="es-ES"/>
        </w:rPr>
        <w:t>ealizar una investigación completa y efectiva de las violaciones de der</w:t>
      </w:r>
      <w:r w:rsidR="000A0412" w:rsidRPr="002D1737">
        <w:rPr>
          <w:rFonts w:ascii="Cambria" w:hAnsi="Cambria"/>
          <w:sz w:val="21"/>
          <w:szCs w:val="21"/>
          <w:lang w:val="es-ES"/>
        </w:rPr>
        <w:t xml:space="preserve">echos humanos declaradas en el </w:t>
      </w:r>
      <w:r w:rsidRPr="002D1737">
        <w:rPr>
          <w:rFonts w:ascii="Cambria" w:hAnsi="Cambria"/>
          <w:sz w:val="21"/>
          <w:szCs w:val="21"/>
          <w:lang w:val="es-ES"/>
        </w:rPr>
        <w:t xml:space="preserve">informe, a fin de que los familiares del señor Poblete Vilches cuenten con un esclarecimiento de lo sucedido y, de ser el caso, se impongan las sanciones correspondientes. Para tal efecto, el Estado deberá continuar la investigación reabierta en el año 2008 o, de ser el caso, iniciar una nueva investigación con el objetivo de superar los obstáculos identificados en el informe que han impedido la obtención de justicia. </w:t>
      </w:r>
    </w:p>
    <w:p w14:paraId="11ABA813" w14:textId="77777777" w:rsidR="00874704" w:rsidRPr="002D1737" w:rsidRDefault="00874704" w:rsidP="00173267">
      <w:pPr>
        <w:tabs>
          <w:tab w:val="left" w:pos="900"/>
        </w:tabs>
        <w:suppressAutoHyphens/>
        <w:spacing w:after="0" w:line="240" w:lineRule="auto"/>
        <w:ind w:left="900" w:right="720" w:hanging="180"/>
        <w:jc w:val="both"/>
        <w:rPr>
          <w:rFonts w:ascii="Cambria" w:hAnsi="Cambria" w:cs="BookAntiqua"/>
          <w:sz w:val="21"/>
          <w:szCs w:val="21"/>
          <w:lang w:val="es-CO"/>
        </w:rPr>
      </w:pPr>
    </w:p>
    <w:p w14:paraId="015B9E6C" w14:textId="124930C2" w:rsidR="00874704" w:rsidRPr="002D1737" w:rsidRDefault="00874704" w:rsidP="006B5AFC">
      <w:pPr>
        <w:numPr>
          <w:ilvl w:val="0"/>
          <w:numId w:val="2"/>
        </w:numPr>
        <w:tabs>
          <w:tab w:val="clear" w:pos="1260"/>
          <w:tab w:val="left" w:pos="720"/>
          <w:tab w:val="left" w:pos="1080"/>
        </w:tabs>
        <w:suppressAutoHyphens/>
        <w:spacing w:after="0" w:line="240" w:lineRule="auto"/>
        <w:ind w:left="720" w:right="720" w:firstLine="0"/>
        <w:jc w:val="both"/>
        <w:rPr>
          <w:rFonts w:ascii="Cambria" w:hAnsi="Cambria"/>
          <w:sz w:val="21"/>
          <w:szCs w:val="21"/>
          <w:lang w:val="es-CO"/>
        </w:rPr>
      </w:pPr>
      <w:r w:rsidRPr="002D1737">
        <w:rPr>
          <w:rFonts w:ascii="Cambria" w:hAnsi="Cambria" w:cs="BookAntiqua"/>
          <w:sz w:val="21"/>
          <w:szCs w:val="21"/>
          <w:lang w:val="es-CO"/>
        </w:rPr>
        <w:t xml:space="preserve">Disponer mecanismos de no repetición que incluyan: i) las medidas legislativas, administrativas y de otra índole que se requieran para la implementación del consentimiento informado en materia de salud de conformidad con los estándares </w:t>
      </w:r>
      <w:r w:rsidRPr="002D1737">
        <w:rPr>
          <w:rFonts w:ascii="Cambria" w:hAnsi="Cambria" w:cs="BookAntiqua"/>
          <w:sz w:val="21"/>
          <w:szCs w:val="21"/>
          <w:lang w:val="es-CO"/>
        </w:rPr>
        <w:lastRenderedPageBreak/>
        <w:t xml:space="preserve">establecidos en el informe; ii) las medidas necesarias, incluyendo medidas presupuestarias, para asegurar que el Hospital </w:t>
      </w:r>
      <w:proofErr w:type="spellStart"/>
      <w:r w:rsidRPr="002D1737">
        <w:rPr>
          <w:rFonts w:ascii="Cambria" w:hAnsi="Cambria" w:cs="BookAntiqua"/>
          <w:sz w:val="21"/>
          <w:szCs w:val="21"/>
          <w:lang w:val="es-CO"/>
        </w:rPr>
        <w:t>Sótero</w:t>
      </w:r>
      <w:proofErr w:type="spellEnd"/>
      <w:r w:rsidRPr="002D1737">
        <w:rPr>
          <w:rFonts w:ascii="Cambria" w:hAnsi="Cambria" w:cs="BookAntiqua"/>
          <w:sz w:val="21"/>
          <w:szCs w:val="21"/>
          <w:lang w:val="es-CO"/>
        </w:rPr>
        <w:t xml:space="preserve"> del Río cuente con los medios e infraestructura necesarios para brindar una atención adecuada, particularmente cuando se requiera terapia intensiva; y iii) las medidas de capacitación y entrenamiento a los operadores judiciales en cuanto al deber de investigar posibles responsabilidades derivadas de la muerte de una persona como consecuencia de una atención inadecuada en salud. </w:t>
      </w:r>
    </w:p>
    <w:p w14:paraId="74B8EFFC" w14:textId="721C5E0F" w:rsidR="00D44E93" w:rsidRPr="00A36BEF" w:rsidRDefault="00D44E93" w:rsidP="00E373E6">
      <w:pPr>
        <w:tabs>
          <w:tab w:val="left" w:pos="0"/>
          <w:tab w:val="left" w:pos="1080"/>
        </w:tabs>
        <w:spacing w:after="0" w:line="240" w:lineRule="auto"/>
        <w:ind w:right="720"/>
        <w:jc w:val="both"/>
        <w:rPr>
          <w:rFonts w:ascii="Cambria" w:eastAsia="Times New Roman" w:hAnsi="Cambria"/>
          <w:sz w:val="18"/>
          <w:szCs w:val="18"/>
          <w:lang w:val="es-ES"/>
        </w:rPr>
      </w:pPr>
    </w:p>
    <w:p w14:paraId="3CDDDA9C" w14:textId="51ABBEC0" w:rsidR="00B54F51" w:rsidRPr="002D1737" w:rsidRDefault="00D44E93" w:rsidP="00C039F5">
      <w:pPr>
        <w:spacing w:after="0" w:line="240" w:lineRule="auto"/>
        <w:ind w:firstLine="720"/>
        <w:jc w:val="both"/>
        <w:rPr>
          <w:rFonts w:ascii="Cambria" w:eastAsia="Times New Roman" w:hAnsi="Cambria" w:cs="Cambria"/>
          <w:color w:val="000000"/>
          <w:sz w:val="21"/>
          <w:szCs w:val="21"/>
          <w:lang w:val="es-CO"/>
        </w:rPr>
      </w:pPr>
      <w:r w:rsidRPr="002D1737">
        <w:rPr>
          <w:rFonts w:ascii="Cambria" w:hAnsi="Cambria" w:cs="Arial"/>
          <w:color w:val="000000"/>
          <w:sz w:val="21"/>
          <w:szCs w:val="21"/>
          <w:lang w:val="es-CL"/>
        </w:rPr>
        <w:t xml:space="preserve">Además de la necesidad de obtención de justicia, la Comisión destaca que el presente caso involucra cuestiones de orden público interamericano. </w:t>
      </w:r>
      <w:r w:rsidR="00B905FA">
        <w:rPr>
          <w:rFonts w:ascii="Cambria" w:hAnsi="Cambria" w:cs="Arial"/>
          <w:color w:val="000000"/>
          <w:sz w:val="21"/>
          <w:szCs w:val="21"/>
          <w:lang w:val="es-CL"/>
        </w:rPr>
        <w:t xml:space="preserve"> </w:t>
      </w:r>
      <w:r w:rsidRPr="002D1737">
        <w:rPr>
          <w:rFonts w:ascii="Cambria" w:hAnsi="Cambria" w:cs="Arial"/>
          <w:color w:val="000000"/>
          <w:sz w:val="21"/>
          <w:szCs w:val="21"/>
          <w:lang w:val="es-CL"/>
        </w:rPr>
        <w:t>La</w:t>
      </w:r>
      <w:r w:rsidRPr="002D1737">
        <w:rPr>
          <w:rFonts w:ascii="Cambria" w:eastAsia="Times New Roman" w:hAnsi="Cambria" w:cs="Cambria"/>
          <w:color w:val="000000"/>
          <w:sz w:val="21"/>
          <w:szCs w:val="21"/>
          <w:lang w:val="es-CO"/>
        </w:rPr>
        <w:t xml:space="preserve"> Comisión considera que </w:t>
      </w:r>
      <w:r w:rsidRPr="002D1737">
        <w:rPr>
          <w:rFonts w:ascii="Cambria" w:hAnsi="Cambria"/>
          <w:color w:val="000000"/>
          <w:sz w:val="21"/>
          <w:szCs w:val="21"/>
          <w:lang w:val="es-CO"/>
        </w:rPr>
        <w:t xml:space="preserve">el caso permitirá a la Honorable Corte Interamericana </w:t>
      </w:r>
      <w:r w:rsidRPr="002D1737">
        <w:rPr>
          <w:rFonts w:ascii="Cambria" w:eastAsia="Times New Roman" w:hAnsi="Cambria" w:cs="Cambria"/>
          <w:color w:val="000000"/>
          <w:sz w:val="21"/>
          <w:szCs w:val="21"/>
          <w:lang w:val="es-CO"/>
        </w:rPr>
        <w:t>desa</w:t>
      </w:r>
      <w:r w:rsidR="00C039F5" w:rsidRPr="002D1737">
        <w:rPr>
          <w:rFonts w:ascii="Cambria" w:eastAsia="Times New Roman" w:hAnsi="Cambria" w:cs="Cambria"/>
          <w:color w:val="000000"/>
          <w:sz w:val="21"/>
          <w:szCs w:val="21"/>
          <w:lang w:val="es-CO"/>
        </w:rPr>
        <w:t xml:space="preserve">rrollar su jurisprudencia sobre </w:t>
      </w:r>
      <w:r w:rsidR="00B54F51" w:rsidRPr="002D1737">
        <w:rPr>
          <w:rFonts w:ascii="Cambria" w:eastAsia="Times New Roman" w:hAnsi="Cambria" w:cs="Cambria"/>
          <w:sz w:val="21"/>
          <w:szCs w:val="21"/>
          <w:lang w:val="es-CO"/>
        </w:rPr>
        <w:t xml:space="preserve">las obligaciones que derivan de la Convención Americana en materia de consentimiento informado en las decisiones sobre la salud de las personas. </w:t>
      </w:r>
      <w:r w:rsidR="00B905FA">
        <w:rPr>
          <w:rFonts w:ascii="Cambria" w:eastAsia="Times New Roman" w:hAnsi="Cambria" w:cs="Cambria"/>
          <w:sz w:val="21"/>
          <w:szCs w:val="21"/>
          <w:lang w:val="es-CO"/>
        </w:rPr>
        <w:t xml:space="preserve"> </w:t>
      </w:r>
      <w:r w:rsidR="00B54F51" w:rsidRPr="002D1737">
        <w:rPr>
          <w:rFonts w:ascii="Cambria" w:eastAsia="Times New Roman" w:hAnsi="Cambria" w:cs="Cambria"/>
          <w:sz w:val="21"/>
          <w:szCs w:val="21"/>
          <w:lang w:val="es-CO"/>
        </w:rPr>
        <w:t>Asimismo, el caso permitirá profundizar en la responsabilidad estatal derivada de supuestos de atenciones</w:t>
      </w:r>
      <w:r w:rsidR="00C039F5" w:rsidRPr="002D1737">
        <w:rPr>
          <w:rFonts w:ascii="Cambria" w:eastAsia="Times New Roman" w:hAnsi="Cambria" w:cs="Cambria"/>
          <w:sz w:val="21"/>
          <w:szCs w:val="21"/>
          <w:lang w:val="es-CO"/>
        </w:rPr>
        <w:t xml:space="preserve"> inadecuadas</w:t>
      </w:r>
      <w:r w:rsidR="00B54F51" w:rsidRPr="002D1737">
        <w:rPr>
          <w:rFonts w:ascii="Cambria" w:eastAsia="Times New Roman" w:hAnsi="Cambria" w:cs="Cambria"/>
          <w:sz w:val="21"/>
          <w:szCs w:val="21"/>
          <w:lang w:val="es-CO"/>
        </w:rPr>
        <w:t xml:space="preserve"> de salud </w:t>
      </w:r>
      <w:r w:rsidR="00C039F5" w:rsidRPr="002D1737">
        <w:rPr>
          <w:rFonts w:ascii="Cambria" w:eastAsia="Times New Roman" w:hAnsi="Cambria" w:cs="Cambria"/>
          <w:sz w:val="21"/>
          <w:szCs w:val="21"/>
          <w:lang w:val="es-CO"/>
        </w:rPr>
        <w:t xml:space="preserve">en hospitales públicos, incluyendo aquellas derivadas de </w:t>
      </w:r>
      <w:r w:rsidR="00455AB9" w:rsidRPr="002D1737">
        <w:rPr>
          <w:rFonts w:ascii="Cambria" w:eastAsia="Times New Roman" w:hAnsi="Cambria" w:cs="Cambria"/>
          <w:sz w:val="21"/>
          <w:szCs w:val="21"/>
          <w:lang w:val="es-CO"/>
        </w:rPr>
        <w:t xml:space="preserve">posibles </w:t>
      </w:r>
      <w:r w:rsidR="00C039F5" w:rsidRPr="002D1737">
        <w:rPr>
          <w:rFonts w:ascii="Cambria" w:eastAsia="Times New Roman" w:hAnsi="Cambria" w:cs="Cambria"/>
          <w:sz w:val="21"/>
          <w:szCs w:val="21"/>
          <w:lang w:val="es-CO"/>
        </w:rPr>
        <w:t>deficiencias estructurales</w:t>
      </w:r>
      <w:r w:rsidR="00A00714" w:rsidRPr="002D1737">
        <w:rPr>
          <w:rFonts w:ascii="Cambria" w:eastAsia="Times New Roman" w:hAnsi="Cambria" w:cs="Cambria"/>
          <w:sz w:val="21"/>
          <w:szCs w:val="21"/>
          <w:lang w:val="es-CO"/>
        </w:rPr>
        <w:t xml:space="preserve"> en los mismos.</w:t>
      </w:r>
      <w:r w:rsidR="005B2CEA" w:rsidRPr="002D1737">
        <w:rPr>
          <w:rFonts w:ascii="Cambria" w:eastAsia="Times New Roman" w:hAnsi="Cambria" w:cs="Cambria"/>
          <w:sz w:val="21"/>
          <w:szCs w:val="21"/>
          <w:lang w:val="es-CO"/>
        </w:rPr>
        <w:t xml:space="preserve"> </w:t>
      </w:r>
      <w:r w:rsidR="00B905FA">
        <w:rPr>
          <w:rFonts w:ascii="Cambria" w:eastAsia="Times New Roman" w:hAnsi="Cambria" w:cs="Cambria"/>
          <w:sz w:val="21"/>
          <w:szCs w:val="21"/>
          <w:lang w:val="es-CO"/>
        </w:rPr>
        <w:t xml:space="preserve"> </w:t>
      </w:r>
      <w:r w:rsidR="005B2CEA" w:rsidRPr="002D1737">
        <w:rPr>
          <w:rFonts w:ascii="Cambria" w:eastAsia="Times New Roman" w:hAnsi="Cambria" w:cs="Cambria"/>
          <w:sz w:val="21"/>
          <w:szCs w:val="21"/>
          <w:lang w:val="es-CO"/>
        </w:rPr>
        <w:t>Finalmente, e</w:t>
      </w:r>
      <w:r w:rsidR="00B54F51" w:rsidRPr="002D1737">
        <w:rPr>
          <w:rFonts w:ascii="Cambria" w:eastAsia="Times New Roman" w:hAnsi="Cambria" w:cs="Cambria"/>
          <w:sz w:val="21"/>
          <w:szCs w:val="21"/>
          <w:lang w:val="es-CO"/>
        </w:rPr>
        <w:t xml:space="preserve">l caso </w:t>
      </w:r>
      <w:r w:rsidR="00A00714" w:rsidRPr="002D1737">
        <w:rPr>
          <w:rFonts w:ascii="Cambria" w:eastAsia="Times New Roman" w:hAnsi="Cambria" w:cs="Cambria"/>
          <w:sz w:val="21"/>
          <w:szCs w:val="21"/>
          <w:lang w:val="es-CO"/>
        </w:rPr>
        <w:t xml:space="preserve">también permitirá que </w:t>
      </w:r>
      <w:r w:rsidR="00B54F51" w:rsidRPr="002D1737">
        <w:rPr>
          <w:rFonts w:ascii="Cambria" w:eastAsia="Times New Roman" w:hAnsi="Cambria" w:cs="Cambria"/>
          <w:sz w:val="21"/>
          <w:szCs w:val="21"/>
          <w:lang w:val="es-CO"/>
        </w:rPr>
        <w:t>la Corte</w:t>
      </w:r>
      <w:r w:rsidR="00A00714" w:rsidRPr="002D1737">
        <w:rPr>
          <w:rFonts w:ascii="Cambria" w:eastAsia="Times New Roman" w:hAnsi="Cambria" w:cs="Cambria"/>
          <w:sz w:val="21"/>
          <w:szCs w:val="21"/>
          <w:lang w:val="es-CO"/>
        </w:rPr>
        <w:t xml:space="preserve"> se pronuncie</w:t>
      </w:r>
      <w:r w:rsidR="00B54F51" w:rsidRPr="002D1737">
        <w:rPr>
          <w:rFonts w:ascii="Cambria" w:eastAsia="Times New Roman" w:hAnsi="Cambria" w:cs="Cambria"/>
          <w:sz w:val="21"/>
          <w:szCs w:val="21"/>
          <w:lang w:val="es-CO"/>
        </w:rPr>
        <w:t xml:space="preserve"> sobre los contenidos específicos del deber de investigar y proveer un recurso efectivo en tales supuestos.</w:t>
      </w:r>
      <w:r w:rsidR="005B2CEA" w:rsidRPr="002D1737">
        <w:rPr>
          <w:rFonts w:ascii="Cambria" w:eastAsia="Times New Roman" w:hAnsi="Cambria" w:cs="Cambria"/>
          <w:sz w:val="21"/>
          <w:szCs w:val="21"/>
          <w:lang w:val="es-CO"/>
        </w:rPr>
        <w:t xml:space="preserve"> </w:t>
      </w:r>
    </w:p>
    <w:p w14:paraId="26185908" w14:textId="77777777" w:rsidR="00B54F51" w:rsidRPr="00A36BEF" w:rsidRDefault="00B54F51" w:rsidP="00D44E93">
      <w:pPr>
        <w:tabs>
          <w:tab w:val="left" w:pos="810"/>
        </w:tabs>
        <w:autoSpaceDE w:val="0"/>
        <w:autoSpaceDN w:val="0"/>
        <w:adjustRightInd w:val="0"/>
        <w:spacing w:after="0" w:line="240" w:lineRule="auto"/>
        <w:jc w:val="both"/>
        <w:rPr>
          <w:rFonts w:ascii="Cambria" w:hAnsi="Cambria" w:cs="Arial"/>
          <w:sz w:val="18"/>
          <w:szCs w:val="18"/>
          <w:lang w:val="es-CL"/>
        </w:rPr>
      </w:pPr>
    </w:p>
    <w:p w14:paraId="4EF29AA4" w14:textId="77777777" w:rsidR="00D44E93" w:rsidRPr="002D1737" w:rsidRDefault="00D44E93" w:rsidP="00D44E93">
      <w:pPr>
        <w:tabs>
          <w:tab w:val="left" w:pos="810"/>
        </w:tabs>
        <w:autoSpaceDE w:val="0"/>
        <w:autoSpaceDN w:val="0"/>
        <w:adjustRightInd w:val="0"/>
        <w:spacing w:after="0" w:line="240" w:lineRule="auto"/>
        <w:ind w:firstLine="720"/>
        <w:jc w:val="both"/>
        <w:rPr>
          <w:rFonts w:ascii="Cambria" w:hAnsi="Cambria" w:cs="Arial"/>
          <w:sz w:val="21"/>
          <w:szCs w:val="21"/>
          <w:lang w:val="es-CL"/>
        </w:rPr>
      </w:pPr>
      <w:r w:rsidRPr="002D1737">
        <w:rPr>
          <w:rFonts w:ascii="Cambria" w:hAnsi="Cambria" w:cs="Arial"/>
          <w:sz w:val="21"/>
          <w:szCs w:val="21"/>
          <w:lang w:val="es-CL"/>
        </w:rPr>
        <w:t>E</w:t>
      </w:r>
      <w:bookmarkStart w:id="1" w:name="_GoBack"/>
      <w:bookmarkEnd w:id="1"/>
      <w:r w:rsidRPr="002D1737">
        <w:rPr>
          <w:rFonts w:ascii="Cambria" w:hAnsi="Cambria" w:cs="Arial"/>
          <w:sz w:val="21"/>
          <w:szCs w:val="21"/>
          <w:lang w:val="es-CL"/>
        </w:rPr>
        <w:t>n virtud de que estas cuestiones afectan de manera relevante el orden público interamericano, de conformidad con el artículo 35.1 f) del Reglamento de la Corte Interamericana, la Comisión se permite ofrecer la siguiente declaración pericial:</w:t>
      </w:r>
    </w:p>
    <w:p w14:paraId="4C2363D7" w14:textId="77777777" w:rsidR="00D44E93" w:rsidRPr="00A36BEF" w:rsidRDefault="00D44E93" w:rsidP="00D44E93">
      <w:pPr>
        <w:tabs>
          <w:tab w:val="left" w:pos="810"/>
        </w:tabs>
        <w:autoSpaceDE w:val="0"/>
        <w:autoSpaceDN w:val="0"/>
        <w:adjustRightInd w:val="0"/>
        <w:spacing w:after="0" w:line="240" w:lineRule="auto"/>
        <w:ind w:right="480"/>
        <w:jc w:val="both"/>
        <w:rPr>
          <w:rFonts w:ascii="Cambria" w:hAnsi="Cambria" w:cs="Arial"/>
          <w:sz w:val="18"/>
          <w:szCs w:val="18"/>
          <w:lang w:val="es-CL"/>
        </w:rPr>
      </w:pPr>
    </w:p>
    <w:p w14:paraId="04BA0161" w14:textId="7130F3CE" w:rsidR="00D44E93" w:rsidRPr="002D1737" w:rsidRDefault="00D44E93" w:rsidP="00D44E93">
      <w:pPr>
        <w:tabs>
          <w:tab w:val="left" w:pos="810"/>
          <w:tab w:val="left" w:pos="9356"/>
        </w:tabs>
        <w:spacing w:after="0" w:line="240" w:lineRule="auto"/>
        <w:ind w:right="4" w:firstLine="720"/>
        <w:jc w:val="both"/>
        <w:rPr>
          <w:rFonts w:ascii="Cambria" w:hAnsi="Cambria"/>
          <w:sz w:val="21"/>
          <w:szCs w:val="21"/>
          <w:lang w:val="es-CO"/>
        </w:rPr>
      </w:pPr>
      <w:r w:rsidRPr="002D1737">
        <w:rPr>
          <w:rFonts w:ascii="Cambria" w:hAnsi="Cambria" w:cs="Courier New"/>
          <w:b/>
          <w:sz w:val="21"/>
          <w:szCs w:val="21"/>
          <w:lang w:val="es-ES_tradnl"/>
        </w:rPr>
        <w:t>Perito/a cuyo nombre será informado a la brevedad</w:t>
      </w:r>
      <w:r w:rsidRPr="002D1737">
        <w:rPr>
          <w:rFonts w:ascii="Cambria" w:hAnsi="Cambria"/>
          <w:iCs/>
          <w:sz w:val="21"/>
          <w:szCs w:val="21"/>
          <w:lang w:val="es-ES_tradnl"/>
        </w:rPr>
        <w:t>, quien declarará sobre</w:t>
      </w:r>
      <w:r w:rsidR="004038EF" w:rsidRPr="002D1737">
        <w:rPr>
          <w:rFonts w:ascii="Cambria" w:hAnsi="Cambria"/>
          <w:iCs/>
          <w:sz w:val="21"/>
          <w:szCs w:val="21"/>
          <w:lang w:val="es-ES_tradnl"/>
        </w:rPr>
        <w:t xml:space="preserve"> el consentimiento</w:t>
      </w:r>
      <w:r w:rsidR="009E212E" w:rsidRPr="002D1737">
        <w:rPr>
          <w:rFonts w:ascii="Cambria" w:hAnsi="Cambria"/>
          <w:iCs/>
          <w:sz w:val="21"/>
          <w:szCs w:val="21"/>
          <w:lang w:val="es-ES_tradnl"/>
        </w:rPr>
        <w:t xml:space="preserve"> informado en materia de salud y sus implicaciones en el derecho internacional de los derechos humanos. Asimismo, el/la perito/a se referirá a la responsabilidad estatal derivada de </w:t>
      </w:r>
      <w:r w:rsidR="00205ADC" w:rsidRPr="002D1737">
        <w:rPr>
          <w:rFonts w:ascii="Cambria" w:hAnsi="Cambria"/>
          <w:iCs/>
          <w:sz w:val="21"/>
          <w:szCs w:val="21"/>
          <w:lang w:val="es-ES_tradnl"/>
        </w:rPr>
        <w:t xml:space="preserve">atenciones </w:t>
      </w:r>
      <w:r w:rsidR="00DE50EA" w:rsidRPr="002D1737">
        <w:rPr>
          <w:rFonts w:ascii="Cambria" w:hAnsi="Cambria"/>
          <w:iCs/>
          <w:sz w:val="21"/>
          <w:szCs w:val="21"/>
          <w:lang w:val="es-ES_tradnl"/>
        </w:rPr>
        <w:t xml:space="preserve">inadecuadas en salud en hospitales públicos, incluyendo supuestos de deficiencias estructurales en dichos hospitales. El/la perito/a </w:t>
      </w:r>
      <w:r w:rsidR="0050622E" w:rsidRPr="002D1737">
        <w:rPr>
          <w:rFonts w:ascii="Cambria" w:hAnsi="Cambria"/>
          <w:iCs/>
          <w:sz w:val="21"/>
          <w:szCs w:val="21"/>
          <w:lang w:val="es-ES_tradnl"/>
        </w:rPr>
        <w:t>también decla</w:t>
      </w:r>
      <w:r w:rsidR="00E476AF" w:rsidRPr="002D1737">
        <w:rPr>
          <w:rFonts w:ascii="Cambria" w:hAnsi="Cambria"/>
          <w:iCs/>
          <w:sz w:val="21"/>
          <w:szCs w:val="21"/>
          <w:lang w:val="es-ES_tradnl"/>
        </w:rPr>
        <w:t>ra</w:t>
      </w:r>
      <w:r w:rsidR="0050622E" w:rsidRPr="002D1737">
        <w:rPr>
          <w:rFonts w:ascii="Cambria" w:hAnsi="Cambria"/>
          <w:iCs/>
          <w:sz w:val="21"/>
          <w:szCs w:val="21"/>
          <w:lang w:val="es-ES_tradnl"/>
        </w:rPr>
        <w:t xml:space="preserve">rá sobre el deber de </w:t>
      </w:r>
      <w:r w:rsidR="00FD38AC" w:rsidRPr="002D1737">
        <w:rPr>
          <w:rFonts w:ascii="Cambria" w:hAnsi="Cambria"/>
          <w:iCs/>
          <w:sz w:val="21"/>
          <w:szCs w:val="21"/>
          <w:lang w:val="es-ES_tradnl"/>
        </w:rPr>
        <w:t xml:space="preserve">investigar y proveer un recurso efectivo frente a la omisión de obtener el consentimiento informado en materia de salud, </w:t>
      </w:r>
      <w:r w:rsidR="004B4C77" w:rsidRPr="002D1737">
        <w:rPr>
          <w:rFonts w:ascii="Cambria" w:hAnsi="Cambria"/>
          <w:iCs/>
          <w:sz w:val="21"/>
          <w:szCs w:val="21"/>
          <w:lang w:val="es-ES_tradnl"/>
        </w:rPr>
        <w:t xml:space="preserve">así </w:t>
      </w:r>
      <w:r w:rsidR="00FD38AC" w:rsidRPr="002D1737">
        <w:rPr>
          <w:rFonts w:ascii="Cambria" w:hAnsi="Cambria"/>
          <w:iCs/>
          <w:sz w:val="21"/>
          <w:szCs w:val="21"/>
          <w:lang w:val="es-ES_tradnl"/>
        </w:rPr>
        <w:t xml:space="preserve">como frente a una atención deficiente en materia de salud, especialmente cuando existe en resultado mortal. </w:t>
      </w:r>
    </w:p>
    <w:p w14:paraId="6ED3AAA5" w14:textId="77777777" w:rsidR="00D44E93" w:rsidRPr="002D1737" w:rsidRDefault="00D44E93" w:rsidP="00D44E93">
      <w:pPr>
        <w:tabs>
          <w:tab w:val="left" w:pos="810"/>
        </w:tabs>
        <w:spacing w:after="0" w:line="240" w:lineRule="auto"/>
        <w:jc w:val="both"/>
        <w:rPr>
          <w:rFonts w:ascii="Cambria" w:hAnsi="Cambria"/>
          <w:iCs/>
          <w:sz w:val="21"/>
          <w:szCs w:val="21"/>
          <w:lang w:val="es-ES_tradnl"/>
        </w:rPr>
      </w:pPr>
    </w:p>
    <w:p w14:paraId="494675ED" w14:textId="184E466F" w:rsidR="00D44E93" w:rsidRPr="002D1737" w:rsidRDefault="00D44E93" w:rsidP="00D44E93">
      <w:pPr>
        <w:tabs>
          <w:tab w:val="left" w:pos="0"/>
          <w:tab w:val="left" w:pos="810"/>
        </w:tabs>
        <w:spacing w:after="0" w:line="240" w:lineRule="auto"/>
        <w:ind w:firstLine="720"/>
        <w:jc w:val="both"/>
        <w:rPr>
          <w:rFonts w:ascii="Cambria" w:hAnsi="Cambria"/>
          <w:sz w:val="21"/>
          <w:szCs w:val="21"/>
          <w:lang w:val="es-CO"/>
        </w:rPr>
      </w:pPr>
      <w:r w:rsidRPr="002D1737">
        <w:rPr>
          <w:rFonts w:ascii="Cambria" w:hAnsi="Cambria"/>
          <w:sz w:val="21"/>
          <w:szCs w:val="21"/>
          <w:lang w:val="es-AR"/>
        </w:rPr>
        <w:t>El CV del/la perito/</w:t>
      </w:r>
      <w:proofErr w:type="spellStart"/>
      <w:r w:rsidRPr="002D1737">
        <w:rPr>
          <w:rFonts w:ascii="Cambria" w:hAnsi="Cambria"/>
          <w:sz w:val="21"/>
          <w:szCs w:val="21"/>
          <w:lang w:val="es-AR"/>
        </w:rPr>
        <w:t>a</w:t>
      </w:r>
      <w:proofErr w:type="spellEnd"/>
      <w:r w:rsidRPr="002D1737">
        <w:rPr>
          <w:rFonts w:ascii="Cambria" w:hAnsi="Cambria"/>
          <w:sz w:val="21"/>
          <w:szCs w:val="21"/>
          <w:lang w:val="es-AR"/>
        </w:rPr>
        <w:t xml:space="preserve"> ofrecido/a </w:t>
      </w:r>
      <w:r w:rsidRPr="002D1737">
        <w:rPr>
          <w:rFonts w:ascii="Cambria" w:hAnsi="Cambria"/>
          <w:sz w:val="21"/>
          <w:szCs w:val="21"/>
          <w:lang w:val="es-CO"/>
        </w:rPr>
        <w:t xml:space="preserve">serán incluidos en los anexos al informe de fondo </w:t>
      </w:r>
      <w:r w:rsidR="0096152D" w:rsidRPr="002D1737">
        <w:rPr>
          <w:rFonts w:ascii="Cambria" w:hAnsi="Cambria"/>
          <w:sz w:val="21"/>
          <w:szCs w:val="21"/>
          <w:lang w:val="es-CO"/>
        </w:rPr>
        <w:t>1</w:t>
      </w:r>
      <w:r w:rsidRPr="002D1737">
        <w:rPr>
          <w:rFonts w:ascii="Cambria" w:hAnsi="Cambria"/>
          <w:sz w:val="21"/>
          <w:szCs w:val="21"/>
          <w:lang w:val="es-CO"/>
        </w:rPr>
        <w:t xml:space="preserve">/16. </w:t>
      </w:r>
    </w:p>
    <w:p w14:paraId="2F26D3D9" w14:textId="77777777" w:rsidR="00D44E93" w:rsidRPr="002D1737" w:rsidRDefault="00D44E93" w:rsidP="00D44E93">
      <w:pPr>
        <w:tabs>
          <w:tab w:val="left" w:pos="0"/>
          <w:tab w:val="left" w:pos="810"/>
        </w:tabs>
        <w:spacing w:after="0" w:line="240" w:lineRule="auto"/>
        <w:jc w:val="both"/>
        <w:rPr>
          <w:rFonts w:ascii="Cambria" w:hAnsi="Cambria"/>
          <w:sz w:val="21"/>
          <w:szCs w:val="21"/>
          <w:lang w:val="es-CO"/>
        </w:rPr>
      </w:pPr>
    </w:p>
    <w:p w14:paraId="7F9A01FF" w14:textId="77777777" w:rsidR="00D44E93" w:rsidRPr="002D1737" w:rsidRDefault="00D44E93" w:rsidP="00D44E93">
      <w:pPr>
        <w:tabs>
          <w:tab w:val="left" w:pos="0"/>
          <w:tab w:val="left" w:pos="810"/>
        </w:tabs>
        <w:spacing w:after="0" w:line="240" w:lineRule="auto"/>
        <w:ind w:firstLine="720"/>
        <w:jc w:val="both"/>
        <w:rPr>
          <w:rFonts w:ascii="Cambria" w:hAnsi="Cambria"/>
          <w:sz w:val="21"/>
          <w:szCs w:val="21"/>
          <w:lang w:val="es-CO"/>
        </w:rPr>
      </w:pPr>
      <w:r w:rsidRPr="002D1737">
        <w:rPr>
          <w:rFonts w:ascii="Cambria" w:hAnsi="Cambria"/>
          <w:sz w:val="21"/>
          <w:szCs w:val="21"/>
          <w:lang w:val="es-ES_tradnl"/>
        </w:rPr>
        <w:t xml:space="preserve">La Comisión pone en conocimiento de la Corte la siguiente información sobre quienes actuaron como peticionarios a lo largo del trámite del caso: </w:t>
      </w:r>
    </w:p>
    <w:p w14:paraId="524B8F7E" w14:textId="77777777" w:rsidR="00D44E93" w:rsidRPr="002D1737" w:rsidRDefault="00D44E93" w:rsidP="00D44E93">
      <w:pPr>
        <w:widowControl w:val="0"/>
        <w:tabs>
          <w:tab w:val="left" w:pos="810"/>
        </w:tabs>
        <w:autoSpaceDE w:val="0"/>
        <w:autoSpaceDN w:val="0"/>
        <w:adjustRightInd w:val="0"/>
        <w:spacing w:after="0" w:line="240" w:lineRule="auto"/>
        <w:jc w:val="center"/>
        <w:rPr>
          <w:rFonts w:ascii="Cambria" w:eastAsia="Times New Roman" w:hAnsi="Cambria" w:cs="Tahoma"/>
          <w:sz w:val="21"/>
          <w:szCs w:val="21"/>
          <w:lang w:val="es-ES" w:bidi="en-US"/>
        </w:rPr>
      </w:pPr>
    </w:p>
    <w:p w14:paraId="37CCB85B" w14:textId="746432E4" w:rsidR="00D44E93" w:rsidRDefault="0081015C" w:rsidP="00D44E93">
      <w:pPr>
        <w:tabs>
          <w:tab w:val="left" w:pos="810"/>
        </w:tabs>
        <w:autoSpaceDE w:val="0"/>
        <w:autoSpaceDN w:val="0"/>
        <w:adjustRightInd w:val="0"/>
        <w:spacing w:after="0" w:line="240" w:lineRule="auto"/>
        <w:jc w:val="center"/>
        <w:rPr>
          <w:rFonts w:ascii="Cambria" w:hAnsi="Cambria"/>
          <w:sz w:val="21"/>
          <w:szCs w:val="21"/>
          <w:lang w:val="es-ES"/>
        </w:rPr>
      </w:pPr>
      <w:r>
        <w:rPr>
          <w:rFonts w:ascii="Cambria" w:hAnsi="Cambria"/>
          <w:sz w:val="21"/>
          <w:szCs w:val="21"/>
          <w:lang w:val="es-ES"/>
        </w:rPr>
        <w:t>Vinicio Poblete (hijo)</w:t>
      </w:r>
    </w:p>
    <w:p w14:paraId="2572A24B" w14:textId="4963E295" w:rsidR="0081015C" w:rsidRDefault="007E46B6" w:rsidP="00D44E93">
      <w:pPr>
        <w:tabs>
          <w:tab w:val="left" w:pos="810"/>
        </w:tabs>
        <w:autoSpaceDE w:val="0"/>
        <w:autoSpaceDN w:val="0"/>
        <w:adjustRightInd w:val="0"/>
        <w:spacing w:after="0" w:line="240" w:lineRule="auto"/>
        <w:jc w:val="center"/>
        <w:rPr>
          <w:rFonts w:ascii="Cambria" w:hAnsi="Cambria"/>
          <w:sz w:val="21"/>
          <w:szCs w:val="21"/>
          <w:lang w:val="es-ES"/>
        </w:rPr>
      </w:pPr>
      <w:proofErr w:type="spellStart"/>
      <w:proofErr w:type="gramStart"/>
      <w:r w:rsidRPr="007E46B6">
        <w:rPr>
          <w:rFonts w:ascii="Cambria" w:hAnsi="Cambria"/>
          <w:sz w:val="21"/>
          <w:szCs w:val="21"/>
          <w:highlight w:val="black"/>
          <w:lang w:val="es-ES"/>
        </w:rPr>
        <w:t>xxxxxxxxxxxxxxxxxxxxxxxxxxxxxxxxxxxxxxxxxx</w:t>
      </w:r>
      <w:proofErr w:type="spellEnd"/>
      <w:proofErr w:type="gramEnd"/>
    </w:p>
    <w:p w14:paraId="1B1E0F69" w14:textId="77777777" w:rsidR="00A36BEF" w:rsidRPr="00A36BEF" w:rsidRDefault="00A36BEF" w:rsidP="00D44E93">
      <w:pPr>
        <w:tabs>
          <w:tab w:val="left" w:pos="810"/>
        </w:tabs>
        <w:autoSpaceDE w:val="0"/>
        <w:autoSpaceDN w:val="0"/>
        <w:adjustRightInd w:val="0"/>
        <w:spacing w:after="0" w:line="240" w:lineRule="auto"/>
        <w:jc w:val="center"/>
        <w:rPr>
          <w:rFonts w:ascii="Cambria" w:hAnsi="Cambria"/>
          <w:sz w:val="16"/>
          <w:szCs w:val="16"/>
          <w:lang w:val="es-ES"/>
        </w:rPr>
      </w:pPr>
    </w:p>
    <w:p w14:paraId="06013256" w14:textId="319213EE" w:rsidR="0081015C" w:rsidRDefault="0081015C" w:rsidP="00D44E93">
      <w:pPr>
        <w:tabs>
          <w:tab w:val="left" w:pos="810"/>
        </w:tabs>
        <w:autoSpaceDE w:val="0"/>
        <w:autoSpaceDN w:val="0"/>
        <w:adjustRightInd w:val="0"/>
        <w:spacing w:after="0" w:line="240" w:lineRule="auto"/>
        <w:jc w:val="center"/>
        <w:rPr>
          <w:rFonts w:ascii="Cambria" w:hAnsi="Cambria"/>
          <w:sz w:val="21"/>
          <w:szCs w:val="21"/>
          <w:lang w:val="es-ES"/>
        </w:rPr>
      </w:pPr>
      <w:r>
        <w:rPr>
          <w:rFonts w:ascii="Cambria" w:hAnsi="Cambria"/>
          <w:sz w:val="21"/>
          <w:szCs w:val="21"/>
          <w:lang w:val="es-ES"/>
        </w:rPr>
        <w:t xml:space="preserve">Nicolás </w:t>
      </w:r>
      <w:proofErr w:type="spellStart"/>
      <w:r>
        <w:rPr>
          <w:rFonts w:ascii="Cambria" w:hAnsi="Cambria"/>
          <w:sz w:val="21"/>
          <w:szCs w:val="21"/>
          <w:lang w:val="es-ES"/>
        </w:rPr>
        <w:t>Daneri</w:t>
      </w:r>
      <w:proofErr w:type="spellEnd"/>
      <w:r>
        <w:rPr>
          <w:rFonts w:ascii="Cambria" w:hAnsi="Cambria"/>
          <w:sz w:val="21"/>
          <w:szCs w:val="21"/>
          <w:lang w:val="es-ES"/>
        </w:rPr>
        <w:t xml:space="preserve"> </w:t>
      </w:r>
      <w:proofErr w:type="spellStart"/>
      <w:r>
        <w:rPr>
          <w:rFonts w:ascii="Cambria" w:hAnsi="Cambria"/>
          <w:sz w:val="21"/>
          <w:szCs w:val="21"/>
          <w:lang w:val="es-ES"/>
        </w:rPr>
        <w:t>Bascuñan</w:t>
      </w:r>
      <w:proofErr w:type="spellEnd"/>
    </w:p>
    <w:p w14:paraId="454D0A37" w14:textId="201E176E" w:rsidR="00A36BEF" w:rsidRPr="009C1C74" w:rsidRDefault="007E46B6" w:rsidP="00D44E93">
      <w:pPr>
        <w:tabs>
          <w:tab w:val="left" w:pos="810"/>
        </w:tabs>
        <w:autoSpaceDE w:val="0"/>
        <w:autoSpaceDN w:val="0"/>
        <w:adjustRightInd w:val="0"/>
        <w:spacing w:after="0" w:line="240" w:lineRule="auto"/>
        <w:jc w:val="center"/>
        <w:rPr>
          <w:rFonts w:ascii="Cambria" w:hAnsi="Cambria"/>
          <w:sz w:val="21"/>
          <w:szCs w:val="21"/>
          <w:lang w:val="es-PE"/>
        </w:rPr>
      </w:pPr>
      <w:proofErr w:type="spellStart"/>
      <w:proofErr w:type="gramStart"/>
      <w:r w:rsidRPr="007E46B6">
        <w:rPr>
          <w:rFonts w:ascii="Cambria" w:hAnsi="Cambria"/>
          <w:sz w:val="21"/>
          <w:szCs w:val="21"/>
          <w:highlight w:val="black"/>
          <w:lang w:val="es-PE"/>
        </w:rPr>
        <w:t>xxxxxxxxxxxxxxxxxxxxxxxxxxxxxxxxxxxxxxxxxxx</w:t>
      </w:r>
      <w:proofErr w:type="spellEnd"/>
      <w:proofErr w:type="gramEnd"/>
    </w:p>
    <w:p w14:paraId="43C93DE5" w14:textId="77777777" w:rsidR="00D44E93" w:rsidRPr="009C1C74" w:rsidRDefault="00D44E93" w:rsidP="00D44E93">
      <w:pPr>
        <w:tabs>
          <w:tab w:val="left" w:pos="810"/>
        </w:tabs>
        <w:autoSpaceDE w:val="0"/>
        <w:autoSpaceDN w:val="0"/>
        <w:adjustRightInd w:val="0"/>
        <w:spacing w:after="0" w:line="240" w:lineRule="auto"/>
        <w:jc w:val="center"/>
        <w:rPr>
          <w:rFonts w:ascii="Cambria" w:hAnsi="Cambria"/>
          <w:sz w:val="21"/>
          <w:szCs w:val="21"/>
          <w:lang w:val="es-PE"/>
        </w:rPr>
      </w:pPr>
    </w:p>
    <w:p w14:paraId="1A5854EF" w14:textId="77777777" w:rsidR="00D44E93" w:rsidRPr="002D1737" w:rsidRDefault="00D44E93" w:rsidP="00D44E93">
      <w:pPr>
        <w:tabs>
          <w:tab w:val="left" w:pos="0"/>
          <w:tab w:val="left" w:pos="810"/>
        </w:tabs>
        <w:spacing w:after="0" w:line="240" w:lineRule="auto"/>
        <w:ind w:firstLine="720"/>
        <w:jc w:val="both"/>
        <w:rPr>
          <w:rFonts w:ascii="Cambria" w:hAnsi="Cambria" w:cs="Arial"/>
          <w:sz w:val="21"/>
          <w:szCs w:val="21"/>
          <w:lang w:val="es-CO"/>
        </w:rPr>
      </w:pPr>
      <w:r w:rsidRPr="002D1737">
        <w:rPr>
          <w:rFonts w:ascii="Cambria" w:hAnsi="Cambria" w:cs="Arial"/>
          <w:sz w:val="21"/>
          <w:szCs w:val="21"/>
          <w:lang w:val="es-CO"/>
        </w:rPr>
        <w:t>Aprovecho la oportunidad para saludar a usted muy atentamente,</w:t>
      </w:r>
    </w:p>
    <w:p w14:paraId="49BF0707" w14:textId="77777777" w:rsidR="00D44E93" w:rsidRPr="002D1737" w:rsidRDefault="00D44E93" w:rsidP="00D44E93">
      <w:pPr>
        <w:tabs>
          <w:tab w:val="left" w:pos="810"/>
        </w:tabs>
        <w:suppressAutoHyphens/>
        <w:spacing w:after="0" w:line="240" w:lineRule="auto"/>
        <w:rPr>
          <w:rFonts w:ascii="Cambria" w:hAnsi="Cambria" w:cs="Arial"/>
          <w:snapToGrid w:val="0"/>
          <w:sz w:val="21"/>
          <w:szCs w:val="21"/>
          <w:lang w:val="es-CO"/>
        </w:rPr>
      </w:pPr>
    </w:p>
    <w:p w14:paraId="407D65D8" w14:textId="77777777" w:rsidR="00D44E93" w:rsidRDefault="00D44E93" w:rsidP="00D44E93">
      <w:pPr>
        <w:tabs>
          <w:tab w:val="left" w:pos="810"/>
        </w:tabs>
        <w:suppressAutoHyphens/>
        <w:spacing w:after="0" w:line="240" w:lineRule="auto"/>
        <w:rPr>
          <w:rFonts w:ascii="Cambria" w:hAnsi="Cambria" w:cs="Arial"/>
          <w:snapToGrid w:val="0"/>
          <w:sz w:val="21"/>
          <w:szCs w:val="21"/>
          <w:lang w:val="es-CO"/>
        </w:rPr>
      </w:pPr>
    </w:p>
    <w:p w14:paraId="75438AE3" w14:textId="77777777" w:rsidR="002D1737" w:rsidRDefault="002D1737" w:rsidP="00D44E93">
      <w:pPr>
        <w:tabs>
          <w:tab w:val="left" w:pos="810"/>
        </w:tabs>
        <w:suppressAutoHyphens/>
        <w:spacing w:after="0" w:line="240" w:lineRule="auto"/>
        <w:rPr>
          <w:rFonts w:ascii="Cambria" w:hAnsi="Cambria" w:cs="Arial"/>
          <w:snapToGrid w:val="0"/>
          <w:sz w:val="21"/>
          <w:szCs w:val="21"/>
          <w:lang w:val="es-CO"/>
        </w:rPr>
      </w:pPr>
    </w:p>
    <w:p w14:paraId="3B340D0B" w14:textId="77777777" w:rsidR="002D1737" w:rsidRPr="002D1737" w:rsidRDefault="002D1737" w:rsidP="00D44E93">
      <w:pPr>
        <w:tabs>
          <w:tab w:val="left" w:pos="810"/>
        </w:tabs>
        <w:suppressAutoHyphens/>
        <w:spacing w:after="0" w:line="240" w:lineRule="auto"/>
        <w:rPr>
          <w:rFonts w:ascii="Cambria" w:hAnsi="Cambria" w:cs="Arial"/>
          <w:snapToGrid w:val="0"/>
          <w:sz w:val="21"/>
          <w:szCs w:val="21"/>
          <w:lang w:val="es-CO"/>
        </w:rPr>
      </w:pPr>
    </w:p>
    <w:p w14:paraId="25B8E231" w14:textId="42F7039A" w:rsidR="00D44E93" w:rsidRPr="007E46B6" w:rsidRDefault="007E46B6" w:rsidP="00D44E93">
      <w:pPr>
        <w:tabs>
          <w:tab w:val="left" w:pos="810"/>
        </w:tabs>
        <w:suppressAutoHyphens/>
        <w:spacing w:after="0" w:line="240" w:lineRule="auto"/>
        <w:rPr>
          <w:rFonts w:ascii="Cambria" w:hAnsi="Cambria" w:cs="Arial"/>
          <w:snapToGrid w:val="0"/>
          <w:color w:val="A6A6A6" w:themeColor="background1" w:themeShade="A6"/>
          <w:sz w:val="20"/>
          <w:szCs w:val="21"/>
          <w:lang w:val="es-CO"/>
        </w:rPr>
      </w:pPr>
      <w:r>
        <w:rPr>
          <w:rFonts w:ascii="Cambria" w:hAnsi="Cambria" w:cs="Arial"/>
          <w:snapToGrid w:val="0"/>
          <w:color w:val="A6A6A6" w:themeColor="background1" w:themeShade="A6"/>
          <w:sz w:val="20"/>
          <w:szCs w:val="21"/>
          <w:lang w:val="es-CO"/>
        </w:rPr>
        <w:tab/>
      </w:r>
      <w:r>
        <w:rPr>
          <w:rFonts w:ascii="Cambria" w:hAnsi="Cambria" w:cs="Arial"/>
          <w:snapToGrid w:val="0"/>
          <w:color w:val="A6A6A6" w:themeColor="background1" w:themeShade="A6"/>
          <w:sz w:val="20"/>
          <w:szCs w:val="21"/>
          <w:lang w:val="es-CO"/>
        </w:rPr>
        <w:tab/>
      </w:r>
      <w:r>
        <w:rPr>
          <w:rFonts w:ascii="Cambria" w:hAnsi="Cambria" w:cs="Arial"/>
          <w:snapToGrid w:val="0"/>
          <w:color w:val="A6A6A6" w:themeColor="background1" w:themeShade="A6"/>
          <w:sz w:val="20"/>
          <w:szCs w:val="21"/>
          <w:lang w:val="es-CO"/>
        </w:rPr>
        <w:tab/>
      </w:r>
      <w:r>
        <w:rPr>
          <w:rFonts w:ascii="Cambria" w:hAnsi="Cambria" w:cs="Arial"/>
          <w:snapToGrid w:val="0"/>
          <w:color w:val="A6A6A6" w:themeColor="background1" w:themeShade="A6"/>
          <w:sz w:val="20"/>
          <w:szCs w:val="21"/>
          <w:lang w:val="es-CO"/>
        </w:rPr>
        <w:tab/>
      </w:r>
      <w:r>
        <w:rPr>
          <w:rFonts w:ascii="Cambria" w:hAnsi="Cambria" w:cs="Arial"/>
          <w:snapToGrid w:val="0"/>
          <w:color w:val="A6A6A6" w:themeColor="background1" w:themeShade="A6"/>
          <w:sz w:val="20"/>
          <w:szCs w:val="21"/>
          <w:lang w:val="es-CO"/>
        </w:rPr>
        <w:tab/>
      </w:r>
      <w:r>
        <w:rPr>
          <w:rFonts w:ascii="Cambria" w:hAnsi="Cambria" w:cs="Arial"/>
          <w:snapToGrid w:val="0"/>
          <w:color w:val="A6A6A6" w:themeColor="background1" w:themeShade="A6"/>
          <w:sz w:val="20"/>
          <w:szCs w:val="21"/>
          <w:lang w:val="es-CO"/>
        </w:rPr>
        <w:tab/>
        <w:t xml:space="preserve">       </w:t>
      </w:r>
      <w:r w:rsidRPr="007E46B6">
        <w:rPr>
          <w:rFonts w:ascii="Cambria" w:hAnsi="Cambria" w:cs="Arial"/>
          <w:snapToGrid w:val="0"/>
          <w:color w:val="A6A6A6" w:themeColor="background1" w:themeShade="A6"/>
          <w:sz w:val="20"/>
          <w:szCs w:val="21"/>
          <w:lang w:val="es-CO"/>
        </w:rPr>
        <w:t>Firmado en el original</w:t>
      </w:r>
    </w:p>
    <w:p w14:paraId="40CA39A8" w14:textId="77777777" w:rsidR="00D44E93" w:rsidRPr="002D1737" w:rsidRDefault="00D44E93" w:rsidP="00D44E93">
      <w:pPr>
        <w:tabs>
          <w:tab w:val="left" w:pos="810"/>
        </w:tabs>
        <w:suppressAutoHyphens/>
        <w:spacing w:after="0" w:line="240" w:lineRule="auto"/>
        <w:ind w:left="3600" w:firstLine="720"/>
        <w:rPr>
          <w:rFonts w:ascii="Cambria" w:hAnsi="Cambria" w:cs="Arial"/>
          <w:i/>
          <w:snapToGrid w:val="0"/>
          <w:color w:val="808080"/>
          <w:sz w:val="21"/>
          <w:szCs w:val="21"/>
          <w:lang w:val="es-CO"/>
        </w:rPr>
      </w:pPr>
      <w:r w:rsidRPr="002D1737">
        <w:rPr>
          <w:rFonts w:ascii="Cambria" w:hAnsi="Cambria" w:cs="Arial"/>
          <w:snapToGrid w:val="0"/>
          <w:sz w:val="21"/>
          <w:szCs w:val="21"/>
          <w:lang w:val="es-CO"/>
        </w:rPr>
        <w:tab/>
        <w:t>Paulo Abr</w:t>
      </w:r>
      <w:r w:rsidRPr="002D1737">
        <w:rPr>
          <w:rFonts w:ascii="Cambria" w:hAnsi="Cambria" w:cs="Arial"/>
          <w:snapToGrid w:val="0"/>
          <w:sz w:val="21"/>
          <w:szCs w:val="21"/>
          <w:lang w:val="pt-PT"/>
        </w:rPr>
        <w:t xml:space="preserve">ão </w:t>
      </w:r>
    </w:p>
    <w:p w14:paraId="2912C34A" w14:textId="77777777" w:rsidR="00D44E93" w:rsidRPr="002D1737" w:rsidRDefault="00D44E93" w:rsidP="00D44E93">
      <w:pPr>
        <w:tabs>
          <w:tab w:val="left" w:pos="810"/>
        </w:tabs>
        <w:suppressAutoHyphens/>
        <w:spacing w:after="0" w:line="240" w:lineRule="auto"/>
        <w:rPr>
          <w:rFonts w:ascii="Cambria" w:hAnsi="Cambria"/>
          <w:sz w:val="21"/>
          <w:szCs w:val="21"/>
          <w:lang w:val="es-CO"/>
        </w:rPr>
      </w:pPr>
      <w:r w:rsidRPr="002D1737">
        <w:rPr>
          <w:rFonts w:ascii="Cambria" w:hAnsi="Cambria" w:cs="Arial"/>
          <w:snapToGrid w:val="0"/>
          <w:sz w:val="21"/>
          <w:szCs w:val="21"/>
          <w:lang w:val="es-CO"/>
        </w:rPr>
        <w:t xml:space="preserve"> </w:t>
      </w:r>
      <w:r w:rsidRPr="002D1737">
        <w:rPr>
          <w:rFonts w:ascii="Cambria" w:hAnsi="Cambria" w:cs="Arial"/>
          <w:snapToGrid w:val="0"/>
          <w:sz w:val="21"/>
          <w:szCs w:val="21"/>
          <w:lang w:val="es-CO"/>
        </w:rPr>
        <w:tab/>
      </w:r>
      <w:r w:rsidRPr="002D1737">
        <w:rPr>
          <w:rFonts w:ascii="Cambria" w:hAnsi="Cambria" w:cs="Arial"/>
          <w:snapToGrid w:val="0"/>
          <w:sz w:val="21"/>
          <w:szCs w:val="21"/>
          <w:lang w:val="es-CO"/>
        </w:rPr>
        <w:tab/>
      </w:r>
      <w:r w:rsidRPr="002D1737">
        <w:rPr>
          <w:rFonts w:ascii="Cambria" w:hAnsi="Cambria" w:cs="Arial"/>
          <w:snapToGrid w:val="0"/>
          <w:sz w:val="21"/>
          <w:szCs w:val="21"/>
          <w:lang w:val="es-CO"/>
        </w:rPr>
        <w:tab/>
      </w:r>
      <w:r w:rsidRPr="002D1737">
        <w:rPr>
          <w:rFonts w:ascii="Cambria" w:hAnsi="Cambria" w:cs="Arial"/>
          <w:snapToGrid w:val="0"/>
          <w:sz w:val="21"/>
          <w:szCs w:val="21"/>
          <w:lang w:val="es-CO"/>
        </w:rPr>
        <w:tab/>
      </w:r>
      <w:r w:rsidRPr="002D1737">
        <w:rPr>
          <w:rFonts w:ascii="Cambria" w:hAnsi="Cambria" w:cs="Arial"/>
          <w:snapToGrid w:val="0"/>
          <w:sz w:val="21"/>
          <w:szCs w:val="21"/>
          <w:lang w:val="es-CO"/>
        </w:rPr>
        <w:tab/>
        <w:t xml:space="preserve">        </w:t>
      </w:r>
      <w:r w:rsidRPr="002D1737">
        <w:rPr>
          <w:rFonts w:ascii="Cambria" w:hAnsi="Cambria" w:cs="Arial"/>
          <w:snapToGrid w:val="0"/>
          <w:sz w:val="21"/>
          <w:szCs w:val="21"/>
          <w:lang w:val="es-CO"/>
        </w:rPr>
        <w:tab/>
        <w:t xml:space="preserve">        Secretario Ejecutivo </w:t>
      </w:r>
    </w:p>
    <w:p w14:paraId="4FDABEE1" w14:textId="77777777" w:rsidR="00D44E93" w:rsidRDefault="00D44E93" w:rsidP="00D44E93">
      <w:pPr>
        <w:tabs>
          <w:tab w:val="left" w:pos="810"/>
        </w:tabs>
        <w:suppressAutoHyphens/>
        <w:spacing w:after="0" w:line="240" w:lineRule="auto"/>
        <w:jc w:val="both"/>
        <w:rPr>
          <w:rFonts w:ascii="Cambria" w:hAnsi="Cambria"/>
          <w:sz w:val="21"/>
          <w:szCs w:val="21"/>
          <w:lang w:val="es-CO"/>
        </w:rPr>
      </w:pPr>
    </w:p>
    <w:p w14:paraId="56E52C19" w14:textId="77777777" w:rsidR="002D1737" w:rsidRDefault="002D1737" w:rsidP="00D44E93">
      <w:pPr>
        <w:tabs>
          <w:tab w:val="left" w:pos="810"/>
        </w:tabs>
        <w:suppressAutoHyphens/>
        <w:spacing w:after="0" w:line="240" w:lineRule="auto"/>
        <w:jc w:val="both"/>
        <w:rPr>
          <w:rFonts w:ascii="Cambria" w:hAnsi="Cambria"/>
          <w:sz w:val="21"/>
          <w:szCs w:val="21"/>
          <w:lang w:val="es-CO"/>
        </w:rPr>
      </w:pPr>
    </w:p>
    <w:p w14:paraId="2E39B097" w14:textId="76384AEC" w:rsidR="004D3279" w:rsidRPr="007E46B6" w:rsidRDefault="004D3279">
      <w:pPr>
        <w:rPr>
          <w:sz w:val="21"/>
          <w:szCs w:val="21"/>
          <w:lang w:val="es-UY"/>
        </w:rPr>
      </w:pPr>
      <w:r w:rsidRPr="007E46B6">
        <w:rPr>
          <w:sz w:val="21"/>
          <w:szCs w:val="21"/>
          <w:lang w:val="es-UY"/>
        </w:rPr>
        <w:t>Anexo</w:t>
      </w:r>
    </w:p>
    <w:sectPr w:rsidR="004D3279" w:rsidRPr="007E46B6" w:rsidSect="00C0279B">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81977" w14:textId="77777777" w:rsidR="00B97690" w:rsidRDefault="00B97690" w:rsidP="00D44E93">
      <w:pPr>
        <w:spacing w:after="0" w:line="240" w:lineRule="auto"/>
      </w:pPr>
      <w:r>
        <w:separator/>
      </w:r>
    </w:p>
  </w:endnote>
  <w:endnote w:type="continuationSeparator" w:id="0">
    <w:p w14:paraId="3D606CB3" w14:textId="77777777" w:rsidR="00B97690" w:rsidRDefault="00B97690" w:rsidP="00D4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Antiqua">
    <w:charset w:val="00"/>
    <w:family w:val="auto"/>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6CA8D" w14:textId="77777777" w:rsidR="00C0279B" w:rsidRPr="00A72869" w:rsidRDefault="005B509B">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7E46B6">
      <w:rPr>
        <w:noProof/>
        <w:color w:val="7F7F7F"/>
        <w:sz w:val="16"/>
      </w:rPr>
      <w:t>2</w:t>
    </w:r>
    <w:r w:rsidRPr="00A72869">
      <w:rPr>
        <w:noProof/>
        <w:color w:val="7F7F7F"/>
        <w:sz w:val="16"/>
      </w:rPr>
      <w:fldChar w:fldCharType="end"/>
    </w:r>
  </w:p>
  <w:p w14:paraId="5085307B" w14:textId="77777777" w:rsidR="00C0279B" w:rsidRDefault="00B97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ECCC" w14:textId="77777777" w:rsidR="00C0279B" w:rsidRDefault="00B97690" w:rsidP="00C0279B">
    <w:pPr>
      <w:pStyle w:val="Footer"/>
      <w:spacing w:line="360" w:lineRule="auto"/>
    </w:pPr>
    <w:r>
      <w:pict w14:anchorId="36557914">
        <v:rect id="_x0000_i1027" style="width:0;height:1.5pt" o:hralign="center" o:hrstd="t" o:hr="t" fillcolor="#a0a0a0" stroked="f"/>
      </w:pict>
    </w:r>
  </w:p>
  <w:p w14:paraId="427626AD" w14:textId="77777777" w:rsidR="00C0279B" w:rsidRDefault="00D44E93" w:rsidP="00C0279B">
    <w:pPr>
      <w:pStyle w:val="Footer"/>
      <w:jc w:val="center"/>
    </w:pPr>
    <w:r w:rsidRPr="008A5CB5">
      <w:rPr>
        <w:noProof/>
        <w:lang w:val="es-UY" w:eastAsia="es-UY"/>
      </w:rPr>
      <w:drawing>
        <wp:inline distT="0" distB="0" distL="0" distR="0" wp14:anchorId="0812BB9A" wp14:editId="51B3B36C">
          <wp:extent cx="5118100" cy="317500"/>
          <wp:effectExtent l="0" t="0" r="12700" b="12700"/>
          <wp:docPr id="1"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80C32" w14:textId="77777777" w:rsidR="00B97690" w:rsidRDefault="00B97690" w:rsidP="00D44E93">
      <w:pPr>
        <w:spacing w:after="0" w:line="240" w:lineRule="auto"/>
      </w:pPr>
      <w:r>
        <w:separator/>
      </w:r>
    </w:p>
  </w:footnote>
  <w:footnote w:type="continuationSeparator" w:id="0">
    <w:p w14:paraId="1DDB50A8" w14:textId="77777777" w:rsidR="00B97690" w:rsidRDefault="00B97690" w:rsidP="00D44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63CA6" w14:textId="77777777" w:rsidR="00C0279B" w:rsidRPr="0058688A" w:rsidRDefault="00D44E93" w:rsidP="00C0279B">
    <w:pPr>
      <w:pStyle w:val="Header"/>
      <w:jc w:val="center"/>
      <w:rPr>
        <w:lang w:val="es-ES_tradnl"/>
      </w:rPr>
    </w:pPr>
    <w:r>
      <w:rPr>
        <w:noProof/>
        <w:lang w:val="es-UY" w:eastAsia="es-UY"/>
      </w:rPr>
      <w:drawing>
        <wp:inline distT="0" distB="0" distL="0" distR="0" wp14:anchorId="0AE987E7" wp14:editId="3C0F63E3">
          <wp:extent cx="2286000" cy="120650"/>
          <wp:effectExtent l="0" t="0" r="0" b="6350"/>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14:paraId="06417F8E" w14:textId="77777777" w:rsidR="00C0279B" w:rsidRDefault="00B97690">
    <w:pPr>
      <w:pStyle w:val="Header"/>
    </w:pPr>
    <w:r>
      <w:pict w14:anchorId="3577D36E">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517D" w14:textId="77777777" w:rsidR="00C0279B" w:rsidRDefault="00D44E93" w:rsidP="00C0279B">
    <w:pPr>
      <w:pStyle w:val="Header"/>
    </w:pPr>
    <w:r w:rsidRPr="008A5CB5">
      <w:rPr>
        <w:noProof/>
        <w:lang w:val="es-UY" w:eastAsia="es-UY"/>
      </w:rPr>
      <w:drawing>
        <wp:inline distT="0" distB="0" distL="0" distR="0" wp14:anchorId="50F7063D" wp14:editId="2FB745DA">
          <wp:extent cx="2349500" cy="457200"/>
          <wp:effectExtent l="0" t="0" r="12700" b="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rsidR="005B509B">
      <w:tab/>
    </w:r>
    <w:r w:rsidR="005B509B">
      <w:tab/>
    </w:r>
    <w:r w:rsidRPr="008A5CB5">
      <w:rPr>
        <w:noProof/>
        <w:lang w:val="es-UY" w:eastAsia="es-UY"/>
      </w:rPr>
      <w:drawing>
        <wp:inline distT="0" distB="0" distL="0" distR="0" wp14:anchorId="24FF810E" wp14:editId="7906CD26">
          <wp:extent cx="1644650" cy="476250"/>
          <wp:effectExtent l="0" t="0" r="6350" b="635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0" cy="476250"/>
                  </a:xfrm>
                  <a:prstGeom prst="rect">
                    <a:avLst/>
                  </a:prstGeom>
                  <a:noFill/>
                  <a:ln>
                    <a:noFill/>
                  </a:ln>
                </pic:spPr>
              </pic:pic>
            </a:graphicData>
          </a:graphic>
        </wp:inline>
      </w:drawing>
    </w:r>
  </w:p>
  <w:p w14:paraId="634E2444" w14:textId="77777777" w:rsidR="00C0279B" w:rsidRDefault="00B97690" w:rsidP="00C0279B">
    <w:pPr>
      <w:pStyle w:val="Header"/>
    </w:pPr>
  </w:p>
  <w:p w14:paraId="47D22848" w14:textId="77777777" w:rsidR="00C0279B" w:rsidRDefault="00B97690" w:rsidP="00C0279B">
    <w:pPr>
      <w:pStyle w:val="Header"/>
    </w:pPr>
    <w:r>
      <w:pict w14:anchorId="14F92D8F">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A7DE2"/>
    <w:multiLevelType w:val="hybridMultilevel"/>
    <w:tmpl w:val="5C886AE8"/>
    <w:lvl w:ilvl="0" w:tplc="B2804606">
      <w:start w:val="1"/>
      <w:numFmt w:val="decimal"/>
      <w:lvlText w:val="%1."/>
      <w:lvlJc w:val="left"/>
      <w:pPr>
        <w:tabs>
          <w:tab w:val="num" w:pos="1260"/>
        </w:tabs>
        <w:ind w:left="1260" w:hanging="360"/>
      </w:pPr>
      <w:rPr>
        <w:rFonts w:ascii="Cambria" w:hAnsi="Cambria" w:cs="Times New Roman" w:hint="default"/>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2E42F38"/>
    <w:multiLevelType w:val="hybridMultilevel"/>
    <w:tmpl w:val="9F7C06C8"/>
    <w:lvl w:ilvl="0" w:tplc="775EC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F720B6"/>
    <w:multiLevelType w:val="hybridMultilevel"/>
    <w:tmpl w:val="182A5870"/>
    <w:lvl w:ilvl="0" w:tplc="79C62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93"/>
    <w:rsid w:val="0005069F"/>
    <w:rsid w:val="00052E2D"/>
    <w:rsid w:val="000A0412"/>
    <w:rsid w:val="0011513C"/>
    <w:rsid w:val="00115C95"/>
    <w:rsid w:val="0013662E"/>
    <w:rsid w:val="001403D3"/>
    <w:rsid w:val="00173267"/>
    <w:rsid w:val="001A14DB"/>
    <w:rsid w:val="001E0A8D"/>
    <w:rsid w:val="001F0A24"/>
    <w:rsid w:val="00205ADC"/>
    <w:rsid w:val="002736A5"/>
    <w:rsid w:val="002C78D6"/>
    <w:rsid w:val="002D1737"/>
    <w:rsid w:val="002D24BD"/>
    <w:rsid w:val="002D59A8"/>
    <w:rsid w:val="002E4D56"/>
    <w:rsid w:val="002F2C05"/>
    <w:rsid w:val="00364122"/>
    <w:rsid w:val="00374A26"/>
    <w:rsid w:val="004038EF"/>
    <w:rsid w:val="00406BDE"/>
    <w:rsid w:val="00442F10"/>
    <w:rsid w:val="00455AB9"/>
    <w:rsid w:val="00470C2D"/>
    <w:rsid w:val="004B4C77"/>
    <w:rsid w:val="004C55B9"/>
    <w:rsid w:val="004C5DC1"/>
    <w:rsid w:val="004D3279"/>
    <w:rsid w:val="004F7DEE"/>
    <w:rsid w:val="005039AE"/>
    <w:rsid w:val="0050622E"/>
    <w:rsid w:val="0057586A"/>
    <w:rsid w:val="005B2CEA"/>
    <w:rsid w:val="005B509B"/>
    <w:rsid w:val="00633DEA"/>
    <w:rsid w:val="00641F17"/>
    <w:rsid w:val="00675F9A"/>
    <w:rsid w:val="006B5AFC"/>
    <w:rsid w:val="0070500C"/>
    <w:rsid w:val="007677F2"/>
    <w:rsid w:val="007739E0"/>
    <w:rsid w:val="007C5631"/>
    <w:rsid w:val="007E1917"/>
    <w:rsid w:val="007E46B6"/>
    <w:rsid w:val="0081015C"/>
    <w:rsid w:val="008215C1"/>
    <w:rsid w:val="00874704"/>
    <w:rsid w:val="00884920"/>
    <w:rsid w:val="008B7FE8"/>
    <w:rsid w:val="008F5E27"/>
    <w:rsid w:val="009067BA"/>
    <w:rsid w:val="00936B5E"/>
    <w:rsid w:val="0096152D"/>
    <w:rsid w:val="009B7888"/>
    <w:rsid w:val="009C1C74"/>
    <w:rsid w:val="009E212E"/>
    <w:rsid w:val="00A00714"/>
    <w:rsid w:val="00A16301"/>
    <w:rsid w:val="00A2020E"/>
    <w:rsid w:val="00A27C5C"/>
    <w:rsid w:val="00A36BEF"/>
    <w:rsid w:val="00A434EF"/>
    <w:rsid w:val="00A85B38"/>
    <w:rsid w:val="00AB5F3E"/>
    <w:rsid w:val="00B01DE4"/>
    <w:rsid w:val="00B277C9"/>
    <w:rsid w:val="00B467A0"/>
    <w:rsid w:val="00B54ACF"/>
    <w:rsid w:val="00B54F51"/>
    <w:rsid w:val="00B57E80"/>
    <w:rsid w:val="00B905FA"/>
    <w:rsid w:val="00B97690"/>
    <w:rsid w:val="00BE4A0F"/>
    <w:rsid w:val="00C039F5"/>
    <w:rsid w:val="00C552AA"/>
    <w:rsid w:val="00C919CB"/>
    <w:rsid w:val="00CF5541"/>
    <w:rsid w:val="00D414B7"/>
    <w:rsid w:val="00D44E93"/>
    <w:rsid w:val="00D45F97"/>
    <w:rsid w:val="00DC3F06"/>
    <w:rsid w:val="00DE50EA"/>
    <w:rsid w:val="00E14C08"/>
    <w:rsid w:val="00E210BB"/>
    <w:rsid w:val="00E373E6"/>
    <w:rsid w:val="00E476AF"/>
    <w:rsid w:val="00EC31BB"/>
    <w:rsid w:val="00EE0DFA"/>
    <w:rsid w:val="00EF16ED"/>
    <w:rsid w:val="00F0486D"/>
    <w:rsid w:val="00F30639"/>
    <w:rsid w:val="00FA535D"/>
    <w:rsid w:val="00FD38AC"/>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288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9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link w:val="ListParagraphChar"/>
    <w:uiPriority w:val="34"/>
    <w:qFormat/>
    <w:rsid w:val="00D44E93"/>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BodyText3">
    <w:name w:val="Body Text 3"/>
    <w:basedOn w:val="Normal"/>
    <w:link w:val="BodyText3Char"/>
    <w:rsid w:val="00D44E93"/>
    <w:pPr>
      <w:spacing w:after="120" w:line="240" w:lineRule="auto"/>
    </w:pPr>
    <w:rPr>
      <w:rFonts w:ascii="Times New Roman" w:eastAsia="Batang" w:hAnsi="Times New Roman"/>
      <w:sz w:val="16"/>
      <w:szCs w:val="16"/>
    </w:rPr>
  </w:style>
  <w:style w:type="character" w:customStyle="1" w:styleId="BodyText3Char">
    <w:name w:val="Body Text 3 Char"/>
    <w:basedOn w:val="DefaultParagraphFont"/>
    <w:link w:val="BodyText3"/>
    <w:rsid w:val="00D44E93"/>
    <w:rPr>
      <w:rFonts w:ascii="Times New Roman" w:eastAsia="Batang" w:hAnsi="Times New Roman" w:cs="Times New Roman"/>
      <w:sz w:val="16"/>
      <w:szCs w:val="16"/>
    </w:rPr>
  </w:style>
  <w:style w:type="character" w:customStyle="1" w:styleId="ListParagraphChar">
    <w:name w:val="List Paragraph Char"/>
    <w:aliases w:val="Colorful List - Accent 11 Char"/>
    <w:link w:val="ListParagraph"/>
    <w:uiPriority w:val="34"/>
    <w:locked/>
    <w:rsid w:val="00D44E93"/>
    <w:rPr>
      <w:rFonts w:ascii="Cambria" w:eastAsia="Cambria" w:hAnsi="Cambria" w:cs="Cambria"/>
      <w:color w:val="000000"/>
      <w:u w:color="000000"/>
      <w:bdr w:val="nil"/>
      <w:lang w:eastAsia="es-ES"/>
    </w:rPr>
  </w:style>
  <w:style w:type="paragraph" w:styleId="Header">
    <w:name w:val="header"/>
    <w:basedOn w:val="Normal"/>
    <w:link w:val="HeaderChar"/>
    <w:unhideWhenUsed/>
    <w:rsid w:val="00D44E93"/>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D44E93"/>
    <w:rPr>
      <w:rFonts w:ascii="Calibri" w:eastAsia="MS Mincho" w:hAnsi="Calibri" w:cs="Times New Roman"/>
      <w:sz w:val="22"/>
      <w:szCs w:val="22"/>
    </w:rPr>
  </w:style>
  <w:style w:type="paragraph" w:styleId="Footer">
    <w:name w:val="footer"/>
    <w:basedOn w:val="Normal"/>
    <w:link w:val="FooterChar"/>
    <w:unhideWhenUsed/>
    <w:rsid w:val="00D44E93"/>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D44E93"/>
    <w:rPr>
      <w:rFonts w:ascii="Calibri" w:eastAsia="MS Mincho" w:hAnsi="Calibri" w:cs="Times New Roman"/>
      <w:sz w:val="22"/>
      <w:szCs w:val="22"/>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nhideWhenUsed/>
    <w:rsid w:val="00D44E93"/>
    <w:rPr>
      <w:vertAlign w:val="superscript"/>
    </w:rPr>
  </w:style>
  <w:style w:type="paragraph" w:styleId="FootnoteText">
    <w:name w:val="footnote text"/>
    <w:basedOn w:val="Normal"/>
    <w:link w:val="FootnoteTextChar"/>
    <w:uiPriority w:val="99"/>
    <w:unhideWhenUsed/>
    <w:rsid w:val="00D44E93"/>
    <w:rPr>
      <w:sz w:val="24"/>
      <w:szCs w:val="24"/>
    </w:rPr>
  </w:style>
  <w:style w:type="character" w:customStyle="1" w:styleId="FootnoteTextChar">
    <w:name w:val="Footnote Text Char"/>
    <w:basedOn w:val="DefaultParagraphFont"/>
    <w:link w:val="FootnoteText"/>
    <w:uiPriority w:val="99"/>
    <w:rsid w:val="00D44E93"/>
    <w:rPr>
      <w:rFonts w:ascii="Calibri" w:eastAsia="Calibri" w:hAnsi="Calibri" w:cs="Times New Roman"/>
    </w:rPr>
  </w:style>
  <w:style w:type="paragraph" w:styleId="BodyTextIndent">
    <w:name w:val="Body Text Indent"/>
    <w:basedOn w:val="Normal"/>
    <w:link w:val="BodyTextIndentChar"/>
    <w:uiPriority w:val="99"/>
    <w:semiHidden/>
    <w:unhideWhenUsed/>
    <w:rsid w:val="001F0A24"/>
    <w:pPr>
      <w:spacing w:after="120"/>
      <w:ind w:left="360"/>
    </w:pPr>
  </w:style>
  <w:style w:type="character" w:customStyle="1" w:styleId="BodyTextIndentChar">
    <w:name w:val="Body Text Indent Char"/>
    <w:basedOn w:val="DefaultParagraphFont"/>
    <w:link w:val="BodyTextIndent"/>
    <w:uiPriority w:val="99"/>
    <w:semiHidden/>
    <w:rsid w:val="001F0A24"/>
    <w:rPr>
      <w:rFonts w:ascii="Calibri" w:eastAsia="Calibri" w:hAnsi="Calibri" w:cs="Times New Roman"/>
      <w:sz w:val="22"/>
      <w:szCs w:val="22"/>
    </w:rPr>
  </w:style>
  <w:style w:type="paragraph" w:styleId="NormalWeb">
    <w:name w:val="Normal (Web)"/>
    <w:basedOn w:val="Normal"/>
    <w:uiPriority w:val="99"/>
    <w:semiHidden/>
    <w:unhideWhenUsed/>
    <w:rsid w:val="008215C1"/>
    <w:pPr>
      <w:spacing w:before="100" w:beforeAutospacing="1" w:after="100" w:afterAutospacing="1" w:line="240" w:lineRule="auto"/>
    </w:pPr>
    <w:rPr>
      <w:rFonts w:ascii="Times New Roman" w:eastAsiaTheme="minorHAnsi" w:hAnsi="Times New Roman"/>
      <w:sz w:val="24"/>
      <w:szCs w:val="24"/>
    </w:rPr>
  </w:style>
  <w:style w:type="paragraph" w:styleId="BalloonText">
    <w:name w:val="Balloon Text"/>
    <w:basedOn w:val="Normal"/>
    <w:link w:val="BalloonTextChar"/>
    <w:uiPriority w:val="99"/>
    <w:semiHidden/>
    <w:unhideWhenUsed/>
    <w:rsid w:val="004D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79"/>
    <w:rPr>
      <w:rFonts w:ascii="Tahoma" w:eastAsia="Calibri" w:hAnsi="Tahoma" w:cs="Tahoma"/>
      <w:sz w:val="16"/>
      <w:szCs w:val="16"/>
    </w:rPr>
  </w:style>
  <w:style w:type="character" w:styleId="Hyperlink">
    <w:name w:val="Hyperlink"/>
    <w:basedOn w:val="DefaultParagraphFont"/>
    <w:uiPriority w:val="99"/>
    <w:unhideWhenUsed/>
    <w:rsid w:val="008101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9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link w:val="ListParagraphChar"/>
    <w:uiPriority w:val="34"/>
    <w:qFormat/>
    <w:rsid w:val="00D44E93"/>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BodyText3">
    <w:name w:val="Body Text 3"/>
    <w:basedOn w:val="Normal"/>
    <w:link w:val="BodyText3Char"/>
    <w:rsid w:val="00D44E93"/>
    <w:pPr>
      <w:spacing w:after="120" w:line="240" w:lineRule="auto"/>
    </w:pPr>
    <w:rPr>
      <w:rFonts w:ascii="Times New Roman" w:eastAsia="Batang" w:hAnsi="Times New Roman"/>
      <w:sz w:val="16"/>
      <w:szCs w:val="16"/>
    </w:rPr>
  </w:style>
  <w:style w:type="character" w:customStyle="1" w:styleId="BodyText3Char">
    <w:name w:val="Body Text 3 Char"/>
    <w:basedOn w:val="DefaultParagraphFont"/>
    <w:link w:val="BodyText3"/>
    <w:rsid w:val="00D44E93"/>
    <w:rPr>
      <w:rFonts w:ascii="Times New Roman" w:eastAsia="Batang" w:hAnsi="Times New Roman" w:cs="Times New Roman"/>
      <w:sz w:val="16"/>
      <w:szCs w:val="16"/>
    </w:rPr>
  </w:style>
  <w:style w:type="character" w:customStyle="1" w:styleId="ListParagraphChar">
    <w:name w:val="List Paragraph Char"/>
    <w:aliases w:val="Colorful List - Accent 11 Char"/>
    <w:link w:val="ListParagraph"/>
    <w:uiPriority w:val="34"/>
    <w:locked/>
    <w:rsid w:val="00D44E93"/>
    <w:rPr>
      <w:rFonts w:ascii="Cambria" w:eastAsia="Cambria" w:hAnsi="Cambria" w:cs="Cambria"/>
      <w:color w:val="000000"/>
      <w:u w:color="000000"/>
      <w:bdr w:val="nil"/>
      <w:lang w:eastAsia="es-ES"/>
    </w:rPr>
  </w:style>
  <w:style w:type="paragraph" w:styleId="Header">
    <w:name w:val="header"/>
    <w:basedOn w:val="Normal"/>
    <w:link w:val="HeaderChar"/>
    <w:unhideWhenUsed/>
    <w:rsid w:val="00D44E93"/>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D44E93"/>
    <w:rPr>
      <w:rFonts w:ascii="Calibri" w:eastAsia="MS Mincho" w:hAnsi="Calibri" w:cs="Times New Roman"/>
      <w:sz w:val="22"/>
      <w:szCs w:val="22"/>
    </w:rPr>
  </w:style>
  <w:style w:type="paragraph" w:styleId="Footer">
    <w:name w:val="footer"/>
    <w:basedOn w:val="Normal"/>
    <w:link w:val="FooterChar"/>
    <w:unhideWhenUsed/>
    <w:rsid w:val="00D44E93"/>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D44E93"/>
    <w:rPr>
      <w:rFonts w:ascii="Calibri" w:eastAsia="MS Mincho" w:hAnsi="Calibri" w:cs="Times New Roman"/>
      <w:sz w:val="22"/>
      <w:szCs w:val="22"/>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nhideWhenUsed/>
    <w:rsid w:val="00D44E93"/>
    <w:rPr>
      <w:vertAlign w:val="superscript"/>
    </w:rPr>
  </w:style>
  <w:style w:type="paragraph" w:styleId="FootnoteText">
    <w:name w:val="footnote text"/>
    <w:basedOn w:val="Normal"/>
    <w:link w:val="FootnoteTextChar"/>
    <w:uiPriority w:val="99"/>
    <w:unhideWhenUsed/>
    <w:rsid w:val="00D44E93"/>
    <w:rPr>
      <w:sz w:val="24"/>
      <w:szCs w:val="24"/>
    </w:rPr>
  </w:style>
  <w:style w:type="character" w:customStyle="1" w:styleId="FootnoteTextChar">
    <w:name w:val="Footnote Text Char"/>
    <w:basedOn w:val="DefaultParagraphFont"/>
    <w:link w:val="FootnoteText"/>
    <w:uiPriority w:val="99"/>
    <w:rsid w:val="00D44E93"/>
    <w:rPr>
      <w:rFonts w:ascii="Calibri" w:eastAsia="Calibri" w:hAnsi="Calibri" w:cs="Times New Roman"/>
    </w:rPr>
  </w:style>
  <w:style w:type="paragraph" w:styleId="BodyTextIndent">
    <w:name w:val="Body Text Indent"/>
    <w:basedOn w:val="Normal"/>
    <w:link w:val="BodyTextIndentChar"/>
    <w:uiPriority w:val="99"/>
    <w:semiHidden/>
    <w:unhideWhenUsed/>
    <w:rsid w:val="001F0A24"/>
    <w:pPr>
      <w:spacing w:after="120"/>
      <w:ind w:left="360"/>
    </w:pPr>
  </w:style>
  <w:style w:type="character" w:customStyle="1" w:styleId="BodyTextIndentChar">
    <w:name w:val="Body Text Indent Char"/>
    <w:basedOn w:val="DefaultParagraphFont"/>
    <w:link w:val="BodyTextIndent"/>
    <w:uiPriority w:val="99"/>
    <w:semiHidden/>
    <w:rsid w:val="001F0A24"/>
    <w:rPr>
      <w:rFonts w:ascii="Calibri" w:eastAsia="Calibri" w:hAnsi="Calibri" w:cs="Times New Roman"/>
      <w:sz w:val="22"/>
      <w:szCs w:val="22"/>
    </w:rPr>
  </w:style>
  <w:style w:type="paragraph" w:styleId="NormalWeb">
    <w:name w:val="Normal (Web)"/>
    <w:basedOn w:val="Normal"/>
    <w:uiPriority w:val="99"/>
    <w:semiHidden/>
    <w:unhideWhenUsed/>
    <w:rsid w:val="008215C1"/>
    <w:pPr>
      <w:spacing w:before="100" w:beforeAutospacing="1" w:after="100" w:afterAutospacing="1" w:line="240" w:lineRule="auto"/>
    </w:pPr>
    <w:rPr>
      <w:rFonts w:ascii="Times New Roman" w:eastAsiaTheme="minorHAnsi" w:hAnsi="Times New Roman"/>
      <w:sz w:val="24"/>
      <w:szCs w:val="24"/>
    </w:rPr>
  </w:style>
  <w:style w:type="paragraph" w:styleId="BalloonText">
    <w:name w:val="Balloon Text"/>
    <w:basedOn w:val="Normal"/>
    <w:link w:val="BalloonTextChar"/>
    <w:uiPriority w:val="99"/>
    <w:semiHidden/>
    <w:unhideWhenUsed/>
    <w:rsid w:val="004D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79"/>
    <w:rPr>
      <w:rFonts w:ascii="Tahoma" w:eastAsia="Calibri" w:hAnsi="Tahoma" w:cs="Tahoma"/>
      <w:sz w:val="16"/>
      <w:szCs w:val="16"/>
    </w:rPr>
  </w:style>
  <w:style w:type="character" w:styleId="Hyperlink">
    <w:name w:val="Hyperlink"/>
    <w:basedOn w:val="DefaultParagraphFont"/>
    <w:uiPriority w:val="99"/>
    <w:unhideWhenUsed/>
    <w:rsid w:val="008101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1216">
      <w:bodyDiv w:val="1"/>
      <w:marLeft w:val="0"/>
      <w:marRight w:val="0"/>
      <w:marTop w:val="0"/>
      <w:marBottom w:val="0"/>
      <w:divBdr>
        <w:top w:val="none" w:sz="0" w:space="0" w:color="auto"/>
        <w:left w:val="none" w:sz="0" w:space="0" w:color="auto"/>
        <w:bottom w:val="none" w:sz="0" w:space="0" w:color="auto"/>
        <w:right w:val="none" w:sz="0" w:space="0" w:color="auto"/>
      </w:divBdr>
      <w:divsChild>
        <w:div w:id="895245182">
          <w:marLeft w:val="0"/>
          <w:marRight w:val="0"/>
          <w:marTop w:val="0"/>
          <w:marBottom w:val="0"/>
          <w:divBdr>
            <w:top w:val="none" w:sz="0" w:space="0" w:color="auto"/>
            <w:left w:val="none" w:sz="0" w:space="0" w:color="auto"/>
            <w:bottom w:val="none" w:sz="0" w:space="0" w:color="auto"/>
            <w:right w:val="none" w:sz="0" w:space="0" w:color="auto"/>
          </w:divBdr>
          <w:divsChild>
            <w:div w:id="1503164182">
              <w:marLeft w:val="0"/>
              <w:marRight w:val="0"/>
              <w:marTop w:val="0"/>
              <w:marBottom w:val="0"/>
              <w:divBdr>
                <w:top w:val="none" w:sz="0" w:space="0" w:color="auto"/>
                <w:left w:val="none" w:sz="0" w:space="0" w:color="auto"/>
                <w:bottom w:val="none" w:sz="0" w:space="0" w:color="auto"/>
                <w:right w:val="none" w:sz="0" w:space="0" w:color="auto"/>
              </w:divBdr>
              <w:divsChild>
                <w:div w:id="17740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D610-A043-40D2-9E17-D7F4BDFE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1346</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Fontana, Maria Eva</cp:lastModifiedBy>
  <cp:revision>11</cp:revision>
  <cp:lastPrinted>2016-08-26T13:13:00Z</cp:lastPrinted>
  <dcterms:created xsi:type="dcterms:W3CDTF">2016-08-26T12:52:00Z</dcterms:created>
  <dcterms:modified xsi:type="dcterms:W3CDTF">2016-10-17T15:44:00Z</dcterms:modified>
</cp:coreProperties>
</file>