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32" w:rsidRPr="00AD791A" w:rsidRDefault="001814EF" w:rsidP="009D7F32">
      <w:pPr>
        <w:jc w:val="both"/>
        <w:rPr>
          <w:rFonts w:ascii="Cambria" w:hAnsi="Cambria" w:cs="Univers"/>
          <w:b/>
          <w:bCs/>
          <w:sz w:val="20"/>
          <w:szCs w:val="20"/>
          <w:lang w:val="es-ES_tradnl"/>
        </w:rPr>
      </w:pPr>
      <w:r w:rsidRPr="00AD791A">
        <w:rPr>
          <w:rFonts w:ascii="Cambria" w:hAnsi="Cambria"/>
          <w:noProof/>
          <w:sz w:val="20"/>
          <w:szCs w:val="20"/>
        </w:rPr>
        <mc:AlternateContent>
          <mc:Choice Requires="wps">
            <w:drawing>
              <wp:anchor distT="0" distB="0" distL="114300" distR="114300" simplePos="0" relativeHeight="251653632" behindDoc="0" locked="0" layoutInCell="1" allowOverlap="1" wp14:anchorId="16776BB8" wp14:editId="7E6C3CC5">
                <wp:simplePos x="0" y="0"/>
                <wp:positionH relativeFrom="column">
                  <wp:posOffset>-490855</wp:posOffset>
                </wp:positionH>
                <wp:positionV relativeFrom="paragraph">
                  <wp:posOffset>-426720</wp:posOffset>
                </wp:positionV>
                <wp:extent cx="1543050" cy="9096375"/>
                <wp:effectExtent l="0" t="0" r="0" b="952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8.65pt;margin-top:-33.6pt;width:121.5pt;height:71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liZQIAAMw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" fillcolor="#4a7194" stroked="f" strokeweight="2pt">
                <v:path arrowok="t"/>
              </v:rect>
            </w:pict>
          </mc:Fallback>
        </mc:AlternateContent>
      </w:r>
      <w:r w:rsidRPr="00AD791A">
        <w:rPr>
          <w:rFonts w:ascii="Cambria" w:hAnsi="Cambria"/>
          <w:noProof/>
          <w:sz w:val="20"/>
          <w:szCs w:val="20"/>
        </w:rPr>
        <mc:AlternateContent>
          <mc:Choice Requires="wps">
            <w:drawing>
              <wp:anchor distT="0" distB="0" distL="114300" distR="114300" simplePos="0" relativeHeight="251657728" behindDoc="0" locked="0" layoutInCell="1" allowOverlap="1" wp14:anchorId="196443FC" wp14:editId="3690DC1C">
                <wp:simplePos x="0" y="0"/>
                <wp:positionH relativeFrom="column">
                  <wp:posOffset>1282065</wp:posOffset>
                </wp:positionH>
                <wp:positionV relativeFrom="paragraph">
                  <wp:posOffset>-424180</wp:posOffset>
                </wp:positionV>
                <wp:extent cx="5248275" cy="9023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0A6E4C" w:rsidRDefault="000A6E4C" w:rsidP="009D7F32">
                            <w:r>
                              <w:rPr>
                                <w:noProof/>
                              </w:rPr>
                              <w:drawing>
                                <wp:inline distT="0" distB="0" distL="0" distR="0" wp14:anchorId="1EF3C0F4" wp14:editId="083E198D">
                                  <wp:extent cx="2647950" cy="504825"/>
                                  <wp:effectExtent l="0" t="0" r="0" b="9525"/>
                                  <wp:docPr id="20"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0482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" filled="f" stroked="f" strokeweight=".5pt">
                <v:path arrowok="t"/>
                <v:textbox>
                  <w:txbxContent>
                    <w:p w:rsidR="000A6E4C" w:rsidRDefault="000A6E4C" w:rsidP="009D7F32">
                      <w:r>
                        <w:rPr>
                          <w:noProof/>
                        </w:rPr>
                        <w:drawing>
                          <wp:inline distT="0" distB="0" distL="0" distR="0" wp14:anchorId="1EF3C0F4" wp14:editId="083E198D">
                            <wp:extent cx="2647950" cy="504825"/>
                            <wp:effectExtent l="0" t="0" r="0" b="9525"/>
                            <wp:docPr id="20"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04825"/>
                                    </a:xfrm>
                                    <a:prstGeom prst="rect">
                                      <a:avLst/>
                                    </a:prstGeom>
                                    <a:noFill/>
                                    <a:ln>
                                      <a:noFill/>
                                    </a:ln>
                                  </pic:spPr>
                                </pic:pic>
                              </a:graphicData>
                            </a:graphic>
                          </wp:inline>
                        </w:drawing>
                      </w:r>
                      <w:r>
                        <w:tab/>
                        <w:t xml:space="preserve">                              </w:t>
                      </w:r>
                    </w:p>
                  </w:txbxContent>
                </v:textbox>
              </v:shape>
            </w:pict>
          </mc:Fallback>
        </mc:AlternateContent>
      </w:r>
    </w:p>
    <w:p w:rsidR="009D7F32" w:rsidRPr="00AD791A" w:rsidRDefault="009D7F32" w:rsidP="009D7F32">
      <w:pPr>
        <w:tabs>
          <w:tab w:val="center" w:pos="5400"/>
        </w:tabs>
        <w:suppressAutoHyphens/>
        <w:jc w:val="both"/>
        <w:rPr>
          <w:rFonts w:ascii="Cambria" w:hAnsi="Cambria"/>
          <w:sz w:val="20"/>
          <w:szCs w:val="20"/>
          <w:lang w:val="es-ES"/>
        </w:rPr>
      </w:pPr>
    </w:p>
    <w:p w:rsidR="009D7F32" w:rsidRPr="00AD791A" w:rsidRDefault="009D7F32" w:rsidP="009D7F32">
      <w:pPr>
        <w:tabs>
          <w:tab w:val="center" w:pos="5400"/>
        </w:tabs>
        <w:suppressAutoHyphens/>
        <w:jc w:val="both"/>
        <w:rPr>
          <w:rFonts w:ascii="Cambria" w:hAnsi="Cambria"/>
          <w:sz w:val="20"/>
          <w:szCs w:val="20"/>
          <w:lang w:val="es-ES"/>
        </w:rPr>
      </w:pPr>
    </w:p>
    <w:p w:rsidR="009D7F32" w:rsidRPr="00AD791A" w:rsidRDefault="009D7F32" w:rsidP="009D7F32">
      <w:pPr>
        <w:tabs>
          <w:tab w:val="center" w:pos="5400"/>
        </w:tabs>
        <w:suppressAutoHyphens/>
        <w:rPr>
          <w:rFonts w:ascii="Cambria" w:hAnsi="Cambria"/>
          <w:sz w:val="20"/>
          <w:szCs w:val="20"/>
          <w:lang w:val="es-ES_tradnl"/>
        </w:rPr>
      </w:pPr>
    </w:p>
    <w:p w:rsidR="009D7F32" w:rsidRPr="00AD791A" w:rsidRDefault="009D7F32" w:rsidP="009D7F32">
      <w:pPr>
        <w:tabs>
          <w:tab w:val="center" w:pos="5400"/>
        </w:tabs>
        <w:suppressAutoHyphens/>
        <w:rPr>
          <w:rFonts w:ascii="Cambria" w:hAnsi="Cambria"/>
          <w:sz w:val="20"/>
          <w:szCs w:val="20"/>
          <w:lang w:val="es-ES_tradnl"/>
        </w:rPr>
      </w:pPr>
    </w:p>
    <w:p w:rsidR="009D7F32" w:rsidRPr="00AD791A" w:rsidRDefault="009D7F32" w:rsidP="009D7F32">
      <w:pPr>
        <w:tabs>
          <w:tab w:val="center" w:pos="5400"/>
        </w:tabs>
        <w:suppressAutoHyphens/>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1814EF" w:rsidP="009D7F32">
      <w:pPr>
        <w:tabs>
          <w:tab w:val="center" w:pos="5400"/>
        </w:tabs>
        <w:suppressAutoHyphens/>
        <w:jc w:val="center"/>
        <w:rPr>
          <w:rFonts w:ascii="Cambria" w:hAnsi="Cambria"/>
          <w:sz w:val="20"/>
          <w:szCs w:val="20"/>
          <w:lang w:val="es-ES_tradnl"/>
        </w:rPr>
      </w:pPr>
      <w:r w:rsidRPr="00AD791A">
        <w:rPr>
          <w:rFonts w:ascii="Cambria" w:hAnsi="Cambria"/>
          <w:noProof/>
          <w:sz w:val="20"/>
          <w:szCs w:val="20"/>
        </w:rPr>
        <mc:AlternateContent>
          <mc:Choice Requires="wps">
            <w:drawing>
              <wp:anchor distT="0" distB="0" distL="114300" distR="114300" simplePos="0" relativeHeight="251654656" behindDoc="0" locked="0" layoutInCell="1" allowOverlap="1" wp14:anchorId="0AF2D7EA" wp14:editId="2151F4D7">
                <wp:simplePos x="0" y="0"/>
                <wp:positionH relativeFrom="column">
                  <wp:posOffset>1352550</wp:posOffset>
                </wp:positionH>
                <wp:positionV relativeFrom="paragraph">
                  <wp:posOffset>107315</wp:posOffset>
                </wp:positionV>
                <wp:extent cx="4441190" cy="218122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0A6E4C" w:rsidRPr="00D142E1" w:rsidRDefault="000A6E4C" w:rsidP="009D7F32">
                            <w:pPr>
                              <w:spacing w:line="276" w:lineRule="auto"/>
                              <w:rPr>
                                <w:rFonts w:ascii="Cambria" w:hAnsi="Cambria" w:cs="Arial"/>
                                <w:b/>
                                <w:bCs/>
                                <w:color w:val="0D0D0D"/>
                                <w:sz w:val="36"/>
                                <w:szCs w:val="22"/>
                                <w:lang w:val="es-ES_tradnl"/>
                              </w:rPr>
                            </w:pPr>
                            <w:r w:rsidRPr="00D142E1">
                              <w:rPr>
                                <w:rFonts w:ascii="Cambria" w:hAnsi="Cambria" w:cs="Arial"/>
                                <w:b/>
                                <w:bCs/>
                                <w:color w:val="0D0D0D"/>
                                <w:sz w:val="36"/>
                                <w:szCs w:val="22"/>
                                <w:lang w:val="es-ES_tradnl"/>
                              </w:rPr>
                              <w:t xml:space="preserve">INFORME </w:t>
                            </w:r>
                            <w:r w:rsidRPr="00D142E1">
                              <w:rPr>
                                <w:rFonts w:ascii="Cambria" w:hAnsi="Cambria" w:cs="Arial"/>
                                <w:b/>
                                <w:bCs/>
                                <w:color w:val="0D0D0D"/>
                                <w:sz w:val="36"/>
                                <w:szCs w:val="40"/>
                                <w:lang w:val="es-ES_tradnl"/>
                              </w:rPr>
                              <w:t>No.</w:t>
                            </w:r>
                            <w:r w:rsidRPr="00D142E1">
                              <w:rPr>
                                <w:rFonts w:ascii="Cambria" w:hAnsi="Cambria" w:cs="Arial"/>
                                <w:b/>
                                <w:bCs/>
                                <w:color w:val="0D0D0D"/>
                                <w:sz w:val="36"/>
                                <w:szCs w:val="22"/>
                                <w:lang w:val="es-ES_tradnl"/>
                              </w:rPr>
                              <w:t xml:space="preserve"> </w:t>
                            </w:r>
                            <w:r>
                              <w:rPr>
                                <w:rFonts w:ascii="Cambria" w:hAnsi="Cambria" w:cs="Arial"/>
                                <w:b/>
                                <w:bCs/>
                                <w:color w:val="0D0D0D"/>
                                <w:sz w:val="36"/>
                                <w:szCs w:val="22"/>
                                <w:lang w:val="es-ES_tradnl"/>
                              </w:rPr>
                              <w:t>22</w:t>
                            </w:r>
                            <w:r w:rsidRPr="00D142E1">
                              <w:rPr>
                                <w:rFonts w:ascii="Cambria" w:hAnsi="Cambria" w:cs="Arial"/>
                                <w:b/>
                                <w:bCs/>
                                <w:color w:val="0D0D0D"/>
                                <w:sz w:val="36"/>
                                <w:szCs w:val="22"/>
                                <w:lang w:val="es-ES_tradnl"/>
                              </w:rPr>
                              <w:t>/15</w:t>
                            </w:r>
                          </w:p>
                          <w:p w:rsidR="000A6E4C" w:rsidRPr="00D142E1" w:rsidRDefault="000A6E4C" w:rsidP="009D7F32">
                            <w:pPr>
                              <w:spacing w:line="276" w:lineRule="auto"/>
                              <w:rPr>
                                <w:rFonts w:ascii="Cambria" w:hAnsi="Cambria" w:cs="Arial"/>
                                <w:b/>
                                <w:color w:val="0D0D0D"/>
                                <w:sz w:val="36"/>
                                <w:szCs w:val="22"/>
                                <w:lang w:val="es-ES_tradnl"/>
                              </w:rPr>
                            </w:pPr>
                            <w:r w:rsidRPr="00D142E1">
                              <w:rPr>
                                <w:rFonts w:ascii="Cambria" w:hAnsi="Cambria" w:cs="Arial"/>
                                <w:b/>
                                <w:color w:val="0D0D0D"/>
                                <w:sz w:val="36"/>
                                <w:szCs w:val="22"/>
                                <w:lang w:val="es-ES_tradnl"/>
                              </w:rPr>
                              <w:t>CASO 12.792</w:t>
                            </w:r>
                          </w:p>
                          <w:p w:rsidR="000A6E4C" w:rsidRPr="00D142E1" w:rsidRDefault="000A6E4C" w:rsidP="009D7F32">
                            <w:pPr>
                              <w:spacing w:line="276" w:lineRule="auto"/>
                              <w:rPr>
                                <w:rFonts w:ascii="Cambria" w:hAnsi="Cambria" w:cs="Arial"/>
                                <w:color w:val="0D0D0D"/>
                                <w:szCs w:val="22"/>
                                <w:lang w:val="es-ES_tradnl"/>
                              </w:rPr>
                            </w:pPr>
                            <w:r w:rsidRPr="00D142E1">
                              <w:rPr>
                                <w:rFonts w:ascii="Cambria" w:hAnsi="Cambria" w:cs="Arial"/>
                                <w:color w:val="0D0D0D"/>
                                <w:szCs w:val="22"/>
                                <w:lang w:val="es-ES_tradnl"/>
                              </w:rPr>
                              <w:t>INFORME DE FONDO</w:t>
                            </w:r>
                          </w:p>
                          <w:p w:rsidR="000A6E4C" w:rsidRPr="00D142E1" w:rsidRDefault="000A6E4C" w:rsidP="009D7F32">
                            <w:pPr>
                              <w:spacing w:line="276" w:lineRule="auto"/>
                              <w:rPr>
                                <w:rFonts w:ascii="Cambria" w:hAnsi="Cambria" w:cs="Arial"/>
                                <w:color w:val="0D0D0D"/>
                                <w:szCs w:val="22"/>
                                <w:lang w:val="es-ES_tradnl"/>
                              </w:rPr>
                            </w:pPr>
                            <w:bookmarkStart w:id="0" w:name="_ftnref1"/>
                          </w:p>
                          <w:p w:rsidR="000A6E4C" w:rsidRPr="00D142E1" w:rsidRDefault="000A6E4C" w:rsidP="009D7F32">
                            <w:pPr>
                              <w:spacing w:line="276" w:lineRule="auto"/>
                              <w:rPr>
                                <w:rFonts w:ascii="Cambria" w:hAnsi="Cambria" w:cs="Arial"/>
                                <w:color w:val="0D0D0D"/>
                                <w:szCs w:val="22"/>
                                <w:lang w:val="es-ES_tradnl"/>
                              </w:rPr>
                            </w:pPr>
                            <w:r w:rsidRPr="00D142E1">
                              <w:rPr>
                                <w:rFonts w:ascii="Cambria" w:hAnsi="Cambria" w:cs="Arial"/>
                                <w:color w:val="0D0D0D"/>
                                <w:szCs w:val="22"/>
                                <w:lang w:val="es-ES_tradnl"/>
                              </w:rPr>
                              <w:t>MARÍA LUISA ACOSTA Y OTROS</w:t>
                            </w:r>
                          </w:p>
                          <w:bookmarkEnd w:id="0"/>
                          <w:p w:rsidR="000A6E4C" w:rsidRPr="00D142E1" w:rsidRDefault="000A6E4C" w:rsidP="009D7F32">
                            <w:pPr>
                              <w:spacing w:line="276" w:lineRule="auto"/>
                              <w:rPr>
                                <w:rFonts w:ascii="Cambria" w:hAnsi="Cambria" w:cs="Arial"/>
                                <w:color w:val="0D0D0D"/>
                                <w:szCs w:val="22"/>
                                <w:lang w:val="es-ES"/>
                              </w:rPr>
                            </w:pPr>
                            <w:r w:rsidRPr="00D142E1">
                              <w:rPr>
                                <w:rFonts w:ascii="Cambria" w:hAnsi="Cambria" w:cs="Arial"/>
                                <w:color w:val="0D0D0D"/>
                                <w:szCs w:val="22"/>
                                <w:lang w:val="es-ES_tradnl"/>
                              </w:rPr>
                              <w:t>NICARAGUA</w:t>
                            </w:r>
                          </w:p>
                          <w:p w:rsidR="000A6E4C" w:rsidRPr="00D142E1" w:rsidRDefault="000A6E4C" w:rsidP="009D7F32">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RPgIAAIE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" filled="f" stroked="f" strokeweight=".5pt">
                <v:path arrowok="t"/>
                <v:textbox>
                  <w:txbxContent>
                    <w:p w:rsidR="000A6E4C" w:rsidRPr="00D142E1" w:rsidRDefault="000A6E4C" w:rsidP="009D7F32">
                      <w:pPr>
                        <w:spacing w:line="276" w:lineRule="auto"/>
                        <w:rPr>
                          <w:rFonts w:ascii="Cambria" w:hAnsi="Cambria" w:cs="Arial"/>
                          <w:b/>
                          <w:bCs/>
                          <w:color w:val="0D0D0D"/>
                          <w:sz w:val="36"/>
                          <w:szCs w:val="22"/>
                          <w:lang w:val="es-ES_tradnl"/>
                        </w:rPr>
                      </w:pPr>
                      <w:r w:rsidRPr="00D142E1">
                        <w:rPr>
                          <w:rFonts w:ascii="Cambria" w:hAnsi="Cambria" w:cs="Arial"/>
                          <w:b/>
                          <w:bCs/>
                          <w:color w:val="0D0D0D"/>
                          <w:sz w:val="36"/>
                          <w:szCs w:val="22"/>
                          <w:lang w:val="es-ES_tradnl"/>
                        </w:rPr>
                        <w:t xml:space="preserve">INFORME </w:t>
                      </w:r>
                      <w:r w:rsidRPr="00D142E1">
                        <w:rPr>
                          <w:rFonts w:ascii="Cambria" w:hAnsi="Cambria" w:cs="Arial"/>
                          <w:b/>
                          <w:bCs/>
                          <w:color w:val="0D0D0D"/>
                          <w:sz w:val="36"/>
                          <w:szCs w:val="40"/>
                          <w:lang w:val="es-ES_tradnl"/>
                        </w:rPr>
                        <w:t>No.</w:t>
                      </w:r>
                      <w:r w:rsidRPr="00D142E1">
                        <w:rPr>
                          <w:rFonts w:ascii="Cambria" w:hAnsi="Cambria" w:cs="Arial"/>
                          <w:b/>
                          <w:bCs/>
                          <w:color w:val="0D0D0D"/>
                          <w:sz w:val="36"/>
                          <w:szCs w:val="22"/>
                          <w:lang w:val="es-ES_tradnl"/>
                        </w:rPr>
                        <w:t xml:space="preserve"> </w:t>
                      </w:r>
                      <w:r>
                        <w:rPr>
                          <w:rFonts w:ascii="Cambria" w:hAnsi="Cambria" w:cs="Arial"/>
                          <w:b/>
                          <w:bCs/>
                          <w:color w:val="0D0D0D"/>
                          <w:sz w:val="36"/>
                          <w:szCs w:val="22"/>
                          <w:lang w:val="es-ES_tradnl"/>
                        </w:rPr>
                        <w:t>22</w:t>
                      </w:r>
                      <w:r w:rsidRPr="00D142E1">
                        <w:rPr>
                          <w:rFonts w:ascii="Cambria" w:hAnsi="Cambria" w:cs="Arial"/>
                          <w:b/>
                          <w:bCs/>
                          <w:color w:val="0D0D0D"/>
                          <w:sz w:val="36"/>
                          <w:szCs w:val="22"/>
                          <w:lang w:val="es-ES_tradnl"/>
                        </w:rPr>
                        <w:t>/15</w:t>
                      </w:r>
                    </w:p>
                    <w:p w:rsidR="000A6E4C" w:rsidRPr="00D142E1" w:rsidRDefault="000A6E4C" w:rsidP="009D7F32">
                      <w:pPr>
                        <w:spacing w:line="276" w:lineRule="auto"/>
                        <w:rPr>
                          <w:rFonts w:ascii="Cambria" w:hAnsi="Cambria" w:cs="Arial"/>
                          <w:b/>
                          <w:color w:val="0D0D0D"/>
                          <w:sz w:val="36"/>
                          <w:szCs w:val="22"/>
                          <w:lang w:val="es-ES_tradnl"/>
                        </w:rPr>
                      </w:pPr>
                      <w:r w:rsidRPr="00D142E1">
                        <w:rPr>
                          <w:rFonts w:ascii="Cambria" w:hAnsi="Cambria" w:cs="Arial"/>
                          <w:b/>
                          <w:color w:val="0D0D0D"/>
                          <w:sz w:val="36"/>
                          <w:szCs w:val="22"/>
                          <w:lang w:val="es-ES_tradnl"/>
                        </w:rPr>
                        <w:t>CASO 12.792</w:t>
                      </w:r>
                    </w:p>
                    <w:p w:rsidR="000A6E4C" w:rsidRPr="00D142E1" w:rsidRDefault="000A6E4C" w:rsidP="009D7F32">
                      <w:pPr>
                        <w:spacing w:line="276" w:lineRule="auto"/>
                        <w:rPr>
                          <w:rFonts w:ascii="Cambria" w:hAnsi="Cambria" w:cs="Arial"/>
                          <w:color w:val="0D0D0D"/>
                          <w:szCs w:val="22"/>
                          <w:lang w:val="es-ES_tradnl"/>
                        </w:rPr>
                      </w:pPr>
                      <w:r w:rsidRPr="00D142E1">
                        <w:rPr>
                          <w:rFonts w:ascii="Cambria" w:hAnsi="Cambria" w:cs="Arial"/>
                          <w:color w:val="0D0D0D"/>
                          <w:szCs w:val="22"/>
                          <w:lang w:val="es-ES_tradnl"/>
                        </w:rPr>
                        <w:t>INFORME DE FONDO</w:t>
                      </w:r>
                    </w:p>
                    <w:p w:rsidR="000A6E4C" w:rsidRPr="00D142E1" w:rsidRDefault="000A6E4C" w:rsidP="009D7F32">
                      <w:pPr>
                        <w:spacing w:line="276" w:lineRule="auto"/>
                        <w:rPr>
                          <w:rFonts w:ascii="Cambria" w:hAnsi="Cambria" w:cs="Arial"/>
                          <w:color w:val="0D0D0D"/>
                          <w:szCs w:val="22"/>
                          <w:lang w:val="es-ES_tradnl"/>
                        </w:rPr>
                      </w:pPr>
                      <w:bookmarkStart w:id="1" w:name="_ftnref1"/>
                    </w:p>
                    <w:p w:rsidR="000A6E4C" w:rsidRPr="00D142E1" w:rsidRDefault="000A6E4C" w:rsidP="009D7F32">
                      <w:pPr>
                        <w:spacing w:line="276" w:lineRule="auto"/>
                        <w:rPr>
                          <w:rFonts w:ascii="Cambria" w:hAnsi="Cambria" w:cs="Arial"/>
                          <w:color w:val="0D0D0D"/>
                          <w:szCs w:val="22"/>
                          <w:lang w:val="es-ES_tradnl"/>
                        </w:rPr>
                      </w:pPr>
                      <w:r w:rsidRPr="00D142E1">
                        <w:rPr>
                          <w:rFonts w:ascii="Cambria" w:hAnsi="Cambria" w:cs="Arial"/>
                          <w:color w:val="0D0D0D"/>
                          <w:szCs w:val="22"/>
                          <w:lang w:val="es-ES_tradnl"/>
                        </w:rPr>
                        <w:t>MARÍA LUISA ACOSTA Y OTROS</w:t>
                      </w:r>
                    </w:p>
                    <w:bookmarkEnd w:id="1"/>
                    <w:p w:rsidR="000A6E4C" w:rsidRPr="00D142E1" w:rsidRDefault="000A6E4C" w:rsidP="009D7F32">
                      <w:pPr>
                        <w:spacing w:line="276" w:lineRule="auto"/>
                        <w:rPr>
                          <w:rFonts w:ascii="Cambria" w:hAnsi="Cambria" w:cs="Arial"/>
                          <w:color w:val="0D0D0D"/>
                          <w:szCs w:val="22"/>
                          <w:lang w:val="es-ES"/>
                        </w:rPr>
                      </w:pPr>
                      <w:r w:rsidRPr="00D142E1">
                        <w:rPr>
                          <w:rFonts w:ascii="Cambria" w:hAnsi="Cambria" w:cs="Arial"/>
                          <w:color w:val="0D0D0D"/>
                          <w:szCs w:val="22"/>
                          <w:lang w:val="es-ES_tradnl"/>
                        </w:rPr>
                        <w:t>NICARAGUA</w:t>
                      </w:r>
                    </w:p>
                    <w:p w:rsidR="000A6E4C" w:rsidRPr="00D142E1" w:rsidRDefault="000A6E4C" w:rsidP="009D7F32">
                      <w:pPr>
                        <w:rPr>
                          <w:color w:val="0D0D0D"/>
                          <w:lang w:val="es-ES_tradnl"/>
                        </w:rPr>
                      </w:pPr>
                    </w:p>
                  </w:txbxContent>
                </v:textbox>
              </v:shape>
            </w:pict>
          </mc:Fallback>
        </mc:AlternateContent>
      </w:r>
      <w:r w:rsidRPr="00AD791A">
        <w:rPr>
          <w:rFonts w:ascii="Cambria" w:hAnsi="Cambria"/>
          <w:noProof/>
          <w:sz w:val="20"/>
          <w:szCs w:val="20"/>
        </w:rPr>
        <mc:AlternateContent>
          <mc:Choice Requires="wps">
            <w:drawing>
              <wp:anchor distT="0" distB="0" distL="114300" distR="114300" simplePos="0" relativeHeight="251656704" behindDoc="0" locked="0" layoutInCell="1" allowOverlap="1" wp14:anchorId="602AA4DC" wp14:editId="5F03741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rsidR="000A6E4C" w:rsidRPr="00D142E1" w:rsidRDefault="000A6E4C" w:rsidP="009D7F32">
                            <w:pPr>
                              <w:spacing w:line="276" w:lineRule="auto"/>
                              <w:jc w:val="right"/>
                              <w:rPr>
                                <w:rFonts w:ascii="Calibri" w:hAnsi="Calibri"/>
                                <w:color w:val="FFFFFF"/>
                                <w:sz w:val="22"/>
                                <w:lang w:val="pt-BR"/>
                              </w:rPr>
                            </w:pPr>
                            <w:r w:rsidRPr="00D142E1">
                              <w:rPr>
                                <w:rFonts w:ascii="Calibri" w:hAnsi="Calibri"/>
                                <w:color w:val="FFFFFF"/>
                                <w:sz w:val="22"/>
                                <w:lang w:val="pt-BR"/>
                              </w:rPr>
                              <w:t>OEA/Ser.L/V/II.15</w:t>
                            </w:r>
                            <w:r>
                              <w:rPr>
                                <w:rFonts w:ascii="Calibri" w:hAnsi="Calibri"/>
                                <w:color w:val="FFFFFF"/>
                                <w:sz w:val="22"/>
                                <w:lang w:val="pt-BR"/>
                              </w:rPr>
                              <w:t>4</w:t>
                            </w:r>
                          </w:p>
                          <w:p w:rsidR="000A6E4C" w:rsidRPr="00D142E1" w:rsidRDefault="000A6E4C" w:rsidP="009D7F32">
                            <w:pPr>
                              <w:spacing w:line="276" w:lineRule="auto"/>
                              <w:jc w:val="right"/>
                              <w:rPr>
                                <w:rFonts w:ascii="Calibri" w:hAnsi="Calibri"/>
                                <w:color w:val="FFFFFF"/>
                                <w:sz w:val="22"/>
                                <w:lang w:val="pt-BR"/>
                              </w:rPr>
                            </w:pPr>
                            <w:r w:rsidRPr="00D142E1">
                              <w:rPr>
                                <w:rFonts w:ascii="Calibri" w:hAnsi="Calibri"/>
                                <w:color w:val="FFFFFF"/>
                                <w:sz w:val="22"/>
                                <w:lang w:val="pt-BR"/>
                              </w:rPr>
                              <w:t xml:space="preserve">Doc. </w:t>
                            </w:r>
                            <w:r>
                              <w:rPr>
                                <w:rFonts w:ascii="Calibri" w:hAnsi="Calibri"/>
                                <w:color w:val="FFFFFF"/>
                                <w:sz w:val="22"/>
                                <w:lang w:val="pt-BR"/>
                              </w:rPr>
                              <w:t>16</w:t>
                            </w:r>
                          </w:p>
                          <w:p w:rsidR="000A6E4C" w:rsidRPr="00D142E1" w:rsidRDefault="000A6E4C" w:rsidP="009D7F32">
                            <w:pPr>
                              <w:spacing w:line="276" w:lineRule="auto"/>
                              <w:jc w:val="right"/>
                              <w:rPr>
                                <w:rFonts w:ascii="Calibri" w:hAnsi="Calibri"/>
                                <w:color w:val="FFFFFF"/>
                                <w:sz w:val="22"/>
                                <w:lang w:val="es-ES"/>
                              </w:rPr>
                            </w:pPr>
                            <w:r>
                              <w:rPr>
                                <w:rFonts w:ascii="Calibri" w:hAnsi="Calibri"/>
                                <w:color w:val="FFFFFF"/>
                                <w:sz w:val="22"/>
                                <w:lang w:val="es-ES"/>
                              </w:rPr>
                              <w:t>26 marzo 2015</w:t>
                            </w:r>
                          </w:p>
                          <w:p w:rsidR="000A6E4C" w:rsidRPr="00D142E1" w:rsidRDefault="000A6E4C" w:rsidP="009D7F32">
                            <w:pPr>
                              <w:spacing w:line="276" w:lineRule="auto"/>
                              <w:jc w:val="right"/>
                              <w:rPr>
                                <w:rFonts w:ascii="Calibri" w:hAnsi="Calibri"/>
                                <w:color w:val="FFFFFF"/>
                                <w:sz w:val="22"/>
                                <w:lang w:val="es-ES"/>
                              </w:rPr>
                            </w:pPr>
                            <w:r w:rsidRPr="00D142E1">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" filled="f" stroked="f" strokeweight=".5pt">
                <v:path arrowok="t"/>
                <v:textbox>
                  <w:txbxContent>
                    <w:p w:rsidR="000A6E4C" w:rsidRPr="00D142E1" w:rsidRDefault="000A6E4C" w:rsidP="009D7F32">
                      <w:pPr>
                        <w:spacing w:line="276" w:lineRule="auto"/>
                        <w:jc w:val="right"/>
                        <w:rPr>
                          <w:rFonts w:ascii="Calibri" w:hAnsi="Calibri"/>
                          <w:color w:val="FFFFFF"/>
                          <w:sz w:val="22"/>
                          <w:lang w:val="pt-BR"/>
                        </w:rPr>
                      </w:pPr>
                      <w:r w:rsidRPr="00D142E1">
                        <w:rPr>
                          <w:rFonts w:ascii="Calibri" w:hAnsi="Calibri"/>
                          <w:color w:val="FFFFFF"/>
                          <w:sz w:val="22"/>
                          <w:lang w:val="pt-BR"/>
                        </w:rPr>
                        <w:t>OEA/Ser.L/V/II.15</w:t>
                      </w:r>
                      <w:r>
                        <w:rPr>
                          <w:rFonts w:ascii="Calibri" w:hAnsi="Calibri"/>
                          <w:color w:val="FFFFFF"/>
                          <w:sz w:val="22"/>
                          <w:lang w:val="pt-BR"/>
                        </w:rPr>
                        <w:t>4</w:t>
                      </w:r>
                    </w:p>
                    <w:p w:rsidR="000A6E4C" w:rsidRPr="00D142E1" w:rsidRDefault="000A6E4C" w:rsidP="009D7F32">
                      <w:pPr>
                        <w:spacing w:line="276" w:lineRule="auto"/>
                        <w:jc w:val="right"/>
                        <w:rPr>
                          <w:rFonts w:ascii="Calibri" w:hAnsi="Calibri"/>
                          <w:color w:val="FFFFFF"/>
                          <w:sz w:val="22"/>
                          <w:lang w:val="pt-BR"/>
                        </w:rPr>
                      </w:pPr>
                      <w:r w:rsidRPr="00D142E1">
                        <w:rPr>
                          <w:rFonts w:ascii="Calibri" w:hAnsi="Calibri"/>
                          <w:color w:val="FFFFFF"/>
                          <w:sz w:val="22"/>
                          <w:lang w:val="pt-BR"/>
                        </w:rPr>
                        <w:t xml:space="preserve">Doc. </w:t>
                      </w:r>
                      <w:r>
                        <w:rPr>
                          <w:rFonts w:ascii="Calibri" w:hAnsi="Calibri"/>
                          <w:color w:val="FFFFFF"/>
                          <w:sz w:val="22"/>
                          <w:lang w:val="pt-BR"/>
                        </w:rPr>
                        <w:t>16</w:t>
                      </w:r>
                    </w:p>
                    <w:p w:rsidR="000A6E4C" w:rsidRPr="00D142E1" w:rsidRDefault="000A6E4C" w:rsidP="009D7F32">
                      <w:pPr>
                        <w:spacing w:line="276" w:lineRule="auto"/>
                        <w:jc w:val="right"/>
                        <w:rPr>
                          <w:rFonts w:ascii="Calibri" w:hAnsi="Calibri"/>
                          <w:color w:val="FFFFFF"/>
                          <w:sz w:val="22"/>
                          <w:lang w:val="es-ES"/>
                        </w:rPr>
                      </w:pPr>
                      <w:r>
                        <w:rPr>
                          <w:rFonts w:ascii="Calibri" w:hAnsi="Calibri"/>
                          <w:color w:val="FFFFFF"/>
                          <w:sz w:val="22"/>
                          <w:lang w:val="es-ES"/>
                        </w:rPr>
                        <w:t>26 marzo 2015</w:t>
                      </w:r>
                    </w:p>
                    <w:p w:rsidR="000A6E4C" w:rsidRPr="00D142E1" w:rsidRDefault="000A6E4C" w:rsidP="009D7F32">
                      <w:pPr>
                        <w:spacing w:line="276" w:lineRule="auto"/>
                        <w:jc w:val="right"/>
                        <w:rPr>
                          <w:rFonts w:ascii="Calibri" w:hAnsi="Calibri"/>
                          <w:color w:val="FFFFFF"/>
                          <w:sz w:val="22"/>
                          <w:lang w:val="es-ES"/>
                        </w:rPr>
                      </w:pPr>
                      <w:r w:rsidRPr="00D142E1">
                        <w:rPr>
                          <w:rFonts w:ascii="Calibri" w:hAnsi="Calibri"/>
                          <w:color w:val="FFFFFF"/>
                          <w:sz w:val="22"/>
                          <w:lang w:val="es-ES"/>
                        </w:rPr>
                        <w:t>Original: español</w:t>
                      </w:r>
                    </w:p>
                  </w:txbxContent>
                </v:textbox>
              </v:shape>
            </w:pict>
          </mc:Fallback>
        </mc:AlternateContent>
      </w: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cs="Arial"/>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1814EF" w:rsidP="009D7F32">
      <w:pPr>
        <w:tabs>
          <w:tab w:val="center" w:pos="5400"/>
        </w:tabs>
        <w:suppressAutoHyphens/>
        <w:jc w:val="center"/>
        <w:rPr>
          <w:rFonts w:ascii="Cambria" w:hAnsi="Cambria"/>
          <w:sz w:val="20"/>
          <w:szCs w:val="20"/>
          <w:lang w:val="es-ES_tradnl"/>
        </w:rPr>
      </w:pPr>
      <w:r w:rsidRPr="00AD791A">
        <w:rPr>
          <w:rFonts w:ascii="Cambria" w:hAnsi="Cambria"/>
          <w:noProof/>
          <w:sz w:val="20"/>
          <w:szCs w:val="20"/>
        </w:rPr>
        <mc:AlternateContent>
          <mc:Choice Requires="wps">
            <w:drawing>
              <wp:anchor distT="0" distB="0" distL="114300" distR="114300" simplePos="0" relativeHeight="251655680" behindDoc="0" locked="0" layoutInCell="1" allowOverlap="1" wp14:anchorId="2288C2D0" wp14:editId="73A66B18">
                <wp:simplePos x="0" y="0"/>
                <wp:positionH relativeFrom="column">
                  <wp:posOffset>1341755</wp:posOffset>
                </wp:positionH>
                <wp:positionV relativeFrom="paragraph">
                  <wp:posOffset>22860</wp:posOffset>
                </wp:positionV>
                <wp:extent cx="4933950" cy="664845"/>
                <wp:effectExtent l="0" t="0" r="0"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0A6E4C" w:rsidRPr="00D142E1" w:rsidRDefault="000A6E4C" w:rsidP="009D7F32">
                            <w:pPr>
                              <w:tabs>
                                <w:tab w:val="center" w:pos="5400"/>
                              </w:tabs>
                              <w:suppressAutoHyphens/>
                              <w:spacing w:before="60"/>
                              <w:rPr>
                                <w:rFonts w:ascii="Cambria" w:hAnsi="Cambria" w:cs="Univers"/>
                                <w:color w:val="0D0D0D"/>
                                <w:sz w:val="18"/>
                                <w:szCs w:val="20"/>
                                <w:lang w:val="es-ES_tradnl"/>
                              </w:rPr>
                            </w:pPr>
                            <w:r w:rsidRPr="00D142E1">
                              <w:rPr>
                                <w:rFonts w:ascii="Cambria" w:hAnsi="Cambria"/>
                                <w:color w:val="0D0D0D"/>
                                <w:sz w:val="18"/>
                                <w:szCs w:val="20"/>
                                <w:lang w:val="es-ES"/>
                              </w:rPr>
                              <w:t>Aprobado por la Comisión en su sesión N</w:t>
                            </w:r>
                            <w:r>
                              <w:rPr>
                                <w:rFonts w:ascii="Cambria" w:hAnsi="Cambria"/>
                                <w:color w:val="0D0D0D"/>
                                <w:sz w:val="18"/>
                                <w:szCs w:val="20"/>
                                <w:lang w:val="es-ES"/>
                              </w:rPr>
                              <w:t>o. 2028 celebrada el 26 de marzo de 2015</w:t>
                            </w:r>
                            <w:r w:rsidRPr="00D142E1">
                              <w:rPr>
                                <w:rFonts w:ascii="Cambria" w:hAnsi="Cambria"/>
                                <w:color w:val="0D0D0D"/>
                                <w:sz w:val="18"/>
                                <w:szCs w:val="20"/>
                                <w:lang w:val="es-ES"/>
                              </w:rPr>
                              <w:br/>
                            </w:r>
                            <w:r w:rsidRPr="00D142E1">
                              <w:rPr>
                                <w:rFonts w:ascii="Cambria" w:hAnsi="Cambria" w:cs="Univers"/>
                                <w:color w:val="0D0D0D"/>
                                <w:sz w:val="18"/>
                                <w:szCs w:val="20"/>
                                <w:lang w:val="es-ES_tradnl"/>
                              </w:rPr>
                              <w:t>15</w:t>
                            </w:r>
                            <w:r>
                              <w:rPr>
                                <w:rFonts w:ascii="Cambria" w:hAnsi="Cambria" w:cs="Univers"/>
                                <w:color w:val="0D0D0D"/>
                                <w:sz w:val="18"/>
                                <w:szCs w:val="20"/>
                                <w:lang w:val="es-ES_tradnl"/>
                              </w:rPr>
                              <w:t>4</w:t>
                            </w:r>
                            <w:r w:rsidRPr="00D142E1">
                              <w:rPr>
                                <w:rFonts w:ascii="Cambria" w:hAnsi="Cambria" w:cs="Univers"/>
                                <w:color w:val="0D0D0D"/>
                                <w:sz w:val="18"/>
                                <w:szCs w:val="20"/>
                                <w:lang w:val="es-ES_tradnl"/>
                              </w:rPr>
                              <w:t xml:space="preserve"> período ordinario de sesiones</w:t>
                            </w:r>
                          </w:p>
                          <w:p w:rsidR="000A6E4C" w:rsidRPr="00D142E1" w:rsidRDefault="000A6E4C" w:rsidP="009D7F32">
                            <w:pPr>
                              <w:tabs>
                                <w:tab w:val="center" w:pos="5400"/>
                              </w:tabs>
                              <w:suppressAutoHyphens/>
                              <w:spacing w:before="60"/>
                              <w:rPr>
                                <w:rFonts w:ascii="Calibri" w:hAnsi="Calibri" w:cs="Univers"/>
                                <w:color w:val="0D0D0D"/>
                                <w:sz w:val="20"/>
                                <w:szCs w:val="20"/>
                                <w:lang w:val="es-ES"/>
                              </w:rPr>
                            </w:pPr>
                          </w:p>
                          <w:p w:rsidR="000A6E4C" w:rsidRPr="00D142E1" w:rsidRDefault="000A6E4C" w:rsidP="009D7F32">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4cfQ2D4CAAB/BAAADgAA&#10;AAAAAAAAAAAAAAAuAgAAZHJzL2Uyb0RvYy54bWxQSwECLQAUAAYACAAAACEAQZkOC94AAAAJAQAA&#10;DwAAAAAAAAAAAAAAAACYBAAAZHJzL2Rvd25yZXYueG1sUEsFBgAAAAAEAAQA8wAAAKMFAAAAAA==&#10;" filled="f" stroked="f" strokeweight=".5pt">
                <v:path arrowok="t"/>
                <v:textbox>
                  <w:txbxContent>
                    <w:p w:rsidR="000A6E4C" w:rsidRPr="00D142E1" w:rsidRDefault="000A6E4C" w:rsidP="009D7F32">
                      <w:pPr>
                        <w:tabs>
                          <w:tab w:val="center" w:pos="5400"/>
                        </w:tabs>
                        <w:suppressAutoHyphens/>
                        <w:spacing w:before="60"/>
                        <w:rPr>
                          <w:rFonts w:ascii="Cambria" w:hAnsi="Cambria" w:cs="Univers"/>
                          <w:color w:val="0D0D0D"/>
                          <w:sz w:val="18"/>
                          <w:szCs w:val="20"/>
                          <w:lang w:val="es-ES_tradnl"/>
                        </w:rPr>
                      </w:pPr>
                      <w:r w:rsidRPr="00D142E1">
                        <w:rPr>
                          <w:rFonts w:ascii="Cambria" w:hAnsi="Cambria"/>
                          <w:color w:val="0D0D0D"/>
                          <w:sz w:val="18"/>
                          <w:szCs w:val="20"/>
                          <w:lang w:val="es-ES"/>
                        </w:rPr>
                        <w:t>Aprobado por la Comisión en su sesión N</w:t>
                      </w:r>
                      <w:r>
                        <w:rPr>
                          <w:rFonts w:ascii="Cambria" w:hAnsi="Cambria"/>
                          <w:color w:val="0D0D0D"/>
                          <w:sz w:val="18"/>
                          <w:szCs w:val="20"/>
                          <w:lang w:val="es-ES"/>
                        </w:rPr>
                        <w:t>o. 2028 celebrada el 26 de marzo de 2015</w:t>
                      </w:r>
                      <w:r w:rsidRPr="00D142E1">
                        <w:rPr>
                          <w:rFonts w:ascii="Cambria" w:hAnsi="Cambria"/>
                          <w:color w:val="0D0D0D"/>
                          <w:sz w:val="18"/>
                          <w:szCs w:val="20"/>
                          <w:lang w:val="es-ES"/>
                        </w:rPr>
                        <w:br/>
                      </w:r>
                      <w:r w:rsidRPr="00D142E1">
                        <w:rPr>
                          <w:rFonts w:ascii="Cambria" w:hAnsi="Cambria" w:cs="Univers"/>
                          <w:color w:val="0D0D0D"/>
                          <w:sz w:val="18"/>
                          <w:szCs w:val="20"/>
                          <w:lang w:val="es-ES_tradnl"/>
                        </w:rPr>
                        <w:t>15</w:t>
                      </w:r>
                      <w:r>
                        <w:rPr>
                          <w:rFonts w:ascii="Cambria" w:hAnsi="Cambria" w:cs="Univers"/>
                          <w:color w:val="0D0D0D"/>
                          <w:sz w:val="18"/>
                          <w:szCs w:val="20"/>
                          <w:lang w:val="es-ES_tradnl"/>
                        </w:rPr>
                        <w:t>4</w:t>
                      </w:r>
                      <w:r w:rsidRPr="00D142E1">
                        <w:rPr>
                          <w:rFonts w:ascii="Cambria" w:hAnsi="Cambria" w:cs="Univers"/>
                          <w:color w:val="0D0D0D"/>
                          <w:sz w:val="18"/>
                          <w:szCs w:val="20"/>
                          <w:lang w:val="es-ES_tradnl"/>
                        </w:rPr>
                        <w:t xml:space="preserve"> período ordinario de sesiones</w:t>
                      </w:r>
                    </w:p>
                    <w:p w:rsidR="000A6E4C" w:rsidRPr="00D142E1" w:rsidRDefault="000A6E4C" w:rsidP="009D7F32">
                      <w:pPr>
                        <w:tabs>
                          <w:tab w:val="center" w:pos="5400"/>
                        </w:tabs>
                        <w:suppressAutoHyphens/>
                        <w:spacing w:before="60"/>
                        <w:rPr>
                          <w:rFonts w:ascii="Calibri" w:hAnsi="Calibri" w:cs="Univers"/>
                          <w:color w:val="0D0D0D"/>
                          <w:sz w:val="20"/>
                          <w:szCs w:val="20"/>
                          <w:lang w:val="es-ES"/>
                        </w:rPr>
                      </w:pPr>
                    </w:p>
                    <w:p w:rsidR="000A6E4C" w:rsidRPr="00D142E1" w:rsidRDefault="000A6E4C" w:rsidP="009D7F32">
                      <w:pPr>
                        <w:tabs>
                          <w:tab w:val="center" w:pos="5400"/>
                        </w:tabs>
                        <w:suppressAutoHyphens/>
                        <w:spacing w:before="60"/>
                        <w:rPr>
                          <w:rFonts w:ascii="Calibri" w:hAnsi="Calibri"/>
                          <w:color w:val="FFFFFF"/>
                          <w:spacing w:val="-2"/>
                          <w:sz w:val="16"/>
                          <w:lang w:val="es-ES"/>
                        </w:rPr>
                      </w:pPr>
                    </w:p>
                  </w:txbxContent>
                </v:textbox>
              </v:shape>
            </w:pict>
          </mc:Fallback>
        </mc:AlternateContent>
      </w: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1814EF" w:rsidP="009D7F32">
      <w:pPr>
        <w:tabs>
          <w:tab w:val="center" w:pos="5400"/>
        </w:tabs>
        <w:suppressAutoHyphens/>
        <w:jc w:val="center"/>
        <w:rPr>
          <w:rFonts w:ascii="Cambria" w:hAnsi="Cambria"/>
          <w:sz w:val="20"/>
          <w:szCs w:val="20"/>
          <w:lang w:val="es-ES_tradnl"/>
        </w:rPr>
      </w:pPr>
      <w:r w:rsidRPr="00AD791A">
        <w:rPr>
          <w:rFonts w:ascii="Cambria" w:hAnsi="Cambria"/>
          <w:noProof/>
          <w:sz w:val="20"/>
          <w:szCs w:val="20"/>
        </w:rPr>
        <mc:AlternateContent>
          <mc:Choice Requires="wps">
            <w:drawing>
              <wp:anchor distT="0" distB="0" distL="114300" distR="114300" simplePos="0" relativeHeight="251658752" behindDoc="0" locked="0" layoutInCell="1" allowOverlap="1" wp14:anchorId="52676723" wp14:editId="63EC877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0A6E4C" w:rsidRPr="007202AC" w:rsidRDefault="000A6E4C" w:rsidP="009D7F32">
                            <w:pPr>
                              <w:spacing w:line="276" w:lineRule="auto"/>
                              <w:rPr>
                                <w:rFonts w:ascii="Cambria" w:hAnsi="Cambria"/>
                                <w:color w:val="595959"/>
                                <w:sz w:val="18"/>
                                <w:szCs w:val="18"/>
                                <w:lang w:val="es-ES"/>
                              </w:rPr>
                            </w:pPr>
                            <w:r w:rsidRPr="00D142E1">
                              <w:rPr>
                                <w:rFonts w:ascii="Cambria" w:hAnsi="Cambria"/>
                                <w:b/>
                                <w:color w:val="595959"/>
                                <w:sz w:val="18"/>
                                <w:szCs w:val="18"/>
                                <w:lang w:val="pt-BR"/>
                              </w:rPr>
                              <w:t>Citar como:</w:t>
                            </w:r>
                            <w:r w:rsidRPr="00D142E1">
                              <w:rPr>
                                <w:rFonts w:ascii="Cambria" w:hAnsi="Cambria"/>
                                <w:color w:val="595959"/>
                                <w:sz w:val="18"/>
                                <w:szCs w:val="18"/>
                                <w:lang w:val="pt-BR"/>
                              </w:rPr>
                              <w:t xml:space="preserve"> CIDH, Informe No. </w:t>
                            </w:r>
                            <w:r w:rsidRPr="007202AC">
                              <w:rPr>
                                <w:rFonts w:ascii="Cambria" w:hAnsi="Cambria"/>
                                <w:color w:val="595959"/>
                                <w:sz w:val="18"/>
                                <w:szCs w:val="18"/>
                                <w:lang w:val="pt-BR"/>
                              </w:rPr>
                              <w:t xml:space="preserve">22/15, Caso 12.792. </w:t>
                            </w:r>
                            <w:r w:rsidRPr="00D142E1">
                              <w:rPr>
                                <w:rFonts w:ascii="Cambria" w:hAnsi="Cambria"/>
                                <w:color w:val="595959"/>
                                <w:sz w:val="18"/>
                                <w:szCs w:val="18"/>
                                <w:lang w:val="es-ES_tradnl"/>
                              </w:rPr>
                              <w:t xml:space="preserve">Fondo. </w:t>
                            </w:r>
                            <w:r>
                              <w:rPr>
                                <w:rFonts w:ascii="Cambria" w:hAnsi="Cambria"/>
                                <w:color w:val="595959"/>
                                <w:sz w:val="18"/>
                                <w:szCs w:val="18"/>
                                <w:lang w:val="es-ES_tradnl"/>
                              </w:rPr>
                              <w:t>Mar</w:t>
                            </w:r>
                            <w:r w:rsidRPr="007202AC">
                              <w:rPr>
                                <w:rFonts w:ascii="Cambria" w:hAnsi="Cambria"/>
                                <w:color w:val="595959"/>
                                <w:sz w:val="18"/>
                                <w:szCs w:val="18"/>
                                <w:lang w:val="es-ES"/>
                              </w:rPr>
                              <w:t>ía Luisa Acosta y otros</w:t>
                            </w:r>
                            <w:r w:rsidRPr="00D142E1">
                              <w:rPr>
                                <w:rFonts w:ascii="Cambria" w:hAnsi="Cambria"/>
                                <w:color w:val="595959"/>
                                <w:sz w:val="18"/>
                                <w:szCs w:val="18"/>
                                <w:lang w:val="es-ES_tradnl"/>
                              </w:rPr>
                              <w:t xml:space="preserve">. </w:t>
                            </w:r>
                            <w:r>
                              <w:rPr>
                                <w:rFonts w:ascii="Cambria" w:hAnsi="Cambria"/>
                                <w:color w:val="595959"/>
                                <w:sz w:val="18"/>
                                <w:szCs w:val="18"/>
                                <w:lang w:val="es-ES_tradnl"/>
                              </w:rPr>
                              <w:t>Nicaragua</w:t>
                            </w:r>
                            <w:r w:rsidRPr="00D142E1">
                              <w:rPr>
                                <w:rFonts w:ascii="Cambria" w:hAnsi="Cambria"/>
                                <w:color w:val="595959"/>
                                <w:sz w:val="18"/>
                                <w:szCs w:val="18"/>
                                <w:lang w:val="es-ES_tradnl"/>
                              </w:rPr>
                              <w:t xml:space="preserve">. </w:t>
                            </w:r>
                            <w:r>
                              <w:rPr>
                                <w:rFonts w:ascii="Cambria" w:hAnsi="Cambria"/>
                                <w:color w:val="595959"/>
                                <w:sz w:val="18"/>
                                <w:szCs w:val="18"/>
                                <w:lang w:val="es-ES"/>
                              </w:rPr>
                              <w:t>March 26, 2015</w:t>
                            </w:r>
                            <w:r w:rsidRPr="007202AC">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rsidR="000A6E4C" w:rsidRPr="007202AC" w:rsidRDefault="000A6E4C" w:rsidP="009D7F32">
                      <w:pPr>
                        <w:spacing w:line="276" w:lineRule="auto"/>
                        <w:rPr>
                          <w:rFonts w:ascii="Cambria" w:hAnsi="Cambria"/>
                          <w:color w:val="595959"/>
                          <w:sz w:val="18"/>
                          <w:szCs w:val="18"/>
                          <w:lang w:val="es-ES"/>
                        </w:rPr>
                      </w:pPr>
                      <w:r w:rsidRPr="00D142E1">
                        <w:rPr>
                          <w:rFonts w:ascii="Cambria" w:hAnsi="Cambria"/>
                          <w:b/>
                          <w:color w:val="595959"/>
                          <w:sz w:val="18"/>
                          <w:szCs w:val="18"/>
                          <w:lang w:val="pt-BR"/>
                        </w:rPr>
                        <w:t>Citar como:</w:t>
                      </w:r>
                      <w:r w:rsidRPr="00D142E1">
                        <w:rPr>
                          <w:rFonts w:ascii="Cambria" w:hAnsi="Cambria"/>
                          <w:color w:val="595959"/>
                          <w:sz w:val="18"/>
                          <w:szCs w:val="18"/>
                          <w:lang w:val="pt-BR"/>
                        </w:rPr>
                        <w:t xml:space="preserve"> CIDH, Informe No. </w:t>
                      </w:r>
                      <w:r w:rsidRPr="007202AC">
                        <w:rPr>
                          <w:rFonts w:ascii="Cambria" w:hAnsi="Cambria"/>
                          <w:color w:val="595959"/>
                          <w:sz w:val="18"/>
                          <w:szCs w:val="18"/>
                          <w:lang w:val="pt-BR"/>
                        </w:rPr>
                        <w:t xml:space="preserve">22/15, Caso 12.792. </w:t>
                      </w:r>
                      <w:r w:rsidRPr="00D142E1">
                        <w:rPr>
                          <w:rFonts w:ascii="Cambria" w:hAnsi="Cambria"/>
                          <w:color w:val="595959"/>
                          <w:sz w:val="18"/>
                          <w:szCs w:val="18"/>
                          <w:lang w:val="es-ES_tradnl"/>
                        </w:rPr>
                        <w:t xml:space="preserve">Fondo. </w:t>
                      </w:r>
                      <w:r>
                        <w:rPr>
                          <w:rFonts w:ascii="Cambria" w:hAnsi="Cambria"/>
                          <w:color w:val="595959"/>
                          <w:sz w:val="18"/>
                          <w:szCs w:val="18"/>
                          <w:lang w:val="es-ES_tradnl"/>
                        </w:rPr>
                        <w:t>Mar</w:t>
                      </w:r>
                      <w:r w:rsidRPr="007202AC">
                        <w:rPr>
                          <w:rFonts w:ascii="Cambria" w:hAnsi="Cambria"/>
                          <w:color w:val="595959"/>
                          <w:sz w:val="18"/>
                          <w:szCs w:val="18"/>
                          <w:lang w:val="es-ES"/>
                        </w:rPr>
                        <w:t>ía Luisa Acosta y otros</w:t>
                      </w:r>
                      <w:r w:rsidRPr="00D142E1">
                        <w:rPr>
                          <w:rFonts w:ascii="Cambria" w:hAnsi="Cambria"/>
                          <w:color w:val="595959"/>
                          <w:sz w:val="18"/>
                          <w:szCs w:val="18"/>
                          <w:lang w:val="es-ES_tradnl"/>
                        </w:rPr>
                        <w:t xml:space="preserve">. </w:t>
                      </w:r>
                      <w:r>
                        <w:rPr>
                          <w:rFonts w:ascii="Cambria" w:hAnsi="Cambria"/>
                          <w:color w:val="595959"/>
                          <w:sz w:val="18"/>
                          <w:szCs w:val="18"/>
                          <w:lang w:val="es-ES_tradnl"/>
                        </w:rPr>
                        <w:t>Nicaragua</w:t>
                      </w:r>
                      <w:r w:rsidRPr="00D142E1">
                        <w:rPr>
                          <w:rFonts w:ascii="Cambria" w:hAnsi="Cambria"/>
                          <w:color w:val="595959"/>
                          <w:sz w:val="18"/>
                          <w:szCs w:val="18"/>
                          <w:lang w:val="es-ES_tradnl"/>
                        </w:rPr>
                        <w:t xml:space="preserve">. </w:t>
                      </w:r>
                      <w:r>
                        <w:rPr>
                          <w:rFonts w:ascii="Cambria" w:hAnsi="Cambria"/>
                          <w:color w:val="595959"/>
                          <w:sz w:val="18"/>
                          <w:szCs w:val="18"/>
                          <w:lang w:val="es-ES"/>
                        </w:rPr>
                        <w:t>March 26, 2015</w:t>
                      </w:r>
                      <w:r w:rsidRPr="007202AC">
                        <w:rPr>
                          <w:rFonts w:ascii="Cambria" w:hAnsi="Cambria"/>
                          <w:color w:val="595959"/>
                          <w:sz w:val="18"/>
                          <w:szCs w:val="18"/>
                          <w:lang w:val="es-ES"/>
                        </w:rPr>
                        <w:t>.</w:t>
                      </w:r>
                    </w:p>
                  </w:txbxContent>
                </v:textbox>
              </v:shape>
            </w:pict>
          </mc:Fallback>
        </mc:AlternateContent>
      </w:r>
    </w:p>
    <w:p w:rsidR="009D7F32" w:rsidRPr="00AD791A" w:rsidRDefault="009D7F32" w:rsidP="009D7F32">
      <w:pPr>
        <w:tabs>
          <w:tab w:val="center" w:pos="5400"/>
        </w:tabs>
        <w:suppressAutoHyphens/>
        <w:jc w:val="center"/>
        <w:rPr>
          <w:rFonts w:ascii="Cambria" w:hAnsi="Cambria"/>
          <w:sz w:val="20"/>
          <w:szCs w:val="20"/>
          <w:lang w:val="es-ES_tradnl"/>
        </w:rPr>
      </w:pPr>
    </w:p>
    <w:p w:rsidR="009D7F32" w:rsidRPr="00AD791A" w:rsidRDefault="001814EF" w:rsidP="009D7F32">
      <w:pPr>
        <w:tabs>
          <w:tab w:val="center" w:pos="5400"/>
        </w:tabs>
        <w:suppressAutoHyphens/>
        <w:jc w:val="center"/>
        <w:rPr>
          <w:rFonts w:ascii="Cambria" w:hAnsi="Cambria"/>
          <w:b/>
          <w:sz w:val="20"/>
          <w:szCs w:val="20"/>
          <w:lang w:val="es-ES_tradnl"/>
        </w:rPr>
      </w:pPr>
      <w:r w:rsidRPr="00AD791A">
        <w:rPr>
          <w:rFonts w:ascii="Cambria" w:hAnsi="Cambria"/>
          <w:noProof/>
          <w:sz w:val="20"/>
          <w:szCs w:val="20"/>
        </w:rPr>
        <mc:AlternateContent>
          <mc:Choice Requires="wps">
            <w:drawing>
              <wp:anchor distT="0" distB="0" distL="114300" distR="114300" simplePos="0" relativeHeight="251659776" behindDoc="0" locked="0" layoutInCell="1" allowOverlap="1" wp14:anchorId="04152989" wp14:editId="3AE72FAE">
                <wp:simplePos x="0" y="0"/>
                <wp:positionH relativeFrom="column">
                  <wp:posOffset>1329690</wp:posOffset>
                </wp:positionH>
                <wp:positionV relativeFrom="paragraph">
                  <wp:posOffset>638810</wp:posOffset>
                </wp:positionV>
                <wp:extent cx="4096385" cy="567055"/>
                <wp:effectExtent l="0" t="0" r="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0A6E4C" w:rsidRPr="00D142E1" w:rsidRDefault="000A6E4C" w:rsidP="009D7F32">
                            <w:pPr>
                              <w:rPr>
                                <w:color w:val="FFFFFF"/>
                              </w:rPr>
                            </w:pPr>
                            <w:r>
                              <w:rPr>
                                <w:noProof/>
                                <w:color w:val="FFFFFF"/>
                              </w:rPr>
                              <w:drawing>
                                <wp:inline distT="0" distB="0" distL="0" distR="0" wp14:anchorId="612FD1B3" wp14:editId="028CBC0A">
                                  <wp:extent cx="1343025" cy="390525"/>
                                  <wp:effectExtent l="0" t="0" r="9525" b="9525"/>
                                  <wp:docPr id="21"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CVCk84XQIAALgEAAAOAAAAAAAAAAAAAAAAAC4CAABkcnMvZTJvRG9j&#10;LnhtbFBLAQItABQABgAIAAAAIQCdw4DZ3wAAAAsBAAAPAAAAAAAAAAAAAAAAALcEAABkcnMvZG93&#10;bnJldi54bWxQSwUGAAAAAAQABADzAAAAwwUAAAAA&#10;" fillcolor="window" stroked="f" strokeweight=".5pt">
                <v:path arrowok="t"/>
                <v:textbox>
                  <w:txbxContent>
                    <w:p w:rsidR="000A6E4C" w:rsidRPr="00D142E1" w:rsidRDefault="000A6E4C" w:rsidP="009D7F32">
                      <w:pPr>
                        <w:rPr>
                          <w:color w:val="FFFFFF"/>
                        </w:rPr>
                      </w:pPr>
                      <w:r>
                        <w:rPr>
                          <w:noProof/>
                          <w:color w:val="FFFFFF"/>
                        </w:rPr>
                        <w:drawing>
                          <wp:inline distT="0" distB="0" distL="0" distR="0" wp14:anchorId="612FD1B3" wp14:editId="028CBC0A">
                            <wp:extent cx="1343025" cy="390525"/>
                            <wp:effectExtent l="0" t="0" r="9525" b="9525"/>
                            <wp:docPr id="21"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txbxContent>
                </v:textbox>
              </v:shape>
            </w:pict>
          </mc:Fallback>
        </mc:AlternateContent>
      </w:r>
      <w:r w:rsidRPr="00AD791A">
        <w:rPr>
          <w:rFonts w:ascii="Cambria" w:hAnsi="Cambria"/>
          <w:noProof/>
          <w:sz w:val="20"/>
          <w:szCs w:val="20"/>
        </w:rPr>
        <mc:AlternateContent>
          <mc:Choice Requires="wps">
            <w:drawing>
              <wp:anchor distT="0" distB="0" distL="114300" distR="114300" simplePos="0" relativeHeight="251660800" behindDoc="0" locked="0" layoutInCell="1" allowOverlap="1" wp14:anchorId="521D07EB" wp14:editId="3EC596D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0A6E4C" w:rsidRPr="00D142E1" w:rsidRDefault="000A6E4C" w:rsidP="009D7F32">
                            <w:pPr>
                              <w:jc w:val="center"/>
                              <w:rPr>
                                <w:rFonts w:ascii="Calibri" w:hAnsi="Calibri"/>
                                <w:b/>
                                <w:color w:val="FFFFFF"/>
                              </w:rPr>
                            </w:pPr>
                            <w:r w:rsidRPr="00D142E1">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NwPQ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" filled="f" stroked="f" strokeweight=".5pt">
                <v:path arrowok="t"/>
                <v:textbox>
                  <w:txbxContent>
                    <w:p w:rsidR="000A6E4C" w:rsidRPr="00D142E1" w:rsidRDefault="000A6E4C" w:rsidP="009D7F32">
                      <w:pPr>
                        <w:jc w:val="center"/>
                        <w:rPr>
                          <w:rFonts w:ascii="Calibri" w:hAnsi="Calibri"/>
                          <w:b/>
                          <w:color w:val="FFFFFF"/>
                        </w:rPr>
                      </w:pPr>
                      <w:r w:rsidRPr="00D142E1">
                        <w:rPr>
                          <w:rFonts w:ascii="Calibri" w:hAnsi="Calibri"/>
                          <w:b/>
                          <w:color w:val="FFFFFF"/>
                          <w:lang w:val="pt-BR"/>
                        </w:rPr>
                        <w:t>www.cidh.org</w:t>
                      </w:r>
                    </w:p>
                  </w:txbxContent>
                </v:textbox>
              </v:shape>
            </w:pict>
          </mc:Fallback>
        </mc:AlternateContent>
      </w:r>
    </w:p>
    <w:p w:rsidR="009D7F32" w:rsidRPr="00AD791A" w:rsidRDefault="009D7F32" w:rsidP="009D7F32">
      <w:pPr>
        <w:tabs>
          <w:tab w:val="center" w:pos="5400"/>
        </w:tabs>
        <w:suppressAutoHyphens/>
        <w:jc w:val="center"/>
        <w:rPr>
          <w:rFonts w:ascii="Cambria" w:hAnsi="Cambria"/>
          <w:b/>
          <w:sz w:val="20"/>
          <w:szCs w:val="20"/>
          <w:lang w:val="es-ES_tradnl"/>
        </w:rPr>
        <w:sectPr w:rsidR="009D7F32" w:rsidRPr="00AD791A" w:rsidSect="009D7F32">
          <w:headerReference w:type="even" r:id="rId11"/>
          <w:headerReference w:type="default" r:id="rId12"/>
          <w:footerReference w:type="default" r:id="rId13"/>
          <w:footerReference w:type="first" r:id="rId14"/>
          <w:pgSz w:w="12240" w:h="15840"/>
          <w:pgMar w:top="1440" w:right="1440" w:bottom="1440" w:left="1440" w:header="720" w:footer="720" w:gutter="0"/>
          <w:pgNumType w:start="0"/>
          <w:cols w:space="720"/>
          <w:titlePg/>
          <w:docGrid w:linePitch="326"/>
        </w:sectPr>
      </w:pPr>
    </w:p>
    <w:p w:rsidR="009D7F32" w:rsidRPr="00AD791A" w:rsidRDefault="009D20F0" w:rsidP="009D7F32">
      <w:pPr>
        <w:jc w:val="center"/>
        <w:rPr>
          <w:rFonts w:ascii="Cambria" w:hAnsi="Cambria"/>
          <w:b/>
          <w:sz w:val="18"/>
          <w:szCs w:val="18"/>
          <w:lang w:val="es-ES"/>
        </w:rPr>
      </w:pPr>
      <w:r w:rsidRPr="00AD791A">
        <w:rPr>
          <w:rFonts w:ascii="Cambria" w:hAnsi="Cambria"/>
          <w:b/>
          <w:sz w:val="18"/>
          <w:szCs w:val="18"/>
          <w:lang w:val="es-ES"/>
        </w:rPr>
        <w:lastRenderedPageBreak/>
        <w:t>INFORME N</w:t>
      </w:r>
      <w:r w:rsidR="00842402" w:rsidRPr="00AD791A">
        <w:rPr>
          <w:rFonts w:ascii="Cambria" w:hAnsi="Cambria"/>
          <w:b/>
          <w:sz w:val="18"/>
          <w:szCs w:val="18"/>
          <w:lang w:val="es-ES"/>
        </w:rPr>
        <w:t>o</w:t>
      </w:r>
      <w:r w:rsidRPr="00AD791A">
        <w:rPr>
          <w:rFonts w:ascii="Cambria" w:hAnsi="Cambria"/>
          <w:b/>
          <w:sz w:val="18"/>
          <w:szCs w:val="18"/>
          <w:lang w:val="es-ES"/>
        </w:rPr>
        <w:t xml:space="preserve">. </w:t>
      </w:r>
      <w:r w:rsidR="007202AC">
        <w:rPr>
          <w:rFonts w:ascii="Cambria" w:hAnsi="Cambria"/>
          <w:b/>
          <w:sz w:val="18"/>
          <w:szCs w:val="18"/>
          <w:lang w:val="es-ES"/>
        </w:rPr>
        <w:t>22</w:t>
      </w:r>
      <w:r w:rsidR="00842402" w:rsidRPr="00AD791A">
        <w:rPr>
          <w:rFonts w:ascii="Cambria" w:hAnsi="Cambria"/>
          <w:b/>
          <w:sz w:val="18"/>
          <w:szCs w:val="18"/>
          <w:lang w:val="es-ES"/>
        </w:rPr>
        <w:t>/15</w:t>
      </w:r>
    </w:p>
    <w:p w:rsidR="009D7F32" w:rsidRPr="00AD791A" w:rsidRDefault="009D20F0" w:rsidP="009D7F32">
      <w:pPr>
        <w:jc w:val="center"/>
        <w:rPr>
          <w:rFonts w:ascii="Cambria" w:hAnsi="Cambria"/>
          <w:sz w:val="18"/>
          <w:szCs w:val="18"/>
          <w:lang w:val="es-ES"/>
        </w:rPr>
      </w:pPr>
      <w:r w:rsidRPr="00AD791A">
        <w:rPr>
          <w:rFonts w:ascii="Cambria" w:hAnsi="Cambria"/>
          <w:sz w:val="18"/>
          <w:szCs w:val="18"/>
          <w:lang w:val="es-ES"/>
        </w:rPr>
        <w:t>CASO 12.792</w:t>
      </w:r>
    </w:p>
    <w:p w:rsidR="009D7F32" w:rsidRPr="00AD791A" w:rsidRDefault="009D20F0" w:rsidP="009D7F32">
      <w:pPr>
        <w:jc w:val="center"/>
        <w:rPr>
          <w:rFonts w:ascii="Cambria" w:hAnsi="Cambria"/>
          <w:sz w:val="18"/>
          <w:szCs w:val="18"/>
          <w:lang w:val="es-ES"/>
        </w:rPr>
      </w:pPr>
      <w:r w:rsidRPr="00AD791A">
        <w:rPr>
          <w:rFonts w:ascii="Cambria" w:hAnsi="Cambria"/>
          <w:sz w:val="18"/>
          <w:szCs w:val="18"/>
          <w:lang w:val="es-ES"/>
        </w:rPr>
        <w:t>FONDO</w:t>
      </w:r>
    </w:p>
    <w:p w:rsidR="009D7F32" w:rsidRPr="00AD791A" w:rsidRDefault="009D20F0" w:rsidP="009D7F32">
      <w:pPr>
        <w:jc w:val="center"/>
        <w:rPr>
          <w:rFonts w:ascii="Cambria" w:hAnsi="Cambria"/>
          <w:sz w:val="18"/>
          <w:szCs w:val="18"/>
          <w:lang w:val="es-ES"/>
        </w:rPr>
      </w:pPr>
      <w:r w:rsidRPr="00AD791A">
        <w:rPr>
          <w:rFonts w:ascii="Cambria" w:hAnsi="Cambria"/>
          <w:sz w:val="18"/>
          <w:szCs w:val="18"/>
          <w:lang w:val="es-ES"/>
        </w:rPr>
        <w:t>MARIA LUISA ACOSTA Y OTROS</w:t>
      </w:r>
    </w:p>
    <w:p w:rsidR="009D7F32" w:rsidRPr="00AD791A" w:rsidRDefault="009D20F0" w:rsidP="009D7F32">
      <w:pPr>
        <w:jc w:val="center"/>
        <w:rPr>
          <w:rFonts w:ascii="Cambria" w:hAnsi="Cambria"/>
          <w:sz w:val="18"/>
          <w:szCs w:val="18"/>
          <w:lang w:val="es-ES"/>
        </w:rPr>
      </w:pPr>
      <w:r w:rsidRPr="00AD791A">
        <w:rPr>
          <w:rFonts w:ascii="Cambria" w:hAnsi="Cambria"/>
          <w:sz w:val="18"/>
          <w:szCs w:val="18"/>
          <w:lang w:val="es-ES"/>
        </w:rPr>
        <w:t>NICARAGUA</w:t>
      </w:r>
    </w:p>
    <w:p w:rsidR="009D7F32" w:rsidRPr="00AD791A" w:rsidRDefault="007202AC" w:rsidP="009D7F32">
      <w:pPr>
        <w:jc w:val="center"/>
        <w:rPr>
          <w:rFonts w:ascii="Cambria" w:hAnsi="Cambria"/>
          <w:sz w:val="18"/>
          <w:szCs w:val="18"/>
          <w:lang w:val="es-ES"/>
        </w:rPr>
      </w:pPr>
      <w:r>
        <w:rPr>
          <w:rFonts w:ascii="Cambria" w:hAnsi="Cambria"/>
          <w:sz w:val="18"/>
          <w:szCs w:val="18"/>
          <w:lang w:val="es-ES"/>
        </w:rPr>
        <w:t>26</w:t>
      </w:r>
      <w:r w:rsidR="009D20F0" w:rsidRPr="00AD791A">
        <w:rPr>
          <w:rFonts w:ascii="Cambria" w:hAnsi="Cambria"/>
          <w:sz w:val="18"/>
          <w:szCs w:val="18"/>
          <w:lang w:val="es-ES"/>
        </w:rPr>
        <w:t xml:space="preserve"> DE MARZO DE 2015 </w:t>
      </w:r>
    </w:p>
    <w:p w:rsidR="009D7F32" w:rsidRPr="00AD791A" w:rsidRDefault="009D7F32" w:rsidP="009D7F32">
      <w:pPr>
        <w:jc w:val="both"/>
        <w:rPr>
          <w:rFonts w:ascii="Cambria" w:hAnsi="Cambria"/>
          <w:sz w:val="20"/>
          <w:szCs w:val="20"/>
          <w:lang w:val="es-ES"/>
        </w:rPr>
      </w:pPr>
    </w:p>
    <w:p w:rsidR="00AA15B5" w:rsidRPr="00AD791A" w:rsidRDefault="00AA15B5" w:rsidP="00AA15B5">
      <w:pPr>
        <w:jc w:val="both"/>
        <w:rPr>
          <w:rFonts w:ascii="Cambria" w:hAnsi="Cambria"/>
          <w:sz w:val="20"/>
          <w:szCs w:val="20"/>
          <w:lang w:val="es-ES"/>
        </w:rPr>
      </w:pPr>
    </w:p>
    <w:p w:rsidR="00AA15B5" w:rsidRPr="00AD791A" w:rsidRDefault="00AA15B5" w:rsidP="00AA15B5">
      <w:pPr>
        <w:pStyle w:val="TOC1"/>
        <w:jc w:val="left"/>
        <w:rPr>
          <w:rFonts w:asciiTheme="majorHAnsi" w:eastAsia="Times New Roman" w:hAnsiTheme="majorHAnsi"/>
          <w:noProof/>
          <w:sz w:val="20"/>
          <w:szCs w:val="20"/>
        </w:rPr>
      </w:pPr>
      <w:r w:rsidRPr="00AD791A">
        <w:rPr>
          <w:rFonts w:ascii="Cambria" w:hAnsi="Cambria"/>
          <w:sz w:val="20"/>
          <w:szCs w:val="20"/>
          <w:lang w:val="es-ES"/>
        </w:rPr>
        <w:fldChar w:fldCharType="begin"/>
      </w:r>
      <w:r w:rsidRPr="00AD791A">
        <w:rPr>
          <w:rFonts w:ascii="Cambria" w:hAnsi="Cambria"/>
          <w:sz w:val="20"/>
          <w:szCs w:val="20"/>
          <w:lang w:val="es-ES"/>
        </w:rPr>
        <w:instrText xml:space="preserve"> TOC \o "1-3" \h \z \u </w:instrText>
      </w:r>
      <w:r w:rsidRPr="00AD791A">
        <w:rPr>
          <w:rFonts w:ascii="Cambria" w:hAnsi="Cambria"/>
          <w:sz w:val="20"/>
          <w:szCs w:val="20"/>
          <w:lang w:val="es-ES"/>
        </w:rPr>
        <w:fldChar w:fldCharType="separate"/>
      </w:r>
      <w:hyperlink w:anchor="_Toc414177740" w:history="1">
        <w:r w:rsidRPr="00AD791A">
          <w:rPr>
            <w:rStyle w:val="Hyperlink"/>
            <w:rFonts w:asciiTheme="majorHAnsi" w:hAnsiTheme="majorHAnsi"/>
            <w:noProof/>
            <w:sz w:val="20"/>
            <w:szCs w:val="20"/>
          </w:rPr>
          <w:t>I.</w:t>
        </w:r>
        <w:r w:rsidRPr="00AD791A">
          <w:rPr>
            <w:rFonts w:asciiTheme="majorHAnsi" w:eastAsia="Times New Roman" w:hAnsiTheme="majorHAnsi"/>
            <w:noProof/>
            <w:sz w:val="20"/>
            <w:szCs w:val="20"/>
          </w:rPr>
          <w:tab/>
        </w:r>
        <w:r w:rsidRPr="00AD791A">
          <w:rPr>
            <w:rStyle w:val="Hyperlink"/>
            <w:rFonts w:asciiTheme="majorHAnsi" w:hAnsiTheme="majorHAnsi"/>
            <w:noProof/>
            <w:sz w:val="20"/>
            <w:szCs w:val="20"/>
          </w:rPr>
          <w:t>RESUMEN</w:t>
        </w:r>
        <w:r w:rsidRPr="00AD791A">
          <w:rPr>
            <w:rFonts w:asciiTheme="majorHAnsi" w:hAnsiTheme="majorHAnsi"/>
            <w:noProof/>
            <w:webHidden/>
            <w:sz w:val="20"/>
            <w:szCs w:val="20"/>
          </w:rPr>
          <w:tab/>
        </w:r>
        <w:r w:rsidRPr="00AD791A">
          <w:rPr>
            <w:rFonts w:asciiTheme="majorHAnsi" w:hAnsiTheme="majorHAnsi"/>
            <w:noProof/>
            <w:webHidden/>
            <w:sz w:val="20"/>
            <w:szCs w:val="20"/>
          </w:rPr>
          <w:fldChar w:fldCharType="begin"/>
        </w:r>
        <w:r w:rsidRPr="00AD791A">
          <w:rPr>
            <w:rFonts w:asciiTheme="majorHAnsi" w:hAnsiTheme="majorHAnsi"/>
            <w:noProof/>
            <w:webHidden/>
            <w:sz w:val="20"/>
            <w:szCs w:val="20"/>
          </w:rPr>
          <w:instrText xml:space="preserve"> PAGEREF _Toc414177740 \h </w:instrText>
        </w:r>
        <w:r w:rsidRPr="00AD791A">
          <w:rPr>
            <w:rFonts w:asciiTheme="majorHAnsi" w:hAnsiTheme="majorHAnsi"/>
            <w:noProof/>
            <w:webHidden/>
            <w:sz w:val="20"/>
            <w:szCs w:val="20"/>
          </w:rPr>
        </w:r>
        <w:r w:rsidRPr="00AD791A">
          <w:rPr>
            <w:rFonts w:asciiTheme="majorHAnsi" w:hAnsiTheme="majorHAnsi"/>
            <w:noProof/>
            <w:webHidden/>
            <w:sz w:val="20"/>
            <w:szCs w:val="20"/>
          </w:rPr>
          <w:fldChar w:fldCharType="separate"/>
        </w:r>
        <w:r w:rsidR="000A6E4C">
          <w:rPr>
            <w:rFonts w:asciiTheme="majorHAnsi" w:hAnsiTheme="majorHAnsi"/>
            <w:noProof/>
            <w:webHidden/>
            <w:sz w:val="20"/>
            <w:szCs w:val="20"/>
          </w:rPr>
          <w:t>1</w:t>
        </w:r>
        <w:r w:rsidRPr="00AD791A">
          <w:rPr>
            <w:rFonts w:asciiTheme="majorHAnsi" w:hAnsiTheme="majorHAnsi"/>
            <w:noProof/>
            <w:webHidden/>
            <w:sz w:val="20"/>
            <w:szCs w:val="20"/>
          </w:rPr>
          <w:fldChar w:fldCharType="end"/>
        </w:r>
      </w:hyperlink>
    </w:p>
    <w:p w:rsidR="00AA15B5" w:rsidRPr="00AD791A" w:rsidRDefault="00AA15B5" w:rsidP="00AA15B5">
      <w:pPr>
        <w:pStyle w:val="TOC1"/>
        <w:jc w:val="left"/>
        <w:rPr>
          <w:rStyle w:val="Hyperlink"/>
          <w:rFonts w:asciiTheme="majorHAnsi" w:hAnsiTheme="majorHAnsi"/>
          <w:noProof/>
          <w:sz w:val="20"/>
          <w:szCs w:val="20"/>
        </w:rPr>
      </w:pPr>
    </w:p>
    <w:p w:rsidR="00AA15B5" w:rsidRPr="00AD791A" w:rsidRDefault="000A6E4C" w:rsidP="00AA15B5">
      <w:pPr>
        <w:pStyle w:val="TOC1"/>
        <w:jc w:val="left"/>
        <w:rPr>
          <w:rFonts w:asciiTheme="majorHAnsi" w:eastAsia="Times New Roman" w:hAnsiTheme="majorHAnsi"/>
          <w:noProof/>
          <w:sz w:val="20"/>
          <w:szCs w:val="20"/>
        </w:rPr>
      </w:pPr>
      <w:hyperlink w:anchor="_Toc414177741" w:history="1">
        <w:r w:rsidR="00AA15B5" w:rsidRPr="00AD791A">
          <w:rPr>
            <w:rStyle w:val="Hyperlink"/>
            <w:rFonts w:asciiTheme="majorHAnsi" w:hAnsiTheme="majorHAnsi"/>
            <w:noProof/>
            <w:sz w:val="20"/>
            <w:szCs w:val="20"/>
          </w:rPr>
          <w:t xml:space="preserve">II. </w:t>
        </w:r>
        <w:r w:rsidR="00AA15B5" w:rsidRPr="00AD791A">
          <w:rPr>
            <w:rFonts w:asciiTheme="majorHAnsi" w:eastAsia="Times New Roman" w:hAnsiTheme="majorHAnsi"/>
            <w:noProof/>
            <w:sz w:val="20"/>
            <w:szCs w:val="20"/>
          </w:rPr>
          <w:tab/>
        </w:r>
        <w:r w:rsidR="00AA15B5" w:rsidRPr="00AD791A">
          <w:rPr>
            <w:rStyle w:val="Hyperlink"/>
            <w:rFonts w:asciiTheme="majorHAnsi" w:hAnsiTheme="majorHAnsi"/>
            <w:noProof/>
            <w:sz w:val="20"/>
            <w:szCs w:val="20"/>
          </w:rPr>
          <w:t xml:space="preserve">TRÁMITE ANTE LA COMISIÓN POSTERIOR A LA APROBACIÓN DEL INFORME </w:t>
        </w:r>
        <w:r w:rsidR="00AA15B5" w:rsidRPr="00AD791A">
          <w:rPr>
            <w:rStyle w:val="Hyperlink"/>
            <w:rFonts w:asciiTheme="majorHAnsi" w:hAnsiTheme="majorHAnsi"/>
            <w:noProof/>
            <w:sz w:val="20"/>
            <w:szCs w:val="20"/>
          </w:rPr>
          <w:br/>
          <w:t>DE ADMISIBILIDAD 148/10</w:t>
        </w:r>
        <w:r w:rsidR="00AA15B5" w:rsidRPr="00AD791A">
          <w:rPr>
            <w:rFonts w:asciiTheme="majorHAnsi" w:hAnsiTheme="majorHAnsi"/>
            <w:noProof/>
            <w:webHidden/>
            <w:sz w:val="20"/>
            <w:szCs w:val="20"/>
          </w:rPr>
          <w:tab/>
        </w:r>
        <w:r w:rsidR="00AA15B5" w:rsidRPr="00AD791A">
          <w:rPr>
            <w:rFonts w:asciiTheme="majorHAnsi" w:hAnsiTheme="majorHAnsi"/>
            <w:noProof/>
            <w:webHidden/>
            <w:sz w:val="20"/>
            <w:szCs w:val="20"/>
          </w:rPr>
          <w:fldChar w:fldCharType="begin"/>
        </w:r>
        <w:r w:rsidR="00AA15B5" w:rsidRPr="00AD791A">
          <w:rPr>
            <w:rFonts w:asciiTheme="majorHAnsi" w:hAnsiTheme="majorHAnsi"/>
            <w:noProof/>
            <w:webHidden/>
            <w:sz w:val="20"/>
            <w:szCs w:val="20"/>
          </w:rPr>
          <w:instrText xml:space="preserve"> PAGEREF _Toc414177741 \h </w:instrText>
        </w:r>
        <w:r w:rsidR="00AA15B5" w:rsidRPr="00AD791A">
          <w:rPr>
            <w:rFonts w:asciiTheme="majorHAnsi" w:hAnsiTheme="majorHAnsi"/>
            <w:noProof/>
            <w:webHidden/>
            <w:sz w:val="20"/>
            <w:szCs w:val="20"/>
          </w:rPr>
        </w:r>
        <w:r w:rsidR="00AA15B5" w:rsidRPr="00AD791A">
          <w:rPr>
            <w:rFonts w:asciiTheme="majorHAnsi" w:hAnsiTheme="majorHAnsi"/>
            <w:noProof/>
            <w:webHidden/>
            <w:sz w:val="20"/>
            <w:szCs w:val="20"/>
          </w:rPr>
          <w:fldChar w:fldCharType="separate"/>
        </w:r>
        <w:r>
          <w:rPr>
            <w:rFonts w:asciiTheme="majorHAnsi" w:hAnsiTheme="majorHAnsi"/>
            <w:noProof/>
            <w:webHidden/>
            <w:sz w:val="20"/>
            <w:szCs w:val="20"/>
          </w:rPr>
          <w:t>1</w:t>
        </w:r>
        <w:r w:rsidR="00AA15B5" w:rsidRPr="00AD791A">
          <w:rPr>
            <w:rFonts w:asciiTheme="majorHAnsi" w:hAnsiTheme="majorHAnsi"/>
            <w:noProof/>
            <w:webHidden/>
            <w:sz w:val="20"/>
            <w:szCs w:val="20"/>
          </w:rPr>
          <w:fldChar w:fldCharType="end"/>
        </w:r>
      </w:hyperlink>
    </w:p>
    <w:p w:rsidR="00AA15B5" w:rsidRPr="00AD791A" w:rsidRDefault="00AA15B5" w:rsidP="00AA15B5">
      <w:pPr>
        <w:pStyle w:val="TOC1"/>
        <w:jc w:val="left"/>
        <w:rPr>
          <w:rStyle w:val="Hyperlink"/>
          <w:rFonts w:asciiTheme="majorHAnsi" w:hAnsiTheme="majorHAnsi"/>
          <w:noProof/>
          <w:sz w:val="20"/>
          <w:szCs w:val="20"/>
        </w:rPr>
      </w:pPr>
    </w:p>
    <w:p w:rsidR="00AA15B5" w:rsidRPr="00AD791A" w:rsidRDefault="000A6E4C" w:rsidP="00AA15B5">
      <w:pPr>
        <w:pStyle w:val="TOC1"/>
        <w:jc w:val="left"/>
        <w:rPr>
          <w:rFonts w:asciiTheme="majorHAnsi" w:eastAsia="Times New Roman" w:hAnsiTheme="majorHAnsi"/>
          <w:noProof/>
          <w:sz w:val="20"/>
          <w:szCs w:val="20"/>
        </w:rPr>
      </w:pPr>
      <w:hyperlink w:anchor="_Toc414177742" w:history="1">
        <w:r w:rsidR="00AA15B5" w:rsidRPr="00AD791A">
          <w:rPr>
            <w:rStyle w:val="Hyperlink"/>
            <w:rFonts w:asciiTheme="majorHAnsi" w:hAnsiTheme="majorHAnsi"/>
            <w:noProof/>
            <w:sz w:val="20"/>
            <w:szCs w:val="20"/>
          </w:rPr>
          <w:t>III.</w:t>
        </w:r>
        <w:r w:rsidR="00AA15B5" w:rsidRPr="00AD791A">
          <w:rPr>
            <w:rFonts w:asciiTheme="majorHAnsi" w:eastAsia="Times New Roman" w:hAnsiTheme="majorHAnsi"/>
            <w:noProof/>
            <w:sz w:val="20"/>
            <w:szCs w:val="20"/>
          </w:rPr>
          <w:tab/>
        </w:r>
        <w:r w:rsidR="00AA15B5" w:rsidRPr="00AD791A">
          <w:rPr>
            <w:rStyle w:val="Hyperlink"/>
            <w:rFonts w:asciiTheme="majorHAnsi" w:hAnsiTheme="majorHAnsi"/>
            <w:noProof/>
            <w:sz w:val="20"/>
            <w:szCs w:val="20"/>
          </w:rPr>
          <w:t>POSICIONES DE LAS PARTES</w:t>
        </w:r>
        <w:r w:rsidR="00AA15B5" w:rsidRPr="00AD791A">
          <w:rPr>
            <w:rFonts w:asciiTheme="majorHAnsi" w:hAnsiTheme="majorHAnsi"/>
            <w:noProof/>
            <w:webHidden/>
            <w:sz w:val="20"/>
            <w:szCs w:val="20"/>
          </w:rPr>
          <w:tab/>
        </w:r>
        <w:r w:rsidR="00AA15B5" w:rsidRPr="00AD791A">
          <w:rPr>
            <w:rFonts w:asciiTheme="majorHAnsi" w:hAnsiTheme="majorHAnsi"/>
            <w:noProof/>
            <w:webHidden/>
            <w:sz w:val="20"/>
            <w:szCs w:val="20"/>
          </w:rPr>
          <w:fldChar w:fldCharType="begin"/>
        </w:r>
        <w:r w:rsidR="00AA15B5" w:rsidRPr="00AD791A">
          <w:rPr>
            <w:rFonts w:asciiTheme="majorHAnsi" w:hAnsiTheme="majorHAnsi"/>
            <w:noProof/>
            <w:webHidden/>
            <w:sz w:val="20"/>
            <w:szCs w:val="20"/>
          </w:rPr>
          <w:instrText xml:space="preserve"> PAGEREF _Toc414177742 \h </w:instrText>
        </w:r>
        <w:r w:rsidR="00AA15B5" w:rsidRPr="00AD791A">
          <w:rPr>
            <w:rFonts w:asciiTheme="majorHAnsi" w:hAnsiTheme="majorHAnsi"/>
            <w:noProof/>
            <w:webHidden/>
            <w:sz w:val="20"/>
            <w:szCs w:val="20"/>
          </w:rPr>
        </w:r>
        <w:r w:rsidR="00AA15B5" w:rsidRPr="00AD791A">
          <w:rPr>
            <w:rFonts w:asciiTheme="majorHAnsi" w:hAnsiTheme="majorHAnsi"/>
            <w:noProof/>
            <w:webHidden/>
            <w:sz w:val="20"/>
            <w:szCs w:val="20"/>
          </w:rPr>
          <w:fldChar w:fldCharType="separate"/>
        </w:r>
        <w:r>
          <w:rPr>
            <w:rFonts w:asciiTheme="majorHAnsi" w:hAnsiTheme="majorHAnsi"/>
            <w:noProof/>
            <w:webHidden/>
            <w:sz w:val="20"/>
            <w:szCs w:val="20"/>
          </w:rPr>
          <w:t>2</w:t>
        </w:r>
        <w:r w:rsidR="00AA15B5" w:rsidRPr="00AD791A">
          <w:rPr>
            <w:rFonts w:asciiTheme="majorHAnsi" w:hAnsiTheme="majorHAnsi"/>
            <w:noProof/>
            <w:webHidden/>
            <w:sz w:val="20"/>
            <w:szCs w:val="20"/>
          </w:rPr>
          <w:fldChar w:fldCharType="end"/>
        </w:r>
      </w:hyperlink>
    </w:p>
    <w:p w:rsidR="00AA15B5" w:rsidRPr="00AD791A" w:rsidRDefault="000A6E4C" w:rsidP="00AA15B5">
      <w:pPr>
        <w:pStyle w:val="TOC2"/>
        <w:rPr>
          <w:rFonts w:asciiTheme="majorHAnsi" w:eastAsia="Times New Roman" w:hAnsiTheme="majorHAnsi"/>
          <w:noProof/>
          <w:sz w:val="20"/>
          <w:szCs w:val="20"/>
        </w:rPr>
      </w:pPr>
      <w:hyperlink w:anchor="_Toc414177743" w:history="1">
        <w:r w:rsidR="00AA15B5" w:rsidRPr="00AD791A">
          <w:rPr>
            <w:rStyle w:val="Hyperlink"/>
            <w:rFonts w:asciiTheme="majorHAnsi" w:hAnsiTheme="majorHAnsi"/>
            <w:noProof/>
            <w:sz w:val="20"/>
            <w:szCs w:val="20"/>
            <w:lang w:val="es-MX"/>
          </w:rPr>
          <w:t>A.</w:t>
        </w:r>
        <w:r w:rsidR="00AA15B5" w:rsidRPr="00AD791A">
          <w:rPr>
            <w:rFonts w:asciiTheme="majorHAnsi" w:eastAsia="Times New Roman" w:hAnsiTheme="majorHAnsi"/>
            <w:noProof/>
            <w:sz w:val="20"/>
            <w:szCs w:val="20"/>
          </w:rPr>
          <w:tab/>
        </w:r>
        <w:r w:rsidR="00AA15B5" w:rsidRPr="00AD791A">
          <w:rPr>
            <w:rStyle w:val="Hyperlink"/>
            <w:rFonts w:asciiTheme="majorHAnsi" w:hAnsiTheme="majorHAnsi"/>
            <w:noProof/>
            <w:sz w:val="20"/>
            <w:szCs w:val="20"/>
            <w:lang w:val="es-MX"/>
          </w:rPr>
          <w:t>Posición de los peticionarios</w:t>
        </w:r>
        <w:r w:rsidR="00AA15B5" w:rsidRPr="00AD791A">
          <w:rPr>
            <w:rFonts w:asciiTheme="majorHAnsi" w:hAnsiTheme="majorHAnsi"/>
            <w:noProof/>
            <w:webHidden/>
            <w:sz w:val="20"/>
            <w:szCs w:val="20"/>
          </w:rPr>
          <w:tab/>
        </w:r>
        <w:r w:rsidR="00AA15B5" w:rsidRPr="00AD791A">
          <w:rPr>
            <w:rFonts w:asciiTheme="majorHAnsi" w:hAnsiTheme="majorHAnsi"/>
            <w:noProof/>
            <w:webHidden/>
            <w:sz w:val="20"/>
            <w:szCs w:val="20"/>
          </w:rPr>
          <w:fldChar w:fldCharType="begin"/>
        </w:r>
        <w:r w:rsidR="00AA15B5" w:rsidRPr="00AD791A">
          <w:rPr>
            <w:rFonts w:asciiTheme="majorHAnsi" w:hAnsiTheme="majorHAnsi"/>
            <w:noProof/>
            <w:webHidden/>
            <w:sz w:val="20"/>
            <w:szCs w:val="20"/>
          </w:rPr>
          <w:instrText xml:space="preserve"> PAGEREF _Toc414177743 \h </w:instrText>
        </w:r>
        <w:r w:rsidR="00AA15B5" w:rsidRPr="00AD791A">
          <w:rPr>
            <w:rFonts w:asciiTheme="majorHAnsi" w:hAnsiTheme="majorHAnsi"/>
            <w:noProof/>
            <w:webHidden/>
            <w:sz w:val="20"/>
            <w:szCs w:val="20"/>
          </w:rPr>
        </w:r>
        <w:r w:rsidR="00AA15B5" w:rsidRPr="00AD791A">
          <w:rPr>
            <w:rFonts w:asciiTheme="majorHAnsi" w:hAnsiTheme="majorHAnsi"/>
            <w:noProof/>
            <w:webHidden/>
            <w:sz w:val="20"/>
            <w:szCs w:val="20"/>
          </w:rPr>
          <w:fldChar w:fldCharType="separate"/>
        </w:r>
        <w:r>
          <w:rPr>
            <w:rFonts w:asciiTheme="majorHAnsi" w:hAnsiTheme="majorHAnsi"/>
            <w:noProof/>
            <w:webHidden/>
            <w:sz w:val="20"/>
            <w:szCs w:val="20"/>
          </w:rPr>
          <w:t>2</w:t>
        </w:r>
        <w:r w:rsidR="00AA15B5" w:rsidRPr="00AD791A">
          <w:rPr>
            <w:rFonts w:asciiTheme="majorHAnsi" w:hAnsiTheme="majorHAnsi"/>
            <w:noProof/>
            <w:webHidden/>
            <w:sz w:val="20"/>
            <w:szCs w:val="20"/>
          </w:rPr>
          <w:fldChar w:fldCharType="end"/>
        </w:r>
      </w:hyperlink>
    </w:p>
    <w:p w:rsidR="00AA15B5" w:rsidRPr="00AD791A" w:rsidRDefault="000A6E4C" w:rsidP="00AA15B5">
      <w:pPr>
        <w:pStyle w:val="TOC2"/>
        <w:rPr>
          <w:rFonts w:asciiTheme="majorHAnsi" w:eastAsia="Times New Roman" w:hAnsiTheme="majorHAnsi"/>
          <w:noProof/>
          <w:sz w:val="20"/>
          <w:szCs w:val="20"/>
        </w:rPr>
      </w:pPr>
      <w:hyperlink w:anchor="_Toc414177744" w:history="1">
        <w:r w:rsidR="00AA15B5" w:rsidRPr="00AD791A">
          <w:rPr>
            <w:rStyle w:val="Hyperlink"/>
            <w:rFonts w:asciiTheme="majorHAnsi" w:hAnsiTheme="majorHAnsi"/>
            <w:noProof/>
            <w:sz w:val="20"/>
            <w:szCs w:val="20"/>
          </w:rPr>
          <w:t>B.</w:t>
        </w:r>
        <w:r w:rsidR="00AA15B5" w:rsidRPr="00AD791A">
          <w:rPr>
            <w:rFonts w:asciiTheme="majorHAnsi" w:eastAsia="Times New Roman" w:hAnsiTheme="majorHAnsi"/>
            <w:noProof/>
            <w:sz w:val="20"/>
            <w:szCs w:val="20"/>
          </w:rPr>
          <w:tab/>
        </w:r>
        <w:r w:rsidR="00AA15B5" w:rsidRPr="00AD791A">
          <w:rPr>
            <w:rStyle w:val="Hyperlink"/>
            <w:rFonts w:asciiTheme="majorHAnsi" w:hAnsiTheme="majorHAnsi"/>
            <w:noProof/>
            <w:sz w:val="20"/>
            <w:szCs w:val="20"/>
          </w:rPr>
          <w:t>Posición del Estado</w:t>
        </w:r>
        <w:r w:rsidR="00AA15B5" w:rsidRPr="00AD791A">
          <w:rPr>
            <w:rFonts w:asciiTheme="majorHAnsi" w:hAnsiTheme="majorHAnsi"/>
            <w:noProof/>
            <w:webHidden/>
            <w:sz w:val="20"/>
            <w:szCs w:val="20"/>
          </w:rPr>
          <w:tab/>
        </w:r>
        <w:r w:rsidR="00AA15B5" w:rsidRPr="00AD791A">
          <w:rPr>
            <w:rFonts w:asciiTheme="majorHAnsi" w:hAnsiTheme="majorHAnsi"/>
            <w:noProof/>
            <w:webHidden/>
            <w:sz w:val="20"/>
            <w:szCs w:val="20"/>
          </w:rPr>
          <w:fldChar w:fldCharType="begin"/>
        </w:r>
        <w:r w:rsidR="00AA15B5" w:rsidRPr="00AD791A">
          <w:rPr>
            <w:rFonts w:asciiTheme="majorHAnsi" w:hAnsiTheme="majorHAnsi"/>
            <w:noProof/>
            <w:webHidden/>
            <w:sz w:val="20"/>
            <w:szCs w:val="20"/>
          </w:rPr>
          <w:instrText xml:space="preserve"> PAGEREF _Toc414177744 \h </w:instrText>
        </w:r>
        <w:r w:rsidR="00AA15B5" w:rsidRPr="00AD791A">
          <w:rPr>
            <w:rFonts w:asciiTheme="majorHAnsi" w:hAnsiTheme="majorHAnsi"/>
            <w:noProof/>
            <w:webHidden/>
            <w:sz w:val="20"/>
            <w:szCs w:val="20"/>
          </w:rPr>
        </w:r>
        <w:r w:rsidR="00AA15B5" w:rsidRPr="00AD791A">
          <w:rPr>
            <w:rFonts w:asciiTheme="majorHAnsi" w:hAnsiTheme="majorHAnsi"/>
            <w:noProof/>
            <w:webHidden/>
            <w:sz w:val="20"/>
            <w:szCs w:val="20"/>
          </w:rPr>
          <w:fldChar w:fldCharType="separate"/>
        </w:r>
        <w:r>
          <w:rPr>
            <w:rFonts w:asciiTheme="majorHAnsi" w:hAnsiTheme="majorHAnsi"/>
            <w:noProof/>
            <w:webHidden/>
            <w:sz w:val="20"/>
            <w:szCs w:val="20"/>
          </w:rPr>
          <w:t>4</w:t>
        </w:r>
        <w:r w:rsidR="00AA15B5" w:rsidRPr="00AD791A">
          <w:rPr>
            <w:rFonts w:asciiTheme="majorHAnsi" w:hAnsiTheme="majorHAnsi"/>
            <w:noProof/>
            <w:webHidden/>
            <w:sz w:val="20"/>
            <w:szCs w:val="20"/>
          </w:rPr>
          <w:fldChar w:fldCharType="end"/>
        </w:r>
      </w:hyperlink>
    </w:p>
    <w:p w:rsidR="00AA15B5" w:rsidRPr="00AD791A" w:rsidRDefault="00AA15B5" w:rsidP="00AA15B5">
      <w:pPr>
        <w:pStyle w:val="TOC1"/>
        <w:jc w:val="left"/>
        <w:rPr>
          <w:rStyle w:val="Hyperlink"/>
          <w:rFonts w:asciiTheme="majorHAnsi" w:hAnsiTheme="majorHAnsi"/>
          <w:noProof/>
          <w:sz w:val="20"/>
          <w:szCs w:val="20"/>
        </w:rPr>
      </w:pPr>
    </w:p>
    <w:p w:rsidR="00AA15B5" w:rsidRPr="00AD791A" w:rsidRDefault="000A6E4C" w:rsidP="00AA15B5">
      <w:pPr>
        <w:pStyle w:val="TOC1"/>
        <w:jc w:val="left"/>
        <w:rPr>
          <w:rFonts w:asciiTheme="majorHAnsi" w:eastAsia="Times New Roman" w:hAnsiTheme="majorHAnsi"/>
          <w:noProof/>
          <w:sz w:val="20"/>
          <w:szCs w:val="20"/>
        </w:rPr>
      </w:pPr>
      <w:hyperlink w:anchor="_Toc414177745" w:history="1">
        <w:r w:rsidR="00AA15B5" w:rsidRPr="00AD791A">
          <w:rPr>
            <w:rStyle w:val="Hyperlink"/>
            <w:rFonts w:asciiTheme="majorHAnsi" w:hAnsiTheme="majorHAnsi"/>
            <w:noProof/>
            <w:sz w:val="20"/>
            <w:szCs w:val="20"/>
          </w:rPr>
          <w:t>IV.</w:t>
        </w:r>
        <w:r w:rsidR="00AA15B5" w:rsidRPr="00AD791A">
          <w:rPr>
            <w:rFonts w:asciiTheme="majorHAnsi" w:eastAsia="Times New Roman" w:hAnsiTheme="majorHAnsi"/>
            <w:noProof/>
            <w:sz w:val="20"/>
            <w:szCs w:val="20"/>
          </w:rPr>
          <w:tab/>
        </w:r>
        <w:r w:rsidR="00AA15B5" w:rsidRPr="00AD791A">
          <w:rPr>
            <w:rStyle w:val="Hyperlink"/>
            <w:rFonts w:asciiTheme="majorHAnsi" w:hAnsiTheme="majorHAnsi"/>
            <w:noProof/>
            <w:sz w:val="20"/>
            <w:szCs w:val="20"/>
          </w:rPr>
          <w:t>ANÁLISIS DE FONDO</w:t>
        </w:r>
        <w:r w:rsidR="00AA15B5" w:rsidRPr="00AD791A">
          <w:rPr>
            <w:rFonts w:asciiTheme="majorHAnsi" w:hAnsiTheme="majorHAnsi"/>
            <w:noProof/>
            <w:webHidden/>
            <w:sz w:val="20"/>
            <w:szCs w:val="20"/>
          </w:rPr>
          <w:tab/>
        </w:r>
        <w:r w:rsidR="00AA15B5" w:rsidRPr="00AD791A">
          <w:rPr>
            <w:rFonts w:asciiTheme="majorHAnsi" w:hAnsiTheme="majorHAnsi"/>
            <w:noProof/>
            <w:webHidden/>
            <w:sz w:val="20"/>
            <w:szCs w:val="20"/>
          </w:rPr>
          <w:fldChar w:fldCharType="begin"/>
        </w:r>
        <w:r w:rsidR="00AA15B5" w:rsidRPr="00AD791A">
          <w:rPr>
            <w:rFonts w:asciiTheme="majorHAnsi" w:hAnsiTheme="majorHAnsi"/>
            <w:noProof/>
            <w:webHidden/>
            <w:sz w:val="20"/>
            <w:szCs w:val="20"/>
          </w:rPr>
          <w:instrText xml:space="preserve"> PAGEREF _Toc414177745 \h </w:instrText>
        </w:r>
        <w:r w:rsidR="00AA15B5" w:rsidRPr="00AD791A">
          <w:rPr>
            <w:rFonts w:asciiTheme="majorHAnsi" w:hAnsiTheme="majorHAnsi"/>
            <w:noProof/>
            <w:webHidden/>
            <w:sz w:val="20"/>
            <w:szCs w:val="20"/>
          </w:rPr>
        </w:r>
        <w:r w:rsidR="00AA15B5" w:rsidRPr="00AD791A">
          <w:rPr>
            <w:rFonts w:asciiTheme="majorHAnsi" w:hAnsiTheme="majorHAnsi"/>
            <w:noProof/>
            <w:webHidden/>
            <w:sz w:val="20"/>
            <w:szCs w:val="20"/>
          </w:rPr>
          <w:fldChar w:fldCharType="separate"/>
        </w:r>
        <w:r>
          <w:rPr>
            <w:rFonts w:asciiTheme="majorHAnsi" w:hAnsiTheme="majorHAnsi"/>
            <w:noProof/>
            <w:webHidden/>
            <w:sz w:val="20"/>
            <w:szCs w:val="20"/>
          </w:rPr>
          <w:t>5</w:t>
        </w:r>
        <w:r w:rsidR="00AA15B5" w:rsidRPr="00AD791A">
          <w:rPr>
            <w:rFonts w:asciiTheme="majorHAnsi" w:hAnsiTheme="majorHAnsi"/>
            <w:noProof/>
            <w:webHidden/>
            <w:sz w:val="20"/>
            <w:szCs w:val="20"/>
          </w:rPr>
          <w:fldChar w:fldCharType="end"/>
        </w:r>
      </w:hyperlink>
    </w:p>
    <w:p w:rsidR="00AA15B5" w:rsidRPr="00AD791A" w:rsidRDefault="000A6E4C" w:rsidP="00AA15B5">
      <w:pPr>
        <w:pStyle w:val="TOC2"/>
        <w:rPr>
          <w:rFonts w:asciiTheme="majorHAnsi" w:eastAsia="Times New Roman" w:hAnsiTheme="majorHAnsi"/>
          <w:noProof/>
          <w:sz w:val="20"/>
          <w:szCs w:val="20"/>
        </w:rPr>
      </w:pPr>
      <w:hyperlink w:anchor="_Toc414177746" w:history="1">
        <w:r w:rsidR="00AA15B5" w:rsidRPr="00AD791A">
          <w:rPr>
            <w:rStyle w:val="Hyperlink"/>
            <w:rFonts w:asciiTheme="majorHAnsi" w:hAnsiTheme="majorHAnsi"/>
            <w:noProof/>
            <w:sz w:val="20"/>
            <w:szCs w:val="20"/>
            <w:lang w:val="es-CO"/>
          </w:rPr>
          <w:t>A.</w:t>
        </w:r>
        <w:r w:rsidR="00AA15B5" w:rsidRPr="00AD791A">
          <w:rPr>
            <w:rFonts w:asciiTheme="majorHAnsi" w:eastAsia="Times New Roman" w:hAnsiTheme="majorHAnsi"/>
            <w:noProof/>
            <w:sz w:val="20"/>
            <w:szCs w:val="20"/>
          </w:rPr>
          <w:tab/>
        </w:r>
        <w:r w:rsidR="00AA15B5" w:rsidRPr="00AD791A">
          <w:rPr>
            <w:rStyle w:val="Hyperlink"/>
            <w:rFonts w:asciiTheme="majorHAnsi" w:hAnsiTheme="majorHAnsi"/>
            <w:noProof/>
            <w:sz w:val="20"/>
            <w:szCs w:val="20"/>
            <w:lang w:val="es-CO"/>
          </w:rPr>
          <w:t>Hechos probados</w:t>
        </w:r>
        <w:r w:rsidR="00AA15B5" w:rsidRPr="00AD791A">
          <w:rPr>
            <w:rFonts w:asciiTheme="majorHAnsi" w:hAnsiTheme="majorHAnsi"/>
            <w:noProof/>
            <w:webHidden/>
            <w:sz w:val="20"/>
            <w:szCs w:val="20"/>
          </w:rPr>
          <w:tab/>
        </w:r>
        <w:r w:rsidR="00AA15B5" w:rsidRPr="00AD791A">
          <w:rPr>
            <w:rFonts w:asciiTheme="majorHAnsi" w:hAnsiTheme="majorHAnsi"/>
            <w:noProof/>
            <w:webHidden/>
            <w:sz w:val="20"/>
            <w:szCs w:val="20"/>
          </w:rPr>
          <w:fldChar w:fldCharType="begin"/>
        </w:r>
        <w:r w:rsidR="00AA15B5" w:rsidRPr="00AD791A">
          <w:rPr>
            <w:rFonts w:asciiTheme="majorHAnsi" w:hAnsiTheme="majorHAnsi"/>
            <w:noProof/>
            <w:webHidden/>
            <w:sz w:val="20"/>
            <w:szCs w:val="20"/>
          </w:rPr>
          <w:instrText xml:space="preserve"> PAGEREF _Toc414177746 \h </w:instrText>
        </w:r>
        <w:r w:rsidR="00AA15B5" w:rsidRPr="00AD791A">
          <w:rPr>
            <w:rFonts w:asciiTheme="majorHAnsi" w:hAnsiTheme="majorHAnsi"/>
            <w:noProof/>
            <w:webHidden/>
            <w:sz w:val="20"/>
            <w:szCs w:val="20"/>
          </w:rPr>
        </w:r>
        <w:r w:rsidR="00AA15B5" w:rsidRPr="00AD791A">
          <w:rPr>
            <w:rFonts w:asciiTheme="majorHAnsi" w:hAnsiTheme="majorHAnsi"/>
            <w:noProof/>
            <w:webHidden/>
            <w:sz w:val="20"/>
            <w:szCs w:val="20"/>
          </w:rPr>
          <w:fldChar w:fldCharType="separate"/>
        </w:r>
        <w:r>
          <w:rPr>
            <w:rFonts w:asciiTheme="majorHAnsi" w:hAnsiTheme="majorHAnsi"/>
            <w:noProof/>
            <w:webHidden/>
            <w:sz w:val="20"/>
            <w:szCs w:val="20"/>
          </w:rPr>
          <w:t>5</w:t>
        </w:r>
        <w:r w:rsidR="00AA15B5" w:rsidRPr="00AD791A">
          <w:rPr>
            <w:rFonts w:asciiTheme="majorHAnsi" w:hAnsiTheme="majorHAnsi"/>
            <w:noProof/>
            <w:webHidden/>
            <w:sz w:val="20"/>
            <w:szCs w:val="20"/>
          </w:rPr>
          <w:fldChar w:fldCharType="end"/>
        </w:r>
      </w:hyperlink>
    </w:p>
    <w:p w:rsidR="00AA15B5" w:rsidRPr="00AD791A" w:rsidRDefault="000A6E4C" w:rsidP="00AA15B5">
      <w:pPr>
        <w:pStyle w:val="TOC3"/>
        <w:tabs>
          <w:tab w:val="clear" w:pos="1440"/>
          <w:tab w:val="left" w:pos="2160"/>
        </w:tabs>
        <w:ind w:firstLine="0"/>
        <w:jc w:val="left"/>
        <w:rPr>
          <w:rFonts w:asciiTheme="majorHAnsi" w:eastAsia="Times New Roman" w:hAnsiTheme="majorHAnsi"/>
          <w:b w:val="0"/>
          <w:noProof/>
          <w:lang w:val="en-US"/>
        </w:rPr>
      </w:pPr>
      <w:hyperlink w:anchor="_Toc414177747" w:history="1">
        <w:r w:rsidR="00AA15B5" w:rsidRPr="00AD791A">
          <w:rPr>
            <w:rStyle w:val="Hyperlink"/>
            <w:rFonts w:asciiTheme="majorHAnsi" w:hAnsiTheme="majorHAnsi"/>
            <w:b w:val="0"/>
            <w:noProof/>
          </w:rPr>
          <w:t>1.</w:t>
        </w:r>
        <w:r w:rsidR="00AA15B5" w:rsidRPr="00AD791A">
          <w:rPr>
            <w:rFonts w:asciiTheme="majorHAnsi" w:eastAsia="Times New Roman" w:hAnsiTheme="majorHAnsi"/>
            <w:b w:val="0"/>
            <w:noProof/>
            <w:lang w:val="en-US"/>
          </w:rPr>
          <w:tab/>
        </w:r>
        <w:r w:rsidR="00AA15B5" w:rsidRPr="00AD791A">
          <w:rPr>
            <w:rStyle w:val="Hyperlink"/>
            <w:rFonts w:asciiTheme="majorHAnsi" w:hAnsiTheme="majorHAnsi"/>
            <w:b w:val="0"/>
            <w:noProof/>
          </w:rPr>
          <w:t>Sobre la labor de María Luisa Acosta</w:t>
        </w:r>
        <w:r w:rsidR="00AA15B5" w:rsidRPr="00AD791A">
          <w:rPr>
            <w:rFonts w:asciiTheme="majorHAnsi" w:hAnsiTheme="majorHAnsi"/>
            <w:b w:val="0"/>
            <w:noProof/>
            <w:webHidden/>
          </w:rPr>
          <w:tab/>
        </w:r>
        <w:r w:rsidR="00AA15B5" w:rsidRPr="00AD791A">
          <w:rPr>
            <w:rFonts w:asciiTheme="majorHAnsi" w:hAnsiTheme="majorHAnsi"/>
            <w:b w:val="0"/>
            <w:noProof/>
            <w:webHidden/>
          </w:rPr>
          <w:fldChar w:fldCharType="begin"/>
        </w:r>
        <w:r w:rsidR="00AA15B5" w:rsidRPr="00AD791A">
          <w:rPr>
            <w:rFonts w:asciiTheme="majorHAnsi" w:hAnsiTheme="majorHAnsi"/>
            <w:b w:val="0"/>
            <w:noProof/>
            <w:webHidden/>
          </w:rPr>
          <w:instrText xml:space="preserve"> PAGEREF _Toc414177747 \h </w:instrText>
        </w:r>
        <w:r w:rsidR="00AA15B5" w:rsidRPr="00AD791A">
          <w:rPr>
            <w:rFonts w:asciiTheme="majorHAnsi" w:hAnsiTheme="majorHAnsi"/>
            <w:b w:val="0"/>
            <w:noProof/>
            <w:webHidden/>
          </w:rPr>
        </w:r>
        <w:r w:rsidR="00AA15B5" w:rsidRPr="00AD791A">
          <w:rPr>
            <w:rFonts w:asciiTheme="majorHAnsi" w:hAnsiTheme="majorHAnsi"/>
            <w:b w:val="0"/>
            <w:noProof/>
            <w:webHidden/>
          </w:rPr>
          <w:fldChar w:fldCharType="separate"/>
        </w:r>
        <w:r>
          <w:rPr>
            <w:rFonts w:asciiTheme="majorHAnsi" w:hAnsiTheme="majorHAnsi"/>
            <w:b w:val="0"/>
            <w:noProof/>
            <w:webHidden/>
          </w:rPr>
          <w:t>5</w:t>
        </w:r>
        <w:r w:rsidR="00AA15B5" w:rsidRPr="00AD791A">
          <w:rPr>
            <w:rFonts w:asciiTheme="majorHAnsi" w:hAnsiTheme="majorHAnsi"/>
            <w:b w:val="0"/>
            <w:noProof/>
            <w:webHidden/>
          </w:rPr>
          <w:fldChar w:fldCharType="end"/>
        </w:r>
      </w:hyperlink>
    </w:p>
    <w:p w:rsidR="00AA15B5" w:rsidRPr="00AD791A" w:rsidRDefault="000A6E4C" w:rsidP="00AA15B5">
      <w:pPr>
        <w:pStyle w:val="TOC3"/>
        <w:tabs>
          <w:tab w:val="clear" w:pos="1440"/>
          <w:tab w:val="left" w:pos="2160"/>
        </w:tabs>
        <w:ind w:firstLine="0"/>
        <w:jc w:val="left"/>
        <w:rPr>
          <w:rFonts w:asciiTheme="majorHAnsi" w:eastAsia="Times New Roman" w:hAnsiTheme="majorHAnsi"/>
          <w:b w:val="0"/>
          <w:noProof/>
          <w:lang w:val="en-US"/>
        </w:rPr>
      </w:pPr>
      <w:hyperlink w:anchor="_Toc414177748" w:history="1">
        <w:r w:rsidR="00AA15B5" w:rsidRPr="00AD791A">
          <w:rPr>
            <w:rStyle w:val="Hyperlink"/>
            <w:rFonts w:asciiTheme="majorHAnsi" w:hAnsiTheme="majorHAnsi"/>
            <w:b w:val="0"/>
            <w:noProof/>
          </w:rPr>
          <w:t>2.</w:t>
        </w:r>
        <w:r w:rsidR="00AA15B5" w:rsidRPr="00AD791A">
          <w:rPr>
            <w:rFonts w:asciiTheme="majorHAnsi" w:eastAsia="Times New Roman" w:hAnsiTheme="majorHAnsi"/>
            <w:b w:val="0"/>
            <w:noProof/>
            <w:lang w:val="en-US"/>
          </w:rPr>
          <w:tab/>
        </w:r>
        <w:r w:rsidR="00AA15B5" w:rsidRPr="00AD791A">
          <w:rPr>
            <w:rStyle w:val="Hyperlink"/>
            <w:rFonts w:asciiTheme="majorHAnsi" w:hAnsiTheme="majorHAnsi"/>
            <w:b w:val="0"/>
            <w:noProof/>
          </w:rPr>
          <w:t>El asesinato del señor Francisco José García Valle</w:t>
        </w:r>
        <w:r w:rsidR="00AA15B5" w:rsidRPr="00AD791A">
          <w:rPr>
            <w:rFonts w:asciiTheme="majorHAnsi" w:hAnsiTheme="majorHAnsi"/>
            <w:b w:val="0"/>
            <w:noProof/>
            <w:webHidden/>
          </w:rPr>
          <w:tab/>
        </w:r>
        <w:r w:rsidR="00AA15B5" w:rsidRPr="00AD791A">
          <w:rPr>
            <w:rFonts w:asciiTheme="majorHAnsi" w:hAnsiTheme="majorHAnsi"/>
            <w:b w:val="0"/>
            <w:noProof/>
            <w:webHidden/>
          </w:rPr>
          <w:fldChar w:fldCharType="begin"/>
        </w:r>
        <w:r w:rsidR="00AA15B5" w:rsidRPr="00AD791A">
          <w:rPr>
            <w:rFonts w:asciiTheme="majorHAnsi" w:hAnsiTheme="majorHAnsi"/>
            <w:b w:val="0"/>
            <w:noProof/>
            <w:webHidden/>
          </w:rPr>
          <w:instrText xml:space="preserve"> PAGEREF _Toc414177748 \h </w:instrText>
        </w:r>
        <w:r w:rsidR="00AA15B5" w:rsidRPr="00AD791A">
          <w:rPr>
            <w:rFonts w:asciiTheme="majorHAnsi" w:hAnsiTheme="majorHAnsi"/>
            <w:b w:val="0"/>
            <w:noProof/>
            <w:webHidden/>
          </w:rPr>
        </w:r>
        <w:r w:rsidR="00AA15B5" w:rsidRPr="00AD791A">
          <w:rPr>
            <w:rFonts w:asciiTheme="majorHAnsi" w:hAnsiTheme="majorHAnsi"/>
            <w:b w:val="0"/>
            <w:noProof/>
            <w:webHidden/>
          </w:rPr>
          <w:fldChar w:fldCharType="separate"/>
        </w:r>
        <w:r>
          <w:rPr>
            <w:rFonts w:asciiTheme="majorHAnsi" w:hAnsiTheme="majorHAnsi"/>
            <w:b w:val="0"/>
            <w:noProof/>
            <w:webHidden/>
          </w:rPr>
          <w:t>7</w:t>
        </w:r>
        <w:r w:rsidR="00AA15B5" w:rsidRPr="00AD791A">
          <w:rPr>
            <w:rFonts w:asciiTheme="majorHAnsi" w:hAnsiTheme="majorHAnsi"/>
            <w:b w:val="0"/>
            <w:noProof/>
            <w:webHidden/>
          </w:rPr>
          <w:fldChar w:fldCharType="end"/>
        </w:r>
      </w:hyperlink>
    </w:p>
    <w:p w:rsidR="00AA15B5" w:rsidRPr="00AD791A" w:rsidRDefault="000A6E4C" w:rsidP="00AA15B5">
      <w:pPr>
        <w:pStyle w:val="TOC3"/>
        <w:tabs>
          <w:tab w:val="clear" w:pos="1440"/>
          <w:tab w:val="left" w:pos="2160"/>
        </w:tabs>
        <w:ind w:left="2160"/>
        <w:jc w:val="left"/>
        <w:rPr>
          <w:rFonts w:asciiTheme="majorHAnsi" w:eastAsia="Times New Roman" w:hAnsiTheme="majorHAnsi"/>
          <w:b w:val="0"/>
          <w:noProof/>
          <w:lang w:val="en-US"/>
        </w:rPr>
      </w:pPr>
      <w:hyperlink w:anchor="_Toc414177749" w:history="1">
        <w:r w:rsidR="00AA15B5" w:rsidRPr="00AD791A">
          <w:rPr>
            <w:rStyle w:val="Hyperlink"/>
            <w:rFonts w:asciiTheme="majorHAnsi" w:hAnsiTheme="majorHAnsi"/>
            <w:b w:val="0"/>
            <w:noProof/>
            <w:lang w:val="es-ES"/>
          </w:rPr>
          <w:t>3.</w:t>
        </w:r>
        <w:r w:rsidR="00AA15B5" w:rsidRPr="00AD791A">
          <w:rPr>
            <w:rFonts w:asciiTheme="majorHAnsi" w:eastAsia="Times New Roman" w:hAnsiTheme="majorHAnsi"/>
            <w:b w:val="0"/>
            <w:noProof/>
            <w:lang w:val="en-US"/>
          </w:rPr>
          <w:tab/>
        </w:r>
        <w:r w:rsidR="00AA15B5" w:rsidRPr="00AD791A">
          <w:rPr>
            <w:rStyle w:val="Hyperlink"/>
            <w:rFonts w:asciiTheme="majorHAnsi" w:hAnsiTheme="majorHAnsi"/>
            <w:b w:val="0"/>
            <w:noProof/>
            <w:lang w:val="es-ES"/>
          </w:rPr>
          <w:t>La i</w:t>
        </w:r>
        <w:r w:rsidR="00AA15B5" w:rsidRPr="00AD791A">
          <w:rPr>
            <w:rStyle w:val="Hyperlink"/>
            <w:rFonts w:asciiTheme="majorHAnsi" w:hAnsiTheme="majorHAnsi"/>
            <w:b w:val="0"/>
            <w:noProof/>
          </w:rPr>
          <w:t>nvestigación y p</w:t>
        </w:r>
        <w:r w:rsidR="00AA15B5" w:rsidRPr="00AD791A">
          <w:rPr>
            <w:rStyle w:val="Hyperlink"/>
            <w:rFonts w:asciiTheme="majorHAnsi" w:hAnsiTheme="majorHAnsi" w:cs="Arial Narrow"/>
            <w:b w:val="0"/>
            <w:noProof/>
            <w:spacing w:val="-2"/>
          </w:rPr>
          <w:t>roceso judicial sobre el asesinato del señor</w:t>
        </w:r>
        <w:r w:rsidR="00AA15B5" w:rsidRPr="00AD791A">
          <w:rPr>
            <w:rStyle w:val="Hyperlink"/>
            <w:rFonts w:asciiTheme="majorHAnsi" w:hAnsiTheme="majorHAnsi"/>
            <w:b w:val="0"/>
            <w:noProof/>
          </w:rPr>
          <w:t xml:space="preserve"> Francisco </w:t>
        </w:r>
        <w:r w:rsidR="00AA15B5" w:rsidRPr="00AD791A">
          <w:rPr>
            <w:rStyle w:val="Hyperlink"/>
            <w:rFonts w:asciiTheme="majorHAnsi" w:hAnsiTheme="majorHAnsi"/>
            <w:b w:val="0"/>
            <w:noProof/>
          </w:rPr>
          <w:br/>
          <w:t>García Valle (Expediente judicial No. 110-2002)</w:t>
        </w:r>
        <w:r w:rsidR="00AA15B5" w:rsidRPr="00AD791A">
          <w:rPr>
            <w:rFonts w:asciiTheme="majorHAnsi" w:hAnsiTheme="majorHAnsi"/>
            <w:b w:val="0"/>
            <w:noProof/>
            <w:webHidden/>
          </w:rPr>
          <w:tab/>
        </w:r>
        <w:r w:rsidR="00AA15B5" w:rsidRPr="00AD791A">
          <w:rPr>
            <w:rFonts w:asciiTheme="majorHAnsi" w:hAnsiTheme="majorHAnsi"/>
            <w:b w:val="0"/>
            <w:noProof/>
            <w:webHidden/>
          </w:rPr>
          <w:fldChar w:fldCharType="begin"/>
        </w:r>
        <w:r w:rsidR="00AA15B5" w:rsidRPr="00AD791A">
          <w:rPr>
            <w:rFonts w:asciiTheme="majorHAnsi" w:hAnsiTheme="majorHAnsi"/>
            <w:b w:val="0"/>
            <w:noProof/>
            <w:webHidden/>
          </w:rPr>
          <w:instrText xml:space="preserve"> PAGEREF _Toc414177749 \h </w:instrText>
        </w:r>
        <w:r w:rsidR="00AA15B5" w:rsidRPr="00AD791A">
          <w:rPr>
            <w:rFonts w:asciiTheme="majorHAnsi" w:hAnsiTheme="majorHAnsi"/>
            <w:b w:val="0"/>
            <w:noProof/>
            <w:webHidden/>
          </w:rPr>
        </w:r>
        <w:r w:rsidR="00AA15B5" w:rsidRPr="00AD791A">
          <w:rPr>
            <w:rFonts w:asciiTheme="majorHAnsi" w:hAnsiTheme="majorHAnsi"/>
            <w:b w:val="0"/>
            <w:noProof/>
            <w:webHidden/>
          </w:rPr>
          <w:fldChar w:fldCharType="separate"/>
        </w:r>
        <w:r>
          <w:rPr>
            <w:rFonts w:asciiTheme="majorHAnsi" w:hAnsiTheme="majorHAnsi"/>
            <w:b w:val="0"/>
            <w:noProof/>
            <w:webHidden/>
          </w:rPr>
          <w:t>11</w:t>
        </w:r>
        <w:r w:rsidR="00AA15B5" w:rsidRPr="00AD791A">
          <w:rPr>
            <w:rFonts w:asciiTheme="majorHAnsi" w:hAnsiTheme="majorHAnsi"/>
            <w:b w:val="0"/>
            <w:noProof/>
            <w:webHidden/>
          </w:rPr>
          <w:fldChar w:fldCharType="end"/>
        </w:r>
      </w:hyperlink>
    </w:p>
    <w:p w:rsidR="00AA15B5" w:rsidRPr="00AD791A" w:rsidRDefault="000A6E4C" w:rsidP="00AA15B5">
      <w:pPr>
        <w:pStyle w:val="TOC3"/>
        <w:tabs>
          <w:tab w:val="clear" w:pos="1440"/>
          <w:tab w:val="left" w:pos="2160"/>
        </w:tabs>
        <w:ind w:firstLine="0"/>
        <w:jc w:val="left"/>
        <w:rPr>
          <w:rFonts w:asciiTheme="majorHAnsi" w:eastAsia="Times New Roman" w:hAnsiTheme="majorHAnsi"/>
          <w:b w:val="0"/>
          <w:noProof/>
          <w:lang w:val="en-US"/>
        </w:rPr>
      </w:pPr>
      <w:hyperlink w:anchor="_Toc414177750" w:history="1">
        <w:r w:rsidR="00AA15B5" w:rsidRPr="00AD791A">
          <w:rPr>
            <w:rStyle w:val="Hyperlink"/>
            <w:rFonts w:asciiTheme="majorHAnsi" w:hAnsiTheme="majorHAnsi"/>
            <w:b w:val="0"/>
            <w:noProof/>
          </w:rPr>
          <w:t xml:space="preserve">4. </w:t>
        </w:r>
        <w:r w:rsidR="00AA15B5" w:rsidRPr="00AD791A">
          <w:rPr>
            <w:rFonts w:asciiTheme="majorHAnsi" w:eastAsia="Times New Roman" w:hAnsiTheme="majorHAnsi"/>
            <w:b w:val="0"/>
            <w:noProof/>
            <w:lang w:val="en-US"/>
          </w:rPr>
          <w:tab/>
        </w:r>
        <w:r w:rsidR="00AA15B5" w:rsidRPr="00AD791A">
          <w:rPr>
            <w:rStyle w:val="Hyperlink"/>
            <w:rFonts w:asciiTheme="majorHAnsi" w:hAnsiTheme="majorHAnsi"/>
            <w:b w:val="0"/>
            <w:noProof/>
          </w:rPr>
          <w:t>Procesos incoados por Peter Tsokos y Peter Martínez contra María Luisa Acosta</w:t>
        </w:r>
        <w:r w:rsidR="00AA15B5" w:rsidRPr="00AD791A">
          <w:rPr>
            <w:rFonts w:asciiTheme="majorHAnsi" w:hAnsiTheme="majorHAnsi"/>
            <w:b w:val="0"/>
            <w:noProof/>
            <w:webHidden/>
          </w:rPr>
          <w:tab/>
        </w:r>
        <w:r w:rsidR="00AA15B5" w:rsidRPr="00AD791A">
          <w:rPr>
            <w:rFonts w:asciiTheme="majorHAnsi" w:hAnsiTheme="majorHAnsi"/>
            <w:b w:val="0"/>
            <w:noProof/>
            <w:webHidden/>
          </w:rPr>
          <w:fldChar w:fldCharType="begin"/>
        </w:r>
        <w:r w:rsidR="00AA15B5" w:rsidRPr="00AD791A">
          <w:rPr>
            <w:rFonts w:asciiTheme="majorHAnsi" w:hAnsiTheme="majorHAnsi"/>
            <w:b w:val="0"/>
            <w:noProof/>
            <w:webHidden/>
          </w:rPr>
          <w:instrText xml:space="preserve"> PAGEREF _Toc414177750 \h </w:instrText>
        </w:r>
        <w:r w:rsidR="00AA15B5" w:rsidRPr="00AD791A">
          <w:rPr>
            <w:rFonts w:asciiTheme="majorHAnsi" w:hAnsiTheme="majorHAnsi"/>
            <w:b w:val="0"/>
            <w:noProof/>
            <w:webHidden/>
          </w:rPr>
        </w:r>
        <w:r w:rsidR="00AA15B5" w:rsidRPr="00AD791A">
          <w:rPr>
            <w:rFonts w:asciiTheme="majorHAnsi" w:hAnsiTheme="majorHAnsi"/>
            <w:b w:val="0"/>
            <w:noProof/>
            <w:webHidden/>
          </w:rPr>
          <w:fldChar w:fldCharType="separate"/>
        </w:r>
        <w:r>
          <w:rPr>
            <w:rFonts w:asciiTheme="majorHAnsi" w:hAnsiTheme="majorHAnsi"/>
            <w:b w:val="0"/>
            <w:noProof/>
            <w:webHidden/>
          </w:rPr>
          <w:t>21</w:t>
        </w:r>
        <w:r w:rsidR="00AA15B5" w:rsidRPr="00AD791A">
          <w:rPr>
            <w:rFonts w:asciiTheme="majorHAnsi" w:hAnsiTheme="majorHAnsi"/>
            <w:b w:val="0"/>
            <w:noProof/>
            <w:webHidden/>
          </w:rPr>
          <w:fldChar w:fldCharType="end"/>
        </w:r>
      </w:hyperlink>
    </w:p>
    <w:p w:rsidR="00AA15B5" w:rsidRPr="00AD791A" w:rsidRDefault="000A6E4C" w:rsidP="00AA15B5">
      <w:pPr>
        <w:pStyle w:val="TOC3"/>
        <w:tabs>
          <w:tab w:val="clear" w:pos="1440"/>
          <w:tab w:val="left" w:pos="2160"/>
        </w:tabs>
        <w:ind w:firstLine="0"/>
        <w:jc w:val="left"/>
        <w:rPr>
          <w:rFonts w:asciiTheme="majorHAnsi" w:eastAsia="Times New Roman" w:hAnsiTheme="majorHAnsi"/>
          <w:b w:val="0"/>
          <w:noProof/>
          <w:lang w:val="en-US"/>
        </w:rPr>
      </w:pPr>
      <w:hyperlink w:anchor="_Toc414177751" w:history="1">
        <w:r w:rsidR="00AA15B5" w:rsidRPr="00AD791A">
          <w:rPr>
            <w:rStyle w:val="Hyperlink"/>
            <w:rFonts w:asciiTheme="majorHAnsi" w:hAnsiTheme="majorHAnsi"/>
            <w:b w:val="0"/>
            <w:noProof/>
          </w:rPr>
          <w:t>5.</w:t>
        </w:r>
        <w:r w:rsidR="00AA15B5" w:rsidRPr="00AD791A">
          <w:rPr>
            <w:rFonts w:asciiTheme="majorHAnsi" w:eastAsia="Times New Roman" w:hAnsiTheme="majorHAnsi"/>
            <w:b w:val="0"/>
            <w:noProof/>
            <w:lang w:val="en-US"/>
          </w:rPr>
          <w:tab/>
        </w:r>
        <w:r w:rsidR="00AA15B5" w:rsidRPr="00AD791A">
          <w:rPr>
            <w:rStyle w:val="Hyperlink"/>
            <w:rFonts w:asciiTheme="majorHAnsi" w:hAnsiTheme="majorHAnsi"/>
            <w:b w:val="0"/>
            <w:noProof/>
          </w:rPr>
          <w:t>Quejas ante la Comisión de Régimen Disciplinario de la Corte Suprema de Justicia</w:t>
        </w:r>
        <w:r w:rsidR="00AA15B5" w:rsidRPr="00AD791A">
          <w:rPr>
            <w:rFonts w:asciiTheme="majorHAnsi" w:hAnsiTheme="majorHAnsi"/>
            <w:b w:val="0"/>
            <w:noProof/>
            <w:webHidden/>
          </w:rPr>
          <w:tab/>
        </w:r>
        <w:r w:rsidR="00AA15B5" w:rsidRPr="00AD791A">
          <w:rPr>
            <w:rFonts w:asciiTheme="majorHAnsi" w:hAnsiTheme="majorHAnsi"/>
            <w:b w:val="0"/>
            <w:noProof/>
            <w:webHidden/>
          </w:rPr>
          <w:fldChar w:fldCharType="begin"/>
        </w:r>
        <w:r w:rsidR="00AA15B5" w:rsidRPr="00AD791A">
          <w:rPr>
            <w:rFonts w:asciiTheme="majorHAnsi" w:hAnsiTheme="majorHAnsi"/>
            <w:b w:val="0"/>
            <w:noProof/>
            <w:webHidden/>
          </w:rPr>
          <w:instrText xml:space="preserve"> PAGEREF _Toc414177751 \h </w:instrText>
        </w:r>
        <w:r w:rsidR="00AA15B5" w:rsidRPr="00AD791A">
          <w:rPr>
            <w:rFonts w:asciiTheme="majorHAnsi" w:hAnsiTheme="majorHAnsi"/>
            <w:b w:val="0"/>
            <w:noProof/>
            <w:webHidden/>
          </w:rPr>
        </w:r>
        <w:r w:rsidR="00AA15B5" w:rsidRPr="00AD791A">
          <w:rPr>
            <w:rFonts w:asciiTheme="majorHAnsi" w:hAnsiTheme="majorHAnsi"/>
            <w:b w:val="0"/>
            <w:noProof/>
            <w:webHidden/>
          </w:rPr>
          <w:fldChar w:fldCharType="separate"/>
        </w:r>
        <w:r>
          <w:rPr>
            <w:rFonts w:asciiTheme="majorHAnsi" w:hAnsiTheme="majorHAnsi"/>
            <w:b w:val="0"/>
            <w:noProof/>
            <w:webHidden/>
          </w:rPr>
          <w:t>22</w:t>
        </w:r>
        <w:r w:rsidR="00AA15B5" w:rsidRPr="00AD791A">
          <w:rPr>
            <w:rFonts w:asciiTheme="majorHAnsi" w:hAnsiTheme="majorHAnsi"/>
            <w:b w:val="0"/>
            <w:noProof/>
            <w:webHidden/>
          </w:rPr>
          <w:fldChar w:fldCharType="end"/>
        </w:r>
      </w:hyperlink>
    </w:p>
    <w:p w:rsidR="00AA15B5" w:rsidRPr="00AD791A" w:rsidRDefault="000A6E4C" w:rsidP="00AA15B5">
      <w:pPr>
        <w:pStyle w:val="TOC3"/>
        <w:tabs>
          <w:tab w:val="clear" w:pos="1440"/>
          <w:tab w:val="left" w:pos="2160"/>
        </w:tabs>
        <w:ind w:left="2160"/>
        <w:jc w:val="left"/>
        <w:rPr>
          <w:rFonts w:asciiTheme="majorHAnsi" w:eastAsia="Times New Roman" w:hAnsiTheme="majorHAnsi"/>
          <w:b w:val="0"/>
          <w:noProof/>
          <w:lang w:val="en-US"/>
        </w:rPr>
      </w:pPr>
      <w:hyperlink w:anchor="_Toc414177752" w:history="1">
        <w:r w:rsidR="00AA15B5" w:rsidRPr="00AD791A">
          <w:rPr>
            <w:rStyle w:val="Hyperlink"/>
            <w:rFonts w:asciiTheme="majorHAnsi" w:hAnsiTheme="majorHAnsi"/>
            <w:b w:val="0"/>
            <w:noProof/>
          </w:rPr>
          <w:t>6.</w:t>
        </w:r>
        <w:r w:rsidR="00AA15B5" w:rsidRPr="00AD791A">
          <w:rPr>
            <w:rFonts w:asciiTheme="majorHAnsi" w:eastAsia="Times New Roman" w:hAnsiTheme="majorHAnsi"/>
            <w:b w:val="0"/>
            <w:noProof/>
            <w:lang w:val="en-US"/>
          </w:rPr>
          <w:tab/>
        </w:r>
        <w:r w:rsidR="00AA15B5" w:rsidRPr="00AD791A">
          <w:rPr>
            <w:rStyle w:val="Hyperlink"/>
            <w:rFonts w:asciiTheme="majorHAnsi" w:hAnsiTheme="majorHAnsi"/>
            <w:b w:val="0"/>
            <w:noProof/>
          </w:rPr>
          <w:t xml:space="preserve">Consecuencias del asesinato del señor Francisco García Valle </w:t>
        </w:r>
        <w:r w:rsidR="00AA15B5" w:rsidRPr="00AD791A">
          <w:rPr>
            <w:rStyle w:val="Hyperlink"/>
            <w:rFonts w:asciiTheme="majorHAnsi" w:hAnsiTheme="majorHAnsi"/>
            <w:b w:val="0"/>
            <w:noProof/>
          </w:rPr>
          <w:br/>
          <w:t>en el ambiente familiar</w:t>
        </w:r>
        <w:r w:rsidR="00AA15B5" w:rsidRPr="00AD791A">
          <w:rPr>
            <w:rFonts w:asciiTheme="majorHAnsi" w:hAnsiTheme="majorHAnsi"/>
            <w:b w:val="0"/>
            <w:noProof/>
            <w:webHidden/>
          </w:rPr>
          <w:tab/>
        </w:r>
        <w:r w:rsidR="00AA15B5" w:rsidRPr="00AD791A">
          <w:rPr>
            <w:rFonts w:asciiTheme="majorHAnsi" w:hAnsiTheme="majorHAnsi"/>
            <w:b w:val="0"/>
            <w:noProof/>
            <w:webHidden/>
          </w:rPr>
          <w:fldChar w:fldCharType="begin"/>
        </w:r>
        <w:r w:rsidR="00AA15B5" w:rsidRPr="00AD791A">
          <w:rPr>
            <w:rFonts w:asciiTheme="majorHAnsi" w:hAnsiTheme="majorHAnsi"/>
            <w:b w:val="0"/>
            <w:noProof/>
            <w:webHidden/>
          </w:rPr>
          <w:instrText xml:space="preserve"> PAGEREF _Toc414177752 \h </w:instrText>
        </w:r>
        <w:r w:rsidR="00AA15B5" w:rsidRPr="00AD791A">
          <w:rPr>
            <w:rFonts w:asciiTheme="majorHAnsi" w:hAnsiTheme="majorHAnsi"/>
            <w:b w:val="0"/>
            <w:noProof/>
            <w:webHidden/>
          </w:rPr>
        </w:r>
        <w:r w:rsidR="00AA15B5" w:rsidRPr="00AD791A">
          <w:rPr>
            <w:rFonts w:asciiTheme="majorHAnsi" w:hAnsiTheme="majorHAnsi"/>
            <w:b w:val="0"/>
            <w:noProof/>
            <w:webHidden/>
          </w:rPr>
          <w:fldChar w:fldCharType="separate"/>
        </w:r>
        <w:r>
          <w:rPr>
            <w:rFonts w:asciiTheme="majorHAnsi" w:hAnsiTheme="majorHAnsi"/>
            <w:b w:val="0"/>
            <w:noProof/>
            <w:webHidden/>
          </w:rPr>
          <w:t>23</w:t>
        </w:r>
        <w:r w:rsidR="00AA15B5" w:rsidRPr="00AD791A">
          <w:rPr>
            <w:rFonts w:asciiTheme="majorHAnsi" w:hAnsiTheme="majorHAnsi"/>
            <w:b w:val="0"/>
            <w:noProof/>
            <w:webHidden/>
          </w:rPr>
          <w:fldChar w:fldCharType="end"/>
        </w:r>
      </w:hyperlink>
    </w:p>
    <w:p w:rsidR="00AA15B5" w:rsidRPr="00AD791A" w:rsidRDefault="00AA15B5" w:rsidP="00AA15B5">
      <w:pPr>
        <w:pStyle w:val="TOC1"/>
        <w:jc w:val="left"/>
        <w:rPr>
          <w:rStyle w:val="Hyperlink"/>
          <w:rFonts w:asciiTheme="majorHAnsi" w:hAnsiTheme="majorHAnsi"/>
          <w:noProof/>
          <w:sz w:val="20"/>
          <w:szCs w:val="20"/>
        </w:rPr>
      </w:pPr>
    </w:p>
    <w:p w:rsidR="00AA15B5" w:rsidRPr="00AD791A" w:rsidRDefault="000A6E4C" w:rsidP="00AA15B5">
      <w:pPr>
        <w:pStyle w:val="TOC1"/>
        <w:jc w:val="left"/>
        <w:rPr>
          <w:rFonts w:asciiTheme="majorHAnsi" w:eastAsia="Times New Roman" w:hAnsiTheme="majorHAnsi"/>
          <w:noProof/>
          <w:sz w:val="20"/>
          <w:szCs w:val="20"/>
        </w:rPr>
      </w:pPr>
      <w:hyperlink w:anchor="_Toc414177753" w:history="1">
        <w:r w:rsidR="00AA15B5" w:rsidRPr="00AD791A">
          <w:rPr>
            <w:rStyle w:val="Hyperlink"/>
            <w:rFonts w:asciiTheme="majorHAnsi" w:hAnsiTheme="majorHAnsi"/>
            <w:noProof/>
            <w:sz w:val="20"/>
            <w:szCs w:val="20"/>
          </w:rPr>
          <w:t>V.</w:t>
        </w:r>
        <w:r w:rsidR="00AA15B5" w:rsidRPr="00AD791A">
          <w:rPr>
            <w:rFonts w:asciiTheme="majorHAnsi" w:eastAsia="Times New Roman" w:hAnsiTheme="majorHAnsi"/>
            <w:noProof/>
            <w:sz w:val="20"/>
            <w:szCs w:val="20"/>
          </w:rPr>
          <w:tab/>
        </w:r>
        <w:r w:rsidR="00AA15B5" w:rsidRPr="00AD791A">
          <w:rPr>
            <w:rStyle w:val="Hyperlink"/>
            <w:rFonts w:asciiTheme="majorHAnsi" w:hAnsiTheme="majorHAnsi"/>
            <w:noProof/>
            <w:sz w:val="20"/>
            <w:szCs w:val="20"/>
          </w:rPr>
          <w:t>ANÁLISIS DE DERECHO</w:t>
        </w:r>
        <w:r w:rsidR="00AA15B5" w:rsidRPr="00AD791A">
          <w:rPr>
            <w:rFonts w:asciiTheme="majorHAnsi" w:hAnsiTheme="majorHAnsi"/>
            <w:noProof/>
            <w:webHidden/>
            <w:sz w:val="20"/>
            <w:szCs w:val="20"/>
          </w:rPr>
          <w:tab/>
        </w:r>
        <w:r w:rsidR="00AA15B5" w:rsidRPr="00AD791A">
          <w:rPr>
            <w:rFonts w:asciiTheme="majorHAnsi" w:hAnsiTheme="majorHAnsi"/>
            <w:noProof/>
            <w:webHidden/>
            <w:sz w:val="20"/>
            <w:szCs w:val="20"/>
          </w:rPr>
          <w:fldChar w:fldCharType="begin"/>
        </w:r>
        <w:r w:rsidR="00AA15B5" w:rsidRPr="00AD791A">
          <w:rPr>
            <w:rFonts w:asciiTheme="majorHAnsi" w:hAnsiTheme="majorHAnsi"/>
            <w:noProof/>
            <w:webHidden/>
            <w:sz w:val="20"/>
            <w:szCs w:val="20"/>
          </w:rPr>
          <w:instrText xml:space="preserve"> PAGEREF _Toc414177753 \h </w:instrText>
        </w:r>
        <w:r w:rsidR="00AA15B5" w:rsidRPr="00AD791A">
          <w:rPr>
            <w:rFonts w:asciiTheme="majorHAnsi" w:hAnsiTheme="majorHAnsi"/>
            <w:noProof/>
            <w:webHidden/>
            <w:sz w:val="20"/>
            <w:szCs w:val="20"/>
          </w:rPr>
        </w:r>
        <w:r w:rsidR="00AA15B5" w:rsidRPr="00AD791A">
          <w:rPr>
            <w:rFonts w:asciiTheme="majorHAnsi" w:hAnsiTheme="majorHAnsi"/>
            <w:noProof/>
            <w:webHidden/>
            <w:sz w:val="20"/>
            <w:szCs w:val="20"/>
          </w:rPr>
          <w:fldChar w:fldCharType="separate"/>
        </w:r>
        <w:r>
          <w:rPr>
            <w:rFonts w:asciiTheme="majorHAnsi" w:hAnsiTheme="majorHAnsi"/>
            <w:noProof/>
            <w:webHidden/>
            <w:sz w:val="20"/>
            <w:szCs w:val="20"/>
          </w:rPr>
          <w:t>23</w:t>
        </w:r>
        <w:r w:rsidR="00AA15B5" w:rsidRPr="00AD791A">
          <w:rPr>
            <w:rFonts w:asciiTheme="majorHAnsi" w:hAnsiTheme="majorHAnsi"/>
            <w:noProof/>
            <w:webHidden/>
            <w:sz w:val="20"/>
            <w:szCs w:val="20"/>
          </w:rPr>
          <w:fldChar w:fldCharType="end"/>
        </w:r>
      </w:hyperlink>
    </w:p>
    <w:p w:rsidR="00AA15B5" w:rsidRPr="00AD791A" w:rsidRDefault="000A6E4C" w:rsidP="00AA15B5">
      <w:pPr>
        <w:pStyle w:val="TOC2"/>
        <w:rPr>
          <w:rFonts w:asciiTheme="majorHAnsi" w:eastAsia="Times New Roman" w:hAnsiTheme="majorHAnsi"/>
          <w:noProof/>
          <w:sz w:val="20"/>
          <w:szCs w:val="20"/>
        </w:rPr>
      </w:pPr>
      <w:hyperlink w:anchor="_Toc414177754" w:history="1">
        <w:r w:rsidR="00AA15B5" w:rsidRPr="00AD791A">
          <w:rPr>
            <w:rStyle w:val="Hyperlink"/>
            <w:rFonts w:asciiTheme="majorHAnsi" w:hAnsiTheme="majorHAnsi"/>
            <w:noProof/>
            <w:sz w:val="20"/>
            <w:szCs w:val="20"/>
          </w:rPr>
          <w:t>A.</w:t>
        </w:r>
        <w:r w:rsidR="00AA15B5" w:rsidRPr="00AD791A">
          <w:rPr>
            <w:rFonts w:asciiTheme="majorHAnsi" w:eastAsia="Times New Roman" w:hAnsiTheme="majorHAnsi"/>
            <w:noProof/>
            <w:sz w:val="20"/>
            <w:szCs w:val="20"/>
          </w:rPr>
          <w:tab/>
        </w:r>
        <w:r w:rsidR="00AA15B5" w:rsidRPr="00AD791A">
          <w:rPr>
            <w:rStyle w:val="Hyperlink"/>
            <w:rFonts w:asciiTheme="majorHAnsi" w:hAnsiTheme="majorHAnsi"/>
            <w:noProof/>
            <w:sz w:val="20"/>
            <w:szCs w:val="20"/>
          </w:rPr>
          <w:t xml:space="preserve">Derecho a las garantías judiciales y protección judicial (Artículos 8.1 y 25.1 de </w:t>
        </w:r>
        <w:r w:rsidR="00AA15B5" w:rsidRPr="00AD791A">
          <w:rPr>
            <w:rStyle w:val="Hyperlink"/>
            <w:rFonts w:asciiTheme="majorHAnsi" w:hAnsiTheme="majorHAnsi"/>
            <w:noProof/>
            <w:sz w:val="20"/>
            <w:szCs w:val="20"/>
          </w:rPr>
          <w:br/>
          <w:t xml:space="preserve">la Convención Americana en relación con el artículo 1.1 de la Convención), </w:t>
        </w:r>
        <w:r w:rsidR="00AA15B5" w:rsidRPr="00AD791A">
          <w:rPr>
            <w:rStyle w:val="Hyperlink"/>
            <w:rFonts w:asciiTheme="majorHAnsi" w:hAnsiTheme="majorHAnsi"/>
            <w:noProof/>
            <w:sz w:val="20"/>
            <w:szCs w:val="20"/>
          </w:rPr>
          <w:br/>
          <w:t>respecto del asesinato del señor García Valle</w:t>
        </w:r>
        <w:r w:rsidR="00AA15B5" w:rsidRPr="00AD791A">
          <w:rPr>
            <w:rFonts w:asciiTheme="majorHAnsi" w:hAnsiTheme="majorHAnsi"/>
            <w:noProof/>
            <w:webHidden/>
            <w:sz w:val="20"/>
            <w:szCs w:val="20"/>
          </w:rPr>
          <w:tab/>
        </w:r>
        <w:r w:rsidR="00AA15B5" w:rsidRPr="00AD791A">
          <w:rPr>
            <w:rFonts w:asciiTheme="majorHAnsi" w:hAnsiTheme="majorHAnsi"/>
            <w:noProof/>
            <w:webHidden/>
            <w:sz w:val="20"/>
            <w:szCs w:val="20"/>
          </w:rPr>
          <w:fldChar w:fldCharType="begin"/>
        </w:r>
        <w:r w:rsidR="00AA15B5" w:rsidRPr="00AD791A">
          <w:rPr>
            <w:rFonts w:asciiTheme="majorHAnsi" w:hAnsiTheme="majorHAnsi"/>
            <w:noProof/>
            <w:webHidden/>
            <w:sz w:val="20"/>
            <w:szCs w:val="20"/>
          </w:rPr>
          <w:instrText xml:space="preserve"> PAGEREF _Toc414177754 \h </w:instrText>
        </w:r>
        <w:r w:rsidR="00AA15B5" w:rsidRPr="00AD791A">
          <w:rPr>
            <w:rFonts w:asciiTheme="majorHAnsi" w:hAnsiTheme="majorHAnsi"/>
            <w:noProof/>
            <w:webHidden/>
            <w:sz w:val="20"/>
            <w:szCs w:val="20"/>
          </w:rPr>
        </w:r>
        <w:r w:rsidR="00AA15B5" w:rsidRPr="00AD791A">
          <w:rPr>
            <w:rFonts w:asciiTheme="majorHAnsi" w:hAnsiTheme="majorHAnsi"/>
            <w:noProof/>
            <w:webHidden/>
            <w:sz w:val="20"/>
            <w:szCs w:val="20"/>
          </w:rPr>
          <w:fldChar w:fldCharType="separate"/>
        </w:r>
        <w:r>
          <w:rPr>
            <w:rFonts w:asciiTheme="majorHAnsi" w:hAnsiTheme="majorHAnsi"/>
            <w:noProof/>
            <w:webHidden/>
            <w:sz w:val="20"/>
            <w:szCs w:val="20"/>
          </w:rPr>
          <w:t>23</w:t>
        </w:r>
        <w:r w:rsidR="00AA15B5" w:rsidRPr="00AD791A">
          <w:rPr>
            <w:rFonts w:asciiTheme="majorHAnsi" w:hAnsiTheme="majorHAnsi"/>
            <w:noProof/>
            <w:webHidden/>
            <w:sz w:val="20"/>
            <w:szCs w:val="20"/>
          </w:rPr>
          <w:fldChar w:fldCharType="end"/>
        </w:r>
      </w:hyperlink>
    </w:p>
    <w:p w:rsidR="00AA15B5" w:rsidRPr="00AD791A" w:rsidRDefault="000A6E4C" w:rsidP="00AA15B5">
      <w:pPr>
        <w:pStyle w:val="TOC3"/>
        <w:ind w:left="2160"/>
        <w:jc w:val="left"/>
        <w:rPr>
          <w:rFonts w:asciiTheme="majorHAnsi" w:eastAsia="Times New Roman" w:hAnsiTheme="majorHAnsi"/>
          <w:b w:val="0"/>
          <w:noProof/>
          <w:lang w:val="en-US"/>
        </w:rPr>
      </w:pPr>
      <w:hyperlink w:anchor="_Toc414177755" w:history="1">
        <w:r w:rsidR="00AA15B5" w:rsidRPr="00AD791A">
          <w:rPr>
            <w:rStyle w:val="Hyperlink"/>
            <w:rFonts w:asciiTheme="majorHAnsi" w:hAnsiTheme="majorHAnsi"/>
            <w:b w:val="0"/>
            <w:noProof/>
          </w:rPr>
          <w:t>1.</w:t>
        </w:r>
        <w:r w:rsidR="00AA15B5" w:rsidRPr="00AD791A">
          <w:rPr>
            <w:rFonts w:asciiTheme="majorHAnsi" w:eastAsia="Times New Roman" w:hAnsiTheme="majorHAnsi"/>
            <w:b w:val="0"/>
            <w:noProof/>
            <w:lang w:val="en-US"/>
          </w:rPr>
          <w:tab/>
        </w:r>
        <w:r w:rsidR="00AA15B5" w:rsidRPr="00AD791A">
          <w:rPr>
            <w:rStyle w:val="Hyperlink"/>
            <w:rFonts w:asciiTheme="majorHAnsi" w:hAnsiTheme="majorHAnsi"/>
            <w:b w:val="0"/>
            <w:noProof/>
          </w:rPr>
          <w:t>Sobre el deber de investigar con la debida diligencia</w:t>
        </w:r>
        <w:r w:rsidR="00AA15B5" w:rsidRPr="00AD791A">
          <w:rPr>
            <w:rFonts w:asciiTheme="majorHAnsi" w:hAnsiTheme="majorHAnsi"/>
            <w:b w:val="0"/>
            <w:noProof/>
            <w:webHidden/>
          </w:rPr>
          <w:tab/>
        </w:r>
        <w:r w:rsidR="00AA15B5" w:rsidRPr="00AD791A">
          <w:rPr>
            <w:rFonts w:asciiTheme="majorHAnsi" w:hAnsiTheme="majorHAnsi"/>
            <w:b w:val="0"/>
            <w:noProof/>
            <w:webHidden/>
          </w:rPr>
          <w:fldChar w:fldCharType="begin"/>
        </w:r>
        <w:r w:rsidR="00AA15B5" w:rsidRPr="00AD791A">
          <w:rPr>
            <w:rFonts w:asciiTheme="majorHAnsi" w:hAnsiTheme="majorHAnsi"/>
            <w:b w:val="0"/>
            <w:noProof/>
            <w:webHidden/>
          </w:rPr>
          <w:instrText xml:space="preserve"> PAGEREF _Toc414177755 \h </w:instrText>
        </w:r>
        <w:r w:rsidR="00AA15B5" w:rsidRPr="00AD791A">
          <w:rPr>
            <w:rFonts w:asciiTheme="majorHAnsi" w:hAnsiTheme="majorHAnsi"/>
            <w:b w:val="0"/>
            <w:noProof/>
            <w:webHidden/>
          </w:rPr>
        </w:r>
        <w:r w:rsidR="00AA15B5" w:rsidRPr="00AD791A">
          <w:rPr>
            <w:rFonts w:asciiTheme="majorHAnsi" w:hAnsiTheme="majorHAnsi"/>
            <w:b w:val="0"/>
            <w:noProof/>
            <w:webHidden/>
          </w:rPr>
          <w:fldChar w:fldCharType="separate"/>
        </w:r>
        <w:r>
          <w:rPr>
            <w:rFonts w:asciiTheme="majorHAnsi" w:hAnsiTheme="majorHAnsi"/>
            <w:b w:val="0"/>
            <w:noProof/>
            <w:webHidden/>
          </w:rPr>
          <w:t>25</w:t>
        </w:r>
        <w:r w:rsidR="00AA15B5" w:rsidRPr="00AD791A">
          <w:rPr>
            <w:rFonts w:asciiTheme="majorHAnsi" w:hAnsiTheme="majorHAnsi"/>
            <w:b w:val="0"/>
            <w:noProof/>
            <w:webHidden/>
          </w:rPr>
          <w:fldChar w:fldCharType="end"/>
        </w:r>
      </w:hyperlink>
    </w:p>
    <w:p w:rsidR="00EB423B" w:rsidRPr="00AD791A" w:rsidRDefault="00EB423B" w:rsidP="00AA15B5">
      <w:pPr>
        <w:pStyle w:val="TOC3"/>
        <w:ind w:left="2160"/>
        <w:jc w:val="left"/>
        <w:rPr>
          <w:rFonts w:asciiTheme="majorHAnsi" w:hAnsiTheme="majorHAnsi"/>
          <w:b w:val="0"/>
        </w:rPr>
      </w:pPr>
      <w:r w:rsidRPr="00AD791A">
        <w:rPr>
          <w:rFonts w:asciiTheme="majorHAnsi" w:hAnsiTheme="majorHAnsi"/>
          <w:b w:val="0"/>
        </w:rPr>
        <w:t xml:space="preserve">2. </w:t>
      </w:r>
      <w:r w:rsidRPr="00AD791A">
        <w:rPr>
          <w:rFonts w:asciiTheme="majorHAnsi" w:hAnsiTheme="majorHAnsi"/>
          <w:b w:val="0"/>
        </w:rPr>
        <w:tab/>
        <w:t xml:space="preserve">Barreras en el acceso a la justicia………………………………………………………………………… </w:t>
      </w:r>
    </w:p>
    <w:p w:rsidR="00AA15B5" w:rsidRPr="00AD791A" w:rsidRDefault="000A6E4C" w:rsidP="00AA15B5">
      <w:pPr>
        <w:pStyle w:val="TOC3"/>
        <w:ind w:left="2160"/>
        <w:jc w:val="left"/>
        <w:rPr>
          <w:rFonts w:ascii="Cambria" w:eastAsia="Times New Roman" w:hAnsi="Cambria"/>
          <w:b w:val="0"/>
          <w:noProof/>
          <w:lang w:val="en-US"/>
        </w:rPr>
      </w:pPr>
      <w:hyperlink w:anchor="_Toc414177756" w:history="1">
        <w:r w:rsidR="00EB423B" w:rsidRPr="00AD791A">
          <w:rPr>
            <w:rStyle w:val="Hyperlink"/>
            <w:rFonts w:asciiTheme="majorHAnsi" w:hAnsiTheme="majorHAnsi"/>
            <w:b w:val="0"/>
            <w:noProof/>
          </w:rPr>
          <w:t>3</w:t>
        </w:r>
        <w:r w:rsidR="00AA15B5" w:rsidRPr="00AD791A">
          <w:rPr>
            <w:rStyle w:val="Hyperlink"/>
            <w:rFonts w:asciiTheme="majorHAnsi" w:hAnsiTheme="majorHAnsi"/>
            <w:b w:val="0"/>
            <w:noProof/>
          </w:rPr>
          <w:t>.</w:t>
        </w:r>
        <w:r w:rsidR="00AA15B5" w:rsidRPr="00AD791A">
          <w:rPr>
            <w:rFonts w:asciiTheme="majorHAnsi" w:eastAsia="Times New Roman" w:hAnsiTheme="majorHAnsi"/>
            <w:b w:val="0"/>
            <w:noProof/>
            <w:lang w:val="en-US"/>
          </w:rPr>
          <w:tab/>
        </w:r>
        <w:r w:rsidR="00AA15B5" w:rsidRPr="00AD791A">
          <w:rPr>
            <w:rStyle w:val="Hyperlink"/>
            <w:rFonts w:asciiTheme="majorHAnsi" w:hAnsiTheme="majorHAnsi"/>
            <w:b w:val="0"/>
            <w:noProof/>
          </w:rPr>
          <w:t xml:space="preserve">El derecho a una investigación en un plazo razonable sobre la muerte </w:t>
        </w:r>
        <w:r w:rsidR="00AA15B5" w:rsidRPr="00AD791A">
          <w:rPr>
            <w:rStyle w:val="Hyperlink"/>
            <w:rFonts w:asciiTheme="majorHAnsi" w:hAnsiTheme="majorHAnsi"/>
            <w:b w:val="0"/>
            <w:noProof/>
          </w:rPr>
          <w:br/>
          <w:t>de Francisco García Valle</w:t>
        </w:r>
        <w:r w:rsidR="00AA15B5" w:rsidRPr="00AD791A">
          <w:rPr>
            <w:rFonts w:asciiTheme="majorHAnsi" w:hAnsiTheme="majorHAnsi"/>
            <w:b w:val="0"/>
            <w:noProof/>
            <w:webHidden/>
          </w:rPr>
          <w:tab/>
        </w:r>
        <w:r w:rsidR="00AA15B5" w:rsidRPr="00AD791A">
          <w:rPr>
            <w:rFonts w:asciiTheme="majorHAnsi" w:hAnsiTheme="majorHAnsi"/>
            <w:b w:val="0"/>
            <w:noProof/>
            <w:webHidden/>
          </w:rPr>
          <w:fldChar w:fldCharType="begin"/>
        </w:r>
        <w:r w:rsidR="00AA15B5" w:rsidRPr="00AD791A">
          <w:rPr>
            <w:rFonts w:asciiTheme="majorHAnsi" w:hAnsiTheme="majorHAnsi"/>
            <w:b w:val="0"/>
            <w:noProof/>
            <w:webHidden/>
          </w:rPr>
          <w:instrText xml:space="preserve"> PAGEREF _Toc414177756 \h </w:instrText>
        </w:r>
        <w:r w:rsidR="00AA15B5" w:rsidRPr="00AD791A">
          <w:rPr>
            <w:rFonts w:asciiTheme="majorHAnsi" w:hAnsiTheme="majorHAnsi"/>
            <w:b w:val="0"/>
            <w:noProof/>
            <w:webHidden/>
          </w:rPr>
        </w:r>
        <w:r w:rsidR="00AA15B5" w:rsidRPr="00AD791A">
          <w:rPr>
            <w:rFonts w:asciiTheme="majorHAnsi" w:hAnsiTheme="majorHAnsi"/>
            <w:b w:val="0"/>
            <w:noProof/>
            <w:webHidden/>
          </w:rPr>
          <w:fldChar w:fldCharType="separate"/>
        </w:r>
        <w:r>
          <w:rPr>
            <w:rFonts w:asciiTheme="majorHAnsi" w:hAnsiTheme="majorHAnsi"/>
            <w:b w:val="0"/>
            <w:noProof/>
            <w:webHidden/>
          </w:rPr>
          <w:t>30</w:t>
        </w:r>
        <w:r w:rsidR="00AA15B5" w:rsidRPr="00AD791A">
          <w:rPr>
            <w:rFonts w:asciiTheme="majorHAnsi" w:hAnsiTheme="majorHAnsi"/>
            <w:b w:val="0"/>
            <w:noProof/>
            <w:webHidden/>
          </w:rPr>
          <w:fldChar w:fldCharType="end"/>
        </w:r>
      </w:hyperlink>
    </w:p>
    <w:p w:rsidR="00AA15B5" w:rsidRPr="00AD791A" w:rsidRDefault="000A6E4C" w:rsidP="00AA15B5">
      <w:pPr>
        <w:pStyle w:val="TOC3"/>
        <w:ind w:left="2160"/>
        <w:jc w:val="left"/>
        <w:rPr>
          <w:rFonts w:ascii="Cambria" w:eastAsia="Times New Roman" w:hAnsi="Cambria"/>
          <w:b w:val="0"/>
          <w:noProof/>
          <w:lang w:val="en-US"/>
        </w:rPr>
      </w:pPr>
      <w:hyperlink w:anchor="_Toc414177757" w:history="1">
        <w:r w:rsidR="00EB423B" w:rsidRPr="00AD791A">
          <w:rPr>
            <w:rStyle w:val="Hyperlink"/>
            <w:rFonts w:ascii="Cambria" w:hAnsi="Cambria"/>
            <w:b w:val="0"/>
            <w:noProof/>
          </w:rPr>
          <w:t>4</w:t>
        </w:r>
        <w:r w:rsidR="00AA15B5" w:rsidRPr="00AD791A">
          <w:rPr>
            <w:rStyle w:val="Hyperlink"/>
            <w:rFonts w:ascii="Cambria" w:hAnsi="Cambria"/>
            <w:b w:val="0"/>
            <w:noProof/>
          </w:rPr>
          <w:t>.</w:t>
        </w:r>
        <w:r w:rsidR="00AA15B5" w:rsidRPr="00AD791A">
          <w:rPr>
            <w:rFonts w:ascii="Cambria" w:eastAsia="Times New Roman" w:hAnsi="Cambria"/>
            <w:b w:val="0"/>
            <w:noProof/>
            <w:lang w:val="en-US"/>
          </w:rPr>
          <w:tab/>
        </w:r>
        <w:r w:rsidR="00AA15B5" w:rsidRPr="00AD791A">
          <w:rPr>
            <w:rStyle w:val="Hyperlink"/>
            <w:rFonts w:ascii="Cambria" w:hAnsi="Cambria"/>
            <w:b w:val="0"/>
            <w:noProof/>
          </w:rPr>
          <w:t>Conclusión</w:t>
        </w:r>
        <w:r w:rsidR="00AA15B5" w:rsidRPr="00AD791A">
          <w:rPr>
            <w:rFonts w:ascii="Cambria" w:hAnsi="Cambria"/>
            <w:b w:val="0"/>
            <w:noProof/>
            <w:webHidden/>
          </w:rPr>
          <w:tab/>
        </w:r>
        <w:r w:rsidR="00AA15B5" w:rsidRPr="00AD791A">
          <w:rPr>
            <w:rFonts w:ascii="Cambria" w:hAnsi="Cambria"/>
            <w:b w:val="0"/>
            <w:noProof/>
            <w:webHidden/>
          </w:rPr>
          <w:fldChar w:fldCharType="begin"/>
        </w:r>
        <w:r w:rsidR="00AA15B5" w:rsidRPr="00AD791A">
          <w:rPr>
            <w:rFonts w:ascii="Cambria" w:hAnsi="Cambria"/>
            <w:b w:val="0"/>
            <w:noProof/>
            <w:webHidden/>
          </w:rPr>
          <w:instrText xml:space="preserve"> PAGEREF _Toc414177757 \h </w:instrText>
        </w:r>
        <w:r w:rsidR="00AA15B5" w:rsidRPr="00AD791A">
          <w:rPr>
            <w:rFonts w:ascii="Cambria" w:hAnsi="Cambria"/>
            <w:b w:val="0"/>
            <w:noProof/>
            <w:webHidden/>
          </w:rPr>
        </w:r>
        <w:r w:rsidR="00AA15B5" w:rsidRPr="00AD791A">
          <w:rPr>
            <w:rFonts w:ascii="Cambria" w:hAnsi="Cambria"/>
            <w:b w:val="0"/>
            <w:noProof/>
            <w:webHidden/>
          </w:rPr>
          <w:fldChar w:fldCharType="separate"/>
        </w:r>
        <w:r>
          <w:rPr>
            <w:rFonts w:ascii="Cambria" w:hAnsi="Cambria"/>
            <w:b w:val="0"/>
            <w:noProof/>
            <w:webHidden/>
          </w:rPr>
          <w:t>33</w:t>
        </w:r>
        <w:r w:rsidR="00AA15B5" w:rsidRPr="00AD791A">
          <w:rPr>
            <w:rFonts w:ascii="Cambria" w:hAnsi="Cambria"/>
            <w:b w:val="0"/>
            <w:noProof/>
            <w:webHidden/>
          </w:rPr>
          <w:fldChar w:fldCharType="end"/>
        </w:r>
      </w:hyperlink>
    </w:p>
    <w:p w:rsidR="00AA15B5" w:rsidRPr="00AD791A" w:rsidRDefault="000A6E4C" w:rsidP="00AA15B5">
      <w:pPr>
        <w:pStyle w:val="TOC2"/>
        <w:rPr>
          <w:rFonts w:ascii="Cambria" w:eastAsia="Times New Roman" w:hAnsi="Cambria"/>
          <w:noProof/>
          <w:sz w:val="20"/>
          <w:szCs w:val="20"/>
        </w:rPr>
      </w:pPr>
      <w:hyperlink w:anchor="_Toc414177758" w:history="1">
        <w:r w:rsidR="00AA15B5" w:rsidRPr="00AD791A">
          <w:rPr>
            <w:rStyle w:val="Hyperlink"/>
            <w:rFonts w:ascii="Cambria" w:hAnsi="Cambria"/>
            <w:noProof/>
            <w:sz w:val="20"/>
            <w:szCs w:val="20"/>
          </w:rPr>
          <w:t>B.</w:t>
        </w:r>
        <w:r w:rsidR="00AA15B5" w:rsidRPr="00AD791A">
          <w:rPr>
            <w:rFonts w:ascii="Cambria" w:eastAsia="Times New Roman" w:hAnsi="Cambria"/>
            <w:noProof/>
            <w:sz w:val="20"/>
            <w:szCs w:val="20"/>
          </w:rPr>
          <w:tab/>
        </w:r>
        <w:r w:rsidR="00AA15B5" w:rsidRPr="00AD791A">
          <w:rPr>
            <w:rStyle w:val="Hyperlink"/>
            <w:rFonts w:ascii="Cambria" w:hAnsi="Cambria"/>
            <w:noProof/>
            <w:sz w:val="20"/>
            <w:szCs w:val="20"/>
          </w:rPr>
          <w:t xml:space="preserve">Derecho a las garantías judiciales y la protección judicial (Artículos 8.1 y 25.1 de </w:t>
        </w:r>
        <w:r w:rsidR="00AA15B5" w:rsidRPr="00AD791A">
          <w:rPr>
            <w:rStyle w:val="Hyperlink"/>
            <w:rFonts w:ascii="Cambria" w:hAnsi="Cambria"/>
            <w:noProof/>
            <w:sz w:val="20"/>
            <w:szCs w:val="20"/>
          </w:rPr>
          <w:br/>
          <w:t xml:space="preserve">la Convención Americana) en relación con el artículo 5 de la Convención, </w:t>
        </w:r>
        <w:r w:rsidR="00AA15B5" w:rsidRPr="00AD791A">
          <w:rPr>
            <w:rStyle w:val="Hyperlink"/>
            <w:rFonts w:ascii="Cambria" w:hAnsi="Cambria"/>
            <w:noProof/>
            <w:sz w:val="20"/>
            <w:szCs w:val="20"/>
          </w:rPr>
          <w:br/>
          <w:t>respecto de los procesos abiertos contra la señora Acosta</w:t>
        </w:r>
        <w:r w:rsidR="00AA15B5" w:rsidRPr="00AD791A">
          <w:rPr>
            <w:rFonts w:ascii="Cambria" w:hAnsi="Cambria"/>
            <w:noProof/>
            <w:webHidden/>
            <w:sz w:val="20"/>
            <w:szCs w:val="20"/>
          </w:rPr>
          <w:tab/>
        </w:r>
        <w:r w:rsidR="00AA15B5" w:rsidRPr="00AD791A">
          <w:rPr>
            <w:rFonts w:ascii="Cambria" w:hAnsi="Cambria"/>
            <w:noProof/>
            <w:webHidden/>
            <w:sz w:val="20"/>
            <w:szCs w:val="20"/>
          </w:rPr>
          <w:fldChar w:fldCharType="begin"/>
        </w:r>
        <w:r w:rsidR="00AA15B5" w:rsidRPr="00AD791A">
          <w:rPr>
            <w:rFonts w:ascii="Cambria" w:hAnsi="Cambria"/>
            <w:noProof/>
            <w:webHidden/>
            <w:sz w:val="20"/>
            <w:szCs w:val="20"/>
          </w:rPr>
          <w:instrText xml:space="preserve"> PAGEREF _Toc414177758 \h </w:instrText>
        </w:r>
        <w:r w:rsidR="00AA15B5" w:rsidRPr="00AD791A">
          <w:rPr>
            <w:rFonts w:ascii="Cambria" w:hAnsi="Cambria"/>
            <w:noProof/>
            <w:webHidden/>
            <w:sz w:val="20"/>
            <w:szCs w:val="20"/>
          </w:rPr>
        </w:r>
        <w:r w:rsidR="00AA15B5" w:rsidRPr="00AD791A">
          <w:rPr>
            <w:rFonts w:ascii="Cambria" w:hAnsi="Cambria"/>
            <w:noProof/>
            <w:webHidden/>
            <w:sz w:val="20"/>
            <w:szCs w:val="20"/>
          </w:rPr>
          <w:fldChar w:fldCharType="separate"/>
        </w:r>
        <w:r>
          <w:rPr>
            <w:rFonts w:ascii="Cambria" w:hAnsi="Cambria"/>
            <w:noProof/>
            <w:webHidden/>
            <w:sz w:val="20"/>
            <w:szCs w:val="20"/>
          </w:rPr>
          <w:t>33</w:t>
        </w:r>
        <w:r w:rsidR="00AA15B5" w:rsidRPr="00AD791A">
          <w:rPr>
            <w:rFonts w:ascii="Cambria" w:hAnsi="Cambria"/>
            <w:noProof/>
            <w:webHidden/>
            <w:sz w:val="20"/>
            <w:szCs w:val="20"/>
          </w:rPr>
          <w:fldChar w:fldCharType="end"/>
        </w:r>
      </w:hyperlink>
    </w:p>
    <w:p w:rsidR="00AA15B5" w:rsidRPr="00AD791A" w:rsidRDefault="000A6E4C" w:rsidP="00AA15B5">
      <w:pPr>
        <w:pStyle w:val="TOC3"/>
        <w:tabs>
          <w:tab w:val="clear" w:pos="1440"/>
          <w:tab w:val="left" w:pos="2160"/>
        </w:tabs>
        <w:ind w:firstLine="0"/>
        <w:jc w:val="left"/>
        <w:rPr>
          <w:rFonts w:ascii="Cambria" w:eastAsia="Times New Roman" w:hAnsi="Cambria"/>
          <w:b w:val="0"/>
          <w:noProof/>
          <w:lang w:val="en-US"/>
        </w:rPr>
      </w:pPr>
      <w:hyperlink w:anchor="_Toc414177759" w:history="1">
        <w:r w:rsidR="00AA15B5" w:rsidRPr="00AD791A">
          <w:rPr>
            <w:rStyle w:val="Hyperlink"/>
            <w:rFonts w:ascii="Cambria" w:hAnsi="Cambria" w:cs="Arial"/>
            <w:b w:val="0"/>
            <w:noProof/>
            <w:lang w:val="es-ES"/>
          </w:rPr>
          <w:t xml:space="preserve">1. </w:t>
        </w:r>
        <w:r w:rsidR="00AA15B5" w:rsidRPr="00AD791A">
          <w:rPr>
            <w:rFonts w:ascii="Cambria" w:eastAsia="Times New Roman" w:hAnsi="Cambria"/>
            <w:b w:val="0"/>
            <w:noProof/>
            <w:lang w:val="en-US"/>
          </w:rPr>
          <w:tab/>
        </w:r>
        <w:r w:rsidR="00AA15B5" w:rsidRPr="00AD791A">
          <w:rPr>
            <w:rStyle w:val="Hyperlink"/>
            <w:rFonts w:ascii="Cambria" w:hAnsi="Cambria" w:cs="Arial"/>
            <w:b w:val="0"/>
            <w:noProof/>
            <w:lang w:val="es-ES"/>
          </w:rPr>
          <w:t xml:space="preserve">La investigación penal por </w:t>
        </w:r>
        <w:r w:rsidR="00AA15B5" w:rsidRPr="00AD791A">
          <w:rPr>
            <w:rStyle w:val="Hyperlink"/>
            <w:rFonts w:ascii="Cambria" w:hAnsi="Cambria"/>
            <w:b w:val="0"/>
            <w:noProof/>
          </w:rPr>
          <w:t xml:space="preserve">el supuesto encubrimiento de la investigación </w:t>
        </w:r>
        <w:r w:rsidR="00AA15B5" w:rsidRPr="00AD791A">
          <w:rPr>
            <w:rStyle w:val="Hyperlink"/>
            <w:rFonts w:ascii="Cambria" w:hAnsi="Cambria"/>
            <w:b w:val="0"/>
            <w:noProof/>
          </w:rPr>
          <w:br/>
          <w:t>del crimen del señor García Valle</w:t>
        </w:r>
        <w:r w:rsidR="00AA15B5" w:rsidRPr="00AD791A">
          <w:rPr>
            <w:rFonts w:ascii="Cambria" w:hAnsi="Cambria"/>
            <w:b w:val="0"/>
            <w:noProof/>
            <w:webHidden/>
          </w:rPr>
          <w:tab/>
        </w:r>
        <w:r w:rsidR="00AA15B5" w:rsidRPr="00AD791A">
          <w:rPr>
            <w:rFonts w:ascii="Cambria" w:hAnsi="Cambria"/>
            <w:b w:val="0"/>
            <w:noProof/>
            <w:webHidden/>
          </w:rPr>
          <w:fldChar w:fldCharType="begin"/>
        </w:r>
        <w:r w:rsidR="00AA15B5" w:rsidRPr="00AD791A">
          <w:rPr>
            <w:rFonts w:ascii="Cambria" w:hAnsi="Cambria"/>
            <w:b w:val="0"/>
            <w:noProof/>
            <w:webHidden/>
          </w:rPr>
          <w:instrText xml:space="preserve"> PAGEREF _Toc414177759 \h </w:instrText>
        </w:r>
        <w:r w:rsidR="00AA15B5" w:rsidRPr="00AD791A">
          <w:rPr>
            <w:rFonts w:ascii="Cambria" w:hAnsi="Cambria"/>
            <w:b w:val="0"/>
            <w:noProof/>
            <w:webHidden/>
          </w:rPr>
        </w:r>
        <w:r w:rsidR="00AA15B5" w:rsidRPr="00AD791A">
          <w:rPr>
            <w:rFonts w:ascii="Cambria" w:hAnsi="Cambria"/>
            <w:b w:val="0"/>
            <w:noProof/>
            <w:webHidden/>
          </w:rPr>
          <w:fldChar w:fldCharType="separate"/>
        </w:r>
        <w:r>
          <w:rPr>
            <w:rFonts w:ascii="Cambria" w:hAnsi="Cambria"/>
            <w:b w:val="0"/>
            <w:noProof/>
            <w:webHidden/>
          </w:rPr>
          <w:t>33</w:t>
        </w:r>
        <w:r w:rsidR="00AA15B5" w:rsidRPr="00AD791A">
          <w:rPr>
            <w:rFonts w:ascii="Cambria" w:hAnsi="Cambria"/>
            <w:b w:val="0"/>
            <w:noProof/>
            <w:webHidden/>
          </w:rPr>
          <w:fldChar w:fldCharType="end"/>
        </w:r>
      </w:hyperlink>
    </w:p>
    <w:p w:rsidR="00AA15B5" w:rsidRPr="00AD791A" w:rsidRDefault="000A6E4C" w:rsidP="00AA15B5">
      <w:pPr>
        <w:pStyle w:val="TOC3"/>
        <w:tabs>
          <w:tab w:val="clear" w:pos="1440"/>
          <w:tab w:val="left" w:pos="2160"/>
        </w:tabs>
        <w:ind w:firstLine="0"/>
        <w:jc w:val="left"/>
        <w:rPr>
          <w:rFonts w:ascii="Cambria" w:eastAsia="Times New Roman" w:hAnsi="Cambria"/>
          <w:b w:val="0"/>
          <w:noProof/>
          <w:lang w:val="en-US"/>
        </w:rPr>
      </w:pPr>
      <w:hyperlink w:anchor="_Toc414177760" w:history="1">
        <w:r w:rsidR="00AA15B5" w:rsidRPr="00AD791A">
          <w:rPr>
            <w:rStyle w:val="Hyperlink"/>
            <w:rFonts w:ascii="Cambria" w:hAnsi="Cambria"/>
            <w:b w:val="0"/>
            <w:noProof/>
          </w:rPr>
          <w:t>2.</w:t>
        </w:r>
        <w:r w:rsidR="00AA15B5" w:rsidRPr="00AD791A">
          <w:rPr>
            <w:rFonts w:ascii="Cambria" w:eastAsia="Times New Roman" w:hAnsi="Cambria"/>
            <w:b w:val="0"/>
            <w:noProof/>
            <w:lang w:val="en-US"/>
          </w:rPr>
          <w:tab/>
        </w:r>
        <w:r w:rsidR="00AA15B5" w:rsidRPr="00AD791A">
          <w:rPr>
            <w:rStyle w:val="Hyperlink"/>
            <w:rFonts w:ascii="Cambria" w:hAnsi="Cambria"/>
            <w:b w:val="0"/>
            <w:noProof/>
          </w:rPr>
          <w:t xml:space="preserve">La investigación penal por los delitos de “falso testimonio y denuncia falsa” </w:t>
        </w:r>
        <w:r w:rsidR="00AA15B5" w:rsidRPr="00AD791A">
          <w:rPr>
            <w:rStyle w:val="Hyperlink"/>
            <w:rFonts w:ascii="Cambria" w:hAnsi="Cambria"/>
            <w:b w:val="0"/>
            <w:noProof/>
          </w:rPr>
          <w:br/>
          <w:t>y el proceso civil por daños y perjuicios</w:t>
        </w:r>
        <w:r w:rsidR="00AA15B5" w:rsidRPr="00AD791A">
          <w:rPr>
            <w:rFonts w:ascii="Cambria" w:hAnsi="Cambria"/>
            <w:b w:val="0"/>
            <w:noProof/>
            <w:webHidden/>
          </w:rPr>
          <w:tab/>
        </w:r>
        <w:r w:rsidR="00AA15B5" w:rsidRPr="00AD791A">
          <w:rPr>
            <w:rFonts w:ascii="Cambria" w:hAnsi="Cambria"/>
            <w:b w:val="0"/>
            <w:noProof/>
            <w:webHidden/>
          </w:rPr>
          <w:fldChar w:fldCharType="begin"/>
        </w:r>
        <w:r w:rsidR="00AA15B5" w:rsidRPr="00AD791A">
          <w:rPr>
            <w:rFonts w:ascii="Cambria" w:hAnsi="Cambria"/>
            <w:b w:val="0"/>
            <w:noProof/>
            <w:webHidden/>
          </w:rPr>
          <w:instrText xml:space="preserve"> PAGEREF _Toc414177760 \h </w:instrText>
        </w:r>
        <w:r w:rsidR="00AA15B5" w:rsidRPr="00AD791A">
          <w:rPr>
            <w:rFonts w:ascii="Cambria" w:hAnsi="Cambria"/>
            <w:b w:val="0"/>
            <w:noProof/>
            <w:webHidden/>
          </w:rPr>
        </w:r>
        <w:r w:rsidR="00AA15B5" w:rsidRPr="00AD791A">
          <w:rPr>
            <w:rFonts w:ascii="Cambria" w:hAnsi="Cambria"/>
            <w:b w:val="0"/>
            <w:noProof/>
            <w:webHidden/>
          </w:rPr>
          <w:fldChar w:fldCharType="separate"/>
        </w:r>
        <w:r>
          <w:rPr>
            <w:rFonts w:ascii="Cambria" w:hAnsi="Cambria"/>
            <w:b w:val="0"/>
            <w:noProof/>
            <w:webHidden/>
          </w:rPr>
          <w:t>35</w:t>
        </w:r>
        <w:r w:rsidR="00AA15B5" w:rsidRPr="00AD791A">
          <w:rPr>
            <w:rFonts w:ascii="Cambria" w:hAnsi="Cambria"/>
            <w:b w:val="0"/>
            <w:noProof/>
            <w:webHidden/>
          </w:rPr>
          <w:fldChar w:fldCharType="end"/>
        </w:r>
      </w:hyperlink>
    </w:p>
    <w:p w:rsidR="00AA15B5" w:rsidRPr="00AD791A" w:rsidRDefault="000A6E4C" w:rsidP="00AA15B5">
      <w:pPr>
        <w:pStyle w:val="TOC3"/>
        <w:tabs>
          <w:tab w:val="clear" w:pos="1440"/>
          <w:tab w:val="left" w:pos="2160"/>
        </w:tabs>
        <w:ind w:firstLine="0"/>
        <w:jc w:val="left"/>
        <w:rPr>
          <w:rFonts w:ascii="Cambria" w:eastAsia="Times New Roman" w:hAnsi="Cambria"/>
          <w:b w:val="0"/>
          <w:noProof/>
          <w:lang w:val="en-US"/>
        </w:rPr>
      </w:pPr>
      <w:hyperlink w:anchor="_Toc414177761" w:history="1">
        <w:r w:rsidR="00AA15B5" w:rsidRPr="00AD791A">
          <w:rPr>
            <w:rStyle w:val="Hyperlink"/>
            <w:rFonts w:ascii="Cambria" w:hAnsi="Cambria"/>
            <w:b w:val="0"/>
            <w:noProof/>
          </w:rPr>
          <w:t>3.</w:t>
        </w:r>
        <w:r w:rsidR="00AA15B5" w:rsidRPr="00AD791A">
          <w:rPr>
            <w:rFonts w:ascii="Cambria" w:eastAsia="Times New Roman" w:hAnsi="Cambria"/>
            <w:b w:val="0"/>
            <w:noProof/>
            <w:lang w:val="en-US"/>
          </w:rPr>
          <w:tab/>
        </w:r>
        <w:r w:rsidR="00AA15B5" w:rsidRPr="00AD791A">
          <w:rPr>
            <w:rStyle w:val="Hyperlink"/>
            <w:rFonts w:ascii="Cambria" w:hAnsi="Cambria"/>
            <w:b w:val="0"/>
            <w:noProof/>
          </w:rPr>
          <w:t>Conclusión</w:t>
        </w:r>
        <w:r w:rsidR="00AA15B5" w:rsidRPr="00AD791A">
          <w:rPr>
            <w:rFonts w:ascii="Cambria" w:hAnsi="Cambria"/>
            <w:b w:val="0"/>
            <w:noProof/>
            <w:webHidden/>
          </w:rPr>
          <w:tab/>
        </w:r>
        <w:r w:rsidR="00AA15B5" w:rsidRPr="00AD791A">
          <w:rPr>
            <w:rFonts w:ascii="Cambria" w:hAnsi="Cambria"/>
            <w:b w:val="0"/>
            <w:noProof/>
            <w:webHidden/>
          </w:rPr>
          <w:fldChar w:fldCharType="begin"/>
        </w:r>
        <w:r w:rsidR="00AA15B5" w:rsidRPr="00AD791A">
          <w:rPr>
            <w:rFonts w:ascii="Cambria" w:hAnsi="Cambria"/>
            <w:b w:val="0"/>
            <w:noProof/>
            <w:webHidden/>
          </w:rPr>
          <w:instrText xml:space="preserve"> PAGEREF _Toc414177761 \h </w:instrText>
        </w:r>
        <w:r w:rsidR="00AA15B5" w:rsidRPr="00AD791A">
          <w:rPr>
            <w:rFonts w:ascii="Cambria" w:hAnsi="Cambria"/>
            <w:b w:val="0"/>
            <w:noProof/>
            <w:webHidden/>
          </w:rPr>
        </w:r>
        <w:r w:rsidR="00AA15B5" w:rsidRPr="00AD791A">
          <w:rPr>
            <w:rFonts w:ascii="Cambria" w:hAnsi="Cambria"/>
            <w:b w:val="0"/>
            <w:noProof/>
            <w:webHidden/>
          </w:rPr>
          <w:fldChar w:fldCharType="separate"/>
        </w:r>
        <w:r>
          <w:rPr>
            <w:rFonts w:ascii="Cambria" w:hAnsi="Cambria"/>
            <w:b w:val="0"/>
            <w:noProof/>
            <w:webHidden/>
          </w:rPr>
          <w:t>36</w:t>
        </w:r>
        <w:r w:rsidR="00AA15B5" w:rsidRPr="00AD791A">
          <w:rPr>
            <w:rFonts w:ascii="Cambria" w:hAnsi="Cambria"/>
            <w:b w:val="0"/>
            <w:noProof/>
            <w:webHidden/>
          </w:rPr>
          <w:fldChar w:fldCharType="end"/>
        </w:r>
      </w:hyperlink>
    </w:p>
    <w:p w:rsidR="00AA15B5" w:rsidRPr="00AD791A" w:rsidRDefault="000A6E4C" w:rsidP="00AA15B5">
      <w:pPr>
        <w:pStyle w:val="TOC2"/>
        <w:rPr>
          <w:rFonts w:ascii="Cambria" w:eastAsia="Times New Roman" w:hAnsi="Cambria"/>
          <w:noProof/>
          <w:sz w:val="20"/>
          <w:szCs w:val="20"/>
        </w:rPr>
      </w:pPr>
      <w:hyperlink w:anchor="_Toc414177762" w:history="1">
        <w:r w:rsidR="00AA15B5" w:rsidRPr="00AD791A">
          <w:rPr>
            <w:rStyle w:val="Hyperlink"/>
            <w:rFonts w:ascii="Cambria" w:hAnsi="Cambria"/>
            <w:bCs/>
            <w:noProof/>
            <w:sz w:val="20"/>
            <w:szCs w:val="20"/>
            <w:lang w:val="es-ES"/>
          </w:rPr>
          <w:t>C.</w:t>
        </w:r>
        <w:r w:rsidR="00AA15B5" w:rsidRPr="00AD791A">
          <w:rPr>
            <w:rFonts w:ascii="Cambria" w:eastAsia="Times New Roman" w:hAnsi="Cambria"/>
            <w:noProof/>
            <w:sz w:val="20"/>
            <w:szCs w:val="20"/>
          </w:rPr>
          <w:tab/>
        </w:r>
        <w:r w:rsidR="00AA15B5" w:rsidRPr="00AD791A">
          <w:rPr>
            <w:rStyle w:val="Hyperlink"/>
            <w:rFonts w:ascii="Cambria" w:hAnsi="Cambria"/>
            <w:bCs/>
            <w:noProof/>
            <w:sz w:val="20"/>
            <w:szCs w:val="20"/>
            <w:lang w:val="es-ES"/>
          </w:rPr>
          <w:t xml:space="preserve">Derecho a la integridad personal (artículo 5 de la Convención) en relación con </w:t>
        </w:r>
        <w:r w:rsidR="00AA15B5" w:rsidRPr="00AD791A">
          <w:rPr>
            <w:rStyle w:val="Hyperlink"/>
            <w:rFonts w:ascii="Cambria" w:hAnsi="Cambria"/>
            <w:bCs/>
            <w:noProof/>
            <w:sz w:val="20"/>
            <w:szCs w:val="20"/>
            <w:lang w:val="es-ES"/>
          </w:rPr>
          <w:br/>
          <w:t xml:space="preserve">el artículo 1.1 respecto de </w:t>
        </w:r>
        <w:r w:rsidR="00AA15B5" w:rsidRPr="00AD791A">
          <w:rPr>
            <w:rStyle w:val="Hyperlink"/>
            <w:rFonts w:ascii="Cambria" w:hAnsi="Cambria" w:cs="Garamond"/>
            <w:noProof/>
            <w:sz w:val="20"/>
            <w:szCs w:val="20"/>
            <w:lang w:val="es-ES_tradnl"/>
          </w:rPr>
          <w:t xml:space="preserve">María Luisa Acosta y </w:t>
        </w:r>
        <w:r w:rsidR="00AA15B5" w:rsidRPr="00AD791A">
          <w:rPr>
            <w:rStyle w:val="Hyperlink"/>
            <w:rFonts w:ascii="Cambria" w:hAnsi="Cambria"/>
            <w:bCs/>
            <w:noProof/>
            <w:sz w:val="20"/>
            <w:szCs w:val="20"/>
            <w:lang w:val="es-ES"/>
          </w:rPr>
          <w:t>otros familiares del señor García Valle</w:t>
        </w:r>
        <w:r w:rsidR="00AA15B5" w:rsidRPr="00AD791A">
          <w:rPr>
            <w:rFonts w:ascii="Cambria" w:hAnsi="Cambria"/>
            <w:noProof/>
            <w:webHidden/>
            <w:sz w:val="20"/>
            <w:szCs w:val="20"/>
          </w:rPr>
          <w:tab/>
        </w:r>
        <w:r w:rsidR="00AA15B5" w:rsidRPr="00AD791A">
          <w:rPr>
            <w:rFonts w:ascii="Cambria" w:hAnsi="Cambria"/>
            <w:noProof/>
            <w:webHidden/>
            <w:sz w:val="20"/>
            <w:szCs w:val="20"/>
          </w:rPr>
          <w:fldChar w:fldCharType="begin"/>
        </w:r>
        <w:r w:rsidR="00AA15B5" w:rsidRPr="00AD791A">
          <w:rPr>
            <w:rFonts w:ascii="Cambria" w:hAnsi="Cambria"/>
            <w:noProof/>
            <w:webHidden/>
            <w:sz w:val="20"/>
            <w:szCs w:val="20"/>
          </w:rPr>
          <w:instrText xml:space="preserve"> PAGEREF _Toc414177762 \h </w:instrText>
        </w:r>
        <w:r w:rsidR="00AA15B5" w:rsidRPr="00AD791A">
          <w:rPr>
            <w:rFonts w:ascii="Cambria" w:hAnsi="Cambria"/>
            <w:noProof/>
            <w:webHidden/>
            <w:sz w:val="20"/>
            <w:szCs w:val="20"/>
          </w:rPr>
        </w:r>
        <w:r w:rsidR="00AA15B5" w:rsidRPr="00AD791A">
          <w:rPr>
            <w:rFonts w:ascii="Cambria" w:hAnsi="Cambria"/>
            <w:noProof/>
            <w:webHidden/>
            <w:sz w:val="20"/>
            <w:szCs w:val="20"/>
          </w:rPr>
          <w:fldChar w:fldCharType="separate"/>
        </w:r>
        <w:r>
          <w:rPr>
            <w:rFonts w:ascii="Cambria" w:hAnsi="Cambria"/>
            <w:noProof/>
            <w:webHidden/>
            <w:sz w:val="20"/>
            <w:szCs w:val="20"/>
          </w:rPr>
          <w:t>37</w:t>
        </w:r>
        <w:r w:rsidR="00AA15B5" w:rsidRPr="00AD791A">
          <w:rPr>
            <w:rFonts w:ascii="Cambria" w:hAnsi="Cambria"/>
            <w:noProof/>
            <w:webHidden/>
            <w:sz w:val="20"/>
            <w:szCs w:val="20"/>
          </w:rPr>
          <w:fldChar w:fldCharType="end"/>
        </w:r>
      </w:hyperlink>
    </w:p>
    <w:p w:rsidR="00AA15B5" w:rsidRPr="00AD791A" w:rsidRDefault="00AA15B5" w:rsidP="00AA15B5">
      <w:pPr>
        <w:pStyle w:val="TOC1"/>
        <w:jc w:val="left"/>
        <w:rPr>
          <w:rStyle w:val="Hyperlink"/>
          <w:rFonts w:ascii="Cambria" w:hAnsi="Cambria"/>
          <w:noProof/>
          <w:sz w:val="20"/>
          <w:szCs w:val="20"/>
        </w:rPr>
      </w:pPr>
    </w:p>
    <w:p w:rsidR="00AA15B5" w:rsidRPr="00AD791A" w:rsidRDefault="000A6E4C" w:rsidP="00AA15B5">
      <w:pPr>
        <w:pStyle w:val="TOC1"/>
        <w:jc w:val="left"/>
        <w:rPr>
          <w:rFonts w:ascii="Cambria" w:eastAsia="Times New Roman" w:hAnsi="Cambria"/>
          <w:noProof/>
          <w:sz w:val="20"/>
          <w:szCs w:val="20"/>
        </w:rPr>
      </w:pPr>
      <w:hyperlink w:anchor="_Toc414177763" w:history="1">
        <w:r w:rsidR="00AA15B5" w:rsidRPr="00AD791A">
          <w:rPr>
            <w:rStyle w:val="Hyperlink"/>
            <w:rFonts w:ascii="Cambria" w:hAnsi="Cambria"/>
            <w:noProof/>
            <w:sz w:val="20"/>
            <w:szCs w:val="20"/>
            <w:lang w:val="es-AR"/>
          </w:rPr>
          <w:t>VI.</w:t>
        </w:r>
        <w:r w:rsidR="00AA15B5" w:rsidRPr="00AD791A">
          <w:rPr>
            <w:rFonts w:ascii="Cambria" w:eastAsia="Times New Roman" w:hAnsi="Cambria"/>
            <w:noProof/>
            <w:sz w:val="20"/>
            <w:szCs w:val="20"/>
          </w:rPr>
          <w:tab/>
        </w:r>
        <w:r w:rsidR="00AA15B5" w:rsidRPr="00AD791A">
          <w:rPr>
            <w:rStyle w:val="Hyperlink"/>
            <w:rFonts w:ascii="Cambria" w:hAnsi="Cambria"/>
            <w:noProof/>
            <w:sz w:val="20"/>
            <w:szCs w:val="20"/>
            <w:lang w:val="es-AR"/>
          </w:rPr>
          <w:t>CONCLUSIONES</w:t>
        </w:r>
        <w:r w:rsidR="00AA15B5" w:rsidRPr="00AD791A">
          <w:rPr>
            <w:rFonts w:ascii="Cambria" w:hAnsi="Cambria"/>
            <w:noProof/>
            <w:webHidden/>
            <w:sz w:val="20"/>
            <w:szCs w:val="20"/>
          </w:rPr>
          <w:tab/>
        </w:r>
        <w:r w:rsidR="00AA15B5" w:rsidRPr="00AD791A">
          <w:rPr>
            <w:rFonts w:ascii="Cambria" w:hAnsi="Cambria"/>
            <w:noProof/>
            <w:webHidden/>
            <w:sz w:val="20"/>
            <w:szCs w:val="20"/>
          </w:rPr>
          <w:fldChar w:fldCharType="begin"/>
        </w:r>
        <w:r w:rsidR="00AA15B5" w:rsidRPr="00AD791A">
          <w:rPr>
            <w:rFonts w:ascii="Cambria" w:hAnsi="Cambria"/>
            <w:noProof/>
            <w:webHidden/>
            <w:sz w:val="20"/>
            <w:szCs w:val="20"/>
          </w:rPr>
          <w:instrText xml:space="preserve"> PAGEREF _Toc414177763 \h </w:instrText>
        </w:r>
        <w:r w:rsidR="00AA15B5" w:rsidRPr="00AD791A">
          <w:rPr>
            <w:rFonts w:ascii="Cambria" w:hAnsi="Cambria"/>
            <w:noProof/>
            <w:webHidden/>
            <w:sz w:val="20"/>
            <w:szCs w:val="20"/>
          </w:rPr>
        </w:r>
        <w:r w:rsidR="00AA15B5" w:rsidRPr="00AD791A">
          <w:rPr>
            <w:rFonts w:ascii="Cambria" w:hAnsi="Cambria"/>
            <w:noProof/>
            <w:webHidden/>
            <w:sz w:val="20"/>
            <w:szCs w:val="20"/>
          </w:rPr>
          <w:fldChar w:fldCharType="separate"/>
        </w:r>
        <w:r>
          <w:rPr>
            <w:rFonts w:ascii="Cambria" w:hAnsi="Cambria"/>
            <w:noProof/>
            <w:webHidden/>
            <w:sz w:val="20"/>
            <w:szCs w:val="20"/>
          </w:rPr>
          <w:t>38</w:t>
        </w:r>
        <w:r w:rsidR="00AA15B5" w:rsidRPr="00AD791A">
          <w:rPr>
            <w:rFonts w:ascii="Cambria" w:hAnsi="Cambria"/>
            <w:noProof/>
            <w:webHidden/>
            <w:sz w:val="20"/>
            <w:szCs w:val="20"/>
          </w:rPr>
          <w:fldChar w:fldCharType="end"/>
        </w:r>
      </w:hyperlink>
    </w:p>
    <w:p w:rsidR="00AA15B5" w:rsidRPr="00AD791A" w:rsidRDefault="00AA15B5" w:rsidP="00AA15B5">
      <w:pPr>
        <w:pStyle w:val="TOC1"/>
        <w:jc w:val="left"/>
        <w:rPr>
          <w:rStyle w:val="Hyperlink"/>
          <w:rFonts w:ascii="Cambria" w:hAnsi="Cambria"/>
          <w:noProof/>
          <w:sz w:val="20"/>
          <w:szCs w:val="20"/>
        </w:rPr>
      </w:pPr>
    </w:p>
    <w:p w:rsidR="00AA15B5" w:rsidRPr="00AD791A" w:rsidRDefault="000A6E4C" w:rsidP="00AA15B5">
      <w:pPr>
        <w:pStyle w:val="TOC1"/>
        <w:jc w:val="left"/>
        <w:rPr>
          <w:rFonts w:ascii="Cambria" w:eastAsia="Times New Roman" w:hAnsi="Cambria"/>
          <w:noProof/>
          <w:sz w:val="20"/>
          <w:szCs w:val="20"/>
        </w:rPr>
      </w:pPr>
      <w:hyperlink w:anchor="_Toc414177764" w:history="1">
        <w:r w:rsidR="00AA15B5" w:rsidRPr="00AD791A">
          <w:rPr>
            <w:rStyle w:val="Hyperlink"/>
            <w:rFonts w:ascii="Cambria" w:hAnsi="Cambria"/>
            <w:noProof/>
            <w:sz w:val="20"/>
            <w:szCs w:val="20"/>
            <w:lang w:val="es-MX"/>
          </w:rPr>
          <w:t>VII.</w:t>
        </w:r>
        <w:r w:rsidR="00AA15B5" w:rsidRPr="00AD791A">
          <w:rPr>
            <w:rFonts w:ascii="Cambria" w:eastAsia="Times New Roman" w:hAnsi="Cambria"/>
            <w:noProof/>
            <w:sz w:val="20"/>
            <w:szCs w:val="20"/>
          </w:rPr>
          <w:tab/>
        </w:r>
        <w:r w:rsidR="00AA15B5" w:rsidRPr="00AD791A">
          <w:rPr>
            <w:rStyle w:val="Hyperlink"/>
            <w:rFonts w:ascii="Cambria" w:hAnsi="Cambria"/>
            <w:noProof/>
            <w:sz w:val="20"/>
            <w:szCs w:val="20"/>
            <w:lang w:val="es-MX"/>
          </w:rPr>
          <w:t>RECOMENDACIONES</w:t>
        </w:r>
        <w:r w:rsidR="00AA15B5" w:rsidRPr="00AD791A">
          <w:rPr>
            <w:rFonts w:ascii="Cambria" w:hAnsi="Cambria"/>
            <w:noProof/>
            <w:webHidden/>
            <w:sz w:val="20"/>
            <w:szCs w:val="20"/>
          </w:rPr>
          <w:tab/>
        </w:r>
        <w:r w:rsidR="00AA15B5" w:rsidRPr="00AD791A">
          <w:rPr>
            <w:rFonts w:ascii="Cambria" w:hAnsi="Cambria"/>
            <w:noProof/>
            <w:webHidden/>
            <w:sz w:val="20"/>
            <w:szCs w:val="20"/>
          </w:rPr>
          <w:fldChar w:fldCharType="begin"/>
        </w:r>
        <w:r w:rsidR="00AA15B5" w:rsidRPr="00AD791A">
          <w:rPr>
            <w:rFonts w:ascii="Cambria" w:hAnsi="Cambria"/>
            <w:noProof/>
            <w:webHidden/>
            <w:sz w:val="20"/>
            <w:szCs w:val="20"/>
          </w:rPr>
          <w:instrText xml:space="preserve"> PAGEREF _Toc414177764 \h </w:instrText>
        </w:r>
        <w:r w:rsidR="00AA15B5" w:rsidRPr="00AD791A">
          <w:rPr>
            <w:rFonts w:ascii="Cambria" w:hAnsi="Cambria"/>
            <w:noProof/>
            <w:webHidden/>
            <w:sz w:val="20"/>
            <w:szCs w:val="20"/>
          </w:rPr>
        </w:r>
        <w:r w:rsidR="00AA15B5" w:rsidRPr="00AD791A">
          <w:rPr>
            <w:rFonts w:ascii="Cambria" w:hAnsi="Cambria"/>
            <w:noProof/>
            <w:webHidden/>
            <w:sz w:val="20"/>
            <w:szCs w:val="20"/>
          </w:rPr>
          <w:fldChar w:fldCharType="separate"/>
        </w:r>
        <w:r>
          <w:rPr>
            <w:rFonts w:ascii="Cambria" w:hAnsi="Cambria"/>
            <w:noProof/>
            <w:webHidden/>
            <w:sz w:val="20"/>
            <w:szCs w:val="20"/>
          </w:rPr>
          <w:t>39</w:t>
        </w:r>
        <w:r w:rsidR="00AA15B5" w:rsidRPr="00AD791A">
          <w:rPr>
            <w:rFonts w:ascii="Cambria" w:hAnsi="Cambria"/>
            <w:noProof/>
            <w:webHidden/>
            <w:sz w:val="20"/>
            <w:szCs w:val="20"/>
          </w:rPr>
          <w:fldChar w:fldCharType="end"/>
        </w:r>
      </w:hyperlink>
    </w:p>
    <w:p w:rsidR="006264C8" w:rsidRPr="00AD791A" w:rsidRDefault="00AA15B5" w:rsidP="00AA15B5">
      <w:pPr>
        <w:jc w:val="both"/>
        <w:rPr>
          <w:rFonts w:ascii="Cambria" w:hAnsi="Cambria"/>
          <w:sz w:val="20"/>
          <w:szCs w:val="20"/>
          <w:lang w:val="es-ES"/>
        </w:rPr>
      </w:pPr>
      <w:r w:rsidRPr="00AD791A">
        <w:rPr>
          <w:rFonts w:ascii="Cambria" w:hAnsi="Cambria"/>
          <w:sz w:val="20"/>
          <w:szCs w:val="20"/>
          <w:lang w:val="es-ES"/>
        </w:rPr>
        <w:fldChar w:fldCharType="end"/>
      </w:r>
    </w:p>
    <w:p w:rsidR="006264C8" w:rsidRPr="00AD791A" w:rsidRDefault="006264C8" w:rsidP="009D7F32">
      <w:pPr>
        <w:jc w:val="both"/>
        <w:rPr>
          <w:rFonts w:ascii="Cambria" w:hAnsi="Cambria"/>
          <w:sz w:val="20"/>
          <w:szCs w:val="20"/>
          <w:lang w:val="es-ES"/>
        </w:rPr>
      </w:pPr>
    </w:p>
    <w:p w:rsidR="009D7F32" w:rsidRPr="00AD791A" w:rsidRDefault="009D7F32" w:rsidP="00DF00E3">
      <w:pPr>
        <w:pStyle w:val="TOC1"/>
        <w:rPr>
          <w:lang w:val="es-ES"/>
        </w:rPr>
      </w:pPr>
    </w:p>
    <w:p w:rsidR="009D7F32" w:rsidRPr="00AD791A" w:rsidRDefault="009D7F32" w:rsidP="009D7F32">
      <w:pPr>
        <w:pStyle w:val="Heading2"/>
        <w:keepNext w:val="0"/>
        <w:jc w:val="center"/>
        <w:rPr>
          <w:rFonts w:ascii="Cambria" w:hAnsi="Cambria"/>
          <w:i/>
          <w:sz w:val="20"/>
          <w:szCs w:val="20"/>
          <w:lang w:val="es-ES"/>
        </w:rPr>
        <w:sectPr w:rsidR="009D7F32" w:rsidRPr="00AD791A" w:rsidSect="009D7F32">
          <w:headerReference w:type="default" r:id="rId15"/>
          <w:footerReference w:type="even" r:id="rId16"/>
          <w:headerReference w:type="first" r:id="rId17"/>
          <w:pgSz w:w="12240" w:h="15840"/>
          <w:pgMar w:top="1440" w:right="1440" w:bottom="1440" w:left="1440" w:header="720" w:footer="720" w:gutter="0"/>
          <w:pgNumType w:start="1"/>
          <w:cols w:space="720"/>
          <w:titlePg/>
          <w:docGrid w:linePitch="360"/>
        </w:sectPr>
      </w:pPr>
    </w:p>
    <w:p w:rsidR="009D7F32" w:rsidRPr="00AD791A" w:rsidRDefault="009D20F0" w:rsidP="009D7F32">
      <w:pPr>
        <w:jc w:val="center"/>
        <w:rPr>
          <w:rFonts w:ascii="Cambria" w:hAnsi="Cambria"/>
          <w:b/>
          <w:sz w:val="18"/>
          <w:szCs w:val="18"/>
          <w:lang w:val="es-ES"/>
        </w:rPr>
      </w:pPr>
      <w:r w:rsidRPr="00AD791A">
        <w:rPr>
          <w:rFonts w:ascii="Cambria" w:hAnsi="Cambria"/>
          <w:b/>
          <w:sz w:val="18"/>
          <w:szCs w:val="18"/>
          <w:lang w:val="es-ES"/>
        </w:rPr>
        <w:t>INFORME N</w:t>
      </w:r>
      <w:r w:rsidR="006264C8" w:rsidRPr="00AD791A">
        <w:rPr>
          <w:rFonts w:ascii="Cambria" w:hAnsi="Cambria"/>
          <w:b/>
          <w:sz w:val="18"/>
          <w:szCs w:val="18"/>
          <w:lang w:val="es-ES"/>
        </w:rPr>
        <w:t>o</w:t>
      </w:r>
      <w:r w:rsidRPr="00AD791A">
        <w:rPr>
          <w:rFonts w:ascii="Cambria" w:hAnsi="Cambria"/>
          <w:b/>
          <w:sz w:val="18"/>
          <w:szCs w:val="18"/>
          <w:lang w:val="es-ES"/>
        </w:rPr>
        <w:t xml:space="preserve">. </w:t>
      </w:r>
      <w:r w:rsidR="007202AC">
        <w:rPr>
          <w:rFonts w:ascii="Cambria" w:hAnsi="Cambria"/>
          <w:b/>
          <w:sz w:val="18"/>
          <w:szCs w:val="18"/>
          <w:lang w:val="es-ES"/>
        </w:rPr>
        <w:t>22</w:t>
      </w:r>
      <w:r w:rsidRPr="00AD791A">
        <w:rPr>
          <w:rFonts w:ascii="Cambria" w:hAnsi="Cambria"/>
          <w:b/>
          <w:sz w:val="18"/>
          <w:szCs w:val="18"/>
          <w:lang w:val="es-ES"/>
        </w:rPr>
        <w:t>/15</w:t>
      </w:r>
    </w:p>
    <w:p w:rsidR="009D7F32" w:rsidRPr="00AD791A" w:rsidRDefault="009D20F0" w:rsidP="009D7F32">
      <w:pPr>
        <w:jc w:val="center"/>
        <w:rPr>
          <w:rFonts w:ascii="Cambria" w:hAnsi="Cambria"/>
          <w:sz w:val="18"/>
          <w:szCs w:val="18"/>
          <w:lang w:val="es-ES"/>
        </w:rPr>
      </w:pPr>
      <w:r w:rsidRPr="00AD791A">
        <w:rPr>
          <w:rFonts w:ascii="Cambria" w:hAnsi="Cambria"/>
          <w:sz w:val="18"/>
          <w:szCs w:val="18"/>
          <w:lang w:val="es-ES"/>
        </w:rPr>
        <w:t>CASO 12.792</w:t>
      </w:r>
    </w:p>
    <w:p w:rsidR="009D7F32" w:rsidRPr="00AD791A" w:rsidRDefault="009D20F0" w:rsidP="009D7F32">
      <w:pPr>
        <w:jc w:val="center"/>
        <w:rPr>
          <w:rFonts w:ascii="Cambria" w:hAnsi="Cambria"/>
          <w:sz w:val="18"/>
          <w:szCs w:val="18"/>
          <w:lang w:val="es-ES"/>
        </w:rPr>
      </w:pPr>
      <w:r w:rsidRPr="00AD791A">
        <w:rPr>
          <w:rFonts w:ascii="Cambria" w:hAnsi="Cambria"/>
          <w:sz w:val="18"/>
          <w:szCs w:val="18"/>
          <w:lang w:val="es-ES"/>
        </w:rPr>
        <w:t>FONDO</w:t>
      </w:r>
    </w:p>
    <w:p w:rsidR="009D7F32" w:rsidRPr="00AD791A" w:rsidRDefault="009D20F0" w:rsidP="009D7F32">
      <w:pPr>
        <w:jc w:val="center"/>
        <w:rPr>
          <w:rFonts w:ascii="Cambria" w:hAnsi="Cambria"/>
          <w:sz w:val="18"/>
          <w:szCs w:val="18"/>
          <w:lang w:val="es-ES"/>
        </w:rPr>
      </w:pPr>
      <w:r w:rsidRPr="00AD791A">
        <w:rPr>
          <w:rFonts w:ascii="Cambria" w:hAnsi="Cambria"/>
          <w:sz w:val="18"/>
          <w:szCs w:val="18"/>
          <w:lang w:val="es-ES"/>
        </w:rPr>
        <w:t>MARIA LUISA ACOSTA Y OTROS</w:t>
      </w:r>
    </w:p>
    <w:p w:rsidR="009D7F32" w:rsidRPr="00AD791A" w:rsidRDefault="009D20F0" w:rsidP="009D7F32">
      <w:pPr>
        <w:jc w:val="center"/>
        <w:rPr>
          <w:rFonts w:ascii="Cambria" w:hAnsi="Cambria"/>
          <w:sz w:val="18"/>
          <w:szCs w:val="18"/>
          <w:lang w:val="es-ES"/>
        </w:rPr>
      </w:pPr>
      <w:r w:rsidRPr="00AD791A">
        <w:rPr>
          <w:rFonts w:ascii="Cambria" w:hAnsi="Cambria"/>
          <w:sz w:val="18"/>
          <w:szCs w:val="18"/>
          <w:lang w:val="es-ES"/>
        </w:rPr>
        <w:t>NICARAGUA</w:t>
      </w:r>
    </w:p>
    <w:p w:rsidR="009D7F32" w:rsidRPr="00AD791A" w:rsidRDefault="007202AC" w:rsidP="009D7F32">
      <w:pPr>
        <w:jc w:val="center"/>
        <w:rPr>
          <w:rFonts w:ascii="Cambria" w:hAnsi="Cambria"/>
          <w:sz w:val="18"/>
          <w:szCs w:val="18"/>
          <w:lang w:val="es-ES"/>
        </w:rPr>
      </w:pPr>
      <w:r>
        <w:rPr>
          <w:rFonts w:ascii="Cambria" w:hAnsi="Cambria"/>
          <w:sz w:val="18"/>
          <w:szCs w:val="18"/>
          <w:lang w:val="es-ES"/>
        </w:rPr>
        <w:t>26</w:t>
      </w:r>
      <w:r w:rsidR="009D20F0" w:rsidRPr="00AD791A">
        <w:rPr>
          <w:rFonts w:ascii="Cambria" w:hAnsi="Cambria"/>
          <w:sz w:val="18"/>
          <w:szCs w:val="18"/>
          <w:lang w:val="es-ES"/>
        </w:rPr>
        <w:t xml:space="preserve"> DE MARZO DE 2015</w:t>
      </w:r>
    </w:p>
    <w:p w:rsidR="009D7F32" w:rsidRPr="00AD791A" w:rsidRDefault="009D7F32" w:rsidP="009D7F32">
      <w:pPr>
        <w:jc w:val="both"/>
        <w:rPr>
          <w:rFonts w:ascii="Cambria" w:hAnsi="Cambria"/>
          <w:sz w:val="20"/>
          <w:szCs w:val="20"/>
          <w:lang w:val="es-ES"/>
        </w:rPr>
      </w:pPr>
    </w:p>
    <w:p w:rsidR="009D20F0" w:rsidRPr="00AD791A" w:rsidRDefault="009D20F0" w:rsidP="009D7F32">
      <w:pPr>
        <w:jc w:val="both"/>
        <w:rPr>
          <w:rFonts w:ascii="Cambria" w:hAnsi="Cambria"/>
          <w:sz w:val="20"/>
          <w:szCs w:val="20"/>
          <w:lang w:val="es-ES"/>
        </w:rPr>
      </w:pPr>
    </w:p>
    <w:p w:rsidR="009D7F32" w:rsidRPr="00AD791A" w:rsidRDefault="009D7F32" w:rsidP="00D04916">
      <w:pPr>
        <w:pStyle w:val="Style10"/>
        <w:rPr>
          <w:rFonts w:ascii="Cambria" w:hAnsi="Cambria"/>
          <w:sz w:val="20"/>
          <w:szCs w:val="20"/>
        </w:rPr>
      </w:pPr>
      <w:bookmarkStart w:id="2" w:name="_Toc388448128"/>
      <w:bookmarkStart w:id="3" w:name="_Toc412647963"/>
      <w:bookmarkStart w:id="4" w:name="_Toc412648009"/>
      <w:bookmarkStart w:id="5" w:name="_Toc414177387"/>
      <w:bookmarkStart w:id="6" w:name="_Toc414177709"/>
      <w:bookmarkStart w:id="7" w:name="_Toc414177740"/>
      <w:r w:rsidRPr="00AD791A">
        <w:rPr>
          <w:rFonts w:ascii="Cambria" w:hAnsi="Cambria"/>
          <w:sz w:val="20"/>
          <w:szCs w:val="20"/>
        </w:rPr>
        <w:t>I.</w:t>
      </w:r>
      <w:r w:rsidRPr="00AD791A">
        <w:rPr>
          <w:rFonts w:ascii="Cambria" w:hAnsi="Cambria"/>
          <w:sz w:val="20"/>
          <w:szCs w:val="20"/>
        </w:rPr>
        <w:tab/>
        <w:t>RESUMEN</w:t>
      </w:r>
      <w:bookmarkEnd w:id="2"/>
      <w:bookmarkEnd w:id="3"/>
      <w:bookmarkEnd w:id="4"/>
      <w:bookmarkEnd w:id="5"/>
      <w:bookmarkEnd w:id="6"/>
      <w:bookmarkEnd w:id="7"/>
    </w:p>
    <w:p w:rsidR="009D7F32" w:rsidRPr="00AD791A" w:rsidRDefault="009D7F32" w:rsidP="009D7F32">
      <w:pPr>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 xml:space="preserve">El 22 de junio de 2007 la Comisión Interamericana de Derechos Humanos (en adelante la "Comisión Interamericana", "la Comisión" o "la CIDH") recibió una denuncia presentada por María Luisa Acosta Castellón, el Centro de Asistencia Legal a Pueblos Indígenas </w:t>
      </w:r>
      <w:r w:rsidR="00BC5205" w:rsidRPr="00AD791A">
        <w:rPr>
          <w:rFonts w:ascii="Cambria" w:hAnsi="Cambria"/>
          <w:sz w:val="20"/>
          <w:szCs w:val="20"/>
          <w:lang w:val="es-MX"/>
        </w:rPr>
        <w:t>(</w:t>
      </w:r>
      <w:r w:rsidRPr="00AD791A">
        <w:rPr>
          <w:rFonts w:ascii="Cambria" w:hAnsi="Cambria"/>
          <w:sz w:val="20"/>
          <w:szCs w:val="20"/>
          <w:lang w:val="es-ES"/>
        </w:rPr>
        <w:t>CALPI</w:t>
      </w:r>
      <w:r w:rsidR="00BC5205" w:rsidRPr="00AD791A">
        <w:rPr>
          <w:rFonts w:ascii="Cambria" w:hAnsi="Cambria"/>
          <w:sz w:val="20"/>
          <w:szCs w:val="20"/>
          <w:lang w:val="es-ES"/>
        </w:rPr>
        <w:t>)</w:t>
      </w:r>
      <w:r w:rsidRPr="00AD791A">
        <w:rPr>
          <w:rFonts w:ascii="Cambria" w:hAnsi="Cambria"/>
          <w:sz w:val="20"/>
          <w:szCs w:val="20"/>
          <w:lang w:val="es-ES"/>
        </w:rPr>
        <w:t xml:space="preserve">, el Centro por la Justicia y Derechos Humanos de la Costa Atlántica de Nicaragua CEJUDHCAN y el Centro Nicaragüense de Derechos Humanos CENIDH (en adelante “los peticionarios"), actuando en representación de María Luisa Acosta Castellón, Francisco García Valle, Ana María y Álvaro Arístides Vergara Acosta, Leonor del Carmen Valle de García y Rodolfo García Solari, en contra de la República de Nicaragua (en adelante “el Estado”, “el Estado nicaragüense” o “Nicaragua”). </w:t>
      </w:r>
    </w:p>
    <w:p w:rsidR="009D7F32" w:rsidRPr="00AD791A" w:rsidRDefault="009D7F32" w:rsidP="009D7F32">
      <w:pPr>
        <w:ind w:left="720"/>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Los peticionarios alegaron que el 8 de abril de 2002 fue asesinado Francisco José García Valle, esposo de María Luisa Acosta, pero que el verdadero objetivo de los asesinos era privar de la vida a la señora Acosta o intimidarla debido a su labor de defensa a favor de los pueblos indígenas. Alegaron una serie de irregularidades durante el proceso criminal seguido por el asesinato del señor García Valle, tales como el sobreseimiento de los supuestos autores intelectuales del homicidio y de un autor material, y el hostigamiento judicial en contra de la señora Acosta.</w:t>
      </w:r>
      <w:r w:rsidR="00FB2AA7" w:rsidRPr="00AD791A">
        <w:rPr>
          <w:rFonts w:ascii="Cambria" w:hAnsi="Cambria"/>
          <w:sz w:val="20"/>
          <w:szCs w:val="20"/>
          <w:lang w:val="es-ES"/>
        </w:rPr>
        <w:t xml:space="preserve"> En este sentido, indican los petici</w:t>
      </w:r>
      <w:r w:rsidR="00A47E6F" w:rsidRPr="00AD791A">
        <w:rPr>
          <w:rFonts w:ascii="Cambria" w:hAnsi="Cambria"/>
          <w:sz w:val="20"/>
          <w:szCs w:val="20"/>
          <w:lang w:val="es-ES"/>
        </w:rPr>
        <w:t>o</w:t>
      </w:r>
      <w:r w:rsidR="00FB2AA7" w:rsidRPr="00AD791A">
        <w:rPr>
          <w:rFonts w:ascii="Cambria" w:hAnsi="Cambria"/>
          <w:sz w:val="20"/>
          <w:szCs w:val="20"/>
          <w:lang w:val="es-ES"/>
        </w:rPr>
        <w:t>narios que en lugar de recibir justicia por el crimen de su esposo, el Estado habría permitido que el sistema cometiera una serie de abusos contra María Luisa Acosta, al ser acusada, demandada y desplazada de su lugar de residencia</w:t>
      </w:r>
      <w:r w:rsidR="0019108A" w:rsidRPr="00AD791A">
        <w:rPr>
          <w:rFonts w:ascii="Cambria" w:hAnsi="Cambria"/>
          <w:sz w:val="20"/>
          <w:szCs w:val="20"/>
          <w:lang w:val="es-ES"/>
        </w:rPr>
        <w:t>.</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 xml:space="preserve">Por su parte, el Estado sostuvo que el proceso penal por el asesinato del señor García Valle fue sustanciado con observancia de la legislación nacional y convenios internacionales, tratándose de manera respetuosa e igualitaria a todos los procesados. Asimismo, informó que dos personas fueron condenadas por el asesinato. Destacó que el hecho de que los peticionarios no estén conformes con las decisiones de la justicia nicaragüense, en particular, el sobreseimiento de tres procesados por el homicidio del señor García Valle, no supone una afectación a sus derechos. Según el Estado, no corresponde a la CIDH actuar como instancia de revisión de cuestiones de fondo resueltas por la justicia nacional. </w:t>
      </w:r>
    </w:p>
    <w:p w:rsidR="009D7F32" w:rsidRPr="00AD791A" w:rsidRDefault="009D7F32" w:rsidP="009D7F32">
      <w:pPr>
        <w:ind w:firstLine="720"/>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CO"/>
        </w:rPr>
      </w:pPr>
      <w:r w:rsidRPr="00AD791A">
        <w:rPr>
          <w:rFonts w:ascii="Cambria" w:hAnsi="Cambria"/>
          <w:sz w:val="20"/>
          <w:szCs w:val="20"/>
          <w:lang w:val="es-MX"/>
        </w:rPr>
        <w:t>Tras analizar la posición de las partes, la Comisión concluyó que el Estado de Nicaragua es responsable por la violación de los derechos a la integridad personal, a las garantías judiciales y a la protección judicial establecidos en los artículos 5</w:t>
      </w:r>
      <w:r w:rsidR="00FA4B72" w:rsidRPr="00AD791A">
        <w:rPr>
          <w:rFonts w:ascii="Cambria" w:hAnsi="Cambria"/>
          <w:sz w:val="20"/>
          <w:szCs w:val="20"/>
          <w:lang w:val="es-MX"/>
        </w:rPr>
        <w:t xml:space="preserve"> (derecho a la integridad personal)</w:t>
      </w:r>
      <w:r w:rsidRPr="00AD791A">
        <w:rPr>
          <w:rFonts w:ascii="Cambria" w:hAnsi="Cambria"/>
          <w:sz w:val="20"/>
          <w:szCs w:val="20"/>
          <w:lang w:val="es-MX"/>
        </w:rPr>
        <w:t>, 8</w:t>
      </w:r>
      <w:r w:rsidR="00FA4B72" w:rsidRPr="00AD791A">
        <w:rPr>
          <w:rFonts w:ascii="Cambria" w:hAnsi="Cambria"/>
          <w:sz w:val="20"/>
          <w:szCs w:val="20"/>
          <w:lang w:val="es-MX"/>
        </w:rPr>
        <w:t xml:space="preserve"> (garantías judiciales) </w:t>
      </w:r>
      <w:r w:rsidRPr="00AD791A">
        <w:rPr>
          <w:rFonts w:ascii="Cambria" w:hAnsi="Cambria"/>
          <w:sz w:val="20"/>
          <w:szCs w:val="20"/>
          <w:lang w:val="es-MX"/>
        </w:rPr>
        <w:t>y 25</w:t>
      </w:r>
      <w:r w:rsidR="00FA4B72" w:rsidRPr="00AD791A">
        <w:rPr>
          <w:rFonts w:ascii="Cambria" w:hAnsi="Cambria"/>
          <w:sz w:val="20"/>
          <w:szCs w:val="20"/>
          <w:lang w:val="es-MX"/>
        </w:rPr>
        <w:t xml:space="preserve"> (protección judicial)</w:t>
      </w:r>
      <w:r w:rsidRPr="00AD791A">
        <w:rPr>
          <w:rFonts w:ascii="Cambria" w:hAnsi="Cambria"/>
          <w:sz w:val="20"/>
          <w:szCs w:val="20"/>
          <w:lang w:val="es-MX"/>
        </w:rPr>
        <w:t xml:space="preserve"> de la Convención Americana,</w:t>
      </w:r>
      <w:r w:rsidRPr="00AD791A" w:rsidDel="00B33EFA">
        <w:rPr>
          <w:rFonts w:ascii="Cambria" w:hAnsi="Cambria"/>
          <w:sz w:val="20"/>
          <w:szCs w:val="20"/>
          <w:lang w:val="es-MX"/>
        </w:rPr>
        <w:t xml:space="preserve"> </w:t>
      </w:r>
      <w:r w:rsidRPr="00AD791A">
        <w:rPr>
          <w:rFonts w:ascii="Cambria" w:hAnsi="Cambria"/>
          <w:sz w:val="20"/>
          <w:szCs w:val="20"/>
          <w:lang w:val="es-MX"/>
        </w:rPr>
        <w:t xml:space="preserve">en relación con las obligaciones establecidas en el artículo 1.1 del mismo instrumento, en perjuicio de las personas que se indican a lo largo del presente informe. </w:t>
      </w:r>
    </w:p>
    <w:p w:rsidR="009D7F32" w:rsidRPr="00AD791A" w:rsidRDefault="009D7F32" w:rsidP="009D7F32">
      <w:pPr>
        <w:pStyle w:val="ListParagraph1"/>
        <w:rPr>
          <w:rFonts w:ascii="Cambria" w:hAnsi="Cambria"/>
          <w:sz w:val="20"/>
          <w:szCs w:val="20"/>
          <w:lang w:val="es-CO"/>
        </w:rPr>
      </w:pPr>
    </w:p>
    <w:p w:rsidR="009D7F32" w:rsidRPr="00AD791A" w:rsidRDefault="009D7F32" w:rsidP="00D04916">
      <w:pPr>
        <w:pStyle w:val="Style10"/>
        <w:rPr>
          <w:rFonts w:ascii="Cambria" w:hAnsi="Cambria"/>
          <w:sz w:val="20"/>
          <w:szCs w:val="20"/>
        </w:rPr>
      </w:pPr>
      <w:bookmarkStart w:id="8" w:name="_Toc388448129"/>
      <w:bookmarkStart w:id="9" w:name="_Toc412647964"/>
      <w:bookmarkStart w:id="10" w:name="_Toc412648010"/>
      <w:bookmarkStart w:id="11" w:name="_Toc414177388"/>
      <w:bookmarkStart w:id="12" w:name="_Toc414177710"/>
      <w:bookmarkStart w:id="13" w:name="_Toc414177741"/>
      <w:r w:rsidRPr="00AD791A">
        <w:rPr>
          <w:rFonts w:ascii="Cambria" w:hAnsi="Cambria"/>
          <w:sz w:val="20"/>
          <w:szCs w:val="20"/>
        </w:rPr>
        <w:t xml:space="preserve">II. </w:t>
      </w:r>
      <w:r w:rsidRPr="00AD791A">
        <w:rPr>
          <w:rFonts w:ascii="Cambria" w:hAnsi="Cambria"/>
          <w:sz w:val="20"/>
          <w:szCs w:val="20"/>
        </w:rPr>
        <w:tab/>
        <w:t>TRÁMITE ANTE LA COMISIÓN POSTERIOR A LA APROBACIÓN DEL INFORME DE ADMISIBILIDAD 148/10</w:t>
      </w:r>
      <w:bookmarkEnd w:id="8"/>
      <w:bookmarkEnd w:id="9"/>
      <w:bookmarkEnd w:id="10"/>
      <w:bookmarkEnd w:id="11"/>
      <w:bookmarkEnd w:id="12"/>
      <w:bookmarkEnd w:id="13"/>
    </w:p>
    <w:p w:rsidR="009D7F32" w:rsidRPr="00AD791A" w:rsidRDefault="009D7F32" w:rsidP="009D7F32">
      <w:pPr>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La petición inicial fue recibida el 22 de junio de 2007. El 1 de noviembre de 2010, tras el trámite de admisibilidad, la Comisión declaró el caso admisible mediante la adopción del informe de admisibilidad 148/10</w:t>
      </w:r>
      <w:r w:rsidR="00FA4B72" w:rsidRPr="00AD791A">
        <w:rPr>
          <w:rFonts w:ascii="Cambria" w:hAnsi="Cambria"/>
          <w:sz w:val="20"/>
          <w:szCs w:val="20"/>
          <w:lang w:val="es-ES"/>
        </w:rPr>
        <w:t>, en cuanto a presuntas violaciones de los derechos protegidos en los artículos 5, 8 y 25 en relación con el artículo 1.1 de la Convención Americana</w:t>
      </w:r>
      <w:r w:rsidRPr="00AD791A">
        <w:rPr>
          <w:rStyle w:val="FootnoteReference"/>
          <w:rFonts w:ascii="Cambria" w:hAnsi="Cambria"/>
          <w:sz w:val="20"/>
          <w:szCs w:val="20"/>
          <w:lang w:val="es-ES"/>
        </w:rPr>
        <w:footnoteReference w:id="1"/>
      </w:r>
      <w:r w:rsidR="00CD02A3" w:rsidRPr="00AD791A">
        <w:rPr>
          <w:rFonts w:ascii="Cambria" w:hAnsi="Cambria"/>
          <w:sz w:val="20"/>
          <w:szCs w:val="20"/>
          <w:lang w:val="es-ES"/>
        </w:rPr>
        <w:t>.</w:t>
      </w:r>
      <w:r w:rsidRPr="00AD791A">
        <w:rPr>
          <w:rFonts w:ascii="Cambria" w:hAnsi="Cambria"/>
          <w:i/>
          <w:sz w:val="20"/>
          <w:szCs w:val="20"/>
          <w:lang w:val="es-ES"/>
        </w:rPr>
        <w:t xml:space="preserve"> </w:t>
      </w:r>
      <w:r w:rsidRPr="00AD791A">
        <w:rPr>
          <w:rFonts w:ascii="Cambria" w:hAnsi="Cambria"/>
          <w:sz w:val="20"/>
          <w:szCs w:val="20"/>
          <w:lang w:val="es-ES"/>
        </w:rPr>
        <w:t xml:space="preserve">El trámite desde la presentación de la petición hasta el informe de admisibilidad, se encuentra detallado en el referido informe. El 10 de enero de 2011 la Comisión transmitió el informe de admisibilidad a las partes y otorgó un plazo de tres meses a los peticionarios para presentar sus observaciones adicionales sobre el fondo. En la misma comunicación, la Comisión se puso a disposición de las partes para lograr una solución amistosa a efectos de lo cual les solicitó que expresaran su interés a la brevedad. En escrito de fecha 30 de noviembre de 2010 los peticionarios manifestaron su deseo acogerse al procedimiento de solución amistosa. Dicha información fue enviada al Estado mediante comunicación de 10 de enero de 2011, otorgando un mes para responder. Sin embargo, el Estado de Nicaragua no respondió a la propuesta de los peticionarios y presentó sus observaciones sobre el fondo el 17 de marzo de 2011. </w:t>
      </w:r>
    </w:p>
    <w:p w:rsidR="009D7F32" w:rsidRPr="00AD791A" w:rsidRDefault="009D7F32" w:rsidP="009D7F32">
      <w:pPr>
        <w:pStyle w:val="BodyTextIndent"/>
        <w:ind w:firstLine="0"/>
        <w:rPr>
          <w:rFonts w:ascii="Cambria" w:hAnsi="Cambria"/>
          <w:sz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 xml:space="preserve">Las observaciones sobre el fondo de los peticionarios fueron recibidas el 18 de agosto de 2011, y el 14 de marzo, 17 de octubre y 6 de diciembre de 2013, mismas que fueron debidamente transmitidas al Estado. Por su parte, el Estado presentó escritos adicionales </w:t>
      </w:r>
      <w:r w:rsidRPr="00AD791A">
        <w:rPr>
          <w:rFonts w:ascii="Cambria" w:hAnsi="Cambria"/>
          <w:spacing w:val="-2"/>
          <w:sz w:val="20"/>
          <w:szCs w:val="20"/>
          <w:lang w:val="es-ES"/>
        </w:rPr>
        <w:t xml:space="preserve">el 18 de octubre de 2011 y el 6 de septiembre y 29 de octubre de 2013. </w:t>
      </w:r>
      <w:r w:rsidRPr="00AD791A">
        <w:rPr>
          <w:rFonts w:ascii="Cambria" w:hAnsi="Cambria"/>
          <w:sz w:val="20"/>
          <w:szCs w:val="20"/>
          <w:lang w:val="es-ES"/>
        </w:rPr>
        <w:t xml:space="preserve">Dicha información fue debidamente trasladada a los peticionarios. </w:t>
      </w:r>
      <w:r w:rsidRPr="00AD791A">
        <w:rPr>
          <w:rFonts w:ascii="Cambria" w:hAnsi="Cambria"/>
          <w:spacing w:val="-2"/>
          <w:sz w:val="20"/>
          <w:szCs w:val="20"/>
          <w:lang w:val="es-ES"/>
        </w:rPr>
        <w:t>Asimismo, la CIDH celebró audiencia pública sobre este caso el 29 de octubre de 2013 durante su 149 periodo ordinario de sesiones.</w:t>
      </w:r>
    </w:p>
    <w:p w:rsidR="009D7F32" w:rsidRPr="00AD791A" w:rsidRDefault="009D7F32" w:rsidP="009D7F32">
      <w:pPr>
        <w:jc w:val="both"/>
        <w:rPr>
          <w:rFonts w:ascii="Cambria" w:hAnsi="Cambria"/>
          <w:spacing w:val="-2"/>
          <w:sz w:val="20"/>
          <w:szCs w:val="20"/>
          <w:lang w:val="es-ES"/>
        </w:rPr>
      </w:pPr>
    </w:p>
    <w:p w:rsidR="009D7F32" w:rsidRPr="00AD791A" w:rsidRDefault="009D7F32" w:rsidP="00D04916">
      <w:pPr>
        <w:pStyle w:val="Style10"/>
        <w:rPr>
          <w:rFonts w:ascii="Cambria" w:hAnsi="Cambria"/>
          <w:sz w:val="20"/>
          <w:szCs w:val="20"/>
        </w:rPr>
      </w:pPr>
      <w:bookmarkStart w:id="14" w:name="_Toc412647965"/>
      <w:bookmarkStart w:id="15" w:name="_Toc412648011"/>
      <w:bookmarkStart w:id="16" w:name="_Toc414177389"/>
      <w:bookmarkStart w:id="17" w:name="_Toc414177711"/>
      <w:bookmarkStart w:id="18" w:name="_Toc414177742"/>
      <w:bookmarkStart w:id="19" w:name="_Toc388448130"/>
      <w:r w:rsidRPr="00AD791A">
        <w:rPr>
          <w:rFonts w:ascii="Cambria" w:hAnsi="Cambria"/>
          <w:sz w:val="20"/>
          <w:szCs w:val="20"/>
        </w:rPr>
        <w:t>III.</w:t>
      </w:r>
      <w:r w:rsidRPr="00AD791A">
        <w:rPr>
          <w:rFonts w:ascii="Cambria" w:hAnsi="Cambria"/>
          <w:sz w:val="20"/>
          <w:szCs w:val="20"/>
        </w:rPr>
        <w:tab/>
        <w:t>POSICIONES DE LAS PARTES</w:t>
      </w:r>
      <w:bookmarkEnd w:id="14"/>
      <w:bookmarkEnd w:id="15"/>
      <w:bookmarkEnd w:id="16"/>
      <w:bookmarkEnd w:id="17"/>
      <w:bookmarkEnd w:id="18"/>
      <w:r w:rsidRPr="00AD791A">
        <w:rPr>
          <w:rFonts w:ascii="Cambria" w:hAnsi="Cambria"/>
          <w:sz w:val="20"/>
          <w:szCs w:val="20"/>
        </w:rPr>
        <w:t xml:space="preserve"> </w:t>
      </w:r>
      <w:bookmarkEnd w:id="19"/>
    </w:p>
    <w:p w:rsidR="009D7F32" w:rsidRPr="00AD791A" w:rsidRDefault="009D7F32" w:rsidP="006264C8">
      <w:pPr>
        <w:pStyle w:val="Style10"/>
        <w:outlineLvl w:val="9"/>
        <w:rPr>
          <w:rFonts w:ascii="Cambria" w:hAnsi="Cambria"/>
          <w:sz w:val="20"/>
          <w:szCs w:val="20"/>
        </w:rPr>
      </w:pPr>
    </w:p>
    <w:p w:rsidR="009D7F32" w:rsidRPr="00AD791A" w:rsidRDefault="009D7F32" w:rsidP="009D7F32">
      <w:pPr>
        <w:pStyle w:val="Heading2"/>
        <w:numPr>
          <w:ilvl w:val="0"/>
          <w:numId w:val="4"/>
        </w:numPr>
        <w:ind w:left="1440" w:hanging="720"/>
        <w:rPr>
          <w:rFonts w:ascii="Cambria" w:hAnsi="Cambria"/>
          <w:sz w:val="20"/>
          <w:szCs w:val="20"/>
          <w:lang w:val="es-MX"/>
        </w:rPr>
      </w:pPr>
      <w:bookmarkStart w:id="20" w:name="_Toc388448131"/>
      <w:bookmarkStart w:id="21" w:name="_Toc412647966"/>
      <w:bookmarkStart w:id="22" w:name="_Toc412648012"/>
      <w:bookmarkStart w:id="23" w:name="_Toc414177390"/>
      <w:bookmarkStart w:id="24" w:name="_Toc414177712"/>
      <w:bookmarkStart w:id="25" w:name="_Toc414177743"/>
      <w:r w:rsidRPr="00AD791A">
        <w:rPr>
          <w:rFonts w:ascii="Cambria" w:hAnsi="Cambria"/>
          <w:sz w:val="20"/>
          <w:szCs w:val="20"/>
          <w:lang w:val="es-MX"/>
        </w:rPr>
        <w:t>Posición de los peticionarios</w:t>
      </w:r>
      <w:bookmarkEnd w:id="20"/>
      <w:bookmarkEnd w:id="21"/>
      <w:bookmarkEnd w:id="22"/>
      <w:bookmarkEnd w:id="23"/>
      <w:bookmarkEnd w:id="24"/>
      <w:bookmarkEnd w:id="25"/>
      <w:r w:rsidRPr="00AD791A">
        <w:rPr>
          <w:rFonts w:ascii="Cambria" w:hAnsi="Cambria"/>
          <w:sz w:val="20"/>
          <w:szCs w:val="20"/>
          <w:lang w:val="es-MX"/>
        </w:rPr>
        <w:t xml:space="preserve">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 xml:space="preserve">En la etapa de fondo los peticionarios continuaron argumentando la responsabilidad del Estado nicaragüense por la violación de los derechos consagrados en los artículos 4, </w:t>
      </w:r>
      <w:r w:rsidRPr="00AD791A">
        <w:rPr>
          <w:rFonts w:ascii="Cambria" w:hAnsi="Cambria"/>
          <w:sz w:val="20"/>
          <w:szCs w:val="20"/>
          <w:lang w:val="es-ES"/>
        </w:rPr>
        <w:t xml:space="preserve">5, 8, 11 y 25 de la Convención Americana, por los hechos relacionados con el asesinato del señor Francisco García Valle. </w:t>
      </w:r>
    </w:p>
    <w:p w:rsidR="009D7F32" w:rsidRPr="00AD791A" w:rsidRDefault="009D7F32" w:rsidP="009D7F32">
      <w:pPr>
        <w:ind w:left="720"/>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Indicaron que el señor Francisco García Valle, esposo de María Luisa Acosta, fue asesinado con arma de fuego el 8 de abril de 2002 en su vivienda ubicada en la ciudad de Bluefields, Nicaragua. Afirmaron que el objetivo de los asesinos era matar o intimidar a su esposa, la señora María Luisa Acosta, debido a que su labor de defensa del derecho de propiedad de los pueblos indígenas de La Cuenca de Laguna de Perlas, afectaba los intereses del empresario Peter Tsokos y de su socio Peter Martínez. Señalaron que e</w:t>
      </w:r>
      <w:r w:rsidRPr="00AD791A">
        <w:rPr>
          <w:rFonts w:ascii="Cambria" w:hAnsi="Cambria" w:cs="Arial Narrow"/>
          <w:spacing w:val="-2"/>
          <w:sz w:val="20"/>
          <w:szCs w:val="20"/>
          <w:lang w:val="es-ES_tradnl"/>
        </w:rPr>
        <w:t>n Bluefields era ampliamente conocido que el CALPI, dirigido por la señora Acosta “</w:t>
      </w:r>
      <w:r w:rsidRPr="00AD791A">
        <w:rPr>
          <w:rFonts w:ascii="Cambria" w:hAnsi="Cambria" w:cs="Arial Narrow"/>
          <w:iCs/>
          <w:spacing w:val="6"/>
          <w:sz w:val="20"/>
          <w:szCs w:val="20"/>
          <w:lang w:val="es-ES_tradnl"/>
        </w:rPr>
        <w:t xml:space="preserve">estaba en franca </w:t>
      </w:r>
      <w:r w:rsidRPr="00AD791A">
        <w:rPr>
          <w:rFonts w:ascii="Cambria" w:hAnsi="Cambria" w:cs="Arial Narrow"/>
          <w:spacing w:val="-2"/>
          <w:sz w:val="20"/>
          <w:szCs w:val="20"/>
          <w:lang w:val="es-ES_tradnl"/>
        </w:rPr>
        <w:t xml:space="preserve">batalla” </w:t>
      </w:r>
      <w:r w:rsidRPr="00AD791A">
        <w:rPr>
          <w:rFonts w:ascii="Cambria" w:hAnsi="Cambria" w:cs="Arial Narrow"/>
          <w:iCs/>
          <w:spacing w:val="6"/>
          <w:sz w:val="20"/>
          <w:szCs w:val="20"/>
          <w:lang w:val="es-ES_tradnl"/>
        </w:rPr>
        <w:t>contra</w:t>
      </w:r>
      <w:r w:rsidRPr="00AD791A">
        <w:rPr>
          <w:rFonts w:ascii="Cambria" w:hAnsi="Cambria" w:cs="Arial Narrow"/>
          <w:i/>
          <w:iCs/>
          <w:spacing w:val="6"/>
          <w:sz w:val="20"/>
          <w:szCs w:val="20"/>
          <w:lang w:val="es-ES_tradnl"/>
        </w:rPr>
        <w:t xml:space="preserve"> </w:t>
      </w:r>
      <w:r w:rsidRPr="00AD791A">
        <w:rPr>
          <w:rFonts w:ascii="Cambria" w:hAnsi="Cambria" w:cs="Arial Narrow"/>
          <w:spacing w:val="-2"/>
          <w:sz w:val="20"/>
          <w:szCs w:val="20"/>
          <w:lang w:val="es-ES_tradnl"/>
        </w:rPr>
        <w:t xml:space="preserve">las acciones realizadas por Peter Tsokos y Peter Martínez. Indicaron que este caso “pone de manifiesto el peligro que sufren los defensores de derechos humanos en la realización de su trabajo y principalmente para la impunidad que en muchos casos gozan sus atacantes”.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Informaron que por el asesinato de Francisco García Valle fueron condenadas dos personas por la autoría material del crimen: Iván Argüello Rivera y  Wilberth José Ochoa Madariaga. Alegaron que las irregularidades que se presentaron durante el proceso habrían</w:t>
      </w:r>
      <w:r w:rsidRPr="00AD791A">
        <w:rPr>
          <w:rFonts w:ascii="Cambria" w:hAnsi="Cambria" w:cs="Arial"/>
          <w:sz w:val="20"/>
          <w:szCs w:val="20"/>
          <w:lang w:val="es-ES"/>
        </w:rPr>
        <w:t xml:space="preserve"> significado </w:t>
      </w:r>
      <w:r w:rsidRPr="00AD791A">
        <w:rPr>
          <w:rFonts w:ascii="Cambria" w:hAnsi="Cambria"/>
          <w:sz w:val="20"/>
          <w:szCs w:val="20"/>
          <w:lang w:val="es-ES"/>
        </w:rPr>
        <w:t xml:space="preserve">que el tercer responsable de los hechos aún no fuera identificado, que los supuestos autores intelectuales y un presunto autor material del crimen fueran sobreseídos y que la apelación interpuesta contra esa decisión fuera rechazada en forma indebida por cuestiones formales. Señalaron que esta situación llevó a la impunidad parcial del crimen.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Manifestaron también que por la mera acusación de uno de los supuestos autor</w:t>
      </w:r>
      <w:r w:rsidR="00BC5205" w:rsidRPr="00AD791A">
        <w:rPr>
          <w:rFonts w:ascii="Cambria" w:hAnsi="Cambria"/>
          <w:sz w:val="20"/>
          <w:szCs w:val="20"/>
          <w:lang w:val="es-ES"/>
        </w:rPr>
        <w:t>es intelectuales, Peter Martínez</w:t>
      </w:r>
      <w:r w:rsidRPr="00AD791A">
        <w:rPr>
          <w:rFonts w:ascii="Cambria" w:hAnsi="Cambria"/>
          <w:sz w:val="20"/>
          <w:szCs w:val="20"/>
          <w:lang w:val="es-ES"/>
        </w:rPr>
        <w:t>, la señora Acosta habría sido procesada por el delito de encubrimiento de</w:t>
      </w:r>
      <w:r w:rsidR="00BC5205" w:rsidRPr="00AD791A">
        <w:rPr>
          <w:rFonts w:ascii="Cambria" w:hAnsi="Cambria"/>
          <w:sz w:val="20"/>
          <w:szCs w:val="20"/>
          <w:lang w:val="es-ES"/>
        </w:rPr>
        <w:t>l</w:t>
      </w:r>
      <w:r w:rsidRPr="00AD791A">
        <w:rPr>
          <w:rFonts w:ascii="Cambria" w:hAnsi="Cambria"/>
          <w:sz w:val="20"/>
          <w:szCs w:val="20"/>
          <w:lang w:val="es-ES"/>
        </w:rPr>
        <w:t xml:space="preserve"> asesinato de su propio esposo. </w:t>
      </w:r>
      <w:r w:rsidR="00456773" w:rsidRPr="00AD791A">
        <w:rPr>
          <w:rFonts w:ascii="Cambria" w:hAnsi="Cambria"/>
          <w:sz w:val="20"/>
          <w:szCs w:val="20"/>
          <w:lang w:val="es-ES"/>
        </w:rPr>
        <w:t>En relación con su calidad de acusada en el proceso, a</w:t>
      </w:r>
      <w:r w:rsidRPr="00AD791A">
        <w:rPr>
          <w:rFonts w:ascii="Cambria" w:hAnsi="Cambria"/>
          <w:sz w:val="20"/>
          <w:szCs w:val="20"/>
          <w:lang w:val="es-ES"/>
        </w:rPr>
        <w:t>legaron</w:t>
      </w:r>
      <w:r w:rsidR="00A34AE8" w:rsidRPr="00AD791A">
        <w:rPr>
          <w:rFonts w:ascii="Cambria" w:hAnsi="Cambria"/>
          <w:sz w:val="20"/>
          <w:szCs w:val="20"/>
          <w:lang w:val="es-ES"/>
        </w:rPr>
        <w:t xml:space="preserve"> los petici</w:t>
      </w:r>
      <w:r w:rsidR="00456773" w:rsidRPr="00AD791A">
        <w:rPr>
          <w:rFonts w:ascii="Cambria" w:hAnsi="Cambria"/>
          <w:sz w:val="20"/>
          <w:szCs w:val="20"/>
          <w:lang w:val="es-ES"/>
        </w:rPr>
        <w:t>o</w:t>
      </w:r>
      <w:r w:rsidR="00A34AE8" w:rsidRPr="00AD791A">
        <w:rPr>
          <w:rFonts w:ascii="Cambria" w:hAnsi="Cambria"/>
          <w:sz w:val="20"/>
          <w:szCs w:val="20"/>
          <w:lang w:val="es-ES"/>
        </w:rPr>
        <w:t>n</w:t>
      </w:r>
      <w:r w:rsidR="00456773" w:rsidRPr="00AD791A">
        <w:rPr>
          <w:rFonts w:ascii="Cambria" w:hAnsi="Cambria"/>
          <w:sz w:val="20"/>
          <w:szCs w:val="20"/>
          <w:lang w:val="es-ES"/>
        </w:rPr>
        <w:t>arios</w:t>
      </w:r>
      <w:r w:rsidRPr="00AD791A">
        <w:rPr>
          <w:rFonts w:ascii="Cambria" w:hAnsi="Cambria"/>
          <w:sz w:val="20"/>
          <w:szCs w:val="20"/>
          <w:lang w:val="es-ES"/>
        </w:rPr>
        <w:t xml:space="preserve"> que </w:t>
      </w:r>
      <w:r w:rsidR="002870C0" w:rsidRPr="00AD791A">
        <w:rPr>
          <w:rFonts w:ascii="Cambria" w:hAnsi="Cambria"/>
          <w:sz w:val="20"/>
          <w:szCs w:val="20"/>
          <w:lang w:val="es-ES"/>
        </w:rPr>
        <w:t>el no haberle desi</w:t>
      </w:r>
      <w:r w:rsidR="004671BD" w:rsidRPr="00AD791A">
        <w:rPr>
          <w:rFonts w:ascii="Cambria" w:hAnsi="Cambria"/>
          <w:sz w:val="20"/>
          <w:szCs w:val="20"/>
          <w:lang w:val="es-ES"/>
        </w:rPr>
        <w:t>g</w:t>
      </w:r>
      <w:r w:rsidR="002870C0" w:rsidRPr="00AD791A">
        <w:rPr>
          <w:rFonts w:ascii="Cambria" w:hAnsi="Cambria"/>
          <w:sz w:val="20"/>
          <w:szCs w:val="20"/>
          <w:lang w:val="es-ES"/>
        </w:rPr>
        <w:t xml:space="preserve">nado </w:t>
      </w:r>
      <w:r w:rsidRPr="00AD791A">
        <w:rPr>
          <w:rFonts w:ascii="Cambria" w:hAnsi="Cambria"/>
          <w:sz w:val="20"/>
          <w:szCs w:val="20"/>
          <w:lang w:val="es-ES"/>
        </w:rPr>
        <w:t>abogado de oficio a la señora Acosta</w:t>
      </w:r>
      <w:r w:rsidR="00456773" w:rsidRPr="00AD791A">
        <w:rPr>
          <w:rFonts w:ascii="Cambria" w:hAnsi="Cambria"/>
          <w:sz w:val="20"/>
          <w:szCs w:val="20"/>
          <w:lang w:val="es-ES"/>
        </w:rPr>
        <w:t xml:space="preserve">, </w:t>
      </w:r>
      <w:r w:rsidR="002870C0" w:rsidRPr="00AD791A">
        <w:rPr>
          <w:rFonts w:ascii="Cambria" w:hAnsi="Cambria"/>
          <w:sz w:val="20"/>
          <w:szCs w:val="20"/>
          <w:lang w:val="es-ES"/>
        </w:rPr>
        <w:t xml:space="preserve">ni tampoco haber aceptado </w:t>
      </w:r>
      <w:r w:rsidR="00456773" w:rsidRPr="00AD791A">
        <w:rPr>
          <w:rFonts w:ascii="Cambria" w:hAnsi="Cambria"/>
          <w:sz w:val="20"/>
          <w:szCs w:val="20"/>
          <w:lang w:val="es-ES"/>
        </w:rPr>
        <w:t xml:space="preserve">la intervención legal de su propio </w:t>
      </w:r>
      <w:r w:rsidRPr="00AD791A">
        <w:rPr>
          <w:rFonts w:ascii="Cambria" w:hAnsi="Cambria"/>
          <w:sz w:val="20"/>
          <w:szCs w:val="20"/>
          <w:lang w:val="es-ES"/>
        </w:rPr>
        <w:t>representante</w:t>
      </w:r>
      <w:r w:rsidR="004671BD" w:rsidRPr="00AD791A">
        <w:rPr>
          <w:rFonts w:ascii="Cambria" w:hAnsi="Cambria"/>
          <w:sz w:val="20"/>
          <w:szCs w:val="20"/>
          <w:lang w:val="es-ES"/>
        </w:rPr>
        <w:t xml:space="preserve"> legal</w:t>
      </w:r>
      <w:r w:rsidR="00456773" w:rsidRPr="00AD791A">
        <w:rPr>
          <w:rFonts w:ascii="Cambria" w:hAnsi="Cambria"/>
          <w:sz w:val="20"/>
          <w:szCs w:val="20"/>
          <w:lang w:val="es-ES"/>
        </w:rPr>
        <w:t xml:space="preserve">, </w:t>
      </w:r>
      <w:r w:rsidR="00A34AE8" w:rsidRPr="00AD791A">
        <w:rPr>
          <w:rFonts w:ascii="Cambria" w:hAnsi="Cambria"/>
          <w:sz w:val="20"/>
          <w:szCs w:val="20"/>
          <w:lang w:val="es-ES"/>
        </w:rPr>
        <w:t xml:space="preserve">habría impedido que </w:t>
      </w:r>
      <w:r w:rsidR="00456773" w:rsidRPr="00AD791A">
        <w:rPr>
          <w:rFonts w:ascii="Cambria" w:hAnsi="Cambria"/>
          <w:sz w:val="20"/>
          <w:szCs w:val="20"/>
          <w:lang w:val="es-ES"/>
        </w:rPr>
        <w:t xml:space="preserve">María Luisa Acosta </w:t>
      </w:r>
      <w:r w:rsidRPr="00AD791A">
        <w:rPr>
          <w:rFonts w:ascii="Cambria" w:hAnsi="Cambria"/>
          <w:sz w:val="20"/>
          <w:szCs w:val="20"/>
          <w:lang w:val="es-ES"/>
        </w:rPr>
        <w:t>presentar</w:t>
      </w:r>
      <w:r w:rsidR="00A34AE8" w:rsidRPr="00AD791A">
        <w:rPr>
          <w:rFonts w:ascii="Cambria" w:hAnsi="Cambria"/>
          <w:sz w:val="20"/>
          <w:szCs w:val="20"/>
          <w:lang w:val="es-ES"/>
        </w:rPr>
        <w:t>a</w:t>
      </w:r>
      <w:r w:rsidRPr="00AD791A">
        <w:rPr>
          <w:rFonts w:ascii="Cambria" w:hAnsi="Cambria"/>
          <w:sz w:val="20"/>
          <w:szCs w:val="20"/>
          <w:lang w:val="es-ES"/>
        </w:rPr>
        <w:t xml:space="preserve"> pruebas contra los </w:t>
      </w:r>
      <w:r w:rsidR="00A237A3" w:rsidRPr="00AD791A">
        <w:rPr>
          <w:rFonts w:ascii="Cambria" w:hAnsi="Cambria"/>
          <w:sz w:val="20"/>
          <w:szCs w:val="20"/>
          <w:lang w:val="es-ES"/>
        </w:rPr>
        <w:t xml:space="preserve">supuestos </w:t>
      </w:r>
      <w:r w:rsidRPr="00AD791A">
        <w:rPr>
          <w:rFonts w:ascii="Cambria" w:hAnsi="Cambria"/>
          <w:sz w:val="20"/>
          <w:szCs w:val="20"/>
          <w:lang w:val="es-ES"/>
        </w:rPr>
        <w:t>autores intelectuales del asesinato de su esposo. También señalaron que a pesar de que la Fiscalía y la señora Acosta le informaron al Juez de Distrito del Crimen de Bluefields (en adelante “el Juez de Distrito del Crimen”) qu</w:t>
      </w:r>
      <w:r w:rsidR="00FC0066" w:rsidRPr="00AD791A">
        <w:rPr>
          <w:rFonts w:ascii="Cambria" w:hAnsi="Cambria"/>
          <w:sz w:val="20"/>
          <w:szCs w:val="20"/>
          <w:lang w:val="es-ES"/>
        </w:rPr>
        <w:t>e por cuestiones de seguridad, é</w:t>
      </w:r>
      <w:r w:rsidRPr="00AD791A">
        <w:rPr>
          <w:rFonts w:ascii="Cambria" w:hAnsi="Cambria"/>
          <w:sz w:val="20"/>
          <w:szCs w:val="20"/>
          <w:lang w:val="es-ES"/>
        </w:rPr>
        <w:t xml:space="preserve">sta última habría cambiado su lugar de residencia a Chinandega, el juez quiso obligarla a comparecer al Juzgado de Bluefields y, de hecho, libró orden de detención en su contra el 2 de mayo de 2002. Indicaron que el juez de la causa, antes de emitir su sentencia de sobreseimiento a favor de María Luisa Acosta, habría declarado ante medios de prensa de circulación nacional que ella era la encubridora del asesinato de su esposo. Afirmaron que la acusación en su contra habría sido para amedrentarla y lograr que desistiera de solicitar una investigación imparcial por el asesinato de su esposo.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 xml:space="preserve">Por otro lado, señalaron que por las acusaciones que la señora Acosta formuló contra los supuestos autores intelectuales, en mayo de 2002, dichas personas la demandaron por supuestos daños y perjuicios, además de que embargaron su casa habitación en Bluefields durante dos años. Según los peticionarios, esto tuvo un impacto en los bienes de la señora Acosta. Agregaron que </w:t>
      </w:r>
      <w:r w:rsidRPr="00AD791A">
        <w:rPr>
          <w:rFonts w:ascii="Cambria" w:hAnsi="Cambria" w:cs="Arial Narrow"/>
          <w:spacing w:val="-2"/>
          <w:sz w:val="20"/>
          <w:szCs w:val="20"/>
          <w:lang w:val="es-ES_tradnl"/>
        </w:rPr>
        <w:t xml:space="preserve">en junio de 2002, los señores Tsokos y Martínez </w:t>
      </w:r>
      <w:r w:rsidRPr="00AD791A">
        <w:rPr>
          <w:rFonts w:ascii="Cambria" w:hAnsi="Cambria"/>
          <w:sz w:val="20"/>
          <w:szCs w:val="20"/>
          <w:lang w:val="es-ES"/>
        </w:rPr>
        <w:t>denunciaron a María Luisa Acosta por los delitos de falso testimonio y denuncia falsa. Refirieron que estos procesos fueron resueltos a favor de la señora Acosta a finales de 2004.</w:t>
      </w:r>
      <w:r w:rsidR="00E40446" w:rsidRPr="00AD791A">
        <w:rPr>
          <w:rFonts w:ascii="Cambria" w:hAnsi="Cambria"/>
          <w:sz w:val="20"/>
          <w:szCs w:val="20"/>
          <w:lang w:val="es-ES"/>
        </w:rPr>
        <w:t xml:space="preserve"> Así, señalan los petici</w:t>
      </w:r>
      <w:r w:rsidR="00FC0066" w:rsidRPr="00AD791A">
        <w:rPr>
          <w:rFonts w:ascii="Cambria" w:hAnsi="Cambria"/>
          <w:sz w:val="20"/>
          <w:szCs w:val="20"/>
          <w:lang w:val="es-ES"/>
        </w:rPr>
        <w:t>o</w:t>
      </w:r>
      <w:r w:rsidR="00E40446" w:rsidRPr="00AD791A">
        <w:rPr>
          <w:rFonts w:ascii="Cambria" w:hAnsi="Cambria"/>
          <w:sz w:val="20"/>
          <w:szCs w:val="20"/>
          <w:lang w:val="es-ES"/>
        </w:rPr>
        <w:t>narios que en lugar de recibir justicia por el crimen de su esposo, María Luisa Acosta habría sido acusada, demandada y desplazada</w:t>
      </w:r>
      <w:r w:rsidR="00936905" w:rsidRPr="00AD791A">
        <w:rPr>
          <w:rFonts w:ascii="Cambria" w:hAnsi="Cambria"/>
          <w:sz w:val="20"/>
          <w:szCs w:val="20"/>
          <w:lang w:val="es-ES"/>
        </w:rPr>
        <w:t xml:space="preserve">; </w:t>
      </w:r>
      <w:r w:rsidR="00A34AE8" w:rsidRPr="00AD791A">
        <w:rPr>
          <w:rFonts w:ascii="Cambria" w:hAnsi="Cambria"/>
          <w:sz w:val="20"/>
          <w:szCs w:val="20"/>
          <w:lang w:val="es-ES"/>
        </w:rPr>
        <w:t>además señala</w:t>
      </w:r>
      <w:r w:rsidR="00AB02C2" w:rsidRPr="00AD791A">
        <w:rPr>
          <w:rFonts w:ascii="Cambria" w:hAnsi="Cambria"/>
          <w:sz w:val="20"/>
          <w:szCs w:val="20"/>
          <w:lang w:val="es-ES"/>
        </w:rPr>
        <w:t>n</w:t>
      </w:r>
      <w:r w:rsidR="00A34AE8" w:rsidRPr="00AD791A">
        <w:rPr>
          <w:rFonts w:ascii="Cambria" w:hAnsi="Cambria"/>
          <w:sz w:val="20"/>
          <w:szCs w:val="20"/>
          <w:lang w:val="es-ES"/>
        </w:rPr>
        <w:t xml:space="preserve"> que </w:t>
      </w:r>
      <w:r w:rsidR="00E40446" w:rsidRPr="00AD791A">
        <w:rPr>
          <w:rFonts w:ascii="Cambria" w:hAnsi="Cambria"/>
          <w:sz w:val="20"/>
          <w:szCs w:val="20"/>
          <w:lang w:val="es-ES"/>
        </w:rPr>
        <w:t xml:space="preserve">el Estado no habría ofrecido protección </w:t>
      </w:r>
      <w:r w:rsidR="00A34AE8" w:rsidRPr="00AD791A">
        <w:rPr>
          <w:rFonts w:ascii="Cambria" w:hAnsi="Cambria"/>
          <w:sz w:val="20"/>
          <w:szCs w:val="20"/>
          <w:lang w:val="es-ES"/>
        </w:rPr>
        <w:t>ni</w:t>
      </w:r>
      <w:r w:rsidR="00E40446" w:rsidRPr="00AD791A">
        <w:rPr>
          <w:rFonts w:ascii="Cambria" w:hAnsi="Cambria"/>
          <w:sz w:val="20"/>
          <w:szCs w:val="20"/>
          <w:lang w:val="es-ES"/>
        </w:rPr>
        <w:t xml:space="preserve"> garantías judiciales, y más bien, habría permitido</w:t>
      </w:r>
      <w:r w:rsidR="00AB02C2" w:rsidRPr="00AD791A">
        <w:rPr>
          <w:rFonts w:ascii="Cambria" w:hAnsi="Cambria"/>
          <w:sz w:val="20"/>
          <w:szCs w:val="20"/>
          <w:lang w:val="es-ES"/>
        </w:rPr>
        <w:t xml:space="preserve"> que el sistema cometiera</w:t>
      </w:r>
      <w:r w:rsidR="00E40446" w:rsidRPr="00AD791A">
        <w:rPr>
          <w:rFonts w:ascii="Cambria" w:hAnsi="Cambria"/>
          <w:sz w:val="20"/>
          <w:szCs w:val="20"/>
          <w:lang w:val="es-ES"/>
        </w:rPr>
        <w:t xml:space="preserve"> una serie de abusos </w:t>
      </w:r>
      <w:r w:rsidR="00936905" w:rsidRPr="00AD791A">
        <w:rPr>
          <w:rFonts w:ascii="Cambria" w:hAnsi="Cambria"/>
          <w:sz w:val="20"/>
          <w:szCs w:val="20"/>
          <w:lang w:val="es-ES"/>
        </w:rPr>
        <w:t>contra ella</w:t>
      </w:r>
      <w:r w:rsidR="00E40446" w:rsidRPr="00AD791A">
        <w:rPr>
          <w:rFonts w:ascii="Cambria" w:hAnsi="Cambria"/>
          <w:sz w:val="20"/>
          <w:szCs w:val="20"/>
          <w:lang w:val="es-ES"/>
        </w:rPr>
        <w:t>.</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_tradnl"/>
        </w:rPr>
      </w:pPr>
      <w:r w:rsidRPr="00AD791A">
        <w:rPr>
          <w:rFonts w:ascii="Cambria" w:hAnsi="Cambria"/>
          <w:sz w:val="20"/>
          <w:szCs w:val="20"/>
          <w:lang w:val="es-ES"/>
        </w:rPr>
        <w:t>El detalle sobre los hechos y el proceso de investigación relacionado con el asesinato del señor García Valle será referido en el análisis fáctico de la Comisión, sobre la base de la información aportada por ambas partes. En esta sección se efectúa un resumen de los principales argumentos de derecho esbozados por los peticionarios.</w:t>
      </w:r>
    </w:p>
    <w:p w:rsidR="009D7F32" w:rsidRPr="00AD791A" w:rsidRDefault="009D7F32" w:rsidP="009D7F32">
      <w:pPr>
        <w:pStyle w:val="ListParagraph1"/>
        <w:rPr>
          <w:rFonts w:ascii="Cambria" w:hAnsi="Cambria"/>
          <w:sz w:val="20"/>
          <w:szCs w:val="20"/>
          <w:lang w:val="es-ES_tradnl"/>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_tradnl"/>
        </w:rPr>
        <w:t xml:space="preserve">En cuanto a los </w:t>
      </w:r>
      <w:r w:rsidRPr="00AD791A">
        <w:rPr>
          <w:rFonts w:ascii="Cambria" w:hAnsi="Cambria"/>
          <w:b/>
          <w:sz w:val="20"/>
          <w:szCs w:val="20"/>
          <w:lang w:val="es-ES_tradnl"/>
        </w:rPr>
        <w:t>derechos a las garantías judiciales y protección judicial</w:t>
      </w:r>
      <w:r w:rsidRPr="00AD791A">
        <w:rPr>
          <w:rFonts w:ascii="Cambria" w:hAnsi="Cambria"/>
          <w:sz w:val="20"/>
          <w:szCs w:val="20"/>
          <w:lang w:val="es-ES_tradnl"/>
        </w:rPr>
        <w:t xml:space="preserve">, los peticionarios señalaron que </w:t>
      </w:r>
      <w:r w:rsidRPr="00AD791A">
        <w:rPr>
          <w:rFonts w:ascii="Cambria" w:hAnsi="Cambria"/>
          <w:sz w:val="20"/>
          <w:szCs w:val="20"/>
          <w:lang w:val="es-ES"/>
        </w:rPr>
        <w:t xml:space="preserve">las autoridades incumplieron el deber de adelantar una investigación y un proceso judicial adecuado que llevaran al castigo a </w:t>
      </w:r>
      <w:r w:rsidR="00E40446" w:rsidRPr="00AD791A">
        <w:rPr>
          <w:rFonts w:ascii="Cambria" w:hAnsi="Cambria"/>
          <w:sz w:val="20"/>
          <w:szCs w:val="20"/>
          <w:lang w:val="es-ES"/>
        </w:rPr>
        <w:t xml:space="preserve">todos </w:t>
      </w:r>
      <w:r w:rsidRPr="00AD791A">
        <w:rPr>
          <w:rFonts w:ascii="Cambria" w:hAnsi="Cambria"/>
          <w:sz w:val="20"/>
          <w:szCs w:val="20"/>
          <w:lang w:val="es-ES"/>
        </w:rPr>
        <w:t xml:space="preserve">los responsables. En particular, destacaron las siguientes irregularidades: a) pese al conocimiento de la existencia de un tercer autor material no consta ninguna diligencia para conocer su identidad y traerlo al proceso; b) posterior a la captura de Iván Argüello, el juez de la causa no recibió su declaración, tal y como había solicitado la ofendida María Luisa Acosta; c) se omitieron pronunciamientos sobre las solicitudes de la Fiscalía de reabrir las investigaciones respecto de los señores Tsokos y Martínez en los hechos denunciados; y d) </w:t>
      </w:r>
      <w:r w:rsidRPr="00AD791A">
        <w:rPr>
          <w:rFonts w:ascii="Cambria" w:hAnsi="Cambria"/>
          <w:sz w:val="20"/>
          <w:szCs w:val="20"/>
          <w:lang w:val="es-EC"/>
        </w:rPr>
        <w:t xml:space="preserve">a pesar de la contundencia de pruebas que vincularían a los referidos señores, éstas fueron ignoradas por las autoridades judiciales correspondientes, violando con ello su deber de valorar la evidencia en su totalidad. Dentro de estas pruebas los peticionarios destacaron un peritaje del laboratorio de criminalística de la Policía Nacional que </w:t>
      </w:r>
      <w:r w:rsidR="00E40446" w:rsidRPr="00AD791A">
        <w:rPr>
          <w:rFonts w:ascii="Cambria" w:hAnsi="Cambria"/>
          <w:sz w:val="20"/>
          <w:szCs w:val="20"/>
          <w:lang w:val="es-EC"/>
        </w:rPr>
        <w:t xml:space="preserve">presuntamente </w:t>
      </w:r>
      <w:r w:rsidR="00FC0066" w:rsidRPr="00AD791A">
        <w:rPr>
          <w:rFonts w:ascii="Cambria" w:hAnsi="Cambria"/>
          <w:sz w:val="20"/>
          <w:szCs w:val="20"/>
          <w:lang w:val="es-EC"/>
        </w:rPr>
        <w:t>demostraba</w:t>
      </w:r>
      <w:r w:rsidRPr="00AD791A">
        <w:rPr>
          <w:rFonts w:ascii="Cambria" w:hAnsi="Cambria"/>
          <w:sz w:val="20"/>
          <w:szCs w:val="20"/>
          <w:lang w:val="es-EC"/>
        </w:rPr>
        <w:t xml:space="preserve"> que el arma con la que privaron de la vida al señor García Valle pertenecía al señor Martínez, así como documentos que demuestran la vinculación, previa al asesinato, entre Peter Tsokos e Iván Argüello. </w:t>
      </w:r>
    </w:p>
    <w:p w:rsidR="009D7F32" w:rsidRPr="00AD791A" w:rsidRDefault="009D7F32" w:rsidP="009D7F32">
      <w:pPr>
        <w:ind w:left="720"/>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 xml:space="preserve">Asimismo, indicaron que los recursos se tornaron inefectivos ya que habría existido una intención evidente por parte de los jueces de obstaculizar el acceso a los mismos. Señalaron que prueba de ello es que todos los recursos interpuestos por los peticionarios o por el Ministerio Público para obtener la declaración de nulidad de la causa por las presuntas irregularidades, fueron rechazados u obviados por las autoridades mediante resoluciones infundadas y erróneas. Agregaron que </w:t>
      </w:r>
      <w:r w:rsidRPr="00AD791A">
        <w:rPr>
          <w:rFonts w:ascii="Cambria" w:hAnsi="Cambria"/>
          <w:spacing w:val="-4"/>
          <w:sz w:val="20"/>
          <w:szCs w:val="20"/>
          <w:lang w:val="es-ES"/>
        </w:rPr>
        <w:t xml:space="preserve">el Estado tampoco investigó las denuncias presentadas </w:t>
      </w:r>
      <w:r w:rsidRPr="00AD791A">
        <w:rPr>
          <w:rFonts w:ascii="Cambria" w:hAnsi="Cambria"/>
          <w:sz w:val="20"/>
          <w:szCs w:val="20"/>
          <w:lang w:val="es-ES_tradnl"/>
        </w:rPr>
        <w:t xml:space="preserve">por María Luisa Acosta ante la Comisión del </w:t>
      </w:r>
      <w:r w:rsidRPr="00AD791A">
        <w:rPr>
          <w:rFonts w:ascii="Cambria" w:hAnsi="Cambria"/>
          <w:sz w:val="20"/>
          <w:szCs w:val="20"/>
          <w:lang w:val="es-ES"/>
        </w:rPr>
        <w:t>Régimen Disciplinario de la Corte Suprema de Justicia (en adelante “la Comisión del Régimen Disciplinario”)</w:t>
      </w:r>
      <w:r w:rsidRPr="00AD791A">
        <w:rPr>
          <w:rFonts w:ascii="Cambria" w:hAnsi="Cambria"/>
          <w:sz w:val="20"/>
          <w:szCs w:val="20"/>
          <w:lang w:val="es-ES_tradnl"/>
        </w:rPr>
        <w:t xml:space="preserve"> en relación con las actuaciones irregulares de los juzgadores.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Resaltaron como violación de estos derechos la</w:t>
      </w:r>
      <w:r w:rsidR="00FC0066" w:rsidRPr="00AD791A">
        <w:rPr>
          <w:rFonts w:ascii="Cambria" w:hAnsi="Cambria"/>
          <w:sz w:val="20"/>
          <w:szCs w:val="20"/>
          <w:lang w:val="es-ES"/>
        </w:rPr>
        <w:t xml:space="preserve"> apelación declarada como desierta </w:t>
      </w:r>
      <w:r w:rsidRPr="00AD791A">
        <w:rPr>
          <w:rFonts w:ascii="Cambria" w:hAnsi="Cambria"/>
          <w:sz w:val="20"/>
          <w:szCs w:val="20"/>
          <w:lang w:val="es-ES"/>
        </w:rPr>
        <w:t xml:space="preserve">contra la sentencia de sobreseimiento definitivo  a favor de Peter Martínez y Peter Tsokos, lo que generó que quedara firme. Destacaron que el sustento de esta decisión fue que el </w:t>
      </w:r>
      <w:r w:rsidRPr="00AD791A">
        <w:rPr>
          <w:rFonts w:ascii="Cambria" w:hAnsi="Cambria"/>
          <w:sz w:val="20"/>
          <w:szCs w:val="20"/>
          <w:lang w:val="es-EC"/>
        </w:rPr>
        <w:t xml:space="preserve">abogado de la señora Acosta no habría cumplido con su obligación de suministrar papel para fotocopiar la sentencia cuando, en realidad, los </w:t>
      </w:r>
      <w:r w:rsidRPr="00AD791A">
        <w:rPr>
          <w:rFonts w:ascii="Cambria" w:hAnsi="Cambria"/>
          <w:sz w:val="20"/>
          <w:szCs w:val="20"/>
          <w:lang w:val="es-ES"/>
        </w:rPr>
        <w:t xml:space="preserve">funcionarios judiciales le impidieron cumplir con el referido requisito, el cual, además, estaba derogado. Indicaron que el Estado pretende trasladarles la responsabilidad de haber dejado firme la sentencia.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_tradnl"/>
        </w:rPr>
        <w:t xml:space="preserve">Sobre el </w:t>
      </w:r>
      <w:r w:rsidRPr="00AD791A">
        <w:rPr>
          <w:rFonts w:ascii="Cambria" w:hAnsi="Cambria"/>
          <w:b/>
          <w:sz w:val="20"/>
          <w:szCs w:val="20"/>
          <w:lang w:val="es-ES_tradnl"/>
        </w:rPr>
        <w:t>derecho a la integridad personal</w:t>
      </w:r>
      <w:r w:rsidRPr="00AD791A">
        <w:rPr>
          <w:rFonts w:ascii="Cambria" w:hAnsi="Cambria"/>
          <w:sz w:val="20"/>
          <w:szCs w:val="20"/>
          <w:lang w:val="es-ES_tradnl"/>
        </w:rPr>
        <w:t xml:space="preserve"> en perjuicio de </w:t>
      </w:r>
      <w:r w:rsidR="00216E9B" w:rsidRPr="00AD791A">
        <w:rPr>
          <w:rFonts w:ascii="Cambria" w:hAnsi="Cambria"/>
          <w:sz w:val="20"/>
          <w:szCs w:val="20"/>
          <w:lang w:val="es-ES_tradnl"/>
        </w:rPr>
        <w:t xml:space="preserve">María Luisa Acosta y </w:t>
      </w:r>
      <w:r w:rsidRPr="00AD791A">
        <w:rPr>
          <w:rFonts w:ascii="Cambria" w:hAnsi="Cambria"/>
          <w:sz w:val="20"/>
          <w:szCs w:val="20"/>
          <w:lang w:val="es-ES_tradnl"/>
        </w:rPr>
        <w:t>los</w:t>
      </w:r>
      <w:r w:rsidR="00A34AE8" w:rsidRPr="00AD791A">
        <w:rPr>
          <w:rFonts w:ascii="Cambria" w:hAnsi="Cambria"/>
          <w:sz w:val="20"/>
          <w:szCs w:val="20"/>
          <w:lang w:val="es-ES_tradnl"/>
        </w:rPr>
        <w:t xml:space="preserve"> otros </w:t>
      </w:r>
      <w:r w:rsidRPr="00AD791A">
        <w:rPr>
          <w:rFonts w:ascii="Cambria" w:hAnsi="Cambria"/>
          <w:sz w:val="20"/>
          <w:szCs w:val="20"/>
          <w:lang w:val="es-ES_tradnl"/>
        </w:rPr>
        <w:t xml:space="preserve"> familiares del señor García Valle, señalaron la falta de conocimiento de la verdad de lo sucedido, así como un alto nivel de angustia y ansiedad causado por las acciones y omisiones del Estado. Mencionaron el miedo permanente de María Luisa Acosta y sus hijos de sufrir otro atentado. </w:t>
      </w:r>
      <w:r w:rsidRPr="00AD791A">
        <w:rPr>
          <w:rFonts w:ascii="Cambria" w:hAnsi="Cambria"/>
          <w:sz w:val="20"/>
          <w:szCs w:val="20"/>
          <w:lang w:val="es-ES"/>
        </w:rPr>
        <w:t xml:space="preserve">Específicamente, en relación con María Luisa Acosta, indicaron que lo extenuante del proceso penal por el asesinato de su esposo, los procesos iniciados en su contra y la amenaza que presenta la impunidad del crimen del señor García Valle, tuvieron como consecuencia su “deterioro de la salud, autoestima y patrimonio económico”. </w:t>
      </w:r>
      <w:r w:rsidRPr="00AD791A">
        <w:rPr>
          <w:rFonts w:ascii="Cambria" w:hAnsi="Cambria" w:cs="Garamond"/>
          <w:sz w:val="20"/>
          <w:szCs w:val="20"/>
          <w:lang w:val="es-MX"/>
        </w:rPr>
        <w:t xml:space="preserve">En relación con los hijos, mencionaron que les ocasionó un </w:t>
      </w:r>
      <w:r w:rsidRPr="00AD791A">
        <w:rPr>
          <w:rFonts w:ascii="Cambria" w:hAnsi="Cambria" w:cs="Garamond"/>
          <w:sz w:val="20"/>
          <w:szCs w:val="20"/>
          <w:lang w:val="es-ES_tradnl"/>
        </w:rPr>
        <w:t>bajo rendimiento académico</w:t>
      </w:r>
      <w:r w:rsidR="00216E9B" w:rsidRPr="00AD791A">
        <w:rPr>
          <w:rFonts w:ascii="Cambria" w:hAnsi="Cambria" w:cs="Garamond"/>
          <w:sz w:val="20"/>
          <w:szCs w:val="20"/>
          <w:lang w:val="es-ES_tradnl"/>
        </w:rPr>
        <w:t>, entre otras consecuencias</w:t>
      </w:r>
      <w:r w:rsidRPr="00AD791A">
        <w:rPr>
          <w:rFonts w:ascii="Cambria" w:hAnsi="Cambria" w:cs="Garamond"/>
          <w:sz w:val="20"/>
          <w:szCs w:val="20"/>
          <w:lang w:val="es-ES_tradnl"/>
        </w:rPr>
        <w:t xml:space="preserve">.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 xml:space="preserve">Finalmente, la Comisión observa que los peticionarios continuaron alegando violaciones de los derechos consagrados </w:t>
      </w:r>
      <w:r w:rsidRPr="00AD791A">
        <w:rPr>
          <w:rFonts w:ascii="Cambria" w:hAnsi="Cambria"/>
          <w:b/>
          <w:sz w:val="20"/>
          <w:szCs w:val="20"/>
          <w:lang w:val="es-ES"/>
        </w:rPr>
        <w:t>en los artículos 4</w:t>
      </w:r>
      <w:r w:rsidR="00936905" w:rsidRPr="00AD791A">
        <w:rPr>
          <w:rFonts w:ascii="Cambria" w:hAnsi="Cambria"/>
          <w:b/>
          <w:sz w:val="20"/>
          <w:szCs w:val="20"/>
          <w:lang w:val="es-ES"/>
        </w:rPr>
        <w:t xml:space="preserve"> (derecho a la vida)</w:t>
      </w:r>
      <w:r w:rsidRPr="00AD791A">
        <w:rPr>
          <w:rFonts w:ascii="Cambria" w:hAnsi="Cambria"/>
          <w:b/>
          <w:sz w:val="20"/>
          <w:szCs w:val="20"/>
          <w:lang w:val="es-ES"/>
        </w:rPr>
        <w:t xml:space="preserve"> y 11</w:t>
      </w:r>
      <w:r w:rsidR="00936905" w:rsidRPr="00AD791A">
        <w:rPr>
          <w:rFonts w:ascii="Cambria" w:hAnsi="Cambria"/>
          <w:b/>
          <w:sz w:val="20"/>
          <w:szCs w:val="20"/>
          <w:lang w:val="es-ES"/>
        </w:rPr>
        <w:t xml:space="preserve"> (</w:t>
      </w:r>
      <w:r w:rsidR="005805D8" w:rsidRPr="00AD791A">
        <w:rPr>
          <w:rFonts w:ascii="Cambria" w:hAnsi="Cambria"/>
          <w:b/>
          <w:sz w:val="20"/>
          <w:szCs w:val="20"/>
          <w:lang w:val="es-ES"/>
        </w:rPr>
        <w:t>protección de la honra y de la dignidad</w:t>
      </w:r>
      <w:r w:rsidR="00936905" w:rsidRPr="00AD791A">
        <w:rPr>
          <w:rFonts w:ascii="Cambria" w:hAnsi="Cambria"/>
          <w:b/>
          <w:sz w:val="20"/>
          <w:szCs w:val="20"/>
          <w:lang w:val="es-ES"/>
        </w:rPr>
        <w:t>)</w:t>
      </w:r>
      <w:r w:rsidRPr="00AD791A">
        <w:rPr>
          <w:rFonts w:ascii="Cambria" w:hAnsi="Cambria"/>
          <w:b/>
          <w:sz w:val="20"/>
          <w:szCs w:val="20"/>
          <w:lang w:val="es-ES"/>
        </w:rPr>
        <w:t xml:space="preserve"> de la Convención</w:t>
      </w:r>
      <w:r w:rsidRPr="00AD791A">
        <w:rPr>
          <w:rFonts w:ascii="Cambria" w:hAnsi="Cambria"/>
          <w:sz w:val="20"/>
          <w:szCs w:val="20"/>
          <w:lang w:val="es-ES"/>
        </w:rPr>
        <w:t xml:space="preserve">, no obstante los mismos fueron declarados inadmisibles en el informe de admisibilidad. En cuanto al derecho a la vida, señalaron </w:t>
      </w:r>
      <w:r w:rsidRPr="00AD791A">
        <w:rPr>
          <w:rFonts w:ascii="Cambria" w:hAnsi="Cambria"/>
          <w:sz w:val="20"/>
          <w:szCs w:val="20"/>
          <w:lang w:val="es-ES_tradnl"/>
        </w:rPr>
        <w:t>que el Estado no adoptó</w:t>
      </w:r>
      <w:r w:rsidRPr="00AD791A">
        <w:rPr>
          <w:rFonts w:ascii="Cambria" w:hAnsi="Cambria"/>
          <w:i/>
          <w:iCs/>
          <w:spacing w:val="6"/>
          <w:sz w:val="20"/>
          <w:szCs w:val="20"/>
          <w:lang w:val="es-ES_tradnl"/>
        </w:rPr>
        <w:t xml:space="preserve"> </w:t>
      </w:r>
      <w:r w:rsidRPr="00AD791A">
        <w:rPr>
          <w:rFonts w:ascii="Cambria" w:hAnsi="Cambria"/>
          <w:sz w:val="20"/>
          <w:szCs w:val="20"/>
          <w:lang w:val="es-ES_tradnl"/>
        </w:rPr>
        <w:t xml:space="preserve">las medidas necesarias </w:t>
      </w:r>
      <w:r w:rsidRPr="00AD791A">
        <w:rPr>
          <w:rFonts w:ascii="Cambria" w:hAnsi="Cambria"/>
          <w:iCs/>
          <w:spacing w:val="6"/>
          <w:sz w:val="20"/>
          <w:szCs w:val="20"/>
          <w:lang w:val="es-ES_tradnl"/>
        </w:rPr>
        <w:t>para</w:t>
      </w:r>
      <w:r w:rsidRPr="00AD791A">
        <w:rPr>
          <w:rFonts w:ascii="Cambria" w:hAnsi="Cambria"/>
          <w:i/>
          <w:iCs/>
          <w:spacing w:val="6"/>
          <w:sz w:val="20"/>
          <w:szCs w:val="20"/>
          <w:lang w:val="es-ES_tradnl"/>
        </w:rPr>
        <w:t xml:space="preserve"> </w:t>
      </w:r>
      <w:r w:rsidRPr="00AD791A">
        <w:rPr>
          <w:rFonts w:ascii="Cambria" w:hAnsi="Cambria"/>
          <w:sz w:val="20"/>
          <w:szCs w:val="20"/>
          <w:lang w:val="es-ES_tradnl"/>
        </w:rPr>
        <w:t xml:space="preserve">llevar a cabo una investigación seria y efectiva de la muerte de Francisco García Valle. En cuanto al artículo 11 de la Convención, indicaron que los jueces hostigaron, difamaron y tramitaron procesos judiciales “maliciosos” en contra de María Luisa Acosta. </w:t>
      </w:r>
    </w:p>
    <w:p w:rsidR="009D7F32" w:rsidRPr="00AD791A" w:rsidRDefault="009D7F32" w:rsidP="009D7F32">
      <w:pPr>
        <w:rPr>
          <w:rFonts w:ascii="Cambria" w:hAnsi="Cambria"/>
          <w:sz w:val="20"/>
          <w:szCs w:val="20"/>
          <w:lang w:val="es-ES"/>
        </w:rPr>
      </w:pPr>
    </w:p>
    <w:p w:rsidR="009D7F32" w:rsidRPr="00AD791A" w:rsidRDefault="009D7F32" w:rsidP="009D7F32">
      <w:pPr>
        <w:pStyle w:val="Heading2"/>
        <w:rPr>
          <w:rFonts w:ascii="Cambria" w:hAnsi="Cambria"/>
          <w:sz w:val="20"/>
          <w:szCs w:val="20"/>
        </w:rPr>
      </w:pPr>
      <w:bookmarkStart w:id="26" w:name="_Toc388448132"/>
      <w:bookmarkStart w:id="27" w:name="_Toc412647967"/>
      <w:bookmarkStart w:id="28" w:name="_Toc412648013"/>
      <w:bookmarkStart w:id="29" w:name="_Toc414177391"/>
      <w:bookmarkStart w:id="30" w:name="_Toc414177713"/>
      <w:bookmarkStart w:id="31" w:name="_Toc414177744"/>
      <w:r w:rsidRPr="00AD791A">
        <w:rPr>
          <w:rFonts w:ascii="Cambria" w:hAnsi="Cambria"/>
          <w:sz w:val="20"/>
          <w:szCs w:val="20"/>
        </w:rPr>
        <w:t>B.</w:t>
      </w:r>
      <w:r w:rsidRPr="00AD791A">
        <w:rPr>
          <w:rFonts w:ascii="Cambria" w:hAnsi="Cambria"/>
          <w:sz w:val="20"/>
          <w:szCs w:val="20"/>
        </w:rPr>
        <w:tab/>
        <w:t>Posición del Estado</w:t>
      </w:r>
      <w:bookmarkEnd w:id="26"/>
      <w:bookmarkEnd w:id="27"/>
      <w:bookmarkEnd w:id="28"/>
      <w:bookmarkEnd w:id="29"/>
      <w:bookmarkEnd w:id="30"/>
      <w:bookmarkEnd w:id="31"/>
    </w:p>
    <w:p w:rsidR="009D7F32" w:rsidRPr="00AD791A" w:rsidRDefault="009D7F32" w:rsidP="009D7F32">
      <w:pPr>
        <w:jc w:val="both"/>
        <w:rPr>
          <w:rFonts w:ascii="Cambria" w:hAnsi="Cambria"/>
          <w:b/>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 xml:space="preserve">El Estado concordó sustancialmente con lo manifestado por los peticionarios respecto de la fecha, el lugar y la forma en que se habría consumado el asesinato del señor García Valle. Sin embargo, el Estado controvirtió lo relativo a las causas que habrían motivado el crimen. Señaló que el asesinato del señor García Valle correspondería a un hecho aislado cometido por “personas antisociales con instintos criminales”, y que no tendría vinculación con cuestiones de los pueblos indígenas, políticas de Estado, ni persecución de defensores y defensoras de derechos humanos. En cuanto a los procesos internos, el Estado coincidió con la descripción efectuada por los peticionarios. Sin embargo, controvirtió que los mismos hubieran comprometido su responsabilidad internacional.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En general, el Estado nicaragüense señaló que las autoridades intervinientes en la investigación de los hechos actuaron conforme a sus funciones. Afirmó que desde que las autoridades policiales tuvieron conocimiento del hecho, se iniciaron diligencias en materia de investigación. Agregó que los jueces que adoptaron las decisiones de sobreseimiento o condena por el asesinato del señor García Valle, habrían demostrado objetividad en el ejercicio de sus funciones, no habrían actuado de manera oportunista o carente de imparcialidad, ni tampoco habrían “asegurado” una situación de impunidad.</w:t>
      </w:r>
    </w:p>
    <w:p w:rsidR="009D7F32" w:rsidRPr="00AD791A" w:rsidRDefault="009D7F32" w:rsidP="009D7F32">
      <w:pPr>
        <w:ind w:left="720"/>
        <w:jc w:val="both"/>
        <w:rPr>
          <w:rFonts w:ascii="Cambria" w:hAnsi="Cambria"/>
          <w:b/>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 xml:space="preserve">Argumentó el Estado que el referido proceso penal se habría realizado con total respeto e igualdad de trato para las partes involucradas. Indicó </w:t>
      </w:r>
      <w:r w:rsidR="00FC0066" w:rsidRPr="00AD791A">
        <w:rPr>
          <w:rFonts w:ascii="Cambria" w:hAnsi="Cambria"/>
          <w:sz w:val="20"/>
          <w:szCs w:val="20"/>
          <w:lang w:val="es-ES"/>
        </w:rPr>
        <w:t xml:space="preserve">que </w:t>
      </w:r>
      <w:r w:rsidRPr="00AD791A">
        <w:rPr>
          <w:rFonts w:ascii="Cambria" w:hAnsi="Cambria"/>
          <w:sz w:val="20"/>
          <w:szCs w:val="20"/>
          <w:lang w:val="es-ES"/>
        </w:rPr>
        <w:t xml:space="preserve">el Juez de Distrito del Crimen recopiló las acusaciones formuladas por la señora Acosta contra los supuestos responsables del asesinato de su esposo, dirigiendo  la acción penal en contra de todos ellos. Agregó </w:t>
      </w:r>
      <w:r w:rsidRPr="00AD791A">
        <w:rPr>
          <w:rFonts w:ascii="Cambria" w:hAnsi="Cambria"/>
          <w:sz w:val="20"/>
          <w:szCs w:val="20"/>
          <w:lang w:val="es-EC"/>
        </w:rPr>
        <w:t>que no habría impedido el acceso a la justicia de la señora Acosta debido a que en todo momento contó con los recursos y</w:t>
      </w:r>
      <w:r w:rsidRPr="00AD791A">
        <w:rPr>
          <w:rFonts w:ascii="Cambria" w:hAnsi="Cambria"/>
          <w:sz w:val="20"/>
          <w:szCs w:val="20"/>
          <w:lang w:val="es-MX"/>
        </w:rPr>
        <w:t xml:space="preserve"> mecanismos que</w:t>
      </w:r>
      <w:r w:rsidRPr="00AD791A">
        <w:rPr>
          <w:rFonts w:ascii="Cambria" w:hAnsi="Cambria"/>
          <w:sz w:val="20"/>
          <w:szCs w:val="20"/>
          <w:lang w:val="es-EC"/>
        </w:rPr>
        <w:t xml:space="preserve"> la ley vigente le permitía.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 xml:space="preserve">El Estado sostuvo que a efectos de identificar, procesar y condenar a los responsables del delito, las autoridades adoptaron sus decisiones con base en fundamentos fácticos y jurídicos. Afirmó que la condena se dictó con el debido proceso legal. Resaltó que la validez de los procesos judiciales internos no depende de la aceptación de las partes involucradas, sino de la observancia de las reglas del debido proceso durante su sustanciación. Alegó que el hecho de que la decisión de sobreseimiento definitivo de quienes fueron denunciados por la señora Acosta como presuntos autores intelectuales y materiales del homicidio del señor García Valle no hubiere sido recurrida oportunamente, implicó un consentimiento tácito de dicha decisión, lo que no supone una negación de acceso a la justicia.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 xml:space="preserve">Señaló también que no se le puede atribuir la  falta de acceso a un recurso efectivo, pues el derecho a recurrir se encuentra plasmado en la Constitución. Indicó que para interponer un recurso de apelación, el recurrente está obligado legalmente a presentar el papel para fotocopiar la sentencia que se pretende apelar dentro del término de 24 horas. Agregó que el representante de la señora Acosta no cumplió con las normas que rigen el recurso y que el Estado no puede ser responsable por ello. </w:t>
      </w:r>
    </w:p>
    <w:p w:rsidR="009D7F32" w:rsidRPr="00AD791A" w:rsidRDefault="009D7F32" w:rsidP="009D7F32">
      <w:pPr>
        <w:pStyle w:val="ListParagraph1"/>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 xml:space="preserve">Respecto del derecho a la integridad personal de los familiares del señor García Valle, el Estado alegó que garantizó un debido proceso, el cual fue tramitado en igualdad para ambas partes y culminó con una condena por voluntad de la sociedad nicaragüense representada por el tribunal de jurados. Alegó  que no corresponde a la CIDH actuar como una instancia de revisión de lo decidido internamente. </w:t>
      </w:r>
    </w:p>
    <w:p w:rsidR="009D7F32" w:rsidRPr="00AD791A" w:rsidRDefault="009D7F32" w:rsidP="009D7F32">
      <w:pPr>
        <w:jc w:val="both"/>
        <w:rPr>
          <w:rFonts w:ascii="Cambria" w:hAnsi="Cambria"/>
          <w:sz w:val="20"/>
          <w:szCs w:val="20"/>
          <w:lang w:val="es-ES_tradnl"/>
        </w:rPr>
      </w:pPr>
    </w:p>
    <w:p w:rsidR="009D7F32" w:rsidRPr="00AD791A" w:rsidRDefault="000B11B2" w:rsidP="00D04916">
      <w:pPr>
        <w:pStyle w:val="Style10"/>
        <w:rPr>
          <w:rFonts w:ascii="Cambria" w:hAnsi="Cambria"/>
          <w:bCs/>
          <w:sz w:val="20"/>
          <w:szCs w:val="20"/>
          <w:lang w:val="es-ES"/>
        </w:rPr>
      </w:pPr>
      <w:bookmarkStart w:id="32" w:name="_Toc388448133"/>
      <w:bookmarkStart w:id="33" w:name="_Toc412647968"/>
      <w:bookmarkStart w:id="34" w:name="_Toc412648014"/>
      <w:r w:rsidRPr="00AD791A">
        <w:rPr>
          <w:rFonts w:ascii="Cambria" w:hAnsi="Cambria"/>
          <w:sz w:val="20"/>
          <w:szCs w:val="20"/>
        </w:rPr>
        <w:br w:type="page"/>
      </w:r>
      <w:bookmarkStart w:id="35" w:name="_Toc414177392"/>
      <w:bookmarkStart w:id="36" w:name="_Toc414177714"/>
      <w:bookmarkStart w:id="37" w:name="_Toc414177745"/>
      <w:r w:rsidR="009D7F32" w:rsidRPr="00AD791A">
        <w:rPr>
          <w:rFonts w:ascii="Cambria" w:hAnsi="Cambria"/>
          <w:sz w:val="20"/>
          <w:szCs w:val="20"/>
        </w:rPr>
        <w:t>IV.</w:t>
      </w:r>
      <w:r w:rsidR="009D7F32" w:rsidRPr="00AD791A">
        <w:rPr>
          <w:rFonts w:ascii="Cambria" w:hAnsi="Cambria"/>
          <w:sz w:val="20"/>
          <w:szCs w:val="20"/>
        </w:rPr>
        <w:tab/>
        <w:t>ANÁLISIS DE FONDO</w:t>
      </w:r>
      <w:bookmarkEnd w:id="32"/>
      <w:bookmarkEnd w:id="33"/>
      <w:bookmarkEnd w:id="34"/>
      <w:bookmarkEnd w:id="35"/>
      <w:bookmarkEnd w:id="36"/>
      <w:bookmarkEnd w:id="37"/>
    </w:p>
    <w:p w:rsidR="009D7F32" w:rsidRPr="00AD791A" w:rsidRDefault="009D7F32" w:rsidP="009D7F32">
      <w:pPr>
        <w:rPr>
          <w:rFonts w:ascii="Cambria" w:hAnsi="Cambria"/>
          <w:b/>
          <w:sz w:val="20"/>
          <w:szCs w:val="20"/>
          <w:lang w:val="es-ES"/>
        </w:rPr>
      </w:pPr>
    </w:p>
    <w:p w:rsidR="009D7F32" w:rsidRPr="00AD791A" w:rsidRDefault="009D7F32" w:rsidP="009D7F32">
      <w:pPr>
        <w:pStyle w:val="Heading2"/>
        <w:rPr>
          <w:rFonts w:ascii="Cambria" w:hAnsi="Cambria"/>
          <w:sz w:val="20"/>
          <w:szCs w:val="20"/>
          <w:lang w:val="es-CO"/>
        </w:rPr>
      </w:pPr>
      <w:bookmarkStart w:id="38" w:name="_Toc388448135"/>
      <w:bookmarkStart w:id="39" w:name="_Toc412647970"/>
      <w:bookmarkStart w:id="40" w:name="_Toc412648016"/>
      <w:bookmarkStart w:id="41" w:name="_Toc414177393"/>
      <w:bookmarkStart w:id="42" w:name="_Toc414177715"/>
      <w:bookmarkStart w:id="43" w:name="_Toc414177746"/>
      <w:r w:rsidRPr="00AD791A">
        <w:rPr>
          <w:rFonts w:ascii="Cambria" w:hAnsi="Cambria"/>
          <w:sz w:val="20"/>
          <w:szCs w:val="20"/>
          <w:lang w:val="es-CO"/>
        </w:rPr>
        <w:t>A.</w:t>
      </w:r>
      <w:r w:rsidRPr="00AD791A">
        <w:rPr>
          <w:rFonts w:ascii="Cambria" w:hAnsi="Cambria"/>
          <w:sz w:val="20"/>
          <w:szCs w:val="20"/>
          <w:lang w:val="es-CO"/>
        </w:rPr>
        <w:tab/>
      </w:r>
      <w:bookmarkEnd w:id="38"/>
      <w:bookmarkEnd w:id="39"/>
      <w:bookmarkEnd w:id="40"/>
      <w:r w:rsidR="009D20F0" w:rsidRPr="00AD791A">
        <w:rPr>
          <w:rFonts w:ascii="Cambria" w:hAnsi="Cambria"/>
          <w:sz w:val="20"/>
          <w:szCs w:val="20"/>
          <w:lang w:val="es-CO"/>
        </w:rPr>
        <w:t>Hechos probados</w:t>
      </w:r>
      <w:bookmarkEnd w:id="41"/>
      <w:bookmarkEnd w:id="42"/>
      <w:bookmarkEnd w:id="43"/>
    </w:p>
    <w:p w:rsidR="009D7F32" w:rsidRPr="00AD791A" w:rsidRDefault="009D7F32" w:rsidP="009D7F32">
      <w:pPr>
        <w:jc w:val="both"/>
        <w:rPr>
          <w:rFonts w:ascii="Cambria" w:hAnsi="Cambria"/>
          <w:b/>
          <w:sz w:val="20"/>
          <w:szCs w:val="20"/>
          <w:lang w:val="es-MX"/>
        </w:rPr>
      </w:pPr>
    </w:p>
    <w:p w:rsidR="009D7F32" w:rsidRPr="00AD791A" w:rsidRDefault="009D7F32" w:rsidP="000B11B2">
      <w:pPr>
        <w:pStyle w:val="Heading3"/>
        <w:numPr>
          <w:ilvl w:val="0"/>
          <w:numId w:val="5"/>
        </w:numPr>
        <w:ind w:left="1440" w:hanging="720"/>
      </w:pPr>
      <w:bookmarkStart w:id="44" w:name="_Toc388448136"/>
      <w:bookmarkStart w:id="45" w:name="_Toc412647971"/>
      <w:bookmarkStart w:id="46" w:name="_Toc412648017"/>
      <w:bookmarkStart w:id="47" w:name="_Toc414177394"/>
      <w:bookmarkStart w:id="48" w:name="_Toc414177716"/>
      <w:bookmarkStart w:id="49" w:name="_Toc414177747"/>
      <w:r w:rsidRPr="00AD791A">
        <w:t>Sobre la labor de María Luisa Acosta</w:t>
      </w:r>
      <w:bookmarkEnd w:id="44"/>
      <w:bookmarkEnd w:id="45"/>
      <w:bookmarkEnd w:id="46"/>
      <w:bookmarkEnd w:id="47"/>
      <w:bookmarkEnd w:id="48"/>
      <w:bookmarkEnd w:id="49"/>
    </w:p>
    <w:p w:rsidR="009D7F32" w:rsidRPr="00AD791A" w:rsidRDefault="009D7F32" w:rsidP="009D7F32">
      <w:pPr>
        <w:jc w:val="both"/>
        <w:rPr>
          <w:rFonts w:ascii="Cambria" w:hAnsi="Cambria"/>
          <w:b/>
          <w:sz w:val="20"/>
          <w:szCs w:val="20"/>
          <w:lang w:val="es-MX"/>
        </w:rPr>
      </w:pPr>
      <w:r w:rsidRPr="00AD791A">
        <w:rPr>
          <w:rFonts w:ascii="Cambria" w:hAnsi="Cambria"/>
          <w:b/>
          <w:sz w:val="20"/>
          <w:szCs w:val="20"/>
          <w:lang w:val="es-MX"/>
        </w:rPr>
        <w:t xml:space="preserve"> </w:t>
      </w: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María Luisa Acosta es reconocida a nivel nacional e internacional como abogada defensora de los derechos de los pueblos indígenas</w:t>
      </w:r>
      <w:r w:rsidRPr="00AD791A">
        <w:rPr>
          <w:rStyle w:val="FootnoteReference"/>
          <w:rFonts w:ascii="Cambria" w:hAnsi="Cambria"/>
          <w:sz w:val="20"/>
          <w:szCs w:val="20"/>
          <w:lang w:val="es-MX"/>
        </w:rPr>
        <w:footnoteReference w:id="2"/>
      </w:r>
      <w:r w:rsidRPr="00AD791A">
        <w:rPr>
          <w:rFonts w:ascii="Cambria" w:hAnsi="Cambria"/>
          <w:sz w:val="20"/>
          <w:szCs w:val="20"/>
          <w:lang w:val="es-MX"/>
        </w:rPr>
        <w:t xml:space="preserve">. Al respecto, el Procurador para la Defensa de los Derechos Humanos de Nicaragua señaló que la señora Acosta “se ha caracterizado por ser la principal defensora de los derechos indígenas </w:t>
      </w:r>
      <w:r w:rsidRPr="00AD791A">
        <w:rPr>
          <w:rStyle w:val="st1"/>
          <w:rFonts w:ascii="Cambria" w:hAnsi="Cambria" w:cs="Arial"/>
          <w:sz w:val="20"/>
          <w:szCs w:val="20"/>
          <w:lang w:val="es-MX"/>
        </w:rPr>
        <w:t xml:space="preserve">[que los] </w:t>
      </w:r>
      <w:r w:rsidRPr="00AD791A">
        <w:rPr>
          <w:rFonts w:ascii="Cambria" w:hAnsi="Cambria"/>
          <w:sz w:val="20"/>
          <w:szCs w:val="20"/>
          <w:lang w:val="es-MX"/>
        </w:rPr>
        <w:t>defiende con valentía y desde la perspectiva de los derechos humanos”</w:t>
      </w:r>
      <w:r w:rsidRPr="00AD791A">
        <w:rPr>
          <w:rStyle w:val="FootnoteReference"/>
          <w:rFonts w:ascii="Cambria" w:hAnsi="Cambria"/>
          <w:sz w:val="20"/>
          <w:szCs w:val="20"/>
          <w:lang w:val="es-MX"/>
        </w:rPr>
        <w:footnoteReference w:id="3"/>
      </w:r>
      <w:r w:rsidRPr="00AD791A">
        <w:rPr>
          <w:rFonts w:ascii="Cambria" w:hAnsi="Cambria"/>
          <w:sz w:val="20"/>
          <w:szCs w:val="20"/>
          <w:lang w:val="es-MX"/>
        </w:rPr>
        <w:t>. Al momento de los hechos del presente caso y hasta la fecha de emisión de este informe, María Luisa Acosta ha fungido como coordinadora de CALPI, organización nicaragüense que tiene como misión ofrecer asesoría legal y técnica a los pueblos indígenas, principalmente en cuestiones relacionadas con el ejercicio del derecho de propiedad sobre sus tierras y recursos naturales</w:t>
      </w:r>
      <w:r w:rsidRPr="00AD791A">
        <w:rPr>
          <w:rStyle w:val="FootnoteReference"/>
          <w:rFonts w:ascii="Cambria" w:hAnsi="Cambria"/>
          <w:sz w:val="20"/>
          <w:szCs w:val="20"/>
          <w:lang w:val="es-MX"/>
        </w:rPr>
        <w:footnoteReference w:id="4"/>
      </w:r>
      <w:r w:rsidRPr="00AD791A">
        <w:rPr>
          <w:rFonts w:ascii="Cambria" w:hAnsi="Cambria"/>
          <w:sz w:val="20"/>
          <w:szCs w:val="20"/>
          <w:lang w:val="es-MX"/>
        </w:rPr>
        <w:t>.</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Desde el año 2000 María Luisa Acosta asumió la representación de pueblos indígenas de la Cuenca de Laguna de Perlas, en diversos litigios administrativos y judiciales para reivindicar sus derechos de posesión y uso de tierras ancestrales</w:t>
      </w:r>
      <w:r w:rsidRPr="00AD791A">
        <w:rPr>
          <w:rStyle w:val="FootnoteReference"/>
          <w:rFonts w:ascii="Cambria" w:hAnsi="Cambria" w:cs="Helvetica"/>
          <w:sz w:val="20"/>
          <w:szCs w:val="20"/>
        </w:rPr>
        <w:footnoteReference w:id="5"/>
      </w:r>
      <w:r w:rsidRPr="00AD791A">
        <w:rPr>
          <w:rFonts w:ascii="Cambria" w:hAnsi="Cambria" w:cs="Helvetica"/>
          <w:sz w:val="20"/>
          <w:szCs w:val="20"/>
          <w:lang w:val="es-MX"/>
        </w:rPr>
        <w:t>. María Luisa Acosta también denunciaba públicamente, tanto a nivel nacional como internacional, lo que acontecía con estos pueblos</w:t>
      </w:r>
      <w:r w:rsidRPr="00AD791A">
        <w:rPr>
          <w:rStyle w:val="FootnoteReference"/>
          <w:rFonts w:ascii="Cambria" w:hAnsi="Cambria" w:cs="Helvetica"/>
          <w:sz w:val="20"/>
          <w:szCs w:val="20"/>
          <w:lang w:val="es-MX"/>
        </w:rPr>
        <w:footnoteReference w:id="6"/>
      </w:r>
      <w:r w:rsidRPr="00AD791A">
        <w:rPr>
          <w:rFonts w:ascii="Cambria" w:hAnsi="Cambria" w:cs="Helvetica"/>
          <w:sz w:val="20"/>
          <w:szCs w:val="20"/>
          <w:lang w:val="es-MX"/>
        </w:rPr>
        <w:t xml:space="preserve">.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cs="Helvetica"/>
          <w:sz w:val="20"/>
          <w:szCs w:val="20"/>
          <w:lang w:val="es-MX"/>
        </w:rPr>
        <w:t xml:space="preserve">Conforme a información de conocimiento público, los diversos litigios administrativos y judiciales habían sido interpuestos </w:t>
      </w:r>
      <w:r w:rsidRPr="00AD791A">
        <w:rPr>
          <w:rFonts w:ascii="Cambria" w:hAnsi="Cambria"/>
          <w:sz w:val="20"/>
          <w:szCs w:val="20"/>
          <w:lang w:val="es-MX"/>
        </w:rPr>
        <w:t xml:space="preserve">contra el corredor de bienes raíces </w:t>
      </w:r>
      <w:r w:rsidRPr="00AD791A">
        <w:rPr>
          <w:rStyle w:val="st1"/>
          <w:rFonts w:ascii="Cambria" w:hAnsi="Cambria" w:cs="Arial"/>
          <w:sz w:val="20"/>
          <w:szCs w:val="20"/>
          <w:lang w:val="es-MX"/>
        </w:rPr>
        <w:t xml:space="preserve">Peter Tsokos, </w:t>
      </w:r>
      <w:r w:rsidRPr="00AD791A">
        <w:rPr>
          <w:rFonts w:ascii="Cambria" w:hAnsi="Cambria"/>
          <w:sz w:val="20"/>
          <w:szCs w:val="20"/>
          <w:lang w:val="es-MX"/>
        </w:rPr>
        <w:t>de nacionalidad griega y estadounidense, quien había comprado siete de los veintidós Cayos Perlas, los cuales presuntamente constituían tierras ancestrales de los pueblos indígenas que las habitaban</w:t>
      </w:r>
      <w:r w:rsidRPr="00AD791A">
        <w:rPr>
          <w:rStyle w:val="FootnoteReference"/>
          <w:rFonts w:ascii="Cambria" w:hAnsi="Cambria"/>
          <w:sz w:val="20"/>
          <w:szCs w:val="20"/>
          <w:lang w:val="es-MX"/>
        </w:rPr>
        <w:footnoteReference w:id="7"/>
      </w:r>
      <w:r w:rsidRPr="00AD791A">
        <w:rPr>
          <w:rFonts w:ascii="Cambria" w:hAnsi="Cambria"/>
          <w:sz w:val="20"/>
          <w:szCs w:val="20"/>
          <w:lang w:val="es-MX"/>
        </w:rPr>
        <w:t xml:space="preserve">. </w:t>
      </w:r>
      <w:r w:rsidRPr="00AD791A">
        <w:rPr>
          <w:rStyle w:val="Emphasis"/>
          <w:rFonts w:ascii="Cambria" w:hAnsi="Cambria" w:cs="Arial"/>
          <w:b w:val="0"/>
          <w:sz w:val="20"/>
          <w:szCs w:val="20"/>
          <w:lang w:val="es-MX"/>
        </w:rPr>
        <w:t>Según</w:t>
      </w:r>
      <w:r w:rsidRPr="00AD791A">
        <w:rPr>
          <w:rFonts w:ascii="Cambria" w:hAnsi="Cambria"/>
          <w:sz w:val="20"/>
          <w:szCs w:val="20"/>
          <w:lang w:val="es-MX"/>
        </w:rPr>
        <w:t xml:space="preserve"> lo señalado por prensa nacional e internacional, la compra de los referidos cayos se </w:t>
      </w:r>
      <w:r w:rsidRPr="00AD791A">
        <w:rPr>
          <w:rFonts w:ascii="Cambria" w:hAnsi="Cambria" w:cs="Helvetica"/>
          <w:sz w:val="20"/>
          <w:szCs w:val="20"/>
          <w:lang w:val="es-MX"/>
        </w:rPr>
        <w:t xml:space="preserve">habría realizado de forma ilegal, ya que </w:t>
      </w:r>
      <w:r w:rsidRPr="00AD791A">
        <w:rPr>
          <w:rFonts w:ascii="Cambria" w:hAnsi="Cambria"/>
          <w:sz w:val="20"/>
          <w:szCs w:val="20"/>
          <w:lang w:val="es-MX"/>
        </w:rPr>
        <w:t xml:space="preserve">la Constitución nicaragüense y el </w:t>
      </w:r>
      <w:r w:rsidRPr="00AD791A">
        <w:rPr>
          <w:rStyle w:val="Emphasis"/>
          <w:rFonts w:ascii="Cambria" w:hAnsi="Cambria" w:cs="Arial"/>
          <w:b w:val="0"/>
          <w:sz w:val="20"/>
          <w:szCs w:val="20"/>
          <w:lang w:val="es-MX"/>
        </w:rPr>
        <w:t>Estatuto de Autonomía de las Regiones de la Costa Atlántica, garantizaban que la propiedad de los pueblos indígenas no fuera objeto de enajenación privada</w:t>
      </w:r>
      <w:r w:rsidRPr="00AD791A">
        <w:rPr>
          <w:rStyle w:val="FootnoteReference"/>
          <w:rFonts w:ascii="Cambria" w:hAnsi="Cambria" w:cs="Helvetica"/>
          <w:sz w:val="20"/>
          <w:szCs w:val="20"/>
        </w:rPr>
        <w:footnoteReference w:id="8"/>
      </w:r>
      <w:r w:rsidRPr="00AD791A">
        <w:rPr>
          <w:rStyle w:val="Emphasis"/>
          <w:rFonts w:ascii="Cambria" w:hAnsi="Cambria" w:cs="Arial"/>
          <w:b w:val="0"/>
          <w:sz w:val="20"/>
          <w:szCs w:val="20"/>
          <w:lang w:val="es-MX"/>
        </w:rPr>
        <w:t xml:space="preserve">. </w:t>
      </w:r>
      <w:r w:rsidRPr="00AD791A">
        <w:rPr>
          <w:rFonts w:ascii="Cambria" w:hAnsi="Cambria"/>
          <w:sz w:val="20"/>
          <w:szCs w:val="20"/>
          <w:lang w:val="es-MX"/>
        </w:rPr>
        <w:t>También fue difundido que Peter Tsokos y su socio Peter Martínez, vendieron los cayos a compradores extranjeros</w:t>
      </w:r>
      <w:r w:rsidRPr="00AD791A">
        <w:rPr>
          <w:rStyle w:val="FootnoteReference"/>
          <w:rFonts w:ascii="Cambria" w:hAnsi="Cambria"/>
          <w:sz w:val="20"/>
          <w:szCs w:val="20"/>
          <w:lang w:val="es-MX"/>
        </w:rPr>
        <w:footnoteReference w:id="9"/>
      </w:r>
      <w:r w:rsidRPr="00AD791A">
        <w:rPr>
          <w:rFonts w:ascii="Cambria" w:hAnsi="Cambria"/>
          <w:sz w:val="20"/>
          <w:szCs w:val="20"/>
          <w:lang w:val="es-MX"/>
        </w:rPr>
        <w:t xml:space="preserve"> y habrían contratado guardias armados y oficiales de la Policía Nacional para mantener a los pueblos indígenas alejados de su propia tierra, impidiéndoles realizar actividades tradicionales de subsistencia</w:t>
      </w:r>
      <w:r w:rsidRPr="00AD791A">
        <w:rPr>
          <w:rStyle w:val="FootnoteReference"/>
          <w:rFonts w:ascii="Cambria" w:hAnsi="Cambria"/>
          <w:sz w:val="20"/>
          <w:szCs w:val="20"/>
          <w:lang w:val="es-MX"/>
        </w:rPr>
        <w:footnoteReference w:id="10"/>
      </w:r>
      <w:r w:rsidRPr="00AD791A">
        <w:rPr>
          <w:rFonts w:ascii="Cambria" w:hAnsi="Cambria"/>
          <w:sz w:val="20"/>
          <w:szCs w:val="20"/>
          <w:lang w:val="es-MX"/>
        </w:rPr>
        <w:t xml:space="preserve">.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Entre las acciones realizadas por María Luisa Acosta en defensa de los derechos indígenas y con un impacto en los intereses de Peter Tsokos y de su socio Peter Martínez, se encontraba la referente a la interposición de un amparo ante la Sala Civil del Tribunal de Apelaciones de la Circunscripción del Atlántico Sur (en adelante “la Sala Civil del Tribunal de Apelaciones”) el 2 de octubre de 2000 a favor de diversos pueblos indígenas de la Región Autónoma Atlántico Sur</w:t>
      </w:r>
      <w:r w:rsidRPr="00AD791A">
        <w:rPr>
          <w:rStyle w:val="FootnoteReference"/>
          <w:rFonts w:ascii="Cambria" w:hAnsi="Cambria"/>
          <w:sz w:val="20"/>
          <w:szCs w:val="20"/>
          <w:lang w:val="es-MX"/>
        </w:rPr>
        <w:t xml:space="preserve"> </w:t>
      </w:r>
      <w:r w:rsidRPr="00AD791A">
        <w:rPr>
          <w:rFonts w:ascii="Cambria" w:hAnsi="Cambria"/>
          <w:sz w:val="20"/>
          <w:szCs w:val="20"/>
          <w:lang w:val="es-MX"/>
        </w:rPr>
        <w:t xml:space="preserve"> (en adelante “la RAAS”)</w:t>
      </w:r>
      <w:r w:rsidRPr="00AD791A">
        <w:rPr>
          <w:rStyle w:val="FootnoteReference"/>
          <w:rFonts w:ascii="Cambria" w:hAnsi="Cambria"/>
          <w:sz w:val="20"/>
          <w:szCs w:val="20"/>
          <w:lang w:val="es-MX"/>
        </w:rPr>
        <w:footnoteReference w:id="11"/>
      </w:r>
      <w:r w:rsidRPr="00AD791A">
        <w:rPr>
          <w:rFonts w:ascii="Cambria" w:hAnsi="Cambria"/>
          <w:sz w:val="20"/>
          <w:szCs w:val="20"/>
          <w:lang w:val="es-MX"/>
        </w:rPr>
        <w:t xml:space="preserve"> y en contra de dos altas autoridades policiales que, según denunció en el amparo, estaban actuando “como una fuerza de vigilancia privada, al servicio de </w:t>
      </w:r>
      <w:r w:rsidRPr="00AD791A">
        <w:rPr>
          <w:rStyle w:val="st1"/>
          <w:rFonts w:ascii="Cambria" w:hAnsi="Cambria" w:cs="Arial"/>
          <w:sz w:val="20"/>
          <w:szCs w:val="20"/>
          <w:lang w:val="es-MX"/>
        </w:rPr>
        <w:t xml:space="preserve">[…] </w:t>
      </w:r>
      <w:r w:rsidRPr="00AD791A">
        <w:rPr>
          <w:rFonts w:ascii="Cambria" w:hAnsi="Cambria"/>
          <w:sz w:val="20"/>
          <w:szCs w:val="20"/>
          <w:lang w:val="es-MX"/>
        </w:rPr>
        <w:t>Peter Tsokos”</w:t>
      </w:r>
      <w:r w:rsidRPr="00AD791A">
        <w:rPr>
          <w:rStyle w:val="FootnoteReference"/>
          <w:rFonts w:ascii="Cambria" w:hAnsi="Cambria"/>
          <w:sz w:val="20"/>
          <w:szCs w:val="20"/>
          <w:lang w:val="es-MX"/>
        </w:rPr>
        <w:footnoteReference w:id="12"/>
      </w:r>
      <w:r w:rsidRPr="00AD791A">
        <w:rPr>
          <w:rFonts w:ascii="Cambria" w:hAnsi="Cambria"/>
          <w:sz w:val="20"/>
          <w:szCs w:val="20"/>
          <w:lang w:val="es-MX"/>
        </w:rPr>
        <w:t>. Derivado de este proceso, el 2 de mayo de 2001, la Sala Civil del Tribunal de Apelaciones ordenó a las autoridades retirar y abstenerse de enviar a miembros de la Policía Nacional a los lugares referidos</w:t>
      </w:r>
      <w:r w:rsidRPr="00AD791A">
        <w:rPr>
          <w:rStyle w:val="FootnoteReference"/>
          <w:rFonts w:ascii="Cambria" w:hAnsi="Cambria"/>
          <w:sz w:val="20"/>
          <w:szCs w:val="20"/>
          <w:lang w:val="es-MX"/>
        </w:rPr>
        <w:footnoteReference w:id="13"/>
      </w:r>
      <w:r w:rsidRPr="00AD791A">
        <w:rPr>
          <w:rFonts w:ascii="Cambria" w:hAnsi="Cambria"/>
          <w:sz w:val="20"/>
          <w:szCs w:val="20"/>
          <w:lang w:val="es-MX"/>
        </w:rPr>
        <w:t>. La interposición y resultado de este amparo generó que este conflicto se diera a conocer a través de los medios de comunicación nicaragüenses</w:t>
      </w:r>
      <w:r w:rsidRPr="00AD791A">
        <w:rPr>
          <w:rStyle w:val="FootnoteReference"/>
          <w:rFonts w:ascii="Cambria" w:hAnsi="Cambria"/>
          <w:sz w:val="20"/>
          <w:szCs w:val="20"/>
          <w:lang w:val="es-MX"/>
        </w:rPr>
        <w:footnoteReference w:id="14"/>
      </w:r>
      <w:r w:rsidRPr="00AD791A">
        <w:rPr>
          <w:rFonts w:ascii="Cambria" w:hAnsi="Cambria"/>
          <w:sz w:val="20"/>
          <w:szCs w:val="20"/>
          <w:lang w:val="es-MX"/>
        </w:rPr>
        <w:t>.</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Por otra parte, con base en denuncias presentadas por María Luisa Acosta al Ministerio del Ambiente y Recursos Naturales (en adelante “el MARENA”), el 18 de octubre de 2000 la Procuraduría para la Defensa del Medio Ambiente y Recursos Naturales previno al señor Tsokos de que sería sancionado por las vías civil y penal en caso de que continuara impidiendo o restringiendo la entrada de los investigadores avalados por el MARENA a los Cayos Perlas</w:t>
      </w:r>
      <w:r w:rsidRPr="00AD791A">
        <w:rPr>
          <w:rStyle w:val="FootnoteReference"/>
          <w:rFonts w:ascii="Cambria" w:hAnsi="Cambria"/>
          <w:sz w:val="20"/>
          <w:szCs w:val="20"/>
          <w:lang w:val="es-MX"/>
        </w:rPr>
        <w:footnoteReference w:id="15"/>
      </w:r>
      <w:r w:rsidRPr="00AD791A">
        <w:rPr>
          <w:rFonts w:ascii="Cambria" w:hAnsi="Cambria"/>
          <w:sz w:val="20"/>
          <w:szCs w:val="20"/>
          <w:lang w:val="es-MX"/>
        </w:rPr>
        <w:t>. De acuerdo a prensa nacional, en abril de 2001 el MARENA multó a Peter Tsokos por realizar cortes y quemas en la Reserva Natural del Cerro Silva</w:t>
      </w:r>
      <w:r w:rsidRPr="00AD791A">
        <w:rPr>
          <w:rStyle w:val="FootnoteReference"/>
          <w:rFonts w:ascii="Cambria" w:hAnsi="Cambria"/>
          <w:sz w:val="20"/>
          <w:szCs w:val="20"/>
          <w:lang w:val="es-MX"/>
        </w:rPr>
        <w:footnoteReference w:id="16"/>
      </w:r>
      <w:r w:rsidRPr="00AD791A">
        <w:rPr>
          <w:rFonts w:ascii="Cambria" w:hAnsi="Cambria"/>
          <w:sz w:val="20"/>
          <w:szCs w:val="20"/>
          <w:lang w:val="es-MX"/>
        </w:rPr>
        <w:t xml:space="preserve">.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 xml:space="preserve">El 30 de enero de 2002 María Luisa Acosta inició –en representación de las comunidades de Monkey Point y Rama– otro proceso contra Peter Tsokos, mediante la presentación de una querella de restitución y amparo ante el Juzgado de Distrito de lo Civil de Bluefields (en adelante “el Juzgado de Distrito de lo Civil”). En esta querella alegó que el señor Tsokos había puesto a varios hombres armados en la tierra comunal de la Comunidad de Punta de Águila/Cane Creek. El 6 de febrero de 2002 el referido tribunal  notificó al señor Tsokos de la demanda en su contra y le ordenó “abstenerse de seguir perturbando la propiedad </w:t>
      </w:r>
      <w:r w:rsidRPr="00AD791A">
        <w:rPr>
          <w:rStyle w:val="st1"/>
          <w:rFonts w:ascii="Cambria" w:hAnsi="Cambria" w:cs="Arial"/>
          <w:sz w:val="20"/>
          <w:szCs w:val="20"/>
          <w:lang w:val="es-MX"/>
        </w:rPr>
        <w:t>[</w:t>
      </w:r>
      <w:r w:rsidRPr="00AD791A">
        <w:rPr>
          <w:rFonts w:ascii="Cambria" w:hAnsi="Cambria"/>
          <w:sz w:val="20"/>
          <w:szCs w:val="20"/>
          <w:lang w:val="es-MX"/>
        </w:rPr>
        <w:t>ofreciendo ventas de los lotes</w:t>
      </w:r>
      <w:r w:rsidRPr="00AD791A">
        <w:rPr>
          <w:rStyle w:val="st1"/>
          <w:rFonts w:ascii="Cambria" w:hAnsi="Cambria" w:cs="Arial"/>
          <w:sz w:val="20"/>
          <w:szCs w:val="20"/>
          <w:lang w:val="es-MX"/>
        </w:rPr>
        <w:t>]</w:t>
      </w:r>
      <w:r w:rsidRPr="00AD791A">
        <w:rPr>
          <w:rFonts w:ascii="Cambria" w:hAnsi="Cambria"/>
          <w:sz w:val="20"/>
          <w:szCs w:val="20"/>
          <w:lang w:val="es-MX"/>
        </w:rPr>
        <w:t xml:space="preserve"> mientras se ventile el litigio”</w:t>
      </w:r>
      <w:r w:rsidRPr="00AD791A">
        <w:rPr>
          <w:rStyle w:val="FootnoteReference"/>
          <w:rFonts w:ascii="Cambria" w:hAnsi="Cambria"/>
          <w:sz w:val="20"/>
          <w:szCs w:val="20"/>
          <w:lang w:val="es-MX"/>
        </w:rPr>
        <w:footnoteReference w:id="17"/>
      </w:r>
      <w:r w:rsidRPr="00AD791A">
        <w:rPr>
          <w:rFonts w:ascii="Cambria" w:hAnsi="Cambria"/>
          <w:sz w:val="20"/>
          <w:szCs w:val="20"/>
          <w:lang w:val="es-MX"/>
        </w:rPr>
        <w:t>.</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El 16 de marzo de 2002, un mes antes del asesinato de su esposo, la señora  Acosta había asumido la representación legal de las comunidades de Laguna de Perlas, Awas, Raitipura y Holouver en todo tipo de asuntos</w:t>
      </w:r>
      <w:r w:rsidRPr="00AD791A">
        <w:rPr>
          <w:rStyle w:val="FootnoteReference"/>
          <w:rFonts w:ascii="Cambria" w:hAnsi="Cambria"/>
          <w:sz w:val="20"/>
          <w:szCs w:val="20"/>
          <w:lang w:val="es-MX"/>
        </w:rPr>
        <w:footnoteReference w:id="18"/>
      </w:r>
      <w:r w:rsidRPr="00AD791A">
        <w:rPr>
          <w:rFonts w:ascii="Cambria" w:hAnsi="Cambria"/>
          <w:sz w:val="20"/>
          <w:szCs w:val="20"/>
          <w:lang w:val="es-MX"/>
        </w:rPr>
        <w:t>. Era de conocimiento público que estos casos estaban relacionados con  un amparo y una demanda de restitución de 80 manzanas de un territorio reclamado por pueblos indígenas indígenas respecto del cual el señor Peter Martínez, socio de Peter Tsokos, ostentaba la propiedad</w:t>
      </w:r>
      <w:r w:rsidRPr="00AD791A">
        <w:rPr>
          <w:rStyle w:val="FootnoteReference"/>
          <w:rFonts w:ascii="Cambria" w:hAnsi="Cambria"/>
          <w:sz w:val="20"/>
          <w:szCs w:val="20"/>
          <w:lang w:val="es-MX"/>
        </w:rPr>
        <w:footnoteReference w:id="19"/>
      </w:r>
      <w:r w:rsidRPr="00AD791A">
        <w:rPr>
          <w:rFonts w:ascii="Cambria" w:hAnsi="Cambria"/>
          <w:sz w:val="20"/>
          <w:szCs w:val="20"/>
          <w:lang w:val="es-MX"/>
        </w:rPr>
        <w:t>.</w:t>
      </w:r>
    </w:p>
    <w:p w:rsidR="009D7F32" w:rsidRPr="00AD791A" w:rsidRDefault="009D7F32" w:rsidP="009D7F32">
      <w:pPr>
        <w:jc w:val="both"/>
        <w:rPr>
          <w:rFonts w:ascii="Cambria" w:hAnsi="Cambria"/>
          <w:sz w:val="20"/>
          <w:szCs w:val="20"/>
          <w:lang w:val="es-MX"/>
        </w:rPr>
      </w:pPr>
    </w:p>
    <w:p w:rsidR="009D7F32" w:rsidRPr="00AD791A" w:rsidRDefault="009D7F32" w:rsidP="000B11B2">
      <w:pPr>
        <w:pStyle w:val="Heading3"/>
        <w:numPr>
          <w:ilvl w:val="0"/>
          <w:numId w:val="0"/>
        </w:numPr>
        <w:ind w:left="1440" w:hanging="720"/>
      </w:pPr>
      <w:bookmarkStart w:id="50" w:name="_Toc388448137"/>
      <w:bookmarkStart w:id="51" w:name="_Toc412647972"/>
      <w:bookmarkStart w:id="52" w:name="_Toc412648018"/>
      <w:bookmarkStart w:id="53" w:name="_Toc414177395"/>
      <w:bookmarkStart w:id="54" w:name="_Toc414177717"/>
      <w:bookmarkStart w:id="55" w:name="_Toc414177748"/>
      <w:r w:rsidRPr="00AD791A">
        <w:t>2.</w:t>
      </w:r>
      <w:r w:rsidRPr="00AD791A">
        <w:tab/>
        <w:t>El asesinato del señor Francisco José García Valle</w:t>
      </w:r>
      <w:bookmarkEnd w:id="50"/>
      <w:bookmarkEnd w:id="51"/>
      <w:bookmarkEnd w:id="52"/>
      <w:bookmarkEnd w:id="53"/>
      <w:bookmarkEnd w:id="54"/>
      <w:bookmarkEnd w:id="55"/>
    </w:p>
    <w:p w:rsidR="009D7F32" w:rsidRPr="00AD791A" w:rsidRDefault="009D7F32" w:rsidP="009D7F32">
      <w:pPr>
        <w:jc w:val="both"/>
        <w:rPr>
          <w:rFonts w:ascii="Cambria" w:hAnsi="Cambria"/>
          <w:sz w:val="20"/>
          <w:szCs w:val="20"/>
          <w:lang w:val="es-MX"/>
        </w:rPr>
      </w:pPr>
    </w:p>
    <w:p w:rsidR="0076340D" w:rsidRPr="00AD791A" w:rsidRDefault="005F2ED5"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De conformidad con los peticionarios, e</w:t>
      </w:r>
      <w:r w:rsidR="0076340D" w:rsidRPr="00AD791A">
        <w:rPr>
          <w:rFonts w:ascii="Cambria" w:hAnsi="Cambria"/>
          <w:sz w:val="20"/>
          <w:szCs w:val="20"/>
          <w:lang w:val="es-ES"/>
        </w:rPr>
        <w:t>l señor Francisco Garc</w:t>
      </w:r>
      <w:r w:rsidRPr="00AD791A">
        <w:rPr>
          <w:rFonts w:ascii="Cambria" w:hAnsi="Cambria"/>
          <w:sz w:val="20"/>
          <w:szCs w:val="20"/>
          <w:lang w:val="es-ES"/>
        </w:rPr>
        <w:t>ía Valle</w:t>
      </w:r>
      <w:r w:rsidR="0076340D" w:rsidRPr="00AD791A">
        <w:rPr>
          <w:rFonts w:ascii="Cambria" w:hAnsi="Cambria"/>
          <w:sz w:val="20"/>
          <w:szCs w:val="20"/>
          <w:lang w:val="es-ES"/>
        </w:rPr>
        <w:t xml:space="preserve"> era originario de Buelfi</w:t>
      </w:r>
      <w:r w:rsidRPr="00AD791A">
        <w:rPr>
          <w:rFonts w:ascii="Cambria" w:hAnsi="Cambria"/>
          <w:sz w:val="20"/>
          <w:szCs w:val="20"/>
          <w:lang w:val="es-ES"/>
        </w:rPr>
        <w:t>elds, y al momento de su muerte</w:t>
      </w:r>
      <w:r w:rsidR="0076340D" w:rsidRPr="00AD791A">
        <w:rPr>
          <w:rFonts w:ascii="Cambria" w:hAnsi="Cambria"/>
          <w:sz w:val="20"/>
          <w:szCs w:val="20"/>
          <w:lang w:val="es-ES"/>
        </w:rPr>
        <w:t xml:space="preserve"> tenía 44 años de edad, se desempeñaba como profesor universitario, y era propietario de un almacén de telas, de una carpintería y tapicería, y de la Funeraria La Paz. María Luisa Acosta y </w:t>
      </w:r>
      <w:r w:rsidRPr="00AD791A">
        <w:rPr>
          <w:rFonts w:ascii="Cambria" w:hAnsi="Cambria"/>
          <w:sz w:val="20"/>
          <w:szCs w:val="20"/>
          <w:lang w:val="es-ES"/>
        </w:rPr>
        <w:t xml:space="preserve">su esposo residían en la ciudad de Bluefields, </w:t>
      </w:r>
      <w:r w:rsidR="0076340D" w:rsidRPr="00AD791A">
        <w:rPr>
          <w:rFonts w:ascii="Cambria" w:hAnsi="Cambria"/>
          <w:sz w:val="20"/>
          <w:szCs w:val="20"/>
          <w:lang w:val="es-ES"/>
        </w:rPr>
        <w:t>y vivían con sus dos hijos</w:t>
      </w:r>
      <w:r w:rsidRPr="00AD791A">
        <w:rPr>
          <w:rFonts w:ascii="Cambria" w:hAnsi="Cambria"/>
          <w:sz w:val="20"/>
          <w:szCs w:val="20"/>
          <w:lang w:val="es-ES"/>
        </w:rPr>
        <w:t xml:space="preserve"> en el Barrio San Rosa,</w:t>
      </w:r>
      <w:r w:rsidR="0076340D" w:rsidRPr="00AD791A">
        <w:rPr>
          <w:rFonts w:ascii="Cambria" w:hAnsi="Cambria"/>
          <w:sz w:val="20"/>
          <w:szCs w:val="20"/>
          <w:lang w:val="es-ES"/>
        </w:rPr>
        <w:t xml:space="preserve"> Ana María Vergara Acosta y Álvaro Arístides Vergara Acosta.</w:t>
      </w:r>
    </w:p>
    <w:p w:rsidR="0076340D" w:rsidRPr="00AD791A" w:rsidRDefault="0076340D" w:rsidP="0076340D">
      <w:pPr>
        <w:ind w:left="720"/>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El domingo 7 de abril de 2002 María Luisa Acosta alquiló, por un mes,</w:t>
      </w:r>
      <w:r w:rsidRPr="00AD791A">
        <w:rPr>
          <w:rStyle w:val="FootnoteReference"/>
          <w:rFonts w:ascii="Cambria" w:hAnsi="Cambria"/>
          <w:sz w:val="20"/>
          <w:szCs w:val="20"/>
          <w:lang w:val="es-MX"/>
        </w:rPr>
        <w:t xml:space="preserve"> </w:t>
      </w:r>
      <w:r w:rsidRPr="00AD791A">
        <w:rPr>
          <w:rFonts w:ascii="Cambria" w:hAnsi="Cambria"/>
          <w:sz w:val="20"/>
          <w:szCs w:val="20"/>
          <w:lang w:val="es-MX"/>
        </w:rPr>
        <w:t xml:space="preserve"> la planta baja de la casa habitación que era propiedad de ella y de su esposo Francisco José García Valle</w:t>
      </w:r>
      <w:r w:rsidRPr="00AD791A">
        <w:rPr>
          <w:rStyle w:val="FootnoteReference"/>
          <w:rFonts w:ascii="Cambria" w:hAnsi="Cambria"/>
          <w:sz w:val="20"/>
          <w:szCs w:val="20"/>
          <w:lang w:val="es-MX"/>
        </w:rPr>
        <w:footnoteReference w:id="20"/>
      </w:r>
      <w:r w:rsidRPr="00AD791A">
        <w:rPr>
          <w:rFonts w:ascii="Cambria" w:hAnsi="Cambria"/>
          <w:sz w:val="20"/>
          <w:szCs w:val="20"/>
          <w:lang w:val="es-MX"/>
        </w:rPr>
        <w:t>. Sus inquilinos fueron Iván Argüello, Wilberth Ochoa</w:t>
      </w:r>
      <w:r w:rsidRPr="00AD791A">
        <w:rPr>
          <w:rStyle w:val="FootnoteReference"/>
          <w:rFonts w:ascii="Cambria" w:hAnsi="Cambria"/>
          <w:sz w:val="20"/>
          <w:szCs w:val="20"/>
          <w:lang w:val="es-MX"/>
        </w:rPr>
        <w:footnoteReference w:id="21"/>
      </w:r>
      <w:r w:rsidRPr="00AD791A">
        <w:rPr>
          <w:rFonts w:ascii="Cambria" w:hAnsi="Cambria"/>
          <w:sz w:val="20"/>
          <w:szCs w:val="20"/>
          <w:lang w:val="es-MX"/>
        </w:rPr>
        <w:t xml:space="preserve"> y una tercera persona que aún no está identificada</w:t>
      </w:r>
      <w:r w:rsidRPr="00AD791A">
        <w:rPr>
          <w:rStyle w:val="FootnoteReference"/>
          <w:rFonts w:ascii="Cambria" w:hAnsi="Cambria"/>
          <w:sz w:val="20"/>
          <w:szCs w:val="20"/>
          <w:lang w:val="es-MX"/>
        </w:rPr>
        <w:footnoteReference w:id="22"/>
      </w:r>
      <w:r w:rsidR="007C0076" w:rsidRPr="00AD791A">
        <w:rPr>
          <w:rFonts w:ascii="Cambria" w:hAnsi="Cambria"/>
          <w:sz w:val="20"/>
          <w:szCs w:val="20"/>
          <w:lang w:val="es-MX"/>
        </w:rPr>
        <w:t>. A</w:t>
      </w:r>
      <w:r w:rsidR="00844397" w:rsidRPr="00AD791A">
        <w:rPr>
          <w:rFonts w:ascii="Cambria" w:hAnsi="Cambria"/>
          <w:sz w:val="20"/>
          <w:szCs w:val="20"/>
          <w:lang w:val="es-MX"/>
        </w:rPr>
        <w:t xml:space="preserve"> los dos primeros </w:t>
      </w:r>
      <w:r w:rsidRPr="00AD791A">
        <w:rPr>
          <w:rFonts w:ascii="Cambria" w:hAnsi="Cambria"/>
          <w:sz w:val="20"/>
          <w:szCs w:val="20"/>
          <w:lang w:val="es-MX"/>
        </w:rPr>
        <w:t>se les vio por primera vez en el barrio días antes de la muerte del señor García Valle</w:t>
      </w:r>
      <w:r w:rsidRPr="00AD791A">
        <w:rPr>
          <w:rStyle w:val="FootnoteReference"/>
          <w:rFonts w:ascii="Cambria" w:hAnsi="Cambria"/>
          <w:sz w:val="20"/>
          <w:szCs w:val="20"/>
          <w:lang w:val="es-MX"/>
        </w:rPr>
        <w:footnoteReference w:id="23"/>
      </w:r>
      <w:r w:rsidRPr="00AD791A">
        <w:rPr>
          <w:rFonts w:ascii="Cambria" w:hAnsi="Cambria"/>
          <w:sz w:val="20"/>
          <w:szCs w:val="20"/>
          <w:lang w:val="es-MX"/>
        </w:rPr>
        <w:t>. Iván Argüello le indicó a la señora Acosta que era comerciante y que se dedicaba a la venta de cuadros</w:t>
      </w:r>
      <w:r w:rsidRPr="00AD791A">
        <w:rPr>
          <w:rStyle w:val="FootnoteReference"/>
          <w:rFonts w:ascii="Cambria" w:hAnsi="Cambria"/>
          <w:sz w:val="20"/>
          <w:szCs w:val="20"/>
          <w:lang w:val="es-MX"/>
        </w:rPr>
        <w:footnoteReference w:id="24"/>
      </w:r>
      <w:r w:rsidRPr="00AD791A">
        <w:rPr>
          <w:rFonts w:ascii="Cambria" w:hAnsi="Cambria"/>
          <w:sz w:val="20"/>
          <w:szCs w:val="20"/>
          <w:lang w:val="es-MX"/>
        </w:rPr>
        <w:t xml:space="preserve">.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De acuerdo con la declaración de María Luisa Acosta, el lunes 8 de abril de 2002 alrededor de las 8:30 pm, ella llegó a su casa después de dar una charla sobre su trabajo con los pueblos indígenas en la Universidad de las Regiones Autónomas de la Costa Caribe Nicaragüense (URACCAN) y observó que la reja estaba abierta pero que la casa estaba con llave</w:t>
      </w:r>
      <w:r w:rsidRPr="00AD791A">
        <w:rPr>
          <w:rStyle w:val="FootnoteReference"/>
          <w:rFonts w:ascii="Cambria" w:hAnsi="Cambria"/>
          <w:sz w:val="20"/>
          <w:szCs w:val="20"/>
          <w:lang w:val="es-MX"/>
        </w:rPr>
        <w:footnoteReference w:id="25"/>
      </w:r>
      <w:r w:rsidRPr="00AD791A">
        <w:rPr>
          <w:rFonts w:ascii="Cambria" w:hAnsi="Cambria"/>
          <w:sz w:val="20"/>
          <w:szCs w:val="20"/>
          <w:lang w:val="es-MX"/>
        </w:rPr>
        <w:t>. Después de esperar aproximadamente una hora fuera de su domicilio, se dirigió a la casa de su vecina, la señora María Esther Castrillo, para preguntarle si el señor García Valle le había dejado las llaves con ella. La señora Castrillo respondió de forma negativa y le refirió que lo vio</w:t>
      </w:r>
      <w:r w:rsidR="00FC0066" w:rsidRPr="00AD791A">
        <w:rPr>
          <w:rFonts w:ascii="Cambria" w:hAnsi="Cambria"/>
          <w:sz w:val="20"/>
          <w:szCs w:val="20"/>
          <w:lang w:val="es-MX"/>
        </w:rPr>
        <w:t xml:space="preserve"> pasar aproximadamente a las 7 pm</w:t>
      </w:r>
      <w:r w:rsidRPr="00AD791A">
        <w:rPr>
          <w:rStyle w:val="FootnoteReference"/>
          <w:rFonts w:ascii="Cambria" w:hAnsi="Cambria"/>
          <w:sz w:val="20"/>
          <w:szCs w:val="20"/>
          <w:lang w:val="es-MX"/>
        </w:rPr>
        <w:footnoteReference w:id="26"/>
      </w:r>
      <w:r w:rsidRPr="00AD791A">
        <w:rPr>
          <w:rFonts w:ascii="Cambria" w:hAnsi="Cambria"/>
          <w:sz w:val="20"/>
          <w:szCs w:val="20"/>
          <w:lang w:val="es-MX"/>
        </w:rPr>
        <w:t>.  María Luisa Acosta señaló que decidió entrar por una de las ventanas y que en el comedor encontró tirado a su esposo, pensando inicialmente que lo habían amarrado para robarle. Sin embargo, al ver que no había desorden en la casa y que su esposo no se movía, temió que estuviera muerto y salió de su casa pidiendo ayuda a gritos</w:t>
      </w:r>
      <w:r w:rsidRPr="00AD791A">
        <w:rPr>
          <w:rStyle w:val="FootnoteReference"/>
          <w:rFonts w:ascii="Cambria" w:hAnsi="Cambria"/>
          <w:sz w:val="20"/>
          <w:szCs w:val="20"/>
          <w:lang w:val="es-MX"/>
        </w:rPr>
        <w:footnoteReference w:id="27"/>
      </w:r>
      <w:r w:rsidRPr="00AD791A">
        <w:rPr>
          <w:rFonts w:ascii="Cambria" w:hAnsi="Cambria"/>
          <w:sz w:val="20"/>
          <w:szCs w:val="20"/>
          <w:lang w:val="es-MX"/>
        </w:rPr>
        <w:t xml:space="preserve"> por lo que vinieron  los vecinos para asistirla</w:t>
      </w:r>
      <w:r w:rsidRPr="00AD791A">
        <w:rPr>
          <w:rStyle w:val="FootnoteReference"/>
          <w:rFonts w:ascii="Cambria" w:hAnsi="Cambria"/>
          <w:sz w:val="20"/>
          <w:szCs w:val="20"/>
          <w:lang w:val="es-MX"/>
        </w:rPr>
        <w:footnoteReference w:id="28"/>
      </w:r>
      <w:r w:rsidRPr="00AD791A">
        <w:rPr>
          <w:rFonts w:ascii="Cambria" w:hAnsi="Cambria"/>
          <w:sz w:val="20"/>
          <w:szCs w:val="20"/>
          <w:lang w:val="es-MX"/>
        </w:rPr>
        <w:t>.</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A las 10:50 pm de esa misma noche, la Policía Nacional recibió una llamada anónima en la que se le informaba que en la casa de la señora Acosta y de su esposo, se encontraba una persona amarrada que probablemente se encontraba sin vida</w:t>
      </w:r>
      <w:r w:rsidRPr="00AD791A">
        <w:rPr>
          <w:rStyle w:val="FootnoteReference"/>
          <w:rFonts w:ascii="Cambria" w:hAnsi="Cambria"/>
          <w:sz w:val="20"/>
          <w:szCs w:val="20"/>
          <w:lang w:val="es-MX"/>
        </w:rPr>
        <w:footnoteReference w:id="29"/>
      </w:r>
      <w:r w:rsidRPr="00AD791A">
        <w:rPr>
          <w:rFonts w:ascii="Cambria" w:hAnsi="Cambria"/>
          <w:sz w:val="20"/>
          <w:szCs w:val="20"/>
          <w:lang w:val="es-MX"/>
        </w:rPr>
        <w:t>. A las 11:00 p.m. la Policía Nacional y el Médico Forense Suplente encontraron en la planta superior norte de la casa, el cuerpo de Francisco José García Valle</w:t>
      </w:r>
      <w:r w:rsidRPr="00AD791A">
        <w:rPr>
          <w:rStyle w:val="FootnoteReference"/>
          <w:rFonts w:ascii="Cambria" w:hAnsi="Cambria"/>
          <w:sz w:val="20"/>
          <w:szCs w:val="20"/>
          <w:lang w:val="es-MX"/>
        </w:rPr>
        <w:footnoteReference w:id="30"/>
      </w:r>
      <w:r w:rsidRPr="00AD791A">
        <w:rPr>
          <w:rFonts w:ascii="Cambria" w:hAnsi="Cambria"/>
          <w:sz w:val="20"/>
          <w:szCs w:val="20"/>
          <w:lang w:val="es-MX"/>
        </w:rPr>
        <w:t>, quien según la documentación policial, fue asesinado entre las 7 p.m. y 8 p.m</w:t>
      </w:r>
      <w:r w:rsidRPr="00AD791A">
        <w:rPr>
          <w:rStyle w:val="FootnoteReference"/>
          <w:rFonts w:ascii="Cambria" w:hAnsi="Cambria"/>
          <w:sz w:val="20"/>
          <w:szCs w:val="20"/>
          <w:lang w:val="es-MX"/>
        </w:rPr>
        <w:footnoteReference w:id="31"/>
      </w:r>
      <w:r w:rsidRPr="00AD791A">
        <w:rPr>
          <w:rFonts w:ascii="Cambria" w:hAnsi="Cambria"/>
          <w:sz w:val="20"/>
          <w:szCs w:val="20"/>
          <w:lang w:val="es-MX"/>
        </w:rPr>
        <w:t xml:space="preserve">. Su cuerpo “presentaba ataduras en los tobillos de los pies, ataduras de las manos atrás del cuello, </w:t>
      </w:r>
      <w:r w:rsidRPr="00AD791A">
        <w:rPr>
          <w:rFonts w:ascii="Cambria" w:hAnsi="Cambria"/>
          <w:i/>
          <w:sz w:val="20"/>
          <w:szCs w:val="20"/>
          <w:lang w:val="es-MX"/>
        </w:rPr>
        <w:t>amordadura</w:t>
      </w:r>
      <w:r w:rsidRPr="00AD791A">
        <w:rPr>
          <w:rFonts w:ascii="Cambria" w:hAnsi="Cambria"/>
          <w:sz w:val="20"/>
          <w:szCs w:val="20"/>
          <w:lang w:val="es-MX"/>
        </w:rPr>
        <w:t xml:space="preserve"> en la boca, con orificio a nivel del tercer espacio intercostal izquierdo a nivel del esternón sin orificio de salida”</w:t>
      </w:r>
      <w:r w:rsidRPr="00AD791A">
        <w:rPr>
          <w:rStyle w:val="FootnoteReference"/>
          <w:rFonts w:ascii="Cambria" w:hAnsi="Cambria"/>
          <w:sz w:val="20"/>
          <w:szCs w:val="20"/>
          <w:lang w:val="es-MX"/>
        </w:rPr>
        <w:footnoteReference w:id="32"/>
      </w:r>
      <w:r w:rsidRPr="00AD791A">
        <w:rPr>
          <w:rFonts w:ascii="Cambria" w:hAnsi="Cambria"/>
          <w:sz w:val="20"/>
          <w:szCs w:val="20"/>
          <w:lang w:val="es-MX"/>
        </w:rPr>
        <w:t xml:space="preserve">. El señor García Valle estaba vestido </w:t>
      </w:r>
      <w:r w:rsidR="00FC0066" w:rsidRPr="00AD791A">
        <w:rPr>
          <w:rFonts w:ascii="Cambria" w:hAnsi="Cambria"/>
          <w:sz w:val="20"/>
          <w:szCs w:val="20"/>
          <w:lang w:val="es-MX"/>
        </w:rPr>
        <w:t>con</w:t>
      </w:r>
      <w:r w:rsidRPr="00AD791A">
        <w:rPr>
          <w:rFonts w:ascii="Cambria" w:hAnsi="Cambria"/>
          <w:sz w:val="20"/>
          <w:szCs w:val="20"/>
          <w:lang w:val="es-MX"/>
        </w:rPr>
        <w:t xml:space="preserve"> camisa a rallas manchada de sangre</w:t>
      </w:r>
      <w:r w:rsidRPr="00AD791A">
        <w:rPr>
          <w:rStyle w:val="FootnoteReference"/>
          <w:rFonts w:ascii="Cambria" w:hAnsi="Cambria"/>
          <w:sz w:val="20"/>
          <w:szCs w:val="20"/>
          <w:lang w:val="es-MX"/>
        </w:rPr>
        <w:footnoteReference w:id="33"/>
      </w:r>
      <w:r w:rsidRPr="00AD791A">
        <w:rPr>
          <w:rFonts w:ascii="Cambria" w:hAnsi="Cambria"/>
          <w:sz w:val="20"/>
          <w:szCs w:val="20"/>
          <w:lang w:val="es-MX"/>
        </w:rPr>
        <w:t xml:space="preserve"> y al lado de su cuerpo se encontraban varios documentos</w:t>
      </w:r>
      <w:r w:rsidRPr="00AD791A">
        <w:rPr>
          <w:rStyle w:val="FootnoteReference"/>
          <w:rFonts w:ascii="Cambria" w:hAnsi="Cambria"/>
          <w:sz w:val="20"/>
          <w:szCs w:val="20"/>
          <w:lang w:val="es-MX"/>
        </w:rPr>
        <w:footnoteReference w:id="34"/>
      </w:r>
      <w:r w:rsidRPr="00AD791A">
        <w:rPr>
          <w:rFonts w:ascii="Cambria" w:hAnsi="Cambria"/>
          <w:sz w:val="20"/>
          <w:szCs w:val="20"/>
          <w:lang w:val="es-MX"/>
        </w:rPr>
        <w:t>.  Al teléfono inalámbrico de la casa se le desprendió la batería</w:t>
      </w:r>
      <w:r w:rsidRPr="00AD791A">
        <w:rPr>
          <w:rStyle w:val="FootnoteReference"/>
          <w:rFonts w:ascii="Cambria" w:hAnsi="Cambria"/>
          <w:sz w:val="20"/>
          <w:szCs w:val="20"/>
          <w:lang w:val="es-MX"/>
        </w:rPr>
        <w:footnoteReference w:id="35"/>
      </w:r>
      <w:r w:rsidRPr="00AD791A">
        <w:rPr>
          <w:rFonts w:ascii="Cambria" w:hAnsi="Cambria"/>
          <w:sz w:val="20"/>
          <w:szCs w:val="20"/>
          <w:lang w:val="es-MX"/>
        </w:rPr>
        <w:t xml:space="preserve"> mientras que al otro se le trozó el cable</w:t>
      </w:r>
      <w:r w:rsidRPr="00AD791A">
        <w:rPr>
          <w:rStyle w:val="FootnoteReference"/>
          <w:rFonts w:ascii="Cambria" w:hAnsi="Cambria"/>
          <w:sz w:val="20"/>
          <w:szCs w:val="20"/>
          <w:lang w:val="es-MX"/>
        </w:rPr>
        <w:footnoteReference w:id="36"/>
      </w:r>
      <w:r w:rsidRPr="00AD791A">
        <w:rPr>
          <w:rFonts w:ascii="Cambria" w:hAnsi="Cambria"/>
          <w:sz w:val="20"/>
          <w:szCs w:val="20"/>
          <w:lang w:val="es-MX"/>
        </w:rPr>
        <w:t xml:space="preserve">.  </w:t>
      </w:r>
    </w:p>
    <w:p w:rsidR="00DC2AB3" w:rsidRPr="00AD791A" w:rsidRDefault="00DC2AB3" w:rsidP="00DC2AB3">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De acuerdo con la reconstrucción de los hechos realizada por el Ministerio Público, el 8 de abril de 2002, Iván Argüello, Wilberth Ochoa y la tercera persona, escalaron la parte trasera de la residencia de la señora Acosta y rompieron a golpes la puerta; posteriormente, amarraron de pies y manos al señor García Valle, le colocaron una mordaza en su boca, lo golpearon salvajemente y luego le dispararon al pecho</w:t>
      </w:r>
      <w:r w:rsidRPr="00AD791A">
        <w:rPr>
          <w:rStyle w:val="FootnoteReference"/>
          <w:rFonts w:ascii="Cambria" w:hAnsi="Cambria" w:cs="Arial Narrow"/>
          <w:spacing w:val="-2"/>
          <w:sz w:val="20"/>
          <w:szCs w:val="20"/>
          <w:lang w:val="es-MX"/>
        </w:rPr>
        <w:footnoteReference w:id="37"/>
      </w:r>
      <w:r w:rsidRPr="00AD791A">
        <w:rPr>
          <w:rFonts w:ascii="Cambria" w:hAnsi="Cambria"/>
          <w:sz w:val="20"/>
          <w:szCs w:val="20"/>
          <w:lang w:val="es-MX"/>
        </w:rPr>
        <w:t>.  Conforme a la versión del Ministerio Público, tras el asesinato, los tres sujetos se dieron a la fuga</w:t>
      </w:r>
      <w:r w:rsidRPr="00AD791A">
        <w:rPr>
          <w:rStyle w:val="FootnoteReference"/>
          <w:rFonts w:ascii="Cambria" w:hAnsi="Cambria"/>
          <w:sz w:val="20"/>
          <w:szCs w:val="20"/>
          <w:lang w:val="es-MX"/>
        </w:rPr>
        <w:footnoteReference w:id="38"/>
      </w:r>
      <w:r w:rsidRPr="00AD791A">
        <w:rPr>
          <w:rFonts w:ascii="Cambria" w:hAnsi="Cambria"/>
          <w:sz w:val="20"/>
          <w:szCs w:val="20"/>
          <w:lang w:val="es-MX"/>
        </w:rPr>
        <w:t>.</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El asesinato de Francisco García Valle tuvo amplia cobertura mediática</w:t>
      </w:r>
      <w:r w:rsidRPr="00AD791A">
        <w:rPr>
          <w:rStyle w:val="FootnoteReference"/>
          <w:rFonts w:ascii="Cambria" w:hAnsi="Cambria"/>
          <w:sz w:val="20"/>
          <w:szCs w:val="20"/>
          <w:lang w:val="es-MX"/>
        </w:rPr>
        <w:footnoteReference w:id="39"/>
      </w:r>
      <w:r w:rsidRPr="00AD791A">
        <w:rPr>
          <w:rFonts w:ascii="Cambria" w:hAnsi="Cambria"/>
          <w:sz w:val="20"/>
          <w:szCs w:val="20"/>
          <w:lang w:val="es-MX"/>
        </w:rPr>
        <w:t>. Diversas organizaciones de la sociedad civil e instituciones académicas nacionales e internacionales, manifestaron su consternación y solicitaron a las autoridades investigar los hechos</w:t>
      </w:r>
      <w:r w:rsidRPr="00AD791A">
        <w:rPr>
          <w:rStyle w:val="FootnoteReference"/>
          <w:rFonts w:ascii="Cambria" w:hAnsi="Cambria"/>
          <w:sz w:val="20"/>
          <w:szCs w:val="20"/>
          <w:lang w:val="es-MX"/>
        </w:rPr>
        <w:footnoteReference w:id="40"/>
      </w:r>
      <w:r w:rsidRPr="00AD791A">
        <w:rPr>
          <w:rFonts w:ascii="Cambria" w:hAnsi="Cambria"/>
          <w:sz w:val="20"/>
          <w:szCs w:val="20"/>
          <w:lang w:val="es-MX"/>
        </w:rPr>
        <w:t>. Incluso, el Procurador para la Defensa de los Derechos de Nicaragua “</w:t>
      </w:r>
      <w:r w:rsidRPr="00AD791A">
        <w:rPr>
          <w:rStyle w:val="st1"/>
          <w:rFonts w:ascii="Cambria" w:hAnsi="Cambria" w:cs="Arial"/>
          <w:sz w:val="20"/>
          <w:szCs w:val="20"/>
          <w:lang w:val="es-MX"/>
        </w:rPr>
        <w:t>[les] s</w:t>
      </w:r>
      <w:r w:rsidRPr="00AD791A">
        <w:rPr>
          <w:rFonts w:ascii="Cambria" w:hAnsi="Cambria"/>
          <w:sz w:val="20"/>
          <w:szCs w:val="20"/>
          <w:lang w:val="es-MX"/>
        </w:rPr>
        <w:t>olicit</w:t>
      </w:r>
      <w:r w:rsidRPr="00AD791A">
        <w:rPr>
          <w:rStyle w:val="st1"/>
          <w:rFonts w:ascii="Cambria" w:hAnsi="Cambria" w:cs="Arial"/>
          <w:sz w:val="20"/>
          <w:szCs w:val="20"/>
          <w:lang w:val="es-MX"/>
        </w:rPr>
        <w:t>[ó]</w:t>
      </w:r>
      <w:r w:rsidRPr="00AD791A">
        <w:rPr>
          <w:rFonts w:ascii="Cambria" w:hAnsi="Cambria"/>
          <w:sz w:val="20"/>
          <w:szCs w:val="20"/>
          <w:lang w:val="es-MX"/>
        </w:rPr>
        <w:t xml:space="preserve"> destin</w:t>
      </w:r>
      <w:r w:rsidRPr="00AD791A">
        <w:rPr>
          <w:rStyle w:val="st1"/>
          <w:rFonts w:ascii="Cambria" w:hAnsi="Cambria" w:cs="Arial"/>
          <w:sz w:val="20"/>
          <w:szCs w:val="20"/>
          <w:lang w:val="es-MX"/>
        </w:rPr>
        <w:t>[ar]</w:t>
      </w:r>
      <w:r w:rsidRPr="00AD791A">
        <w:rPr>
          <w:rFonts w:ascii="Cambria" w:hAnsi="Cambria"/>
          <w:sz w:val="20"/>
          <w:szCs w:val="20"/>
          <w:lang w:val="es-MX"/>
        </w:rPr>
        <w:t xml:space="preserve"> sus mejores esfuerzos, a fin de que en el menor tiempo posible sea esclarecido este caso”</w:t>
      </w:r>
      <w:r w:rsidRPr="00AD791A">
        <w:rPr>
          <w:rStyle w:val="FootnoteReference"/>
          <w:rFonts w:ascii="Cambria" w:hAnsi="Cambria"/>
          <w:sz w:val="20"/>
          <w:szCs w:val="20"/>
          <w:lang w:val="es-MX"/>
        </w:rPr>
        <w:footnoteReference w:id="41"/>
      </w:r>
      <w:r w:rsidRPr="00AD791A">
        <w:rPr>
          <w:rFonts w:ascii="Cambria" w:hAnsi="Cambria"/>
          <w:sz w:val="20"/>
          <w:szCs w:val="20"/>
          <w:lang w:val="es-MX"/>
        </w:rPr>
        <w:t>. En varios de estos pronunciamientos se hizo referencia a que el objetivo del asesinato del señor García Valle era intimidar a María Luisa Acosta por la labor que realizaba</w:t>
      </w:r>
      <w:r w:rsidRPr="00AD791A">
        <w:rPr>
          <w:rStyle w:val="FootnoteReference"/>
          <w:rFonts w:ascii="Cambria" w:hAnsi="Cambria"/>
          <w:sz w:val="20"/>
          <w:szCs w:val="20"/>
          <w:lang w:val="es-MX"/>
        </w:rPr>
        <w:footnoteReference w:id="42"/>
      </w:r>
      <w:r w:rsidRPr="00AD791A">
        <w:rPr>
          <w:rFonts w:ascii="Cambria" w:hAnsi="Cambria"/>
          <w:sz w:val="20"/>
          <w:szCs w:val="20"/>
          <w:lang w:val="es-MX"/>
        </w:rPr>
        <w:t>. María Luisa Acosta también se manifestó públicamente en este sentido el 19 de abril de 2002</w:t>
      </w:r>
      <w:r w:rsidRPr="00AD791A">
        <w:rPr>
          <w:rStyle w:val="FootnoteReference"/>
          <w:rFonts w:ascii="Cambria" w:hAnsi="Cambria"/>
          <w:sz w:val="20"/>
          <w:szCs w:val="20"/>
          <w:lang w:val="es-MX"/>
        </w:rPr>
        <w:footnoteReference w:id="43"/>
      </w:r>
      <w:r w:rsidRPr="00AD791A">
        <w:rPr>
          <w:rFonts w:ascii="Cambria" w:hAnsi="Cambria"/>
          <w:sz w:val="20"/>
          <w:szCs w:val="20"/>
          <w:lang w:val="es-MX"/>
        </w:rPr>
        <w:t xml:space="preserve">. </w:t>
      </w:r>
    </w:p>
    <w:p w:rsidR="002D2350" w:rsidRPr="00AD791A" w:rsidRDefault="002D2350" w:rsidP="002D2350">
      <w:pPr>
        <w:pStyle w:val="ListParagraph"/>
        <w:rPr>
          <w:rFonts w:ascii="Cambria" w:hAnsi="Cambria"/>
          <w:sz w:val="20"/>
          <w:szCs w:val="20"/>
          <w:lang w:val="es-ES"/>
        </w:rPr>
      </w:pPr>
    </w:p>
    <w:p w:rsidR="002D2350" w:rsidRPr="00AD791A" w:rsidRDefault="00FC0066" w:rsidP="002D2350">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Tal como se estableció anteriormente, e</w:t>
      </w:r>
      <w:r w:rsidR="00F34F8E" w:rsidRPr="00AD791A">
        <w:rPr>
          <w:rFonts w:ascii="Cambria" w:hAnsi="Cambria"/>
          <w:sz w:val="20"/>
          <w:szCs w:val="20"/>
          <w:lang w:val="es-MX"/>
        </w:rPr>
        <w:t xml:space="preserve">n razón de la labor de </w:t>
      </w:r>
      <w:r w:rsidR="002D2350" w:rsidRPr="00AD791A">
        <w:rPr>
          <w:rFonts w:ascii="Cambria" w:hAnsi="Cambria"/>
          <w:sz w:val="20"/>
          <w:szCs w:val="20"/>
          <w:lang w:val="es-MX"/>
        </w:rPr>
        <w:t xml:space="preserve">María Luisa Acosta a favor de los pueblos indígenas de la Cuenca de Laguna de Perlas en distintos litigios administrativos y judiciales contra Peter Tsokos y su socio Peter Martínez, </w:t>
      </w:r>
      <w:r w:rsidR="00165968" w:rsidRPr="00AD791A">
        <w:rPr>
          <w:rFonts w:ascii="Cambria" w:hAnsi="Cambria"/>
          <w:sz w:val="20"/>
          <w:szCs w:val="20"/>
          <w:lang w:val="es-MX"/>
        </w:rPr>
        <w:t xml:space="preserve">el señor Tsokos </w:t>
      </w:r>
      <w:r w:rsidR="002D2350" w:rsidRPr="00AD791A">
        <w:rPr>
          <w:rFonts w:ascii="Cambria" w:hAnsi="Cambria"/>
          <w:sz w:val="20"/>
          <w:szCs w:val="20"/>
          <w:lang w:val="es-MX"/>
        </w:rPr>
        <w:t>fue prevenido de ser sancionado por las vías civil y penal en caso de que siguiera “perturbando” las propiedades comunales</w:t>
      </w:r>
      <w:r w:rsidR="00165968" w:rsidRPr="00AD791A">
        <w:rPr>
          <w:rStyle w:val="FootnoteReference"/>
          <w:rFonts w:ascii="Cambria" w:hAnsi="Cambria"/>
          <w:sz w:val="20"/>
          <w:szCs w:val="20"/>
          <w:lang w:val="es-MX"/>
        </w:rPr>
        <w:footnoteReference w:id="44"/>
      </w:r>
      <w:r w:rsidR="002D2350" w:rsidRPr="00AD791A">
        <w:rPr>
          <w:rFonts w:ascii="Cambria" w:hAnsi="Cambria"/>
          <w:sz w:val="20"/>
          <w:szCs w:val="20"/>
          <w:lang w:val="es-MX"/>
        </w:rPr>
        <w:t>, y multado por realizar cortes y quemas en la Reserva Natural del Cerro Silva</w:t>
      </w:r>
      <w:r w:rsidR="00F34F8E" w:rsidRPr="00AD791A">
        <w:rPr>
          <w:rStyle w:val="FootnoteReference"/>
          <w:rFonts w:ascii="Cambria" w:hAnsi="Cambria"/>
          <w:sz w:val="20"/>
          <w:szCs w:val="20"/>
          <w:lang w:val="es-MX"/>
        </w:rPr>
        <w:footnoteReference w:id="45"/>
      </w:r>
      <w:r w:rsidR="00165968" w:rsidRPr="00AD791A">
        <w:rPr>
          <w:rFonts w:ascii="Cambria" w:hAnsi="Cambria"/>
          <w:sz w:val="20"/>
          <w:szCs w:val="20"/>
          <w:lang w:val="es-MX"/>
        </w:rPr>
        <w:t xml:space="preserve">, además, derivado de la referida labor </w:t>
      </w:r>
      <w:r w:rsidR="006C517D" w:rsidRPr="00AD791A">
        <w:rPr>
          <w:rFonts w:ascii="Cambria" w:hAnsi="Cambria"/>
          <w:sz w:val="20"/>
          <w:szCs w:val="20"/>
          <w:lang w:val="es-MX"/>
        </w:rPr>
        <w:t>s</w:t>
      </w:r>
      <w:r w:rsidR="002D2350" w:rsidRPr="00AD791A">
        <w:rPr>
          <w:rFonts w:ascii="Cambria" w:hAnsi="Cambria"/>
          <w:sz w:val="20"/>
          <w:szCs w:val="20"/>
          <w:lang w:val="es-MX"/>
        </w:rPr>
        <w:t>e hizo de conocimiento público la actuación de policías como vigilantes privados al servicio del señor Tsokos en  tierras comunales</w:t>
      </w:r>
      <w:r w:rsidR="002D2350" w:rsidRPr="00AD791A">
        <w:rPr>
          <w:rStyle w:val="FootnoteReference"/>
          <w:rFonts w:ascii="Cambria" w:hAnsi="Cambria"/>
          <w:sz w:val="20"/>
          <w:szCs w:val="20"/>
          <w:lang w:val="es-MX"/>
        </w:rPr>
        <w:footnoteReference w:id="46"/>
      </w:r>
      <w:r w:rsidR="002D2350" w:rsidRPr="00AD791A">
        <w:rPr>
          <w:rFonts w:ascii="Cambria" w:hAnsi="Cambria"/>
          <w:sz w:val="20"/>
          <w:szCs w:val="20"/>
          <w:lang w:val="es-MX"/>
        </w:rPr>
        <w:t xml:space="preserve">. </w:t>
      </w:r>
      <w:r w:rsidR="00165968" w:rsidRPr="00AD791A">
        <w:rPr>
          <w:rFonts w:ascii="Cambria" w:hAnsi="Cambria"/>
          <w:sz w:val="20"/>
          <w:szCs w:val="20"/>
          <w:lang w:val="es-MX"/>
        </w:rPr>
        <w:t xml:space="preserve">Asimismo, </w:t>
      </w:r>
      <w:r w:rsidR="002D2350" w:rsidRPr="00AD791A">
        <w:rPr>
          <w:rFonts w:ascii="Cambria" w:hAnsi="Cambria"/>
          <w:sz w:val="20"/>
          <w:szCs w:val="20"/>
          <w:lang w:val="es-MX"/>
        </w:rPr>
        <w:t xml:space="preserve">el 16 de marzo de 2002, </w:t>
      </w:r>
      <w:r w:rsidR="00406F1D" w:rsidRPr="00AD791A">
        <w:rPr>
          <w:rFonts w:ascii="Cambria" w:hAnsi="Cambria"/>
          <w:sz w:val="20"/>
          <w:szCs w:val="20"/>
          <w:lang w:val="es-MX"/>
        </w:rPr>
        <w:t xml:space="preserve">menos de </w:t>
      </w:r>
      <w:r w:rsidR="002D2350" w:rsidRPr="00AD791A">
        <w:rPr>
          <w:rFonts w:ascii="Cambria" w:hAnsi="Cambria"/>
          <w:sz w:val="20"/>
          <w:szCs w:val="20"/>
          <w:lang w:val="es-MX"/>
        </w:rPr>
        <w:t xml:space="preserve">un mes antes del asesinato de su esposo, la señora Acosta había asumido la representación </w:t>
      </w:r>
      <w:r w:rsidR="00165968" w:rsidRPr="00AD791A">
        <w:rPr>
          <w:rFonts w:ascii="Cambria" w:hAnsi="Cambria"/>
          <w:sz w:val="20"/>
          <w:szCs w:val="20"/>
          <w:lang w:val="es-MX"/>
        </w:rPr>
        <w:t>legal</w:t>
      </w:r>
      <w:r w:rsidR="002D2350" w:rsidRPr="00AD791A">
        <w:rPr>
          <w:rFonts w:ascii="Cambria" w:hAnsi="Cambria"/>
          <w:sz w:val="20"/>
          <w:szCs w:val="20"/>
          <w:lang w:val="es-MX"/>
        </w:rPr>
        <w:t xml:space="preserve"> de diversas comunidades en casos relacionados con un amparo y una demanda de restitución de 80 manzanas del territorio indígena Rama, en poder del señor Peter Tsokos</w:t>
      </w:r>
      <w:r w:rsidR="00E70278" w:rsidRPr="00AD791A">
        <w:rPr>
          <w:rStyle w:val="FootnoteReference"/>
          <w:rFonts w:ascii="Cambria" w:hAnsi="Cambria"/>
          <w:sz w:val="20"/>
          <w:szCs w:val="20"/>
          <w:lang w:val="es-MX"/>
        </w:rPr>
        <w:footnoteReference w:id="47"/>
      </w:r>
      <w:r w:rsidR="002D2350" w:rsidRPr="00AD791A">
        <w:rPr>
          <w:rFonts w:ascii="Cambria" w:hAnsi="Cambria"/>
          <w:sz w:val="20"/>
          <w:szCs w:val="20"/>
          <w:lang w:val="es-MX"/>
        </w:rPr>
        <w:t xml:space="preserve">.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A raíz del asesinato del señor García Valle, por razones de seguridad y debido a que temían por su vida, María Luisa Acosta y su hijos abandonaron la ciudad de Bluefields en la que residían y cambiaron su domicilio a la ciudad de Chinandega</w:t>
      </w:r>
      <w:r w:rsidRPr="00AD791A">
        <w:rPr>
          <w:rStyle w:val="FootnoteReference"/>
          <w:rFonts w:ascii="Cambria" w:hAnsi="Cambria" w:cs="Arial Narrow"/>
          <w:sz w:val="20"/>
          <w:szCs w:val="20"/>
          <w:lang w:val="es-ES_tradnl"/>
        </w:rPr>
        <w:footnoteReference w:id="48"/>
      </w:r>
      <w:r w:rsidRPr="00AD791A">
        <w:rPr>
          <w:rFonts w:ascii="Cambria" w:hAnsi="Cambria"/>
          <w:sz w:val="20"/>
          <w:szCs w:val="20"/>
          <w:lang w:val="es-MX"/>
        </w:rPr>
        <w:t xml:space="preserve">, en el departamento del mismo nombre. En particular, la señora Acosta refirió al </w:t>
      </w:r>
      <w:r w:rsidRPr="00AD791A">
        <w:rPr>
          <w:rFonts w:ascii="Cambria" w:hAnsi="Cambria" w:cs="Arial Narrow"/>
          <w:spacing w:val="-2"/>
          <w:sz w:val="20"/>
          <w:szCs w:val="20"/>
          <w:lang w:val="es-MX"/>
        </w:rPr>
        <w:t xml:space="preserve">Juez de Distrito de lo Civil y Penal </w:t>
      </w:r>
      <w:r w:rsidRPr="00AD791A">
        <w:rPr>
          <w:rFonts w:ascii="Cambria" w:hAnsi="Cambria"/>
          <w:sz w:val="20"/>
          <w:szCs w:val="20"/>
          <w:lang w:val="es-MX"/>
        </w:rPr>
        <w:t>que este temor era fundado debido a que el asesinato de su esposo fue perpetrado en su propia casa habitación</w:t>
      </w:r>
      <w:r w:rsidRPr="00AD791A">
        <w:rPr>
          <w:rStyle w:val="FootnoteReference"/>
          <w:rFonts w:ascii="Cambria" w:hAnsi="Cambria"/>
          <w:iCs/>
          <w:spacing w:val="8"/>
          <w:sz w:val="20"/>
          <w:szCs w:val="20"/>
          <w:lang w:val="es-MX"/>
        </w:rPr>
        <w:footnoteReference w:id="49"/>
      </w:r>
      <w:r w:rsidRPr="00AD791A">
        <w:rPr>
          <w:rFonts w:ascii="Cambria" w:hAnsi="Cambria"/>
          <w:sz w:val="20"/>
          <w:szCs w:val="20"/>
          <w:lang w:val="es-MX"/>
        </w:rPr>
        <w:t>.</w:t>
      </w:r>
      <w:r w:rsidR="00EA4914" w:rsidRPr="00AD791A">
        <w:rPr>
          <w:rFonts w:ascii="Cambria" w:hAnsi="Cambria"/>
          <w:sz w:val="20"/>
          <w:szCs w:val="20"/>
          <w:lang w:val="es-MX"/>
        </w:rPr>
        <w:t xml:space="preserve"> </w:t>
      </w:r>
      <w:r w:rsidRPr="00AD791A">
        <w:rPr>
          <w:rFonts w:ascii="Cambria" w:hAnsi="Cambria"/>
          <w:sz w:val="20"/>
          <w:szCs w:val="20"/>
          <w:lang w:val="es-MX"/>
        </w:rPr>
        <w:t xml:space="preserve">Cuando se trasladaron a </w:t>
      </w:r>
      <w:r w:rsidR="00FC0066" w:rsidRPr="00AD791A">
        <w:rPr>
          <w:rFonts w:ascii="Cambria" w:hAnsi="Cambria"/>
          <w:sz w:val="20"/>
          <w:szCs w:val="20"/>
          <w:lang w:val="es-MX"/>
        </w:rPr>
        <w:t>Chinandega</w:t>
      </w:r>
      <w:r w:rsidRPr="00AD791A">
        <w:rPr>
          <w:rFonts w:ascii="Cambria" w:hAnsi="Cambria"/>
          <w:sz w:val="20"/>
          <w:szCs w:val="20"/>
          <w:lang w:val="es-MX"/>
        </w:rPr>
        <w:t>, la señora Acosta y sus hijos fueron escoltados por policías con el fin de brindarles seguridad</w:t>
      </w:r>
      <w:r w:rsidRPr="00AD791A">
        <w:rPr>
          <w:rStyle w:val="FootnoteReference"/>
          <w:rFonts w:ascii="Cambria" w:hAnsi="Cambria" w:cs="Arial Narrow"/>
          <w:sz w:val="20"/>
          <w:szCs w:val="20"/>
          <w:lang w:val="es-ES_tradnl"/>
        </w:rPr>
        <w:footnoteReference w:id="50"/>
      </w:r>
      <w:r w:rsidRPr="00AD791A">
        <w:rPr>
          <w:rFonts w:ascii="Cambria" w:hAnsi="Cambria"/>
          <w:sz w:val="20"/>
          <w:szCs w:val="20"/>
          <w:lang w:val="es-MX"/>
        </w:rPr>
        <w:t xml:space="preserve">. </w:t>
      </w:r>
    </w:p>
    <w:p w:rsidR="009D7F32" w:rsidRPr="00AD791A" w:rsidRDefault="009D7F32" w:rsidP="009D7F32">
      <w:pPr>
        <w:jc w:val="both"/>
        <w:rPr>
          <w:rFonts w:ascii="Cambria" w:hAnsi="Cambria"/>
          <w:sz w:val="20"/>
          <w:szCs w:val="20"/>
          <w:lang w:val="es-ES"/>
        </w:rPr>
      </w:pPr>
    </w:p>
    <w:p w:rsidR="009D7F32" w:rsidRPr="00AD791A" w:rsidRDefault="009D7F32" w:rsidP="000B11B2">
      <w:pPr>
        <w:pStyle w:val="Heading3"/>
        <w:numPr>
          <w:ilvl w:val="0"/>
          <w:numId w:val="0"/>
        </w:numPr>
        <w:ind w:left="1440" w:hanging="720"/>
      </w:pPr>
      <w:bookmarkStart w:id="56" w:name="_Toc388448140"/>
      <w:bookmarkStart w:id="57" w:name="_Toc412647975"/>
      <w:bookmarkStart w:id="58" w:name="_Toc412648019"/>
      <w:bookmarkStart w:id="59" w:name="_Toc414177396"/>
      <w:bookmarkStart w:id="60" w:name="_Toc414177718"/>
      <w:bookmarkStart w:id="61" w:name="_Toc414177749"/>
      <w:r w:rsidRPr="00AD791A">
        <w:rPr>
          <w:lang w:val="es-ES"/>
        </w:rPr>
        <w:t>3.</w:t>
      </w:r>
      <w:r w:rsidRPr="00AD791A">
        <w:rPr>
          <w:lang w:val="es-ES"/>
        </w:rPr>
        <w:tab/>
        <w:t>La i</w:t>
      </w:r>
      <w:r w:rsidRPr="00AD791A">
        <w:t>nvestigación y p</w:t>
      </w:r>
      <w:r w:rsidRPr="00AD791A">
        <w:rPr>
          <w:rFonts w:cs="Arial Narrow"/>
          <w:spacing w:val="-2"/>
        </w:rPr>
        <w:t>roceso judicial sobre el asesinato del señor</w:t>
      </w:r>
      <w:r w:rsidRPr="00AD791A">
        <w:t xml:space="preserve"> Francisco García Valle (Expediente judicial No. 110-2002)</w:t>
      </w:r>
      <w:bookmarkEnd w:id="56"/>
      <w:bookmarkEnd w:id="57"/>
      <w:bookmarkEnd w:id="58"/>
      <w:bookmarkEnd w:id="59"/>
      <w:bookmarkEnd w:id="60"/>
      <w:bookmarkEnd w:id="61"/>
    </w:p>
    <w:p w:rsidR="009D7F32" w:rsidRPr="00AD791A" w:rsidRDefault="009D7F32" w:rsidP="009D7F32">
      <w:pPr>
        <w:jc w:val="both"/>
        <w:rPr>
          <w:rFonts w:ascii="Cambria" w:hAnsi="Cambria"/>
          <w:b/>
          <w:sz w:val="20"/>
          <w:szCs w:val="20"/>
          <w:lang w:val="es-MX"/>
        </w:rPr>
      </w:pPr>
    </w:p>
    <w:p w:rsidR="009D7F32" w:rsidRPr="00AD791A" w:rsidRDefault="009D7F32" w:rsidP="009D7F32">
      <w:pPr>
        <w:pStyle w:val="Heading4"/>
        <w:spacing w:before="0" w:after="0"/>
        <w:ind w:firstLine="720"/>
        <w:rPr>
          <w:rFonts w:ascii="Cambria" w:hAnsi="Cambria"/>
          <w:sz w:val="20"/>
          <w:szCs w:val="20"/>
          <w:lang w:val="es-MX"/>
        </w:rPr>
      </w:pPr>
      <w:bookmarkStart w:id="62" w:name="_Toc388448141"/>
      <w:bookmarkStart w:id="63" w:name="_Toc412647976"/>
      <w:bookmarkStart w:id="64" w:name="_Toc414177719"/>
      <w:r w:rsidRPr="00AD791A">
        <w:rPr>
          <w:rFonts w:ascii="Cambria" w:hAnsi="Cambria"/>
          <w:sz w:val="20"/>
          <w:szCs w:val="20"/>
          <w:lang w:val="es-MX"/>
        </w:rPr>
        <w:t>a.</w:t>
      </w:r>
      <w:r w:rsidRPr="00AD791A">
        <w:rPr>
          <w:rFonts w:ascii="Cambria" w:hAnsi="Cambria"/>
          <w:sz w:val="20"/>
          <w:szCs w:val="20"/>
          <w:lang w:val="es-MX"/>
        </w:rPr>
        <w:tab/>
        <w:t>Investigación inicial</w:t>
      </w:r>
      <w:bookmarkEnd w:id="62"/>
      <w:bookmarkEnd w:id="63"/>
      <w:bookmarkEnd w:id="64"/>
      <w:r w:rsidRPr="00AD791A">
        <w:rPr>
          <w:rFonts w:ascii="Cambria" w:hAnsi="Cambria"/>
          <w:sz w:val="20"/>
          <w:szCs w:val="20"/>
          <w:lang w:val="es-MX"/>
        </w:rPr>
        <w:t xml:space="preserve">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La misma noche del asesinato del señor García Valle, la Policía Nacional realizó una inspección ocular en la escena del crimen. Entre los objetos encontrados, se encuentran el teléfono y el cable trozado, un palo rojizo, la cafetera y un machete de hierro, así como tarjetas y documentos que estaban junto al cuerpo del señor García Valle</w:t>
      </w:r>
      <w:r w:rsidRPr="00AD791A">
        <w:rPr>
          <w:rStyle w:val="FootnoteReference"/>
          <w:rFonts w:ascii="Cambria" w:hAnsi="Cambria"/>
          <w:sz w:val="20"/>
          <w:szCs w:val="20"/>
          <w:lang w:val="es-MX"/>
        </w:rPr>
        <w:footnoteReference w:id="51"/>
      </w:r>
      <w:r w:rsidRPr="00AD791A">
        <w:rPr>
          <w:rFonts w:ascii="Cambria" w:hAnsi="Cambria"/>
          <w:sz w:val="20"/>
          <w:szCs w:val="20"/>
          <w:lang w:val="es-MX"/>
        </w:rPr>
        <w:t>. E</w:t>
      </w:r>
      <w:r w:rsidRPr="00AD791A">
        <w:rPr>
          <w:rFonts w:ascii="Cambria" w:hAnsi="Cambria" w:cs="Arial Narrow"/>
          <w:spacing w:val="-2"/>
          <w:sz w:val="20"/>
          <w:szCs w:val="20"/>
          <w:lang w:val="es-MX"/>
        </w:rPr>
        <w:t>n la parte trasera de la habitación que ocuparon los supuestos autores materiales del crimen, se apreció “una huella de arrastre”</w:t>
      </w:r>
      <w:r w:rsidRPr="00AD791A">
        <w:rPr>
          <w:rStyle w:val="FootnoteReference"/>
          <w:rFonts w:ascii="Cambria" w:hAnsi="Cambria" w:cs="Arial Narrow"/>
          <w:spacing w:val="-2"/>
          <w:sz w:val="20"/>
          <w:szCs w:val="20"/>
          <w:lang w:val="es-MX"/>
        </w:rPr>
        <w:footnoteReference w:id="52"/>
      </w:r>
      <w:r w:rsidRPr="00AD791A">
        <w:rPr>
          <w:rFonts w:ascii="Cambria" w:hAnsi="Cambria" w:cs="Arial Narrow"/>
          <w:spacing w:val="-2"/>
          <w:sz w:val="20"/>
          <w:szCs w:val="20"/>
          <w:lang w:val="es-MX"/>
        </w:rPr>
        <w:t xml:space="preserve"> tambi</w:t>
      </w:r>
      <w:r w:rsidRPr="00AD791A">
        <w:rPr>
          <w:rFonts w:ascii="Cambria" w:eastAsia="Times New Roman" w:hAnsi="Cambria"/>
          <w:spacing w:val="-2"/>
          <w:sz w:val="20"/>
          <w:szCs w:val="20"/>
          <w:lang w:val="es-MX" w:eastAsia="ja-JP"/>
        </w:rPr>
        <w:t xml:space="preserve">én referida por </w:t>
      </w:r>
      <w:r w:rsidRPr="00AD791A">
        <w:rPr>
          <w:rFonts w:ascii="Cambria" w:hAnsi="Cambria" w:cs="Arial Narrow"/>
          <w:spacing w:val="-2"/>
          <w:sz w:val="20"/>
          <w:szCs w:val="20"/>
          <w:lang w:val="es-MX"/>
        </w:rPr>
        <w:t>el Juez de Distrito del Crimen en su propia inspección ocular</w:t>
      </w:r>
      <w:r w:rsidRPr="00AD791A">
        <w:rPr>
          <w:rStyle w:val="FootnoteReference"/>
          <w:rFonts w:ascii="Cambria" w:hAnsi="Cambria" w:cs="Arial Narrow"/>
          <w:spacing w:val="-2"/>
          <w:sz w:val="20"/>
          <w:szCs w:val="20"/>
          <w:lang w:val="es-MX"/>
        </w:rPr>
        <w:footnoteReference w:id="53"/>
      </w:r>
      <w:r w:rsidRPr="00AD791A">
        <w:rPr>
          <w:rFonts w:ascii="Cambria" w:hAnsi="Cambria" w:cs="Arial Narrow"/>
          <w:spacing w:val="-2"/>
          <w:sz w:val="20"/>
          <w:szCs w:val="20"/>
          <w:lang w:val="es-MX"/>
        </w:rPr>
        <w:t xml:space="preserve">. La misma noche </w:t>
      </w:r>
      <w:r w:rsidRPr="00AD791A">
        <w:rPr>
          <w:rFonts w:ascii="Cambria" w:hAnsi="Cambria"/>
          <w:sz w:val="20"/>
          <w:szCs w:val="20"/>
          <w:lang w:val="es-MX"/>
        </w:rPr>
        <w:t>la Policía Nacional solicitó un examen médico del cuerpo</w:t>
      </w:r>
      <w:r w:rsidRPr="00AD791A">
        <w:rPr>
          <w:rStyle w:val="FootnoteReference"/>
          <w:rFonts w:ascii="Cambria" w:hAnsi="Cambria"/>
          <w:sz w:val="20"/>
          <w:szCs w:val="20"/>
          <w:lang w:val="es-MX"/>
        </w:rPr>
        <w:footnoteReference w:id="54"/>
      </w:r>
      <w:r w:rsidRPr="00AD791A">
        <w:rPr>
          <w:rFonts w:ascii="Cambria" w:hAnsi="Cambria"/>
          <w:sz w:val="20"/>
          <w:szCs w:val="20"/>
          <w:lang w:val="es-MX"/>
        </w:rPr>
        <w:t xml:space="preserve"> e interrogó a la señora María Luisa Acosta</w:t>
      </w:r>
      <w:r w:rsidRPr="00AD791A">
        <w:rPr>
          <w:rStyle w:val="FootnoteReference"/>
          <w:rFonts w:ascii="Cambria" w:hAnsi="Cambria"/>
          <w:sz w:val="20"/>
          <w:szCs w:val="20"/>
          <w:lang w:val="es-MX"/>
        </w:rPr>
        <w:footnoteReference w:id="55"/>
      </w:r>
      <w:r w:rsidRPr="00AD791A">
        <w:rPr>
          <w:rFonts w:ascii="Cambria" w:hAnsi="Cambria"/>
          <w:sz w:val="20"/>
          <w:szCs w:val="20"/>
          <w:lang w:val="es-MX"/>
        </w:rPr>
        <w:t xml:space="preserve">.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Al día siguiente, el 9 de abril de 2002, el Médico Forense Suplente de la  Zona Espectal 11 estableció que las causas de fallecimiento fueron heridas por arma de fuego (calibre 25) en hemitorax izquierdo y shock hipovolémico, producto de lesión de corazón y pulmón izquierdo y grandes vasos</w:t>
      </w:r>
      <w:r w:rsidRPr="00AD791A">
        <w:rPr>
          <w:rStyle w:val="FootnoteReference"/>
          <w:rFonts w:ascii="Cambria" w:hAnsi="Cambria"/>
          <w:sz w:val="20"/>
          <w:szCs w:val="20"/>
          <w:lang w:val="es-MX"/>
        </w:rPr>
        <w:footnoteReference w:id="56"/>
      </w:r>
      <w:r w:rsidRPr="00AD791A">
        <w:rPr>
          <w:rFonts w:ascii="Cambria" w:hAnsi="Cambria"/>
          <w:sz w:val="20"/>
          <w:szCs w:val="20"/>
          <w:lang w:val="es-MX"/>
        </w:rPr>
        <w:t>. Entre el 9 y 12 de abril de 2002, la Policía Nacional interrogó a otras personas</w:t>
      </w:r>
      <w:r w:rsidRPr="00AD791A">
        <w:rPr>
          <w:rStyle w:val="FootnoteReference"/>
          <w:rFonts w:ascii="Cambria" w:hAnsi="Cambria"/>
          <w:sz w:val="20"/>
          <w:szCs w:val="20"/>
          <w:lang w:val="es-MX"/>
        </w:rPr>
        <w:footnoteReference w:id="57"/>
      </w:r>
      <w:r w:rsidRPr="00AD791A">
        <w:rPr>
          <w:rFonts w:ascii="Cambria" w:hAnsi="Cambria"/>
          <w:sz w:val="20"/>
          <w:szCs w:val="20"/>
          <w:lang w:val="es-MX"/>
        </w:rPr>
        <w:t>. El 10 de abril de 2002 la Policía Nacional solicitó al Archivo Nacional información sobre los antecedentes de Iván Argüello</w:t>
      </w:r>
      <w:r w:rsidRPr="00AD791A">
        <w:rPr>
          <w:rStyle w:val="FootnoteReference"/>
          <w:rFonts w:ascii="Cambria" w:hAnsi="Cambria"/>
          <w:sz w:val="20"/>
          <w:szCs w:val="20"/>
          <w:lang w:val="es-MX"/>
        </w:rPr>
        <w:footnoteReference w:id="58"/>
      </w:r>
      <w:r w:rsidRPr="00AD791A">
        <w:rPr>
          <w:rFonts w:ascii="Cambria" w:hAnsi="Cambria"/>
          <w:sz w:val="20"/>
          <w:szCs w:val="20"/>
          <w:lang w:val="es-MX"/>
        </w:rPr>
        <w:t xml:space="preserve">. </w:t>
      </w:r>
    </w:p>
    <w:p w:rsidR="009D7F32" w:rsidRPr="00AD791A" w:rsidRDefault="009D20F0" w:rsidP="009D7F32">
      <w:pPr>
        <w:pStyle w:val="Heading4"/>
        <w:spacing w:before="0" w:after="0"/>
        <w:ind w:left="1440" w:hanging="720"/>
        <w:rPr>
          <w:rFonts w:ascii="Cambria" w:hAnsi="Cambria"/>
          <w:sz w:val="20"/>
          <w:szCs w:val="20"/>
          <w:lang w:val="es-MX"/>
        </w:rPr>
      </w:pPr>
      <w:bookmarkStart w:id="65" w:name="_Toc388448143"/>
      <w:bookmarkStart w:id="66" w:name="_Toc412647977"/>
      <w:r w:rsidRPr="00AD791A">
        <w:rPr>
          <w:rFonts w:ascii="Cambria" w:hAnsi="Cambria"/>
          <w:sz w:val="20"/>
          <w:szCs w:val="20"/>
          <w:lang w:val="es-MX"/>
        </w:rPr>
        <w:br w:type="page"/>
      </w:r>
      <w:bookmarkStart w:id="67" w:name="_Toc414177720"/>
      <w:r w:rsidR="009D7F32" w:rsidRPr="00AD791A">
        <w:rPr>
          <w:rFonts w:ascii="Cambria" w:hAnsi="Cambria"/>
          <w:sz w:val="20"/>
          <w:szCs w:val="20"/>
          <w:lang w:val="es-MX"/>
        </w:rPr>
        <w:t>b.</w:t>
      </w:r>
      <w:r w:rsidR="009D7F32" w:rsidRPr="00AD791A">
        <w:rPr>
          <w:rFonts w:ascii="Cambria" w:hAnsi="Cambria"/>
          <w:sz w:val="20"/>
          <w:szCs w:val="20"/>
          <w:lang w:val="es-MX"/>
        </w:rPr>
        <w:tab/>
        <w:t xml:space="preserve">Remisión del expediente de investigación criminal al Juzgado de Distrito </w:t>
      </w:r>
      <w:r w:rsidR="009D7F32" w:rsidRPr="00AD791A">
        <w:rPr>
          <w:rFonts w:ascii="Cambria" w:hAnsi="Cambria"/>
          <w:sz w:val="20"/>
          <w:szCs w:val="20"/>
          <w:lang w:val="es-ES_tradnl"/>
        </w:rPr>
        <w:t>del Crimen</w:t>
      </w:r>
      <w:r w:rsidR="009D7F32" w:rsidRPr="00AD791A">
        <w:rPr>
          <w:rFonts w:ascii="Cambria" w:hAnsi="Cambria"/>
          <w:sz w:val="20"/>
          <w:szCs w:val="20"/>
          <w:lang w:val="es-MX"/>
        </w:rPr>
        <w:t xml:space="preserve"> y fase instructiva del proceso judicial</w:t>
      </w:r>
      <w:bookmarkEnd w:id="65"/>
      <w:bookmarkEnd w:id="66"/>
      <w:bookmarkEnd w:id="67"/>
      <w:r w:rsidR="009D7F32" w:rsidRPr="00AD791A">
        <w:rPr>
          <w:rFonts w:ascii="Cambria" w:hAnsi="Cambria"/>
          <w:sz w:val="20"/>
          <w:szCs w:val="20"/>
          <w:lang w:val="es-MX"/>
        </w:rPr>
        <w:t xml:space="preserve">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_tradnl"/>
        </w:rPr>
        <w:t>El día 15 de abril de 2002 la Policía Nacional remitió al Juzgado de Distrito del Crimen el expediente de investigación criminal en el que se señaló como presunto responsable a Iván Argüello</w:t>
      </w:r>
      <w:r w:rsidRPr="00AD791A">
        <w:rPr>
          <w:rStyle w:val="FootnoteReference"/>
          <w:rFonts w:ascii="Cambria" w:hAnsi="Cambria" w:cs="Arial Narrow"/>
          <w:spacing w:val="-2"/>
          <w:sz w:val="20"/>
          <w:szCs w:val="20"/>
          <w:lang w:val="es-ES_tradnl"/>
        </w:rPr>
        <w:footnoteReference w:id="59"/>
      </w:r>
      <w:r w:rsidRPr="00AD791A">
        <w:rPr>
          <w:rFonts w:ascii="Cambria" w:hAnsi="Cambria"/>
          <w:sz w:val="20"/>
          <w:szCs w:val="20"/>
          <w:lang w:val="es-ES_tradnl"/>
        </w:rPr>
        <w:t>. Ese mismo día y con base en la solicitud de la Policía Nacional</w:t>
      </w:r>
      <w:r w:rsidRPr="00AD791A">
        <w:rPr>
          <w:rStyle w:val="FootnoteReference"/>
          <w:rFonts w:ascii="Cambria" w:hAnsi="Cambria"/>
          <w:sz w:val="20"/>
          <w:szCs w:val="20"/>
          <w:lang w:val="es-MX"/>
        </w:rPr>
        <w:footnoteReference w:id="60"/>
      </w:r>
      <w:r w:rsidRPr="00AD791A">
        <w:rPr>
          <w:rFonts w:ascii="Cambria" w:hAnsi="Cambria"/>
          <w:sz w:val="20"/>
          <w:szCs w:val="20"/>
          <w:lang w:val="es-ES_tradnl"/>
        </w:rPr>
        <w:t>, el Juez de Distrito del Crimen</w:t>
      </w:r>
      <w:r w:rsidRPr="00AD791A">
        <w:rPr>
          <w:rFonts w:ascii="Cambria" w:hAnsi="Cambria"/>
          <w:sz w:val="20"/>
          <w:szCs w:val="20"/>
          <w:lang w:val="es-MX"/>
        </w:rPr>
        <w:t xml:space="preserve"> ordenó practicar allanamiento y registro domiciliario en la Funeraria La Paz, que le pertenecía al señor García Valle</w:t>
      </w:r>
      <w:r w:rsidRPr="00AD791A">
        <w:rPr>
          <w:rStyle w:val="FootnoteReference"/>
          <w:rFonts w:ascii="Cambria" w:hAnsi="Cambria"/>
          <w:sz w:val="20"/>
          <w:szCs w:val="20"/>
          <w:lang w:val="es-MX"/>
        </w:rPr>
        <w:footnoteReference w:id="61"/>
      </w:r>
      <w:r w:rsidRPr="00AD791A">
        <w:rPr>
          <w:rFonts w:ascii="Cambria" w:hAnsi="Cambria"/>
          <w:sz w:val="20"/>
          <w:szCs w:val="20"/>
          <w:lang w:val="es-MX"/>
        </w:rPr>
        <w:t xml:space="preserve">. Mediante auto de 15 de abril de 2002, el Juez de Distrito </w:t>
      </w:r>
      <w:r w:rsidRPr="00AD791A">
        <w:rPr>
          <w:rFonts w:ascii="Cambria" w:hAnsi="Cambria"/>
          <w:sz w:val="20"/>
          <w:szCs w:val="20"/>
          <w:lang w:val="es-ES_tradnl"/>
        </w:rPr>
        <w:t>del Crimen</w:t>
      </w:r>
      <w:r w:rsidRPr="00AD791A">
        <w:rPr>
          <w:rFonts w:ascii="Cambria" w:hAnsi="Cambria"/>
          <w:sz w:val="20"/>
          <w:szCs w:val="20"/>
          <w:lang w:val="es-MX"/>
        </w:rPr>
        <w:t xml:space="preserve"> decretó arresto provisional en contra de Iván Argüello y estableció que se tenía a María Luisa Acosta como parte ofendida en este proceso</w:t>
      </w:r>
      <w:r w:rsidRPr="00AD791A">
        <w:rPr>
          <w:rStyle w:val="FootnoteReference"/>
          <w:rFonts w:ascii="Cambria" w:hAnsi="Cambria"/>
          <w:sz w:val="20"/>
          <w:szCs w:val="20"/>
          <w:lang w:val="es-MX"/>
        </w:rPr>
        <w:footnoteReference w:id="62"/>
      </w:r>
      <w:r w:rsidRPr="00AD791A">
        <w:rPr>
          <w:rFonts w:ascii="Cambria" w:hAnsi="Cambria"/>
          <w:sz w:val="20"/>
          <w:szCs w:val="20"/>
          <w:lang w:val="es-MX"/>
        </w:rPr>
        <w:t xml:space="preserve">.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En la declaración de 16 de abril de 2002, María Luisa Acosta señaló que la razón del asesinato de su esposo no había sido robo “porque lo único que no estaba </w:t>
      </w:r>
      <w:r w:rsidRPr="00AD791A">
        <w:rPr>
          <w:rStyle w:val="st1"/>
          <w:rFonts w:ascii="Cambria" w:hAnsi="Cambria" w:cs="Arial"/>
          <w:sz w:val="20"/>
          <w:szCs w:val="20"/>
          <w:lang w:val="es-MX"/>
        </w:rPr>
        <w:t>[en la casa]</w:t>
      </w:r>
      <w:r w:rsidRPr="00AD791A">
        <w:rPr>
          <w:rFonts w:ascii="Cambria" w:hAnsi="Cambria" w:cs="Garamond"/>
          <w:sz w:val="20"/>
          <w:szCs w:val="20"/>
          <w:lang w:val="es-ES_tradnl"/>
        </w:rPr>
        <w:t xml:space="preserve"> </w:t>
      </w:r>
      <w:r w:rsidRPr="00AD791A">
        <w:rPr>
          <w:rFonts w:ascii="Cambria" w:hAnsi="Cambria"/>
          <w:sz w:val="20"/>
          <w:szCs w:val="20"/>
          <w:lang w:val="es-MX"/>
        </w:rPr>
        <w:t xml:space="preserve">fueron unos aretes de fantasía, perfumes usados </w:t>
      </w:r>
      <w:r w:rsidRPr="00AD791A">
        <w:rPr>
          <w:rStyle w:val="st1"/>
          <w:rFonts w:ascii="Cambria" w:hAnsi="Cambria" w:cs="Arial"/>
          <w:sz w:val="20"/>
          <w:szCs w:val="20"/>
          <w:lang w:val="es-MX"/>
        </w:rPr>
        <w:t>[y]</w:t>
      </w:r>
      <w:r w:rsidRPr="00AD791A">
        <w:rPr>
          <w:rFonts w:ascii="Cambria" w:hAnsi="Cambria" w:cs="Garamond"/>
          <w:sz w:val="20"/>
          <w:szCs w:val="20"/>
          <w:lang w:val="es-ES_tradnl"/>
        </w:rPr>
        <w:t xml:space="preserve"> </w:t>
      </w:r>
      <w:r w:rsidRPr="00AD791A">
        <w:rPr>
          <w:rFonts w:ascii="Cambria" w:hAnsi="Cambria"/>
          <w:sz w:val="20"/>
          <w:szCs w:val="20"/>
          <w:lang w:val="es-MX"/>
        </w:rPr>
        <w:t xml:space="preserve"> dos collares </w:t>
      </w:r>
      <w:r w:rsidRPr="00AD791A">
        <w:rPr>
          <w:rStyle w:val="st1"/>
          <w:rFonts w:ascii="Cambria" w:hAnsi="Cambria" w:cs="Arial"/>
          <w:sz w:val="20"/>
          <w:szCs w:val="20"/>
          <w:lang w:val="es-MX"/>
        </w:rPr>
        <w:t xml:space="preserve">[…] </w:t>
      </w:r>
      <w:r w:rsidRPr="00AD791A">
        <w:rPr>
          <w:rFonts w:ascii="Cambria" w:hAnsi="Cambria"/>
          <w:sz w:val="20"/>
          <w:szCs w:val="20"/>
          <w:lang w:val="es-MX"/>
        </w:rPr>
        <w:t>de fantasía</w:t>
      </w:r>
      <w:r w:rsidRPr="00AD791A">
        <w:rPr>
          <w:rStyle w:val="st1"/>
          <w:rFonts w:ascii="Cambria" w:hAnsi="Cambria" w:cs="Arial"/>
          <w:sz w:val="20"/>
          <w:szCs w:val="20"/>
          <w:lang w:val="es-MX"/>
        </w:rPr>
        <w:t xml:space="preserve">”; señaló que en realidad la habían mandado a matar a ella, y como no habían podido hacerlo, mataron </w:t>
      </w:r>
      <w:r w:rsidRPr="00AD791A">
        <w:rPr>
          <w:rFonts w:ascii="Cambria" w:hAnsi="Cambria"/>
          <w:sz w:val="20"/>
          <w:szCs w:val="20"/>
          <w:lang w:val="es-MX"/>
        </w:rPr>
        <w:t>a su esposo “</w:t>
      </w:r>
      <w:r w:rsidRPr="00AD791A">
        <w:rPr>
          <w:rStyle w:val="st1"/>
          <w:rFonts w:ascii="Cambria" w:hAnsi="Cambria" w:cs="Arial"/>
          <w:sz w:val="20"/>
          <w:szCs w:val="20"/>
          <w:lang w:val="es-MX"/>
        </w:rPr>
        <w:t>[los]</w:t>
      </w:r>
      <w:r w:rsidRPr="00AD791A">
        <w:rPr>
          <w:rFonts w:ascii="Cambria" w:hAnsi="Cambria"/>
          <w:sz w:val="20"/>
          <w:szCs w:val="20"/>
          <w:lang w:val="es-MX"/>
        </w:rPr>
        <w:t xml:space="preserve"> tres hombres a los que </w:t>
      </w:r>
      <w:r w:rsidRPr="00AD791A">
        <w:rPr>
          <w:rStyle w:val="st1"/>
          <w:rFonts w:ascii="Cambria" w:hAnsi="Cambria" w:cs="Arial"/>
          <w:sz w:val="20"/>
          <w:szCs w:val="20"/>
          <w:lang w:val="es-MX"/>
        </w:rPr>
        <w:t>[…]</w:t>
      </w:r>
      <w:r w:rsidRPr="00AD791A">
        <w:rPr>
          <w:rFonts w:ascii="Cambria" w:hAnsi="Cambria"/>
          <w:sz w:val="20"/>
          <w:szCs w:val="20"/>
          <w:lang w:val="es-MX"/>
        </w:rPr>
        <w:t xml:space="preserve"> les arrend</w:t>
      </w:r>
      <w:r w:rsidRPr="00AD791A">
        <w:rPr>
          <w:rStyle w:val="st1"/>
          <w:rFonts w:ascii="Cambria" w:hAnsi="Cambria" w:cs="Arial"/>
          <w:sz w:val="20"/>
          <w:szCs w:val="20"/>
          <w:lang w:val="es-MX"/>
        </w:rPr>
        <w:t>[ó]</w:t>
      </w:r>
      <w:r w:rsidRPr="00AD791A">
        <w:rPr>
          <w:rFonts w:ascii="Cambria" w:hAnsi="Cambria"/>
          <w:sz w:val="20"/>
          <w:szCs w:val="20"/>
          <w:lang w:val="es-MX"/>
        </w:rPr>
        <w:t xml:space="preserve"> el apartamento, ya que desaparecieron después de la muerte de </w:t>
      </w:r>
      <w:r w:rsidRPr="00AD791A">
        <w:rPr>
          <w:rStyle w:val="st1"/>
          <w:rFonts w:ascii="Cambria" w:hAnsi="Cambria" w:cs="Arial"/>
          <w:sz w:val="20"/>
          <w:szCs w:val="20"/>
          <w:lang w:val="es-MX"/>
        </w:rPr>
        <w:t>[su]</w:t>
      </w:r>
      <w:r w:rsidRPr="00AD791A">
        <w:rPr>
          <w:rFonts w:ascii="Cambria" w:hAnsi="Cambria"/>
          <w:sz w:val="20"/>
          <w:szCs w:val="20"/>
          <w:lang w:val="es-MX"/>
        </w:rPr>
        <w:t xml:space="preserve"> marido”. De acuerdo con su declaración, a esos hombres se les había financiado para matar a su esposo y “sospech</w:t>
      </w:r>
      <w:r w:rsidRPr="00AD791A">
        <w:rPr>
          <w:rStyle w:val="st1"/>
          <w:rFonts w:ascii="Cambria" w:hAnsi="Cambria" w:cs="Arial"/>
          <w:sz w:val="20"/>
          <w:szCs w:val="20"/>
          <w:lang w:val="es-MX"/>
        </w:rPr>
        <w:t>[aba]</w:t>
      </w:r>
      <w:r w:rsidRPr="00AD791A">
        <w:rPr>
          <w:rFonts w:ascii="Cambria" w:hAnsi="Cambria"/>
          <w:sz w:val="20"/>
          <w:szCs w:val="20"/>
          <w:lang w:val="es-MX"/>
        </w:rPr>
        <w:t xml:space="preserve"> que el autor intelectual de </w:t>
      </w:r>
      <w:r w:rsidRPr="00AD791A">
        <w:rPr>
          <w:rStyle w:val="st1"/>
          <w:rFonts w:ascii="Cambria" w:hAnsi="Cambria" w:cs="Arial"/>
          <w:sz w:val="20"/>
          <w:szCs w:val="20"/>
          <w:lang w:val="es-MX"/>
        </w:rPr>
        <w:t>[su]</w:t>
      </w:r>
      <w:r w:rsidRPr="00AD791A">
        <w:rPr>
          <w:rFonts w:ascii="Cambria" w:hAnsi="Cambria"/>
          <w:sz w:val="20"/>
          <w:szCs w:val="20"/>
          <w:lang w:val="es-MX"/>
        </w:rPr>
        <w:t xml:space="preserve"> muerte </w:t>
      </w:r>
      <w:r w:rsidRPr="00AD791A">
        <w:rPr>
          <w:rStyle w:val="st1"/>
          <w:rFonts w:ascii="Cambria" w:hAnsi="Cambria" w:cs="Arial"/>
          <w:sz w:val="20"/>
          <w:szCs w:val="20"/>
          <w:lang w:val="es-MX"/>
        </w:rPr>
        <w:t xml:space="preserve">[era] </w:t>
      </w:r>
      <w:r w:rsidRPr="00AD791A">
        <w:rPr>
          <w:rFonts w:ascii="Cambria" w:hAnsi="Cambria"/>
          <w:sz w:val="20"/>
          <w:szCs w:val="20"/>
          <w:lang w:val="es-MX"/>
        </w:rPr>
        <w:t xml:space="preserve">Peter Tsokos y su abogado Peter Martínez, por la asesoría legal que </w:t>
      </w:r>
      <w:r w:rsidRPr="00AD791A">
        <w:rPr>
          <w:rStyle w:val="st1"/>
          <w:rFonts w:ascii="Cambria" w:hAnsi="Cambria" w:cs="Arial"/>
          <w:sz w:val="20"/>
          <w:szCs w:val="20"/>
          <w:lang w:val="es-MX"/>
        </w:rPr>
        <w:t>[…]</w:t>
      </w:r>
      <w:r w:rsidRPr="00AD791A">
        <w:rPr>
          <w:rFonts w:ascii="Cambria" w:hAnsi="Cambria"/>
          <w:sz w:val="20"/>
          <w:szCs w:val="20"/>
          <w:lang w:val="es-MX"/>
        </w:rPr>
        <w:t xml:space="preserve"> les h</w:t>
      </w:r>
      <w:r w:rsidRPr="00AD791A">
        <w:rPr>
          <w:rStyle w:val="st1"/>
          <w:rFonts w:ascii="Cambria" w:hAnsi="Cambria" w:cs="Arial"/>
          <w:sz w:val="20"/>
          <w:szCs w:val="20"/>
          <w:lang w:val="es-MX"/>
        </w:rPr>
        <w:t xml:space="preserve">[abía dado] </w:t>
      </w:r>
      <w:r w:rsidRPr="00AD791A">
        <w:rPr>
          <w:rFonts w:ascii="Cambria" w:hAnsi="Cambria"/>
          <w:sz w:val="20"/>
          <w:szCs w:val="20"/>
          <w:lang w:val="es-MX"/>
        </w:rPr>
        <w:t xml:space="preserve">a las comunidades de Monkey Pont, Rama y la Cuenca de Laguna de Perlas, </w:t>
      </w:r>
      <w:r w:rsidRPr="00AD791A">
        <w:rPr>
          <w:rStyle w:val="st1"/>
          <w:rFonts w:ascii="Cambria" w:hAnsi="Cambria" w:cs="Arial"/>
          <w:sz w:val="20"/>
          <w:szCs w:val="20"/>
          <w:lang w:val="es-MX"/>
        </w:rPr>
        <w:t xml:space="preserve">[en cuyas tierras] </w:t>
      </w:r>
      <w:r w:rsidRPr="00AD791A">
        <w:rPr>
          <w:rFonts w:ascii="Cambria" w:hAnsi="Cambria"/>
          <w:sz w:val="20"/>
          <w:szCs w:val="20"/>
          <w:lang w:val="es-MX"/>
        </w:rPr>
        <w:t>ellos t</w:t>
      </w:r>
      <w:r w:rsidRPr="00AD791A">
        <w:rPr>
          <w:rStyle w:val="st1"/>
          <w:rFonts w:ascii="Cambria" w:hAnsi="Cambria" w:cs="Arial"/>
          <w:sz w:val="20"/>
          <w:szCs w:val="20"/>
          <w:lang w:val="es-MX"/>
        </w:rPr>
        <w:t>[enían]</w:t>
      </w:r>
      <w:r w:rsidRPr="00AD791A">
        <w:rPr>
          <w:rFonts w:ascii="Cambria" w:hAnsi="Cambria"/>
          <w:sz w:val="20"/>
          <w:szCs w:val="20"/>
          <w:lang w:val="es-MX"/>
        </w:rPr>
        <w:t xml:space="preserve"> intereses millonarios </w:t>
      </w:r>
      <w:r w:rsidRPr="00AD791A">
        <w:rPr>
          <w:rStyle w:val="st1"/>
          <w:rFonts w:ascii="Cambria" w:hAnsi="Cambria" w:cs="Arial"/>
          <w:sz w:val="20"/>
          <w:szCs w:val="20"/>
          <w:lang w:val="es-MX"/>
        </w:rPr>
        <w:t>[…]</w:t>
      </w:r>
      <w:r w:rsidRPr="00AD791A">
        <w:rPr>
          <w:rStyle w:val="FootnoteReference"/>
          <w:rFonts w:ascii="Cambria" w:hAnsi="Cambria"/>
          <w:sz w:val="20"/>
          <w:szCs w:val="20"/>
          <w:lang w:val="es-MX"/>
        </w:rPr>
        <w:footnoteReference w:id="63"/>
      </w:r>
      <w:r w:rsidRPr="00AD791A">
        <w:rPr>
          <w:rFonts w:ascii="Cambria" w:hAnsi="Cambria"/>
          <w:sz w:val="20"/>
          <w:szCs w:val="20"/>
          <w:lang w:val="es-MX"/>
        </w:rPr>
        <w:t>”.</w:t>
      </w:r>
      <w:r w:rsidR="00177E85" w:rsidRPr="00AD791A">
        <w:rPr>
          <w:rFonts w:ascii="Cambria" w:hAnsi="Cambria"/>
          <w:sz w:val="20"/>
          <w:szCs w:val="20"/>
          <w:lang w:val="es-MX"/>
        </w:rPr>
        <w:t>Por último, señaló que una persona de nombre Charles Junior Presida podría estar vinculado en el asesinato de su esposo ya que fue visto el miércoles después del crimen con un grupo de gente no identificada en el lugar conocido Wiren Kay</w:t>
      </w:r>
      <w:r w:rsidR="00177E85" w:rsidRPr="00AD791A">
        <w:rPr>
          <w:rStyle w:val="FootnoteReference"/>
          <w:rFonts w:ascii="Cambria" w:hAnsi="Cambria"/>
          <w:sz w:val="20"/>
          <w:szCs w:val="20"/>
          <w:lang w:val="es-MX"/>
        </w:rPr>
        <w:footnoteReference w:id="64"/>
      </w:r>
      <w:r w:rsidR="00177E85" w:rsidRPr="00AD791A">
        <w:rPr>
          <w:rFonts w:ascii="Cambria" w:hAnsi="Cambria"/>
          <w:sz w:val="20"/>
          <w:szCs w:val="20"/>
          <w:lang w:val="es-MX"/>
        </w:rPr>
        <w:t xml:space="preserve">. Al respecto los peticionarios señalaron que Charles Presida fue el motorista que condujo el bote con motor fuera de borda, propiedad de Tsokos, que sacaría a Bluefields a los sospechosos del asesinato del señor García Valle.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El mismo día, 16 de abril de 2002, el Juez de Distrito </w:t>
      </w:r>
      <w:r w:rsidRPr="00AD791A">
        <w:rPr>
          <w:rFonts w:ascii="Cambria" w:hAnsi="Cambria"/>
          <w:sz w:val="20"/>
          <w:szCs w:val="20"/>
          <w:lang w:val="es-ES_tradnl"/>
        </w:rPr>
        <w:t>del Crimen</w:t>
      </w:r>
      <w:r w:rsidRPr="00AD791A">
        <w:rPr>
          <w:rFonts w:ascii="Cambria" w:hAnsi="Cambria"/>
          <w:sz w:val="20"/>
          <w:szCs w:val="20"/>
          <w:lang w:val="es-MX"/>
        </w:rPr>
        <w:t xml:space="preserve"> recibió la declaración de la vecina María Esther Castrillo, quien identificó en la foto de un diario a Iván Argüello como uno de los sujetos que arrendó la casa de la señora Acosta</w:t>
      </w:r>
      <w:r w:rsidRPr="00AD791A">
        <w:rPr>
          <w:rStyle w:val="FootnoteReference"/>
          <w:rFonts w:ascii="Cambria" w:hAnsi="Cambria"/>
          <w:sz w:val="20"/>
          <w:szCs w:val="20"/>
          <w:lang w:val="es-MX"/>
        </w:rPr>
        <w:footnoteReference w:id="65"/>
      </w:r>
      <w:r w:rsidRPr="00AD791A">
        <w:rPr>
          <w:rFonts w:ascii="Cambria" w:hAnsi="Cambria"/>
          <w:sz w:val="20"/>
          <w:szCs w:val="20"/>
          <w:lang w:val="es-MX"/>
        </w:rPr>
        <w:t>. Entre el 13 y el 18 de abril de 2002, el juez de la causa recibió las declaraciones de cuatro personas, entre ellas, de Charles Presida</w:t>
      </w:r>
      <w:r w:rsidRPr="00AD791A">
        <w:rPr>
          <w:rStyle w:val="FootnoteReference"/>
          <w:rFonts w:ascii="Cambria" w:hAnsi="Cambria"/>
          <w:sz w:val="20"/>
          <w:szCs w:val="20"/>
          <w:lang w:val="es-MX"/>
        </w:rPr>
        <w:footnoteReference w:id="66"/>
      </w:r>
      <w:r w:rsidRPr="00AD791A">
        <w:rPr>
          <w:rFonts w:ascii="Cambria" w:hAnsi="Cambria"/>
          <w:sz w:val="20"/>
          <w:szCs w:val="20"/>
          <w:lang w:val="es-MX"/>
        </w:rPr>
        <w:t xml:space="preserve"> quien manifestó que </w:t>
      </w:r>
      <w:r w:rsidRPr="00AD791A">
        <w:rPr>
          <w:rFonts w:ascii="Cambria" w:hAnsi="Cambria" w:cs="Garamond"/>
          <w:sz w:val="20"/>
          <w:szCs w:val="20"/>
          <w:lang w:val="es-ES_tradnl"/>
        </w:rPr>
        <w:t>no sabía nada del asesinato</w:t>
      </w:r>
      <w:r w:rsidRPr="00AD791A">
        <w:rPr>
          <w:rStyle w:val="FootnoteReference"/>
          <w:rFonts w:ascii="Cambria" w:hAnsi="Cambria" w:cs="Garamond"/>
          <w:sz w:val="20"/>
          <w:szCs w:val="20"/>
          <w:lang w:val="es-ES_tradnl"/>
        </w:rPr>
        <w:footnoteReference w:id="67"/>
      </w:r>
      <w:r w:rsidRPr="00AD791A">
        <w:rPr>
          <w:rFonts w:ascii="Cambria" w:hAnsi="Cambria" w:cs="Garamond"/>
          <w:sz w:val="20"/>
          <w:szCs w:val="20"/>
          <w:lang w:val="es-ES_tradnl"/>
        </w:rPr>
        <w:t>.</w:t>
      </w:r>
    </w:p>
    <w:p w:rsidR="009D7F32" w:rsidRPr="00AD791A" w:rsidRDefault="009D7F32" w:rsidP="009D7F32">
      <w:pPr>
        <w:jc w:val="both"/>
        <w:rPr>
          <w:rFonts w:ascii="Cambria" w:hAnsi="Cambria" w:cs="Garamond"/>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cs="Garamond"/>
          <w:sz w:val="20"/>
          <w:szCs w:val="20"/>
          <w:lang w:val="es-ES_tradnl"/>
        </w:rPr>
        <w:t xml:space="preserve">El 18 de abril de 2002 la Policía Nacional remitió al Juzgado de Distrito </w:t>
      </w:r>
      <w:r w:rsidRPr="00AD791A">
        <w:rPr>
          <w:rFonts w:ascii="Cambria" w:hAnsi="Cambria"/>
          <w:sz w:val="20"/>
          <w:szCs w:val="20"/>
          <w:lang w:val="es-ES_tradnl"/>
        </w:rPr>
        <w:t>del Crimen</w:t>
      </w:r>
      <w:r w:rsidRPr="00AD791A">
        <w:rPr>
          <w:rFonts w:ascii="Cambria" w:hAnsi="Cambria" w:cs="Garamond"/>
          <w:sz w:val="20"/>
          <w:szCs w:val="20"/>
          <w:lang w:val="es-ES_tradnl"/>
        </w:rPr>
        <w:t xml:space="preserve"> las diligencias de la Médico Forense Suplente, mismas que informaban sobre la extracción del proyectil que privó de la vida al señor García Valle y que indicaban que se entregaba el referido proyectil a la Policía Nacional, por considerarlo “de mucha importancia para continuar investigaciones pertinentes del caso”</w:t>
      </w:r>
      <w:r w:rsidRPr="00AD791A">
        <w:rPr>
          <w:rStyle w:val="FootnoteReference"/>
          <w:rFonts w:ascii="Cambria" w:hAnsi="Cambria" w:cs="Garamond"/>
          <w:sz w:val="20"/>
          <w:szCs w:val="20"/>
          <w:lang w:val="es-ES_tradnl"/>
        </w:rPr>
        <w:footnoteReference w:id="68"/>
      </w:r>
      <w:r w:rsidRPr="00AD791A">
        <w:rPr>
          <w:rFonts w:ascii="Cambria" w:hAnsi="Cambria" w:cs="Garamond"/>
          <w:sz w:val="20"/>
          <w:szCs w:val="20"/>
          <w:lang w:val="es-ES_tradnl"/>
        </w:rPr>
        <w:t xml:space="preserve">. Ese mismo día, el Juez de Distrito </w:t>
      </w:r>
      <w:r w:rsidRPr="00AD791A">
        <w:rPr>
          <w:rFonts w:ascii="Cambria" w:hAnsi="Cambria"/>
          <w:sz w:val="20"/>
          <w:szCs w:val="20"/>
          <w:lang w:val="es-ES_tradnl"/>
        </w:rPr>
        <w:t>del Crimen</w:t>
      </w:r>
      <w:r w:rsidRPr="00AD791A">
        <w:rPr>
          <w:rFonts w:ascii="Cambria" w:hAnsi="Cambria" w:cs="Garamond"/>
          <w:sz w:val="20"/>
          <w:szCs w:val="20"/>
          <w:lang w:val="es-ES_tradnl"/>
        </w:rPr>
        <w:t xml:space="preserve"> realizó una inspección ocular en la casa de la familia García Acosta</w:t>
      </w:r>
      <w:r w:rsidRPr="00AD791A">
        <w:rPr>
          <w:rStyle w:val="FootnoteReference"/>
          <w:rFonts w:ascii="Cambria" w:hAnsi="Cambria" w:cs="Garamond"/>
          <w:sz w:val="20"/>
          <w:szCs w:val="20"/>
          <w:lang w:val="es-ES_tradnl"/>
        </w:rPr>
        <w:footnoteReference w:id="69"/>
      </w:r>
      <w:r w:rsidRPr="00AD791A">
        <w:rPr>
          <w:rFonts w:ascii="Cambria" w:hAnsi="Cambria" w:cs="Garamond"/>
          <w:sz w:val="20"/>
          <w:szCs w:val="20"/>
          <w:lang w:val="es-ES_tradnl"/>
        </w:rPr>
        <w:t>.</w:t>
      </w:r>
    </w:p>
    <w:p w:rsidR="009D7F32" w:rsidRPr="00AD791A" w:rsidRDefault="009D7F32" w:rsidP="009D7F32">
      <w:pPr>
        <w:jc w:val="both"/>
        <w:rPr>
          <w:rFonts w:ascii="Cambria" w:hAnsi="Cambria"/>
          <w:sz w:val="20"/>
          <w:szCs w:val="20"/>
          <w:lang w:val="es-ES_tradnl"/>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_tradnl"/>
        </w:rPr>
        <w:t>Con base en las solicitudes de la Fiscalía</w:t>
      </w:r>
      <w:r w:rsidRPr="00AD791A">
        <w:rPr>
          <w:rStyle w:val="FootnoteReference"/>
          <w:rFonts w:ascii="Cambria" w:hAnsi="Cambria"/>
          <w:sz w:val="20"/>
          <w:szCs w:val="20"/>
          <w:lang w:val="es-ES_tradnl"/>
        </w:rPr>
        <w:footnoteReference w:id="70"/>
      </w:r>
      <w:r w:rsidRPr="00AD791A">
        <w:rPr>
          <w:rFonts w:ascii="Cambria" w:hAnsi="Cambria"/>
          <w:sz w:val="20"/>
          <w:szCs w:val="20"/>
          <w:lang w:val="es-ES_tradnl"/>
        </w:rPr>
        <w:t>, el 19 de abril de 2002 el Juez de Distrito del Crimen ordenó allanamiento y registro domiciliario en la residencia de Peter Tsokos</w:t>
      </w:r>
      <w:r w:rsidRPr="00AD791A">
        <w:rPr>
          <w:rStyle w:val="FootnoteReference"/>
          <w:rFonts w:ascii="Cambria" w:hAnsi="Cambria"/>
          <w:sz w:val="20"/>
          <w:szCs w:val="20"/>
          <w:lang w:val="es-ES_tradnl"/>
        </w:rPr>
        <w:footnoteReference w:id="71"/>
      </w:r>
      <w:r w:rsidRPr="00AD791A">
        <w:rPr>
          <w:rFonts w:ascii="Cambria" w:hAnsi="Cambria"/>
          <w:sz w:val="20"/>
          <w:szCs w:val="20"/>
          <w:lang w:val="es-ES_tradnl"/>
        </w:rPr>
        <w:t xml:space="preserve"> y</w:t>
      </w:r>
      <w:r w:rsidRPr="00AD791A">
        <w:rPr>
          <w:rFonts w:ascii="Cambria" w:hAnsi="Cambria" w:cs="Garamond"/>
          <w:sz w:val="20"/>
          <w:szCs w:val="20"/>
          <w:lang w:val="es-ES_tradnl"/>
        </w:rPr>
        <w:t xml:space="preserve"> dirigió oficios a los gerentes de los bancos locales para averiguar si Iván Argüello había hecho transacciones. También se ofició al gerente de la compañía de teléfonos Empresa Nicaragüense de Telecomunicaciones (ENITEL) de la RAAS para obtener registros de las llamadas ingresadas a los teléfonos de la señora Acosta y de su esposo</w:t>
      </w:r>
      <w:r w:rsidRPr="00AD791A">
        <w:rPr>
          <w:rStyle w:val="FootnoteReference"/>
          <w:rFonts w:ascii="Cambria" w:hAnsi="Cambria" w:cs="Garamond"/>
          <w:sz w:val="20"/>
          <w:szCs w:val="20"/>
          <w:lang w:val="es-ES_tradnl"/>
        </w:rPr>
        <w:footnoteReference w:id="72"/>
      </w:r>
      <w:r w:rsidRPr="00AD791A">
        <w:rPr>
          <w:rFonts w:ascii="Cambria" w:hAnsi="Cambria" w:cs="Garamond"/>
          <w:sz w:val="20"/>
          <w:szCs w:val="20"/>
          <w:lang w:val="es-ES_tradnl"/>
        </w:rPr>
        <w:t xml:space="preserve">. </w:t>
      </w:r>
    </w:p>
    <w:p w:rsidR="009D7F32" w:rsidRPr="00AD791A" w:rsidRDefault="009D7F32" w:rsidP="009D7F32">
      <w:pPr>
        <w:jc w:val="both"/>
        <w:rPr>
          <w:rFonts w:ascii="Cambria" w:hAnsi="Cambria"/>
          <w:sz w:val="20"/>
          <w:szCs w:val="20"/>
          <w:lang w:val="es-ES_tradnl"/>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_tradnl"/>
        </w:rPr>
        <w:t xml:space="preserve">El mismo día Peter Tsokos </w:t>
      </w:r>
      <w:r w:rsidRPr="00AD791A">
        <w:rPr>
          <w:rFonts w:ascii="Cambria" w:hAnsi="Cambria" w:cs="Arial Narrow"/>
          <w:spacing w:val="-2"/>
          <w:sz w:val="20"/>
          <w:szCs w:val="20"/>
          <w:lang w:val="es-MX"/>
        </w:rPr>
        <w:t xml:space="preserve">rindió su declaración indagatoria, en la que negó los cargos y </w:t>
      </w:r>
      <w:r w:rsidRPr="00AD791A">
        <w:rPr>
          <w:rFonts w:ascii="Cambria" w:hAnsi="Cambria"/>
          <w:sz w:val="20"/>
          <w:szCs w:val="20"/>
          <w:lang w:val="es-ES_tradnl"/>
        </w:rPr>
        <w:t>manifestó que “los señalamientos de María Luisa coquete</w:t>
      </w:r>
      <w:r w:rsidRPr="00AD791A">
        <w:rPr>
          <w:rStyle w:val="st1"/>
          <w:rFonts w:ascii="Cambria" w:hAnsi="Cambria" w:cs="Arial"/>
          <w:sz w:val="20"/>
          <w:szCs w:val="20"/>
          <w:lang w:val="es-MX"/>
        </w:rPr>
        <w:t>[b]</w:t>
      </w:r>
      <w:r w:rsidRPr="00AD791A">
        <w:rPr>
          <w:rFonts w:ascii="Cambria" w:hAnsi="Cambria"/>
          <w:sz w:val="20"/>
          <w:szCs w:val="20"/>
          <w:lang w:val="es-ES_tradnl"/>
        </w:rPr>
        <w:t xml:space="preserve">an con la desesperación y estupidez propia de una persona desequilibrada” y acusó a María Luisa Acosta </w:t>
      </w:r>
      <w:r w:rsidRPr="00AD791A">
        <w:rPr>
          <w:rFonts w:ascii="Cambria" w:hAnsi="Cambria" w:cs="Garamond"/>
          <w:sz w:val="20"/>
          <w:szCs w:val="20"/>
          <w:lang w:val="es-ES_tradnl"/>
        </w:rPr>
        <w:t>del delito de encubrimiento de los asesinos de su esposo</w:t>
      </w:r>
      <w:r w:rsidRPr="00AD791A">
        <w:rPr>
          <w:rStyle w:val="FootnoteReference"/>
          <w:rFonts w:ascii="Cambria" w:hAnsi="Cambria" w:cs="Arial Narrow"/>
          <w:spacing w:val="-2"/>
          <w:sz w:val="20"/>
          <w:szCs w:val="20"/>
          <w:lang w:val="es-MX"/>
        </w:rPr>
        <w:footnoteReference w:id="73"/>
      </w:r>
      <w:r w:rsidRPr="00AD791A">
        <w:rPr>
          <w:rFonts w:ascii="Cambria" w:hAnsi="Cambria" w:cs="Arial Narrow"/>
          <w:spacing w:val="-2"/>
          <w:sz w:val="20"/>
          <w:szCs w:val="20"/>
          <w:lang w:val="es-MX"/>
        </w:rPr>
        <w:t xml:space="preserve">.  Igualmente se </w:t>
      </w:r>
      <w:r w:rsidRPr="00AD791A">
        <w:rPr>
          <w:rFonts w:ascii="Cambria" w:hAnsi="Cambria"/>
          <w:sz w:val="20"/>
          <w:szCs w:val="20"/>
          <w:lang w:val="es-ES_tradnl"/>
        </w:rPr>
        <w:t>recibió la declaración indagatoria de Peter Martínez, en la que rechazó los cargos</w:t>
      </w:r>
      <w:r w:rsidRPr="00AD791A">
        <w:rPr>
          <w:rStyle w:val="FootnoteReference"/>
          <w:rFonts w:ascii="Cambria" w:hAnsi="Cambria" w:cs="Garamond"/>
          <w:sz w:val="20"/>
          <w:szCs w:val="20"/>
          <w:lang w:val="es-ES_tradnl"/>
        </w:rPr>
        <w:footnoteReference w:id="74"/>
      </w:r>
      <w:r w:rsidRPr="00AD791A">
        <w:rPr>
          <w:rFonts w:ascii="Cambria" w:hAnsi="Cambria" w:cs="Garamond"/>
          <w:sz w:val="20"/>
          <w:szCs w:val="20"/>
          <w:lang w:val="es-ES_tradnl"/>
        </w:rPr>
        <w:t xml:space="preserve">. Ese mismo día y con base en esta declaración, el Juez de Distrito </w:t>
      </w:r>
      <w:r w:rsidRPr="00AD791A">
        <w:rPr>
          <w:rFonts w:ascii="Cambria" w:hAnsi="Cambria"/>
          <w:sz w:val="20"/>
          <w:szCs w:val="20"/>
          <w:lang w:val="es-ES_tradnl"/>
        </w:rPr>
        <w:t>del Crimen</w:t>
      </w:r>
      <w:r w:rsidRPr="00AD791A">
        <w:rPr>
          <w:rFonts w:ascii="Cambria" w:hAnsi="Cambria" w:cs="Garamond"/>
          <w:sz w:val="20"/>
          <w:szCs w:val="20"/>
          <w:lang w:val="es-ES_tradnl"/>
        </w:rPr>
        <w:t xml:space="preserve"> ordenó citar a María Luisa Acosta para que rindiera su declaración indagatoria por el delito de encubrimiento, previniéndosele para que nombrara un defensor o, en caso contrario, se le nombraría uno de oficio</w:t>
      </w:r>
      <w:r w:rsidRPr="00AD791A">
        <w:rPr>
          <w:rStyle w:val="FootnoteReference"/>
          <w:rFonts w:ascii="Cambria" w:hAnsi="Cambria"/>
          <w:sz w:val="20"/>
          <w:szCs w:val="20"/>
          <w:lang w:val="es-ES_tradnl"/>
        </w:rPr>
        <w:footnoteReference w:id="75"/>
      </w:r>
      <w:r w:rsidRPr="00AD791A">
        <w:rPr>
          <w:rFonts w:ascii="Cambria" w:hAnsi="Cambria" w:cs="Garamond"/>
          <w:sz w:val="20"/>
          <w:szCs w:val="20"/>
          <w:lang w:val="es-ES_tradnl"/>
        </w:rPr>
        <w:t>.</w:t>
      </w:r>
      <w:r w:rsidRPr="00AD791A">
        <w:rPr>
          <w:rFonts w:ascii="Cambria" w:hAnsi="Cambria"/>
          <w:sz w:val="20"/>
          <w:szCs w:val="20"/>
          <w:lang w:val="es-ES_tradnl"/>
        </w:rPr>
        <w:t xml:space="preserve"> </w:t>
      </w:r>
    </w:p>
    <w:p w:rsidR="009D7F32" w:rsidRPr="00AD791A" w:rsidRDefault="009D7F32" w:rsidP="009D7F32">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cs="Arial Narrow"/>
          <w:spacing w:val="-2"/>
          <w:sz w:val="20"/>
          <w:szCs w:val="20"/>
          <w:lang w:val="es-MX"/>
        </w:rPr>
      </w:pPr>
      <w:r w:rsidRPr="00AD791A">
        <w:rPr>
          <w:rFonts w:ascii="Cambria" w:hAnsi="Cambria" w:cs="Arial Narrow"/>
          <w:spacing w:val="-2"/>
          <w:sz w:val="20"/>
          <w:szCs w:val="20"/>
          <w:lang w:val="es-MX"/>
        </w:rPr>
        <w:t xml:space="preserve">Desde este día y hasta el 13 de mayo de 2002, se llevaron de manera paralela la investigación contra Maria Luisa Acosta por encubrimiento y la investigación por la muerte de su esposo. </w:t>
      </w:r>
    </w:p>
    <w:p w:rsidR="001A3698" w:rsidRPr="00AD791A" w:rsidRDefault="001A3698" w:rsidP="001A3698">
      <w:pPr>
        <w:jc w:val="both"/>
        <w:rPr>
          <w:rFonts w:ascii="Cambria" w:hAnsi="Cambria" w:cs="Arial Narrow"/>
          <w:spacing w:val="-2"/>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cs="Arial Narrow"/>
          <w:spacing w:val="-2"/>
          <w:sz w:val="20"/>
          <w:szCs w:val="20"/>
          <w:lang w:val="es-MX"/>
        </w:rPr>
        <w:t xml:space="preserve">Así, en cuanto al proceso contra Maria Luisa Acosta por encubrimiento, se le citó para que rindiera declaración el </w:t>
      </w:r>
      <w:r w:rsidRPr="00AD791A">
        <w:rPr>
          <w:rFonts w:ascii="Cambria" w:hAnsi="Cambria" w:cs="Garamond"/>
          <w:sz w:val="20"/>
          <w:szCs w:val="20"/>
          <w:lang w:val="es-ES_tradnl"/>
        </w:rPr>
        <w:t>23 y 25 de abril de 2002</w:t>
      </w:r>
      <w:r w:rsidRPr="00AD791A">
        <w:rPr>
          <w:rStyle w:val="FootnoteReference"/>
          <w:rFonts w:ascii="Cambria" w:hAnsi="Cambria" w:cs="Garamond"/>
          <w:sz w:val="20"/>
          <w:szCs w:val="20"/>
          <w:lang w:val="es-ES_tradnl"/>
        </w:rPr>
        <w:footnoteReference w:id="76"/>
      </w:r>
      <w:r w:rsidRPr="00AD791A">
        <w:rPr>
          <w:rFonts w:ascii="Cambria" w:hAnsi="Cambria" w:cs="Garamond"/>
          <w:sz w:val="20"/>
          <w:szCs w:val="20"/>
          <w:lang w:val="es-ES_tradnl"/>
        </w:rPr>
        <w:t>.</w:t>
      </w:r>
      <w:r w:rsidRPr="00AD791A">
        <w:rPr>
          <w:rFonts w:ascii="Cambria" w:hAnsi="Cambria"/>
          <w:sz w:val="20"/>
          <w:szCs w:val="20"/>
          <w:lang w:val="es-MX"/>
        </w:rPr>
        <w:t xml:space="preserve"> A pesar de que </w:t>
      </w:r>
      <w:r w:rsidRPr="00AD791A">
        <w:rPr>
          <w:rFonts w:ascii="Cambria" w:hAnsi="Cambria" w:cs="Arial Narrow"/>
          <w:spacing w:val="-2"/>
          <w:sz w:val="20"/>
          <w:szCs w:val="20"/>
          <w:lang w:val="es-MX"/>
        </w:rPr>
        <w:t>la Fiscalía  solicitó al Juez de Distrito del Crimen emitir un exhorto al Juez de Chinandega para que María Luisa Acosta rindiera su declaración allí debido al cambio de</w:t>
      </w:r>
      <w:r w:rsidRPr="00AD791A">
        <w:rPr>
          <w:rFonts w:ascii="Cambria" w:hAnsi="Cambria" w:cs="Arial Narrow"/>
          <w:iCs/>
          <w:spacing w:val="4"/>
          <w:sz w:val="20"/>
          <w:szCs w:val="20"/>
          <w:lang w:val="es-ES_tradnl"/>
        </w:rPr>
        <w:t xml:space="preserve"> domicilio</w:t>
      </w:r>
      <w:r w:rsidRPr="00AD791A">
        <w:rPr>
          <w:rStyle w:val="FootnoteReference"/>
          <w:rFonts w:ascii="Cambria" w:hAnsi="Cambria" w:cs="Arial Narrow"/>
          <w:sz w:val="20"/>
          <w:szCs w:val="20"/>
          <w:lang w:val="es-ES_tradnl"/>
        </w:rPr>
        <w:footnoteReference w:id="77"/>
      </w:r>
      <w:r w:rsidRPr="00AD791A">
        <w:rPr>
          <w:rFonts w:ascii="Cambria" w:hAnsi="Cambria" w:cs="Arial Narrow"/>
          <w:iCs/>
          <w:spacing w:val="6"/>
          <w:sz w:val="20"/>
          <w:szCs w:val="20"/>
          <w:lang w:val="es-ES_tradnl"/>
        </w:rPr>
        <w:t>, esta solicitud fue desestimada</w:t>
      </w:r>
      <w:r w:rsidRPr="00AD791A">
        <w:rPr>
          <w:rStyle w:val="FootnoteReference"/>
          <w:rFonts w:ascii="Cambria" w:hAnsi="Cambria" w:cs="Arial Narrow"/>
          <w:iCs/>
          <w:spacing w:val="6"/>
          <w:sz w:val="20"/>
          <w:szCs w:val="20"/>
          <w:lang w:val="es-ES_tradnl"/>
        </w:rPr>
        <w:footnoteReference w:id="78"/>
      </w:r>
      <w:r w:rsidRPr="00AD791A">
        <w:rPr>
          <w:rFonts w:ascii="Cambria" w:hAnsi="Cambria" w:cs="Arial Narrow"/>
          <w:iCs/>
          <w:spacing w:val="6"/>
          <w:sz w:val="20"/>
          <w:szCs w:val="20"/>
          <w:lang w:val="es-ES_tradnl"/>
        </w:rPr>
        <w:t xml:space="preserve">. </w:t>
      </w:r>
      <w:r w:rsidRPr="00AD791A">
        <w:rPr>
          <w:rFonts w:ascii="Cambria" w:hAnsi="Cambria" w:cs="Arial Narrow"/>
          <w:spacing w:val="-2"/>
          <w:sz w:val="20"/>
          <w:szCs w:val="20"/>
          <w:lang w:val="es-MX"/>
        </w:rPr>
        <w:t>El 26 de abril de 2002 en vista de que María Luisa Acosta no compareció, se ordenó a la fuerza pública presentarla ante el Juzgado el 30</w:t>
      </w:r>
      <w:r w:rsidRPr="00AD791A">
        <w:rPr>
          <w:rFonts w:ascii="Cambria" w:hAnsi="Cambria" w:cs="Arial Narrow"/>
          <w:iCs/>
          <w:spacing w:val="6"/>
          <w:sz w:val="20"/>
          <w:szCs w:val="20"/>
          <w:lang w:val="es-ES_tradnl"/>
        </w:rPr>
        <w:t xml:space="preserve"> de abril de 2002</w:t>
      </w:r>
      <w:r w:rsidRPr="00AD791A">
        <w:rPr>
          <w:rStyle w:val="FootnoteReference"/>
          <w:rFonts w:ascii="Cambria" w:hAnsi="Cambria" w:cs="Arial Narrow"/>
          <w:iCs/>
          <w:spacing w:val="6"/>
          <w:sz w:val="20"/>
          <w:szCs w:val="20"/>
          <w:lang w:val="es-ES_tradnl"/>
        </w:rPr>
        <w:footnoteReference w:id="79"/>
      </w:r>
      <w:r w:rsidRPr="00AD791A">
        <w:rPr>
          <w:rFonts w:ascii="Cambria" w:hAnsi="Cambria" w:cs="Arial Narrow"/>
          <w:iCs/>
          <w:spacing w:val="6"/>
          <w:sz w:val="20"/>
          <w:szCs w:val="20"/>
          <w:lang w:val="es-ES_tradnl"/>
        </w:rPr>
        <w:t xml:space="preserve">. </w:t>
      </w:r>
      <w:r w:rsidRPr="00AD791A">
        <w:rPr>
          <w:rFonts w:ascii="Cambria" w:hAnsi="Cambria"/>
          <w:sz w:val="20"/>
          <w:szCs w:val="20"/>
          <w:lang w:val="es-ES_tradnl"/>
        </w:rPr>
        <w:t>El 29 de abril 2002 el representante legal de la señora Acosta, mediante un poder generalísimo otorgado por la misma, solicitó al Juez que se le otorgara la intervención de ley en el proceso como su representante legal y acusó a Iván Argüello de ser el responsable del homicidio del señor García Valle</w:t>
      </w:r>
      <w:r w:rsidRPr="00AD791A">
        <w:rPr>
          <w:rStyle w:val="FootnoteReference"/>
          <w:rFonts w:ascii="Cambria" w:hAnsi="Cambria" w:cs="Arial Narrow"/>
          <w:spacing w:val="-2"/>
          <w:sz w:val="20"/>
          <w:szCs w:val="20"/>
          <w:lang w:val="es-ES_tradnl"/>
        </w:rPr>
        <w:footnoteReference w:id="80"/>
      </w:r>
      <w:r w:rsidRPr="00AD791A">
        <w:rPr>
          <w:rFonts w:ascii="Cambria" w:hAnsi="Cambria"/>
          <w:sz w:val="20"/>
          <w:szCs w:val="20"/>
          <w:lang w:val="es-ES_tradnl"/>
        </w:rPr>
        <w:t xml:space="preserve">. </w:t>
      </w:r>
      <w:r w:rsidRPr="00AD791A">
        <w:rPr>
          <w:rFonts w:ascii="Cambria" w:hAnsi="Cambria" w:cs="Arial Narrow"/>
          <w:spacing w:val="-2"/>
          <w:sz w:val="20"/>
          <w:szCs w:val="20"/>
          <w:lang w:val="es-ES"/>
        </w:rPr>
        <w:t xml:space="preserve">El 2 de mayo de 2002 el Juez de Distrito del Crimen no admitió la acusación contra </w:t>
      </w:r>
      <w:r w:rsidRPr="00AD791A">
        <w:rPr>
          <w:rFonts w:ascii="Cambria" w:hAnsi="Cambria"/>
          <w:sz w:val="20"/>
          <w:szCs w:val="20"/>
          <w:lang w:val="es-ES_tradnl"/>
        </w:rPr>
        <w:t>Iván Argüello</w:t>
      </w:r>
      <w:r w:rsidRPr="00AD791A">
        <w:rPr>
          <w:rFonts w:ascii="Cambria" w:hAnsi="Cambria" w:cs="Arial Narrow"/>
          <w:spacing w:val="-2"/>
          <w:sz w:val="20"/>
          <w:szCs w:val="20"/>
          <w:lang w:val="es-ES"/>
        </w:rPr>
        <w:t xml:space="preserve"> ya que, para interponerla, era necesario</w:t>
      </w:r>
      <w:r w:rsidRPr="00AD791A">
        <w:rPr>
          <w:rFonts w:ascii="Cambria" w:hAnsi="Cambria" w:cs="Garamond"/>
          <w:sz w:val="20"/>
          <w:szCs w:val="20"/>
          <w:lang w:val="es-ES_tradnl"/>
        </w:rPr>
        <w:t xml:space="preserve"> un poder especialísimo</w:t>
      </w:r>
      <w:r w:rsidRPr="00AD791A">
        <w:rPr>
          <w:rStyle w:val="FootnoteReference"/>
          <w:rFonts w:ascii="Cambria" w:hAnsi="Cambria" w:cs="Garamond"/>
          <w:sz w:val="20"/>
          <w:szCs w:val="20"/>
          <w:lang w:val="es-ES_tradnl"/>
        </w:rPr>
        <w:footnoteReference w:id="81"/>
      </w:r>
      <w:r w:rsidRPr="00AD791A">
        <w:rPr>
          <w:rFonts w:ascii="Cambria" w:hAnsi="Cambria" w:cs="Garamond"/>
          <w:sz w:val="20"/>
          <w:szCs w:val="20"/>
          <w:lang w:val="es-ES_tradnl"/>
        </w:rPr>
        <w:t>. En este mismo auto, y en vista de que María Luisa Acosta no había comparecido en dos ocasiones, el Juez decretó arresto provisional en su contra</w:t>
      </w:r>
      <w:r w:rsidRPr="00AD791A">
        <w:rPr>
          <w:rStyle w:val="FootnoteReference"/>
          <w:rFonts w:ascii="Cambria" w:hAnsi="Cambria" w:cs="Garamond"/>
          <w:sz w:val="20"/>
          <w:szCs w:val="20"/>
          <w:lang w:val="es-ES_tradnl"/>
        </w:rPr>
        <w:footnoteReference w:id="82"/>
      </w:r>
      <w:r w:rsidRPr="00AD791A">
        <w:rPr>
          <w:rFonts w:ascii="Cambria" w:hAnsi="Cambria" w:cs="Garamond"/>
          <w:sz w:val="20"/>
          <w:szCs w:val="20"/>
          <w:lang w:val="es-ES_tradnl"/>
        </w:rPr>
        <w:t xml:space="preserve"> y, al día siguiente, emitió una orden de captura contra ella</w:t>
      </w:r>
      <w:r w:rsidRPr="00AD791A">
        <w:rPr>
          <w:rStyle w:val="FootnoteReference"/>
          <w:rFonts w:ascii="Cambria" w:hAnsi="Cambria" w:cs="Garamond"/>
          <w:sz w:val="20"/>
          <w:szCs w:val="20"/>
          <w:lang w:val="es-ES_tradnl"/>
        </w:rPr>
        <w:footnoteReference w:id="83"/>
      </w:r>
      <w:r w:rsidRPr="00AD791A">
        <w:rPr>
          <w:rFonts w:ascii="Cambria" w:hAnsi="Cambria" w:cs="Garamond"/>
          <w:sz w:val="20"/>
          <w:szCs w:val="20"/>
          <w:lang w:val="es-ES_tradnl"/>
        </w:rPr>
        <w:t>. El 3 de mayo de 2002 el representante legal de la señora Acosta interpuso recurso de apelación</w:t>
      </w:r>
      <w:r w:rsidRPr="00AD791A">
        <w:rPr>
          <w:rStyle w:val="FootnoteReference"/>
          <w:rFonts w:ascii="Cambria" w:hAnsi="Cambria" w:cs="Garamond"/>
          <w:sz w:val="20"/>
          <w:szCs w:val="20"/>
          <w:lang w:val="es-ES_tradnl"/>
        </w:rPr>
        <w:footnoteReference w:id="84"/>
      </w:r>
      <w:r w:rsidRPr="00AD791A">
        <w:rPr>
          <w:rFonts w:ascii="Cambria" w:hAnsi="Cambria" w:cs="Garamond"/>
          <w:sz w:val="20"/>
          <w:szCs w:val="20"/>
          <w:lang w:val="es-ES_tradnl"/>
        </w:rPr>
        <w:t>, pero éste fue negado por no ser parte procesal</w:t>
      </w:r>
      <w:r w:rsidRPr="00AD791A">
        <w:rPr>
          <w:rStyle w:val="FootnoteReference"/>
          <w:rFonts w:ascii="Cambria" w:hAnsi="Cambria" w:cs="Garamond"/>
          <w:sz w:val="20"/>
          <w:szCs w:val="20"/>
          <w:lang w:val="es-ES_tradnl"/>
        </w:rPr>
        <w:footnoteReference w:id="85"/>
      </w:r>
      <w:r w:rsidRPr="00AD791A">
        <w:rPr>
          <w:rFonts w:ascii="Cambria" w:hAnsi="Cambria" w:cs="Garamond"/>
          <w:sz w:val="20"/>
          <w:szCs w:val="20"/>
          <w:lang w:val="es-ES_tradnl"/>
        </w:rPr>
        <w:t xml:space="preserve">. El 10 de mayo de 2002 el representante legal </w:t>
      </w:r>
      <w:r w:rsidRPr="00AD791A">
        <w:rPr>
          <w:rFonts w:ascii="Cambria" w:hAnsi="Cambria" w:cs="Tahoma"/>
          <w:spacing w:val="-2"/>
          <w:sz w:val="20"/>
          <w:szCs w:val="20"/>
          <w:lang w:val="es-ES_tradnl"/>
        </w:rPr>
        <w:t xml:space="preserve">de María Luisa Acosta, con un poder especial para acusar en juicio criminal, solicitó </w:t>
      </w:r>
      <w:r w:rsidRPr="00AD791A">
        <w:rPr>
          <w:rFonts w:ascii="Cambria" w:hAnsi="Cambria" w:cs="Arial Narrow"/>
          <w:spacing w:val="8"/>
          <w:sz w:val="20"/>
          <w:szCs w:val="20"/>
          <w:lang w:val="es-ES_tradnl"/>
        </w:rPr>
        <w:t xml:space="preserve">nuevamente </w:t>
      </w:r>
      <w:r w:rsidRPr="00AD791A">
        <w:rPr>
          <w:rFonts w:ascii="Cambria" w:hAnsi="Cambria" w:cs="Tahoma"/>
          <w:spacing w:val="-2"/>
          <w:sz w:val="20"/>
          <w:szCs w:val="20"/>
          <w:lang w:val="es-ES_tradnl"/>
        </w:rPr>
        <w:t xml:space="preserve">constituirse </w:t>
      </w:r>
      <w:r w:rsidRPr="00AD791A">
        <w:rPr>
          <w:rFonts w:ascii="Cambria" w:hAnsi="Cambria" w:cs="Arial Narrow"/>
          <w:iCs/>
          <w:spacing w:val="6"/>
          <w:sz w:val="20"/>
          <w:szCs w:val="20"/>
          <w:lang w:val="es-ES_tradnl"/>
        </w:rPr>
        <w:t xml:space="preserve">en </w:t>
      </w:r>
      <w:r w:rsidRPr="00AD791A">
        <w:rPr>
          <w:rFonts w:ascii="Cambria" w:hAnsi="Cambria" w:cs="Tahoma"/>
          <w:spacing w:val="-2"/>
          <w:sz w:val="20"/>
          <w:szCs w:val="20"/>
          <w:lang w:val="es-ES_tradnl"/>
        </w:rPr>
        <w:t>parte acusadora y denunció a</w:t>
      </w:r>
      <w:r w:rsidRPr="00AD791A">
        <w:rPr>
          <w:rFonts w:ascii="Cambria" w:hAnsi="Cambria" w:cs="Arial Narrow"/>
          <w:i/>
          <w:iCs/>
          <w:spacing w:val="6"/>
          <w:sz w:val="20"/>
          <w:szCs w:val="20"/>
          <w:lang w:val="es-ES_tradnl"/>
        </w:rPr>
        <w:t xml:space="preserve"> </w:t>
      </w:r>
      <w:r w:rsidRPr="00AD791A">
        <w:rPr>
          <w:rFonts w:ascii="Cambria" w:hAnsi="Cambria" w:cs="Tahoma"/>
          <w:spacing w:val="-2"/>
          <w:sz w:val="20"/>
          <w:szCs w:val="20"/>
          <w:lang w:val="es-ES_tradnl"/>
        </w:rPr>
        <w:t xml:space="preserve">Iván Argüello </w:t>
      </w:r>
      <w:r w:rsidRPr="00AD791A">
        <w:rPr>
          <w:rFonts w:ascii="Cambria" w:hAnsi="Cambria" w:cs="Arial Narrow"/>
          <w:iCs/>
          <w:spacing w:val="6"/>
          <w:sz w:val="20"/>
          <w:szCs w:val="20"/>
          <w:lang w:val="es-ES_tradnl"/>
        </w:rPr>
        <w:t>y a</w:t>
      </w:r>
      <w:r w:rsidRPr="00AD791A">
        <w:rPr>
          <w:rFonts w:ascii="Cambria" w:hAnsi="Cambria" w:cs="Arial Narrow"/>
          <w:i/>
          <w:iCs/>
          <w:spacing w:val="6"/>
          <w:sz w:val="20"/>
          <w:szCs w:val="20"/>
          <w:lang w:val="es-ES_tradnl"/>
        </w:rPr>
        <w:t xml:space="preserve"> </w:t>
      </w:r>
      <w:r w:rsidRPr="00AD791A">
        <w:rPr>
          <w:rFonts w:ascii="Cambria" w:hAnsi="Cambria" w:cs="Tahoma"/>
          <w:spacing w:val="-2"/>
          <w:sz w:val="20"/>
          <w:szCs w:val="20"/>
          <w:lang w:val="es-ES_tradnl"/>
        </w:rPr>
        <w:t xml:space="preserve">cualquier </w:t>
      </w:r>
      <w:r w:rsidRPr="00AD791A">
        <w:rPr>
          <w:rFonts w:ascii="Cambria" w:hAnsi="Cambria" w:cs="Arial Narrow"/>
          <w:iCs/>
          <w:spacing w:val="6"/>
          <w:sz w:val="20"/>
          <w:szCs w:val="20"/>
          <w:lang w:val="es-ES_tradnl"/>
        </w:rPr>
        <w:t>otra</w:t>
      </w:r>
      <w:r w:rsidRPr="00AD791A">
        <w:rPr>
          <w:rFonts w:ascii="Cambria" w:hAnsi="Cambria" w:cs="Arial Narrow"/>
          <w:i/>
          <w:iCs/>
          <w:spacing w:val="6"/>
          <w:sz w:val="20"/>
          <w:szCs w:val="20"/>
          <w:lang w:val="es-ES_tradnl"/>
        </w:rPr>
        <w:t xml:space="preserve"> </w:t>
      </w:r>
      <w:r w:rsidRPr="00AD791A">
        <w:rPr>
          <w:rFonts w:ascii="Cambria" w:hAnsi="Cambria" w:cs="Tahoma"/>
          <w:spacing w:val="-2"/>
          <w:sz w:val="20"/>
          <w:szCs w:val="20"/>
          <w:lang w:val="es-ES_tradnl"/>
        </w:rPr>
        <w:t>persona que resultare involucrada en el asesinato del señor García Valle</w:t>
      </w:r>
      <w:r w:rsidRPr="00AD791A">
        <w:rPr>
          <w:rStyle w:val="FootnoteReference"/>
          <w:rFonts w:ascii="Cambria" w:hAnsi="Cambria" w:cs="Tahoma"/>
          <w:spacing w:val="-2"/>
          <w:sz w:val="20"/>
          <w:szCs w:val="20"/>
          <w:lang w:val="es-ES_tradnl"/>
        </w:rPr>
        <w:footnoteReference w:id="86"/>
      </w:r>
      <w:r w:rsidRPr="00AD791A">
        <w:rPr>
          <w:rFonts w:ascii="Cambria" w:hAnsi="Cambria" w:cs="Tahoma"/>
          <w:spacing w:val="-2"/>
          <w:sz w:val="20"/>
          <w:szCs w:val="20"/>
          <w:lang w:val="es-ES_tradnl"/>
        </w:rPr>
        <w:t xml:space="preserve">. </w:t>
      </w:r>
      <w:r w:rsidRPr="00AD791A">
        <w:rPr>
          <w:rFonts w:ascii="Cambria" w:hAnsi="Cambria" w:cs="Garamond"/>
          <w:spacing w:val="-2"/>
          <w:sz w:val="20"/>
          <w:szCs w:val="20"/>
          <w:lang w:val="es-ES_tradnl"/>
        </w:rPr>
        <w:t xml:space="preserve">El </w:t>
      </w:r>
      <w:r w:rsidRPr="00AD791A">
        <w:rPr>
          <w:rFonts w:ascii="Cambria" w:hAnsi="Cambria" w:cs="Garamond"/>
          <w:sz w:val="20"/>
          <w:szCs w:val="20"/>
          <w:lang w:val="es-ES_tradnl"/>
        </w:rPr>
        <w:t xml:space="preserve">13 de mayo de 2002 el Juez de Distrito </w:t>
      </w:r>
      <w:r w:rsidRPr="00AD791A">
        <w:rPr>
          <w:rFonts w:ascii="Cambria" w:hAnsi="Cambria"/>
          <w:sz w:val="20"/>
          <w:szCs w:val="20"/>
          <w:lang w:val="es-ES_tradnl"/>
        </w:rPr>
        <w:t>del Crimen</w:t>
      </w:r>
      <w:r w:rsidRPr="00AD791A">
        <w:rPr>
          <w:rFonts w:ascii="Cambria" w:hAnsi="Cambria" w:cs="Garamond"/>
          <w:sz w:val="20"/>
          <w:szCs w:val="20"/>
          <w:lang w:val="es-ES_tradnl"/>
        </w:rPr>
        <w:t xml:space="preserve"> admitió esta acusación y le otorgó al representante legal de María Luisa Acosta intervención de ley en el proceso</w:t>
      </w:r>
      <w:r w:rsidRPr="00AD791A">
        <w:rPr>
          <w:rStyle w:val="FootnoteReference"/>
          <w:rFonts w:ascii="Cambria" w:hAnsi="Cambria" w:cs="Garamond"/>
          <w:sz w:val="20"/>
          <w:szCs w:val="20"/>
          <w:lang w:val="es-ES_tradnl"/>
        </w:rPr>
        <w:footnoteReference w:id="87"/>
      </w:r>
      <w:r w:rsidRPr="00AD791A">
        <w:rPr>
          <w:rFonts w:ascii="Cambria" w:hAnsi="Cambria" w:cs="Garamond"/>
          <w:sz w:val="20"/>
          <w:szCs w:val="20"/>
          <w:lang w:val="es-ES_tradnl"/>
        </w:rPr>
        <w:t>.</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cs="Garamond"/>
          <w:sz w:val="20"/>
          <w:szCs w:val="20"/>
          <w:lang w:val="es-ES_tradnl"/>
        </w:rPr>
        <w:t xml:space="preserve">Respecto de la investigación de </w:t>
      </w:r>
      <w:r w:rsidR="003A31FB" w:rsidRPr="00AD791A">
        <w:rPr>
          <w:rFonts w:ascii="Cambria" w:hAnsi="Cambria" w:cs="Garamond"/>
          <w:sz w:val="20"/>
          <w:szCs w:val="20"/>
          <w:lang w:val="es-ES_tradnl"/>
        </w:rPr>
        <w:t>l</w:t>
      </w:r>
      <w:r w:rsidRPr="00AD791A">
        <w:rPr>
          <w:rFonts w:ascii="Cambria" w:hAnsi="Cambria" w:cs="Garamond"/>
          <w:sz w:val="20"/>
          <w:szCs w:val="20"/>
          <w:lang w:val="es-ES_tradnl"/>
        </w:rPr>
        <w:t xml:space="preserve">a muerte del señor García Valle durante estos mismos días, el 22 de abril de 2002 y el 9 de mayo de 2002, distintos bancos locales informaron al Juez de Distrito </w:t>
      </w:r>
      <w:r w:rsidRPr="00AD791A">
        <w:rPr>
          <w:rFonts w:ascii="Cambria" w:hAnsi="Cambria"/>
          <w:sz w:val="20"/>
          <w:szCs w:val="20"/>
          <w:lang w:val="es-ES_tradnl"/>
        </w:rPr>
        <w:t>del Crimen</w:t>
      </w:r>
      <w:r w:rsidRPr="00AD791A">
        <w:rPr>
          <w:rFonts w:ascii="Cambria" w:hAnsi="Cambria" w:cs="Garamond"/>
          <w:sz w:val="20"/>
          <w:szCs w:val="20"/>
          <w:lang w:val="es-ES_tradnl"/>
        </w:rPr>
        <w:t xml:space="preserve"> que Iván Argüello no era cliente ni había realizado transacciones en los últimos 20 días</w:t>
      </w:r>
      <w:r w:rsidRPr="00AD791A">
        <w:rPr>
          <w:rStyle w:val="FootnoteReference"/>
          <w:rFonts w:ascii="Cambria" w:hAnsi="Cambria" w:cs="Garamond"/>
          <w:sz w:val="20"/>
          <w:szCs w:val="20"/>
          <w:lang w:val="es-ES_tradnl"/>
        </w:rPr>
        <w:footnoteReference w:id="88"/>
      </w:r>
      <w:r w:rsidRPr="00AD791A">
        <w:rPr>
          <w:rFonts w:ascii="Cambria" w:hAnsi="Cambria" w:cs="Garamond"/>
          <w:sz w:val="20"/>
          <w:szCs w:val="20"/>
          <w:lang w:val="es-ES_tradnl"/>
        </w:rPr>
        <w:t xml:space="preserve">. </w:t>
      </w:r>
      <w:r w:rsidRPr="00AD791A">
        <w:rPr>
          <w:rFonts w:ascii="Cambria" w:hAnsi="Cambria" w:cs="Arial Narrow"/>
          <w:spacing w:val="-2"/>
          <w:sz w:val="20"/>
          <w:szCs w:val="20"/>
          <w:lang w:val="es-MX"/>
        </w:rPr>
        <w:t xml:space="preserve">El 23 de abril de 2002 la Policía Nacional envió al Juez de Distrito el resultado del registro domiciliario realizado el 16 de abril de 2002 en la Funeraria La Paz y en el domicilio de Peter Tsokos, los cuales fueron calificados como que “no </w:t>
      </w:r>
      <w:r w:rsidRPr="00AD791A">
        <w:rPr>
          <w:rStyle w:val="st1"/>
          <w:rFonts w:ascii="Cambria" w:hAnsi="Cambria" w:cs="Arial"/>
          <w:sz w:val="20"/>
          <w:szCs w:val="20"/>
          <w:lang w:val="es-MX"/>
        </w:rPr>
        <w:t>[eran]</w:t>
      </w:r>
      <w:r w:rsidRPr="00AD791A">
        <w:rPr>
          <w:rFonts w:ascii="Cambria" w:hAnsi="Cambria" w:cs="Arial Narrow"/>
          <w:spacing w:val="-2"/>
          <w:sz w:val="20"/>
          <w:szCs w:val="20"/>
          <w:lang w:val="es-MX"/>
        </w:rPr>
        <w:t xml:space="preserve"> de interés policial”</w:t>
      </w:r>
      <w:r w:rsidRPr="00AD791A">
        <w:rPr>
          <w:rStyle w:val="FootnoteReference"/>
          <w:rFonts w:ascii="Cambria" w:hAnsi="Cambria" w:cs="Arial Narrow"/>
          <w:spacing w:val="-2"/>
          <w:sz w:val="20"/>
          <w:szCs w:val="20"/>
          <w:lang w:val="es-MX"/>
        </w:rPr>
        <w:footnoteReference w:id="89"/>
      </w:r>
      <w:r w:rsidRPr="00AD791A">
        <w:rPr>
          <w:rFonts w:ascii="Cambria" w:hAnsi="Cambria" w:cs="Arial Narrow"/>
          <w:spacing w:val="-2"/>
          <w:sz w:val="20"/>
          <w:szCs w:val="20"/>
          <w:lang w:val="es-MX"/>
        </w:rPr>
        <w:t>. También se envió el informe pericial del Jefe de Laboratorio de Criminalística de la Policía Nacional en el que se indicó que no se pudo determinar la especie y grupo sanguíneo de la sangre obtenida del cuerpo del señor García Valle y de otros objetos</w:t>
      </w:r>
      <w:r w:rsidRPr="00AD791A">
        <w:rPr>
          <w:rStyle w:val="FootnoteReference"/>
          <w:rFonts w:ascii="Cambria" w:hAnsi="Cambria" w:cs="Arial Narrow"/>
          <w:spacing w:val="-2"/>
          <w:sz w:val="20"/>
          <w:szCs w:val="20"/>
          <w:lang w:val="es-MX"/>
        </w:rPr>
        <w:footnoteReference w:id="90"/>
      </w:r>
      <w:r w:rsidRPr="00AD791A">
        <w:rPr>
          <w:rFonts w:ascii="Cambria" w:hAnsi="Cambria" w:cs="Arial Narrow"/>
          <w:spacing w:val="-2"/>
          <w:sz w:val="20"/>
          <w:szCs w:val="20"/>
          <w:lang w:val="es-MX"/>
        </w:rPr>
        <w:t>.</w:t>
      </w:r>
      <w:r w:rsidRPr="00AD791A">
        <w:rPr>
          <w:rFonts w:ascii="Cambria" w:hAnsi="Cambria"/>
          <w:sz w:val="20"/>
          <w:szCs w:val="20"/>
          <w:lang w:val="es-MX"/>
        </w:rPr>
        <w:t xml:space="preserve"> Este informe fue ampliado e</w:t>
      </w:r>
      <w:r w:rsidRPr="00AD791A">
        <w:rPr>
          <w:rFonts w:ascii="Cambria" w:hAnsi="Cambria" w:cs="Arial Narrow"/>
          <w:spacing w:val="-2"/>
          <w:sz w:val="20"/>
          <w:szCs w:val="20"/>
          <w:lang w:val="es-ES_tradnl"/>
        </w:rPr>
        <w:t>l 6 de mayo de 2002 concluyendo que su grupo sanguíneo era de propiedad “O”</w:t>
      </w:r>
      <w:r w:rsidRPr="00AD791A">
        <w:rPr>
          <w:rStyle w:val="FootnoteReference"/>
          <w:rFonts w:ascii="Cambria" w:hAnsi="Cambria" w:cs="Arial Narrow"/>
          <w:spacing w:val="-2"/>
          <w:sz w:val="20"/>
          <w:szCs w:val="20"/>
          <w:lang w:val="es-ES_tradnl"/>
        </w:rPr>
        <w:footnoteReference w:id="91"/>
      </w:r>
      <w:r w:rsidRPr="00AD791A">
        <w:rPr>
          <w:rFonts w:ascii="Cambria" w:hAnsi="Cambria" w:cs="Arial Narrow"/>
          <w:spacing w:val="-2"/>
          <w:sz w:val="20"/>
          <w:szCs w:val="20"/>
          <w:lang w:val="es-ES_tradnl"/>
        </w:rPr>
        <w:t>. Asimismo, se indicó que no se pudo determinar la especie y grupo sangu</w:t>
      </w:r>
      <w:r w:rsidRPr="00AD791A">
        <w:rPr>
          <w:rFonts w:ascii="Cambria" w:hAnsi="Cambria"/>
          <w:spacing w:val="-2"/>
          <w:sz w:val="20"/>
          <w:szCs w:val="20"/>
          <w:lang w:val="es-ES_tradnl"/>
        </w:rPr>
        <w:t>íneo de la sangre encontrada en otros objetos</w:t>
      </w:r>
      <w:r w:rsidRPr="00AD791A">
        <w:rPr>
          <w:rStyle w:val="FootnoteReference"/>
          <w:rFonts w:ascii="Cambria" w:hAnsi="Cambria" w:cs="Arial Narrow"/>
          <w:spacing w:val="-2"/>
          <w:sz w:val="20"/>
          <w:szCs w:val="20"/>
          <w:lang w:val="es-ES_tradnl"/>
        </w:rPr>
        <w:footnoteReference w:id="92"/>
      </w:r>
      <w:r w:rsidRPr="00AD791A">
        <w:rPr>
          <w:rFonts w:ascii="Cambria" w:hAnsi="Cambria" w:cs="Arial Narrow"/>
          <w:spacing w:val="-2"/>
          <w:sz w:val="20"/>
          <w:szCs w:val="20"/>
          <w:lang w:val="es-ES_tradnl"/>
        </w:rPr>
        <w:t>.</w:t>
      </w:r>
    </w:p>
    <w:p w:rsidR="009D7F32" w:rsidRPr="00AD791A" w:rsidRDefault="009D7F32" w:rsidP="009D7F32">
      <w:pPr>
        <w:jc w:val="both"/>
        <w:rPr>
          <w:rFonts w:ascii="Cambria" w:hAnsi="Cambria" w:cs="Arial Narrow"/>
          <w:spacing w:val="-2"/>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cs="Tahoma"/>
          <w:spacing w:val="-2"/>
          <w:sz w:val="20"/>
          <w:szCs w:val="20"/>
          <w:lang w:val="es-ES_tradnl"/>
        </w:rPr>
        <w:t xml:space="preserve">El 10 de mayo de 2002 </w:t>
      </w:r>
      <w:r w:rsidRPr="00AD791A">
        <w:rPr>
          <w:rFonts w:ascii="Cambria" w:hAnsi="Cambria" w:cs="Arial Narrow"/>
          <w:spacing w:val="-2"/>
          <w:sz w:val="20"/>
          <w:szCs w:val="20"/>
          <w:lang w:val="es-ES"/>
        </w:rPr>
        <w:t xml:space="preserve">el representante legal de la señora Acosta presentó el primero de cuatro incidentes de nulidad que fueron interpuestos a lo largo de este proceso judicial. Específicamente, con este incidente se solicitó la nulidad desde </w:t>
      </w:r>
      <w:r w:rsidRPr="00AD791A">
        <w:rPr>
          <w:rFonts w:ascii="Cambria" w:hAnsi="Cambria" w:cs="Tahoma"/>
          <w:spacing w:val="-4"/>
          <w:sz w:val="20"/>
          <w:szCs w:val="20"/>
          <w:lang w:val="es-ES_tradnl"/>
        </w:rPr>
        <w:t xml:space="preserve">el auto del 19 de abril de 2002  mediante el cual se ordenó recibir </w:t>
      </w:r>
      <w:r w:rsidRPr="00AD791A">
        <w:rPr>
          <w:rFonts w:ascii="Cambria" w:hAnsi="Cambria" w:cs="Tahoma"/>
          <w:spacing w:val="-2"/>
          <w:sz w:val="20"/>
          <w:szCs w:val="20"/>
          <w:lang w:val="es-ES_tradnl"/>
        </w:rPr>
        <w:t>la declaración indagatoria de la señora Acosta por la acusación de Peter Martínez. Parte de la fundamentación de este incidente fue que no se le hubiera nombrado defensor de oficio a la señora María Luisa Acosta</w:t>
      </w:r>
      <w:r w:rsidRPr="00AD791A">
        <w:rPr>
          <w:rStyle w:val="FootnoteReference"/>
          <w:rFonts w:ascii="Cambria" w:hAnsi="Cambria" w:cs="Tahoma"/>
          <w:spacing w:val="-2"/>
          <w:sz w:val="20"/>
          <w:szCs w:val="20"/>
          <w:lang w:val="es-ES_tradnl"/>
        </w:rPr>
        <w:footnoteReference w:id="93"/>
      </w:r>
      <w:r w:rsidRPr="00AD791A">
        <w:rPr>
          <w:rFonts w:ascii="Cambria" w:hAnsi="Cambria" w:cs="Tahoma"/>
          <w:spacing w:val="-2"/>
          <w:sz w:val="20"/>
          <w:szCs w:val="20"/>
          <w:lang w:val="es-ES_tradnl"/>
        </w:rPr>
        <w:t>.</w:t>
      </w:r>
      <w:r w:rsidRPr="00AD791A">
        <w:rPr>
          <w:rFonts w:ascii="Cambria" w:hAnsi="Cambria"/>
          <w:sz w:val="20"/>
          <w:szCs w:val="20"/>
          <w:lang w:val="es-MX"/>
        </w:rPr>
        <w:t xml:space="preserve"> </w:t>
      </w:r>
      <w:r w:rsidRPr="00AD791A">
        <w:rPr>
          <w:rFonts w:ascii="Cambria" w:hAnsi="Cambria" w:cs="Garamond"/>
          <w:spacing w:val="-2"/>
          <w:sz w:val="20"/>
          <w:szCs w:val="20"/>
          <w:lang w:val="es-ES_tradnl"/>
        </w:rPr>
        <w:t xml:space="preserve">El </w:t>
      </w:r>
      <w:r w:rsidRPr="00AD791A">
        <w:rPr>
          <w:rFonts w:ascii="Cambria" w:hAnsi="Cambria" w:cs="Garamond"/>
          <w:sz w:val="20"/>
          <w:szCs w:val="20"/>
          <w:lang w:val="es-ES_tradnl"/>
        </w:rPr>
        <w:t xml:space="preserve">13 de mayo de 2002 el Juez de Distrito </w:t>
      </w:r>
      <w:r w:rsidRPr="00AD791A">
        <w:rPr>
          <w:rFonts w:ascii="Cambria" w:hAnsi="Cambria"/>
          <w:sz w:val="20"/>
          <w:szCs w:val="20"/>
          <w:lang w:val="es-ES_tradnl"/>
        </w:rPr>
        <w:t>del Crimen</w:t>
      </w:r>
      <w:r w:rsidRPr="00AD791A">
        <w:rPr>
          <w:rFonts w:ascii="Cambria" w:hAnsi="Cambria" w:cs="Garamond"/>
          <w:sz w:val="20"/>
          <w:szCs w:val="20"/>
          <w:lang w:val="es-ES_tradnl"/>
        </w:rPr>
        <w:t xml:space="preserve"> admitió la acusación de María Luisa Acosta </w:t>
      </w:r>
      <w:r w:rsidRPr="00AD791A">
        <w:rPr>
          <w:rFonts w:ascii="Cambria" w:hAnsi="Cambria" w:cs="Garamond"/>
          <w:spacing w:val="-2"/>
          <w:sz w:val="20"/>
          <w:szCs w:val="20"/>
          <w:lang w:val="es-ES_tradnl"/>
        </w:rPr>
        <w:t xml:space="preserve">contra </w:t>
      </w:r>
      <w:r w:rsidRPr="00AD791A">
        <w:rPr>
          <w:rFonts w:ascii="Cambria" w:hAnsi="Cambria" w:cs="Garamond"/>
          <w:sz w:val="20"/>
          <w:szCs w:val="20"/>
          <w:lang w:val="es-ES_tradnl"/>
        </w:rPr>
        <w:t>Iván Argüello y otros, y le otorgó intervención de ley al abogado de la señora Acosta</w:t>
      </w:r>
      <w:r w:rsidRPr="00AD791A">
        <w:rPr>
          <w:rStyle w:val="FootnoteReference"/>
          <w:rFonts w:ascii="Cambria" w:hAnsi="Cambria" w:cs="Garamond"/>
          <w:sz w:val="20"/>
          <w:szCs w:val="20"/>
          <w:lang w:val="es-ES_tradnl"/>
        </w:rPr>
        <w:footnoteReference w:id="94"/>
      </w:r>
      <w:r w:rsidRPr="00AD791A">
        <w:rPr>
          <w:rFonts w:ascii="Cambria" w:hAnsi="Cambria" w:cs="Garamond"/>
          <w:sz w:val="20"/>
          <w:szCs w:val="20"/>
          <w:lang w:val="es-ES_tradnl"/>
        </w:rPr>
        <w:t xml:space="preserve">. </w:t>
      </w:r>
    </w:p>
    <w:p w:rsidR="009D7F32" w:rsidRPr="00AD791A" w:rsidRDefault="009D7F32" w:rsidP="009D7F32">
      <w:pPr>
        <w:jc w:val="both"/>
        <w:rPr>
          <w:rFonts w:ascii="Cambria" w:hAnsi="Cambria"/>
          <w:sz w:val="20"/>
          <w:szCs w:val="20"/>
          <w:lang w:val="es-ES"/>
        </w:rPr>
      </w:pPr>
    </w:p>
    <w:p w:rsidR="009D7F32" w:rsidRPr="00AD791A" w:rsidRDefault="009D7F32" w:rsidP="000C14E4">
      <w:pPr>
        <w:pStyle w:val="Heading4"/>
        <w:spacing w:before="0" w:after="0"/>
        <w:ind w:left="1440" w:hanging="720"/>
        <w:rPr>
          <w:rFonts w:ascii="Cambria" w:hAnsi="Cambria" w:cs="Garamond"/>
          <w:spacing w:val="-2"/>
          <w:sz w:val="20"/>
          <w:szCs w:val="20"/>
          <w:lang w:val="es-ES_tradnl"/>
        </w:rPr>
      </w:pPr>
      <w:bookmarkStart w:id="68" w:name="_Toc412647978"/>
      <w:bookmarkStart w:id="69" w:name="_Toc414177721"/>
      <w:r w:rsidRPr="00AD791A">
        <w:rPr>
          <w:rFonts w:ascii="Cambria" w:hAnsi="Cambria" w:cs="Garamond"/>
          <w:sz w:val="20"/>
          <w:szCs w:val="20"/>
          <w:lang w:val="es-ES_tradnl"/>
        </w:rPr>
        <w:t>c.</w:t>
      </w:r>
      <w:r w:rsidRPr="00AD791A">
        <w:rPr>
          <w:rFonts w:ascii="Cambria" w:hAnsi="Cambria" w:cs="Garamond"/>
          <w:sz w:val="20"/>
          <w:szCs w:val="20"/>
          <w:lang w:val="es-ES_tradnl"/>
        </w:rPr>
        <w:tab/>
        <w:t xml:space="preserve">Sobreseimiento definitivo a favor de  Peter Martínez, Peter Tsokos y Charles </w:t>
      </w:r>
      <w:r w:rsidRPr="00AD791A">
        <w:rPr>
          <w:rFonts w:ascii="Cambria" w:hAnsi="Cambria" w:cs="Garamond"/>
          <w:spacing w:val="-2"/>
          <w:sz w:val="20"/>
          <w:szCs w:val="20"/>
          <w:lang w:val="es-ES_tradnl"/>
        </w:rPr>
        <w:t>Presida</w:t>
      </w:r>
      <w:bookmarkEnd w:id="68"/>
      <w:bookmarkEnd w:id="69"/>
    </w:p>
    <w:p w:rsidR="009D7F32" w:rsidRPr="00AD791A" w:rsidRDefault="009D7F32" w:rsidP="009D7F32">
      <w:pPr>
        <w:jc w:val="both"/>
        <w:rPr>
          <w:rFonts w:ascii="Cambria" w:hAnsi="Cambria"/>
          <w:sz w:val="20"/>
          <w:szCs w:val="20"/>
          <w:lang w:val="es-ES_tradnl"/>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 xml:space="preserve">El mismo 13 de mayo de 2002 el Juzgado de Distrito del Crimen dictó sentencia de sobreseimiento definitivo a favor de </w:t>
      </w:r>
      <w:r w:rsidRPr="00AD791A">
        <w:rPr>
          <w:rFonts w:ascii="Cambria" w:hAnsi="Cambria" w:cs="Garamond"/>
          <w:sz w:val="20"/>
          <w:szCs w:val="20"/>
          <w:lang w:val="es-ES_tradnl"/>
        </w:rPr>
        <w:t xml:space="preserve">Peter Martínez, Peter Tsokos, Charles </w:t>
      </w:r>
      <w:r w:rsidRPr="00AD791A">
        <w:rPr>
          <w:rFonts w:ascii="Cambria" w:hAnsi="Cambria" w:cs="Garamond"/>
          <w:spacing w:val="-2"/>
          <w:sz w:val="20"/>
          <w:szCs w:val="20"/>
          <w:lang w:val="es-ES_tradnl"/>
        </w:rPr>
        <w:t>Presida y María Luisa Acosta</w:t>
      </w:r>
      <w:r w:rsidRPr="00AD791A">
        <w:rPr>
          <w:rFonts w:ascii="Cambria" w:hAnsi="Cambria" w:cs="Garamond"/>
          <w:sz w:val="20"/>
          <w:szCs w:val="20"/>
          <w:lang w:val="es-ES_tradnl"/>
        </w:rPr>
        <w:t xml:space="preserve"> </w:t>
      </w:r>
      <w:r w:rsidRPr="00AD791A">
        <w:rPr>
          <w:rFonts w:ascii="Cambria" w:hAnsi="Cambria"/>
          <w:sz w:val="20"/>
          <w:szCs w:val="20"/>
          <w:lang w:val="es-ES"/>
        </w:rPr>
        <w:t>por considerar que “no h</w:t>
      </w:r>
      <w:r w:rsidRPr="00AD791A">
        <w:rPr>
          <w:rStyle w:val="st1"/>
          <w:rFonts w:ascii="Cambria" w:hAnsi="Cambria" w:cs="Arial"/>
          <w:sz w:val="20"/>
          <w:szCs w:val="20"/>
          <w:lang w:val="es-MX"/>
        </w:rPr>
        <w:t>[abía]</w:t>
      </w:r>
      <w:r w:rsidRPr="00AD791A">
        <w:rPr>
          <w:rFonts w:ascii="Cambria" w:hAnsi="Cambria"/>
          <w:sz w:val="20"/>
          <w:szCs w:val="20"/>
          <w:lang w:val="es-ES"/>
        </w:rPr>
        <w:t xml:space="preserve"> evidencias que los incrimin</w:t>
      </w:r>
      <w:r w:rsidRPr="00AD791A">
        <w:rPr>
          <w:rStyle w:val="st1"/>
          <w:rFonts w:ascii="Cambria" w:hAnsi="Cambria" w:cs="Arial"/>
          <w:sz w:val="20"/>
          <w:szCs w:val="20"/>
          <w:lang w:val="es-MX"/>
        </w:rPr>
        <w:t>[ara]</w:t>
      </w:r>
      <w:r w:rsidRPr="00AD791A">
        <w:rPr>
          <w:rFonts w:ascii="Cambria" w:hAnsi="Cambria"/>
          <w:sz w:val="20"/>
          <w:szCs w:val="20"/>
          <w:lang w:val="es-ES"/>
        </w:rPr>
        <w:t xml:space="preserve"> como autores intelectuales o como encubridores puesto que en autos, sólo ha</w:t>
      </w:r>
      <w:r w:rsidRPr="00AD791A">
        <w:rPr>
          <w:rStyle w:val="st1"/>
          <w:rFonts w:ascii="Cambria" w:hAnsi="Cambria" w:cs="Arial"/>
          <w:sz w:val="20"/>
          <w:szCs w:val="20"/>
          <w:lang w:val="es-MX"/>
        </w:rPr>
        <w:t>[bía]</w:t>
      </w:r>
      <w:r w:rsidRPr="00AD791A">
        <w:rPr>
          <w:rFonts w:ascii="Cambria" w:hAnsi="Cambria"/>
          <w:sz w:val="20"/>
          <w:szCs w:val="20"/>
          <w:lang w:val="es-ES"/>
        </w:rPr>
        <w:t xml:space="preserve"> una denuncia, lo que no </w:t>
      </w:r>
      <w:r w:rsidRPr="00AD791A">
        <w:rPr>
          <w:rStyle w:val="st1"/>
          <w:rFonts w:ascii="Cambria" w:hAnsi="Cambria" w:cs="Arial"/>
          <w:sz w:val="20"/>
          <w:szCs w:val="20"/>
          <w:lang w:val="es-MX"/>
        </w:rPr>
        <w:t>[era]</w:t>
      </w:r>
      <w:r w:rsidRPr="00AD791A">
        <w:rPr>
          <w:rFonts w:ascii="Cambria" w:hAnsi="Cambria"/>
          <w:sz w:val="20"/>
          <w:szCs w:val="20"/>
          <w:lang w:val="es-ES"/>
        </w:rPr>
        <w:t xml:space="preserve"> suficiente para deducir responsabilidad penal, porque tanto la policía nacional, la Fiscalía, no </w:t>
      </w:r>
      <w:r w:rsidRPr="00AD791A">
        <w:rPr>
          <w:rStyle w:val="st1"/>
          <w:rFonts w:ascii="Cambria" w:hAnsi="Cambria" w:cs="Arial"/>
          <w:sz w:val="20"/>
          <w:szCs w:val="20"/>
          <w:lang w:val="es-MX"/>
        </w:rPr>
        <w:t xml:space="preserve">[habían] </w:t>
      </w:r>
      <w:r w:rsidRPr="00AD791A">
        <w:rPr>
          <w:rFonts w:ascii="Cambria" w:hAnsi="Cambria"/>
          <w:sz w:val="20"/>
          <w:szCs w:val="20"/>
          <w:lang w:val="es-ES"/>
        </w:rPr>
        <w:t>aporta</w:t>
      </w:r>
      <w:r w:rsidRPr="00AD791A">
        <w:rPr>
          <w:rStyle w:val="st1"/>
          <w:rFonts w:ascii="Cambria" w:hAnsi="Cambria" w:cs="Arial"/>
          <w:sz w:val="20"/>
          <w:szCs w:val="20"/>
          <w:lang w:val="es-MX"/>
        </w:rPr>
        <w:t>[do]</w:t>
      </w:r>
      <w:r w:rsidRPr="00AD791A">
        <w:rPr>
          <w:rFonts w:ascii="Cambria" w:hAnsi="Cambria"/>
          <w:sz w:val="20"/>
          <w:szCs w:val="20"/>
          <w:lang w:val="es-ES"/>
        </w:rPr>
        <w:t xml:space="preserve"> ninguna evidencia para deducir alguna responsabilidad criminal”</w:t>
      </w:r>
      <w:r w:rsidRPr="00AD791A">
        <w:rPr>
          <w:rStyle w:val="FootnoteReference"/>
          <w:rFonts w:ascii="Cambria" w:hAnsi="Cambria"/>
          <w:sz w:val="20"/>
          <w:szCs w:val="20"/>
          <w:lang w:val="es-ES"/>
        </w:rPr>
        <w:footnoteReference w:id="95"/>
      </w:r>
      <w:r w:rsidRPr="00AD791A">
        <w:rPr>
          <w:rFonts w:ascii="Cambria" w:hAnsi="Cambria"/>
          <w:sz w:val="20"/>
          <w:szCs w:val="20"/>
          <w:lang w:val="es-ES"/>
        </w:rPr>
        <w:t xml:space="preserve">. Asimismo, se </w:t>
      </w:r>
      <w:r w:rsidRPr="00AD791A">
        <w:rPr>
          <w:rFonts w:ascii="Cambria" w:hAnsi="Cambria" w:cs="Garamond"/>
          <w:sz w:val="20"/>
          <w:szCs w:val="20"/>
          <w:lang w:val="es-ES_tradnl"/>
        </w:rPr>
        <w:t>ordenó prisión contra Iván Argüello como presunto autor material del asesinato</w:t>
      </w:r>
      <w:r w:rsidRPr="00AD791A">
        <w:rPr>
          <w:rStyle w:val="FootnoteReference"/>
          <w:rFonts w:ascii="Cambria" w:hAnsi="Cambria"/>
          <w:sz w:val="20"/>
          <w:szCs w:val="20"/>
          <w:lang w:val="es-ES"/>
        </w:rPr>
        <w:footnoteReference w:id="96"/>
      </w:r>
      <w:r w:rsidRPr="00AD791A">
        <w:rPr>
          <w:rFonts w:ascii="Cambria" w:hAnsi="Cambria" w:cs="Garamond"/>
          <w:sz w:val="20"/>
          <w:szCs w:val="20"/>
          <w:lang w:val="es-ES_tradnl"/>
        </w:rPr>
        <w:t xml:space="preserve"> y se rechazó el primer incidente de nulidad</w:t>
      </w:r>
      <w:r w:rsidRPr="00AD791A">
        <w:rPr>
          <w:rStyle w:val="FootnoteReference"/>
          <w:rFonts w:ascii="Cambria" w:hAnsi="Cambria"/>
          <w:sz w:val="20"/>
          <w:szCs w:val="20"/>
          <w:lang w:val="es-ES"/>
        </w:rPr>
        <w:footnoteReference w:id="97"/>
      </w:r>
      <w:r w:rsidRPr="00AD791A">
        <w:rPr>
          <w:rFonts w:ascii="Cambria" w:hAnsi="Cambria"/>
          <w:iCs/>
          <w:spacing w:val="-2"/>
          <w:sz w:val="20"/>
          <w:szCs w:val="20"/>
          <w:lang w:val="es-ES"/>
        </w:rPr>
        <w:t>.</w:t>
      </w:r>
      <w:r w:rsidRPr="00AD791A">
        <w:rPr>
          <w:rFonts w:ascii="Cambria" w:hAnsi="Cambria"/>
          <w:sz w:val="20"/>
          <w:szCs w:val="20"/>
          <w:lang w:val="es-ES"/>
        </w:rPr>
        <w:t xml:space="preserve"> </w:t>
      </w:r>
      <w:r w:rsidRPr="00AD791A">
        <w:rPr>
          <w:rFonts w:ascii="Cambria" w:hAnsi="Cambria"/>
          <w:iCs/>
          <w:spacing w:val="-2"/>
          <w:sz w:val="20"/>
          <w:szCs w:val="20"/>
          <w:lang w:val="es-ES_tradnl"/>
        </w:rPr>
        <w:t xml:space="preserve"> </w:t>
      </w:r>
      <w:r w:rsidRPr="00AD791A">
        <w:rPr>
          <w:rFonts w:ascii="Cambria" w:hAnsi="Cambria" w:cs="Garamond"/>
          <w:sz w:val="20"/>
          <w:szCs w:val="20"/>
          <w:lang w:val="es-ES_tradnl"/>
        </w:rPr>
        <w:t xml:space="preserve">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El 15 de mayo de 2002 el representante legal de la señora Acosta interpuso recurso de apelación contra esta sentencia</w:t>
      </w:r>
      <w:r w:rsidRPr="00AD791A">
        <w:rPr>
          <w:rStyle w:val="FootnoteReference"/>
          <w:rFonts w:ascii="Cambria" w:hAnsi="Cambria"/>
          <w:sz w:val="20"/>
          <w:szCs w:val="20"/>
          <w:lang w:val="es-ES"/>
        </w:rPr>
        <w:footnoteReference w:id="98"/>
      </w:r>
      <w:r w:rsidRPr="00AD791A">
        <w:rPr>
          <w:rFonts w:ascii="Cambria" w:hAnsi="Cambria"/>
          <w:sz w:val="20"/>
          <w:szCs w:val="20"/>
          <w:lang w:val="es-ES"/>
        </w:rPr>
        <w:t>. En el auto de 17 de mayo de 2002, en el que se admitió el recurso, el Juez de Distrito del Crimen ordenó “al recurrente presentar en secretaría el papel correspondiente para testimoniar todo lo actuado”</w:t>
      </w:r>
      <w:r w:rsidRPr="00AD791A">
        <w:rPr>
          <w:rStyle w:val="FootnoteReference"/>
          <w:rFonts w:ascii="Cambria" w:hAnsi="Cambria"/>
          <w:sz w:val="20"/>
          <w:szCs w:val="20"/>
          <w:lang w:val="es-ES"/>
        </w:rPr>
        <w:footnoteReference w:id="99"/>
      </w:r>
      <w:r w:rsidRPr="00AD791A">
        <w:rPr>
          <w:rFonts w:ascii="Cambria" w:hAnsi="Cambria"/>
          <w:sz w:val="20"/>
          <w:szCs w:val="20"/>
          <w:lang w:val="es-ES"/>
        </w:rPr>
        <w:t xml:space="preserve">, es decir, entregar hojas en blanco para fotocopiar el expediente judicial. </w:t>
      </w:r>
      <w:r w:rsidRPr="00AD791A">
        <w:rPr>
          <w:rFonts w:ascii="Cambria" w:hAnsi="Cambria" w:cs="Garamond"/>
          <w:sz w:val="20"/>
          <w:szCs w:val="20"/>
          <w:lang w:val="es-ES_tradnl"/>
        </w:rPr>
        <w:t>Este auto fue notificado al representante de la señora Acosta al día siguiente</w:t>
      </w:r>
      <w:r w:rsidRPr="00AD791A">
        <w:rPr>
          <w:rStyle w:val="FootnoteReference"/>
          <w:rFonts w:ascii="Cambria" w:hAnsi="Cambria" w:cs="Garamond"/>
          <w:sz w:val="20"/>
          <w:szCs w:val="20"/>
          <w:lang w:val="es-ES_tradnl"/>
        </w:rPr>
        <w:footnoteReference w:id="100"/>
      </w:r>
      <w:r w:rsidRPr="00AD791A">
        <w:rPr>
          <w:rFonts w:ascii="Cambria" w:hAnsi="Cambria" w:cs="Garamond"/>
          <w:sz w:val="20"/>
          <w:szCs w:val="20"/>
          <w:lang w:val="es-ES_tradnl"/>
        </w:rPr>
        <w:t>.</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El 22 de mayo de 2002 el representante de la señora Acosta interpuso un recurso de reforma contra el auto de 17 de mayo de 2002 debido a que no se podía ordenar al recurrente presentar papel dentro de las siguientes 24 horas pues según la normativa aplicable, antes de emitir esta orden se debía prevenir a la parte</w:t>
      </w:r>
      <w:r w:rsidRPr="00AD791A">
        <w:rPr>
          <w:rStyle w:val="FootnoteReference"/>
          <w:rFonts w:ascii="Cambria" w:hAnsi="Cambria"/>
          <w:sz w:val="20"/>
          <w:szCs w:val="20"/>
          <w:lang w:val="es-ES"/>
        </w:rPr>
        <w:footnoteReference w:id="101"/>
      </w:r>
      <w:r w:rsidRPr="00AD791A">
        <w:rPr>
          <w:rFonts w:ascii="Cambria" w:hAnsi="Cambria"/>
          <w:sz w:val="20"/>
          <w:szCs w:val="20"/>
          <w:lang w:val="es-ES"/>
        </w:rPr>
        <w:t>. En este sentido, solicitó que “</w:t>
      </w:r>
      <w:r w:rsidRPr="00AD791A">
        <w:rPr>
          <w:rStyle w:val="st1"/>
          <w:rFonts w:ascii="Cambria" w:hAnsi="Cambria" w:cs="Arial"/>
          <w:sz w:val="20"/>
          <w:szCs w:val="20"/>
          <w:lang w:val="es-MX"/>
        </w:rPr>
        <w:t>[se le]</w:t>
      </w:r>
      <w:r w:rsidRPr="00AD791A">
        <w:rPr>
          <w:rFonts w:ascii="Cambria" w:hAnsi="Cambria"/>
          <w:sz w:val="20"/>
          <w:szCs w:val="20"/>
          <w:lang w:val="es-ES"/>
        </w:rPr>
        <w:t xml:space="preserve"> permit</w:t>
      </w:r>
      <w:r w:rsidRPr="00AD791A">
        <w:rPr>
          <w:rStyle w:val="st1"/>
          <w:rFonts w:ascii="Cambria" w:hAnsi="Cambria" w:cs="Arial"/>
          <w:sz w:val="20"/>
          <w:szCs w:val="20"/>
          <w:lang w:val="es-MX"/>
        </w:rPr>
        <w:t>[iera]</w:t>
      </w:r>
      <w:r w:rsidRPr="00AD791A">
        <w:rPr>
          <w:rFonts w:ascii="Cambria" w:hAnsi="Cambria"/>
          <w:sz w:val="20"/>
          <w:szCs w:val="20"/>
          <w:lang w:val="es-ES"/>
        </w:rPr>
        <w:t xml:space="preserve"> depositar en la secretaría, la cantidad suficiente en moneda nacional, para fotocopiar todo lo actuado”</w:t>
      </w:r>
      <w:r w:rsidRPr="00AD791A">
        <w:rPr>
          <w:rStyle w:val="FootnoteReference"/>
          <w:rFonts w:ascii="Cambria" w:hAnsi="Cambria"/>
          <w:sz w:val="20"/>
          <w:szCs w:val="20"/>
          <w:lang w:val="es-ES"/>
        </w:rPr>
        <w:footnoteReference w:id="102"/>
      </w:r>
      <w:r w:rsidRPr="00AD791A">
        <w:rPr>
          <w:rFonts w:ascii="Cambria" w:hAnsi="Cambria"/>
          <w:sz w:val="20"/>
          <w:szCs w:val="20"/>
          <w:lang w:val="es-ES"/>
        </w:rPr>
        <w:t>. Añadió que en virtud del principio de economía procesal, depositaría en la secretaría del juzgado la cantidad de 200 córdobas para los costos de fotocopias</w:t>
      </w:r>
      <w:r w:rsidRPr="00AD791A">
        <w:rPr>
          <w:rStyle w:val="FootnoteReference"/>
          <w:rFonts w:ascii="Cambria" w:hAnsi="Cambria"/>
          <w:sz w:val="20"/>
          <w:szCs w:val="20"/>
          <w:lang w:val="es-ES"/>
        </w:rPr>
        <w:footnoteReference w:id="103"/>
      </w:r>
      <w:r w:rsidRPr="00AD791A">
        <w:rPr>
          <w:rFonts w:ascii="Cambria" w:hAnsi="Cambria"/>
          <w:sz w:val="20"/>
          <w:szCs w:val="20"/>
          <w:lang w:val="es-ES"/>
        </w:rPr>
        <w:t>.  Ese mismo día</w:t>
      </w:r>
      <w:r w:rsidRPr="00AD791A">
        <w:rPr>
          <w:rFonts w:ascii="Cambria" w:hAnsi="Cambria" w:cs="Arial"/>
          <w:sz w:val="20"/>
          <w:szCs w:val="20"/>
          <w:lang w:val="es-MX"/>
        </w:rPr>
        <w:t>, el representante de la señora Acosta presentó el dinero pero éste no le fue recibido</w:t>
      </w:r>
      <w:r w:rsidRPr="00AD791A">
        <w:rPr>
          <w:rStyle w:val="FootnoteReference"/>
          <w:rFonts w:ascii="Cambria" w:hAnsi="Cambria" w:cs="Arial"/>
          <w:sz w:val="20"/>
          <w:szCs w:val="20"/>
          <w:lang w:val="es-MX"/>
        </w:rPr>
        <w:footnoteReference w:id="104"/>
      </w:r>
      <w:r w:rsidRPr="00AD791A">
        <w:rPr>
          <w:rFonts w:ascii="Cambria" w:hAnsi="Cambria" w:cs="Arial"/>
          <w:sz w:val="20"/>
          <w:szCs w:val="20"/>
          <w:lang w:val="es-MX"/>
        </w:rPr>
        <w:t xml:space="preserve">. </w:t>
      </w:r>
      <w:r w:rsidRPr="00AD791A">
        <w:rPr>
          <w:rFonts w:ascii="Cambria" w:hAnsi="Cambria" w:cs="Garamond"/>
          <w:sz w:val="20"/>
          <w:szCs w:val="20"/>
          <w:lang w:val="es-ES_tradnl"/>
        </w:rPr>
        <w:t xml:space="preserve">El 31 de mayo de 2002 el Juez de Distrito </w:t>
      </w:r>
      <w:r w:rsidRPr="00AD791A">
        <w:rPr>
          <w:rFonts w:ascii="Cambria" w:hAnsi="Cambria"/>
          <w:sz w:val="20"/>
          <w:szCs w:val="20"/>
          <w:lang w:val="es-ES_tradnl"/>
        </w:rPr>
        <w:t>del Crimen</w:t>
      </w:r>
      <w:r w:rsidRPr="00AD791A">
        <w:rPr>
          <w:rFonts w:ascii="Cambria" w:hAnsi="Cambria" w:cs="Garamond"/>
          <w:sz w:val="20"/>
          <w:szCs w:val="20"/>
          <w:lang w:val="es-ES_tradnl"/>
        </w:rPr>
        <w:t xml:space="preserve"> denegó el recurso de reforma bajo el argumento de que el artículo 464 del Código de Procedimiento Civil establece que es obligación del recurrente aportar el papel</w:t>
      </w:r>
      <w:r w:rsidRPr="00AD791A">
        <w:rPr>
          <w:rStyle w:val="FootnoteReference"/>
          <w:rFonts w:ascii="Cambria" w:hAnsi="Cambria" w:cs="Garamond"/>
          <w:sz w:val="20"/>
          <w:szCs w:val="20"/>
          <w:lang w:val="es-ES_tradnl"/>
        </w:rPr>
        <w:footnoteReference w:id="105"/>
      </w:r>
      <w:r w:rsidRPr="00AD791A">
        <w:rPr>
          <w:rFonts w:ascii="Cambria" w:hAnsi="Cambria" w:cs="Garamond"/>
          <w:sz w:val="20"/>
          <w:szCs w:val="20"/>
          <w:lang w:val="es-ES_tradnl"/>
        </w:rPr>
        <w:t>.</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 xml:space="preserve">El 3 de junio de 2002 el Juez de Distrito </w:t>
      </w:r>
      <w:r w:rsidRPr="00AD791A">
        <w:rPr>
          <w:rFonts w:ascii="Cambria" w:hAnsi="Cambria"/>
          <w:sz w:val="20"/>
          <w:szCs w:val="20"/>
          <w:lang w:val="es-ES_tradnl"/>
        </w:rPr>
        <w:t>del Crimen</w:t>
      </w:r>
      <w:r w:rsidRPr="00AD791A">
        <w:rPr>
          <w:rFonts w:ascii="Cambria" w:hAnsi="Cambria"/>
          <w:sz w:val="20"/>
          <w:szCs w:val="20"/>
          <w:lang w:val="es-ES"/>
        </w:rPr>
        <w:t xml:space="preserve"> declaró desierto el recurso de apelación interpuesto el 15 de mayo de 2002, argumentando que el representante de la señora Acosta no había suministrado el papel para sacar fotocopias de las diligencias judiciales ni había ofrecido los recursos económicos necesarios para ello</w:t>
      </w:r>
      <w:r w:rsidRPr="00AD791A">
        <w:rPr>
          <w:rStyle w:val="FootnoteReference"/>
          <w:rFonts w:ascii="Cambria" w:hAnsi="Cambria"/>
          <w:sz w:val="20"/>
          <w:szCs w:val="20"/>
          <w:lang w:val="es-ES"/>
        </w:rPr>
        <w:footnoteReference w:id="106"/>
      </w:r>
      <w:r w:rsidRPr="00AD791A">
        <w:rPr>
          <w:rFonts w:ascii="Cambria" w:hAnsi="Cambria"/>
          <w:sz w:val="20"/>
          <w:szCs w:val="20"/>
          <w:lang w:val="es-ES"/>
        </w:rPr>
        <w:t>.</w:t>
      </w:r>
    </w:p>
    <w:p w:rsidR="009D7F32" w:rsidRPr="00AD791A" w:rsidRDefault="009D7F32" w:rsidP="009D7F32">
      <w:pPr>
        <w:jc w:val="both"/>
        <w:rPr>
          <w:rFonts w:ascii="Cambria" w:hAnsi="Cambria"/>
          <w:sz w:val="20"/>
          <w:szCs w:val="20"/>
          <w:lang w:val="es-ES"/>
        </w:rPr>
      </w:pPr>
    </w:p>
    <w:p w:rsidR="009D7F32" w:rsidRPr="00AD791A" w:rsidRDefault="009D7F32" w:rsidP="009D7F32">
      <w:pPr>
        <w:pStyle w:val="Style15"/>
        <w:ind w:left="1440" w:hanging="720"/>
        <w:outlineLvl w:val="3"/>
        <w:rPr>
          <w:rFonts w:ascii="Cambria" w:hAnsi="Cambria"/>
          <w:b/>
          <w:sz w:val="20"/>
          <w:szCs w:val="20"/>
          <w:lang w:val="es-ES"/>
        </w:rPr>
      </w:pPr>
      <w:bookmarkStart w:id="70" w:name="_Toc388448144"/>
      <w:bookmarkStart w:id="71" w:name="_Toc412647979"/>
      <w:bookmarkStart w:id="72" w:name="_Toc414177722"/>
      <w:r w:rsidRPr="00AD791A">
        <w:rPr>
          <w:rFonts w:ascii="Cambria" w:hAnsi="Cambria"/>
          <w:b/>
          <w:sz w:val="20"/>
          <w:szCs w:val="20"/>
          <w:lang w:val="es-ES"/>
        </w:rPr>
        <w:t>d.</w:t>
      </w:r>
      <w:r w:rsidRPr="00AD791A">
        <w:rPr>
          <w:rFonts w:ascii="Cambria" w:hAnsi="Cambria"/>
          <w:b/>
          <w:sz w:val="20"/>
          <w:szCs w:val="20"/>
          <w:lang w:val="es-ES"/>
        </w:rPr>
        <w:tab/>
        <w:t>Continuación del proceso en contra de Iván Argüello</w:t>
      </w:r>
      <w:bookmarkEnd w:id="70"/>
      <w:bookmarkEnd w:id="71"/>
      <w:r w:rsidRPr="00AD791A">
        <w:rPr>
          <w:rFonts w:ascii="Cambria" w:hAnsi="Cambria"/>
          <w:b/>
          <w:sz w:val="20"/>
          <w:szCs w:val="20"/>
          <w:lang w:val="es-ES"/>
        </w:rPr>
        <w:t xml:space="preserve"> y Wilbert</w:t>
      </w:r>
      <w:r w:rsidR="006F0A57" w:rsidRPr="00AD791A">
        <w:rPr>
          <w:rFonts w:ascii="Cambria" w:hAnsi="Cambria"/>
          <w:b/>
          <w:sz w:val="20"/>
          <w:szCs w:val="20"/>
          <w:lang w:val="es-ES"/>
        </w:rPr>
        <w:t>h Ochoa,</w:t>
      </w:r>
      <w:r w:rsidRPr="00AD791A">
        <w:rPr>
          <w:rFonts w:ascii="Cambria" w:hAnsi="Cambria"/>
          <w:b/>
          <w:sz w:val="20"/>
          <w:szCs w:val="20"/>
          <w:lang w:val="es-ES"/>
        </w:rPr>
        <w:t xml:space="preserve"> recursos</w:t>
      </w:r>
      <w:r w:rsidR="006F0A57" w:rsidRPr="00AD791A">
        <w:rPr>
          <w:rFonts w:ascii="Cambria" w:hAnsi="Cambria"/>
          <w:b/>
          <w:sz w:val="20"/>
          <w:szCs w:val="20"/>
          <w:lang w:val="es-ES"/>
        </w:rPr>
        <w:t xml:space="preserve"> e incidentes de nulidad</w:t>
      </w:r>
      <w:bookmarkEnd w:id="72"/>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El 26 de mayo de 2002 el Juez de Distrito del Crimen emplazó a Iván Argüello a que compareciera en el término de 15 días a defenderse de la causa judicial</w:t>
      </w:r>
      <w:r w:rsidRPr="00AD791A">
        <w:rPr>
          <w:rStyle w:val="FootnoteReference"/>
          <w:rFonts w:ascii="Cambria" w:hAnsi="Cambria"/>
          <w:sz w:val="20"/>
          <w:szCs w:val="20"/>
          <w:lang w:val="es-ES"/>
        </w:rPr>
        <w:footnoteReference w:id="107"/>
      </w:r>
      <w:r w:rsidRPr="00AD791A">
        <w:rPr>
          <w:rFonts w:ascii="Cambria" w:hAnsi="Cambria"/>
          <w:sz w:val="20"/>
          <w:szCs w:val="20"/>
          <w:lang w:val="es-ES"/>
        </w:rPr>
        <w:t xml:space="preserve">. </w:t>
      </w:r>
      <w:r w:rsidRPr="00AD791A">
        <w:rPr>
          <w:rFonts w:ascii="Cambria" w:hAnsi="Cambria" w:cs="Garamond"/>
          <w:sz w:val="20"/>
          <w:szCs w:val="20"/>
          <w:lang w:val="es-ES_tradnl"/>
        </w:rPr>
        <w:t>El 29 de mayo de 2002, la Policía Nacional presentó un peritaje en el que se determinó que el proyectil con el que se dio muerte al señor García Valle no poseía huellas con valor identificativo y que perteneció a un cartucho calibre 25</w:t>
      </w:r>
      <w:r w:rsidRPr="00AD791A">
        <w:rPr>
          <w:rStyle w:val="FootnoteReference"/>
          <w:rFonts w:ascii="Cambria" w:hAnsi="Cambria" w:cs="Garamond"/>
          <w:sz w:val="20"/>
          <w:szCs w:val="20"/>
          <w:lang w:val="es-ES_tradnl"/>
        </w:rPr>
        <w:footnoteReference w:id="108"/>
      </w:r>
      <w:r w:rsidRPr="00AD791A">
        <w:rPr>
          <w:rFonts w:ascii="Cambria" w:hAnsi="Cambria" w:cs="Garamond"/>
          <w:sz w:val="20"/>
          <w:szCs w:val="20"/>
          <w:lang w:val="es-ES_tradnl"/>
        </w:rPr>
        <w:t>.</w:t>
      </w:r>
      <w:r w:rsidRPr="00AD791A">
        <w:rPr>
          <w:rFonts w:ascii="Cambria" w:hAnsi="Cambria"/>
          <w:sz w:val="20"/>
          <w:szCs w:val="20"/>
          <w:lang w:val="es-MX"/>
        </w:rPr>
        <w:t xml:space="preserve"> </w:t>
      </w:r>
    </w:p>
    <w:p w:rsidR="009D7F32" w:rsidRPr="00AD791A" w:rsidRDefault="009D7F32" w:rsidP="009D7F32">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El 10 de junio y 22 de julio de 2002</w:t>
      </w:r>
      <w:r w:rsidRPr="00AD791A">
        <w:rPr>
          <w:rStyle w:val="FootnoteReference"/>
          <w:rFonts w:ascii="Cambria" w:hAnsi="Cambria"/>
          <w:sz w:val="20"/>
          <w:szCs w:val="20"/>
          <w:lang w:val="es-ES"/>
        </w:rPr>
        <w:footnoteReference w:id="109"/>
      </w:r>
      <w:r w:rsidRPr="00AD791A">
        <w:rPr>
          <w:rFonts w:ascii="Cambria" w:hAnsi="Cambria"/>
          <w:sz w:val="20"/>
          <w:szCs w:val="20"/>
          <w:lang w:val="es-ES"/>
        </w:rPr>
        <w:t xml:space="preserve"> el representante legal de la señora Acosta promovió el segundo incidente de nulidad de todo lo actuado ante el Juzgado del Distrito del Crimen. Se reclamó principalmente que la </w:t>
      </w:r>
      <w:r w:rsidRPr="00AD791A">
        <w:rPr>
          <w:rFonts w:ascii="Cambria" w:hAnsi="Cambria" w:cs="Garamond"/>
          <w:sz w:val="20"/>
          <w:szCs w:val="20"/>
          <w:lang w:val="es-ES_tradnl"/>
        </w:rPr>
        <w:t>autoridad hubiera declarado desierto el recurso de apelación debido a que la deserción había sido suprimida por la Ley Orgánica del Poder Judicial</w:t>
      </w:r>
      <w:r w:rsidRPr="00AD791A">
        <w:rPr>
          <w:rStyle w:val="FootnoteReference"/>
          <w:rFonts w:ascii="Cambria" w:hAnsi="Cambria"/>
          <w:sz w:val="20"/>
          <w:szCs w:val="20"/>
          <w:lang w:val="es-ES"/>
        </w:rPr>
        <w:footnoteReference w:id="110"/>
      </w:r>
      <w:r w:rsidRPr="00AD791A">
        <w:rPr>
          <w:rFonts w:ascii="Cambria" w:hAnsi="Cambria"/>
          <w:sz w:val="20"/>
          <w:szCs w:val="20"/>
          <w:lang w:val="es-ES"/>
        </w:rPr>
        <w:t>. Este recurso fue declarado sin lugar el 5 de agosto de 2002 por no tratarse de nulidades que pudieran alegarse en la fase plenaria</w:t>
      </w:r>
      <w:r w:rsidRPr="00AD791A">
        <w:rPr>
          <w:rStyle w:val="FootnoteReference"/>
          <w:rFonts w:ascii="Cambria" w:hAnsi="Cambria"/>
          <w:sz w:val="20"/>
          <w:szCs w:val="20"/>
          <w:lang w:val="es-ES"/>
        </w:rPr>
        <w:footnoteReference w:id="111"/>
      </w:r>
      <w:r w:rsidRPr="00AD791A">
        <w:rPr>
          <w:rFonts w:ascii="Cambria" w:hAnsi="Cambria"/>
          <w:sz w:val="20"/>
          <w:szCs w:val="20"/>
          <w:lang w:val="es-ES"/>
        </w:rPr>
        <w:t>.</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 xml:space="preserve">El 5 de agosto de 2002 </w:t>
      </w:r>
      <w:r w:rsidRPr="00AD791A">
        <w:rPr>
          <w:rFonts w:ascii="Cambria" w:hAnsi="Cambria" w:cs="Garamond"/>
          <w:sz w:val="20"/>
          <w:szCs w:val="20"/>
          <w:lang w:val="es-ES_tradnl"/>
        </w:rPr>
        <w:t xml:space="preserve">el Juez de Distrito </w:t>
      </w:r>
      <w:r w:rsidRPr="00AD791A">
        <w:rPr>
          <w:rFonts w:ascii="Cambria" w:hAnsi="Cambria"/>
          <w:sz w:val="20"/>
          <w:szCs w:val="20"/>
          <w:lang w:val="es-ES_tradnl"/>
        </w:rPr>
        <w:t>del Crimen</w:t>
      </w:r>
      <w:r w:rsidRPr="00AD791A">
        <w:rPr>
          <w:rFonts w:ascii="Cambria" w:hAnsi="Cambria" w:cs="Garamond"/>
          <w:sz w:val="20"/>
          <w:szCs w:val="20"/>
          <w:lang w:val="es-ES_tradnl"/>
        </w:rPr>
        <w:t xml:space="preserve"> declaró el inicio de la etapa plenaria</w:t>
      </w:r>
      <w:r w:rsidRPr="00AD791A">
        <w:rPr>
          <w:rStyle w:val="FootnoteReference"/>
          <w:rFonts w:ascii="Cambria" w:hAnsi="Cambria" w:cs="Garamond"/>
          <w:sz w:val="20"/>
          <w:szCs w:val="20"/>
          <w:lang w:val="es-ES_tradnl"/>
        </w:rPr>
        <w:footnoteReference w:id="112"/>
      </w:r>
      <w:r w:rsidRPr="00AD791A">
        <w:rPr>
          <w:rFonts w:ascii="Cambria" w:hAnsi="Cambria" w:cs="Garamond"/>
          <w:sz w:val="20"/>
          <w:szCs w:val="20"/>
          <w:lang w:val="es-ES_tradnl"/>
        </w:rPr>
        <w:t xml:space="preserve">. </w:t>
      </w:r>
      <w:r w:rsidRPr="00AD791A">
        <w:rPr>
          <w:rFonts w:ascii="Cambria" w:hAnsi="Cambria"/>
          <w:sz w:val="20"/>
          <w:szCs w:val="20"/>
          <w:lang w:val="es-MX"/>
        </w:rPr>
        <w:t xml:space="preserve">El </w:t>
      </w:r>
      <w:r w:rsidRPr="00AD791A">
        <w:rPr>
          <w:rFonts w:ascii="Cambria" w:hAnsi="Cambria" w:cs="Arial Narrow"/>
          <w:spacing w:val="-2"/>
          <w:sz w:val="20"/>
          <w:szCs w:val="20"/>
          <w:lang w:val="es-ES_tradnl"/>
        </w:rPr>
        <w:t>8 de octubre de 2002 la Policía Nacional presentó ante el Juzgado de Distrito del Crimen la siguiente información</w:t>
      </w:r>
      <w:r w:rsidRPr="00AD791A">
        <w:rPr>
          <w:rStyle w:val="FootnoteReference"/>
          <w:rFonts w:ascii="Cambria" w:hAnsi="Cambria" w:cs="Arial Narrow"/>
          <w:spacing w:val="-2"/>
          <w:sz w:val="20"/>
          <w:szCs w:val="20"/>
          <w:lang w:val="es-ES_tradnl"/>
        </w:rPr>
        <w:footnoteReference w:id="113"/>
      </w:r>
      <w:r w:rsidRPr="00AD791A">
        <w:rPr>
          <w:rFonts w:ascii="Cambria" w:hAnsi="Cambria" w:cs="Arial Narrow"/>
          <w:spacing w:val="-2"/>
          <w:sz w:val="20"/>
          <w:szCs w:val="20"/>
          <w:lang w:val="es-ES_tradnl"/>
        </w:rPr>
        <w:t>:</w:t>
      </w:r>
    </w:p>
    <w:p w:rsidR="009D7F32" w:rsidRPr="00AD791A" w:rsidRDefault="009D7F32" w:rsidP="009D7F32">
      <w:pPr>
        <w:jc w:val="both"/>
        <w:rPr>
          <w:rFonts w:ascii="Cambria" w:hAnsi="Cambria" w:cs="Arial Narrow"/>
          <w:spacing w:val="-2"/>
          <w:sz w:val="20"/>
          <w:szCs w:val="20"/>
          <w:lang w:val="es-MX"/>
        </w:rPr>
      </w:pPr>
    </w:p>
    <w:p w:rsidR="009D7F32" w:rsidRPr="00AD791A" w:rsidRDefault="009D7F32" w:rsidP="009D7F32">
      <w:pPr>
        <w:numPr>
          <w:ilvl w:val="0"/>
          <w:numId w:val="2"/>
        </w:numPr>
        <w:tabs>
          <w:tab w:val="clear" w:pos="1080"/>
        </w:tabs>
        <w:ind w:left="1260" w:hanging="540"/>
        <w:jc w:val="both"/>
        <w:rPr>
          <w:rFonts w:ascii="Cambria" w:hAnsi="Cambria" w:cs="Arial Narrow"/>
          <w:spacing w:val="-2"/>
          <w:sz w:val="20"/>
          <w:szCs w:val="20"/>
          <w:lang w:val="es-ES_tradnl"/>
        </w:rPr>
      </w:pPr>
      <w:r w:rsidRPr="00AD791A">
        <w:rPr>
          <w:rFonts w:ascii="Cambria" w:hAnsi="Cambria" w:cs="Arial Narrow"/>
          <w:spacing w:val="-2"/>
          <w:sz w:val="20"/>
          <w:szCs w:val="20"/>
          <w:lang w:val="es-ES_tradnl"/>
        </w:rPr>
        <w:t>Wilberth Ochoa, amigo de confianza de Iván Argüello, lo acompañó a Bluefields</w:t>
      </w:r>
      <w:r w:rsidRPr="00AD791A">
        <w:rPr>
          <w:rStyle w:val="FootnoteReference"/>
          <w:rFonts w:ascii="Cambria" w:hAnsi="Cambria" w:cs="Arial Narrow"/>
          <w:spacing w:val="-2"/>
          <w:sz w:val="20"/>
          <w:szCs w:val="20"/>
          <w:lang w:val="es-ES_tradnl"/>
        </w:rPr>
        <w:footnoteReference w:id="114"/>
      </w:r>
      <w:r w:rsidRPr="00AD791A">
        <w:rPr>
          <w:rFonts w:ascii="Cambria" w:hAnsi="Cambria" w:cs="Arial Narrow"/>
          <w:spacing w:val="-2"/>
          <w:sz w:val="20"/>
          <w:szCs w:val="20"/>
          <w:lang w:val="es-ES_tradnl"/>
        </w:rPr>
        <w:t>.</w:t>
      </w:r>
    </w:p>
    <w:p w:rsidR="009D7F32" w:rsidRPr="00AD791A" w:rsidRDefault="009D7F32" w:rsidP="009D7F32">
      <w:pPr>
        <w:numPr>
          <w:ilvl w:val="0"/>
          <w:numId w:val="2"/>
        </w:numPr>
        <w:tabs>
          <w:tab w:val="clear" w:pos="1080"/>
        </w:tabs>
        <w:ind w:left="1260" w:hanging="540"/>
        <w:jc w:val="both"/>
        <w:rPr>
          <w:rFonts w:ascii="Cambria" w:hAnsi="Cambria" w:cs="Arial Narrow"/>
          <w:spacing w:val="-2"/>
          <w:sz w:val="20"/>
          <w:szCs w:val="20"/>
          <w:lang w:val="es-ES_tradnl"/>
        </w:rPr>
      </w:pPr>
      <w:r w:rsidRPr="00AD791A">
        <w:rPr>
          <w:rFonts w:ascii="Cambria" w:hAnsi="Cambria" w:cs="Arial Narrow"/>
          <w:spacing w:val="-2"/>
          <w:sz w:val="20"/>
          <w:szCs w:val="20"/>
          <w:lang w:val="es-ES_tradnl"/>
        </w:rPr>
        <w:t xml:space="preserve">Iván Argüello prestó sus servicios a la empresa de seguridad </w:t>
      </w:r>
      <w:r w:rsidRPr="00AD791A">
        <w:rPr>
          <w:rFonts w:ascii="Cambria" w:hAnsi="Cambria" w:cs="Arial Narrow"/>
          <w:i/>
          <w:spacing w:val="-2"/>
          <w:sz w:val="20"/>
          <w:szCs w:val="20"/>
          <w:lang w:val="es-ES_tradnl"/>
        </w:rPr>
        <w:t xml:space="preserve">Master Security </w:t>
      </w:r>
      <w:r w:rsidRPr="00AD791A">
        <w:rPr>
          <w:rFonts w:ascii="Cambria" w:hAnsi="Cambria" w:cs="Arial Narrow"/>
          <w:spacing w:val="-2"/>
          <w:sz w:val="20"/>
          <w:szCs w:val="20"/>
          <w:lang w:val="es-ES_tradnl"/>
        </w:rPr>
        <w:t>como guardia de seguridad de Peter Tsokos desde 2001 y renunció a la misma para trabajar de forma independiente para este último</w:t>
      </w:r>
      <w:r w:rsidRPr="00AD791A">
        <w:rPr>
          <w:rStyle w:val="FootnoteReference"/>
          <w:rFonts w:ascii="Cambria" w:hAnsi="Cambria" w:cs="Arial Narrow"/>
          <w:spacing w:val="-2"/>
          <w:sz w:val="20"/>
          <w:szCs w:val="20"/>
          <w:lang w:val="es-ES_tradnl"/>
        </w:rPr>
        <w:footnoteReference w:id="115"/>
      </w:r>
      <w:r w:rsidRPr="00AD791A">
        <w:rPr>
          <w:rFonts w:ascii="Cambria" w:hAnsi="Cambria" w:cs="Arial Narrow"/>
          <w:spacing w:val="-2"/>
          <w:sz w:val="20"/>
          <w:szCs w:val="20"/>
          <w:lang w:val="es-ES_tradnl"/>
        </w:rPr>
        <w:t>.</w:t>
      </w:r>
    </w:p>
    <w:p w:rsidR="009D7F32" w:rsidRPr="00AD791A" w:rsidRDefault="009D7F32" w:rsidP="009D7F32">
      <w:pPr>
        <w:numPr>
          <w:ilvl w:val="0"/>
          <w:numId w:val="2"/>
        </w:numPr>
        <w:tabs>
          <w:tab w:val="clear" w:pos="1080"/>
        </w:tabs>
        <w:ind w:left="1260" w:hanging="540"/>
        <w:jc w:val="both"/>
        <w:rPr>
          <w:rFonts w:ascii="Cambria" w:hAnsi="Cambria" w:cs="Arial Narrow"/>
          <w:spacing w:val="-2"/>
          <w:sz w:val="20"/>
          <w:szCs w:val="20"/>
          <w:lang w:val="es-ES_tradnl"/>
        </w:rPr>
      </w:pPr>
      <w:r w:rsidRPr="00AD791A">
        <w:rPr>
          <w:rFonts w:ascii="Cambria" w:hAnsi="Cambria" w:cs="Arial Narrow"/>
          <w:spacing w:val="-2"/>
          <w:sz w:val="20"/>
          <w:szCs w:val="20"/>
          <w:lang w:val="es-ES_tradnl"/>
        </w:rPr>
        <w:t>Con el arma marca LORCIN, calibre 25, serie No. 332358, que pertenecía a Peter Tsokos, fue disparado el proyectil que privó de la vida al señor García Valle</w:t>
      </w:r>
      <w:r w:rsidRPr="00AD791A">
        <w:rPr>
          <w:rStyle w:val="FootnoteReference"/>
          <w:rFonts w:ascii="Cambria" w:hAnsi="Cambria" w:cs="Arial Narrow"/>
          <w:spacing w:val="-2"/>
          <w:sz w:val="20"/>
          <w:szCs w:val="20"/>
          <w:lang w:val="es-ES_tradnl"/>
        </w:rPr>
        <w:footnoteReference w:id="116"/>
      </w:r>
      <w:r w:rsidRPr="00AD791A">
        <w:rPr>
          <w:rFonts w:ascii="Cambria" w:hAnsi="Cambria" w:cs="Arial Narrow"/>
          <w:spacing w:val="-2"/>
          <w:sz w:val="20"/>
          <w:szCs w:val="20"/>
          <w:lang w:val="es-ES_tradnl"/>
        </w:rPr>
        <w:t>.</w:t>
      </w:r>
    </w:p>
    <w:p w:rsidR="009D7F32" w:rsidRPr="00AD791A" w:rsidRDefault="009D7F32" w:rsidP="009D7F32">
      <w:pPr>
        <w:jc w:val="both"/>
        <w:rPr>
          <w:rFonts w:ascii="Cambria" w:hAnsi="Cambria"/>
          <w:sz w:val="20"/>
          <w:szCs w:val="20"/>
          <w:lang w:val="es-ES_tradnl"/>
        </w:rPr>
      </w:pPr>
    </w:p>
    <w:p w:rsidR="009D7F32" w:rsidRPr="00AD791A" w:rsidRDefault="009D7F32" w:rsidP="009D7F32">
      <w:pPr>
        <w:numPr>
          <w:ilvl w:val="0"/>
          <w:numId w:val="1"/>
        </w:numPr>
        <w:tabs>
          <w:tab w:val="clear" w:pos="1260"/>
          <w:tab w:val="num" w:pos="90"/>
        </w:tabs>
        <w:ind w:left="0" w:firstLine="900"/>
        <w:jc w:val="both"/>
        <w:rPr>
          <w:rFonts w:ascii="Cambria" w:hAnsi="Cambria"/>
          <w:sz w:val="20"/>
          <w:szCs w:val="20"/>
          <w:lang w:val="es-ES_tradnl"/>
        </w:rPr>
      </w:pPr>
      <w:r w:rsidRPr="00AD791A">
        <w:rPr>
          <w:rFonts w:ascii="Cambria" w:hAnsi="Cambria"/>
          <w:sz w:val="20"/>
          <w:szCs w:val="20"/>
          <w:lang w:val="es-ES"/>
        </w:rPr>
        <w:t>La resolución de 5 de agosto de 2002, mediante la cual se rechazó el segundo incidente de nulidad presentado, fue apelada, y declarada sin lugar el 8 de agosto de 2002</w:t>
      </w:r>
      <w:r w:rsidRPr="00AD791A">
        <w:rPr>
          <w:rStyle w:val="FootnoteReference"/>
          <w:rFonts w:ascii="Cambria" w:hAnsi="Cambria"/>
          <w:sz w:val="20"/>
          <w:szCs w:val="20"/>
          <w:lang w:val="es-ES"/>
        </w:rPr>
        <w:footnoteReference w:id="117"/>
      </w:r>
      <w:r w:rsidRPr="00AD791A">
        <w:rPr>
          <w:rFonts w:ascii="Cambria" w:hAnsi="Cambria"/>
          <w:sz w:val="20"/>
          <w:szCs w:val="20"/>
          <w:lang w:val="es-ES"/>
        </w:rPr>
        <w:t>. Frente a esta decisión, el 29 de agosto de 2002 el representante de la señora Acosta interpuso un “recurso extraordinario de hecho”</w:t>
      </w:r>
      <w:r w:rsidRPr="00AD791A">
        <w:rPr>
          <w:rStyle w:val="FootnoteReference"/>
          <w:rFonts w:ascii="Cambria" w:hAnsi="Cambria"/>
          <w:sz w:val="20"/>
          <w:szCs w:val="20"/>
          <w:lang w:val="es-ES"/>
        </w:rPr>
        <w:footnoteReference w:id="118"/>
      </w:r>
      <w:r w:rsidRPr="00AD791A">
        <w:rPr>
          <w:rFonts w:ascii="Cambria" w:hAnsi="Cambria"/>
          <w:sz w:val="20"/>
          <w:szCs w:val="20"/>
          <w:lang w:val="es-ES"/>
        </w:rPr>
        <w:t xml:space="preserve"> que fue rechazado el 23 de septiembre de 2002, debido a que “no se expres</w:t>
      </w:r>
      <w:hyperlink r:id="rId18" w:anchor="Corchetes_.5B_.5D" w:history="1">
        <w:r w:rsidRPr="00AD791A">
          <w:rPr>
            <w:rFonts w:ascii="Cambria" w:hAnsi="Cambria" w:cs="Arial"/>
            <w:sz w:val="20"/>
            <w:szCs w:val="20"/>
            <w:lang w:val="es-MX"/>
          </w:rPr>
          <w:t>[ó]</w:t>
        </w:r>
      </w:hyperlink>
      <w:r w:rsidRPr="00AD791A">
        <w:rPr>
          <w:rFonts w:ascii="Cambria" w:hAnsi="Cambria"/>
          <w:sz w:val="20"/>
          <w:szCs w:val="20"/>
          <w:lang w:val="es-ES"/>
        </w:rPr>
        <w:t xml:space="preserve"> categóricamente que  interpone recurso de apelación por la vía de hecho”</w:t>
      </w:r>
      <w:r w:rsidRPr="00AD791A">
        <w:rPr>
          <w:rStyle w:val="FootnoteReference"/>
          <w:rFonts w:ascii="Cambria" w:hAnsi="Cambria"/>
          <w:sz w:val="20"/>
          <w:szCs w:val="20"/>
          <w:lang w:val="es-ES"/>
        </w:rPr>
        <w:footnoteReference w:id="119"/>
      </w:r>
      <w:r w:rsidRPr="00AD791A">
        <w:rPr>
          <w:rFonts w:ascii="Cambria" w:hAnsi="Cambria"/>
          <w:sz w:val="20"/>
          <w:szCs w:val="20"/>
          <w:lang w:val="es-ES"/>
        </w:rPr>
        <w:t>. El 10 de octubre de 2002 se presentó nuevamente el recurso supliendo el defecto</w:t>
      </w:r>
      <w:r w:rsidRPr="00AD791A">
        <w:rPr>
          <w:rStyle w:val="FootnoteReference"/>
          <w:rFonts w:ascii="Cambria" w:hAnsi="Cambria"/>
          <w:sz w:val="20"/>
          <w:szCs w:val="20"/>
          <w:lang w:val="es-ES"/>
        </w:rPr>
        <w:footnoteReference w:id="120"/>
      </w:r>
      <w:r w:rsidRPr="00AD791A">
        <w:rPr>
          <w:rFonts w:ascii="Cambria" w:hAnsi="Cambria"/>
          <w:sz w:val="20"/>
          <w:szCs w:val="20"/>
          <w:lang w:val="es-ES"/>
        </w:rPr>
        <w:t>, pero fue rechazado el 11 de octubre de 2002 por caducidad</w:t>
      </w:r>
      <w:r w:rsidRPr="00AD791A">
        <w:rPr>
          <w:rStyle w:val="FootnoteReference"/>
          <w:rFonts w:ascii="Cambria" w:hAnsi="Cambria"/>
          <w:sz w:val="20"/>
          <w:szCs w:val="20"/>
          <w:lang w:val="es-ES"/>
        </w:rPr>
        <w:footnoteReference w:id="121"/>
      </w:r>
      <w:r w:rsidRPr="00AD791A">
        <w:rPr>
          <w:rFonts w:ascii="Cambria" w:hAnsi="Cambria"/>
          <w:sz w:val="20"/>
          <w:szCs w:val="20"/>
          <w:lang w:val="es-ES"/>
        </w:rPr>
        <w:t>.</w:t>
      </w:r>
    </w:p>
    <w:p w:rsidR="009D7F32" w:rsidRPr="00AD791A" w:rsidRDefault="009D7F32" w:rsidP="009D7F32">
      <w:pPr>
        <w:ind w:left="1260"/>
        <w:jc w:val="both"/>
        <w:rPr>
          <w:rFonts w:ascii="Cambria" w:hAnsi="Cambria"/>
          <w:sz w:val="20"/>
          <w:szCs w:val="20"/>
          <w:lang w:val="es-ES_tradnl"/>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cs="Arial Narrow"/>
          <w:spacing w:val="-2"/>
          <w:sz w:val="20"/>
          <w:szCs w:val="20"/>
          <w:lang w:val="es-ES_tradnl"/>
        </w:rPr>
        <w:t>El 28 de octubre de 2002 se publicó un edicto que anunciaba que en caso de que Iván Argüello no compareciera en el término de 15 días, sería juzgado en ausencia</w:t>
      </w:r>
      <w:r w:rsidRPr="00AD791A">
        <w:rPr>
          <w:rStyle w:val="FootnoteReference"/>
          <w:rFonts w:ascii="Cambria" w:hAnsi="Cambria" w:cs="Arial Narrow"/>
          <w:spacing w:val="-2"/>
          <w:sz w:val="20"/>
          <w:szCs w:val="20"/>
          <w:lang w:val="es-ES_tradnl"/>
        </w:rPr>
        <w:footnoteReference w:id="122"/>
      </w:r>
      <w:r w:rsidRPr="00AD791A">
        <w:rPr>
          <w:rFonts w:ascii="Cambria" w:hAnsi="Cambria" w:cs="Arial Narrow"/>
          <w:spacing w:val="-2"/>
          <w:sz w:val="20"/>
          <w:szCs w:val="20"/>
          <w:lang w:val="es-ES_tradnl"/>
        </w:rPr>
        <w:t>.</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cs="Tahoma"/>
          <w:spacing w:val="-4"/>
          <w:sz w:val="20"/>
          <w:szCs w:val="20"/>
          <w:lang w:val="es-ES_tradnl"/>
        </w:rPr>
        <w:t>El 17 de diciembre de 2002 el Juzgado de Distrito de lo Civil y Penal</w:t>
      </w:r>
      <w:r w:rsidRPr="00AD791A">
        <w:rPr>
          <w:rStyle w:val="FootnoteReference"/>
          <w:rFonts w:ascii="Cambria" w:hAnsi="Cambria" w:cs="Tahoma"/>
          <w:spacing w:val="-4"/>
          <w:sz w:val="20"/>
          <w:szCs w:val="20"/>
          <w:lang w:val="es-ES_tradnl"/>
        </w:rPr>
        <w:footnoteReference w:id="123"/>
      </w:r>
      <w:r w:rsidRPr="00AD791A">
        <w:rPr>
          <w:rFonts w:ascii="Cambria" w:hAnsi="Cambria" w:cs="Tahoma"/>
          <w:spacing w:val="-4"/>
          <w:sz w:val="20"/>
          <w:szCs w:val="20"/>
          <w:lang w:val="es-ES_tradnl"/>
        </w:rPr>
        <w:t xml:space="preserve"> </w:t>
      </w:r>
      <w:r w:rsidRPr="00AD791A">
        <w:rPr>
          <w:rFonts w:ascii="Cambria" w:hAnsi="Cambria" w:cs="Garamond"/>
          <w:spacing w:val="-2"/>
          <w:sz w:val="20"/>
          <w:szCs w:val="20"/>
          <w:lang w:val="es-ES_tradnl"/>
        </w:rPr>
        <w:t xml:space="preserve">ordenó </w:t>
      </w:r>
      <w:r w:rsidRPr="00AD791A">
        <w:rPr>
          <w:rFonts w:ascii="Cambria" w:hAnsi="Cambria" w:cs="Tahoma"/>
          <w:spacing w:val="-4"/>
          <w:sz w:val="20"/>
          <w:szCs w:val="20"/>
          <w:lang w:val="es-ES_tradnl"/>
        </w:rPr>
        <w:t xml:space="preserve">trámite de Segunda </w:t>
      </w:r>
      <w:r w:rsidRPr="00AD791A">
        <w:rPr>
          <w:rFonts w:ascii="Cambria" w:hAnsi="Cambria" w:cs="Garamond"/>
          <w:spacing w:val="-2"/>
          <w:sz w:val="20"/>
          <w:szCs w:val="20"/>
          <w:lang w:val="es-ES_tradnl"/>
        </w:rPr>
        <w:t xml:space="preserve">Vista al </w:t>
      </w:r>
      <w:r w:rsidRPr="00AD791A">
        <w:rPr>
          <w:rFonts w:ascii="Cambria" w:hAnsi="Cambria" w:cs="Tahoma"/>
          <w:spacing w:val="-4"/>
          <w:sz w:val="20"/>
          <w:szCs w:val="20"/>
          <w:lang w:val="es-ES_tradnl"/>
        </w:rPr>
        <w:t xml:space="preserve">Ministerio </w:t>
      </w:r>
      <w:r w:rsidRPr="00AD791A">
        <w:rPr>
          <w:rFonts w:ascii="Cambria" w:hAnsi="Cambria" w:cs="Garamond"/>
          <w:sz w:val="20"/>
          <w:szCs w:val="20"/>
          <w:lang w:val="es-ES_tradnl"/>
        </w:rPr>
        <w:t>Público.</w:t>
      </w:r>
      <w:r w:rsidRPr="00AD791A">
        <w:rPr>
          <w:rStyle w:val="FootnoteReference"/>
          <w:rFonts w:ascii="Cambria" w:hAnsi="Cambria" w:cs="Garamond"/>
          <w:sz w:val="20"/>
          <w:szCs w:val="20"/>
          <w:lang w:val="es-ES_tradnl"/>
        </w:rPr>
        <w:footnoteReference w:id="124"/>
      </w:r>
      <w:r w:rsidRPr="00AD791A">
        <w:rPr>
          <w:rFonts w:ascii="Cambria" w:hAnsi="Cambria" w:cs="Garamond"/>
          <w:sz w:val="20"/>
          <w:szCs w:val="20"/>
          <w:lang w:val="es-ES_tradnl"/>
        </w:rPr>
        <w:t xml:space="preserve">  El 24 de diciembre de 2002 la Fiscal Auxiliar solicitó que se declarara la nulidad de todo lo mal practicado debido a que “el proceso ha</w:t>
      </w:r>
      <w:hyperlink r:id="rId19" w:anchor="Corchetes_.5B_.5D" w:history="1">
        <w:r w:rsidRPr="00AD791A">
          <w:rPr>
            <w:rFonts w:ascii="Cambria" w:hAnsi="Cambria" w:cs="Arial"/>
            <w:sz w:val="20"/>
            <w:szCs w:val="20"/>
            <w:lang w:val="es-MX"/>
          </w:rPr>
          <w:t>[bía]</w:t>
        </w:r>
      </w:hyperlink>
      <w:r w:rsidRPr="00AD791A">
        <w:rPr>
          <w:rFonts w:ascii="Cambria" w:hAnsi="Cambria" w:cs="Arial"/>
          <w:sz w:val="20"/>
          <w:szCs w:val="20"/>
          <w:lang w:val="es-MX"/>
        </w:rPr>
        <w:t xml:space="preserve"> </w:t>
      </w:r>
      <w:r w:rsidRPr="00AD791A">
        <w:rPr>
          <w:rFonts w:ascii="Cambria" w:hAnsi="Cambria" w:cs="Garamond"/>
          <w:sz w:val="20"/>
          <w:szCs w:val="20"/>
          <w:lang w:val="es-ES_tradnl"/>
        </w:rPr>
        <w:t>sido tramitado anómalamente, creado perjuicios de las partes por el Juez que no fue garante del debido proceso”.</w:t>
      </w:r>
      <w:r w:rsidRPr="00AD791A">
        <w:rPr>
          <w:rStyle w:val="FootnoteReference"/>
          <w:rFonts w:ascii="Cambria" w:hAnsi="Cambria"/>
          <w:spacing w:val="14"/>
          <w:sz w:val="20"/>
          <w:szCs w:val="20"/>
          <w:lang w:val="es-ES_tradnl"/>
        </w:rPr>
        <w:footnoteReference w:id="125"/>
      </w:r>
      <w:r w:rsidRPr="00AD791A">
        <w:rPr>
          <w:rFonts w:ascii="Cambria" w:hAnsi="Cambria" w:cs="Garamond"/>
          <w:sz w:val="20"/>
          <w:szCs w:val="20"/>
          <w:lang w:val="es-ES_tradnl"/>
        </w:rPr>
        <w:t xml:space="preserve"> Lo anterior, lo fundamentó en que se habían presentado las siguientes nulidades: a) que la señora Acosta tenga dos calidades en el proceso; b) que no conste la declaración de la señora Acosta como indagada y que se le haya procesado en ausencia a pesar de que se sabía dónde residía; y c) la apelación fuera declarada desierta cuando aún no expiraba el término para presentar el gasto de papel con objeto de testimoniar todo lo actuado</w:t>
      </w:r>
      <w:r w:rsidRPr="00AD791A">
        <w:rPr>
          <w:rStyle w:val="FootnoteReference"/>
          <w:rFonts w:ascii="Cambria" w:hAnsi="Cambria"/>
          <w:spacing w:val="14"/>
          <w:sz w:val="20"/>
          <w:szCs w:val="20"/>
          <w:lang w:val="es-ES_tradnl"/>
        </w:rPr>
        <w:footnoteReference w:id="126"/>
      </w:r>
      <w:r w:rsidRPr="00AD791A">
        <w:rPr>
          <w:rFonts w:ascii="Cambria" w:hAnsi="Cambria" w:cs="Garamond"/>
          <w:sz w:val="20"/>
          <w:szCs w:val="20"/>
          <w:lang w:val="es-ES_tradnl"/>
        </w:rPr>
        <w:t>.</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El 13 de enero de 2003 el Ministerio Público presentó acusación contra</w:t>
      </w:r>
      <w:r w:rsidRPr="00AD791A">
        <w:rPr>
          <w:rFonts w:ascii="Cambria" w:hAnsi="Cambria"/>
          <w:sz w:val="20"/>
          <w:szCs w:val="20"/>
          <w:lang w:val="es-ES_tradnl"/>
        </w:rPr>
        <w:t xml:space="preserve"> Wilberth Ochoa - quien ya se encontraba detenido por la Policía de Chinandega – por considerarlo presunto autor del delito de asesinato en perjuicio del señor García Valle</w:t>
      </w:r>
      <w:r w:rsidRPr="00AD791A">
        <w:rPr>
          <w:rStyle w:val="FootnoteReference"/>
          <w:rFonts w:ascii="Cambria" w:hAnsi="Cambria" w:cs="Arial Narrow"/>
          <w:spacing w:val="-2"/>
          <w:sz w:val="20"/>
          <w:szCs w:val="20"/>
          <w:lang w:val="es-MX"/>
        </w:rPr>
        <w:footnoteReference w:id="127"/>
      </w:r>
      <w:r w:rsidRPr="00AD791A">
        <w:rPr>
          <w:rFonts w:ascii="Cambria" w:hAnsi="Cambria"/>
          <w:sz w:val="20"/>
          <w:szCs w:val="20"/>
          <w:lang w:val="es-ES_tradnl"/>
        </w:rPr>
        <w:t>. El 22 de enero de 2003, la Fiscal Auxiliar presentó al Juez de Distrito de lo Civil y Penal los elementos probatorios relacionados con la participación de Wilberth Ochoa en el asesinato del señor García Valle</w:t>
      </w:r>
      <w:r w:rsidRPr="00AD791A">
        <w:rPr>
          <w:rStyle w:val="FootnoteReference"/>
          <w:rFonts w:ascii="Cambria" w:hAnsi="Cambria" w:cs="Arial Narrow"/>
          <w:spacing w:val="-2"/>
          <w:sz w:val="20"/>
          <w:szCs w:val="20"/>
          <w:lang w:val="es-ES_tradnl"/>
        </w:rPr>
        <w:footnoteReference w:id="128"/>
      </w:r>
      <w:r w:rsidRPr="00AD791A">
        <w:rPr>
          <w:rFonts w:ascii="Cambria" w:hAnsi="Cambria"/>
          <w:sz w:val="20"/>
          <w:szCs w:val="20"/>
          <w:lang w:val="es-ES_tradnl"/>
        </w:rPr>
        <w:t>.</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_tradnl"/>
        </w:rPr>
        <w:t>Con escritos de fecha de 24 de enero de 2003 y 4 de febrero de 2003</w:t>
      </w:r>
      <w:r w:rsidRPr="00AD791A">
        <w:rPr>
          <w:rStyle w:val="FootnoteReference"/>
          <w:rFonts w:ascii="Cambria" w:hAnsi="Cambria" w:cs="Garamond"/>
          <w:spacing w:val="-4"/>
          <w:sz w:val="20"/>
          <w:szCs w:val="20"/>
          <w:lang w:val="es-ES_tradnl"/>
        </w:rPr>
        <w:footnoteReference w:id="129"/>
      </w:r>
      <w:r w:rsidRPr="00AD791A">
        <w:rPr>
          <w:rFonts w:ascii="Cambria" w:hAnsi="Cambria"/>
          <w:sz w:val="20"/>
          <w:szCs w:val="20"/>
          <w:lang w:val="es-ES_tradnl"/>
        </w:rPr>
        <w:t>, el representante legal de la señora Acosta solicitó por tercera vez la declaratoria de nulidad del proceso desde el auto del 19 de abril del 2002</w:t>
      </w:r>
      <w:r w:rsidRPr="00AD791A">
        <w:rPr>
          <w:rStyle w:val="FootnoteReference"/>
          <w:rFonts w:ascii="Cambria" w:hAnsi="Cambria" w:cs="Arial Narrow"/>
          <w:spacing w:val="-2"/>
          <w:sz w:val="20"/>
          <w:szCs w:val="20"/>
          <w:lang w:val="es-ES_tradnl"/>
        </w:rPr>
        <w:footnoteReference w:id="130"/>
      </w:r>
      <w:r w:rsidRPr="00AD791A">
        <w:rPr>
          <w:rFonts w:ascii="Cambria" w:hAnsi="Cambria"/>
          <w:sz w:val="20"/>
          <w:szCs w:val="20"/>
          <w:lang w:val="es-ES_tradnl"/>
        </w:rPr>
        <w:t>.</w:t>
      </w:r>
      <w:r w:rsidRPr="00AD791A">
        <w:rPr>
          <w:rFonts w:ascii="Cambria" w:hAnsi="Cambria"/>
          <w:sz w:val="20"/>
          <w:szCs w:val="20"/>
          <w:lang w:val="es-MX"/>
        </w:rPr>
        <w:t xml:space="preserve"> </w:t>
      </w:r>
      <w:r w:rsidRPr="00AD791A">
        <w:rPr>
          <w:rFonts w:ascii="Cambria" w:hAnsi="Cambria" w:cs="Arial Narrow"/>
          <w:spacing w:val="-2"/>
          <w:sz w:val="20"/>
          <w:szCs w:val="20"/>
          <w:lang w:val="es-ES_tradnl"/>
        </w:rPr>
        <w:t>El 4 de marzo de 2003 el Juzgado de Distrito de lo Civil y Penal declaró sin lugar las segundas vistas presentadas por la Fiscalía y el representante legal de la señora Acosta debido a que las nulidades alegadas ocurrieron en la etapa instructiva</w:t>
      </w:r>
      <w:r w:rsidRPr="00AD791A">
        <w:rPr>
          <w:rStyle w:val="FootnoteReference"/>
          <w:rFonts w:ascii="Cambria" w:hAnsi="Cambria" w:cs="Arial Narrow"/>
          <w:spacing w:val="-2"/>
          <w:sz w:val="20"/>
          <w:szCs w:val="20"/>
          <w:lang w:val="es-ES_tradnl"/>
        </w:rPr>
        <w:footnoteReference w:id="131"/>
      </w:r>
      <w:r w:rsidRPr="00AD791A">
        <w:rPr>
          <w:rFonts w:ascii="Cambria" w:hAnsi="Cambria" w:cs="Arial"/>
          <w:sz w:val="20"/>
          <w:szCs w:val="20"/>
          <w:lang w:val="es-MX"/>
        </w:rPr>
        <w:t>.</w:t>
      </w:r>
      <w:r w:rsidRPr="00AD791A">
        <w:rPr>
          <w:rFonts w:ascii="Cambria" w:hAnsi="Cambria" w:cs="Arial Narrow"/>
          <w:spacing w:val="-2"/>
          <w:sz w:val="20"/>
          <w:szCs w:val="20"/>
          <w:lang w:val="es-ES_tradnl"/>
        </w:rPr>
        <w:t xml:space="preserve">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cs="Arial Narrow"/>
          <w:spacing w:val="-2"/>
          <w:sz w:val="20"/>
          <w:szCs w:val="20"/>
          <w:lang w:val="es-ES_tradnl"/>
        </w:rPr>
        <w:t>El 24 de marzo de 2003 quedo ejecutoriada la sentencia interlocutoria de 13 de mayo de 2002 con la que se determinó el sobreseimiento definitivo a favor de Peter Tsokos, Peter Martínez, Charles Presida y María Luisa Acosta</w:t>
      </w:r>
      <w:r w:rsidRPr="00AD791A">
        <w:rPr>
          <w:rStyle w:val="FootnoteReference"/>
          <w:rFonts w:ascii="Cambria" w:hAnsi="Cambria" w:cs="Arial Narrow"/>
          <w:spacing w:val="-2"/>
          <w:sz w:val="20"/>
          <w:szCs w:val="20"/>
          <w:lang w:val="es-ES_tradnl"/>
        </w:rPr>
        <w:footnoteReference w:id="132"/>
      </w:r>
      <w:r w:rsidRPr="00AD791A">
        <w:rPr>
          <w:rFonts w:ascii="Cambria" w:hAnsi="Cambria" w:cs="Arial Narrow"/>
          <w:spacing w:val="-2"/>
          <w:sz w:val="20"/>
          <w:szCs w:val="20"/>
          <w:lang w:val="es-ES_tradnl"/>
        </w:rPr>
        <w:t>.</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_tradnl"/>
        </w:rPr>
        <w:t>El 23 de septiembre de 2003, la Sala de lo Penal del Tribunal de Apelaciones, rechazó conocer sobre el cuarto incidente interpuesto por María Luisa Acosta el 9 de junio de 2003</w:t>
      </w:r>
      <w:r w:rsidRPr="00AD791A">
        <w:rPr>
          <w:rStyle w:val="FootnoteReference"/>
          <w:rFonts w:ascii="Cambria" w:hAnsi="Cambria" w:cs="Arial Narrow"/>
          <w:spacing w:val="-2"/>
          <w:sz w:val="20"/>
          <w:szCs w:val="20"/>
          <w:lang w:val="es-ES_tradnl"/>
        </w:rPr>
        <w:footnoteReference w:id="133"/>
      </w:r>
      <w:r w:rsidRPr="00AD791A">
        <w:rPr>
          <w:rFonts w:ascii="Cambria" w:hAnsi="Cambria"/>
          <w:sz w:val="20"/>
          <w:szCs w:val="20"/>
          <w:lang w:val="es-ES_tradnl"/>
        </w:rPr>
        <w:t xml:space="preserve">, bajo el argumento de que "esta Sala debe analizar si existe nulidad </w:t>
      </w:r>
      <w:hyperlink r:id="rId20" w:anchor="Corchetes_.5B_.5D" w:history="1">
        <w:r w:rsidRPr="00AD791A">
          <w:rPr>
            <w:rFonts w:ascii="Cambria" w:hAnsi="Cambria" w:cs="Arial"/>
            <w:sz w:val="20"/>
            <w:szCs w:val="20"/>
            <w:lang w:val="es-MX"/>
          </w:rPr>
          <w:t>[…]</w:t>
        </w:r>
      </w:hyperlink>
      <w:r w:rsidRPr="00AD791A">
        <w:rPr>
          <w:rFonts w:ascii="Cambria" w:hAnsi="Cambria" w:cs="Arial"/>
          <w:sz w:val="20"/>
          <w:szCs w:val="20"/>
          <w:lang w:val="es-MX"/>
        </w:rPr>
        <w:t xml:space="preserve"> en relación </w:t>
      </w:r>
      <w:hyperlink r:id="rId21" w:anchor="Corchetes_.5B_.5D" w:history="1">
        <w:r w:rsidRPr="00AD791A">
          <w:rPr>
            <w:rFonts w:ascii="Cambria" w:hAnsi="Cambria" w:cs="Arial"/>
            <w:sz w:val="20"/>
            <w:szCs w:val="20"/>
            <w:lang w:val="es-MX"/>
          </w:rPr>
          <w:t>[con]</w:t>
        </w:r>
      </w:hyperlink>
      <w:r w:rsidRPr="00AD791A">
        <w:rPr>
          <w:rFonts w:ascii="Cambria" w:hAnsi="Cambria" w:cs="Arial"/>
          <w:sz w:val="20"/>
          <w:szCs w:val="20"/>
          <w:lang w:val="es-MX"/>
        </w:rPr>
        <w:t xml:space="preserve"> el proceso </w:t>
      </w:r>
      <w:hyperlink r:id="rId22" w:anchor="Corchetes_.5B_.5D" w:history="1">
        <w:r w:rsidRPr="00AD791A">
          <w:rPr>
            <w:rFonts w:ascii="Cambria" w:hAnsi="Cambria" w:cs="Arial"/>
            <w:sz w:val="20"/>
            <w:szCs w:val="20"/>
            <w:lang w:val="es-MX"/>
          </w:rPr>
          <w:t>[de]</w:t>
        </w:r>
      </w:hyperlink>
      <w:r w:rsidRPr="00AD791A">
        <w:rPr>
          <w:rFonts w:ascii="Cambria" w:hAnsi="Cambria" w:cs="Arial"/>
          <w:sz w:val="20"/>
          <w:szCs w:val="20"/>
          <w:lang w:val="es-MX"/>
        </w:rPr>
        <w:t xml:space="preserve"> Wilberth Ochoa </w:t>
      </w:r>
      <w:hyperlink r:id="rId23" w:anchor="Corchetes_.5B_.5D" w:history="1">
        <w:r w:rsidRPr="00AD791A">
          <w:rPr>
            <w:rFonts w:ascii="Cambria" w:hAnsi="Cambria" w:cs="Arial"/>
            <w:sz w:val="20"/>
            <w:szCs w:val="20"/>
            <w:lang w:val="es-MX"/>
          </w:rPr>
          <w:t>[y el incidente interpuesto]</w:t>
        </w:r>
      </w:hyperlink>
      <w:r w:rsidRPr="00AD791A">
        <w:rPr>
          <w:rFonts w:ascii="Cambria" w:hAnsi="Cambria" w:cs="Arial"/>
          <w:sz w:val="20"/>
          <w:szCs w:val="20"/>
          <w:lang w:val="es-MX"/>
        </w:rPr>
        <w:t xml:space="preserve"> </w:t>
      </w:r>
      <w:r w:rsidRPr="00AD791A">
        <w:rPr>
          <w:rFonts w:ascii="Cambria" w:hAnsi="Cambria"/>
          <w:sz w:val="20"/>
          <w:szCs w:val="20"/>
          <w:lang w:val="es-ES_tradnl"/>
        </w:rPr>
        <w:t xml:space="preserve">se </w:t>
      </w:r>
      <w:r w:rsidRPr="00AD791A">
        <w:rPr>
          <w:rFonts w:ascii="Cambria" w:hAnsi="Cambria"/>
          <w:iCs/>
          <w:spacing w:val="6"/>
          <w:sz w:val="20"/>
          <w:szCs w:val="20"/>
          <w:lang w:val="es-ES_tradnl"/>
        </w:rPr>
        <w:t xml:space="preserve">refiere </w:t>
      </w:r>
      <w:r w:rsidRPr="00AD791A">
        <w:rPr>
          <w:rFonts w:ascii="Cambria" w:hAnsi="Cambria"/>
          <w:sz w:val="20"/>
          <w:szCs w:val="20"/>
          <w:lang w:val="es-ES_tradnl"/>
        </w:rPr>
        <w:t xml:space="preserve">a los procesados </w:t>
      </w:r>
      <w:r w:rsidRPr="00AD791A">
        <w:rPr>
          <w:rFonts w:ascii="Cambria" w:hAnsi="Cambria"/>
          <w:iCs/>
          <w:spacing w:val="6"/>
          <w:sz w:val="20"/>
          <w:szCs w:val="20"/>
          <w:lang w:val="es-ES_tradnl"/>
        </w:rPr>
        <w:t xml:space="preserve">Iván </w:t>
      </w:r>
      <w:r w:rsidRPr="00AD791A">
        <w:rPr>
          <w:rFonts w:ascii="Cambria" w:hAnsi="Cambria"/>
          <w:iCs/>
          <w:sz w:val="20"/>
          <w:szCs w:val="20"/>
          <w:lang w:val="es-ES_tradnl"/>
        </w:rPr>
        <w:t xml:space="preserve">Argüello, Peter Martínez, Peter Tsokos y María Luisa Acosta Castellón </w:t>
      </w:r>
      <w:hyperlink r:id="rId24" w:anchor="Corchetes_.5B_.5D" w:history="1">
        <w:r w:rsidRPr="00AD791A">
          <w:rPr>
            <w:rFonts w:ascii="Cambria" w:hAnsi="Cambria" w:cs="Arial"/>
            <w:sz w:val="20"/>
            <w:szCs w:val="20"/>
            <w:lang w:val="es-MX"/>
          </w:rPr>
          <w:t>[…]</w:t>
        </w:r>
      </w:hyperlink>
      <w:r w:rsidRPr="00AD791A">
        <w:rPr>
          <w:rFonts w:ascii="Cambria" w:hAnsi="Cambria"/>
          <w:iCs/>
          <w:sz w:val="20"/>
          <w:szCs w:val="20"/>
          <w:lang w:val="es-ES_tradnl"/>
        </w:rPr>
        <w:t xml:space="preserve"> habi</w:t>
      </w:r>
      <w:r w:rsidRPr="00AD791A">
        <w:rPr>
          <w:rFonts w:ascii="Cambria" w:hAnsi="Cambria"/>
          <w:iCs/>
          <w:sz w:val="20"/>
          <w:szCs w:val="20"/>
          <w:lang w:val="es-MX"/>
        </w:rPr>
        <w:t>éndos</w:t>
      </w:r>
      <w:r w:rsidRPr="00AD791A">
        <w:rPr>
          <w:rFonts w:ascii="Cambria" w:hAnsi="Cambria"/>
          <w:iCs/>
          <w:sz w:val="20"/>
          <w:szCs w:val="20"/>
          <w:lang w:val="es-ES_tradnl"/>
        </w:rPr>
        <w:t xml:space="preserve">e pronunciado </w:t>
      </w:r>
      <w:hyperlink r:id="rId25" w:anchor="Corchetes_.5B_.5D" w:history="1">
        <w:r w:rsidRPr="00AD791A">
          <w:rPr>
            <w:rFonts w:ascii="Cambria" w:hAnsi="Cambria" w:cs="Arial"/>
            <w:sz w:val="20"/>
            <w:szCs w:val="20"/>
            <w:lang w:val="es-MX"/>
          </w:rPr>
          <w:t>[al respecto]</w:t>
        </w:r>
      </w:hyperlink>
      <w:r w:rsidRPr="00AD791A">
        <w:rPr>
          <w:rFonts w:ascii="Cambria" w:hAnsi="Cambria"/>
          <w:iCs/>
          <w:sz w:val="20"/>
          <w:szCs w:val="20"/>
          <w:lang w:val="es-ES_tradnl"/>
        </w:rPr>
        <w:t xml:space="preserve"> </w:t>
      </w:r>
      <w:r w:rsidRPr="00AD791A">
        <w:rPr>
          <w:rFonts w:ascii="Cambria" w:hAnsi="Cambria"/>
          <w:iCs/>
          <w:spacing w:val="6"/>
          <w:sz w:val="20"/>
          <w:szCs w:val="20"/>
          <w:lang w:val="es-ES_tradnl"/>
        </w:rPr>
        <w:t xml:space="preserve">en </w:t>
      </w:r>
      <w:hyperlink r:id="rId26" w:anchor="Corchetes_.5B_.5D" w:history="1">
        <w:r w:rsidRPr="00AD791A">
          <w:rPr>
            <w:rFonts w:ascii="Cambria" w:hAnsi="Cambria" w:cs="Arial"/>
            <w:sz w:val="20"/>
            <w:szCs w:val="20"/>
            <w:lang w:val="es-MX"/>
          </w:rPr>
          <w:t>[…]</w:t>
        </w:r>
      </w:hyperlink>
      <w:r w:rsidRPr="00AD791A">
        <w:rPr>
          <w:rFonts w:ascii="Cambria" w:hAnsi="Cambria"/>
          <w:iCs/>
          <w:spacing w:val="6"/>
          <w:sz w:val="20"/>
          <w:szCs w:val="20"/>
          <w:lang w:val="es-ES_tradnl"/>
        </w:rPr>
        <w:t xml:space="preserve"> Sentencia de 13 de mayo de 2002”</w:t>
      </w:r>
      <w:r w:rsidRPr="00AD791A">
        <w:rPr>
          <w:rStyle w:val="FootnoteReference"/>
          <w:rFonts w:ascii="Cambria" w:hAnsi="Cambria" w:cs="Arial Narrow"/>
          <w:iCs/>
          <w:spacing w:val="6"/>
          <w:sz w:val="20"/>
          <w:szCs w:val="20"/>
          <w:lang w:val="es-ES_tradnl"/>
        </w:rPr>
        <w:footnoteReference w:id="134"/>
      </w:r>
      <w:r w:rsidRPr="00AD791A">
        <w:rPr>
          <w:rFonts w:ascii="Cambria" w:hAnsi="Cambria"/>
          <w:iCs/>
          <w:spacing w:val="6"/>
          <w:sz w:val="20"/>
          <w:szCs w:val="20"/>
          <w:lang w:val="es-ES_tradnl"/>
        </w:rPr>
        <w:t>.</w:t>
      </w:r>
      <w:r w:rsidRPr="00AD791A">
        <w:rPr>
          <w:rFonts w:ascii="Cambria" w:hAnsi="Cambria"/>
          <w:i/>
          <w:iCs/>
          <w:spacing w:val="6"/>
          <w:sz w:val="20"/>
          <w:szCs w:val="20"/>
          <w:lang w:val="es-ES_tradnl"/>
        </w:rPr>
        <w:t xml:space="preserve"> </w:t>
      </w:r>
      <w:r w:rsidRPr="00AD791A">
        <w:rPr>
          <w:rFonts w:ascii="Cambria" w:hAnsi="Cambria"/>
          <w:sz w:val="20"/>
          <w:szCs w:val="20"/>
          <w:lang w:val="es-ES_tradnl"/>
        </w:rPr>
        <w:t>Ante esta decisión, el 31 de octubre de 2003, María Luisa Acosta interpuso recurso extraordinario de casación ante la Corte Suprema de Justicia</w:t>
      </w:r>
      <w:r w:rsidRPr="00AD791A">
        <w:rPr>
          <w:rStyle w:val="FootnoteReference"/>
          <w:rFonts w:ascii="Cambria" w:hAnsi="Cambria"/>
          <w:sz w:val="20"/>
          <w:szCs w:val="20"/>
          <w:lang w:val="es-ES_tradnl"/>
        </w:rPr>
        <w:footnoteReference w:id="135"/>
      </w:r>
      <w:r w:rsidRPr="00AD791A">
        <w:rPr>
          <w:rFonts w:ascii="Cambria" w:hAnsi="Cambria" w:cs="Arial Narrow"/>
          <w:spacing w:val="-2"/>
          <w:sz w:val="20"/>
          <w:szCs w:val="20"/>
          <w:lang w:val="es-ES_tradnl"/>
        </w:rPr>
        <w:t xml:space="preserve"> que fue declarado improcedente el </w:t>
      </w:r>
      <w:r w:rsidRPr="00AD791A">
        <w:rPr>
          <w:rFonts w:ascii="Cambria" w:hAnsi="Cambria"/>
          <w:sz w:val="20"/>
          <w:szCs w:val="20"/>
          <w:lang w:val="es-ES_tradnl"/>
        </w:rPr>
        <w:t xml:space="preserve">18 de abril de </w:t>
      </w:r>
      <w:r w:rsidRPr="00AD791A">
        <w:rPr>
          <w:rFonts w:ascii="Cambria" w:hAnsi="Cambria" w:cs="Arial Narrow"/>
          <w:spacing w:val="-2"/>
          <w:sz w:val="20"/>
          <w:szCs w:val="20"/>
          <w:lang w:val="es-ES_tradnl"/>
        </w:rPr>
        <w:t>2005</w:t>
      </w:r>
      <w:r w:rsidRPr="00AD791A">
        <w:rPr>
          <w:rStyle w:val="FootnoteReference"/>
          <w:rFonts w:ascii="Cambria" w:hAnsi="Cambria" w:cs="Arial Narrow"/>
          <w:spacing w:val="-2"/>
          <w:sz w:val="20"/>
          <w:szCs w:val="20"/>
          <w:lang w:val="es-ES_tradnl"/>
        </w:rPr>
        <w:footnoteReference w:id="136"/>
      </w:r>
      <w:r w:rsidRPr="00AD791A">
        <w:rPr>
          <w:rFonts w:ascii="Cambria" w:hAnsi="Cambria" w:cs="Arial Narrow"/>
          <w:spacing w:val="-2"/>
          <w:sz w:val="20"/>
          <w:szCs w:val="20"/>
          <w:lang w:val="es-ES_tradnl"/>
        </w:rPr>
        <w:t>.</w:t>
      </w:r>
    </w:p>
    <w:p w:rsidR="009D7F32" w:rsidRPr="00AD791A" w:rsidRDefault="009D7F32" w:rsidP="009D7F32">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_tradnl"/>
        </w:rPr>
        <w:t>Mediante sentencia de 21 de abril de 2004, el Juzgado de Distrito de lo Civil y Penal sentenció a Iván Argüello y a Wilberth Ochoa, a 20 años de presidio como autores del asesinato del señor García Valle</w:t>
      </w:r>
      <w:r w:rsidRPr="00AD791A">
        <w:rPr>
          <w:rStyle w:val="FootnoteReference"/>
          <w:rFonts w:ascii="Cambria" w:hAnsi="Cambria" w:cs="Arial Narrow"/>
          <w:spacing w:val="-2"/>
          <w:sz w:val="20"/>
          <w:szCs w:val="20"/>
          <w:lang w:val="es-ES_tradnl"/>
        </w:rPr>
        <w:footnoteReference w:id="137"/>
      </w:r>
      <w:r w:rsidRPr="00AD791A">
        <w:rPr>
          <w:rFonts w:ascii="Cambria" w:hAnsi="Cambria"/>
          <w:sz w:val="20"/>
          <w:szCs w:val="20"/>
          <w:lang w:val="es-ES_tradnl"/>
        </w:rPr>
        <w:t xml:space="preserve">. </w:t>
      </w:r>
      <w:r w:rsidRPr="00AD791A">
        <w:rPr>
          <w:rFonts w:ascii="Cambria" w:hAnsi="Cambria" w:cs="Arial Narrow"/>
          <w:spacing w:val="-2"/>
          <w:sz w:val="20"/>
          <w:szCs w:val="20"/>
          <w:lang w:val="es-ES_tradnl"/>
        </w:rPr>
        <w:t>El 26 de abril de 2004 la sentencia fue apelada por el representante de la señora Acosta al considerar que la pena debió ser por 30 años y no por 20</w:t>
      </w:r>
      <w:r w:rsidRPr="00AD791A">
        <w:rPr>
          <w:rStyle w:val="FootnoteReference"/>
          <w:rFonts w:ascii="Cambria" w:hAnsi="Cambria" w:cs="Arial Narrow"/>
          <w:spacing w:val="-2"/>
          <w:sz w:val="20"/>
          <w:szCs w:val="20"/>
          <w:lang w:val="es-ES_tradnl"/>
        </w:rPr>
        <w:footnoteReference w:id="138"/>
      </w:r>
      <w:r w:rsidRPr="00AD791A">
        <w:rPr>
          <w:rFonts w:ascii="Cambria" w:hAnsi="Cambria" w:cs="Arial Narrow"/>
          <w:spacing w:val="-2"/>
          <w:sz w:val="20"/>
          <w:szCs w:val="20"/>
          <w:lang w:val="es-ES_tradnl"/>
        </w:rPr>
        <w:t xml:space="preserve">. </w:t>
      </w:r>
    </w:p>
    <w:p w:rsidR="009D7F32" w:rsidRPr="00AD791A" w:rsidRDefault="009D7F32" w:rsidP="009D7F32">
      <w:pPr>
        <w:jc w:val="both"/>
        <w:rPr>
          <w:rFonts w:ascii="Cambria" w:hAnsi="Cambria"/>
          <w:sz w:val="20"/>
          <w:szCs w:val="20"/>
          <w:lang w:val="es-ES_tradnl"/>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_tradnl"/>
        </w:rPr>
        <w:t>El día 30 de agosto de 2004 se capturó en Costa Rica a Iván Argüello, quien hasta ese momento había sido condenado en ausencia</w:t>
      </w:r>
      <w:r w:rsidRPr="00AD791A">
        <w:rPr>
          <w:rStyle w:val="FootnoteReference"/>
          <w:rFonts w:ascii="Cambria" w:hAnsi="Cambria"/>
          <w:sz w:val="20"/>
          <w:szCs w:val="20"/>
          <w:lang w:val="es-ES_tradnl"/>
        </w:rPr>
        <w:footnoteReference w:id="139"/>
      </w:r>
      <w:r w:rsidRPr="00AD791A">
        <w:rPr>
          <w:rFonts w:ascii="Cambria" w:hAnsi="Cambria"/>
          <w:sz w:val="20"/>
          <w:szCs w:val="20"/>
          <w:lang w:val="es-ES_tradnl"/>
        </w:rPr>
        <w:t xml:space="preserve">. En declaraciones emitidas por el Canal 11 de Costa Rica, el 31 de agosto de 2004, Iván Argüello “declaró que fue Peter Tsokos quien lo envió a la casa de la familia García Acosta </w:t>
      </w:r>
      <w:hyperlink r:id="rId27" w:anchor="Corchetes_.5B_.5D" w:history="1">
        <w:r w:rsidRPr="00AD791A">
          <w:rPr>
            <w:rFonts w:ascii="Cambria" w:hAnsi="Cambria" w:cs="Arial"/>
            <w:sz w:val="20"/>
            <w:szCs w:val="20"/>
            <w:lang w:val="es-MX"/>
          </w:rPr>
          <w:t>[…]</w:t>
        </w:r>
      </w:hyperlink>
      <w:r w:rsidRPr="00AD791A">
        <w:rPr>
          <w:rFonts w:ascii="Cambria" w:hAnsi="Cambria"/>
          <w:sz w:val="20"/>
          <w:szCs w:val="20"/>
          <w:lang w:val="es-ES_tradnl"/>
        </w:rPr>
        <w:t xml:space="preserve"> para perpetrar el crimen”</w:t>
      </w:r>
      <w:r w:rsidRPr="00AD791A">
        <w:rPr>
          <w:rStyle w:val="FootnoteReference"/>
          <w:rFonts w:ascii="Cambria" w:hAnsi="Cambria"/>
          <w:sz w:val="20"/>
          <w:szCs w:val="20"/>
          <w:lang w:val="es-ES_tradnl"/>
        </w:rPr>
        <w:footnoteReference w:id="140"/>
      </w:r>
      <w:r w:rsidRPr="00AD791A">
        <w:rPr>
          <w:rFonts w:ascii="Cambria" w:hAnsi="Cambria"/>
          <w:sz w:val="20"/>
          <w:szCs w:val="20"/>
          <w:lang w:val="es-ES_tradnl"/>
        </w:rPr>
        <w:t>.</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_tradnl"/>
        </w:rPr>
        <w:t xml:space="preserve">El día 29 de noviembre de 2004 la Sala de lo Penal del Tribunal de Apelaciones reformó sentencia de Iván Argüello y Wilberth Ochoa, al imponerles 23 años de prisión, en lugar de 20. También,  rechazó </w:t>
      </w:r>
      <w:r w:rsidRPr="00AD791A">
        <w:rPr>
          <w:rFonts w:ascii="Cambria" w:hAnsi="Cambria" w:cs="Arial Narrow"/>
          <w:spacing w:val="-2"/>
          <w:sz w:val="20"/>
          <w:szCs w:val="20"/>
          <w:lang w:val="es-ES_tradnl"/>
        </w:rPr>
        <w:t>declarar la solicitud de nulidad de los sobreseimientos de Martínez y Tsokos, con base en que “dicha sentencia ha quedado firme y se ha convertido en cosa juzgada”</w:t>
      </w:r>
      <w:r w:rsidRPr="00AD791A">
        <w:rPr>
          <w:rStyle w:val="FootnoteReference"/>
          <w:rFonts w:ascii="Cambria" w:hAnsi="Cambria"/>
          <w:sz w:val="20"/>
          <w:szCs w:val="20"/>
          <w:lang w:val="es-ES_tradnl"/>
        </w:rPr>
        <w:footnoteReference w:id="141"/>
      </w:r>
      <w:r w:rsidRPr="00AD791A">
        <w:rPr>
          <w:rFonts w:ascii="Cambria" w:hAnsi="Cambria"/>
          <w:sz w:val="20"/>
          <w:szCs w:val="20"/>
          <w:lang w:val="es-ES_tradnl"/>
        </w:rPr>
        <w:t>.</w:t>
      </w:r>
      <w:r w:rsidRPr="00AD791A">
        <w:rPr>
          <w:rFonts w:ascii="Cambria" w:hAnsi="Cambria" w:cs="Arial Narrow"/>
          <w:spacing w:val="-2"/>
          <w:sz w:val="20"/>
          <w:szCs w:val="20"/>
          <w:lang w:val="es-ES_tradnl"/>
        </w:rPr>
        <w:t xml:space="preserve"> </w:t>
      </w:r>
    </w:p>
    <w:p w:rsidR="009D7F32" w:rsidRPr="00AD791A" w:rsidRDefault="009D7F32" w:rsidP="009D7F32">
      <w:pPr>
        <w:jc w:val="both"/>
        <w:rPr>
          <w:rFonts w:ascii="Cambria" w:hAnsi="Cambria" w:cs="Arial Narrow"/>
          <w:spacing w:val="-2"/>
          <w:sz w:val="20"/>
          <w:szCs w:val="20"/>
          <w:lang w:val="es-ES_tradnl"/>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cs="Arial Narrow"/>
          <w:spacing w:val="-2"/>
          <w:sz w:val="20"/>
          <w:szCs w:val="20"/>
          <w:lang w:val="es-ES_tradnl"/>
        </w:rPr>
        <w:t>El 22 de diciembre de 2004 el representante de la señora Acosta presentó recurso extraordinario de casación ante la Sala Penal de la Corte Suprema de Justicia en contra de la sentencia de 29 de noviembre de 2004 del Tribunal de Apelaciones, argumentando que aplicó indebidamente las normas relativas a la cosa juzgada y solicitando la nulidad de</w:t>
      </w:r>
      <w:r w:rsidRPr="00AD791A">
        <w:rPr>
          <w:rFonts w:ascii="Cambria" w:hAnsi="Cambria" w:cs="Arial"/>
          <w:sz w:val="20"/>
          <w:szCs w:val="20"/>
          <w:lang w:val="es-MX"/>
        </w:rPr>
        <w:t xml:space="preserve"> todo lo actuado desde el auto del 19 de abril de 2002</w:t>
      </w:r>
      <w:r w:rsidRPr="00AD791A">
        <w:rPr>
          <w:rStyle w:val="FootnoteReference"/>
          <w:rFonts w:ascii="Cambria" w:hAnsi="Cambria" w:cs="Arial Narrow"/>
          <w:spacing w:val="-2"/>
          <w:sz w:val="20"/>
          <w:szCs w:val="20"/>
          <w:lang w:val="es-ES_tradnl"/>
        </w:rPr>
        <w:footnoteReference w:id="142"/>
      </w:r>
      <w:r w:rsidRPr="00AD791A">
        <w:rPr>
          <w:rFonts w:ascii="Cambria" w:hAnsi="Cambria" w:cs="Arial"/>
          <w:sz w:val="20"/>
          <w:szCs w:val="20"/>
          <w:lang w:val="es-ES_tradnl"/>
        </w:rPr>
        <w:t>.</w:t>
      </w:r>
      <w:r w:rsidRPr="00AD791A">
        <w:rPr>
          <w:rFonts w:ascii="Cambria" w:hAnsi="Cambria"/>
          <w:sz w:val="20"/>
          <w:szCs w:val="20"/>
          <w:lang w:val="es-MX"/>
        </w:rPr>
        <w:t xml:space="preserve"> </w:t>
      </w:r>
      <w:r w:rsidRPr="00AD791A">
        <w:rPr>
          <w:rFonts w:ascii="Cambria" w:hAnsi="Cambria" w:cs="Arial Narrow"/>
          <w:spacing w:val="-2"/>
          <w:sz w:val="20"/>
          <w:szCs w:val="20"/>
          <w:lang w:val="es-ES_tradnl"/>
        </w:rPr>
        <w:t xml:space="preserve">El 24 de agosto de 2006, dentro de su intervención, </w:t>
      </w:r>
      <w:r w:rsidRPr="00AD791A">
        <w:rPr>
          <w:rFonts w:ascii="Cambria" w:hAnsi="Cambria" w:cs="Arial Narrow"/>
          <w:spacing w:val="-2"/>
          <w:sz w:val="20"/>
          <w:szCs w:val="20"/>
          <w:lang w:val="es-MX"/>
        </w:rPr>
        <w:t>la</w:t>
      </w:r>
      <w:r w:rsidRPr="00AD791A">
        <w:rPr>
          <w:rFonts w:ascii="Cambria" w:hAnsi="Cambria" w:cs="Arial Narrow"/>
          <w:spacing w:val="-2"/>
          <w:sz w:val="20"/>
          <w:szCs w:val="20"/>
          <w:lang w:val="es-ES_tradnl"/>
        </w:rPr>
        <w:t xml:space="preserve"> Fiscal Auxiliar de Managua solicitó a la Corte Suprema de Justicia tribunal </w:t>
      </w:r>
      <w:r w:rsidRPr="00AD791A">
        <w:rPr>
          <w:rFonts w:ascii="Cambria" w:hAnsi="Cambria"/>
          <w:sz w:val="20"/>
          <w:szCs w:val="20"/>
          <w:lang w:val="es-MX"/>
        </w:rPr>
        <w:t>declarar con lugar el recurso de casación y que se declare parcialmente nula la sentencia de 13 de mayo de 2002 por lo que se refiere a Peter Tsokos y Peter Martínez. Su postura se basó en los agravios causados a la recurrente por la forma en que se llevó el proceso</w:t>
      </w:r>
      <w:r w:rsidRPr="00AD791A">
        <w:rPr>
          <w:rStyle w:val="FootnoteReference"/>
          <w:rFonts w:ascii="Cambria" w:hAnsi="Cambria" w:cs="Arial"/>
          <w:sz w:val="20"/>
          <w:szCs w:val="20"/>
          <w:lang w:val="es-MX"/>
        </w:rPr>
        <w:footnoteReference w:id="143"/>
      </w:r>
      <w:r w:rsidRPr="00AD791A">
        <w:rPr>
          <w:rFonts w:ascii="Cambria" w:hAnsi="Cambria"/>
          <w:sz w:val="20"/>
          <w:szCs w:val="20"/>
          <w:lang w:val="es-MX"/>
        </w:rPr>
        <w:t xml:space="preserve">. </w:t>
      </w:r>
      <w:r w:rsidRPr="00AD791A">
        <w:rPr>
          <w:rFonts w:ascii="Cambria" w:hAnsi="Cambria" w:cs="Arial Narrow"/>
          <w:spacing w:val="-2"/>
          <w:sz w:val="20"/>
          <w:szCs w:val="20"/>
          <w:lang w:val="es-MX"/>
        </w:rPr>
        <w:t xml:space="preserve">El 19 de diciembre de 2006 </w:t>
      </w:r>
      <w:r w:rsidRPr="00AD791A">
        <w:rPr>
          <w:rFonts w:ascii="Cambria" w:hAnsi="Cambria" w:cs="Arial Narrow"/>
          <w:iCs/>
          <w:spacing w:val="6"/>
          <w:sz w:val="20"/>
          <w:szCs w:val="20"/>
          <w:lang w:val="es-ES_tradnl"/>
        </w:rPr>
        <w:t xml:space="preserve">la </w:t>
      </w:r>
      <w:r w:rsidRPr="00AD791A">
        <w:rPr>
          <w:rFonts w:ascii="Cambria" w:hAnsi="Cambria" w:cs="Arial Narrow"/>
          <w:spacing w:val="-2"/>
          <w:sz w:val="20"/>
          <w:szCs w:val="20"/>
          <w:lang w:val="es-ES_tradnl"/>
        </w:rPr>
        <w:t xml:space="preserve">Sala Penal de la Corte Suprema </w:t>
      </w:r>
      <w:r w:rsidRPr="00AD791A">
        <w:rPr>
          <w:rFonts w:ascii="Cambria" w:hAnsi="Cambria" w:cs="Arial Narrow"/>
          <w:iCs/>
          <w:spacing w:val="6"/>
          <w:sz w:val="20"/>
          <w:szCs w:val="20"/>
          <w:lang w:val="es-ES_tradnl"/>
        </w:rPr>
        <w:t xml:space="preserve">de </w:t>
      </w:r>
      <w:r w:rsidRPr="00AD791A">
        <w:rPr>
          <w:rFonts w:ascii="Cambria" w:hAnsi="Cambria" w:cs="Arial Narrow"/>
          <w:spacing w:val="-2"/>
          <w:sz w:val="20"/>
          <w:szCs w:val="20"/>
          <w:lang w:val="es-ES_tradnl"/>
        </w:rPr>
        <w:t>Justicia declaró sin lugar la casación indicando que sí había operado la cosa juzgada pues la decisión fue notificada a las partes, quienes la consintieron al no interponer recurso alguno</w:t>
      </w:r>
      <w:r w:rsidRPr="00AD791A">
        <w:rPr>
          <w:rStyle w:val="FootnoteReference"/>
          <w:rFonts w:ascii="Cambria" w:hAnsi="Cambria" w:cs="Arial"/>
          <w:sz w:val="20"/>
          <w:szCs w:val="20"/>
          <w:lang w:val="es-MX"/>
        </w:rPr>
        <w:footnoteReference w:id="144"/>
      </w:r>
      <w:r w:rsidRPr="00AD791A">
        <w:rPr>
          <w:rFonts w:ascii="Cambria" w:hAnsi="Cambria" w:cs="Arial"/>
          <w:sz w:val="20"/>
          <w:szCs w:val="20"/>
          <w:lang w:val="es-MX"/>
        </w:rPr>
        <w:t xml:space="preserve">. María Luisa Acosta fue notificada de esta decisión el </w:t>
      </w:r>
      <w:r w:rsidRPr="00AD791A">
        <w:rPr>
          <w:rFonts w:ascii="Cambria" w:hAnsi="Cambria" w:cs="Arial Narrow"/>
          <w:iCs/>
          <w:spacing w:val="6"/>
          <w:sz w:val="20"/>
          <w:szCs w:val="20"/>
          <w:lang w:val="es-ES_tradnl"/>
        </w:rPr>
        <w:t xml:space="preserve">22 </w:t>
      </w:r>
      <w:r w:rsidRPr="00AD791A">
        <w:rPr>
          <w:rFonts w:ascii="Cambria" w:hAnsi="Cambria" w:cs="Arial Narrow"/>
          <w:spacing w:val="-2"/>
          <w:sz w:val="20"/>
          <w:szCs w:val="20"/>
          <w:lang w:val="es-ES_tradnl"/>
        </w:rPr>
        <w:t xml:space="preserve">de diciembre de </w:t>
      </w:r>
      <w:r w:rsidRPr="00AD791A">
        <w:rPr>
          <w:rFonts w:ascii="Cambria" w:hAnsi="Cambria" w:cs="Arial Narrow"/>
          <w:iCs/>
          <w:spacing w:val="6"/>
          <w:sz w:val="20"/>
          <w:szCs w:val="20"/>
          <w:lang w:val="es-ES_tradnl"/>
        </w:rPr>
        <w:t>2006</w:t>
      </w:r>
      <w:r w:rsidRPr="00AD791A">
        <w:rPr>
          <w:rStyle w:val="FootnoteReference"/>
          <w:rFonts w:ascii="Cambria" w:hAnsi="Cambria" w:cs="Arial Narrow"/>
          <w:iCs/>
          <w:spacing w:val="6"/>
          <w:sz w:val="20"/>
          <w:szCs w:val="20"/>
          <w:lang w:val="es-ES_tradnl"/>
        </w:rPr>
        <w:footnoteReference w:id="145"/>
      </w:r>
      <w:r w:rsidRPr="00AD791A">
        <w:rPr>
          <w:rFonts w:ascii="Cambria" w:hAnsi="Cambria" w:cs="Arial Narrow"/>
          <w:iCs/>
          <w:spacing w:val="6"/>
          <w:sz w:val="20"/>
          <w:szCs w:val="20"/>
          <w:lang w:val="es-ES_tradnl"/>
        </w:rPr>
        <w:t xml:space="preserve">. </w:t>
      </w:r>
    </w:p>
    <w:p w:rsidR="009D7F32" w:rsidRPr="00AD791A" w:rsidRDefault="0040639E" w:rsidP="000B11B2">
      <w:pPr>
        <w:pStyle w:val="Heading3"/>
        <w:numPr>
          <w:ilvl w:val="0"/>
          <w:numId w:val="0"/>
        </w:numPr>
        <w:ind w:left="1440" w:hanging="720"/>
      </w:pPr>
      <w:bookmarkStart w:id="73" w:name="_Toc388448148"/>
      <w:bookmarkStart w:id="74" w:name="_Toc412647983"/>
      <w:bookmarkStart w:id="75" w:name="_Toc412648021"/>
      <w:bookmarkStart w:id="76" w:name="_Toc414177397"/>
      <w:bookmarkStart w:id="77" w:name="_Toc414177723"/>
      <w:bookmarkStart w:id="78" w:name="_Toc414177750"/>
      <w:r w:rsidRPr="00AD791A">
        <w:t>4</w:t>
      </w:r>
      <w:r w:rsidR="000B11B2" w:rsidRPr="00AD791A">
        <w:t xml:space="preserve">. </w:t>
      </w:r>
      <w:r w:rsidR="005237AB" w:rsidRPr="00AD791A">
        <w:tab/>
      </w:r>
      <w:r w:rsidR="009D7F32" w:rsidRPr="00AD791A">
        <w:t>Procesos incoados por Peter Tsokos y Peter Martínez contra María Luisa Acosta</w:t>
      </w:r>
      <w:bookmarkEnd w:id="73"/>
      <w:bookmarkEnd w:id="74"/>
      <w:bookmarkEnd w:id="75"/>
      <w:bookmarkEnd w:id="76"/>
      <w:bookmarkEnd w:id="77"/>
      <w:bookmarkEnd w:id="78"/>
    </w:p>
    <w:p w:rsidR="009D7F32" w:rsidRPr="00AD791A" w:rsidRDefault="009D7F32" w:rsidP="009D7F32">
      <w:pPr>
        <w:jc w:val="both"/>
        <w:rPr>
          <w:rFonts w:ascii="Cambria" w:hAnsi="Cambria"/>
          <w:sz w:val="20"/>
          <w:szCs w:val="20"/>
          <w:lang w:val="es-ES_tradnl"/>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_tradnl"/>
        </w:rPr>
      </w:pPr>
      <w:r w:rsidRPr="00AD791A">
        <w:rPr>
          <w:rFonts w:ascii="Cambria" w:hAnsi="Cambria"/>
          <w:sz w:val="20"/>
          <w:szCs w:val="20"/>
          <w:lang w:val="es-ES_tradnl"/>
        </w:rPr>
        <w:t xml:space="preserve">En adición a la investigación penal por encubrimiento seguida contra Maria Luisa Acosta descrita </w:t>
      </w:r>
      <w:r w:rsidRPr="00AD791A">
        <w:rPr>
          <w:rFonts w:ascii="Cambria" w:hAnsi="Cambria"/>
          <w:i/>
          <w:sz w:val="20"/>
          <w:szCs w:val="20"/>
          <w:lang w:val="es-ES_tradnl"/>
        </w:rPr>
        <w:t xml:space="preserve">supra </w:t>
      </w:r>
      <w:r w:rsidRPr="00AD791A">
        <w:rPr>
          <w:rFonts w:ascii="Cambria" w:hAnsi="Cambria"/>
          <w:sz w:val="20"/>
          <w:szCs w:val="20"/>
          <w:lang w:val="es-ES_tradnl"/>
        </w:rPr>
        <w:t xml:space="preserve">párrs. </w:t>
      </w:r>
      <w:r w:rsidR="00E435F1" w:rsidRPr="00AD791A">
        <w:rPr>
          <w:rFonts w:ascii="Cambria" w:hAnsi="Cambria"/>
          <w:sz w:val="20"/>
          <w:szCs w:val="20"/>
          <w:lang w:val="es-ES_tradnl"/>
        </w:rPr>
        <w:t>46–51</w:t>
      </w:r>
      <w:r w:rsidRPr="00AD791A">
        <w:rPr>
          <w:rFonts w:ascii="Cambria" w:hAnsi="Cambria"/>
          <w:sz w:val="20"/>
          <w:szCs w:val="20"/>
          <w:lang w:val="es-ES_tradnl"/>
        </w:rPr>
        <w:t>, los señores Tsokos y Martínez activaron otros mecanismos judiciales en su contra, los cuales se describen a continuación.</w:t>
      </w:r>
    </w:p>
    <w:p w:rsidR="009D7F32" w:rsidRPr="00AD791A" w:rsidRDefault="009D7F32" w:rsidP="006264C8">
      <w:pPr>
        <w:rPr>
          <w:rFonts w:ascii="Cambria" w:hAnsi="Cambria"/>
          <w:sz w:val="20"/>
          <w:szCs w:val="20"/>
          <w:lang w:val="es-MX"/>
        </w:rPr>
      </w:pPr>
      <w:bookmarkStart w:id="79" w:name="_Toc388448149"/>
      <w:bookmarkStart w:id="80" w:name="_Toc412647984"/>
    </w:p>
    <w:p w:rsidR="009D7F32" w:rsidRPr="00AD791A" w:rsidRDefault="009D7F32" w:rsidP="009D7F32">
      <w:pPr>
        <w:pStyle w:val="Heading4"/>
        <w:spacing w:before="0" w:after="0"/>
        <w:ind w:left="1440" w:hanging="720"/>
        <w:jc w:val="both"/>
        <w:rPr>
          <w:rFonts w:ascii="Cambria" w:hAnsi="Cambria"/>
          <w:sz w:val="20"/>
          <w:szCs w:val="20"/>
          <w:lang w:val="es-ES_tradnl"/>
        </w:rPr>
      </w:pPr>
      <w:bookmarkStart w:id="81" w:name="_Toc414177724"/>
      <w:r w:rsidRPr="00AD791A">
        <w:rPr>
          <w:rFonts w:ascii="Cambria" w:hAnsi="Cambria"/>
          <w:sz w:val="20"/>
          <w:szCs w:val="20"/>
          <w:lang w:val="es-MX"/>
        </w:rPr>
        <w:t>a.</w:t>
      </w:r>
      <w:r w:rsidRPr="00AD791A">
        <w:rPr>
          <w:rFonts w:ascii="Cambria" w:hAnsi="Cambria"/>
          <w:sz w:val="20"/>
          <w:szCs w:val="20"/>
          <w:lang w:val="es-MX"/>
        </w:rPr>
        <w:tab/>
        <w:t>Embargo preventivo y demanda de daños y perjuicios</w:t>
      </w:r>
      <w:bookmarkEnd w:id="81"/>
      <w:r w:rsidRPr="00AD791A">
        <w:rPr>
          <w:rFonts w:ascii="Cambria" w:hAnsi="Cambria"/>
          <w:sz w:val="20"/>
          <w:szCs w:val="20"/>
          <w:lang w:val="es-MX"/>
        </w:rPr>
        <w:t xml:space="preserve"> </w:t>
      </w:r>
      <w:bookmarkEnd w:id="79"/>
      <w:bookmarkEnd w:id="80"/>
    </w:p>
    <w:p w:rsidR="009D7F32" w:rsidRPr="00AD791A" w:rsidRDefault="009D7F32" w:rsidP="009D7F32">
      <w:pPr>
        <w:jc w:val="both"/>
        <w:rPr>
          <w:rFonts w:ascii="Cambria" w:hAnsi="Cambria"/>
          <w:sz w:val="20"/>
          <w:szCs w:val="20"/>
          <w:lang w:val="es-ES_tradnl"/>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El 14 de mayo de 2002 Peter Martínez a nombre propio y a favor de Peter Tsokos, solicitó al Juzgado de lo Civil de Distrito de Bluefields decretar embargo preventivo a la casa de María Luisa Acosta, debido a que supuestamente les debía 100, 000 dólares y “</w:t>
      </w:r>
      <w:hyperlink r:id="rId28" w:anchor="Corchetes_.5B_.5D" w:history="1">
        <w:r w:rsidRPr="00AD791A">
          <w:rPr>
            <w:rFonts w:ascii="Cambria" w:hAnsi="Cambria" w:cs="Arial"/>
            <w:sz w:val="20"/>
            <w:szCs w:val="20"/>
            <w:lang w:val="es-MX"/>
          </w:rPr>
          <w:t>[tenía]</w:t>
        </w:r>
      </w:hyperlink>
      <w:r w:rsidRPr="00AD791A">
        <w:rPr>
          <w:rFonts w:ascii="Cambria" w:hAnsi="Cambria"/>
          <w:sz w:val="20"/>
          <w:szCs w:val="20"/>
          <w:lang w:val="es-MX"/>
        </w:rPr>
        <w:t xml:space="preserve"> temores bien fundados de que la deudora no </w:t>
      </w:r>
      <w:hyperlink r:id="rId29" w:anchor="Corchetes_.5B_.5D" w:history="1">
        <w:r w:rsidRPr="00AD791A">
          <w:rPr>
            <w:rFonts w:ascii="Cambria" w:hAnsi="Cambria" w:cs="Arial"/>
            <w:sz w:val="20"/>
            <w:szCs w:val="20"/>
            <w:lang w:val="es-MX"/>
          </w:rPr>
          <w:t>[tuviera]</w:t>
        </w:r>
      </w:hyperlink>
      <w:r w:rsidRPr="00AD791A">
        <w:rPr>
          <w:rFonts w:ascii="Cambria" w:hAnsi="Cambria"/>
          <w:sz w:val="20"/>
          <w:szCs w:val="20"/>
          <w:lang w:val="es-MX"/>
        </w:rPr>
        <w:t xml:space="preserve"> intenciones de pagar”</w:t>
      </w:r>
      <w:r w:rsidRPr="00AD791A">
        <w:rPr>
          <w:rStyle w:val="FootnoteReference"/>
          <w:rFonts w:ascii="Cambria" w:hAnsi="Cambria"/>
          <w:sz w:val="20"/>
          <w:szCs w:val="20"/>
          <w:lang w:val="es-MX"/>
        </w:rPr>
        <w:footnoteReference w:id="146"/>
      </w:r>
      <w:r w:rsidRPr="00AD791A">
        <w:rPr>
          <w:rFonts w:ascii="Cambria" w:hAnsi="Cambria"/>
          <w:sz w:val="20"/>
          <w:szCs w:val="20"/>
          <w:lang w:val="es-MX"/>
        </w:rPr>
        <w:t>. Al día siguiente, se decretó el embargo solicitado</w:t>
      </w:r>
      <w:r w:rsidRPr="00AD791A">
        <w:rPr>
          <w:rStyle w:val="FootnoteReference"/>
          <w:rFonts w:ascii="Cambria" w:hAnsi="Cambria"/>
          <w:sz w:val="20"/>
          <w:szCs w:val="20"/>
          <w:lang w:val="es-MX"/>
        </w:rPr>
        <w:footnoteReference w:id="147"/>
      </w:r>
      <w:r w:rsidRPr="00AD791A">
        <w:rPr>
          <w:rFonts w:ascii="Cambria" w:hAnsi="Cambria"/>
          <w:sz w:val="20"/>
          <w:szCs w:val="20"/>
          <w:lang w:val="es-MX"/>
        </w:rPr>
        <w:t>. El 15 de mayo de 2002 los señores Tsokos y Martínez presentaron una demanda por daños y perjuicios contra María Luisa Acosta que ascendía a 100.000 dólares (mas 30% por supuestos gastos legales) y derivaba de la denuncia que interpuso contra ellos por el asesinato de su esposo. Solicitaron la confirmación del embargo</w:t>
      </w:r>
      <w:r w:rsidRPr="00AD791A">
        <w:rPr>
          <w:rStyle w:val="FootnoteReference"/>
          <w:rFonts w:ascii="Cambria" w:hAnsi="Cambria"/>
          <w:sz w:val="20"/>
          <w:szCs w:val="20"/>
          <w:lang w:val="es-MX"/>
        </w:rPr>
        <w:footnoteReference w:id="148"/>
      </w:r>
      <w:r w:rsidRPr="00AD791A">
        <w:rPr>
          <w:rFonts w:ascii="Cambria" w:hAnsi="Cambria"/>
          <w:sz w:val="20"/>
          <w:szCs w:val="20"/>
          <w:lang w:val="es-MX"/>
        </w:rPr>
        <w:t>.</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El 26 de junio de 2002 el representante de la señora Acosta presentó un incidente de nulidad con el objeto de que se levantara el embargo preventivo</w:t>
      </w:r>
      <w:r w:rsidRPr="00AD791A">
        <w:rPr>
          <w:rStyle w:val="FootnoteReference"/>
          <w:rFonts w:ascii="Cambria" w:hAnsi="Cambria"/>
          <w:sz w:val="20"/>
          <w:szCs w:val="20"/>
          <w:lang w:val="es-MX"/>
        </w:rPr>
        <w:footnoteReference w:id="149"/>
      </w:r>
      <w:r w:rsidR="00DE7470" w:rsidRPr="00AD791A">
        <w:rPr>
          <w:rFonts w:ascii="Cambria" w:hAnsi="Cambria"/>
          <w:sz w:val="20"/>
          <w:szCs w:val="20"/>
          <w:lang w:val="es-MX"/>
        </w:rPr>
        <w:t>. El 1, 16 y 24 de o</w:t>
      </w:r>
      <w:r w:rsidRPr="00AD791A">
        <w:rPr>
          <w:rFonts w:ascii="Cambria" w:hAnsi="Cambria"/>
          <w:sz w:val="20"/>
          <w:szCs w:val="20"/>
          <w:lang w:val="es-MX"/>
        </w:rPr>
        <w:t>cubre de 2003, el representante de la señora Acosta pidió al Juez de Distrito de lo Civil pronunciarse al respecto debido a los serios daños y perjuicios estas medidas le causaban a la señora Acosta</w:t>
      </w:r>
      <w:r w:rsidRPr="00AD791A">
        <w:rPr>
          <w:rStyle w:val="FootnoteReference"/>
          <w:rFonts w:ascii="Cambria" w:hAnsi="Cambria"/>
          <w:sz w:val="20"/>
          <w:szCs w:val="20"/>
          <w:lang w:val="es-MX"/>
        </w:rPr>
        <w:footnoteReference w:id="150"/>
      </w:r>
      <w:r w:rsidRPr="00AD791A">
        <w:rPr>
          <w:rFonts w:ascii="Cambria" w:hAnsi="Cambria"/>
          <w:sz w:val="20"/>
          <w:szCs w:val="20"/>
          <w:lang w:val="es-MX"/>
        </w:rPr>
        <w:t>. El 24 de octubre de 2002 el Juzgado de Distrito de lo Civil abrió el término probatorio para el proceso incidental</w:t>
      </w:r>
      <w:r w:rsidRPr="00AD791A">
        <w:rPr>
          <w:rStyle w:val="FootnoteReference"/>
          <w:rFonts w:ascii="Cambria" w:hAnsi="Cambria"/>
          <w:sz w:val="20"/>
          <w:szCs w:val="20"/>
          <w:lang w:val="es-MX"/>
        </w:rPr>
        <w:footnoteReference w:id="151"/>
      </w:r>
      <w:r w:rsidRPr="00AD791A">
        <w:rPr>
          <w:rFonts w:ascii="Cambria" w:hAnsi="Cambria"/>
          <w:sz w:val="20"/>
          <w:szCs w:val="20"/>
          <w:lang w:val="es-MX"/>
        </w:rPr>
        <w:t>. El 27 de febrero de 2003 el Juzgado de Distrito decretó admisible el incidente de nulidad y ordenó que se levantara el embargo al quedar firme la resolución</w:t>
      </w:r>
      <w:r w:rsidRPr="00AD791A">
        <w:rPr>
          <w:rStyle w:val="FootnoteReference"/>
          <w:rFonts w:ascii="Cambria" w:hAnsi="Cambria"/>
          <w:sz w:val="20"/>
          <w:szCs w:val="20"/>
          <w:lang w:val="es-MX"/>
        </w:rPr>
        <w:footnoteReference w:id="152"/>
      </w:r>
      <w:r w:rsidRPr="00AD791A">
        <w:rPr>
          <w:rFonts w:ascii="Cambria" w:hAnsi="Cambria"/>
          <w:sz w:val="20"/>
          <w:szCs w:val="20"/>
          <w:lang w:val="es-MX"/>
        </w:rPr>
        <w:t>. Sin embargo, el 5 de marzo de 2003, Peter Martínez interpuso recurso de apelación</w:t>
      </w:r>
      <w:r w:rsidRPr="00AD791A">
        <w:rPr>
          <w:rStyle w:val="FootnoteReference"/>
          <w:rFonts w:ascii="Cambria" w:hAnsi="Cambria"/>
          <w:sz w:val="20"/>
          <w:szCs w:val="20"/>
          <w:lang w:val="es-MX"/>
        </w:rPr>
        <w:footnoteReference w:id="153"/>
      </w:r>
      <w:r w:rsidRPr="00AD791A">
        <w:rPr>
          <w:rFonts w:ascii="Cambria" w:hAnsi="Cambria"/>
          <w:sz w:val="20"/>
          <w:szCs w:val="20"/>
          <w:lang w:val="es-MX"/>
        </w:rPr>
        <w:t xml:space="preserve"> que fue admitido el 25 de marzo de 2003 por la Sala de lo Civil del Tribunal de Apelaciones</w:t>
      </w:r>
      <w:r w:rsidRPr="00AD791A">
        <w:rPr>
          <w:rStyle w:val="FootnoteReference"/>
          <w:rFonts w:ascii="Cambria" w:hAnsi="Cambria"/>
          <w:sz w:val="20"/>
          <w:szCs w:val="20"/>
          <w:lang w:val="es-MX"/>
        </w:rPr>
        <w:footnoteReference w:id="154"/>
      </w:r>
      <w:r w:rsidRPr="00AD791A">
        <w:rPr>
          <w:rFonts w:ascii="Cambria" w:hAnsi="Cambria"/>
          <w:sz w:val="20"/>
          <w:szCs w:val="20"/>
          <w:lang w:val="es-MX"/>
        </w:rPr>
        <w:t xml:space="preserve">.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Por su parte, el 29 de agosto de 2003 María Luisa Acosa interpuso ante la Corte Suprema de Justicia un recurso por retardación de justicia ya que había pasado más de un año y cinco meses de que ella había contestado y la Sala Civil del Tribunal de Apelaciones aún no se había pronunciado al respecto</w:t>
      </w:r>
      <w:r w:rsidRPr="00AD791A">
        <w:rPr>
          <w:rStyle w:val="FootnoteReference"/>
          <w:rFonts w:ascii="Cambria" w:hAnsi="Cambria"/>
          <w:sz w:val="20"/>
          <w:szCs w:val="20"/>
          <w:lang w:val="es-MX"/>
        </w:rPr>
        <w:footnoteReference w:id="155"/>
      </w:r>
      <w:r w:rsidRPr="00AD791A">
        <w:rPr>
          <w:rFonts w:ascii="Cambria" w:hAnsi="Cambria"/>
          <w:sz w:val="20"/>
          <w:szCs w:val="20"/>
          <w:lang w:val="es-MX"/>
        </w:rPr>
        <w:t xml:space="preserve">. </w:t>
      </w:r>
    </w:p>
    <w:p w:rsidR="009D7F32" w:rsidRPr="00AD791A" w:rsidRDefault="009D7F32" w:rsidP="009D7F32">
      <w:pPr>
        <w:pStyle w:val="Heading4"/>
        <w:spacing w:before="0" w:after="0"/>
        <w:ind w:left="1440" w:hanging="720"/>
        <w:rPr>
          <w:rFonts w:ascii="Cambria" w:hAnsi="Cambria"/>
          <w:sz w:val="20"/>
          <w:szCs w:val="20"/>
          <w:lang w:val="es-MX"/>
        </w:rPr>
      </w:pPr>
      <w:bookmarkStart w:id="82" w:name="_Toc414177725"/>
      <w:bookmarkStart w:id="83" w:name="_Toc388448150"/>
      <w:bookmarkStart w:id="84" w:name="_Toc412647985"/>
      <w:r w:rsidRPr="00AD791A">
        <w:rPr>
          <w:rFonts w:ascii="Cambria" w:hAnsi="Cambria"/>
          <w:sz w:val="20"/>
          <w:szCs w:val="20"/>
          <w:lang w:val="es-MX"/>
        </w:rPr>
        <w:t>b.</w:t>
      </w:r>
      <w:r w:rsidRPr="00AD791A">
        <w:rPr>
          <w:rFonts w:ascii="Cambria" w:hAnsi="Cambria"/>
          <w:sz w:val="20"/>
          <w:szCs w:val="20"/>
          <w:lang w:val="es-MX"/>
        </w:rPr>
        <w:tab/>
        <w:t>Denuncia por los delitos de “falso testimonio y denuncia falsa”</w:t>
      </w:r>
      <w:bookmarkEnd w:id="82"/>
      <w:r w:rsidRPr="00AD791A">
        <w:rPr>
          <w:rFonts w:ascii="Cambria" w:hAnsi="Cambria"/>
          <w:sz w:val="20"/>
          <w:szCs w:val="20"/>
          <w:lang w:val="es-MX"/>
        </w:rPr>
        <w:t xml:space="preserve"> </w:t>
      </w:r>
      <w:bookmarkEnd w:id="83"/>
      <w:bookmarkEnd w:id="84"/>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El 1 de octubre de 2002 Peter Martínez, en su nombre y en representación de Peter Tsokos, interpuso una denuncia contra la señora Acosta por los delitos de “falso testimonio y denuncia falsa”</w:t>
      </w:r>
      <w:r w:rsidRPr="00AD791A">
        <w:rPr>
          <w:rStyle w:val="FootnoteReference"/>
          <w:rFonts w:ascii="Cambria" w:hAnsi="Cambria"/>
          <w:sz w:val="20"/>
          <w:szCs w:val="20"/>
          <w:lang w:val="es-MX"/>
        </w:rPr>
        <w:footnoteReference w:id="156"/>
      </w:r>
      <w:r w:rsidRPr="00AD791A">
        <w:rPr>
          <w:rFonts w:ascii="Cambria" w:hAnsi="Cambria"/>
          <w:sz w:val="20"/>
          <w:szCs w:val="20"/>
          <w:lang w:val="es-MX"/>
        </w:rPr>
        <w:t xml:space="preserve"> por las acusaciones en contra de ambos, vertidas en el proceso judicial referente al crimen del señor García Valle</w:t>
      </w:r>
      <w:r w:rsidRPr="00AD791A">
        <w:rPr>
          <w:rStyle w:val="FootnoteReference"/>
          <w:rFonts w:ascii="Cambria" w:hAnsi="Cambria"/>
          <w:sz w:val="20"/>
          <w:szCs w:val="20"/>
          <w:lang w:val="es-MX"/>
        </w:rPr>
        <w:footnoteReference w:id="157"/>
      </w:r>
      <w:r w:rsidRPr="00AD791A">
        <w:rPr>
          <w:rFonts w:ascii="Cambria" w:hAnsi="Cambria"/>
          <w:sz w:val="20"/>
          <w:szCs w:val="20"/>
          <w:lang w:val="es-MX"/>
        </w:rPr>
        <w:t>. El 18 de octubre de 2002 el Juzgado de Distrito de lo Civil y Penal admitió la denuncia y la notificó a la señora Acosta el 21 de octubre de 2002</w:t>
      </w:r>
      <w:r w:rsidRPr="00AD791A">
        <w:rPr>
          <w:rStyle w:val="FootnoteReference"/>
          <w:rFonts w:ascii="Cambria" w:hAnsi="Cambria"/>
          <w:sz w:val="20"/>
          <w:szCs w:val="20"/>
          <w:lang w:val="es-MX"/>
        </w:rPr>
        <w:footnoteReference w:id="158"/>
      </w:r>
      <w:r w:rsidRPr="00AD791A">
        <w:rPr>
          <w:rFonts w:ascii="Cambria" w:hAnsi="Cambria"/>
          <w:sz w:val="20"/>
          <w:szCs w:val="20"/>
          <w:lang w:val="es-MX"/>
        </w:rPr>
        <w:t>. El 14 de agosto de 2003 la señora Acosta contestó la de</w:t>
      </w:r>
      <w:r w:rsidR="00EE0FE1" w:rsidRPr="00AD791A">
        <w:rPr>
          <w:rFonts w:ascii="Cambria" w:hAnsi="Cambria"/>
          <w:sz w:val="20"/>
          <w:szCs w:val="20"/>
          <w:lang w:val="es-MX"/>
        </w:rPr>
        <w:t>nuncia i</w:t>
      </w:r>
      <w:r w:rsidRPr="00AD791A">
        <w:rPr>
          <w:rFonts w:ascii="Cambria" w:hAnsi="Cambria"/>
          <w:sz w:val="20"/>
          <w:szCs w:val="20"/>
          <w:lang w:val="es-MX"/>
        </w:rPr>
        <w:t xml:space="preserve">ndicando que “la presente acción </w:t>
      </w:r>
      <w:hyperlink r:id="rId30" w:anchor="Corchetes_.5B_.5D" w:history="1">
        <w:r w:rsidRPr="00AD791A">
          <w:rPr>
            <w:rFonts w:ascii="Cambria" w:hAnsi="Cambria" w:cs="Arial"/>
            <w:sz w:val="20"/>
            <w:szCs w:val="20"/>
            <w:lang w:val="es-MX"/>
          </w:rPr>
          <w:t>[era]</w:t>
        </w:r>
      </w:hyperlink>
      <w:r w:rsidRPr="00AD791A">
        <w:rPr>
          <w:rFonts w:ascii="Cambria" w:hAnsi="Cambria"/>
          <w:sz w:val="20"/>
          <w:szCs w:val="20"/>
          <w:lang w:val="es-MX"/>
        </w:rPr>
        <w:t xml:space="preserve"> </w:t>
      </w:r>
      <w:r w:rsidRPr="00AD791A">
        <w:rPr>
          <w:rStyle w:val="st"/>
          <w:rFonts w:ascii="Cambria" w:hAnsi="Cambria" w:cs="Arial"/>
          <w:sz w:val="20"/>
          <w:szCs w:val="20"/>
          <w:lang w:val="es-MX"/>
        </w:rPr>
        <w:t xml:space="preserve">claramente formulada con manifiesto abuso de derecho y entraña fraude de ley; los querellantes quieren </w:t>
      </w:r>
      <w:hyperlink r:id="rId31" w:anchor="Corchetes_.5B_.5D" w:history="1">
        <w:r w:rsidRPr="00AD791A">
          <w:rPr>
            <w:rFonts w:ascii="Cambria" w:hAnsi="Cambria" w:cs="Arial"/>
            <w:sz w:val="20"/>
            <w:szCs w:val="20"/>
            <w:lang w:val="es-MX"/>
          </w:rPr>
          <w:t>[…]</w:t>
        </w:r>
      </w:hyperlink>
      <w:r w:rsidRPr="00AD791A">
        <w:rPr>
          <w:rStyle w:val="st"/>
          <w:rFonts w:ascii="Cambria" w:hAnsi="Cambria" w:cs="Arial"/>
          <w:sz w:val="20"/>
          <w:szCs w:val="20"/>
          <w:lang w:val="es-MX"/>
        </w:rPr>
        <w:t xml:space="preserve"> continuar utilizando la acción penal y al sistema judicial como un medio de hostigamiento y coacción para que yo desista de llevar a los asesinos de mi esposo a juicio</w:t>
      </w:r>
      <w:r w:rsidRPr="00AD791A">
        <w:rPr>
          <w:rStyle w:val="FootnoteReference"/>
          <w:rFonts w:ascii="Cambria" w:hAnsi="Cambria" w:cs="Arial"/>
          <w:sz w:val="20"/>
          <w:szCs w:val="20"/>
          <w:lang w:val="es-MX"/>
        </w:rPr>
        <w:footnoteReference w:id="159"/>
      </w:r>
      <w:r w:rsidRPr="00AD791A">
        <w:rPr>
          <w:rStyle w:val="st"/>
          <w:rFonts w:ascii="Cambria" w:hAnsi="Cambria" w:cs="Arial"/>
          <w:sz w:val="20"/>
          <w:szCs w:val="20"/>
          <w:lang w:val="es-MX"/>
        </w:rPr>
        <w:t>”.</w:t>
      </w:r>
    </w:p>
    <w:p w:rsidR="009D7F32" w:rsidRPr="00AD791A" w:rsidRDefault="009D7F32" w:rsidP="009D7F32">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Ante la falta de actividad procesal de las partes, el 23 de agosto de 2004 se declaró la caducidad</w:t>
      </w:r>
      <w:r w:rsidRPr="00AD791A">
        <w:rPr>
          <w:rStyle w:val="FootnoteReference"/>
          <w:rFonts w:ascii="Cambria" w:hAnsi="Cambria"/>
          <w:sz w:val="20"/>
          <w:szCs w:val="20"/>
          <w:lang w:val="es-MX"/>
        </w:rPr>
        <w:footnoteReference w:id="160"/>
      </w:r>
      <w:r w:rsidRPr="00AD791A">
        <w:rPr>
          <w:rFonts w:ascii="Cambria" w:hAnsi="Cambria"/>
          <w:sz w:val="20"/>
          <w:szCs w:val="20"/>
          <w:lang w:val="es-MX"/>
        </w:rPr>
        <w:t>. Peter Martínez apeló esta decisión</w:t>
      </w:r>
      <w:r w:rsidRPr="00AD791A">
        <w:rPr>
          <w:rStyle w:val="FootnoteReference"/>
          <w:rFonts w:ascii="Cambria" w:hAnsi="Cambria"/>
          <w:sz w:val="20"/>
          <w:szCs w:val="20"/>
          <w:lang w:val="es-MX"/>
        </w:rPr>
        <w:footnoteReference w:id="161"/>
      </w:r>
      <w:r w:rsidRPr="00AD791A">
        <w:rPr>
          <w:rFonts w:ascii="Cambria" w:hAnsi="Cambria"/>
          <w:sz w:val="20"/>
          <w:szCs w:val="20"/>
          <w:lang w:val="es-MX"/>
        </w:rPr>
        <w:t>, recurso que fue declarado inadmisible el 12 de octubre de 2004”</w:t>
      </w:r>
      <w:r w:rsidRPr="00AD791A">
        <w:rPr>
          <w:rStyle w:val="FootnoteReference"/>
          <w:rFonts w:ascii="Cambria" w:hAnsi="Cambria"/>
          <w:sz w:val="20"/>
          <w:szCs w:val="20"/>
          <w:lang w:val="es-MX"/>
        </w:rPr>
        <w:footnoteReference w:id="162"/>
      </w:r>
      <w:r w:rsidRPr="00AD791A">
        <w:rPr>
          <w:rFonts w:ascii="Cambria" w:hAnsi="Cambria"/>
          <w:sz w:val="20"/>
          <w:szCs w:val="20"/>
          <w:lang w:val="es-MX"/>
        </w:rPr>
        <w:t>.</w:t>
      </w:r>
    </w:p>
    <w:p w:rsidR="009D7F32" w:rsidRPr="00AD791A" w:rsidRDefault="009D7F32" w:rsidP="009D7F32">
      <w:pPr>
        <w:jc w:val="both"/>
        <w:rPr>
          <w:rFonts w:ascii="Cambria" w:hAnsi="Cambria"/>
          <w:sz w:val="20"/>
          <w:szCs w:val="20"/>
          <w:lang w:val="es-MX"/>
        </w:rPr>
      </w:pPr>
    </w:p>
    <w:p w:rsidR="009D7F32" w:rsidRPr="00AD791A" w:rsidRDefault="0040639E" w:rsidP="000B11B2">
      <w:pPr>
        <w:pStyle w:val="Heading3"/>
        <w:numPr>
          <w:ilvl w:val="0"/>
          <w:numId w:val="0"/>
        </w:numPr>
        <w:ind w:left="1440" w:hanging="720"/>
      </w:pPr>
      <w:bookmarkStart w:id="85" w:name="_Toc388448151"/>
      <w:bookmarkStart w:id="86" w:name="_Toc412647986"/>
      <w:bookmarkStart w:id="87" w:name="_Toc412648022"/>
      <w:bookmarkStart w:id="88" w:name="_Toc414177398"/>
      <w:bookmarkStart w:id="89" w:name="_Toc414177726"/>
      <w:bookmarkStart w:id="90" w:name="_Toc414177751"/>
      <w:r w:rsidRPr="00AD791A">
        <w:t>5</w:t>
      </w:r>
      <w:r w:rsidR="009D7F32" w:rsidRPr="00AD791A">
        <w:t>.</w:t>
      </w:r>
      <w:r w:rsidR="009D7F32" w:rsidRPr="00AD791A">
        <w:tab/>
        <w:t>Quejas ante la Comisión de Régimen Disciplinario de la Corte Suprema de Justicia</w:t>
      </w:r>
      <w:bookmarkEnd w:id="85"/>
      <w:bookmarkEnd w:id="86"/>
      <w:bookmarkEnd w:id="87"/>
      <w:bookmarkEnd w:id="88"/>
      <w:bookmarkEnd w:id="89"/>
      <w:bookmarkEnd w:id="90"/>
    </w:p>
    <w:p w:rsidR="009D7F32" w:rsidRPr="00AD791A" w:rsidRDefault="009D7F32" w:rsidP="009D7F32">
      <w:pPr>
        <w:ind w:firstLine="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Entre los meses de mayo de 2002 y octubre de 2003, la señora Acosta interpuso cinco quejas disciplinarias contra los funcionarios judiciales que conocieron de la causa</w:t>
      </w:r>
      <w:r w:rsidRPr="00AD791A">
        <w:rPr>
          <w:rStyle w:val="FootnoteReference"/>
          <w:rFonts w:ascii="Cambria" w:hAnsi="Cambria"/>
          <w:sz w:val="20"/>
          <w:szCs w:val="20"/>
          <w:lang w:val="es-MX"/>
        </w:rPr>
        <w:footnoteReference w:id="163"/>
      </w:r>
      <w:r w:rsidRPr="00AD791A">
        <w:rPr>
          <w:rFonts w:ascii="Cambria" w:hAnsi="Cambria"/>
          <w:sz w:val="20"/>
          <w:szCs w:val="20"/>
          <w:lang w:val="es-MX"/>
        </w:rPr>
        <w:t>.   El 9 de abril de 2003 la señora Acosta presentó denuncia ante la Procuraduría para la Defensa de los Derechos Humanos (en adelante “la PDDH”) ante la falta de respuesta a sus quejas disciplinarias</w:t>
      </w:r>
      <w:r w:rsidRPr="00AD791A">
        <w:rPr>
          <w:rStyle w:val="FootnoteReference"/>
          <w:rFonts w:ascii="Cambria" w:hAnsi="Cambria"/>
          <w:sz w:val="20"/>
          <w:szCs w:val="20"/>
          <w:lang w:val="es-MX"/>
        </w:rPr>
        <w:footnoteReference w:id="164"/>
      </w:r>
      <w:r w:rsidRPr="00AD791A">
        <w:rPr>
          <w:rFonts w:ascii="Cambria" w:hAnsi="Cambria" w:cs="Arial"/>
          <w:sz w:val="20"/>
          <w:szCs w:val="20"/>
          <w:lang w:val="es-MX"/>
        </w:rPr>
        <w:t xml:space="preserve">.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El 6 de octubre de 2003 la PDDH concluyó que la Comisión de Régimen Disciplinario violó el derecho a una justicia pronta y recomendó: i) que la Presidenta de la Corte Suprema de Justicia inste por escrito a la Comisión de Régimen Disciplinario a resolver la queja; ii) que se envié copia de la resolución a la Procuraduría General de la República para el seguimiento; y iii) que en un término no mayor de quince días, la Presidenta de la Suprema Corte de Justicia informara por escrito a la P</w:t>
      </w:r>
      <w:r w:rsidR="006B0082" w:rsidRPr="00AD791A">
        <w:rPr>
          <w:rFonts w:ascii="Cambria" w:hAnsi="Cambria"/>
          <w:sz w:val="20"/>
          <w:szCs w:val="20"/>
          <w:lang w:val="es-MX"/>
        </w:rPr>
        <w:t>D</w:t>
      </w:r>
      <w:r w:rsidRPr="00AD791A">
        <w:rPr>
          <w:rFonts w:ascii="Cambria" w:hAnsi="Cambria"/>
          <w:sz w:val="20"/>
          <w:szCs w:val="20"/>
          <w:lang w:val="es-MX"/>
        </w:rPr>
        <w:t xml:space="preserve">DH sobre el cumplimiento de </w:t>
      </w:r>
      <w:hyperlink r:id="rId32" w:anchor="Corchetes_.5B_.5D" w:history="1">
        <w:r w:rsidRPr="00AD791A">
          <w:rPr>
            <w:rFonts w:ascii="Cambria" w:hAnsi="Cambria"/>
            <w:sz w:val="20"/>
            <w:szCs w:val="20"/>
            <w:lang w:val="es-MX"/>
          </w:rPr>
          <w:t xml:space="preserve">las </w:t>
        </w:r>
      </w:hyperlink>
      <w:r w:rsidRPr="00AD791A">
        <w:rPr>
          <w:rFonts w:ascii="Cambria" w:hAnsi="Cambria"/>
          <w:sz w:val="20"/>
          <w:szCs w:val="20"/>
          <w:lang w:val="es-MX"/>
        </w:rPr>
        <w:t>recomendaciones</w:t>
      </w:r>
      <w:r w:rsidRPr="00AD791A">
        <w:rPr>
          <w:rFonts w:ascii="Cambria" w:hAnsi="Cambria" w:cs="Arial Narrow"/>
          <w:iCs/>
          <w:spacing w:val="6"/>
          <w:sz w:val="20"/>
          <w:szCs w:val="20"/>
          <w:lang w:val="es-ES_tradnl"/>
        </w:rPr>
        <w:t>”</w:t>
      </w:r>
      <w:r w:rsidRPr="00AD791A">
        <w:rPr>
          <w:rStyle w:val="FootnoteReference"/>
          <w:rFonts w:ascii="Cambria" w:hAnsi="Cambria"/>
          <w:sz w:val="20"/>
          <w:szCs w:val="20"/>
          <w:lang w:val="es-MX"/>
        </w:rPr>
        <w:t xml:space="preserve"> </w:t>
      </w:r>
      <w:r w:rsidRPr="00AD791A">
        <w:rPr>
          <w:rStyle w:val="FootnoteReference"/>
          <w:rFonts w:ascii="Cambria" w:hAnsi="Cambria"/>
          <w:sz w:val="20"/>
          <w:szCs w:val="20"/>
          <w:lang w:val="es-MX"/>
        </w:rPr>
        <w:footnoteReference w:id="165"/>
      </w:r>
      <w:r w:rsidRPr="00AD791A">
        <w:rPr>
          <w:rFonts w:ascii="Cambria" w:hAnsi="Cambria" w:cs="Arial Narrow"/>
          <w:iCs/>
          <w:spacing w:val="6"/>
          <w:sz w:val="20"/>
          <w:szCs w:val="20"/>
          <w:lang w:val="es-ES_tradnl"/>
        </w:rPr>
        <w:t>. E</w:t>
      </w:r>
      <w:r w:rsidRPr="00AD791A">
        <w:rPr>
          <w:rFonts w:ascii="Cambria" w:hAnsi="Cambria"/>
          <w:sz w:val="20"/>
          <w:szCs w:val="20"/>
          <w:lang w:val="es-MX"/>
        </w:rPr>
        <w:t>l 10 de junio de 2004 la PDDH emitió su informe final y concluyó que la Presidenta de la Corte Suprema había desacatado las recomendaciones y no había remitido información al respecto</w:t>
      </w:r>
      <w:r w:rsidRPr="00AD791A">
        <w:rPr>
          <w:rStyle w:val="FootnoteReference"/>
          <w:rFonts w:ascii="Cambria" w:hAnsi="Cambria" w:cs="Arial Narrow"/>
          <w:iCs/>
          <w:spacing w:val="6"/>
          <w:sz w:val="20"/>
          <w:szCs w:val="20"/>
          <w:lang w:val="es-ES_tradnl"/>
        </w:rPr>
        <w:footnoteReference w:id="166"/>
      </w:r>
      <w:r w:rsidRPr="00AD791A">
        <w:rPr>
          <w:rFonts w:ascii="Cambria" w:hAnsi="Cambria" w:cs="Arial Narrow"/>
          <w:iCs/>
          <w:spacing w:val="6"/>
          <w:sz w:val="20"/>
          <w:szCs w:val="20"/>
          <w:lang w:val="es-ES_tradnl"/>
        </w:rPr>
        <w:t xml:space="preserve">. </w:t>
      </w:r>
    </w:p>
    <w:p w:rsidR="009D7F32" w:rsidRPr="00AD791A" w:rsidRDefault="009D7F32" w:rsidP="009D7F32">
      <w:pPr>
        <w:ind w:left="720"/>
        <w:jc w:val="both"/>
        <w:rPr>
          <w:rFonts w:ascii="Cambria" w:hAnsi="Cambria"/>
          <w:sz w:val="20"/>
          <w:szCs w:val="20"/>
          <w:lang w:val="es-MX"/>
        </w:rPr>
      </w:pPr>
    </w:p>
    <w:p w:rsidR="009D7F32" w:rsidRPr="00AD791A" w:rsidRDefault="0040639E" w:rsidP="006264C8">
      <w:pPr>
        <w:pStyle w:val="TOC3"/>
        <w:outlineLvl w:val="2"/>
        <w:rPr>
          <w:rFonts w:ascii="Cambria" w:hAnsi="Cambria"/>
        </w:rPr>
      </w:pPr>
      <w:bookmarkStart w:id="91" w:name="_Toc388448152"/>
      <w:bookmarkStart w:id="92" w:name="_Toc412647987"/>
      <w:bookmarkStart w:id="93" w:name="_Toc412648023"/>
      <w:bookmarkStart w:id="94" w:name="_Toc414177727"/>
      <w:bookmarkStart w:id="95" w:name="_Toc414177752"/>
      <w:r w:rsidRPr="00AD791A">
        <w:rPr>
          <w:rFonts w:ascii="Cambria" w:hAnsi="Cambria"/>
        </w:rPr>
        <w:t>6</w:t>
      </w:r>
      <w:r w:rsidR="009D7F32" w:rsidRPr="00AD791A">
        <w:rPr>
          <w:rFonts w:ascii="Cambria" w:hAnsi="Cambria"/>
        </w:rPr>
        <w:t>.</w:t>
      </w:r>
      <w:r w:rsidR="009D7F32" w:rsidRPr="00AD791A">
        <w:rPr>
          <w:rFonts w:ascii="Cambria" w:hAnsi="Cambria"/>
        </w:rPr>
        <w:tab/>
        <w:t>Consecuencias del asesinato del señor Francisco García Valle en el ambiente familiar</w:t>
      </w:r>
      <w:bookmarkEnd w:id="91"/>
      <w:bookmarkEnd w:id="92"/>
      <w:bookmarkEnd w:id="93"/>
      <w:bookmarkEnd w:id="94"/>
      <w:bookmarkEnd w:id="95"/>
    </w:p>
    <w:p w:rsidR="009D7F32" w:rsidRPr="00AD791A" w:rsidRDefault="009D7F32" w:rsidP="009D7F32">
      <w:pPr>
        <w:rPr>
          <w:rFonts w:ascii="Cambria" w:hAnsi="Cambria"/>
          <w:sz w:val="20"/>
          <w:szCs w:val="20"/>
          <w:lang w:val="es-MX"/>
        </w:rPr>
      </w:pPr>
    </w:p>
    <w:p w:rsidR="009D7F32" w:rsidRPr="00AD791A" w:rsidRDefault="00060AB0" w:rsidP="00060AB0">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MX"/>
        </w:rPr>
        <w:t>Como consecuencia de la d</w:t>
      </w:r>
      <w:r w:rsidR="004E7739" w:rsidRPr="00AD791A">
        <w:rPr>
          <w:rFonts w:ascii="Cambria" w:hAnsi="Cambria"/>
          <w:sz w:val="20"/>
          <w:szCs w:val="20"/>
          <w:lang w:val="es-MX"/>
        </w:rPr>
        <w:t xml:space="preserve">enuncia contra la señora Acosta por los delitos de “falso testimonio y denuncia falsa”, </w:t>
      </w:r>
      <w:r w:rsidRPr="00AD791A">
        <w:rPr>
          <w:rFonts w:ascii="Cambria" w:hAnsi="Cambria"/>
          <w:sz w:val="20"/>
          <w:szCs w:val="20"/>
          <w:lang w:val="es-MX"/>
        </w:rPr>
        <w:t>la</w:t>
      </w:r>
      <w:r w:rsidR="009D7F32" w:rsidRPr="00AD791A">
        <w:rPr>
          <w:rFonts w:ascii="Cambria" w:hAnsi="Cambria"/>
          <w:sz w:val="20"/>
          <w:szCs w:val="20"/>
          <w:lang w:val="es-MX"/>
        </w:rPr>
        <w:t xml:space="preserve"> partida de</w:t>
      </w:r>
      <w:r w:rsidR="004E7739" w:rsidRPr="00AD791A">
        <w:rPr>
          <w:rFonts w:ascii="Cambria" w:hAnsi="Cambria"/>
          <w:sz w:val="20"/>
          <w:szCs w:val="20"/>
          <w:lang w:val="es-MX"/>
        </w:rPr>
        <w:t xml:space="preserve"> ella y sus hijos de la ciudad de</w:t>
      </w:r>
      <w:r w:rsidR="009D7F32" w:rsidRPr="00AD791A">
        <w:rPr>
          <w:rFonts w:ascii="Cambria" w:hAnsi="Cambria"/>
          <w:sz w:val="20"/>
          <w:szCs w:val="20"/>
          <w:lang w:val="es-MX"/>
        </w:rPr>
        <w:t xml:space="preserve"> Bluefields</w:t>
      </w:r>
      <w:r w:rsidR="0010742D" w:rsidRPr="00AD791A">
        <w:rPr>
          <w:rFonts w:ascii="Cambria" w:hAnsi="Cambria"/>
          <w:sz w:val="20"/>
          <w:szCs w:val="20"/>
          <w:lang w:val="es-MX"/>
        </w:rPr>
        <w:t xml:space="preserve"> hacia Chinandega</w:t>
      </w:r>
      <w:r w:rsidR="009D7F32" w:rsidRPr="00AD791A">
        <w:rPr>
          <w:rFonts w:ascii="Cambria" w:hAnsi="Cambria"/>
          <w:sz w:val="20"/>
          <w:szCs w:val="20"/>
          <w:lang w:val="es-MX"/>
        </w:rPr>
        <w:t xml:space="preserve">, </w:t>
      </w:r>
      <w:r w:rsidRPr="00AD791A">
        <w:rPr>
          <w:rFonts w:ascii="Cambria" w:hAnsi="Cambria"/>
          <w:sz w:val="20"/>
          <w:szCs w:val="20"/>
          <w:lang w:val="es-MX"/>
        </w:rPr>
        <w:t>y el cierre de</w:t>
      </w:r>
      <w:r w:rsidR="009D7F32" w:rsidRPr="00AD791A">
        <w:rPr>
          <w:rFonts w:ascii="Cambria" w:hAnsi="Cambria"/>
          <w:sz w:val="20"/>
          <w:szCs w:val="20"/>
          <w:lang w:val="es-MX"/>
        </w:rPr>
        <w:t xml:space="preserve"> los negocios familiares que eran la </w:t>
      </w:r>
      <w:r w:rsidR="009D7F32" w:rsidRPr="00AD791A">
        <w:rPr>
          <w:rFonts w:ascii="Cambria" w:hAnsi="Cambria"/>
          <w:sz w:val="20"/>
          <w:szCs w:val="20"/>
          <w:lang w:val="es-ES"/>
        </w:rPr>
        <w:t>base de los ingresos económicos de la familia</w:t>
      </w:r>
      <w:r w:rsidR="009D7F32" w:rsidRPr="00AD791A">
        <w:rPr>
          <w:rStyle w:val="FootnoteReference"/>
          <w:rFonts w:ascii="Cambria" w:hAnsi="Cambria" w:cs="Arial Narrow"/>
          <w:spacing w:val="-2"/>
          <w:sz w:val="20"/>
          <w:szCs w:val="20"/>
          <w:lang w:val="es-MX"/>
        </w:rPr>
        <w:footnoteReference w:id="167"/>
      </w:r>
      <w:r w:rsidRPr="00AD791A">
        <w:rPr>
          <w:rFonts w:ascii="Cambria" w:hAnsi="Cambria"/>
          <w:iCs/>
          <w:spacing w:val="8"/>
          <w:sz w:val="20"/>
          <w:szCs w:val="20"/>
          <w:lang w:val="es-MX"/>
        </w:rPr>
        <w:t>,</w:t>
      </w:r>
      <w:r w:rsidR="00EE0FE1" w:rsidRPr="00AD791A">
        <w:rPr>
          <w:rFonts w:ascii="Cambria" w:hAnsi="Cambria"/>
          <w:iCs/>
          <w:spacing w:val="8"/>
          <w:sz w:val="20"/>
          <w:szCs w:val="20"/>
          <w:lang w:val="es-MX"/>
        </w:rPr>
        <w:t xml:space="preserve"> </w:t>
      </w:r>
      <w:r w:rsidR="009A1B64" w:rsidRPr="00AD791A">
        <w:rPr>
          <w:rFonts w:ascii="Cambria" w:hAnsi="Cambria"/>
          <w:sz w:val="20"/>
          <w:szCs w:val="20"/>
          <w:lang w:val="es-MX"/>
        </w:rPr>
        <w:t xml:space="preserve">la señora Acosta manifestó ante el juzgado que conocía de su causa </w:t>
      </w:r>
      <w:r w:rsidR="0010742D" w:rsidRPr="00AD791A">
        <w:rPr>
          <w:rFonts w:ascii="Cambria" w:hAnsi="Cambria"/>
          <w:sz w:val="20"/>
          <w:szCs w:val="20"/>
          <w:lang w:val="es-MX"/>
        </w:rPr>
        <w:t>penal</w:t>
      </w:r>
      <w:r w:rsidR="009A1B64" w:rsidRPr="00AD791A">
        <w:rPr>
          <w:rFonts w:ascii="Cambria" w:hAnsi="Cambria"/>
          <w:sz w:val="20"/>
          <w:szCs w:val="20"/>
          <w:lang w:val="es-MX"/>
        </w:rPr>
        <w:t xml:space="preserve">, que </w:t>
      </w:r>
      <w:r w:rsidR="009D7F32" w:rsidRPr="00AD791A">
        <w:rPr>
          <w:rFonts w:ascii="Cambria" w:hAnsi="Cambria" w:cs="Garamond"/>
          <w:sz w:val="20"/>
          <w:szCs w:val="20"/>
          <w:lang w:val="es-ES_tradnl"/>
        </w:rPr>
        <w:t>el asesinato del señor García Valle trajo a sus familiares una “profunda pena moral”</w:t>
      </w:r>
      <w:r w:rsidR="009D7F32" w:rsidRPr="00AD791A">
        <w:rPr>
          <w:rStyle w:val="FootnoteReference"/>
          <w:rFonts w:ascii="Cambria" w:hAnsi="Cambria"/>
          <w:iCs/>
          <w:spacing w:val="8"/>
          <w:sz w:val="20"/>
          <w:szCs w:val="20"/>
          <w:lang w:val="es-MX"/>
        </w:rPr>
        <w:footnoteReference w:id="168"/>
      </w:r>
      <w:r w:rsidR="009D7F32" w:rsidRPr="00AD791A">
        <w:rPr>
          <w:rFonts w:ascii="Cambria" w:hAnsi="Cambria" w:cs="Garamond"/>
          <w:sz w:val="20"/>
          <w:szCs w:val="20"/>
          <w:lang w:val="es-MX"/>
        </w:rPr>
        <w:t xml:space="preserve">. </w:t>
      </w:r>
      <w:r w:rsidR="009A1B64" w:rsidRPr="00AD791A">
        <w:rPr>
          <w:rFonts w:ascii="Cambria" w:hAnsi="Cambria" w:cs="Garamond"/>
          <w:sz w:val="20"/>
          <w:szCs w:val="20"/>
          <w:lang w:val="es-MX"/>
        </w:rPr>
        <w:t xml:space="preserve"> </w:t>
      </w:r>
    </w:p>
    <w:p w:rsidR="009D7F32" w:rsidRPr="00AD791A" w:rsidRDefault="009D7F32" w:rsidP="009D7F32">
      <w:pPr>
        <w:ind w:left="3960"/>
        <w:jc w:val="both"/>
        <w:rPr>
          <w:rFonts w:ascii="Cambria" w:hAnsi="Cambria"/>
          <w:sz w:val="20"/>
          <w:szCs w:val="20"/>
          <w:lang w:val="es-MX"/>
        </w:rPr>
      </w:pPr>
    </w:p>
    <w:p w:rsidR="009D7F32" w:rsidRPr="00AD791A" w:rsidRDefault="009D7F32" w:rsidP="006264C8">
      <w:pPr>
        <w:pStyle w:val="TOC3"/>
        <w:outlineLvl w:val="0"/>
        <w:rPr>
          <w:rFonts w:ascii="Cambria" w:hAnsi="Cambria"/>
        </w:rPr>
      </w:pPr>
      <w:bookmarkStart w:id="96" w:name="_Toc388448153"/>
      <w:bookmarkStart w:id="97" w:name="_Toc412647988"/>
      <w:bookmarkStart w:id="98" w:name="_Toc412648024"/>
      <w:bookmarkStart w:id="99" w:name="_Toc414177728"/>
      <w:bookmarkStart w:id="100" w:name="_Toc414177753"/>
      <w:r w:rsidRPr="00AD791A">
        <w:rPr>
          <w:rFonts w:ascii="Cambria" w:hAnsi="Cambria"/>
        </w:rPr>
        <w:t>V.</w:t>
      </w:r>
      <w:r w:rsidRPr="00AD791A">
        <w:rPr>
          <w:rFonts w:ascii="Cambria" w:hAnsi="Cambria"/>
        </w:rPr>
        <w:tab/>
        <w:t>ANÁLISIS DE DERECHO</w:t>
      </w:r>
      <w:bookmarkStart w:id="101" w:name="_Toc319594055"/>
      <w:bookmarkEnd w:id="96"/>
      <w:bookmarkEnd w:id="97"/>
      <w:bookmarkEnd w:id="98"/>
      <w:bookmarkEnd w:id="99"/>
      <w:bookmarkEnd w:id="100"/>
    </w:p>
    <w:p w:rsidR="009D7F32" w:rsidRPr="00AD791A" w:rsidRDefault="009D7F32" w:rsidP="00D04916">
      <w:pPr>
        <w:pStyle w:val="TOC3"/>
        <w:rPr>
          <w:rFonts w:ascii="Cambria" w:hAnsi="Cambria"/>
        </w:rPr>
      </w:pPr>
    </w:p>
    <w:p w:rsidR="009D7F32" w:rsidRPr="00AD791A" w:rsidRDefault="009D7F32" w:rsidP="006264C8">
      <w:pPr>
        <w:pStyle w:val="TOC3"/>
        <w:outlineLvl w:val="1"/>
        <w:rPr>
          <w:rFonts w:ascii="Cambria" w:hAnsi="Cambria"/>
        </w:rPr>
      </w:pPr>
      <w:bookmarkStart w:id="102" w:name="_Toc388448154"/>
      <w:bookmarkStart w:id="103" w:name="_Toc412647989"/>
      <w:bookmarkStart w:id="104" w:name="_Toc412648025"/>
      <w:bookmarkStart w:id="105" w:name="_Toc414177729"/>
      <w:bookmarkStart w:id="106" w:name="_Toc414177754"/>
      <w:r w:rsidRPr="00AD791A">
        <w:rPr>
          <w:rFonts w:ascii="Cambria" w:hAnsi="Cambria"/>
        </w:rPr>
        <w:t>A.</w:t>
      </w:r>
      <w:r w:rsidRPr="00AD791A">
        <w:rPr>
          <w:rFonts w:ascii="Cambria" w:hAnsi="Cambria"/>
        </w:rPr>
        <w:tab/>
        <w:t>Derecho a las garantías judiciales y protección judicial (Artículos 8.1</w:t>
      </w:r>
      <w:r w:rsidRPr="00AD791A">
        <w:rPr>
          <w:rStyle w:val="FootnoteReference"/>
          <w:rFonts w:ascii="Cambria" w:hAnsi="Cambria"/>
          <w:bCs/>
          <w:lang w:val="es-ES"/>
        </w:rPr>
        <w:footnoteReference w:id="169"/>
      </w:r>
      <w:r w:rsidRPr="00AD791A">
        <w:rPr>
          <w:rFonts w:ascii="Cambria" w:hAnsi="Cambria"/>
        </w:rPr>
        <w:t xml:space="preserve"> y 25.1</w:t>
      </w:r>
      <w:r w:rsidRPr="00AD791A">
        <w:rPr>
          <w:rStyle w:val="FootnoteReference"/>
          <w:rFonts w:ascii="Cambria" w:hAnsi="Cambria"/>
          <w:bCs/>
          <w:lang w:val="es-ES"/>
        </w:rPr>
        <w:footnoteReference w:id="170"/>
      </w:r>
      <w:r w:rsidRPr="00AD791A">
        <w:rPr>
          <w:rFonts w:ascii="Cambria" w:hAnsi="Cambria"/>
        </w:rPr>
        <w:t xml:space="preserve"> de la Convención Americana en relación con el artículo 1.1 de la Convención</w:t>
      </w:r>
      <w:bookmarkEnd w:id="101"/>
      <w:bookmarkEnd w:id="102"/>
      <w:bookmarkEnd w:id="103"/>
      <w:bookmarkEnd w:id="104"/>
      <w:r w:rsidRPr="00AD791A">
        <w:rPr>
          <w:rFonts w:ascii="Cambria" w:hAnsi="Cambria"/>
        </w:rPr>
        <w:t>)</w:t>
      </w:r>
      <w:r w:rsidR="00F62054" w:rsidRPr="00AD791A">
        <w:rPr>
          <w:rFonts w:ascii="Cambria" w:hAnsi="Cambria"/>
        </w:rPr>
        <w:t>, respecto de</w:t>
      </w:r>
      <w:r w:rsidR="000C14E4" w:rsidRPr="00AD791A">
        <w:rPr>
          <w:rFonts w:ascii="Cambria" w:hAnsi="Cambria"/>
        </w:rPr>
        <w:t>l asesinato del señor García Valle</w:t>
      </w:r>
      <w:bookmarkEnd w:id="105"/>
      <w:bookmarkEnd w:id="106"/>
      <w:r w:rsidR="000C14E4" w:rsidRPr="00AD791A">
        <w:rPr>
          <w:rFonts w:ascii="Cambria" w:hAnsi="Cambria"/>
        </w:rPr>
        <w:t xml:space="preserve"> </w:t>
      </w:r>
    </w:p>
    <w:p w:rsidR="00A76EE8" w:rsidRPr="00AD791A" w:rsidRDefault="00A76EE8" w:rsidP="00697CED">
      <w:pPr>
        <w:ind w:left="720"/>
        <w:jc w:val="both"/>
        <w:rPr>
          <w:rFonts w:ascii="Cambria" w:hAnsi="Cambria"/>
          <w:spacing w:val="-2"/>
          <w:sz w:val="20"/>
          <w:szCs w:val="20"/>
          <w:lang w:val="es-ES_tradnl"/>
        </w:rPr>
      </w:pPr>
    </w:p>
    <w:p w:rsidR="009D7F32" w:rsidRPr="00AD791A" w:rsidRDefault="009D7F32" w:rsidP="009D7F32">
      <w:pPr>
        <w:numPr>
          <w:ilvl w:val="0"/>
          <w:numId w:val="1"/>
        </w:numPr>
        <w:tabs>
          <w:tab w:val="clear" w:pos="1260"/>
        </w:tabs>
        <w:ind w:left="0" w:firstLine="720"/>
        <w:jc w:val="both"/>
        <w:rPr>
          <w:rFonts w:ascii="Cambria" w:hAnsi="Cambria"/>
          <w:spacing w:val="-2"/>
          <w:sz w:val="20"/>
          <w:szCs w:val="20"/>
          <w:lang w:val="es-ES_tradnl"/>
        </w:rPr>
      </w:pPr>
      <w:r w:rsidRPr="00AD791A">
        <w:rPr>
          <w:rFonts w:ascii="Cambria" w:hAnsi="Cambria"/>
          <w:spacing w:val="-2"/>
          <w:sz w:val="20"/>
          <w:szCs w:val="20"/>
          <w:lang w:val="es-ES_tradnl"/>
        </w:rPr>
        <w:t xml:space="preserve">Conforme a la jurisprudencia reiterada de los órganos del sistema interamericano, en virtud de la protección otorgada por los artículos 8 y 25 de la Convención, los Estados están obligados a suministrar recursos judiciales </w:t>
      </w:r>
      <w:r w:rsidRPr="00AD791A">
        <w:rPr>
          <w:rFonts w:ascii="Cambria" w:hAnsi="Cambria"/>
          <w:sz w:val="20"/>
          <w:szCs w:val="20"/>
          <w:lang w:val="es-ES"/>
        </w:rPr>
        <w:t>efectivos</w:t>
      </w:r>
      <w:r w:rsidRPr="00AD791A">
        <w:rPr>
          <w:rFonts w:ascii="Cambria" w:hAnsi="Cambria"/>
          <w:spacing w:val="-2"/>
          <w:sz w:val="20"/>
          <w:szCs w:val="20"/>
          <w:lang w:val="es-ES_tradnl"/>
        </w:rPr>
        <w:t xml:space="preserve"> a las </w:t>
      </w:r>
      <w:r w:rsidRPr="00AD791A">
        <w:rPr>
          <w:rFonts w:ascii="Cambria" w:hAnsi="Cambria"/>
          <w:sz w:val="20"/>
          <w:szCs w:val="20"/>
          <w:lang w:val="es-ES"/>
        </w:rPr>
        <w:t>víctimas</w:t>
      </w:r>
      <w:r w:rsidRPr="00AD791A">
        <w:rPr>
          <w:rFonts w:ascii="Cambria" w:hAnsi="Cambria"/>
          <w:spacing w:val="-2"/>
          <w:sz w:val="20"/>
          <w:szCs w:val="20"/>
          <w:lang w:val="es-ES_tradnl"/>
        </w:rPr>
        <w:t xml:space="preserve"> de violaciones de los derechos humanos, que deben ser sustanciados de conformidad con las reglas del debido proceso legal</w:t>
      </w:r>
      <w:r w:rsidRPr="00AD791A">
        <w:rPr>
          <w:rFonts w:ascii="Cambria" w:hAnsi="Cambria"/>
          <w:spacing w:val="-2"/>
          <w:sz w:val="20"/>
          <w:szCs w:val="20"/>
          <w:vertAlign w:val="superscript"/>
          <w:lang w:val="es-ES_tradnl"/>
        </w:rPr>
        <w:footnoteReference w:id="171"/>
      </w:r>
      <w:r w:rsidRPr="00AD791A">
        <w:rPr>
          <w:rFonts w:ascii="Cambria" w:hAnsi="Cambria"/>
          <w:spacing w:val="-2"/>
          <w:sz w:val="20"/>
          <w:szCs w:val="20"/>
          <w:lang w:val="es-ES_tradnl"/>
        </w:rPr>
        <w:t>. Asimismo, el derecho de acceso a la justicia debe asegurar, en tiempo razonable, el derecho de las presuntas víctimas o sus familiares a que se haga todo lo necesario para conocer la verdad de lo sucedido e investigar, juzgar y, en su caso, sancionar a los eventuales responsables</w:t>
      </w:r>
      <w:r w:rsidRPr="00AD791A">
        <w:rPr>
          <w:rFonts w:ascii="Cambria" w:hAnsi="Cambria"/>
          <w:spacing w:val="-2"/>
          <w:sz w:val="20"/>
          <w:szCs w:val="20"/>
          <w:vertAlign w:val="superscript"/>
          <w:lang w:val="es-ES_tradnl"/>
        </w:rPr>
        <w:footnoteReference w:id="172"/>
      </w:r>
      <w:r w:rsidRPr="00AD791A">
        <w:rPr>
          <w:rFonts w:ascii="Cambria" w:hAnsi="Cambria"/>
          <w:spacing w:val="-2"/>
          <w:sz w:val="20"/>
          <w:szCs w:val="20"/>
          <w:lang w:val="es-ES_tradnl"/>
        </w:rPr>
        <w:t xml:space="preserve">. Esta obligación, que es de medios y no de resultado, </w:t>
      </w:r>
      <w:r w:rsidRPr="00AD791A">
        <w:rPr>
          <w:rFonts w:ascii="Cambria" w:hAnsi="Cambria"/>
          <w:sz w:val="20"/>
          <w:szCs w:val="20"/>
          <w:lang w:val="es-ES"/>
        </w:rPr>
        <w:t>debe ser asumida por el Estado como una obligación jurídica propia y no como una simple formalidad condenada de antemano a ser infructuosa</w:t>
      </w:r>
      <w:r w:rsidRPr="00AD791A">
        <w:rPr>
          <w:rStyle w:val="FootnoteReference"/>
          <w:rFonts w:ascii="Cambria" w:hAnsi="Cambria"/>
          <w:sz w:val="20"/>
          <w:szCs w:val="20"/>
          <w:lang w:val="es-ES_tradnl"/>
        </w:rPr>
        <w:footnoteReference w:id="173"/>
      </w:r>
      <w:r w:rsidRPr="00AD791A">
        <w:rPr>
          <w:rFonts w:ascii="Cambria" w:hAnsi="Cambria"/>
          <w:sz w:val="20"/>
          <w:szCs w:val="20"/>
          <w:lang w:val="es-ES"/>
        </w:rPr>
        <w:t>. En ese sentido, la investigación debe ser llevada a cabo con la debida diligencia</w:t>
      </w:r>
      <w:r w:rsidRPr="00AD791A">
        <w:rPr>
          <w:rStyle w:val="FootnoteReference"/>
          <w:rFonts w:ascii="Cambria" w:hAnsi="Cambria"/>
          <w:sz w:val="20"/>
          <w:szCs w:val="20"/>
          <w:lang w:val="es-ES"/>
        </w:rPr>
        <w:footnoteReference w:id="174"/>
      </w:r>
      <w:r w:rsidRPr="00AD791A">
        <w:rPr>
          <w:rFonts w:ascii="Cambria" w:hAnsi="Cambria"/>
          <w:sz w:val="20"/>
          <w:szCs w:val="20"/>
          <w:lang w:val="es-ES"/>
        </w:rPr>
        <w:t>, y dentro de los límites del plazo razonable</w:t>
      </w:r>
      <w:r w:rsidRPr="00AD791A">
        <w:rPr>
          <w:rStyle w:val="FootnoteReference"/>
          <w:rFonts w:ascii="Cambria" w:hAnsi="Cambria"/>
          <w:sz w:val="20"/>
          <w:szCs w:val="20"/>
          <w:lang w:val="es-ES"/>
        </w:rPr>
        <w:footnoteReference w:id="175"/>
      </w:r>
      <w:r w:rsidRPr="00AD791A">
        <w:rPr>
          <w:rFonts w:ascii="Cambria" w:hAnsi="Cambria"/>
          <w:sz w:val="20"/>
          <w:szCs w:val="20"/>
          <w:lang w:val="es-ES"/>
        </w:rPr>
        <w:t>.</w:t>
      </w:r>
    </w:p>
    <w:p w:rsidR="009D7F32" w:rsidRPr="00AD791A" w:rsidRDefault="009D7F32" w:rsidP="009D7F32">
      <w:pPr>
        <w:jc w:val="both"/>
        <w:rPr>
          <w:rFonts w:ascii="Cambria" w:hAnsi="Cambria" w:cs="Verdana"/>
          <w:sz w:val="20"/>
          <w:szCs w:val="20"/>
          <w:lang w:val="es-ES_tradnl"/>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 xml:space="preserve">Tomando en cuenta las particularidades del presente caso, la Comisión recuerda que el medio más eficaz para proteger a las defensoras y defensores de derechos humanos es investigar eficazmente los actos de </w:t>
      </w:r>
      <w:r w:rsidR="00362527" w:rsidRPr="00AD791A">
        <w:rPr>
          <w:rFonts w:ascii="Cambria" w:hAnsi="Cambria"/>
          <w:sz w:val="20"/>
          <w:szCs w:val="20"/>
          <w:lang w:val="es-ES"/>
        </w:rPr>
        <w:t xml:space="preserve">amenaza o </w:t>
      </w:r>
      <w:r w:rsidRPr="00AD791A">
        <w:rPr>
          <w:rFonts w:ascii="Cambria" w:hAnsi="Cambria"/>
          <w:sz w:val="20"/>
          <w:szCs w:val="20"/>
          <w:lang w:val="es-ES"/>
        </w:rPr>
        <w:t>violencia en su contra y sancionar a los responsables</w:t>
      </w:r>
      <w:r w:rsidRPr="00AD791A">
        <w:rPr>
          <w:rStyle w:val="FootnoteReference"/>
          <w:rFonts w:ascii="Cambria" w:hAnsi="Cambria"/>
          <w:sz w:val="20"/>
          <w:szCs w:val="20"/>
          <w:lang w:val="es-ES"/>
        </w:rPr>
        <w:footnoteReference w:id="176"/>
      </w:r>
      <w:r w:rsidRPr="00AD791A">
        <w:rPr>
          <w:rFonts w:ascii="Cambria" w:hAnsi="Cambria"/>
          <w:sz w:val="20"/>
          <w:szCs w:val="20"/>
          <w:lang w:val="es-ES"/>
        </w:rPr>
        <w:t>. En este sentido, la Corte Interamericana ha señalado que “</w:t>
      </w:r>
      <w:r w:rsidRPr="00AD791A">
        <w:rPr>
          <w:rFonts w:ascii="Cambria" w:hAnsi="Cambria" w:cs="Arial"/>
          <w:sz w:val="20"/>
          <w:szCs w:val="20"/>
          <w:lang w:val="es-MX"/>
        </w:rPr>
        <w:t xml:space="preserve">las amenazas y los atentados a la integridad y a la vida de los </w:t>
      </w:r>
      <w:r w:rsidRPr="00AD791A">
        <w:rPr>
          <w:rFonts w:ascii="Cambria" w:hAnsi="Cambria" w:cs="Arial"/>
          <w:bCs/>
          <w:iCs/>
          <w:sz w:val="20"/>
          <w:szCs w:val="20"/>
          <w:lang w:val="es-MX"/>
        </w:rPr>
        <w:t>defensores de derechos humanos</w:t>
      </w:r>
      <w:r w:rsidRPr="00AD791A">
        <w:rPr>
          <w:rFonts w:ascii="Cambria" w:hAnsi="Cambria" w:cs="Arial"/>
          <w:sz w:val="20"/>
          <w:szCs w:val="20"/>
          <w:lang w:val="es-MX"/>
        </w:rPr>
        <w:t xml:space="preserve"> y la impunidad de los responsables por estos hechos, son particularmente graves porque tienen un efecto no sólo individual, sino también colectivo, en la medida en que la sociedad se ve impedida de conocer la verdad sobre la situación de respeto o de violación de los </w:t>
      </w:r>
      <w:r w:rsidRPr="00AD791A">
        <w:rPr>
          <w:rFonts w:ascii="Cambria" w:hAnsi="Cambria" w:cs="Arial"/>
          <w:bCs/>
          <w:iCs/>
          <w:sz w:val="20"/>
          <w:szCs w:val="20"/>
          <w:lang w:val="es-MX"/>
        </w:rPr>
        <w:t>derechos</w:t>
      </w:r>
      <w:r w:rsidRPr="00AD791A">
        <w:rPr>
          <w:rFonts w:ascii="Cambria" w:hAnsi="Cambria" w:cs="Arial"/>
          <w:sz w:val="20"/>
          <w:szCs w:val="20"/>
          <w:lang w:val="es-MX"/>
        </w:rPr>
        <w:t xml:space="preserve"> de las personas bajo la jurisdicción de un determinado Estado</w:t>
      </w:r>
      <w:r w:rsidRPr="00AD791A">
        <w:rPr>
          <w:rStyle w:val="FootnoteReference"/>
          <w:rFonts w:ascii="Cambria" w:hAnsi="Cambria" w:cs="Arial"/>
          <w:sz w:val="20"/>
          <w:szCs w:val="20"/>
          <w:lang w:val="es-MX"/>
        </w:rPr>
        <w:footnoteReference w:id="177"/>
      </w:r>
      <w:r w:rsidRPr="00AD791A">
        <w:rPr>
          <w:rFonts w:ascii="Cambria" w:hAnsi="Cambria" w:cs="Arial"/>
          <w:sz w:val="20"/>
          <w:szCs w:val="20"/>
          <w:lang w:val="es-MX"/>
        </w:rPr>
        <w:t xml:space="preserve">. </w:t>
      </w:r>
      <w:r w:rsidRPr="00AD791A">
        <w:rPr>
          <w:rFonts w:ascii="Cambria" w:hAnsi="Cambria"/>
          <w:sz w:val="20"/>
          <w:szCs w:val="20"/>
          <w:lang w:val="es-ES"/>
        </w:rPr>
        <w:t>Por su parte, la Oficina del Alto Comisionado de Naciones Unidas para los Derechos Humanos ha indicado que la falta de investigación y sanción a los responsables de violaciones contra defensoras y defensores “constituye el factor que en mayor medida aumenta el riesgo de las y los defensores, pues los deja en una situación de indefensión y desprotección</w:t>
      </w:r>
      <w:r w:rsidRPr="00AD791A">
        <w:rPr>
          <w:rStyle w:val="FootnoteReference"/>
          <w:rFonts w:ascii="Cambria" w:hAnsi="Cambria"/>
          <w:sz w:val="20"/>
          <w:szCs w:val="20"/>
          <w:lang w:val="es-ES"/>
        </w:rPr>
        <w:footnoteReference w:id="178"/>
      </w:r>
      <w:r w:rsidR="00E435F1" w:rsidRPr="00AD791A">
        <w:rPr>
          <w:rFonts w:ascii="Cambria" w:hAnsi="Cambria"/>
          <w:sz w:val="20"/>
          <w:szCs w:val="20"/>
          <w:lang w:val="es-ES"/>
        </w:rPr>
        <w:t>”</w:t>
      </w:r>
      <w:r w:rsidRPr="00AD791A">
        <w:rPr>
          <w:rFonts w:ascii="Cambria" w:hAnsi="Cambria"/>
          <w:sz w:val="20"/>
          <w:szCs w:val="20"/>
          <w:lang w:val="es-ES"/>
        </w:rPr>
        <w:t xml:space="preserve">. </w:t>
      </w:r>
    </w:p>
    <w:p w:rsidR="009D7F32" w:rsidRPr="00AD791A" w:rsidRDefault="009D7F32" w:rsidP="009D7F32">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Los obligaciones especiales y reforzadas de investigación cuando se trata de defensores o defensoras de derechos humanos resulta</w:t>
      </w:r>
      <w:r w:rsidR="00362527" w:rsidRPr="00AD791A">
        <w:rPr>
          <w:rFonts w:ascii="Cambria" w:hAnsi="Cambria"/>
          <w:sz w:val="20"/>
          <w:szCs w:val="20"/>
          <w:lang w:val="es-MX"/>
        </w:rPr>
        <w:t>n</w:t>
      </w:r>
      <w:r w:rsidRPr="00AD791A">
        <w:rPr>
          <w:rFonts w:ascii="Cambria" w:hAnsi="Cambria"/>
          <w:sz w:val="20"/>
          <w:szCs w:val="20"/>
          <w:lang w:val="es-MX"/>
        </w:rPr>
        <w:t xml:space="preserve"> plenamente aplicable</w:t>
      </w:r>
      <w:r w:rsidR="00362527" w:rsidRPr="00AD791A">
        <w:rPr>
          <w:rFonts w:ascii="Cambria" w:hAnsi="Cambria"/>
          <w:sz w:val="20"/>
          <w:szCs w:val="20"/>
          <w:lang w:val="es-MX"/>
        </w:rPr>
        <w:t>s</w:t>
      </w:r>
      <w:r w:rsidRPr="00AD791A">
        <w:rPr>
          <w:rFonts w:ascii="Cambria" w:hAnsi="Cambria"/>
          <w:sz w:val="20"/>
          <w:szCs w:val="20"/>
          <w:lang w:val="es-MX"/>
        </w:rPr>
        <w:t xml:space="preserve"> al presente caso pues </w:t>
      </w:r>
      <w:r w:rsidR="00362527" w:rsidRPr="00AD791A">
        <w:rPr>
          <w:rFonts w:ascii="Cambria" w:hAnsi="Cambria"/>
          <w:sz w:val="20"/>
          <w:szCs w:val="20"/>
          <w:lang w:val="es-MX"/>
        </w:rPr>
        <w:t xml:space="preserve">se presentan claros indicios </w:t>
      </w:r>
      <w:r w:rsidR="0010742D" w:rsidRPr="00AD791A">
        <w:rPr>
          <w:rFonts w:ascii="Cambria" w:hAnsi="Cambria"/>
          <w:sz w:val="20"/>
          <w:szCs w:val="20"/>
          <w:lang w:val="es-MX"/>
        </w:rPr>
        <w:t xml:space="preserve">que demuestran una </w:t>
      </w:r>
      <w:r w:rsidR="00362527" w:rsidRPr="00AD791A">
        <w:rPr>
          <w:rFonts w:ascii="Cambria" w:hAnsi="Cambria"/>
          <w:sz w:val="20"/>
          <w:szCs w:val="20"/>
          <w:lang w:val="es-MX"/>
        </w:rPr>
        <w:t>relación e</w:t>
      </w:r>
      <w:r w:rsidR="00D17973" w:rsidRPr="00AD791A">
        <w:rPr>
          <w:rFonts w:ascii="Cambria" w:hAnsi="Cambria"/>
          <w:sz w:val="20"/>
          <w:szCs w:val="20"/>
          <w:lang w:val="es-MX"/>
        </w:rPr>
        <w:t>xistente e</w:t>
      </w:r>
      <w:r w:rsidR="00362527" w:rsidRPr="00AD791A">
        <w:rPr>
          <w:rFonts w:ascii="Cambria" w:hAnsi="Cambria"/>
          <w:sz w:val="20"/>
          <w:szCs w:val="20"/>
          <w:lang w:val="es-MX"/>
        </w:rPr>
        <w:t>ntre el asesinato del señor Garc</w:t>
      </w:r>
      <w:r w:rsidR="00D17973" w:rsidRPr="00AD791A">
        <w:rPr>
          <w:rFonts w:ascii="Cambria" w:hAnsi="Cambria"/>
          <w:sz w:val="20"/>
          <w:szCs w:val="20"/>
          <w:lang w:val="es-MX"/>
        </w:rPr>
        <w:t>ía Valle y la labor de defensa de María Luisa Acosta.</w:t>
      </w:r>
    </w:p>
    <w:p w:rsidR="009D7F32" w:rsidRPr="00AD791A" w:rsidRDefault="009D7F32" w:rsidP="009D7F32">
      <w:pPr>
        <w:pStyle w:val="ListParagraph1"/>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Tomando en cuenta los hechos probados y los argumentos de las partes, la Comisión se pronunciará en primer lugar, sobre el deber de debida diligencia; en segundo lugar, sobre el rechazo del recurso de apelación del sobreseimiento a favor de los posibles autores intelectuales; y en tercer lugar, sobre la garantía de plazo razonable. </w:t>
      </w:r>
    </w:p>
    <w:p w:rsidR="000B11B2" w:rsidRDefault="000B11B2" w:rsidP="000B11B2">
      <w:pPr>
        <w:jc w:val="both"/>
        <w:rPr>
          <w:rFonts w:ascii="Cambria" w:hAnsi="Cambria"/>
          <w:sz w:val="20"/>
          <w:szCs w:val="20"/>
          <w:lang w:val="es-MX"/>
        </w:rPr>
      </w:pPr>
    </w:p>
    <w:p w:rsidR="007202AC" w:rsidRPr="00AD791A" w:rsidRDefault="007202AC" w:rsidP="000B11B2">
      <w:pPr>
        <w:jc w:val="both"/>
        <w:rPr>
          <w:rFonts w:ascii="Cambria" w:hAnsi="Cambria"/>
          <w:sz w:val="20"/>
          <w:szCs w:val="20"/>
          <w:lang w:val="es-MX"/>
        </w:rPr>
      </w:pPr>
    </w:p>
    <w:p w:rsidR="009D7F32" w:rsidRPr="00AD791A" w:rsidRDefault="009D7F32" w:rsidP="000B11B2">
      <w:pPr>
        <w:pStyle w:val="Heading3"/>
      </w:pPr>
      <w:bookmarkStart w:id="107" w:name="_Toc412647990"/>
      <w:bookmarkStart w:id="108" w:name="_Toc412648026"/>
      <w:bookmarkStart w:id="109" w:name="_Toc414177399"/>
      <w:bookmarkStart w:id="110" w:name="_Toc414177730"/>
      <w:bookmarkStart w:id="111" w:name="_Toc414177755"/>
      <w:bookmarkStart w:id="112" w:name="_Toc388448157"/>
      <w:r w:rsidRPr="00AD791A">
        <w:t>Sobre el deber de investigar con la debida diligencia</w:t>
      </w:r>
      <w:bookmarkEnd w:id="107"/>
      <w:bookmarkEnd w:id="108"/>
      <w:bookmarkEnd w:id="109"/>
      <w:bookmarkEnd w:id="110"/>
      <w:bookmarkEnd w:id="111"/>
      <w:r w:rsidRPr="00AD791A">
        <w:t xml:space="preserve"> </w:t>
      </w:r>
      <w:bookmarkEnd w:id="112"/>
    </w:p>
    <w:p w:rsidR="009D7F32" w:rsidRPr="00AD791A" w:rsidRDefault="009D7F32" w:rsidP="009D7F32">
      <w:pPr>
        <w:pStyle w:val="ListParagraph1"/>
        <w:ind w:left="0"/>
        <w:rPr>
          <w:rFonts w:ascii="Cambria" w:hAnsi="Cambria"/>
          <w:sz w:val="20"/>
          <w:szCs w:val="20"/>
          <w:lang w:val="es-ES_tradnl"/>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Sobre el contenido del deber de investigar “con la debida diligencia”, la Corte Interamericana ha señalado que este deber implica que las averiguaciones deben ser realizadas por todos los medios legales disponibles y deben estar orientadas a la determinación de la verdad</w:t>
      </w:r>
      <w:r w:rsidRPr="00AD791A">
        <w:rPr>
          <w:rFonts w:ascii="Cambria" w:hAnsi="Cambria"/>
          <w:sz w:val="20"/>
          <w:szCs w:val="20"/>
          <w:vertAlign w:val="superscript"/>
        </w:rPr>
        <w:footnoteReference w:id="179"/>
      </w:r>
      <w:r w:rsidRPr="00AD791A">
        <w:rPr>
          <w:rFonts w:ascii="Cambria" w:hAnsi="Cambria"/>
          <w:sz w:val="20"/>
          <w:szCs w:val="20"/>
          <w:lang w:val="es-MX"/>
        </w:rPr>
        <w:t>. La Corte también ha señalado que e</w:t>
      </w:r>
      <w:r w:rsidRPr="00AD791A">
        <w:rPr>
          <w:rFonts w:ascii="Cambria" w:hAnsi="Cambria"/>
          <w:sz w:val="20"/>
          <w:szCs w:val="20"/>
          <w:lang w:val="es-ES"/>
        </w:rPr>
        <w:t>l Estado puede ser responsable por no “ordenar, practicar o valorar pruebas” que pueden ser fundamentales para el debido esclarecimiento de los hechos</w:t>
      </w:r>
      <w:r w:rsidRPr="00AD791A">
        <w:rPr>
          <w:rStyle w:val="FootnoteReference"/>
          <w:rFonts w:ascii="Cambria" w:hAnsi="Cambria"/>
          <w:sz w:val="20"/>
          <w:szCs w:val="20"/>
          <w:lang w:val="es-ES"/>
        </w:rPr>
        <w:footnoteReference w:id="180"/>
      </w:r>
      <w:r w:rsidRPr="00AD791A">
        <w:rPr>
          <w:rFonts w:ascii="Cambria" w:hAnsi="Cambria"/>
          <w:sz w:val="20"/>
          <w:szCs w:val="20"/>
          <w:lang w:val="es-ES"/>
        </w:rPr>
        <w:t xml:space="preserve">. </w:t>
      </w:r>
      <w:r w:rsidRPr="00AD791A">
        <w:rPr>
          <w:rFonts w:ascii="Cambria" w:hAnsi="Cambria"/>
          <w:sz w:val="20"/>
          <w:szCs w:val="20"/>
          <w:lang w:val="es-MX"/>
        </w:rPr>
        <w:t xml:space="preserve">En </w:t>
      </w:r>
      <w:r w:rsidRPr="00AD791A">
        <w:rPr>
          <w:rFonts w:ascii="Cambria" w:hAnsi="Cambria"/>
          <w:sz w:val="20"/>
          <w:szCs w:val="20"/>
          <w:lang w:val="es-PE"/>
        </w:rPr>
        <w:t>este</w:t>
      </w:r>
      <w:r w:rsidRPr="00AD791A">
        <w:rPr>
          <w:rFonts w:ascii="Cambria" w:hAnsi="Cambria"/>
          <w:sz w:val="20"/>
          <w:szCs w:val="20"/>
          <w:lang w:val="es-MX"/>
        </w:rPr>
        <w:t xml:space="preserve"> sentido, l</w:t>
      </w:r>
      <w:r w:rsidRPr="00AD791A">
        <w:rPr>
          <w:rFonts w:ascii="Cambria" w:hAnsi="Cambria"/>
          <w:sz w:val="20"/>
          <w:szCs w:val="20"/>
          <w:lang w:val="es-ES"/>
        </w:rPr>
        <w:t>a CIDH recuerda que la obligación de investigar y sancionar todo hecho que implique violación de los derechos protegidos por la Convención requiere que se identifique no sólo a los autores materiales de los hechos violatorios de derechos humanos, sino también a los autores intelectuales de tales violaciones</w:t>
      </w:r>
      <w:r w:rsidRPr="00AD791A">
        <w:rPr>
          <w:rFonts w:ascii="Cambria" w:hAnsi="Cambria"/>
          <w:sz w:val="20"/>
          <w:szCs w:val="20"/>
          <w:vertAlign w:val="superscript"/>
          <w:lang w:val="es-ES"/>
        </w:rPr>
        <w:footnoteReference w:id="181"/>
      </w:r>
      <w:r w:rsidRPr="00AD791A">
        <w:rPr>
          <w:rFonts w:ascii="Cambria" w:hAnsi="Cambria"/>
          <w:sz w:val="20"/>
          <w:szCs w:val="20"/>
          <w:lang w:val="es-ES"/>
        </w:rPr>
        <w:t xml:space="preserve">. </w:t>
      </w:r>
      <w:r w:rsidRPr="00AD791A">
        <w:rPr>
          <w:rFonts w:ascii="Cambria" w:hAnsi="Cambria" w:cs="Calibri"/>
          <w:sz w:val="20"/>
          <w:szCs w:val="20"/>
          <w:lang w:val="es-MX"/>
        </w:rPr>
        <w:t>En esta línea, las autoridades deben adoptar también, las medidas razonables que permitan asegurar el material probatorio necesario para llevar a cabo la investigación</w:t>
      </w:r>
      <w:r w:rsidRPr="00AD791A">
        <w:rPr>
          <w:rStyle w:val="FootnoteReference"/>
          <w:rFonts w:ascii="Cambria" w:hAnsi="Cambria" w:cs="Calibri"/>
          <w:sz w:val="20"/>
          <w:szCs w:val="20"/>
          <w:lang w:val="es-MX"/>
        </w:rPr>
        <w:footnoteReference w:id="182"/>
      </w:r>
      <w:r w:rsidRPr="00AD791A">
        <w:rPr>
          <w:rFonts w:ascii="Cambria" w:hAnsi="Cambria" w:cs="Calibri"/>
          <w:sz w:val="20"/>
          <w:szCs w:val="20"/>
          <w:lang w:val="es-MX"/>
        </w:rPr>
        <w:t>.</w:t>
      </w:r>
    </w:p>
    <w:p w:rsidR="009D7F32" w:rsidRPr="00AD791A" w:rsidRDefault="009D7F32" w:rsidP="009D7F32">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La Comisión analizará si el Estado cumplió con su deber de investigar con la debida diligencia, en el siguiente orden: i) La falta de investigación del móvil del asesinato; y ii) La falta de investigación del tercer autor material.</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1"/>
          <w:numId w:val="9"/>
        </w:numPr>
        <w:jc w:val="both"/>
        <w:rPr>
          <w:rFonts w:ascii="Cambria" w:hAnsi="Cambria"/>
          <w:b/>
          <w:sz w:val="20"/>
          <w:szCs w:val="20"/>
          <w:lang w:val="es-MX"/>
        </w:rPr>
      </w:pPr>
      <w:r w:rsidRPr="00AD791A">
        <w:rPr>
          <w:rFonts w:ascii="Cambria" w:hAnsi="Cambria"/>
          <w:b/>
          <w:sz w:val="20"/>
          <w:szCs w:val="20"/>
          <w:lang w:val="es-MX"/>
        </w:rPr>
        <w:tab/>
        <w:t>La falta de investigación del móvil del asesinato</w:t>
      </w:r>
    </w:p>
    <w:p w:rsidR="009D7F32" w:rsidRPr="00AD791A" w:rsidRDefault="009D7F32" w:rsidP="009D7F32">
      <w:pPr>
        <w:pStyle w:val="ListParagraph1"/>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 xml:space="preserve">La Corte Interamericana </w:t>
      </w:r>
      <w:r w:rsidRPr="00AD791A">
        <w:rPr>
          <w:rFonts w:ascii="Cambria" w:hAnsi="Cambria"/>
          <w:sz w:val="20"/>
          <w:szCs w:val="20"/>
          <w:lang w:val="es-MX"/>
        </w:rPr>
        <w:t xml:space="preserve">ha manifestado que </w:t>
      </w:r>
      <w:r w:rsidRPr="00AD791A">
        <w:rPr>
          <w:rFonts w:ascii="Cambria" w:hAnsi="Cambria"/>
          <w:sz w:val="20"/>
          <w:szCs w:val="20"/>
          <w:lang w:val="es-ES"/>
        </w:rPr>
        <w:t xml:space="preserve">no corresponde a los órganos del Sistema Interamericano “analizar las </w:t>
      </w:r>
      <w:r w:rsidRPr="00AD791A">
        <w:rPr>
          <w:rFonts w:ascii="Cambria" w:hAnsi="Cambria"/>
          <w:sz w:val="20"/>
          <w:szCs w:val="20"/>
          <w:lang w:val="es-MX"/>
        </w:rPr>
        <w:t>hipótesis</w:t>
      </w:r>
      <w:r w:rsidRPr="00AD791A">
        <w:rPr>
          <w:rFonts w:ascii="Cambria" w:hAnsi="Cambria"/>
          <w:sz w:val="20"/>
          <w:szCs w:val="20"/>
          <w:lang w:val="es-ES"/>
        </w:rPr>
        <w:t xml:space="preserve"> de autoría manejadas durante la investigación de los hechos del </w:t>
      </w:r>
      <w:r w:rsidRPr="00AD791A">
        <w:rPr>
          <w:rFonts w:ascii="Cambria" w:hAnsi="Cambria"/>
          <w:sz w:val="20"/>
          <w:szCs w:val="20"/>
          <w:lang w:val="es-BO"/>
        </w:rPr>
        <w:t>[…]</w:t>
      </w:r>
      <w:r w:rsidRPr="00AD791A">
        <w:rPr>
          <w:rFonts w:ascii="Cambria" w:hAnsi="Cambria"/>
          <w:sz w:val="20"/>
          <w:szCs w:val="20"/>
          <w:lang w:val="es-ES"/>
        </w:rPr>
        <w:t xml:space="preserve"> caso y, en consecuencia, determinar responsabilidades individuales, cuya definición compete a los tribunales penales internos, sino evaluar las acciones u omisiones de agentes estatales, según la prueba presentada por las partes</w:t>
      </w:r>
      <w:r w:rsidRPr="00AD791A">
        <w:rPr>
          <w:rStyle w:val="FootnoteReference"/>
          <w:rFonts w:ascii="Cambria" w:hAnsi="Cambria"/>
          <w:sz w:val="20"/>
          <w:szCs w:val="20"/>
          <w:lang w:val="es-UY"/>
        </w:rPr>
        <w:footnoteReference w:id="183"/>
      </w:r>
      <w:r w:rsidRPr="00AD791A">
        <w:rPr>
          <w:rFonts w:ascii="Cambria" w:hAnsi="Cambria"/>
          <w:sz w:val="20"/>
          <w:szCs w:val="20"/>
          <w:lang w:val="es-ES"/>
        </w:rPr>
        <w:t xml:space="preserve">. </w:t>
      </w:r>
      <w:r w:rsidRPr="00AD791A">
        <w:rPr>
          <w:rFonts w:ascii="Cambria" w:hAnsi="Cambria"/>
          <w:sz w:val="20"/>
          <w:szCs w:val="20"/>
          <w:lang w:val="es-MX"/>
        </w:rPr>
        <w:t xml:space="preserve">Sin embargo, en los casos cuyos hechos se refieren a la muerte violenta de una persona o a su desaparición la Comisión y la Corte han indicado que la investigación iniciada debe ser conducida de tal forma que pudiese </w:t>
      </w:r>
      <w:r w:rsidRPr="00AD791A">
        <w:rPr>
          <w:rFonts w:ascii="Cambria" w:hAnsi="Cambria"/>
          <w:sz w:val="20"/>
          <w:szCs w:val="20"/>
          <w:lang w:val="es-ES"/>
        </w:rPr>
        <w:t>garantizar el debido análisis de las hipótesis de autoría surgidas a raíz de la misma</w:t>
      </w:r>
      <w:r w:rsidRPr="00AD791A">
        <w:rPr>
          <w:rStyle w:val="FootnoteReference"/>
          <w:rFonts w:ascii="Cambria" w:hAnsi="Cambria"/>
          <w:sz w:val="20"/>
          <w:szCs w:val="20"/>
          <w:lang w:val="es-ES"/>
        </w:rPr>
        <w:footnoteReference w:id="184"/>
      </w:r>
      <w:r w:rsidRPr="00AD791A">
        <w:rPr>
          <w:rFonts w:ascii="Cambria" w:hAnsi="Cambria"/>
          <w:sz w:val="20"/>
          <w:szCs w:val="20"/>
          <w:lang w:val="es-ES"/>
        </w:rPr>
        <w:t xml:space="preserve"> y, a</w:t>
      </w:r>
      <w:r w:rsidRPr="00AD791A">
        <w:rPr>
          <w:rFonts w:ascii="Cambria" w:hAnsi="Cambria"/>
          <w:sz w:val="20"/>
          <w:szCs w:val="20"/>
          <w:lang w:val="es-MX"/>
        </w:rPr>
        <w:t xml:space="preserve"> efectos de demostrar que una investigación ha sido desarrollad</w:t>
      </w:r>
      <w:r w:rsidR="009C03B0" w:rsidRPr="00AD791A">
        <w:rPr>
          <w:rFonts w:ascii="Cambria" w:hAnsi="Cambria"/>
          <w:sz w:val="20"/>
          <w:szCs w:val="20"/>
          <w:lang w:val="es-MX"/>
        </w:rPr>
        <w:t>a</w:t>
      </w:r>
      <w:r w:rsidRPr="00AD791A">
        <w:rPr>
          <w:rFonts w:ascii="Cambria" w:hAnsi="Cambria"/>
          <w:sz w:val="20"/>
          <w:szCs w:val="20"/>
          <w:lang w:val="es-MX"/>
        </w:rPr>
        <w:t xml:space="preserve"> de manera diligente, el Estado tiene que </w:t>
      </w:r>
      <w:r w:rsidRPr="00AD791A">
        <w:rPr>
          <w:rFonts w:ascii="Cambria" w:hAnsi="Cambria"/>
          <w:spacing w:val="-2"/>
          <w:sz w:val="20"/>
          <w:szCs w:val="20"/>
          <w:lang w:val="es-MX"/>
        </w:rPr>
        <w:t xml:space="preserve">demostrar que ha realizado una </w:t>
      </w:r>
      <w:r w:rsidRPr="00AD791A">
        <w:rPr>
          <w:rFonts w:ascii="Cambria" w:hAnsi="Cambria"/>
          <w:sz w:val="20"/>
          <w:szCs w:val="20"/>
          <w:lang w:val="es-PE"/>
        </w:rPr>
        <w:t>investigación</w:t>
      </w:r>
      <w:r w:rsidRPr="00AD791A">
        <w:rPr>
          <w:rFonts w:ascii="Cambria" w:hAnsi="Cambria"/>
          <w:spacing w:val="-2"/>
          <w:sz w:val="20"/>
          <w:szCs w:val="20"/>
          <w:lang w:val="es-MX"/>
        </w:rPr>
        <w:t xml:space="preserve"> inmediata, exhaustiva, seria e imparcial</w:t>
      </w:r>
      <w:r w:rsidRPr="00AD791A">
        <w:rPr>
          <w:rStyle w:val="FootnoteReference"/>
          <w:rFonts w:ascii="Cambria" w:hAnsi="Cambria"/>
          <w:sz w:val="20"/>
          <w:szCs w:val="20"/>
          <w:lang w:val="es-ES"/>
        </w:rPr>
        <w:footnoteReference w:id="185"/>
      </w:r>
      <w:r w:rsidRPr="00AD791A">
        <w:rPr>
          <w:rFonts w:ascii="Cambria" w:hAnsi="Cambria"/>
          <w:spacing w:val="-2"/>
          <w:sz w:val="20"/>
          <w:szCs w:val="20"/>
          <w:lang w:val="es-MX"/>
        </w:rPr>
        <w:t xml:space="preserve"> en la cual haya </w:t>
      </w:r>
      <w:r w:rsidRPr="00AD791A">
        <w:rPr>
          <w:rFonts w:ascii="Cambria" w:hAnsi="Cambria"/>
          <w:sz w:val="20"/>
          <w:szCs w:val="20"/>
          <w:lang w:val="es-MX"/>
        </w:rPr>
        <w:t>explorado todas las líneas investigativas posibles que permitan la identificación de los autores del delito, para su posterior juzgamiento y sanción</w:t>
      </w:r>
      <w:r w:rsidRPr="00AD791A">
        <w:rPr>
          <w:rStyle w:val="FootnoteReference"/>
          <w:rFonts w:ascii="Cambria" w:hAnsi="Cambria" w:cs="Arial"/>
          <w:sz w:val="20"/>
          <w:szCs w:val="20"/>
          <w:lang w:val="es-ES"/>
        </w:rPr>
        <w:footnoteReference w:id="186"/>
      </w:r>
      <w:r w:rsidRPr="00AD791A">
        <w:rPr>
          <w:rFonts w:ascii="Cambria" w:hAnsi="Cambria"/>
          <w:sz w:val="20"/>
          <w:szCs w:val="20"/>
          <w:lang w:val="es-MX"/>
        </w:rPr>
        <w:t xml:space="preserve">. </w:t>
      </w:r>
      <w:r w:rsidRPr="00AD791A">
        <w:rPr>
          <w:rFonts w:ascii="Cambria" w:hAnsi="Cambria" w:cs="Calibri"/>
          <w:sz w:val="20"/>
          <w:szCs w:val="20"/>
          <w:lang w:val="es-MX"/>
        </w:rPr>
        <w:t xml:space="preserve">Adicionalmente, como parte de la debida diligencia requerida en investigaciones sobre violaciones a los derechos de un defensor o defensora de derechos humanos, </w:t>
      </w:r>
      <w:r w:rsidRPr="00AD791A">
        <w:rPr>
          <w:rFonts w:ascii="Cambria" w:hAnsi="Cambria"/>
          <w:sz w:val="20"/>
          <w:szCs w:val="20"/>
          <w:lang w:val="es-ES"/>
        </w:rPr>
        <w:t>la autoridad investigadora debe tomar en cuenta la actividad del defensor agredido para identificar los intereses que podrían haber sido afectados en el ejercicio de la misma y así poder establecer líneas de investigación e hipótesis del delito</w:t>
      </w:r>
      <w:r w:rsidRPr="00AD791A">
        <w:rPr>
          <w:rStyle w:val="FootnoteReference"/>
          <w:rFonts w:ascii="Cambria" w:hAnsi="Cambria"/>
          <w:sz w:val="20"/>
          <w:szCs w:val="20"/>
          <w:lang w:val="es-ES"/>
        </w:rPr>
        <w:footnoteReference w:id="187"/>
      </w:r>
      <w:r w:rsidRPr="00AD791A">
        <w:rPr>
          <w:rFonts w:ascii="Cambria" w:hAnsi="Cambria"/>
          <w:sz w:val="20"/>
          <w:szCs w:val="20"/>
          <w:lang w:val="es-ES"/>
        </w:rPr>
        <w:t xml:space="preserve">. </w:t>
      </w:r>
    </w:p>
    <w:p w:rsidR="009D7F32" w:rsidRPr="00AD791A" w:rsidRDefault="009D7F32" w:rsidP="009D7F32">
      <w:pPr>
        <w:pStyle w:val="ListParagraph1"/>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 xml:space="preserve">En el presente caso, la Comisión observa que tanto del contexto, de los antecedentes de las labores de la señora Acosta y de la propia información obrante en el expediente judicial interno, resulta claramente la hipótesis de que el asesinato del señor García Valle pudo deberse a la intensa actividad que realizaba la señora Maria Luisa Acosta en defensa de los derechos de los pueblos indígenas. </w:t>
      </w:r>
    </w:p>
    <w:p w:rsidR="009D7F32" w:rsidRPr="00AD791A" w:rsidRDefault="009D7F32" w:rsidP="009D7F32">
      <w:pPr>
        <w:pStyle w:val="ListParagraph1"/>
        <w:rPr>
          <w:rFonts w:ascii="Cambria" w:hAnsi="Cambria"/>
          <w:sz w:val="20"/>
          <w:szCs w:val="20"/>
          <w:lang w:val="es-ES_tradnl"/>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_tradnl"/>
        </w:rPr>
        <w:t xml:space="preserve">Así, </w:t>
      </w:r>
      <w:r w:rsidRPr="00AD791A">
        <w:rPr>
          <w:rFonts w:ascii="Cambria" w:hAnsi="Cambria"/>
          <w:sz w:val="20"/>
          <w:szCs w:val="20"/>
          <w:lang w:val="es-MX"/>
        </w:rPr>
        <w:t xml:space="preserve">la Comisión toma nota de que la representación legal que asumió María Luisa Acosta a favor de los pueblos indígenas de la Cuenca de Laguna de Perlas en distintos litigios administrativos y judiciales contra Peter Tsokos y su socio Peter Martínez, afectaban claramente sus intereses. La CIDH advierte que </w:t>
      </w:r>
      <w:r w:rsidR="00D17973" w:rsidRPr="00AD791A">
        <w:rPr>
          <w:rFonts w:ascii="Cambria" w:hAnsi="Cambria"/>
          <w:sz w:val="20"/>
          <w:szCs w:val="20"/>
          <w:lang w:val="es-MX"/>
        </w:rPr>
        <w:t xml:space="preserve">la </w:t>
      </w:r>
      <w:r w:rsidRPr="00AD791A">
        <w:rPr>
          <w:rFonts w:ascii="Cambria" w:hAnsi="Cambria"/>
          <w:sz w:val="20"/>
          <w:szCs w:val="20"/>
          <w:lang w:val="es-MX"/>
        </w:rPr>
        <w:t>labor de María Luisa Acosta dio como resultado que Peter Tsokos fuera prevenido varias veces de ser sancionado por las vías civil y penal en caso de que siguiera “perturbando” las propiedades comunales, y que fuera multado por realizar cortes y quemas en la Reserva Natural del Cerro Silva</w:t>
      </w:r>
      <w:r w:rsidR="006C517D" w:rsidRPr="00AD791A">
        <w:rPr>
          <w:rStyle w:val="FootnoteReference"/>
          <w:rFonts w:ascii="Cambria" w:hAnsi="Cambria"/>
          <w:sz w:val="20"/>
          <w:szCs w:val="20"/>
          <w:lang w:val="es-MX"/>
        </w:rPr>
        <w:footnoteReference w:id="188"/>
      </w:r>
      <w:r w:rsidRPr="00AD791A">
        <w:rPr>
          <w:rFonts w:ascii="Cambria" w:hAnsi="Cambria"/>
          <w:sz w:val="20"/>
          <w:szCs w:val="20"/>
          <w:lang w:val="es-MX"/>
        </w:rPr>
        <w:t xml:space="preserve">. </w:t>
      </w:r>
      <w:r w:rsidR="006C517D" w:rsidRPr="00AD791A">
        <w:rPr>
          <w:rFonts w:ascii="Cambria" w:hAnsi="Cambria"/>
          <w:sz w:val="20"/>
          <w:szCs w:val="20"/>
          <w:lang w:val="es-MX"/>
        </w:rPr>
        <w:t xml:space="preserve">La labor de la señora Acosta </w:t>
      </w:r>
      <w:r w:rsidRPr="00AD791A">
        <w:rPr>
          <w:rFonts w:ascii="Cambria" w:hAnsi="Cambria"/>
          <w:sz w:val="20"/>
          <w:szCs w:val="20"/>
          <w:lang w:val="es-MX"/>
        </w:rPr>
        <w:t>ocasionó</w:t>
      </w:r>
      <w:r w:rsidR="006C517D" w:rsidRPr="00AD791A">
        <w:rPr>
          <w:rFonts w:ascii="Cambria" w:hAnsi="Cambria"/>
          <w:sz w:val="20"/>
          <w:szCs w:val="20"/>
          <w:lang w:val="es-MX"/>
        </w:rPr>
        <w:t xml:space="preserve"> también</w:t>
      </w:r>
      <w:r w:rsidRPr="00AD791A">
        <w:rPr>
          <w:rFonts w:ascii="Cambria" w:hAnsi="Cambria"/>
          <w:sz w:val="20"/>
          <w:szCs w:val="20"/>
          <w:lang w:val="es-MX"/>
        </w:rPr>
        <w:t xml:space="preserve"> que se hiciera de conocimiento público la actuación de policías como vigilantes privados al servicio del señor Tsokos en  tierras comunales</w:t>
      </w:r>
      <w:r w:rsidR="00D17973" w:rsidRPr="00AD791A">
        <w:rPr>
          <w:rStyle w:val="FootnoteReference"/>
          <w:rFonts w:ascii="Cambria" w:hAnsi="Cambria"/>
          <w:sz w:val="20"/>
          <w:szCs w:val="20"/>
          <w:lang w:val="es-MX"/>
        </w:rPr>
        <w:footnoteReference w:id="189"/>
      </w:r>
      <w:r w:rsidRPr="00AD791A">
        <w:rPr>
          <w:rFonts w:ascii="Cambria" w:hAnsi="Cambria"/>
          <w:sz w:val="20"/>
          <w:szCs w:val="20"/>
          <w:lang w:val="es-MX"/>
        </w:rPr>
        <w:t xml:space="preserve">. Asimismo, </w:t>
      </w:r>
      <w:r w:rsidR="006C517D" w:rsidRPr="00AD791A">
        <w:rPr>
          <w:rFonts w:ascii="Cambria" w:hAnsi="Cambria"/>
          <w:sz w:val="20"/>
          <w:szCs w:val="20"/>
          <w:lang w:val="es-MX"/>
        </w:rPr>
        <w:t>el 16 de marzo de 2002, menos de un</w:t>
      </w:r>
      <w:r w:rsidRPr="00AD791A">
        <w:rPr>
          <w:rFonts w:ascii="Cambria" w:hAnsi="Cambria"/>
          <w:sz w:val="20"/>
          <w:szCs w:val="20"/>
          <w:lang w:val="es-MX"/>
        </w:rPr>
        <w:t xml:space="preserve"> mes antes del asesinato de su esposo, la señora Acosta había asumido la re</w:t>
      </w:r>
      <w:r w:rsidR="006C517D" w:rsidRPr="00AD791A">
        <w:rPr>
          <w:rFonts w:ascii="Cambria" w:hAnsi="Cambria"/>
          <w:sz w:val="20"/>
          <w:szCs w:val="20"/>
          <w:lang w:val="es-MX"/>
        </w:rPr>
        <w:t xml:space="preserve">presentación legal a favor de </w:t>
      </w:r>
      <w:r w:rsidRPr="00AD791A">
        <w:rPr>
          <w:rFonts w:ascii="Cambria" w:hAnsi="Cambria"/>
          <w:sz w:val="20"/>
          <w:szCs w:val="20"/>
          <w:lang w:val="es-MX"/>
        </w:rPr>
        <w:t xml:space="preserve">diversas comunidades en casos relacionados con  un amparo y una demanda de restitución de 80 manzanas del territorio indígena Rama, en poder del señor Peter Tsokos. </w:t>
      </w:r>
    </w:p>
    <w:p w:rsidR="009D7F32" w:rsidRPr="00AD791A" w:rsidRDefault="009D7F32" w:rsidP="009D7F32">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La Comisión advierte que a pesar de que desde el inicio surgió la posibilidad de la autoría intelectual de estas personas, la investigación de dicha posibilidad no fue asumida de manera seria y diligente. Así, l</w:t>
      </w:r>
      <w:r w:rsidRPr="00AD791A">
        <w:rPr>
          <w:rFonts w:ascii="Cambria" w:hAnsi="Cambria"/>
          <w:sz w:val="20"/>
          <w:szCs w:val="20"/>
          <w:lang w:val="es-MX"/>
        </w:rPr>
        <w:t xml:space="preserve">a Comisión observa que </w:t>
      </w:r>
      <w:r w:rsidRPr="00AD791A">
        <w:rPr>
          <w:rFonts w:ascii="Cambria" w:hAnsi="Cambria"/>
          <w:sz w:val="20"/>
          <w:szCs w:val="20"/>
          <w:lang w:val="es-ES_tradnl"/>
        </w:rPr>
        <w:t>l</w:t>
      </w:r>
      <w:r w:rsidRPr="00AD791A">
        <w:rPr>
          <w:rFonts w:ascii="Cambria" w:hAnsi="Cambria" w:cs="Arial Narrow"/>
          <w:spacing w:val="-2"/>
          <w:sz w:val="20"/>
          <w:szCs w:val="20"/>
          <w:lang w:val="es-MX"/>
        </w:rPr>
        <w:t>a actuación de la Policía Nacional fue menos rigurosa en la inspección de un inmueble de Peter Tsokos, que en la del inmueble del señor García Valle. En este sentido, en el Acta y Resultado de Registro de la casa de Peter Tsokos, a diferencia del registro realizado en la Funeraria La Paz, no se especificó el tipo de diligencias realizadas para determinar que el resultado no era de interés policial, ni tampoco fue establecido el objetivo del referido registro</w:t>
      </w:r>
      <w:r w:rsidRPr="00AD791A">
        <w:rPr>
          <w:rStyle w:val="FootnoteReference"/>
          <w:rFonts w:ascii="Cambria" w:hAnsi="Cambria" w:cs="Arial Narrow"/>
          <w:spacing w:val="-2"/>
          <w:sz w:val="20"/>
          <w:szCs w:val="20"/>
          <w:lang w:val="es-MX"/>
        </w:rPr>
        <w:footnoteReference w:id="190"/>
      </w:r>
      <w:r w:rsidRPr="00AD791A">
        <w:rPr>
          <w:rFonts w:ascii="Cambria" w:hAnsi="Cambria" w:cs="Arial Narrow"/>
          <w:spacing w:val="-2"/>
          <w:sz w:val="20"/>
          <w:szCs w:val="20"/>
          <w:lang w:val="es-MX"/>
        </w:rPr>
        <w:t>. Asimismo, la CIDH observa que l</w:t>
      </w:r>
      <w:r w:rsidRPr="00AD791A">
        <w:rPr>
          <w:rFonts w:ascii="Cambria" w:hAnsi="Cambria"/>
          <w:sz w:val="20"/>
          <w:szCs w:val="20"/>
          <w:lang w:val="es-ES"/>
        </w:rPr>
        <w:t xml:space="preserve">as personas que rindieron sus declaraciones no fueron interrogadas con el objeto de indagar sobre la posible responsabilidad intelectual del asesinato del señor García Valle. A título de ejemplo, a pesar de que en su declaración María Luisa Acosta se refirió a sus sospechas de que Peter Tsokos y Peter Martínez eran los autores intelectuales del asesinato de su esposo, las autoridades respectivas no hicieron ninguna pregunta para tratar de obtener mayor información al respecto.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Por otra parte, a pesar </w:t>
      </w:r>
      <w:r w:rsidRPr="00AD791A">
        <w:rPr>
          <w:rFonts w:ascii="Cambria" w:hAnsi="Cambria"/>
          <w:sz w:val="20"/>
          <w:szCs w:val="20"/>
          <w:lang w:val="es-ES_tradnl"/>
        </w:rPr>
        <w:t xml:space="preserve">de que el 18 de abril de 2002 </w:t>
      </w:r>
      <w:r w:rsidRPr="00AD791A">
        <w:rPr>
          <w:rFonts w:ascii="Cambria" w:hAnsi="Cambria" w:cs="Garamond"/>
          <w:sz w:val="20"/>
          <w:szCs w:val="20"/>
          <w:lang w:val="es-ES_tradnl"/>
        </w:rPr>
        <w:t>la Policía Nacional remitió al Juzgado de Distrito el proyectil con el que se privó de la vida al señor García Valle por considerarlo “de mucha importancia para continuar investigaciones pertinentes del caso</w:t>
      </w:r>
      <w:r w:rsidRPr="00AD791A">
        <w:rPr>
          <w:rStyle w:val="FootnoteReference"/>
          <w:rFonts w:ascii="Cambria" w:hAnsi="Cambria" w:cs="Garamond"/>
          <w:sz w:val="20"/>
          <w:szCs w:val="20"/>
        </w:rPr>
        <w:footnoteReference w:id="191"/>
      </w:r>
      <w:r w:rsidR="009C03B0" w:rsidRPr="00AD791A">
        <w:rPr>
          <w:rFonts w:ascii="Cambria" w:hAnsi="Cambria" w:cs="Garamond"/>
          <w:sz w:val="20"/>
          <w:szCs w:val="20"/>
          <w:lang w:val="es-MX"/>
        </w:rPr>
        <w:t>”</w:t>
      </w:r>
      <w:r w:rsidRPr="00AD791A">
        <w:rPr>
          <w:rFonts w:ascii="Cambria" w:hAnsi="Cambria" w:cs="Garamond"/>
          <w:sz w:val="20"/>
          <w:szCs w:val="20"/>
          <w:lang w:val="es-ES_tradnl"/>
        </w:rPr>
        <w:t xml:space="preserve">, el juez no ordenó mayores diligencias para indagar sobre el origen del mismo. Como se estableció en la sección de los hechos probados, la </w:t>
      </w:r>
      <w:r w:rsidRPr="00AD791A">
        <w:rPr>
          <w:rFonts w:ascii="Cambria" w:hAnsi="Cambria"/>
          <w:sz w:val="20"/>
          <w:szCs w:val="20"/>
          <w:lang w:val="es-ES"/>
        </w:rPr>
        <w:t>importancia</w:t>
      </w:r>
      <w:r w:rsidRPr="00AD791A">
        <w:rPr>
          <w:rFonts w:ascii="Cambria" w:hAnsi="Cambria" w:cs="Garamond"/>
          <w:sz w:val="20"/>
          <w:szCs w:val="20"/>
          <w:lang w:val="es-ES_tradnl"/>
        </w:rPr>
        <w:t xml:space="preserve"> de este proyectil –que fue dada </w:t>
      </w:r>
      <w:r w:rsidR="00DF5106" w:rsidRPr="00AD791A">
        <w:rPr>
          <w:rFonts w:ascii="Cambria" w:hAnsi="Cambria" w:cs="Garamond"/>
          <w:sz w:val="20"/>
          <w:szCs w:val="20"/>
          <w:lang w:val="es-ES_tradnl"/>
        </w:rPr>
        <w:t xml:space="preserve">a </w:t>
      </w:r>
      <w:r w:rsidRPr="00AD791A">
        <w:rPr>
          <w:rFonts w:ascii="Cambria" w:hAnsi="Cambria" w:cs="Garamond"/>
          <w:sz w:val="20"/>
          <w:szCs w:val="20"/>
          <w:lang w:val="es-ES_tradnl"/>
        </w:rPr>
        <w:t>conocer después del sobreseimiento de Peter Tsokos– consistía en que el arma con el que fue disparado</w:t>
      </w:r>
      <w:r w:rsidR="00410820" w:rsidRPr="00AD791A">
        <w:rPr>
          <w:rFonts w:ascii="Cambria" w:hAnsi="Cambria" w:cs="Garamond"/>
          <w:sz w:val="20"/>
          <w:szCs w:val="20"/>
          <w:lang w:val="es-ES_tradnl"/>
        </w:rPr>
        <w:t xml:space="preserve"> pertenecía </w:t>
      </w:r>
      <w:r w:rsidRPr="00AD791A">
        <w:rPr>
          <w:rFonts w:ascii="Cambria" w:hAnsi="Cambria" w:cs="Garamond"/>
          <w:sz w:val="20"/>
          <w:szCs w:val="20"/>
          <w:lang w:val="es-ES_tradnl"/>
        </w:rPr>
        <w:t xml:space="preserve">al señor Tsokos.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cs="Garamond"/>
          <w:sz w:val="20"/>
          <w:szCs w:val="20"/>
          <w:lang w:val="es-ES_tradnl"/>
        </w:rPr>
        <w:t xml:space="preserve">Otro elemento relacionado con la falta de diligencia en la línea de investigación sobre la autoría intelectual, tiene que ver con que en </w:t>
      </w:r>
      <w:r w:rsidRPr="00AD791A">
        <w:rPr>
          <w:rFonts w:ascii="Cambria" w:hAnsi="Cambria"/>
          <w:sz w:val="20"/>
          <w:szCs w:val="20"/>
          <w:lang w:val="es-ES"/>
        </w:rPr>
        <w:t>la declaración indagatoria de Charles Presida –persona clave en el proceso, debido a que de acuerdo con María Luisa Acosta fue quien sacó de Bluefields a los tres involucrados en el crimen de su esposo– no fue cuestionado sobre la causa del asesinato del crimen de García Valle, ni sobre la posible participación de los presuntos autores intelectuales en el mismo, o la vinculación de éstos con Iván Argüello, autor material del asesinato. Además, la CIDH observa que e</w:t>
      </w:r>
      <w:r w:rsidRPr="00AD791A">
        <w:rPr>
          <w:rFonts w:ascii="Cambria" w:hAnsi="Cambria"/>
          <w:sz w:val="20"/>
          <w:szCs w:val="20"/>
          <w:lang w:val="es-ES_tradnl"/>
        </w:rPr>
        <w:t xml:space="preserve">l Juez de Distrito del Crimen giró únicamente </w:t>
      </w:r>
      <w:r w:rsidRPr="00AD791A">
        <w:rPr>
          <w:rFonts w:ascii="Cambria" w:hAnsi="Cambria" w:cs="Garamond"/>
          <w:sz w:val="20"/>
          <w:szCs w:val="20"/>
          <w:lang w:val="es-ES_tradnl"/>
        </w:rPr>
        <w:t xml:space="preserve">oficio al gerente de la compañía de teléfonos para que brindara registros de las llamadas ingresadas a los teléfonos de la señora Acosta y de su esposo; sin embargo, las autoridades respectivas no intentaron obtener información sobre el posible contacto telefónico que hubiese podido existir entre Peter Tsokos y Peter Martínez con Iván Argüello. </w:t>
      </w:r>
    </w:p>
    <w:p w:rsidR="009D7F32" w:rsidRPr="00AD791A" w:rsidRDefault="009D7F32" w:rsidP="009D7F32">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 xml:space="preserve">Tras estas omisiones en la práctica de prueba esencial sobre la posible autoría intelectual a pesar de todos los indicios que surgieron de los antecedentes sobre las labores de Maria Luisa Acosta y de sus propias declaraciones, las autoridades judiciales dictaron un sobreseimiento a los pocos días de la indagatoria rendida por Peter Tsokos y Meter Martínez, sin justificación con base en la realización de diligencias y sus resultados objetivos. Este sobreseimiento tampoco encontró justificación en los supuestos regulados por la normativa interna. Así, el artículo 186 del Código de Instrucción Criminal de Nicaragua establece que las causales de sobreseimiento definitivo consisten en las siguientes: a) que no haya existido el delito que se persigue </w:t>
      </w:r>
      <w:r w:rsidRPr="00AD791A">
        <w:rPr>
          <w:rFonts w:ascii="Cambria" w:hAnsi="Cambria" w:cs="Garamond"/>
          <w:spacing w:val="2"/>
          <w:sz w:val="20"/>
          <w:szCs w:val="20"/>
          <w:lang w:val="es-ES_tradnl"/>
        </w:rPr>
        <w:t xml:space="preserve">o que el hecho </w:t>
      </w:r>
      <w:r w:rsidRPr="00AD791A">
        <w:rPr>
          <w:rFonts w:ascii="Cambria" w:hAnsi="Cambria" w:cs="Arial Narrow"/>
          <w:spacing w:val="-2"/>
          <w:sz w:val="20"/>
          <w:szCs w:val="20"/>
          <w:lang w:val="es-ES_tradnl"/>
        </w:rPr>
        <w:t xml:space="preserve">que se </w:t>
      </w:r>
      <w:r w:rsidRPr="00AD791A">
        <w:rPr>
          <w:rFonts w:ascii="Cambria" w:hAnsi="Cambria" w:cs="Garamond"/>
          <w:spacing w:val="2"/>
          <w:sz w:val="20"/>
          <w:szCs w:val="20"/>
          <w:lang w:val="es-ES_tradnl"/>
        </w:rPr>
        <w:t xml:space="preserve">averigua no sea legalmente punible, y b) que se hayan desvanecido en la etapa instructiva, los indicios o </w:t>
      </w:r>
      <w:r w:rsidRPr="00AD791A">
        <w:rPr>
          <w:rFonts w:ascii="Cambria" w:hAnsi="Cambria" w:cs="Arial Narrow"/>
          <w:spacing w:val="-2"/>
          <w:sz w:val="20"/>
          <w:szCs w:val="20"/>
          <w:lang w:val="es-ES_tradnl"/>
        </w:rPr>
        <w:t xml:space="preserve">sospechas </w:t>
      </w:r>
      <w:r w:rsidRPr="00AD791A">
        <w:rPr>
          <w:rFonts w:ascii="Cambria" w:hAnsi="Cambria" w:cs="Garamond"/>
          <w:spacing w:val="2"/>
          <w:sz w:val="20"/>
          <w:szCs w:val="20"/>
          <w:lang w:val="es-ES_tradnl"/>
        </w:rPr>
        <w:t xml:space="preserve">contra </w:t>
      </w:r>
      <w:r w:rsidRPr="00AD791A">
        <w:rPr>
          <w:rFonts w:ascii="Cambria" w:hAnsi="Cambria" w:cs="Arial Narrow"/>
          <w:spacing w:val="-2"/>
          <w:sz w:val="20"/>
          <w:szCs w:val="20"/>
          <w:lang w:val="es-ES_tradnl"/>
        </w:rPr>
        <w:t xml:space="preserve">persona </w:t>
      </w:r>
      <w:r w:rsidRPr="00AD791A">
        <w:rPr>
          <w:rFonts w:ascii="Cambria" w:hAnsi="Cambria" w:cs="Garamond"/>
          <w:spacing w:val="2"/>
          <w:sz w:val="20"/>
          <w:szCs w:val="20"/>
          <w:lang w:val="es-ES_tradnl"/>
        </w:rPr>
        <w:t xml:space="preserve">determinada, de </w:t>
      </w:r>
      <w:r w:rsidRPr="00AD791A">
        <w:rPr>
          <w:rFonts w:ascii="Cambria" w:hAnsi="Cambria" w:cs="Arial Narrow"/>
          <w:spacing w:val="-2"/>
          <w:sz w:val="20"/>
          <w:szCs w:val="20"/>
          <w:lang w:val="es-ES_tradnl"/>
        </w:rPr>
        <w:t>manera que resulta probada y evidente la inocencia del inculpado.</w:t>
      </w:r>
      <w:r w:rsidRPr="00AD791A">
        <w:rPr>
          <w:rFonts w:ascii="Cambria" w:hAnsi="Cambria"/>
          <w:sz w:val="20"/>
          <w:szCs w:val="20"/>
          <w:lang w:val="es-ES"/>
        </w:rPr>
        <w:t xml:space="preserve">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La Comisión no deja de notar que se mantuvo el sobreseimiento a pesar de que la Fiscal Auxiliar de la RAAS y la Fiscal Auxiliar de Managua, mediante escritos de 24 de diciembre de 2002</w:t>
      </w:r>
      <w:r w:rsidRPr="00AD791A">
        <w:rPr>
          <w:rStyle w:val="FootnoteReference"/>
          <w:rFonts w:ascii="Cambria" w:hAnsi="Cambria"/>
          <w:sz w:val="20"/>
          <w:szCs w:val="20"/>
          <w:lang w:val="es-ES"/>
        </w:rPr>
        <w:footnoteReference w:id="192"/>
      </w:r>
      <w:r w:rsidRPr="00AD791A">
        <w:rPr>
          <w:rFonts w:ascii="Cambria" w:hAnsi="Cambria"/>
          <w:sz w:val="20"/>
          <w:szCs w:val="20"/>
          <w:lang w:val="es-ES"/>
        </w:rPr>
        <w:t xml:space="preserve"> y de 24 de agosto de 2006</w:t>
      </w:r>
      <w:r w:rsidRPr="00AD791A">
        <w:rPr>
          <w:rStyle w:val="FootnoteReference"/>
          <w:rFonts w:ascii="Cambria" w:hAnsi="Cambria" w:cs="Arial"/>
          <w:sz w:val="20"/>
          <w:szCs w:val="20"/>
          <w:lang w:val="es-MX"/>
        </w:rPr>
        <w:footnoteReference w:id="193"/>
      </w:r>
      <w:r w:rsidRPr="00AD791A">
        <w:rPr>
          <w:rFonts w:ascii="Cambria" w:hAnsi="Cambria"/>
          <w:sz w:val="20"/>
          <w:szCs w:val="20"/>
          <w:lang w:val="es-ES"/>
        </w:rPr>
        <w:t xml:space="preserve">, le solicitaron al Juzgado de Distrito del Crimen y a la Corte Suprema de Justicia, respectivamente, declarar la nulidad del referido sobreseimiento debido a la tramitación anómala del proceso y a la “investigación no agotada”.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ES"/>
        </w:rPr>
      </w:pPr>
      <w:r w:rsidRPr="00AD791A">
        <w:rPr>
          <w:rFonts w:ascii="Cambria" w:hAnsi="Cambria"/>
          <w:sz w:val="20"/>
          <w:szCs w:val="20"/>
          <w:lang w:val="es-ES"/>
        </w:rPr>
        <w:t xml:space="preserve">Por la manera inexplicable y apresurada en que se dictó este sobreseimiento, con las omisiones mencionadas, en desconocimiento de las propias causales del ordenamiento interno y tan sólo días después de la vinculación de estas personas como indagadas, la Comisión considera que, además de un claro incumplimiento del deber de debida diligencia, podría tratarse de un supuesto de encubrimiento deliberado. </w:t>
      </w:r>
    </w:p>
    <w:p w:rsidR="009D7F32" w:rsidRPr="00AD791A" w:rsidRDefault="009D7F32" w:rsidP="009D7F32">
      <w:pPr>
        <w:jc w:val="both"/>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A este indicio de encubrimiento se suma el hecho de que a la señora Acosta en su calidad de acusada, se le haya dificultado rendir su declaración indagatoria en el lugar al que tuvo que huir por razones de seguridad y presentar pruebas durante la fase instructiva del proceso por no haber sido reconocida oportunamente como parte legal</w:t>
      </w:r>
      <w:r w:rsidR="00A27019" w:rsidRPr="00AD791A">
        <w:rPr>
          <w:rFonts w:ascii="Cambria" w:hAnsi="Cambria"/>
          <w:sz w:val="20"/>
          <w:szCs w:val="20"/>
          <w:lang w:val="es-ES"/>
        </w:rPr>
        <w:t xml:space="preserve">. Dichas dificultades representaron </w:t>
      </w:r>
      <w:r w:rsidRPr="00AD791A">
        <w:rPr>
          <w:rFonts w:ascii="Cambria" w:hAnsi="Cambria"/>
          <w:sz w:val="20"/>
          <w:szCs w:val="20"/>
          <w:lang w:val="es-ES"/>
        </w:rPr>
        <w:t xml:space="preserve">una obstrucción por parte de las autoridades para que ésta pudiera aportar información para determinar la posible participación de los señores Tsokos y Martínez en el asesinato del señor García Valle. Lo anterior cobra relevancia al considerar que </w:t>
      </w:r>
      <w:r w:rsidR="00A27019" w:rsidRPr="00AD791A">
        <w:rPr>
          <w:rFonts w:ascii="Cambria" w:hAnsi="Cambria"/>
          <w:sz w:val="20"/>
          <w:szCs w:val="20"/>
          <w:lang w:val="es-ES"/>
        </w:rPr>
        <w:t xml:space="preserve">fue </w:t>
      </w:r>
      <w:r w:rsidRPr="00AD791A">
        <w:rPr>
          <w:rFonts w:ascii="Cambria" w:hAnsi="Cambria"/>
          <w:sz w:val="20"/>
          <w:szCs w:val="20"/>
          <w:lang w:val="es-ES"/>
        </w:rPr>
        <w:t>la señora Acosta quien en su declaración inicial señaló a los señores Tsokos y Martínez como presuntos autores intelectuales. La Comisión nota además como otro indicio de encubrimiento que fue recién el 13 de mayo de 2002, el mismo día que se dictó el sobreseimiento y cuando ya no podía aporta prueba, que se otorgó formalmente la participación del representante de la señora Acosta en e</w:t>
      </w:r>
      <w:r w:rsidR="00453ED8" w:rsidRPr="00AD791A">
        <w:rPr>
          <w:rFonts w:ascii="Cambria" w:hAnsi="Cambria"/>
          <w:sz w:val="20"/>
          <w:szCs w:val="20"/>
          <w:lang w:val="es-ES"/>
        </w:rPr>
        <w:t>l</w:t>
      </w:r>
      <w:r w:rsidRPr="00AD791A">
        <w:rPr>
          <w:rFonts w:ascii="Cambria" w:hAnsi="Cambria"/>
          <w:sz w:val="20"/>
          <w:szCs w:val="20"/>
          <w:lang w:val="es-ES"/>
        </w:rPr>
        <w:t xml:space="preserve"> proceso.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cs="Arial Narrow"/>
          <w:spacing w:val="-2"/>
          <w:sz w:val="20"/>
          <w:szCs w:val="20"/>
          <w:lang w:val="es-MX"/>
        </w:rPr>
      </w:pPr>
      <w:r w:rsidRPr="00AD791A">
        <w:rPr>
          <w:rFonts w:ascii="Cambria" w:hAnsi="Cambria" w:cs="Arial Narrow"/>
          <w:spacing w:val="-2"/>
          <w:sz w:val="20"/>
          <w:szCs w:val="20"/>
          <w:lang w:val="es-MX"/>
        </w:rPr>
        <w:t xml:space="preserve">La Comisión observa que tras el sobreseimiento, las autoridades internas continuaron omitiendo de manera </w:t>
      </w:r>
      <w:r w:rsidRPr="00AD791A">
        <w:rPr>
          <w:rFonts w:ascii="Cambria" w:hAnsi="Cambria"/>
          <w:sz w:val="20"/>
          <w:szCs w:val="20"/>
          <w:lang w:val="es-ES"/>
        </w:rPr>
        <w:t>deliberada</w:t>
      </w:r>
      <w:r w:rsidRPr="00AD791A">
        <w:rPr>
          <w:rFonts w:ascii="Cambria" w:hAnsi="Cambria" w:cs="Arial Narrow"/>
          <w:spacing w:val="-2"/>
          <w:sz w:val="20"/>
          <w:szCs w:val="20"/>
          <w:lang w:val="es-MX"/>
        </w:rPr>
        <w:t xml:space="preserve"> la realización de una investigación sobre la autoría intelectual de la muerte del señor García Valle, a pesar de que ello resultaba imperativo según la información que siguió surgiendo. </w:t>
      </w:r>
    </w:p>
    <w:p w:rsidR="009D7F32" w:rsidRPr="00AD791A" w:rsidRDefault="009D7F32" w:rsidP="009D7F32">
      <w:pPr>
        <w:jc w:val="both"/>
        <w:rPr>
          <w:rFonts w:ascii="Cambria" w:hAnsi="Cambria" w:cs="Arial Narrow"/>
          <w:spacing w:val="-2"/>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cs="Arial Narrow"/>
          <w:spacing w:val="-2"/>
          <w:sz w:val="20"/>
          <w:szCs w:val="20"/>
          <w:lang w:val="es-MX"/>
        </w:rPr>
        <w:t xml:space="preserve">Así, la Comisión destaca que después del sobreseimiento </w:t>
      </w:r>
      <w:r w:rsidRPr="00AD791A">
        <w:rPr>
          <w:rFonts w:ascii="Cambria" w:hAnsi="Cambria"/>
          <w:sz w:val="20"/>
          <w:szCs w:val="20"/>
          <w:lang w:val="es-ES"/>
        </w:rPr>
        <w:t xml:space="preserve">la Policía Nacional presentó al juez de la causa </w:t>
      </w:r>
      <w:r w:rsidRPr="00AD791A">
        <w:rPr>
          <w:rFonts w:ascii="Cambria" w:hAnsi="Cambria" w:cs="Arial Narrow"/>
          <w:spacing w:val="-2"/>
          <w:sz w:val="20"/>
          <w:szCs w:val="20"/>
          <w:lang w:val="es-MX"/>
        </w:rPr>
        <w:t>constancia</w:t>
      </w:r>
      <w:r w:rsidRPr="00AD791A">
        <w:rPr>
          <w:rFonts w:ascii="Cambria" w:hAnsi="Cambria" w:cs="Arial Narrow"/>
          <w:spacing w:val="-2"/>
          <w:sz w:val="20"/>
          <w:szCs w:val="20"/>
          <w:lang w:val="es-ES_tradnl"/>
        </w:rPr>
        <w:t xml:space="preserve"> laboral que demostraba que Iván Argüello – autor material – era guardia de seguridad de Peter Tsokos, así como el informe pericial balístico que determinaba que Peter Tsokos era el propietario del arma con la que se privó de la vida al señor García Valle. Asimismo, del </w:t>
      </w:r>
      <w:r w:rsidRPr="00AD791A">
        <w:rPr>
          <w:rFonts w:ascii="Cambria" w:hAnsi="Cambria" w:cs="Arial Narrow"/>
          <w:spacing w:val="-2"/>
          <w:sz w:val="20"/>
          <w:szCs w:val="20"/>
          <w:lang w:val="es-MX"/>
        </w:rPr>
        <w:t>expediente</w:t>
      </w:r>
      <w:r w:rsidRPr="00AD791A">
        <w:rPr>
          <w:rFonts w:ascii="Cambria" w:hAnsi="Cambria" w:cs="Arial Narrow"/>
          <w:spacing w:val="-2"/>
          <w:sz w:val="20"/>
          <w:szCs w:val="20"/>
          <w:lang w:val="es-ES_tradnl"/>
        </w:rPr>
        <w:t xml:space="preserve"> se desprende que tanto la Fiscalía como el representante legal de la señora Acosta solicitaron, ante las respectivas autoridades, la consideración de ambas pruebas. De hecho, </w:t>
      </w:r>
      <w:r w:rsidRPr="00AD791A">
        <w:rPr>
          <w:rFonts w:ascii="Cambria" w:hAnsi="Cambria"/>
          <w:sz w:val="20"/>
          <w:szCs w:val="20"/>
          <w:lang w:val="es-ES"/>
        </w:rPr>
        <w:t xml:space="preserve">la CIDH advierte que uno de los argumentos con base en los cuales la Fiscal Auxiliar de Managua solicitó </w:t>
      </w:r>
      <w:r w:rsidRPr="00AD791A">
        <w:rPr>
          <w:rFonts w:ascii="Cambria" w:hAnsi="Cambria" w:cs="Arial Narrow"/>
          <w:spacing w:val="-2"/>
          <w:sz w:val="20"/>
          <w:szCs w:val="20"/>
          <w:lang w:val="es-ES_tradnl"/>
        </w:rPr>
        <w:t xml:space="preserve">a la </w:t>
      </w:r>
      <w:r w:rsidRPr="00AD791A">
        <w:rPr>
          <w:rFonts w:ascii="Cambria" w:hAnsi="Cambria"/>
          <w:sz w:val="20"/>
          <w:szCs w:val="20"/>
          <w:lang w:val="es-MX"/>
        </w:rPr>
        <w:t>Corte Suprema de Justicia que declarara nulo el sobreseimiento definitivo de 13 de mayo de 2002 fue la falta de consideración de los referidos elementos probatorios</w:t>
      </w:r>
      <w:r w:rsidRPr="00AD791A">
        <w:rPr>
          <w:rStyle w:val="FootnoteReference"/>
          <w:rFonts w:ascii="Cambria" w:hAnsi="Cambria" w:cs="Arial"/>
          <w:sz w:val="20"/>
          <w:szCs w:val="20"/>
          <w:lang w:val="es-MX"/>
        </w:rPr>
        <w:footnoteReference w:id="194"/>
      </w:r>
      <w:r w:rsidRPr="00AD791A">
        <w:rPr>
          <w:rFonts w:ascii="Cambria" w:hAnsi="Cambria"/>
          <w:sz w:val="20"/>
          <w:szCs w:val="20"/>
          <w:lang w:val="es-MX"/>
        </w:rPr>
        <w:t xml:space="preserve">.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A pesar de que las </w:t>
      </w:r>
      <w:r w:rsidRPr="00AD791A">
        <w:rPr>
          <w:rFonts w:ascii="Cambria" w:hAnsi="Cambria" w:cs="Arial Narrow"/>
          <w:spacing w:val="-2"/>
          <w:sz w:val="20"/>
          <w:szCs w:val="20"/>
          <w:lang w:val="es-ES_tradnl"/>
        </w:rPr>
        <w:t>nuevas</w:t>
      </w:r>
      <w:r w:rsidRPr="00AD791A">
        <w:rPr>
          <w:rFonts w:ascii="Cambria" w:hAnsi="Cambria"/>
          <w:sz w:val="20"/>
          <w:szCs w:val="20"/>
          <w:lang w:val="es-MX"/>
        </w:rPr>
        <w:t xml:space="preserve"> evidencias ponían de manifiesto aún más la necesidad de explorar y agotar una línea de investigación sobre la autoría intelectual y el móvil del asesinato, </w:t>
      </w:r>
      <w:r w:rsidR="00A27019" w:rsidRPr="00AD791A">
        <w:rPr>
          <w:rFonts w:ascii="Cambria" w:hAnsi="Cambria"/>
          <w:sz w:val="20"/>
          <w:szCs w:val="20"/>
          <w:lang w:val="es-MX"/>
        </w:rPr>
        <w:t>sin explicación</w:t>
      </w:r>
      <w:r w:rsidR="007474BD" w:rsidRPr="00AD791A">
        <w:rPr>
          <w:rFonts w:ascii="Cambria" w:hAnsi="Cambria"/>
          <w:sz w:val="20"/>
          <w:szCs w:val="20"/>
          <w:lang w:val="es-MX"/>
        </w:rPr>
        <w:t xml:space="preserve"> </w:t>
      </w:r>
      <w:r w:rsidRPr="00AD791A">
        <w:rPr>
          <w:rFonts w:ascii="Cambria" w:hAnsi="Cambria"/>
          <w:sz w:val="20"/>
          <w:szCs w:val="20"/>
          <w:lang w:val="es-MX"/>
        </w:rPr>
        <w:t xml:space="preserve">las autoridades internas se negaron a reabrir las investigaciones contra los señores Tsokos y Martinez. </w:t>
      </w:r>
      <w:r w:rsidRPr="00AD791A">
        <w:rPr>
          <w:rFonts w:ascii="Cambria" w:hAnsi="Cambria"/>
          <w:sz w:val="20"/>
          <w:szCs w:val="20"/>
          <w:lang w:val="es-ES"/>
        </w:rPr>
        <w:t>Al contrario, cuando el segundo autor material – Wilberth Ochoa – fue vinculado al proceso, no se le efectuó cuestionamiento alguno sobre la posible causa del asesinato del señor García Valle o sobre la posible relación entre él o Iván Argü</w:t>
      </w:r>
      <w:r w:rsidR="009E0EA7" w:rsidRPr="00AD791A">
        <w:rPr>
          <w:rFonts w:ascii="Cambria" w:hAnsi="Cambria"/>
          <w:sz w:val="20"/>
          <w:szCs w:val="20"/>
          <w:lang w:val="es-ES"/>
        </w:rPr>
        <w:t>ello – como autores materiales –</w:t>
      </w:r>
      <w:r w:rsidRPr="00AD791A">
        <w:rPr>
          <w:rFonts w:ascii="Cambria" w:hAnsi="Cambria"/>
          <w:sz w:val="20"/>
          <w:szCs w:val="20"/>
          <w:lang w:val="es-ES"/>
        </w:rPr>
        <w:t xml:space="preserve"> y los presuntos autores intelectuales. De especial gravedad resulta que a pesar de que Iván Argüello declaró en la prensa que Peter Tsokos lo había mandado a asesinar al señor García Valle, no obra de la evidencia que las autoridades trataran de dar seguimiento a esta declaración e indagar al respecto.</w:t>
      </w:r>
      <w:r w:rsidRPr="00AD791A">
        <w:rPr>
          <w:rFonts w:ascii="Cambria" w:hAnsi="Cambria"/>
          <w:sz w:val="20"/>
          <w:szCs w:val="20"/>
          <w:lang w:val="es-MX"/>
        </w:rPr>
        <w:t xml:space="preserve"> </w:t>
      </w:r>
    </w:p>
    <w:p w:rsidR="009D7F32" w:rsidRPr="00AD791A" w:rsidRDefault="009D7F32" w:rsidP="009D7F32">
      <w:pPr>
        <w:jc w:val="both"/>
        <w:rPr>
          <w:rFonts w:ascii="Cambria" w:hAnsi="Cambria"/>
          <w:sz w:val="20"/>
          <w:szCs w:val="20"/>
          <w:lang w:val="es-MX"/>
        </w:rPr>
      </w:pPr>
    </w:p>
    <w:p w:rsidR="009D7F32" w:rsidRPr="00AD791A" w:rsidRDefault="005809F1" w:rsidP="005809F1">
      <w:pPr>
        <w:numPr>
          <w:ilvl w:val="1"/>
          <w:numId w:val="5"/>
        </w:numPr>
        <w:jc w:val="both"/>
        <w:rPr>
          <w:rFonts w:ascii="Cambria" w:hAnsi="Cambria"/>
          <w:b/>
          <w:sz w:val="20"/>
          <w:szCs w:val="20"/>
          <w:lang w:val="es-MX"/>
        </w:rPr>
      </w:pPr>
      <w:r w:rsidRPr="00AD791A">
        <w:rPr>
          <w:rFonts w:ascii="Cambria" w:hAnsi="Cambria"/>
          <w:b/>
          <w:sz w:val="20"/>
          <w:szCs w:val="20"/>
          <w:lang w:val="es-MX"/>
        </w:rPr>
        <w:t xml:space="preserve">         </w:t>
      </w:r>
      <w:r w:rsidR="009D7F32" w:rsidRPr="00AD791A">
        <w:rPr>
          <w:rFonts w:ascii="Cambria" w:hAnsi="Cambria"/>
          <w:b/>
          <w:sz w:val="20"/>
          <w:szCs w:val="20"/>
          <w:lang w:val="es-MX"/>
        </w:rPr>
        <w:t>La falta de investigación del tercer autor material</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_tradnl"/>
        </w:rPr>
        <w:t>Tal como se indicó anteriormente en el presente informe, la obligación de investigar efectivamente los hechos que impliquen la violación de derechos humanos, conlleva a que se desplieguen todos los esfuerzos para identificar y castigar la totalidad de las responsabilidades de un hecho de esta naturalza</w:t>
      </w:r>
      <w:r w:rsidRPr="00AD791A">
        <w:rPr>
          <w:rStyle w:val="FootnoteReference"/>
          <w:rFonts w:ascii="Cambria" w:hAnsi="Cambria"/>
          <w:sz w:val="20"/>
          <w:szCs w:val="20"/>
          <w:lang w:val="es-ES_tradnl"/>
        </w:rPr>
        <w:footnoteReference w:id="195"/>
      </w:r>
      <w:r w:rsidRPr="00AD791A">
        <w:rPr>
          <w:rFonts w:ascii="Cambria" w:hAnsi="Cambria"/>
          <w:sz w:val="20"/>
          <w:szCs w:val="20"/>
          <w:lang w:val="es-ES_tradnl"/>
        </w:rPr>
        <w:t xml:space="preserve">. Al respecto, la CIDH destaca lo </w:t>
      </w:r>
      <w:r w:rsidRPr="00AD791A">
        <w:rPr>
          <w:rFonts w:ascii="Cambria" w:hAnsi="Cambria"/>
          <w:sz w:val="20"/>
          <w:szCs w:val="20"/>
          <w:lang w:val="es-ES"/>
        </w:rPr>
        <w:t>referido por el Manual sobre la Prevención e Investigación Efectiva de Ejecuciones Extrajudiciales, en el que se establece que uno de los enfoques que debe de tener la investigación en este tipo de crímenes, es la determinación de todas las personas que participaron en el homicidio</w:t>
      </w:r>
      <w:r w:rsidRPr="00AD791A">
        <w:rPr>
          <w:rStyle w:val="FootnoteReference"/>
          <w:rFonts w:ascii="Cambria" w:hAnsi="Cambria"/>
          <w:sz w:val="20"/>
          <w:szCs w:val="20"/>
          <w:lang w:val="es-ES"/>
        </w:rPr>
        <w:footnoteReference w:id="196"/>
      </w:r>
      <w:r w:rsidRPr="00AD791A">
        <w:rPr>
          <w:rFonts w:ascii="Cambria" w:hAnsi="Cambria"/>
          <w:sz w:val="20"/>
          <w:szCs w:val="20"/>
          <w:lang w:val="es-ES"/>
        </w:rPr>
        <w:t>.</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 xml:space="preserve">En el presente caso, además de la omisión deliberada de investigar la autoría intelectual del asesinato del señor García Valle, </w:t>
      </w:r>
      <w:r w:rsidRPr="00AD791A">
        <w:rPr>
          <w:rFonts w:ascii="Cambria" w:hAnsi="Cambria"/>
          <w:sz w:val="20"/>
          <w:szCs w:val="20"/>
          <w:lang w:val="es-ES_tradnl"/>
        </w:rPr>
        <w:t>la CIDH advierte que se presentaron diversas irregularidades a lo largo de la investigación, las cuales obstaculizaron la identificación del tercer autor material</w:t>
      </w:r>
      <w:r w:rsidR="004B772B" w:rsidRPr="00AD791A">
        <w:rPr>
          <w:rFonts w:ascii="Cambria" w:hAnsi="Cambria"/>
          <w:sz w:val="20"/>
          <w:szCs w:val="20"/>
          <w:lang w:val="es-ES_tradnl"/>
        </w:rPr>
        <w:t>,</w:t>
      </w:r>
      <w:r w:rsidR="00A27019" w:rsidRPr="00AD791A">
        <w:rPr>
          <w:rFonts w:ascii="Cambria" w:hAnsi="Cambria"/>
          <w:sz w:val="20"/>
          <w:szCs w:val="20"/>
          <w:lang w:val="es-ES_tradnl"/>
        </w:rPr>
        <w:t xml:space="preserve"> tales como</w:t>
      </w:r>
      <w:r w:rsidR="00A90C03" w:rsidRPr="00AD791A">
        <w:rPr>
          <w:rFonts w:ascii="Cambria" w:hAnsi="Cambria"/>
          <w:sz w:val="20"/>
          <w:szCs w:val="20"/>
          <w:lang w:val="es-ES_tradnl"/>
        </w:rPr>
        <w:t xml:space="preserve"> </w:t>
      </w:r>
      <w:r w:rsidR="00286445" w:rsidRPr="00AD791A">
        <w:rPr>
          <w:rFonts w:ascii="Cambria" w:hAnsi="Cambria"/>
          <w:sz w:val="20"/>
          <w:szCs w:val="20"/>
          <w:lang w:val="es-ES_tradnl"/>
        </w:rPr>
        <w:t xml:space="preserve">las siguientes: a) falta de interrogación </w:t>
      </w:r>
      <w:r w:rsidR="00083A03" w:rsidRPr="00AD791A">
        <w:rPr>
          <w:rFonts w:ascii="Cambria" w:hAnsi="Cambria"/>
          <w:sz w:val="20"/>
          <w:szCs w:val="20"/>
          <w:lang w:val="es-ES_tradnl"/>
        </w:rPr>
        <w:t xml:space="preserve">al respecto, </w:t>
      </w:r>
      <w:r w:rsidR="00286445" w:rsidRPr="00AD791A">
        <w:rPr>
          <w:rFonts w:ascii="Cambria" w:hAnsi="Cambria"/>
          <w:sz w:val="20"/>
          <w:szCs w:val="20"/>
          <w:lang w:val="es-ES_tradnl"/>
        </w:rPr>
        <w:t xml:space="preserve">a </w:t>
      </w:r>
      <w:r w:rsidR="00A90C03" w:rsidRPr="00AD791A">
        <w:rPr>
          <w:rFonts w:ascii="Cambria" w:hAnsi="Cambria"/>
          <w:sz w:val="20"/>
          <w:szCs w:val="20"/>
          <w:lang w:val="es-ES_tradnl"/>
        </w:rPr>
        <w:t xml:space="preserve">testigos </w:t>
      </w:r>
      <w:r w:rsidR="00286445" w:rsidRPr="00AD791A">
        <w:rPr>
          <w:rFonts w:ascii="Cambria" w:hAnsi="Cambria"/>
          <w:sz w:val="20"/>
          <w:szCs w:val="20"/>
          <w:lang w:val="es-ES_tradnl"/>
        </w:rPr>
        <w:t>y a los condenados; b) ausencia de pruebas respecto a la “huella de arrastre” encontrada en la habitación</w:t>
      </w:r>
      <w:r w:rsidR="00171C78" w:rsidRPr="00AD791A">
        <w:rPr>
          <w:rFonts w:ascii="Cambria" w:hAnsi="Cambria"/>
          <w:sz w:val="20"/>
          <w:szCs w:val="20"/>
          <w:lang w:val="es-ES_tradnl"/>
        </w:rPr>
        <w:t xml:space="preserve"> alquilada por los tres sujetos</w:t>
      </w:r>
      <w:r w:rsidR="00083A03" w:rsidRPr="00AD791A">
        <w:rPr>
          <w:rFonts w:ascii="Cambria" w:hAnsi="Cambria"/>
          <w:sz w:val="20"/>
          <w:szCs w:val="20"/>
          <w:lang w:val="es-ES_tradnl"/>
        </w:rPr>
        <w:t>;</w:t>
      </w:r>
      <w:r w:rsidR="00171C78" w:rsidRPr="00AD791A">
        <w:rPr>
          <w:rFonts w:ascii="Cambria" w:hAnsi="Cambria"/>
          <w:sz w:val="20"/>
          <w:szCs w:val="20"/>
          <w:lang w:val="es-ES_tradnl"/>
        </w:rPr>
        <w:t xml:space="preserve"> </w:t>
      </w:r>
      <w:r w:rsidR="00286445" w:rsidRPr="00AD791A">
        <w:rPr>
          <w:rFonts w:ascii="Cambria" w:hAnsi="Cambria"/>
          <w:sz w:val="20"/>
          <w:szCs w:val="20"/>
          <w:lang w:val="es-ES_tradnl"/>
        </w:rPr>
        <w:t xml:space="preserve">c) falta de constatación </w:t>
      </w:r>
      <w:r w:rsidR="00171C78" w:rsidRPr="00AD791A">
        <w:rPr>
          <w:rFonts w:ascii="Cambria" w:hAnsi="Cambria"/>
          <w:sz w:val="20"/>
          <w:szCs w:val="20"/>
          <w:lang w:val="es-ES_tradnl"/>
        </w:rPr>
        <w:t xml:space="preserve">en cuanto al </w:t>
      </w:r>
      <w:r w:rsidR="00286445" w:rsidRPr="00AD791A">
        <w:rPr>
          <w:rFonts w:ascii="Cambria" w:hAnsi="Cambria"/>
          <w:sz w:val="20"/>
          <w:szCs w:val="20"/>
          <w:lang w:val="es-ES_tradnl"/>
        </w:rPr>
        <w:t>lugar en que se encontraba Charles Presida</w:t>
      </w:r>
      <w:r w:rsidR="00171C78" w:rsidRPr="00AD791A">
        <w:rPr>
          <w:rFonts w:ascii="Cambria" w:hAnsi="Cambria"/>
          <w:sz w:val="20"/>
          <w:szCs w:val="20"/>
          <w:lang w:val="es-ES_tradnl"/>
        </w:rPr>
        <w:t xml:space="preserve"> al momento de los hechos</w:t>
      </w:r>
      <w:r w:rsidR="00083A03" w:rsidRPr="00AD791A">
        <w:rPr>
          <w:rFonts w:ascii="Cambria" w:hAnsi="Cambria"/>
          <w:sz w:val="20"/>
          <w:szCs w:val="20"/>
          <w:lang w:val="es-ES_tradnl"/>
        </w:rPr>
        <w:t xml:space="preserve">, y d) falta de exposición de la fotografía de Charles Presida a testigos  que hubieran podido identificarlo como el tercer actor material. </w:t>
      </w:r>
    </w:p>
    <w:p w:rsidR="009D7F32" w:rsidRPr="00AD791A" w:rsidRDefault="009D7F32" w:rsidP="009D7F32">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_tradnl"/>
        </w:rPr>
        <w:t>La Comisión observa que a</w:t>
      </w:r>
      <w:r w:rsidRPr="00AD791A">
        <w:rPr>
          <w:rFonts w:ascii="Cambria" w:hAnsi="Cambria"/>
          <w:sz w:val="20"/>
          <w:szCs w:val="20"/>
          <w:lang w:val="es-MX"/>
        </w:rPr>
        <w:t xml:space="preserve"> pesar de que desde el inicio de la investigación y durante varias etapas de la misma</w:t>
      </w:r>
      <w:r w:rsidR="00A52871" w:rsidRPr="00AD791A">
        <w:rPr>
          <w:rFonts w:ascii="Cambria" w:hAnsi="Cambria"/>
          <w:sz w:val="20"/>
          <w:szCs w:val="20"/>
          <w:lang w:val="es-MX"/>
        </w:rPr>
        <w:t>,</w:t>
      </w:r>
      <w:r w:rsidRPr="00AD791A">
        <w:rPr>
          <w:rFonts w:ascii="Cambria" w:hAnsi="Cambria"/>
          <w:sz w:val="20"/>
          <w:szCs w:val="20"/>
          <w:lang w:val="es-MX"/>
        </w:rPr>
        <w:t xml:space="preserve"> las autoridades policiales y judiciales tuvieron conocimiento del involucramiento de una tercera persona en el asesinato del señor García Valle</w:t>
      </w:r>
      <w:r w:rsidRPr="00AD791A">
        <w:rPr>
          <w:rStyle w:val="FootnoteReference"/>
          <w:rFonts w:ascii="Cambria" w:hAnsi="Cambria"/>
          <w:sz w:val="20"/>
          <w:szCs w:val="20"/>
          <w:lang w:val="es-MX"/>
        </w:rPr>
        <w:footnoteReference w:id="197"/>
      </w:r>
      <w:r w:rsidRPr="00AD791A">
        <w:rPr>
          <w:rFonts w:ascii="Cambria" w:hAnsi="Cambria"/>
          <w:sz w:val="20"/>
          <w:szCs w:val="20"/>
          <w:lang w:val="es-MX"/>
        </w:rPr>
        <w:t xml:space="preserve">, no consta que se hubiera realizado alguna </w:t>
      </w:r>
      <w:r w:rsidRPr="00AD791A">
        <w:rPr>
          <w:rFonts w:ascii="Cambria" w:hAnsi="Cambria" w:cs="Arial Narrow"/>
          <w:spacing w:val="-2"/>
          <w:sz w:val="20"/>
          <w:szCs w:val="20"/>
          <w:lang w:val="es-MX"/>
        </w:rPr>
        <w:t>diligencia encaminada a determinar su identidad.</w:t>
      </w:r>
      <w:r w:rsidRPr="00AD791A">
        <w:rPr>
          <w:rFonts w:ascii="Cambria" w:hAnsi="Cambria"/>
          <w:sz w:val="20"/>
          <w:szCs w:val="20"/>
          <w:lang w:val="es-MX"/>
        </w:rPr>
        <w:t xml:space="preserve"> </w:t>
      </w: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Muestra de lo anterior es que los testigos que hubiesen podido identificar al presunto tercer autor material –tales como los vecinos María Esther Castrillo Chavarría y Eddy Eduardo Lira Miles, la trabajadora del hogar Natalia Omeir Hulse, y el carpintero Miguel Antonio López Balladares</w:t>
      </w:r>
      <w:r w:rsidRPr="00AD791A">
        <w:rPr>
          <w:rStyle w:val="FootnoteReference"/>
          <w:rFonts w:ascii="Cambria" w:hAnsi="Cambria"/>
          <w:sz w:val="20"/>
          <w:szCs w:val="20"/>
          <w:lang w:val="es-MX"/>
        </w:rPr>
        <w:footnoteReference w:id="198"/>
      </w:r>
      <w:r w:rsidRPr="00AD791A">
        <w:rPr>
          <w:rFonts w:ascii="Cambria" w:hAnsi="Cambria"/>
          <w:sz w:val="20"/>
          <w:szCs w:val="20"/>
          <w:lang w:val="es-MX"/>
        </w:rPr>
        <w:t xml:space="preserve">– no fueron cuestionados al respecto por la Policía Nacional o por el juez de la causa. De hecho, ni siquiera se les solicitó que informaran sobre las características particulares de la persona en referencia, lo que derivó en que no se contara con un retrato hablado de la misma. Además, la CIDH advierte que Wilberth Ochoa, uno de los autores condenados por el referido crimen, tampoco fue interrogado respecto a la participación del tercer autor material. Asimismo, </w:t>
      </w:r>
      <w:r w:rsidRPr="00AD791A">
        <w:rPr>
          <w:rFonts w:ascii="Cambria" w:hAnsi="Cambria"/>
          <w:sz w:val="20"/>
          <w:szCs w:val="20"/>
          <w:lang w:val="es-ES"/>
        </w:rPr>
        <w:t xml:space="preserve">la Comisión observa que se omitieron diversas </w:t>
      </w:r>
      <w:r w:rsidRPr="00AD791A">
        <w:rPr>
          <w:rFonts w:ascii="Cambria" w:hAnsi="Cambria" w:cs="Arial"/>
          <w:sz w:val="20"/>
          <w:szCs w:val="20"/>
          <w:lang w:val="es-ES_tradnl"/>
        </w:rPr>
        <w:t xml:space="preserve">diligencias que hubieran podido aportar importantes elementos para la identificación del autor material. En este sentido, </w:t>
      </w:r>
      <w:r w:rsidRPr="00AD791A">
        <w:rPr>
          <w:rFonts w:ascii="Cambria" w:hAnsi="Cambria"/>
          <w:sz w:val="20"/>
          <w:szCs w:val="20"/>
          <w:lang w:val="es-ES"/>
        </w:rPr>
        <w:t>de conformidad con la información presentada por las partes</w:t>
      </w:r>
      <w:r w:rsidRPr="00AD791A">
        <w:rPr>
          <w:rFonts w:ascii="Cambria" w:hAnsi="Cambria" w:cs="Arial"/>
          <w:sz w:val="20"/>
          <w:szCs w:val="20"/>
          <w:lang w:val="es-ES_tradnl"/>
        </w:rPr>
        <w:t xml:space="preserve">, no se desprende que se hubieran realizado pruebas </w:t>
      </w:r>
      <w:r w:rsidRPr="00AD791A">
        <w:rPr>
          <w:rFonts w:ascii="Cambria" w:hAnsi="Cambria" w:cs="Arial Narrow"/>
          <w:spacing w:val="-2"/>
          <w:sz w:val="20"/>
          <w:szCs w:val="20"/>
          <w:lang w:val="es-MX"/>
        </w:rPr>
        <w:t>respecto a la “huella de arrastre”</w:t>
      </w:r>
      <w:r w:rsidRPr="00AD791A">
        <w:rPr>
          <w:rStyle w:val="FootnoteReference"/>
          <w:rFonts w:ascii="Cambria" w:hAnsi="Cambria" w:cs="Arial Narrow"/>
          <w:spacing w:val="-2"/>
          <w:sz w:val="20"/>
          <w:szCs w:val="20"/>
          <w:lang w:val="es-MX"/>
        </w:rPr>
        <w:footnoteReference w:id="199"/>
      </w:r>
      <w:r w:rsidRPr="00AD791A">
        <w:rPr>
          <w:rFonts w:ascii="Cambria" w:hAnsi="Cambria" w:cs="Arial Narrow"/>
          <w:spacing w:val="-2"/>
          <w:sz w:val="20"/>
          <w:szCs w:val="20"/>
          <w:lang w:val="es-MX"/>
        </w:rPr>
        <w:t xml:space="preserve"> ubicada en la parte trasera de la habitación que ocuparon los supuestos autores materiales del crimen, o respecto a las huellas que fueron encontradas en la escena del crimen. Tampoco se realizó ningún análisis respecto a </w:t>
      </w:r>
      <w:r w:rsidRPr="00AD791A">
        <w:rPr>
          <w:rFonts w:ascii="Cambria" w:hAnsi="Cambria" w:cs="Arial"/>
          <w:sz w:val="20"/>
          <w:szCs w:val="20"/>
          <w:lang w:val="es-ES_tradnl"/>
        </w:rPr>
        <w:t xml:space="preserve">tejidos pilosos encontrados en la escena del crimen. </w:t>
      </w:r>
    </w:p>
    <w:p w:rsidR="009D7F32" w:rsidRPr="00AD791A" w:rsidRDefault="009D7F32" w:rsidP="009D7F32">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 xml:space="preserve">La Comisión nota que sobre la hipótesis enfocada a la determinación de la posible participación de Charles Presida como posible autor material del crimen –y respecto de quien se alega, sacó de la ciudad de Bluefields a los otros dos perpetradores del asesinato del señor García Acosta– obra en el expediente que la única acción realizada por las autoridades fue la de tomar su declaración indagatoria. En esta declaración Charles Presida refirió que el día del asesinato se encontraba en </w:t>
      </w:r>
      <w:r w:rsidRPr="00AD791A">
        <w:rPr>
          <w:rFonts w:ascii="Cambria" w:hAnsi="Cambria" w:cs="Garamond"/>
          <w:sz w:val="20"/>
          <w:szCs w:val="20"/>
          <w:lang w:val="es-ES_tradnl"/>
        </w:rPr>
        <w:t>Bluefields con dos personas</w:t>
      </w:r>
      <w:r w:rsidRPr="00AD791A">
        <w:rPr>
          <w:rStyle w:val="FootnoteReference"/>
          <w:rFonts w:ascii="Cambria" w:hAnsi="Cambria" w:cs="Garamond"/>
          <w:sz w:val="20"/>
          <w:szCs w:val="20"/>
        </w:rPr>
        <w:footnoteReference w:id="200"/>
      </w:r>
      <w:r w:rsidRPr="00AD791A">
        <w:rPr>
          <w:rFonts w:ascii="Cambria" w:hAnsi="Cambria" w:cs="Garamond"/>
          <w:sz w:val="20"/>
          <w:szCs w:val="20"/>
          <w:lang w:val="es-ES_tradnl"/>
        </w:rPr>
        <w:t xml:space="preserve">. No consta en el expediente que se hubiera investigado este aspecto. Tampoco consta que se hubiera mostrado la foto de Charles Presida a los testigos que habían visto a los tres sujetos a los que les fue arrendada la planta baja de la casa de María Luisa Acosta y que hubieren podido identificar si el señor Presida fue o no la tercera persona mencionada desde el inicio de las investigaciones. Asimismo, cuando Wilberth Ochoa – segundo autor material – rindió su declaración, tampoco fue cuestionado sobre la </w:t>
      </w:r>
      <w:r w:rsidRPr="00AD791A">
        <w:rPr>
          <w:rFonts w:ascii="Cambria" w:hAnsi="Cambria"/>
          <w:sz w:val="20"/>
          <w:szCs w:val="20"/>
          <w:lang w:val="es-ES"/>
        </w:rPr>
        <w:t>posible participación de Charles Presida en el caso en referencia. En suma, no consta diligencia adicional alguna para explorar y agotar seriamente esta línea de investigación. Al contrario, como se describió, la misma fue desechada frente a la sola negativa del propio indagado sobre su posible participación, sin seguimiento de ningún tipo.</w:t>
      </w:r>
    </w:p>
    <w:p w:rsidR="009D7F32" w:rsidRPr="00AD791A" w:rsidRDefault="009D7F32" w:rsidP="009D7F32">
      <w:pPr>
        <w:ind w:left="720"/>
        <w:jc w:val="both"/>
        <w:rPr>
          <w:rFonts w:ascii="Cambria" w:hAnsi="Cambria"/>
          <w:sz w:val="20"/>
          <w:szCs w:val="20"/>
          <w:lang w:val="es-MX"/>
        </w:rPr>
      </w:pPr>
    </w:p>
    <w:p w:rsidR="00850C28" w:rsidRPr="00AD791A" w:rsidRDefault="00850C28" w:rsidP="000F5F1D">
      <w:pPr>
        <w:numPr>
          <w:ilvl w:val="0"/>
          <w:numId w:val="1"/>
        </w:numPr>
        <w:tabs>
          <w:tab w:val="clear" w:pos="1260"/>
        </w:tabs>
        <w:ind w:left="0" w:firstLine="720"/>
        <w:jc w:val="both"/>
        <w:rPr>
          <w:rFonts w:asciiTheme="majorHAnsi" w:hAnsiTheme="majorHAnsi"/>
          <w:sz w:val="20"/>
          <w:szCs w:val="20"/>
          <w:lang w:val="es-MX"/>
        </w:rPr>
      </w:pPr>
      <w:r w:rsidRPr="00AD791A">
        <w:rPr>
          <w:rFonts w:ascii="Cambria" w:hAnsi="Cambria"/>
          <w:sz w:val="20"/>
          <w:szCs w:val="20"/>
          <w:lang w:val="es-MX"/>
        </w:rPr>
        <w:t>De lo dicho en la presente sección</w:t>
      </w:r>
      <w:r w:rsidR="009D7F32" w:rsidRPr="00AD791A">
        <w:rPr>
          <w:rFonts w:ascii="Cambria" w:hAnsi="Cambria"/>
          <w:sz w:val="20"/>
          <w:szCs w:val="20"/>
          <w:lang w:val="es-ES"/>
        </w:rPr>
        <w:t xml:space="preserve">, la Comisión </w:t>
      </w:r>
      <w:r w:rsidRPr="00AD791A">
        <w:rPr>
          <w:rFonts w:ascii="Cambria" w:hAnsi="Cambria"/>
          <w:sz w:val="20"/>
          <w:szCs w:val="20"/>
          <w:lang w:val="es-MX"/>
        </w:rPr>
        <w:t>considera que con estas graves omisiones, a pesar de todos los elementos que surgieron en la investigación, se consolidó una situación de encubrimiento de los supuestos autores intelectuales, que en opinión de la Comisión va más alla de un incumplimiento del deber de debida diligencia. Además, esta Comisión c</w:t>
      </w:r>
      <w:r w:rsidR="009D7F32" w:rsidRPr="00AD791A">
        <w:rPr>
          <w:rFonts w:ascii="Cambria" w:hAnsi="Cambria"/>
          <w:sz w:val="20"/>
          <w:szCs w:val="20"/>
          <w:lang w:val="es-ES"/>
        </w:rPr>
        <w:t>on</w:t>
      </w:r>
      <w:r w:rsidR="00B96E37" w:rsidRPr="00AD791A">
        <w:rPr>
          <w:rFonts w:ascii="Cambria" w:hAnsi="Cambria"/>
          <w:sz w:val="20"/>
          <w:szCs w:val="20"/>
          <w:lang w:val="es-ES"/>
        </w:rPr>
        <w:t>cluye que el Estado incumplió también con este deber</w:t>
      </w:r>
      <w:r w:rsidR="009D7F32" w:rsidRPr="00AD791A">
        <w:rPr>
          <w:rFonts w:ascii="Cambria" w:hAnsi="Cambria"/>
          <w:sz w:val="20"/>
          <w:szCs w:val="20"/>
          <w:lang w:val="es-ES"/>
        </w:rPr>
        <w:t xml:space="preserve"> respecto de la búsqueda, identificación y eventual sanción del tercer autor material del asesinato del señor García Valle, a pesar de que la existencia de un tercer autor material surgió desde el inicio y que existían múltiples </w:t>
      </w:r>
      <w:r w:rsidR="009D7F32" w:rsidRPr="00AD791A">
        <w:rPr>
          <w:rFonts w:asciiTheme="majorHAnsi" w:hAnsiTheme="majorHAnsi"/>
          <w:sz w:val="20"/>
          <w:szCs w:val="20"/>
          <w:lang w:val="es-ES"/>
        </w:rPr>
        <w:t xml:space="preserve">medidas investigativas a agotar sin que ello hubiera ocurrido. </w:t>
      </w:r>
      <w:r w:rsidR="000F5F1D" w:rsidRPr="00AD791A">
        <w:rPr>
          <w:rFonts w:asciiTheme="majorHAnsi" w:hAnsiTheme="majorHAnsi"/>
          <w:sz w:val="20"/>
          <w:szCs w:val="20"/>
          <w:lang w:val="es-ES"/>
        </w:rPr>
        <w:t xml:space="preserve">Lo anterior, </w:t>
      </w:r>
      <w:r w:rsidR="000F5F1D" w:rsidRPr="00AD791A">
        <w:rPr>
          <w:rFonts w:asciiTheme="majorHAnsi" w:hAnsiTheme="majorHAnsi"/>
          <w:sz w:val="20"/>
          <w:szCs w:val="20"/>
          <w:lang w:val="es-MX"/>
        </w:rPr>
        <w:t xml:space="preserve">representa </w:t>
      </w:r>
      <w:r w:rsidRPr="00AD791A">
        <w:rPr>
          <w:rFonts w:asciiTheme="majorHAnsi" w:hAnsiTheme="majorHAnsi"/>
          <w:sz w:val="20"/>
          <w:szCs w:val="20"/>
          <w:lang w:val="es-MX"/>
        </w:rPr>
        <w:t xml:space="preserve">un mensaje de tolerancia a posibles situaciones de violencia como mecanismo de represalia e intimidación por la labor de defensores y defensoras de derechos humanos. </w:t>
      </w:r>
    </w:p>
    <w:p w:rsidR="009D7F32" w:rsidRPr="00AD791A" w:rsidRDefault="009D7F32" w:rsidP="009D7F32">
      <w:pPr>
        <w:pStyle w:val="ListParagraph1"/>
        <w:rPr>
          <w:rFonts w:asciiTheme="majorHAnsi" w:hAnsiTheme="majorHAnsi"/>
          <w:sz w:val="20"/>
          <w:szCs w:val="20"/>
          <w:lang w:val="es-ES_tradnl"/>
        </w:rPr>
      </w:pPr>
    </w:p>
    <w:p w:rsidR="00673CF8" w:rsidRPr="00AD791A" w:rsidRDefault="00673CF8" w:rsidP="00673CF8">
      <w:pPr>
        <w:pStyle w:val="ListParagraph"/>
        <w:numPr>
          <w:ilvl w:val="0"/>
          <w:numId w:val="5"/>
        </w:numPr>
        <w:jc w:val="both"/>
        <w:rPr>
          <w:rFonts w:asciiTheme="majorHAnsi" w:hAnsiTheme="majorHAnsi"/>
          <w:b/>
          <w:sz w:val="20"/>
          <w:szCs w:val="20"/>
          <w:lang w:val="es-MX"/>
        </w:rPr>
      </w:pPr>
      <w:bookmarkStart w:id="113" w:name="_Toc388448160"/>
      <w:bookmarkStart w:id="114" w:name="_Toc412647995"/>
      <w:bookmarkStart w:id="115" w:name="_Toc412648029"/>
      <w:bookmarkStart w:id="116" w:name="_Toc414177400"/>
      <w:bookmarkStart w:id="117" w:name="_Toc414177731"/>
      <w:bookmarkStart w:id="118" w:name="_Toc414177756"/>
      <w:r w:rsidRPr="00AD791A">
        <w:rPr>
          <w:rFonts w:asciiTheme="majorHAnsi" w:hAnsiTheme="majorHAnsi"/>
          <w:b/>
          <w:sz w:val="20"/>
          <w:szCs w:val="20"/>
          <w:lang w:val="es-MX"/>
        </w:rPr>
        <w:t xml:space="preserve">        Barreras en el acceso a la justicia  </w:t>
      </w:r>
    </w:p>
    <w:p w:rsidR="00673CF8" w:rsidRPr="00AD791A" w:rsidRDefault="00673CF8" w:rsidP="00673CF8">
      <w:pPr>
        <w:jc w:val="both"/>
        <w:rPr>
          <w:rFonts w:asciiTheme="majorHAnsi" w:hAnsiTheme="majorHAnsi"/>
          <w:sz w:val="20"/>
          <w:szCs w:val="20"/>
          <w:lang w:val="es-MX"/>
        </w:rPr>
      </w:pPr>
    </w:p>
    <w:p w:rsidR="00673CF8" w:rsidRPr="00AD791A" w:rsidRDefault="00673CF8" w:rsidP="00673CF8">
      <w:pPr>
        <w:numPr>
          <w:ilvl w:val="0"/>
          <w:numId w:val="1"/>
        </w:numPr>
        <w:tabs>
          <w:tab w:val="clear" w:pos="1260"/>
        </w:tabs>
        <w:ind w:left="0" w:firstLine="720"/>
        <w:jc w:val="both"/>
        <w:rPr>
          <w:rFonts w:ascii="Cambria" w:hAnsi="Cambria"/>
          <w:sz w:val="20"/>
          <w:szCs w:val="20"/>
          <w:lang w:val="es-MX"/>
        </w:rPr>
      </w:pPr>
      <w:r w:rsidRPr="00AD791A">
        <w:rPr>
          <w:rFonts w:asciiTheme="majorHAnsi" w:hAnsiTheme="majorHAnsi"/>
          <w:sz w:val="20"/>
          <w:szCs w:val="20"/>
          <w:lang w:val="es-MX"/>
        </w:rPr>
        <w:t xml:space="preserve">Por otra parte, la </w:t>
      </w:r>
      <w:r w:rsidRPr="00AD791A">
        <w:rPr>
          <w:rFonts w:asciiTheme="majorHAnsi" w:hAnsiTheme="majorHAnsi" w:cs="Arial"/>
          <w:sz w:val="20"/>
          <w:szCs w:val="20"/>
          <w:lang w:val="es-MX"/>
        </w:rPr>
        <w:t>Comisión observa que otro aspecto que muestra la falta de una búsqueda seria para establecer la autoría intelectual en la presente causa, es lo acontecido en relación con la denegación del recurso de apelación contra el sobreseimiento definitivo de Peter Tsokos y Peter Martínez. Como quedó establecido en los hechos</w:t>
      </w:r>
      <w:r w:rsidRPr="00AD791A">
        <w:rPr>
          <w:rFonts w:ascii="Cambria" w:hAnsi="Cambria" w:cs="Arial"/>
          <w:sz w:val="20"/>
          <w:szCs w:val="20"/>
          <w:lang w:val="es-MX"/>
        </w:rPr>
        <w:t xml:space="preserve"> probados, este recurso fue declarado sin lugar debido a que el representante de la señora Acosta no aportó papel al juzgado para emitir las copias respectivas, tal como establecía el artículo 471 del Código de Procedimiento Civil. </w:t>
      </w:r>
    </w:p>
    <w:p w:rsidR="00673CF8" w:rsidRPr="00AD791A" w:rsidRDefault="00673CF8" w:rsidP="00673CF8">
      <w:pPr>
        <w:ind w:left="720"/>
        <w:jc w:val="both"/>
        <w:rPr>
          <w:rFonts w:ascii="Cambria" w:hAnsi="Cambria"/>
          <w:sz w:val="20"/>
          <w:szCs w:val="20"/>
          <w:lang w:val="es-MX"/>
        </w:rPr>
      </w:pPr>
    </w:p>
    <w:p w:rsidR="00673CF8" w:rsidRPr="00AD791A" w:rsidRDefault="00673CF8" w:rsidP="00673CF8">
      <w:pPr>
        <w:numPr>
          <w:ilvl w:val="0"/>
          <w:numId w:val="1"/>
        </w:numPr>
        <w:tabs>
          <w:tab w:val="clear" w:pos="1260"/>
        </w:tabs>
        <w:ind w:left="0" w:firstLine="720"/>
        <w:jc w:val="both"/>
        <w:rPr>
          <w:rFonts w:ascii="Cambria" w:eastAsia="Times New Roman" w:hAnsi="Cambria" w:cs="Verdana"/>
          <w:sz w:val="20"/>
          <w:szCs w:val="20"/>
          <w:lang w:val="es-CO" w:bidi="en-US"/>
        </w:rPr>
      </w:pPr>
      <w:r w:rsidRPr="00AD791A">
        <w:rPr>
          <w:rFonts w:ascii="Cambria" w:hAnsi="Cambria"/>
          <w:sz w:val="20"/>
          <w:szCs w:val="20"/>
          <w:lang w:val="es-ES_tradnl"/>
        </w:rPr>
        <w:t xml:space="preserve">Al respecto, la Corte Interamericana ha expresado que </w:t>
      </w:r>
      <w:r w:rsidRPr="00AD791A">
        <w:rPr>
          <w:rFonts w:ascii="Cambria" w:hAnsi="Cambria"/>
          <w:sz w:val="20"/>
          <w:szCs w:val="20"/>
          <w:lang w:val="es-MX"/>
        </w:rPr>
        <w:t>“el sistema procesal es un medio para realizar la justicia y [que] ésta no puede ser sacrificada en aras de meras formalidades”</w:t>
      </w:r>
      <w:r w:rsidRPr="00AD791A">
        <w:rPr>
          <w:rStyle w:val="FootnoteReference"/>
          <w:rFonts w:ascii="Cambria" w:hAnsi="Cambria"/>
          <w:sz w:val="20"/>
          <w:szCs w:val="20"/>
          <w:lang w:val="es-MX"/>
        </w:rPr>
        <w:footnoteReference w:id="201"/>
      </w:r>
      <w:r w:rsidRPr="00AD791A">
        <w:rPr>
          <w:rFonts w:ascii="Cambria" w:hAnsi="Cambria"/>
          <w:sz w:val="20"/>
          <w:szCs w:val="20"/>
          <w:lang w:val="es-MX"/>
        </w:rPr>
        <w:t>. Por otra parte, esta Corte ha señalado que se presenta una formalidad sin sentido “cuando se demuestra que los recursos son rechazados sin llegar al examen de la validez de los mismos, o por razones fútiles […] cuyo efecto es el de impedir a ciertos demandantes la utilización de los recursos internos que, normalmente, estarían al alcance de los demás”</w:t>
      </w:r>
      <w:r w:rsidRPr="00AD791A">
        <w:rPr>
          <w:rStyle w:val="FootnoteReference"/>
          <w:rFonts w:ascii="Cambria" w:hAnsi="Cambria"/>
          <w:sz w:val="20"/>
          <w:szCs w:val="20"/>
          <w:lang w:val="es-MX"/>
        </w:rPr>
        <w:footnoteReference w:id="202"/>
      </w:r>
      <w:r w:rsidRPr="00AD791A">
        <w:rPr>
          <w:rFonts w:ascii="Cambria" w:hAnsi="Cambria"/>
          <w:sz w:val="20"/>
          <w:szCs w:val="20"/>
          <w:lang w:val="es-MX"/>
        </w:rPr>
        <w:t xml:space="preserve">. Si bien </w:t>
      </w:r>
      <w:r w:rsidRPr="00AD791A">
        <w:rPr>
          <w:rFonts w:ascii="Cambria" w:eastAsia="Times New Roman" w:hAnsi="Cambria" w:cs="Verdana"/>
          <w:sz w:val="20"/>
          <w:szCs w:val="20"/>
          <w:lang w:val="es-CO" w:bidi="en-US"/>
        </w:rPr>
        <w:t>los Estados “pueden y deben establecer presupuestos y criterios de admisibilidad de los recursos internos”, tales presupuestos deben atender a “razones de seguridad jurídica, para la correcta y funcional administración de justicia y la efectiva protección de los derechos de las personas”</w:t>
      </w:r>
      <w:r w:rsidRPr="00AD791A">
        <w:rPr>
          <w:rStyle w:val="FootnoteReference"/>
          <w:rFonts w:ascii="Cambria" w:eastAsia="Times New Roman" w:hAnsi="Cambria" w:cs="Verdana"/>
          <w:sz w:val="20"/>
          <w:szCs w:val="20"/>
          <w:lang w:bidi="en-US"/>
        </w:rPr>
        <w:footnoteReference w:id="203"/>
      </w:r>
      <w:r w:rsidRPr="00AD791A">
        <w:rPr>
          <w:rFonts w:ascii="Cambria" w:eastAsia="Times New Roman" w:hAnsi="Cambria" w:cs="Verdana"/>
          <w:sz w:val="20"/>
          <w:szCs w:val="20"/>
          <w:lang w:val="es-CO" w:bidi="en-US"/>
        </w:rPr>
        <w:t xml:space="preserve">. </w:t>
      </w:r>
    </w:p>
    <w:p w:rsidR="00673CF8" w:rsidRPr="00AD791A" w:rsidRDefault="00673CF8" w:rsidP="00673CF8">
      <w:pPr>
        <w:pStyle w:val="ListParagraph"/>
        <w:rPr>
          <w:rFonts w:ascii="Cambria" w:hAnsi="Cambria"/>
          <w:sz w:val="20"/>
          <w:szCs w:val="20"/>
          <w:lang w:val="es-MX"/>
        </w:rPr>
      </w:pPr>
    </w:p>
    <w:p w:rsidR="00673CF8" w:rsidRPr="00AD791A" w:rsidRDefault="00673CF8" w:rsidP="00673CF8">
      <w:pPr>
        <w:numPr>
          <w:ilvl w:val="0"/>
          <w:numId w:val="1"/>
        </w:numPr>
        <w:tabs>
          <w:tab w:val="clear" w:pos="1260"/>
        </w:tabs>
        <w:ind w:left="0" w:firstLine="720"/>
        <w:jc w:val="both"/>
        <w:rPr>
          <w:rFonts w:ascii="Cambria" w:eastAsia="Times New Roman" w:hAnsi="Cambria" w:cs="Verdana"/>
          <w:sz w:val="20"/>
          <w:szCs w:val="20"/>
          <w:lang w:val="es-CO" w:bidi="en-US"/>
        </w:rPr>
      </w:pPr>
      <w:r w:rsidRPr="00AD791A">
        <w:rPr>
          <w:rFonts w:ascii="Cambria" w:hAnsi="Cambria"/>
          <w:sz w:val="20"/>
          <w:szCs w:val="20"/>
          <w:lang w:val="es-MX"/>
        </w:rPr>
        <w:t>La Comisión considera que el priorizar aspectos económicos sobre el acceso a la justicia de quienes buscan la protección de sus derechos, no encuentra fundamento en la seguridad jurídica o en la correcta y funcional administración de justicia; más bien, constituye una exigencia que impone cargas adicionales a quienes acceden al poder judicial. En este sentido, la Corte Interamericana ha señalado que “c</w:t>
      </w:r>
      <w:r w:rsidRPr="00AD791A">
        <w:rPr>
          <w:rFonts w:ascii="Cambria" w:hAnsi="Cambria" w:cs="Verdana"/>
          <w:sz w:val="20"/>
          <w:szCs w:val="20"/>
          <w:lang w:val="es-MX"/>
        </w:rPr>
        <w:t xml:space="preserve">ualquier norma o medida del orden interno que imponga costos o dificulte de cualquier otra manera el acceso de los individuos a los tribunales, y que no esté justificada por las razonables necesidades de la propia administración de justicia, debe entenderse contraria al </w:t>
      </w:r>
      <w:r w:rsidRPr="00AD791A">
        <w:rPr>
          <w:rFonts w:ascii="Cambria" w:hAnsi="Cambria"/>
          <w:sz w:val="20"/>
          <w:szCs w:val="20"/>
          <w:lang w:val="es-MX"/>
        </w:rPr>
        <w:t>[…]</w:t>
      </w:r>
      <w:r w:rsidRPr="00AD791A">
        <w:rPr>
          <w:rFonts w:ascii="Cambria" w:hAnsi="Cambria" w:cs="Verdana"/>
          <w:sz w:val="20"/>
          <w:szCs w:val="20"/>
          <w:lang w:val="es-MX"/>
        </w:rPr>
        <w:t xml:space="preserve"> artículo 8.1 de la Convención”</w:t>
      </w:r>
      <w:r w:rsidRPr="00AD791A">
        <w:rPr>
          <w:rStyle w:val="FootnoteReference"/>
          <w:rFonts w:ascii="Cambria" w:hAnsi="Cambria" w:cs="Verdana"/>
          <w:sz w:val="20"/>
          <w:szCs w:val="20"/>
          <w:lang w:val="es-MX"/>
        </w:rPr>
        <w:footnoteReference w:id="204"/>
      </w:r>
      <w:r w:rsidRPr="00AD791A">
        <w:rPr>
          <w:rFonts w:ascii="Cambria" w:hAnsi="Cambria" w:cs="Verdana"/>
          <w:sz w:val="20"/>
          <w:szCs w:val="20"/>
          <w:lang w:val="es-MX"/>
        </w:rPr>
        <w:t>.</w:t>
      </w:r>
    </w:p>
    <w:p w:rsidR="00673CF8" w:rsidRPr="00AD791A" w:rsidRDefault="00673CF8" w:rsidP="00673CF8">
      <w:pPr>
        <w:pStyle w:val="ListParagraph"/>
        <w:rPr>
          <w:rFonts w:ascii="Cambria" w:hAnsi="Cambria"/>
          <w:sz w:val="20"/>
          <w:szCs w:val="20"/>
          <w:lang w:val="es-ES"/>
        </w:rPr>
      </w:pPr>
    </w:p>
    <w:p w:rsidR="00673CF8" w:rsidRPr="00AD791A" w:rsidRDefault="00673CF8" w:rsidP="00673CF8">
      <w:pPr>
        <w:numPr>
          <w:ilvl w:val="0"/>
          <w:numId w:val="1"/>
        </w:numPr>
        <w:tabs>
          <w:tab w:val="clear" w:pos="1260"/>
        </w:tabs>
        <w:ind w:left="0" w:firstLine="720"/>
        <w:jc w:val="both"/>
        <w:rPr>
          <w:rFonts w:ascii="Cambria" w:eastAsia="Times New Roman" w:hAnsi="Cambria" w:cs="Verdana"/>
          <w:sz w:val="20"/>
          <w:szCs w:val="20"/>
          <w:lang w:val="es-CO" w:bidi="en-US"/>
        </w:rPr>
      </w:pPr>
      <w:r w:rsidRPr="00AD791A">
        <w:rPr>
          <w:rFonts w:ascii="Cambria" w:hAnsi="Cambria"/>
          <w:sz w:val="20"/>
          <w:szCs w:val="20"/>
          <w:lang w:val="es-ES"/>
        </w:rPr>
        <w:t xml:space="preserve">Ahora bien, más allá de que el suministro de papel para sacar fotocopias resulte </w:t>
      </w:r>
      <w:r w:rsidRPr="00AD791A">
        <w:rPr>
          <w:rFonts w:ascii="Cambria" w:hAnsi="Cambria"/>
          <w:i/>
          <w:sz w:val="20"/>
          <w:szCs w:val="20"/>
          <w:lang w:val="es-ES"/>
        </w:rPr>
        <w:t>per se</w:t>
      </w:r>
      <w:r w:rsidRPr="00AD791A">
        <w:rPr>
          <w:rFonts w:ascii="Cambria" w:hAnsi="Cambria"/>
          <w:sz w:val="20"/>
          <w:szCs w:val="20"/>
          <w:lang w:val="es-ES"/>
        </w:rPr>
        <w:t xml:space="preserve"> una formalidad excesiva para acceder a la justicia, la Comisión observa </w:t>
      </w:r>
      <w:r w:rsidRPr="00AD791A">
        <w:rPr>
          <w:rFonts w:ascii="Cambria" w:hAnsi="Cambria" w:cs="Arial"/>
          <w:sz w:val="20"/>
          <w:szCs w:val="20"/>
          <w:lang w:val="es-MX"/>
        </w:rPr>
        <w:t>que en el presente caso ni siquiera resultaba aplicable la causal de improcedencia derivada de la falta de aportación del papel, pues el apelante no se negó a proveer gastos para la remisión del proceso</w:t>
      </w:r>
      <w:r w:rsidRPr="00AD791A">
        <w:rPr>
          <w:rStyle w:val="FootnoteReference"/>
          <w:rFonts w:ascii="Cambria" w:hAnsi="Cambria" w:cs="Arial"/>
          <w:sz w:val="20"/>
          <w:szCs w:val="20"/>
          <w:lang w:val="es-MX"/>
        </w:rPr>
        <w:footnoteReference w:id="205"/>
      </w:r>
      <w:r w:rsidRPr="00AD791A">
        <w:rPr>
          <w:rFonts w:ascii="Cambria" w:hAnsi="Cambria" w:cs="Arial"/>
          <w:sz w:val="20"/>
          <w:szCs w:val="20"/>
          <w:lang w:val="es-MX"/>
        </w:rPr>
        <w:t xml:space="preserve">. Por el contrario, como se estableció en la sección de hechos, el representante de la señora Acosta manifestó su interés en cumplir con tal formalidad, y el </w:t>
      </w:r>
      <w:r w:rsidRPr="00AD791A">
        <w:rPr>
          <w:rFonts w:ascii="Cambria" w:hAnsi="Cambria" w:cs="Garamond"/>
          <w:sz w:val="20"/>
          <w:szCs w:val="20"/>
          <w:lang w:val="es-ES_tradnl"/>
        </w:rPr>
        <w:t xml:space="preserve">22 de mayo de 2002 </w:t>
      </w:r>
      <w:r w:rsidRPr="00AD791A">
        <w:rPr>
          <w:rFonts w:ascii="Cambria" w:hAnsi="Cambria" w:cs="Arial"/>
          <w:sz w:val="20"/>
          <w:szCs w:val="20"/>
          <w:lang w:val="es-MX"/>
        </w:rPr>
        <w:t xml:space="preserve">presentó a la secretaria del juzgado el dinero para gastos de las fotocopias, pero éste no le fue recibido. Además, en su escrito de presentación del recurso de reforma de 22 de mayo de 2002, el representante de María Luisa Acosta </w:t>
      </w:r>
      <w:r w:rsidRPr="00AD791A">
        <w:rPr>
          <w:rFonts w:ascii="Cambria" w:hAnsi="Cambria"/>
          <w:sz w:val="20"/>
          <w:szCs w:val="20"/>
          <w:lang w:val="es-ES"/>
        </w:rPr>
        <w:t xml:space="preserve">solicitó que “una vez que sea el tiempo para admitir la apelación </w:t>
      </w:r>
      <w:r w:rsidRPr="00AD791A">
        <w:rPr>
          <w:rStyle w:val="st1"/>
          <w:rFonts w:ascii="Cambria" w:hAnsi="Cambria" w:cs="Arial"/>
          <w:sz w:val="20"/>
          <w:szCs w:val="20"/>
          <w:lang w:val="es-MX"/>
        </w:rPr>
        <w:t>[se le]</w:t>
      </w:r>
      <w:r w:rsidRPr="00AD791A">
        <w:rPr>
          <w:rFonts w:ascii="Cambria" w:hAnsi="Cambria"/>
          <w:sz w:val="20"/>
          <w:szCs w:val="20"/>
          <w:lang w:val="es-ES"/>
        </w:rPr>
        <w:t xml:space="preserve"> permit</w:t>
      </w:r>
      <w:r w:rsidRPr="00AD791A">
        <w:rPr>
          <w:rStyle w:val="st1"/>
          <w:rFonts w:ascii="Cambria" w:hAnsi="Cambria" w:cs="Arial"/>
          <w:sz w:val="20"/>
          <w:szCs w:val="20"/>
          <w:lang w:val="es-MX"/>
        </w:rPr>
        <w:t>[iera]</w:t>
      </w:r>
      <w:r w:rsidRPr="00AD791A">
        <w:rPr>
          <w:rFonts w:ascii="Cambria" w:hAnsi="Cambria"/>
          <w:sz w:val="20"/>
          <w:szCs w:val="20"/>
          <w:lang w:val="es-ES"/>
        </w:rPr>
        <w:t xml:space="preserve"> depositar en la Secretaría, la cantidad suficiente en moneda nacional, para fotocopiar todo lo actuado”</w:t>
      </w:r>
      <w:r w:rsidRPr="00AD791A">
        <w:rPr>
          <w:rStyle w:val="FootnoteReference"/>
          <w:rFonts w:ascii="Cambria" w:hAnsi="Cambria"/>
          <w:sz w:val="20"/>
          <w:szCs w:val="20"/>
          <w:lang w:val="es-ES"/>
        </w:rPr>
        <w:footnoteReference w:id="206"/>
      </w:r>
      <w:r w:rsidRPr="00AD791A">
        <w:rPr>
          <w:rFonts w:ascii="Cambria" w:hAnsi="Cambria"/>
          <w:sz w:val="20"/>
          <w:szCs w:val="20"/>
          <w:lang w:val="es-ES"/>
        </w:rPr>
        <w:t xml:space="preserve">. </w:t>
      </w:r>
    </w:p>
    <w:p w:rsidR="00673CF8" w:rsidRPr="00AD791A" w:rsidRDefault="00673CF8" w:rsidP="00673CF8">
      <w:pPr>
        <w:pStyle w:val="ListParagraph"/>
        <w:rPr>
          <w:rFonts w:ascii="Cambria" w:hAnsi="Cambria" w:cs="Arial"/>
          <w:sz w:val="20"/>
          <w:szCs w:val="20"/>
          <w:lang w:val="es-MX"/>
        </w:rPr>
      </w:pPr>
    </w:p>
    <w:p w:rsidR="00673CF8" w:rsidRPr="00AD791A" w:rsidRDefault="00673CF8" w:rsidP="00673CF8">
      <w:pPr>
        <w:numPr>
          <w:ilvl w:val="0"/>
          <w:numId w:val="1"/>
        </w:numPr>
        <w:tabs>
          <w:tab w:val="clear" w:pos="1260"/>
        </w:tabs>
        <w:ind w:left="0" w:firstLine="720"/>
        <w:jc w:val="both"/>
        <w:rPr>
          <w:rFonts w:ascii="Cambria" w:eastAsia="Times New Roman" w:hAnsi="Cambria" w:cs="Verdana"/>
          <w:sz w:val="20"/>
          <w:szCs w:val="20"/>
          <w:lang w:val="es-CO" w:bidi="en-US"/>
        </w:rPr>
      </w:pPr>
      <w:r w:rsidRPr="00AD791A">
        <w:rPr>
          <w:rFonts w:ascii="Cambria" w:hAnsi="Cambria" w:cs="Arial"/>
          <w:sz w:val="20"/>
          <w:szCs w:val="20"/>
          <w:lang w:val="es-MX"/>
        </w:rPr>
        <w:t>Sobre este punto, la CIDH también nota que tanto la Fiscal Auxiliar de la RAAS como la Fiscal Auxiliar de Managua se pronunciaron contra el rechazo de la apelación en referencia. La primera autoridad señaló que el rechazo de la apelación estaba “fuera de toda lógica jurídica</w:t>
      </w:r>
      <w:r w:rsidRPr="00AD791A">
        <w:rPr>
          <w:rFonts w:ascii="Cambria" w:hAnsi="Cambria"/>
          <w:spacing w:val="14"/>
          <w:sz w:val="20"/>
          <w:szCs w:val="20"/>
          <w:lang w:val="es-ES_tradnl"/>
        </w:rPr>
        <w:t>”</w:t>
      </w:r>
      <w:r w:rsidRPr="00AD791A">
        <w:rPr>
          <w:rStyle w:val="FootnoteReference"/>
          <w:rFonts w:ascii="Cambria" w:hAnsi="Cambria"/>
          <w:spacing w:val="14"/>
          <w:sz w:val="20"/>
          <w:szCs w:val="20"/>
        </w:rPr>
        <w:footnoteReference w:id="207"/>
      </w:r>
      <w:r w:rsidRPr="00AD791A">
        <w:rPr>
          <w:rFonts w:ascii="Cambria" w:hAnsi="Cambria"/>
          <w:spacing w:val="14"/>
          <w:sz w:val="20"/>
          <w:szCs w:val="20"/>
          <w:lang w:val="es-ES_tradnl"/>
        </w:rPr>
        <w:t xml:space="preserve">, </w:t>
      </w:r>
      <w:r w:rsidRPr="00AD791A">
        <w:rPr>
          <w:rFonts w:ascii="Cambria" w:hAnsi="Cambria" w:cs="Arial"/>
          <w:sz w:val="20"/>
          <w:szCs w:val="20"/>
          <w:lang w:val="es-MX"/>
        </w:rPr>
        <w:t>mientras que la segunda indicó que la apelación había sido mal denegada y que esta decisión confirmaba los errores del proceso relacionado con la investigación de la muerte del señor García Valle</w:t>
      </w:r>
      <w:r w:rsidRPr="00AD791A">
        <w:rPr>
          <w:rStyle w:val="FootnoteReference"/>
          <w:rFonts w:ascii="Cambria" w:hAnsi="Cambria" w:cs="Arial"/>
          <w:sz w:val="20"/>
          <w:szCs w:val="20"/>
          <w:lang w:val="es-MX"/>
        </w:rPr>
        <w:footnoteReference w:id="208"/>
      </w:r>
      <w:r w:rsidRPr="00AD791A">
        <w:rPr>
          <w:rFonts w:ascii="Cambria" w:hAnsi="Cambria" w:cs="Arial"/>
          <w:sz w:val="20"/>
          <w:szCs w:val="20"/>
          <w:lang w:val="es-MX"/>
        </w:rPr>
        <w:t xml:space="preserve">. </w:t>
      </w:r>
    </w:p>
    <w:p w:rsidR="00673CF8" w:rsidRPr="00AD791A" w:rsidRDefault="00673CF8" w:rsidP="00673CF8">
      <w:pPr>
        <w:pStyle w:val="ListParagraph"/>
        <w:rPr>
          <w:rFonts w:ascii="Cambria" w:hAnsi="Cambria" w:cs="Arial"/>
          <w:sz w:val="20"/>
          <w:szCs w:val="20"/>
          <w:lang w:val="es-MX"/>
        </w:rPr>
      </w:pPr>
    </w:p>
    <w:p w:rsidR="00673CF8" w:rsidRPr="00AD791A" w:rsidRDefault="00673CF8" w:rsidP="00673CF8">
      <w:pPr>
        <w:numPr>
          <w:ilvl w:val="0"/>
          <w:numId w:val="1"/>
        </w:numPr>
        <w:tabs>
          <w:tab w:val="clear" w:pos="1260"/>
        </w:tabs>
        <w:ind w:left="0" w:firstLine="720"/>
        <w:jc w:val="both"/>
        <w:rPr>
          <w:rFonts w:ascii="Cambria" w:eastAsia="Times New Roman" w:hAnsi="Cambria" w:cs="Verdana"/>
          <w:sz w:val="20"/>
          <w:szCs w:val="20"/>
          <w:lang w:val="es-CO" w:bidi="en-US"/>
        </w:rPr>
      </w:pPr>
      <w:r w:rsidRPr="00AD791A">
        <w:rPr>
          <w:rFonts w:ascii="Cambria" w:hAnsi="Cambria" w:cs="Arial"/>
          <w:sz w:val="20"/>
          <w:szCs w:val="20"/>
          <w:lang w:val="es-MX"/>
        </w:rPr>
        <w:t xml:space="preserve">Al respecto, la CIDH advierte que </w:t>
      </w:r>
      <w:r w:rsidRPr="00AD791A">
        <w:rPr>
          <w:rFonts w:ascii="Cambria" w:hAnsi="Cambria"/>
          <w:sz w:val="20"/>
          <w:szCs w:val="20"/>
          <w:lang w:val="es-MX"/>
        </w:rPr>
        <w:t xml:space="preserve">al rechazar el recurso de apelación contra el sobreseimiento de los supuestos autores intelectuales con base en una formalidad irrazonable y al haber impedido a la representación de la señora Acosta el cumplir con la misma, el Estado impidió que se continuara un proceso tendiente a la determinación de autoría intelectual en el asesinato del señor García Valle. </w:t>
      </w:r>
    </w:p>
    <w:p w:rsidR="00673CF8" w:rsidRPr="00AD791A" w:rsidRDefault="00673CF8" w:rsidP="009D7F32">
      <w:pPr>
        <w:pStyle w:val="PrrafodeSentencia"/>
        <w:ind w:left="1440" w:hanging="720"/>
        <w:rPr>
          <w:rFonts w:ascii="Cambria" w:hAnsi="Cambria"/>
          <w:lang w:val="es-CO"/>
        </w:rPr>
      </w:pPr>
    </w:p>
    <w:bookmarkEnd w:id="113"/>
    <w:bookmarkEnd w:id="114"/>
    <w:bookmarkEnd w:id="115"/>
    <w:bookmarkEnd w:id="116"/>
    <w:bookmarkEnd w:id="117"/>
    <w:bookmarkEnd w:id="118"/>
    <w:p w:rsidR="00673CF8" w:rsidRPr="00AD791A" w:rsidRDefault="00673CF8" w:rsidP="00673CF8">
      <w:pPr>
        <w:pStyle w:val="PrrafodeSentencia"/>
        <w:numPr>
          <w:ilvl w:val="0"/>
          <w:numId w:val="5"/>
        </w:numPr>
        <w:ind w:left="1440" w:hanging="720"/>
        <w:rPr>
          <w:rFonts w:ascii="Cambria" w:hAnsi="Cambria"/>
        </w:rPr>
      </w:pPr>
      <w:r w:rsidRPr="00AD791A">
        <w:rPr>
          <w:rFonts w:ascii="Cambria" w:hAnsi="Cambria"/>
        </w:rPr>
        <w:t xml:space="preserve">El derecho a una investigación en un plazo razonable sobre la muerte de Francisco    García Valle </w:t>
      </w:r>
      <w:r w:rsidRPr="00AD791A">
        <w:rPr>
          <w:rFonts w:ascii="Cambria" w:hAnsi="Cambria"/>
        </w:rPr>
        <w:tab/>
      </w:r>
    </w:p>
    <w:p w:rsidR="009D7F32" w:rsidRPr="00AD791A" w:rsidRDefault="009D7F32" w:rsidP="009D7F32">
      <w:pPr>
        <w:pStyle w:val="ListParagraph1"/>
        <w:ind w:left="0"/>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El artículo 8.1 de la Convención establece como uno de los elementos del debido proceso que los tribunales decidan los casos sometidos a su conocimiento en un plazo razonable. En este sentido, una demora prolongada puede llegar a constituir, por sí misma, una violación de las garantías judiciales</w:t>
      </w:r>
      <w:r w:rsidRPr="00AD791A">
        <w:rPr>
          <w:rStyle w:val="FootnoteReference"/>
          <w:rFonts w:ascii="Cambria" w:hAnsi="Cambria"/>
          <w:sz w:val="20"/>
          <w:szCs w:val="20"/>
          <w:lang w:val="es-ES"/>
        </w:rPr>
        <w:footnoteReference w:id="209"/>
      </w:r>
      <w:r w:rsidRPr="00AD791A">
        <w:rPr>
          <w:rFonts w:ascii="Cambria" w:hAnsi="Cambria"/>
          <w:sz w:val="20"/>
          <w:szCs w:val="20"/>
          <w:lang w:val="es-ES"/>
        </w:rPr>
        <w:t>, por lo que corresponde al Estado exponer y probar la razón por la cual se ha requerido más tiempo del razonable para dictar sentencia definitiva en un caso particular</w:t>
      </w:r>
      <w:r w:rsidRPr="00AD791A">
        <w:rPr>
          <w:rStyle w:val="FootnoteReference"/>
          <w:rFonts w:ascii="Cambria" w:hAnsi="Cambria"/>
          <w:sz w:val="20"/>
          <w:szCs w:val="20"/>
          <w:lang w:val="es-ES"/>
        </w:rPr>
        <w:footnoteReference w:id="210"/>
      </w:r>
      <w:r w:rsidRPr="00AD791A">
        <w:rPr>
          <w:rFonts w:ascii="Cambria" w:hAnsi="Cambria"/>
          <w:sz w:val="20"/>
          <w:szCs w:val="20"/>
          <w:lang w:val="es-ES"/>
        </w:rPr>
        <w:t>. En ese sentido, la razonabilidad del plazo se debe apreciar en relación con la duración total del procedimiento penal</w:t>
      </w:r>
      <w:r w:rsidRPr="00AD791A">
        <w:rPr>
          <w:rStyle w:val="FootnoteReference"/>
          <w:rFonts w:ascii="Cambria" w:hAnsi="Cambria"/>
          <w:sz w:val="20"/>
          <w:szCs w:val="20"/>
          <w:lang w:val="es-ES"/>
        </w:rPr>
        <w:footnoteReference w:id="211"/>
      </w:r>
      <w:r w:rsidRPr="00AD791A">
        <w:rPr>
          <w:rFonts w:ascii="Cambria" w:hAnsi="Cambria"/>
          <w:sz w:val="20"/>
          <w:szCs w:val="20"/>
          <w:lang w:val="es-ES"/>
        </w:rPr>
        <w:t>. Según los términos del artículo 8.1 de la Convención, la Comisión tomará en consideración, a la luz de las circunstancias concretas del caso, los tres elementos que ha tomado en cuenta en su jurisprudencia constante, a saber: a) la complejidad del asunto, b) la conducta de las autoridades judiciales, y c) la actividad procesal del interesado</w:t>
      </w:r>
      <w:r w:rsidRPr="00AD791A">
        <w:rPr>
          <w:rStyle w:val="FootnoteReference"/>
          <w:rFonts w:ascii="Cambria" w:hAnsi="Cambria"/>
          <w:sz w:val="20"/>
          <w:szCs w:val="20"/>
          <w:lang w:val="es-ES"/>
        </w:rPr>
        <w:footnoteReference w:id="212"/>
      </w:r>
      <w:r w:rsidRPr="00AD791A">
        <w:rPr>
          <w:rFonts w:ascii="Cambria" w:hAnsi="Cambria"/>
          <w:sz w:val="20"/>
          <w:szCs w:val="20"/>
          <w:lang w:val="es-ES"/>
        </w:rPr>
        <w:t>. La Comisión considera que el cuarto elemento establecido en la jurisprudencia no resulta indispensable en e</w:t>
      </w:r>
      <w:r w:rsidR="00E435F1" w:rsidRPr="00AD791A">
        <w:rPr>
          <w:rFonts w:ascii="Cambria" w:hAnsi="Cambria"/>
          <w:sz w:val="20"/>
          <w:szCs w:val="20"/>
          <w:lang w:val="es-ES"/>
        </w:rPr>
        <w:t xml:space="preserve">l análisis de la presente causa. </w:t>
      </w:r>
    </w:p>
    <w:p w:rsidR="009D7F32" w:rsidRPr="00AD791A" w:rsidRDefault="009D7F32" w:rsidP="009D7F32">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En el presente caso, la investigación inició el mismo 8 de abril de 200</w:t>
      </w:r>
      <w:r w:rsidR="0092592A" w:rsidRPr="00AD791A">
        <w:rPr>
          <w:rFonts w:ascii="Cambria" w:hAnsi="Cambria"/>
          <w:sz w:val="20"/>
          <w:szCs w:val="20"/>
          <w:lang w:val="es-MX"/>
        </w:rPr>
        <w:t>2</w:t>
      </w:r>
      <w:r w:rsidRPr="00AD791A">
        <w:rPr>
          <w:rFonts w:ascii="Cambria" w:hAnsi="Cambria"/>
          <w:sz w:val="20"/>
          <w:szCs w:val="20"/>
          <w:lang w:val="es-MX"/>
        </w:rPr>
        <w:t xml:space="preserve"> y culminó el 22 de diciembre de 2006 cuando se decidió el recurso de casación interpuesto por la señora Acosta. En ese sentido, la investigación y proceso penal tuvieron una duración de cuatro años y ocho meses.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En lo que concierne al primer elemento, la Comisión observa que el presente caso no presenta características de complejidad</w:t>
      </w:r>
      <w:r w:rsidR="00EB1295" w:rsidRPr="00AD791A">
        <w:rPr>
          <w:rFonts w:ascii="Cambria" w:hAnsi="Cambria"/>
          <w:sz w:val="20"/>
          <w:szCs w:val="20"/>
          <w:lang w:val="es-MX"/>
        </w:rPr>
        <w:t>, y que el Estado por su parte, no presentó alegatos o pruebas en este sentido</w:t>
      </w:r>
      <w:r w:rsidRPr="00AD791A">
        <w:rPr>
          <w:rFonts w:ascii="Cambria" w:hAnsi="Cambria"/>
          <w:sz w:val="20"/>
          <w:szCs w:val="20"/>
          <w:lang w:val="es-MX"/>
        </w:rPr>
        <w:t xml:space="preserve">. En efecto, no se trata de un caso en donde existiera una pluralidad de víctimas, las circunstancias de la muerte no presentan características particularmente complejas y, por el contrario, había plena individualización de los posibles autores materiales e intelectuales y consta la existencia de testigos. </w:t>
      </w:r>
    </w:p>
    <w:p w:rsidR="009D7F32" w:rsidRPr="00AD791A" w:rsidRDefault="009D7F32" w:rsidP="009D7F32">
      <w:pPr>
        <w:pStyle w:val="ListParagraph1"/>
        <w:rPr>
          <w:rFonts w:ascii="Cambria" w:hAnsi="Cambria"/>
          <w:sz w:val="20"/>
          <w:szCs w:val="20"/>
          <w:lang w:val="es-MX"/>
        </w:rPr>
      </w:pPr>
    </w:p>
    <w:p w:rsidR="00CB49BB"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En cuanto a la conducta de las autoridades, la Comisión advierte que existieron dilaciones que no estuvieron justificadas conforme a los momentos procesales específicos. Así por ejemplo, respecto del re</w:t>
      </w:r>
      <w:r w:rsidR="00B13299" w:rsidRPr="00AD791A">
        <w:rPr>
          <w:rFonts w:ascii="Cambria" w:hAnsi="Cambria"/>
          <w:sz w:val="20"/>
          <w:szCs w:val="20"/>
          <w:lang w:val="es-MX"/>
        </w:rPr>
        <w:t>c</w:t>
      </w:r>
      <w:r w:rsidRPr="00AD791A">
        <w:rPr>
          <w:rFonts w:ascii="Cambria" w:hAnsi="Cambria"/>
          <w:sz w:val="20"/>
          <w:szCs w:val="20"/>
          <w:lang w:val="es-MX"/>
        </w:rPr>
        <w:t xml:space="preserve">urso de casación a la sentencia ante la Sala Penal de la Corte Suprema de Justicia, la Comisión observa que este recurso fue presentado por el representante de la señora Acosta el 27 de diciembre de 2004 y a pesar de que la respectiva tramitación se enmarca en  una etapa procesal en la que no se estaba practicando algún tipo de prueba, fue después de dos años que la Sala Penal de la Corte Suprema de Justicia declaró sin lugar la casación. Asimismo, la Comisión también observa que existieron dilaciones por parte de la autoridad respecto de la realización de diligencias que ayudarían a esclarecer los hechos del presente caso y que estaban directamente relacionadas con la participación del señor Tsokos en el crimen del señor García Valle. Al respecto, a más de cinco meses después de que el Médico Forense Suplente entregara a la Policía Nacional el proyectil, la Policía presentó al Juez de Distrito del Crimen el informe balístico que establecía que el proyectil se había disparado con un arma propiedad de Peter Tsokos. </w:t>
      </w:r>
    </w:p>
    <w:p w:rsidR="00CB49BB" w:rsidRPr="00AD791A" w:rsidRDefault="00CB49BB" w:rsidP="00697CED">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Pero más allá de los retrasos puntuales que tuvieron lugar en la práctica de pruebas y recursos específicos, la Comisión destaca en este punto la actitud omisiva de las autoridades estatales en dar seguimiento a los indicios relativos a la autoría intelectual y abrir e impulsar líneas de investigación al respecto. Esta omisión </w:t>
      </w:r>
      <w:r w:rsidR="00EB1295" w:rsidRPr="00AD791A">
        <w:rPr>
          <w:rFonts w:ascii="Cambria" w:hAnsi="Cambria"/>
          <w:sz w:val="20"/>
          <w:szCs w:val="20"/>
          <w:lang w:val="es-MX"/>
        </w:rPr>
        <w:t>–</w:t>
      </w:r>
      <w:r w:rsidRPr="00AD791A">
        <w:rPr>
          <w:rFonts w:ascii="Cambria" w:hAnsi="Cambria"/>
          <w:sz w:val="20"/>
          <w:szCs w:val="20"/>
          <w:lang w:val="es-MX"/>
        </w:rPr>
        <w:t xml:space="preserve">que la Comisión ya encontró como una forma de encubrimiento– ha tenido lugar por más de una década sin justificación alguna. Lo mismo ha sucedido con las demoras en la realización de diligencias para la identificación del tercer autor material. Cabe mencionar en este punto también la demora y desacato en que incurrieron la Comisión del Régimen Disciplinario y la Corte Suprema de Justicia ante las quejas interpuestas por la señora Acosta y frente a las recomendaciones emitidas por la </w:t>
      </w:r>
      <w:r w:rsidR="009A1B64" w:rsidRPr="00AD791A">
        <w:rPr>
          <w:rFonts w:ascii="Cambria" w:hAnsi="Cambria"/>
          <w:sz w:val="20"/>
          <w:szCs w:val="20"/>
          <w:lang w:val="es-MX"/>
        </w:rPr>
        <w:t xml:space="preserve">PDDH. </w:t>
      </w:r>
    </w:p>
    <w:p w:rsidR="009D7F32" w:rsidRPr="00AD791A" w:rsidRDefault="009D7F32" w:rsidP="009D7F32">
      <w:pPr>
        <w:pStyle w:val="ListParagraph1"/>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En relación con el tercer elemento, no existe elemento alguno en el expediente que indique que las demoras pudieran ser atribuibles a la familia del señor García Valle. Por el contrario, a pesar de que en este caso correspondía al Estado impulsar la investigación de oficio, la Comisión hace notar que los familiares del señor García Valle asumieron una posición activa desde el inicio del proceso, al poner –cuando así les fue permitido– en conocimiento de las autoridades la información de la cual disponían. Asimismo, presentaron distintos recursos tanto ordinarios como por la vía incidental y ante órganos disciplinarios con el fin de impulsar el proceso. </w:t>
      </w:r>
    </w:p>
    <w:p w:rsidR="009D7F32" w:rsidRPr="00AD791A" w:rsidRDefault="009D7F32" w:rsidP="009D7F32">
      <w:pPr>
        <w:pStyle w:val="ListParagraph1"/>
        <w:ind w:left="0"/>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En suma, la Comisión considera que durante la investigación y proceso penal existieron varias demoras injustificadas, particularmente en la resolución del recurso de casación</w:t>
      </w:r>
      <w:r w:rsidR="00EB1295" w:rsidRPr="00AD791A">
        <w:rPr>
          <w:rFonts w:ascii="Cambria" w:hAnsi="Cambria"/>
          <w:sz w:val="20"/>
          <w:szCs w:val="20"/>
          <w:lang w:val="es-MX"/>
        </w:rPr>
        <w:t xml:space="preserve">, que </w:t>
      </w:r>
      <w:r w:rsidRPr="00AD791A">
        <w:rPr>
          <w:rFonts w:ascii="Cambria" w:hAnsi="Cambria"/>
          <w:sz w:val="20"/>
          <w:szCs w:val="20"/>
          <w:lang w:val="es-MX"/>
        </w:rPr>
        <w:t xml:space="preserve">constituyen un incumplimiento de la garantía de plazo razonable. </w:t>
      </w:r>
    </w:p>
    <w:p w:rsidR="009D7F32" w:rsidRPr="00AD791A" w:rsidRDefault="009D7F32" w:rsidP="009D7F32">
      <w:pPr>
        <w:pStyle w:val="ListParagraph1"/>
        <w:rPr>
          <w:rFonts w:ascii="Cambria" w:hAnsi="Cambria"/>
          <w:sz w:val="20"/>
          <w:szCs w:val="20"/>
          <w:lang w:val="es-MX"/>
        </w:rPr>
      </w:pPr>
    </w:p>
    <w:p w:rsidR="009D7F32" w:rsidRPr="00AD791A" w:rsidRDefault="00BF0F42" w:rsidP="006264C8">
      <w:pPr>
        <w:pStyle w:val="ListParagraph1"/>
        <w:outlineLvl w:val="2"/>
        <w:rPr>
          <w:rFonts w:ascii="Cambria" w:hAnsi="Cambria"/>
          <w:b/>
          <w:sz w:val="20"/>
          <w:szCs w:val="20"/>
          <w:lang w:val="es-MX"/>
        </w:rPr>
      </w:pPr>
      <w:bookmarkStart w:id="119" w:name="_Toc414177732"/>
      <w:bookmarkStart w:id="120" w:name="_Toc414177757"/>
      <w:r w:rsidRPr="00AD791A">
        <w:rPr>
          <w:rFonts w:ascii="Cambria" w:hAnsi="Cambria"/>
          <w:b/>
          <w:sz w:val="20"/>
          <w:szCs w:val="20"/>
          <w:lang w:val="es-MX"/>
        </w:rPr>
        <w:t>4</w:t>
      </w:r>
      <w:r w:rsidR="009D7F32" w:rsidRPr="00AD791A">
        <w:rPr>
          <w:rFonts w:ascii="Cambria" w:hAnsi="Cambria"/>
          <w:b/>
          <w:sz w:val="20"/>
          <w:szCs w:val="20"/>
          <w:lang w:val="es-MX"/>
        </w:rPr>
        <w:t>.</w:t>
      </w:r>
      <w:r w:rsidR="009D7F32" w:rsidRPr="00AD791A">
        <w:rPr>
          <w:rFonts w:ascii="Cambria" w:hAnsi="Cambria"/>
          <w:b/>
          <w:sz w:val="20"/>
          <w:szCs w:val="20"/>
          <w:lang w:val="es-MX"/>
        </w:rPr>
        <w:tab/>
        <w:t>Conclusión</w:t>
      </w:r>
      <w:bookmarkEnd w:id="119"/>
      <w:bookmarkEnd w:id="120"/>
    </w:p>
    <w:p w:rsidR="009D7F32" w:rsidRPr="00AD791A" w:rsidRDefault="009D7F32" w:rsidP="009D7F32">
      <w:pPr>
        <w:pStyle w:val="ListParagraph1"/>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En virtud de todo lo indicado, la Comisión concluye que a pesar de que al momento de la emisión de este informe haya dos personas condenadas por los hechos, las autoridades internas no actuaron con la debida diligencia en la investigación completa de la autoría material de los hechos ni en la investigación del móvil del aseninato del señor García Valle y de su autoría intelectual, siendo estos elementos centrales del esclarecimiento de hechos como los del presentecaso, particularmente cuando pudo tratarse de un acto de represalia e intimidación por labores de defensa de los derechos humanos. Asimismo, la Comisión concluye que la familia del señor García Valle no contó con un recurso sencillo y efectivo frente al sobreseimiento </w:t>
      </w:r>
      <w:r w:rsidR="00FA4327" w:rsidRPr="00AD791A">
        <w:rPr>
          <w:rFonts w:ascii="Cambria" w:hAnsi="Cambria"/>
          <w:sz w:val="20"/>
          <w:szCs w:val="20"/>
          <w:lang w:val="es-MX"/>
        </w:rPr>
        <w:t>d</w:t>
      </w:r>
      <w:r w:rsidRPr="00AD791A">
        <w:rPr>
          <w:rFonts w:ascii="Cambria" w:hAnsi="Cambria"/>
          <w:sz w:val="20"/>
          <w:szCs w:val="20"/>
          <w:lang w:val="es-MX"/>
        </w:rPr>
        <w:t>e los presuntos autores intelectuales</w:t>
      </w:r>
      <w:r w:rsidR="003738B3" w:rsidRPr="00AD791A">
        <w:rPr>
          <w:rFonts w:ascii="Cambria" w:hAnsi="Cambria"/>
          <w:sz w:val="20"/>
          <w:szCs w:val="20"/>
          <w:lang w:val="es-MX"/>
        </w:rPr>
        <w:t>,</w:t>
      </w:r>
      <w:r w:rsidRPr="00AD791A">
        <w:rPr>
          <w:rFonts w:ascii="Cambria" w:hAnsi="Cambria"/>
          <w:sz w:val="20"/>
          <w:szCs w:val="20"/>
          <w:lang w:val="es-MX"/>
        </w:rPr>
        <w:t xml:space="preserve"> y que</w:t>
      </w:r>
      <w:r w:rsidR="00B84896" w:rsidRPr="00AD791A">
        <w:rPr>
          <w:rFonts w:ascii="Cambria" w:hAnsi="Cambria"/>
          <w:sz w:val="20"/>
          <w:szCs w:val="20"/>
          <w:lang w:val="es-MX"/>
        </w:rPr>
        <w:t xml:space="preserve"> </w:t>
      </w:r>
      <w:r w:rsidRPr="00AD791A">
        <w:rPr>
          <w:rFonts w:ascii="Cambria" w:hAnsi="Cambria"/>
          <w:sz w:val="20"/>
          <w:szCs w:val="20"/>
          <w:lang w:val="es-MX"/>
        </w:rPr>
        <w:t xml:space="preserve">el Estado ha incumplido con la garantía de plazo razonable. En consecuencia, la Comisión concluye que el </w:t>
      </w:r>
      <w:r w:rsidRPr="00AD791A">
        <w:rPr>
          <w:rFonts w:ascii="Cambria" w:hAnsi="Cambria"/>
          <w:spacing w:val="-2"/>
          <w:sz w:val="20"/>
          <w:szCs w:val="20"/>
          <w:lang w:val="es-MX"/>
        </w:rPr>
        <w:t xml:space="preserve">Estado violó los derechos a las garantías y a la protección judicial previstos en los artículos 8.1 y 25.1 de la Convención Americana, en relación con el artículo 1.1 de la misma, en perjuicio de </w:t>
      </w:r>
      <w:r w:rsidRPr="00AD791A">
        <w:rPr>
          <w:rFonts w:ascii="Cambria" w:hAnsi="Cambria"/>
          <w:sz w:val="20"/>
          <w:szCs w:val="20"/>
          <w:lang w:val="es-MX"/>
        </w:rPr>
        <w:t xml:space="preserve">María Luisa Acosta, </w:t>
      </w:r>
      <w:r w:rsidRPr="00AD791A">
        <w:rPr>
          <w:rFonts w:ascii="Cambria" w:hAnsi="Cambria"/>
          <w:sz w:val="20"/>
          <w:szCs w:val="20"/>
          <w:lang w:val="es-ES"/>
        </w:rPr>
        <w:t>Ana María Vergara Acosta, Álvaro Arístides Vergara Acosta, Leonor del Carmen Valle de García y Rodolfo García Solari</w:t>
      </w:r>
      <w:r w:rsidRPr="00AD791A">
        <w:rPr>
          <w:rFonts w:ascii="Cambria" w:hAnsi="Cambria"/>
          <w:spacing w:val="-2"/>
          <w:sz w:val="20"/>
          <w:szCs w:val="20"/>
          <w:lang w:val="es-MX"/>
        </w:rPr>
        <w:t xml:space="preserve">. </w:t>
      </w:r>
    </w:p>
    <w:p w:rsidR="009D7F32" w:rsidRPr="00AD791A" w:rsidRDefault="009D7F32" w:rsidP="009D7F32">
      <w:pPr>
        <w:pStyle w:val="ListParagraph1"/>
        <w:ind w:left="0"/>
        <w:rPr>
          <w:rFonts w:ascii="Cambria" w:hAnsi="Cambria"/>
          <w:sz w:val="20"/>
          <w:szCs w:val="20"/>
          <w:lang w:val="es-MX"/>
        </w:rPr>
      </w:pPr>
    </w:p>
    <w:p w:rsidR="009D7F32" w:rsidRPr="00AD791A" w:rsidRDefault="009D7F32" w:rsidP="006264C8">
      <w:pPr>
        <w:pStyle w:val="TOC3"/>
        <w:outlineLvl w:val="1"/>
        <w:rPr>
          <w:rFonts w:ascii="Cambria" w:hAnsi="Cambria"/>
        </w:rPr>
      </w:pPr>
      <w:bookmarkStart w:id="121" w:name="_Toc412647996"/>
      <w:bookmarkStart w:id="122" w:name="_Toc412648030"/>
      <w:bookmarkStart w:id="123" w:name="_Toc414177733"/>
      <w:bookmarkStart w:id="124" w:name="_Toc414177758"/>
      <w:r w:rsidRPr="00AD791A">
        <w:rPr>
          <w:rFonts w:ascii="Cambria" w:hAnsi="Cambria"/>
        </w:rPr>
        <w:t>B.</w:t>
      </w:r>
      <w:r w:rsidRPr="00AD791A">
        <w:rPr>
          <w:rFonts w:ascii="Cambria" w:hAnsi="Cambria"/>
        </w:rPr>
        <w:tab/>
        <w:t>Derecho a las garantías judiciales y la protección judicial (Artículos 8.1 y 25.1 de la Convención Americana) en relación con el artículo 5 de la Convención</w:t>
      </w:r>
      <w:bookmarkEnd w:id="121"/>
      <w:bookmarkEnd w:id="122"/>
      <w:r w:rsidR="00C41015" w:rsidRPr="00AD791A">
        <w:rPr>
          <w:rFonts w:ascii="Cambria" w:hAnsi="Cambria"/>
        </w:rPr>
        <w:t xml:space="preserve">, respecto </w:t>
      </w:r>
      <w:r w:rsidR="00F62054" w:rsidRPr="00AD791A">
        <w:rPr>
          <w:rFonts w:ascii="Cambria" w:hAnsi="Cambria"/>
        </w:rPr>
        <w:t>de</w:t>
      </w:r>
      <w:r w:rsidR="00C41015" w:rsidRPr="00AD791A">
        <w:rPr>
          <w:rFonts w:ascii="Cambria" w:hAnsi="Cambria"/>
        </w:rPr>
        <w:t xml:space="preserve"> los procesos abiertos contra la señora Acosta</w:t>
      </w:r>
      <w:bookmarkEnd w:id="123"/>
      <w:bookmarkEnd w:id="124"/>
    </w:p>
    <w:p w:rsidR="009D7F32" w:rsidRPr="00AD791A" w:rsidRDefault="009D7F32" w:rsidP="009D7F32">
      <w:pPr>
        <w:pStyle w:val="ListParagraph1"/>
        <w:ind w:left="0"/>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Como quedó establecido en los hechos probados, contra la señora Acosta se siguieron tres procesos de los cuales dos son de naturaleza penal: </w:t>
      </w:r>
      <w:r w:rsidRPr="00AD791A">
        <w:rPr>
          <w:rFonts w:ascii="Cambria" w:hAnsi="Cambria" w:cs="Arial"/>
          <w:sz w:val="20"/>
          <w:szCs w:val="20"/>
          <w:lang w:val="es-ES"/>
        </w:rPr>
        <w:t xml:space="preserve">a) la investigación penal por </w:t>
      </w:r>
      <w:r w:rsidRPr="00AD791A">
        <w:rPr>
          <w:rFonts w:ascii="Cambria" w:hAnsi="Cambria"/>
          <w:sz w:val="20"/>
          <w:szCs w:val="20"/>
          <w:lang w:val="es-MX"/>
        </w:rPr>
        <w:t xml:space="preserve">el supuesto encubrimiento de la investigación del crimen del señor García Valle; b) la investigación penal por los delitos de “falso testimonio y denuncia falsa”; y c) el proceso civil por daños y perjuicios. A continuación, la Comisión procede a analizar si en el contexto de los procesos seguidos contra la señora Acosta, se configuraron violaciones a los artículos 5, 8 y 25 de la Convención Americana. La Comisión analizará cada uno de estos procesos y, posteriormente, se pronunciará sobre el alegato de los peticionarios en el sentido de que los mismos constituyeron un medio para hostigar o intimidar a la señora Acosta por sus actividades de defensa de los derechos humanos. </w:t>
      </w:r>
    </w:p>
    <w:p w:rsidR="009D7F32" w:rsidRPr="00AD791A" w:rsidRDefault="009D7F32" w:rsidP="009D7F32">
      <w:pPr>
        <w:jc w:val="both"/>
        <w:rPr>
          <w:rFonts w:ascii="Cambria" w:hAnsi="Cambria"/>
          <w:sz w:val="20"/>
          <w:szCs w:val="20"/>
          <w:lang w:val="es-MX"/>
        </w:rPr>
      </w:pPr>
    </w:p>
    <w:p w:rsidR="009D7F32" w:rsidRPr="00AD791A" w:rsidRDefault="009D7F32" w:rsidP="006264C8">
      <w:pPr>
        <w:pStyle w:val="Heading3"/>
        <w:numPr>
          <w:ilvl w:val="0"/>
          <w:numId w:val="0"/>
        </w:numPr>
        <w:ind w:left="1440" w:hanging="720"/>
        <w:rPr>
          <w:b w:val="0"/>
          <w:lang w:val="es-MX"/>
        </w:rPr>
      </w:pPr>
      <w:bookmarkStart w:id="125" w:name="_Toc414177734"/>
      <w:bookmarkStart w:id="126" w:name="_Toc414177759"/>
      <w:r w:rsidRPr="00AD791A">
        <w:rPr>
          <w:rFonts w:cs="Arial"/>
          <w:lang w:val="es-ES"/>
        </w:rPr>
        <w:t xml:space="preserve">1. </w:t>
      </w:r>
      <w:r w:rsidR="00270BC7" w:rsidRPr="00AD791A">
        <w:rPr>
          <w:rFonts w:cs="Arial"/>
          <w:lang w:val="es-ES"/>
        </w:rPr>
        <w:tab/>
      </w:r>
      <w:r w:rsidRPr="00AD791A">
        <w:rPr>
          <w:rFonts w:cs="Arial"/>
          <w:lang w:val="es-ES"/>
        </w:rPr>
        <w:t xml:space="preserve">La investigación penal por </w:t>
      </w:r>
      <w:r w:rsidRPr="00AD791A">
        <w:rPr>
          <w:lang w:val="es-MX"/>
        </w:rPr>
        <w:t>el supuesto encubrimiento de la investigación del crimen del señor García Valle</w:t>
      </w:r>
      <w:bookmarkEnd w:id="125"/>
      <w:bookmarkEnd w:id="126"/>
    </w:p>
    <w:p w:rsidR="009D7F32" w:rsidRPr="00AD791A" w:rsidRDefault="009D7F32" w:rsidP="009D7F32">
      <w:pPr>
        <w:jc w:val="both"/>
        <w:rPr>
          <w:rFonts w:ascii="Cambria" w:hAnsi="Cambria"/>
          <w:b/>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cs="Arial"/>
          <w:sz w:val="20"/>
          <w:szCs w:val="20"/>
          <w:lang w:val="es-MX"/>
        </w:rPr>
      </w:pPr>
      <w:r w:rsidRPr="00AD791A">
        <w:rPr>
          <w:rFonts w:ascii="Cambria" w:hAnsi="Cambria" w:cs="Arial"/>
          <w:sz w:val="20"/>
          <w:szCs w:val="20"/>
          <w:lang w:val="es-ES"/>
        </w:rPr>
        <w:t xml:space="preserve">La Comisión recuerda que este proceso se inició </w:t>
      </w:r>
      <w:r w:rsidRPr="00AD791A">
        <w:rPr>
          <w:rFonts w:ascii="Cambria" w:hAnsi="Cambria"/>
          <w:sz w:val="20"/>
          <w:szCs w:val="20"/>
          <w:lang w:val="es-ES_tradnl"/>
        </w:rPr>
        <w:t>con base</w:t>
      </w:r>
      <w:r w:rsidR="00A833AA" w:rsidRPr="00AD791A">
        <w:rPr>
          <w:rFonts w:ascii="Cambria" w:hAnsi="Cambria"/>
          <w:sz w:val="20"/>
          <w:szCs w:val="20"/>
          <w:lang w:val="es-ES_tradnl"/>
        </w:rPr>
        <w:t xml:space="preserve"> en</w:t>
      </w:r>
      <w:r w:rsidRPr="00AD791A">
        <w:rPr>
          <w:rFonts w:ascii="Cambria" w:hAnsi="Cambria"/>
          <w:sz w:val="20"/>
          <w:szCs w:val="20"/>
          <w:lang w:val="es-ES_tradnl"/>
        </w:rPr>
        <w:t xml:space="preserve"> </w:t>
      </w:r>
      <w:r w:rsidR="009C03B0" w:rsidRPr="00AD791A">
        <w:rPr>
          <w:rFonts w:ascii="Cambria" w:hAnsi="Cambria"/>
          <w:sz w:val="20"/>
          <w:szCs w:val="20"/>
          <w:lang w:val="es-ES_tradnl"/>
        </w:rPr>
        <w:t xml:space="preserve">el </w:t>
      </w:r>
      <w:r w:rsidRPr="00AD791A">
        <w:rPr>
          <w:rFonts w:ascii="Cambria" w:hAnsi="Cambria"/>
          <w:sz w:val="20"/>
          <w:szCs w:val="20"/>
          <w:lang w:val="es-ES_tradnl"/>
        </w:rPr>
        <w:t>dichos de</w:t>
      </w:r>
      <w:r w:rsidR="009C03B0" w:rsidRPr="00AD791A">
        <w:rPr>
          <w:rFonts w:ascii="Cambria" w:hAnsi="Cambria"/>
          <w:sz w:val="20"/>
          <w:szCs w:val="20"/>
          <w:lang w:val="es-ES_tradnl"/>
        </w:rPr>
        <w:t xml:space="preserve">l señor Martínez en su declaración indagatoria. </w:t>
      </w:r>
      <w:r w:rsidRPr="00AD791A">
        <w:rPr>
          <w:rFonts w:ascii="Cambria" w:hAnsi="Cambria"/>
          <w:sz w:val="20"/>
          <w:szCs w:val="20"/>
          <w:lang w:val="es-ES_tradnl"/>
        </w:rPr>
        <w:t xml:space="preserve">El contenido de tales dichos se relacionó con que la señora Acosta no había informado </w:t>
      </w:r>
      <w:r w:rsidRPr="00AD791A">
        <w:rPr>
          <w:rStyle w:val="st1"/>
          <w:rFonts w:ascii="Cambria" w:hAnsi="Cambria" w:cs="Arial"/>
          <w:sz w:val="20"/>
          <w:szCs w:val="20"/>
          <w:lang w:val="es-MX"/>
        </w:rPr>
        <w:t>sobre la</w:t>
      </w:r>
      <w:r w:rsidRPr="00AD791A">
        <w:rPr>
          <w:rFonts w:ascii="Cambria" w:hAnsi="Cambria" w:cs="Garamond"/>
          <w:sz w:val="20"/>
          <w:szCs w:val="20"/>
          <w:lang w:val="es-ES_tradnl"/>
        </w:rPr>
        <w:t xml:space="preserve"> identidad o localización de una de las personas que habrían matado a su esposo. A pesar de que de la propia declaración de la señora Acosta resulta claramente que este dicho no es ajustado a la verdad,</w:t>
      </w:r>
      <w:r w:rsidRPr="00AD791A">
        <w:rPr>
          <w:rFonts w:ascii="Cambria" w:hAnsi="Cambria"/>
          <w:sz w:val="20"/>
          <w:szCs w:val="20"/>
          <w:lang w:val="es-ES_tradnl"/>
        </w:rPr>
        <w:t xml:space="preserve"> </w:t>
      </w:r>
      <w:r w:rsidRPr="00AD791A">
        <w:rPr>
          <w:rFonts w:ascii="Cambria" w:hAnsi="Cambria" w:cs="Garamond"/>
          <w:sz w:val="20"/>
          <w:szCs w:val="20"/>
          <w:lang w:val="es-ES_tradnl"/>
        </w:rPr>
        <w:t xml:space="preserve">el Juez de Distrito </w:t>
      </w:r>
      <w:r w:rsidRPr="00AD791A">
        <w:rPr>
          <w:rFonts w:ascii="Cambria" w:hAnsi="Cambria"/>
          <w:sz w:val="20"/>
          <w:szCs w:val="20"/>
          <w:lang w:val="es-ES_tradnl"/>
        </w:rPr>
        <w:t>del Crimen</w:t>
      </w:r>
      <w:r w:rsidRPr="00AD791A">
        <w:rPr>
          <w:rFonts w:ascii="Cambria" w:hAnsi="Cambria" w:cs="Garamond"/>
          <w:sz w:val="20"/>
          <w:szCs w:val="20"/>
          <w:lang w:val="es-ES_tradnl"/>
        </w:rPr>
        <w:t xml:space="preserve"> dispuso la apertura de la investigación en su contra. La Comisión hace notar que la ausencia de base para la apertura de esta investigación fue confirmada por varias autoridades investigativas. En particular, </w:t>
      </w:r>
      <w:r w:rsidRPr="00AD791A">
        <w:rPr>
          <w:rFonts w:ascii="Cambria" w:hAnsi="Cambria" w:cs="Arial"/>
          <w:sz w:val="20"/>
          <w:szCs w:val="20"/>
          <w:lang w:val="es-MX"/>
        </w:rPr>
        <w:t>la Fiscal Auxiliar de Managua refirió que a la señora Acosta se le estaba procesando para atemorizarla</w:t>
      </w:r>
      <w:r w:rsidRPr="00AD791A">
        <w:rPr>
          <w:rStyle w:val="FootnoteReference"/>
          <w:rFonts w:ascii="Cambria" w:hAnsi="Cambria" w:cs="Arial"/>
          <w:sz w:val="20"/>
          <w:szCs w:val="20"/>
          <w:lang w:val="es-MX"/>
        </w:rPr>
        <w:footnoteReference w:id="213"/>
      </w:r>
      <w:r w:rsidRPr="00AD791A">
        <w:rPr>
          <w:rFonts w:ascii="Cambria" w:hAnsi="Cambria" w:cs="Arial Narrow"/>
          <w:spacing w:val="-2"/>
          <w:sz w:val="20"/>
          <w:szCs w:val="20"/>
          <w:lang w:val="es-MX"/>
        </w:rPr>
        <w:t xml:space="preserve">, mientras que </w:t>
      </w:r>
      <w:r w:rsidRPr="00AD791A">
        <w:rPr>
          <w:rFonts w:ascii="Cambria" w:hAnsi="Cambria" w:cs="Garamond"/>
          <w:sz w:val="20"/>
          <w:szCs w:val="20"/>
          <w:lang w:val="es-ES_tradnl"/>
        </w:rPr>
        <w:t>la Fiscal Auxiliar de la RAAS señaló que el cambio de calidad de ofendida a procesada era “supremamente irregular” y “</w:t>
      </w:r>
      <w:r w:rsidRPr="00AD791A">
        <w:rPr>
          <w:rFonts w:ascii="Cambria" w:hAnsi="Cambria" w:cs="Arial"/>
          <w:sz w:val="20"/>
          <w:szCs w:val="20"/>
          <w:lang w:val="es-MX"/>
        </w:rPr>
        <w:t>resulta</w:t>
      </w:r>
      <w:hyperlink r:id="rId33" w:anchor="Corchetes_.5B_.5D" w:history="1">
        <w:r w:rsidRPr="00AD791A">
          <w:rPr>
            <w:rFonts w:ascii="Cambria" w:hAnsi="Cambria" w:cs="Arial"/>
            <w:sz w:val="20"/>
            <w:szCs w:val="20"/>
            <w:lang w:val="es-MX"/>
          </w:rPr>
          <w:t>[ba]</w:t>
        </w:r>
      </w:hyperlink>
      <w:r w:rsidRPr="00AD791A">
        <w:rPr>
          <w:rFonts w:ascii="Cambria" w:hAnsi="Cambria" w:cs="Arial"/>
          <w:sz w:val="20"/>
          <w:szCs w:val="20"/>
          <w:lang w:val="es-MX"/>
        </w:rPr>
        <w:t xml:space="preserve"> un absurdo jurídico</w:t>
      </w:r>
      <w:r w:rsidRPr="00AD791A">
        <w:rPr>
          <w:rStyle w:val="FootnoteReference"/>
          <w:rFonts w:ascii="Cambria" w:hAnsi="Cambria"/>
          <w:spacing w:val="14"/>
          <w:sz w:val="20"/>
          <w:szCs w:val="20"/>
        </w:rPr>
        <w:footnoteReference w:id="214"/>
      </w:r>
      <w:r w:rsidRPr="00AD791A">
        <w:rPr>
          <w:rFonts w:ascii="Cambria" w:hAnsi="Cambria" w:cs="Arial"/>
          <w:sz w:val="20"/>
          <w:szCs w:val="20"/>
          <w:lang w:val="es-MX"/>
        </w:rPr>
        <w:t xml:space="preserve">”. </w:t>
      </w:r>
    </w:p>
    <w:p w:rsidR="009D7F32" w:rsidRPr="00AD791A" w:rsidRDefault="009D7F32" w:rsidP="009D7F32">
      <w:pPr>
        <w:jc w:val="both"/>
        <w:rPr>
          <w:rFonts w:ascii="Cambria" w:hAnsi="Cambria" w:cs="Garamond"/>
          <w:sz w:val="20"/>
          <w:szCs w:val="20"/>
          <w:lang w:val="es-ES_tradnl"/>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cs="Garamond"/>
          <w:sz w:val="20"/>
          <w:szCs w:val="20"/>
          <w:lang w:val="es-ES_tradnl"/>
        </w:rPr>
        <w:t xml:space="preserve">En cuanto al derecho a contar con un abogado o abogada defensor o defensora conforme al artículo 8.2 de la Convención Americana, la Comisión observa que debido a que el poder mediante el cual el representante legal de la señora Acosta solicitó intervención en el </w:t>
      </w:r>
      <w:r w:rsidRPr="00AD791A">
        <w:rPr>
          <w:rFonts w:ascii="Cambria" w:hAnsi="Cambria"/>
          <w:sz w:val="20"/>
          <w:szCs w:val="20"/>
          <w:lang w:val="es-ES_tradnl"/>
        </w:rPr>
        <w:t>proceso</w:t>
      </w:r>
      <w:r w:rsidRPr="00AD791A">
        <w:rPr>
          <w:rFonts w:ascii="Cambria" w:hAnsi="Cambria" w:cs="Garamond"/>
          <w:sz w:val="20"/>
          <w:szCs w:val="20"/>
          <w:lang w:val="es-ES_tradnl"/>
        </w:rPr>
        <w:t xml:space="preserve"> como indagada</w:t>
      </w:r>
      <w:r w:rsidR="00075A7C" w:rsidRPr="00AD791A">
        <w:rPr>
          <w:rFonts w:ascii="Cambria" w:hAnsi="Cambria" w:cs="Garamond"/>
          <w:sz w:val="20"/>
          <w:szCs w:val="20"/>
          <w:lang w:val="es-ES_tradnl"/>
        </w:rPr>
        <w:t xml:space="preserve"> </w:t>
      </w:r>
      <w:r w:rsidRPr="00AD791A">
        <w:rPr>
          <w:rFonts w:ascii="Cambria" w:hAnsi="Cambria" w:cs="Garamond"/>
          <w:sz w:val="20"/>
          <w:szCs w:val="20"/>
          <w:lang w:val="es-ES_tradnl"/>
        </w:rPr>
        <w:t>y presentó acusación contra Iván Argüello, fue “generalísimo” y no “especial”, el juez de la causa no admitió la referida acusación. Además, obra en el expediente que en el referido auto la autoridad judicial no se refirió a la solicitud de representante legal para intervenir en el proceso penal como abogado defensor de la señora Acosta ni le designó un defensor de oficio. La Comisión observa que esta actuación contrasta con la llevada a cabo respecto de otros procesados en el mismo expediente, en particular, el señor Presida a quien se le nombró un abogado de oficio</w:t>
      </w:r>
      <w:r w:rsidRPr="00AD791A">
        <w:rPr>
          <w:rStyle w:val="FootnoteReference"/>
          <w:rFonts w:ascii="Cambria" w:hAnsi="Cambria" w:cs="Arial"/>
          <w:sz w:val="20"/>
          <w:szCs w:val="20"/>
        </w:rPr>
        <w:footnoteReference w:id="215"/>
      </w:r>
      <w:r w:rsidRPr="00AD791A">
        <w:rPr>
          <w:rFonts w:ascii="Cambria" w:hAnsi="Cambria" w:cs="Garamond"/>
          <w:sz w:val="20"/>
          <w:szCs w:val="20"/>
          <w:lang w:val="es-ES_tradnl"/>
        </w:rPr>
        <w:t xml:space="preserve"> y el señor Argüello a quien se le nombró dicho defensor cuando su abogado tuvo problemas de salud</w:t>
      </w:r>
      <w:r w:rsidRPr="00AD791A">
        <w:rPr>
          <w:rStyle w:val="FootnoteReference"/>
          <w:rFonts w:ascii="Cambria" w:hAnsi="Cambria" w:cs="Garamond"/>
          <w:sz w:val="20"/>
          <w:szCs w:val="20"/>
        </w:rPr>
        <w:footnoteReference w:id="216"/>
      </w:r>
      <w:r w:rsidRPr="00AD791A">
        <w:rPr>
          <w:rFonts w:ascii="Cambria" w:hAnsi="Cambria" w:cs="Garamond"/>
          <w:sz w:val="20"/>
          <w:szCs w:val="20"/>
          <w:lang w:val="es-ES_tradnl"/>
        </w:rPr>
        <w:t>. Fue recién el día del sobreseimiento que se</w:t>
      </w:r>
      <w:r w:rsidRPr="00AD791A">
        <w:rPr>
          <w:rFonts w:ascii="Cambria" w:hAnsi="Cambria" w:cs="Tahoma"/>
          <w:spacing w:val="-2"/>
          <w:sz w:val="20"/>
          <w:szCs w:val="20"/>
          <w:lang w:val="es-ES_tradnl"/>
        </w:rPr>
        <w:t xml:space="preserve"> l</w:t>
      </w:r>
      <w:r w:rsidRPr="00AD791A">
        <w:rPr>
          <w:rFonts w:ascii="Cambria" w:hAnsi="Cambria" w:cs="Garamond"/>
          <w:sz w:val="20"/>
          <w:szCs w:val="20"/>
          <w:lang w:val="es-ES_tradnl"/>
        </w:rPr>
        <w:t>e otorgó al representante de la señora Acosta intervención en el proceso</w:t>
      </w:r>
      <w:r w:rsidRPr="00AD791A">
        <w:rPr>
          <w:rStyle w:val="FootnoteReference"/>
          <w:rFonts w:ascii="Cambria" w:hAnsi="Cambria" w:cs="Garamond"/>
          <w:sz w:val="20"/>
          <w:szCs w:val="20"/>
        </w:rPr>
        <w:footnoteReference w:id="217"/>
      </w:r>
      <w:r w:rsidRPr="00AD791A">
        <w:rPr>
          <w:rFonts w:ascii="Cambria" w:hAnsi="Cambria" w:cs="Garamond"/>
          <w:sz w:val="20"/>
          <w:szCs w:val="20"/>
          <w:lang w:val="es-ES_tradnl"/>
        </w:rPr>
        <w:t xml:space="preserve">.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Además de la falta de abogado defensor entre la apertura de la investigación por encubrimiento y el respectivo sobreseimiento, la Comisión nota que a pesar de que la señora Acosta tuvo que salir de la ciudad hacia Chinandega por razones de seguridad tras la muerte de su esposo, la autoridad judicial se negó a permitir que pudiera declarar en el marco de esta investigación desde el lugar en que se encontraba, como se dijo, por razones de seguridad. </w:t>
      </w:r>
      <w:r w:rsidRPr="00AD791A">
        <w:rPr>
          <w:rFonts w:ascii="Cambria" w:hAnsi="Cambria" w:cs="Garamond"/>
          <w:sz w:val="20"/>
          <w:szCs w:val="20"/>
          <w:lang w:val="es-ES_tradnl"/>
        </w:rPr>
        <w:t xml:space="preserve">Así, </w:t>
      </w:r>
      <w:r w:rsidRPr="00AD791A">
        <w:rPr>
          <w:rFonts w:ascii="Cambria" w:hAnsi="Cambria"/>
          <w:sz w:val="20"/>
          <w:szCs w:val="20"/>
          <w:lang w:val="es-MX"/>
        </w:rPr>
        <w:t xml:space="preserve">a pesar del conocimiento que el propio juez tenía respecto de la situación de riesgo en la que se podría encontrar María Luisa Acosta en la ciudad de Bluefields, el juez </w:t>
      </w:r>
      <w:r w:rsidRPr="00AD791A">
        <w:rPr>
          <w:rFonts w:ascii="Cambria" w:hAnsi="Cambria" w:cs="Arial Narrow"/>
          <w:iCs/>
          <w:spacing w:val="6"/>
          <w:sz w:val="20"/>
          <w:szCs w:val="20"/>
          <w:lang w:val="es-ES_tradnl"/>
        </w:rPr>
        <w:t xml:space="preserve">desestimó dicha solicitud “en aras de garantizar que las demás partes en el proceso, </w:t>
      </w:r>
      <w:r w:rsidRPr="00AD791A">
        <w:rPr>
          <w:rStyle w:val="st"/>
          <w:rFonts w:ascii="Cambria" w:hAnsi="Cambria" w:cs="Arial"/>
          <w:sz w:val="20"/>
          <w:szCs w:val="20"/>
          <w:lang w:val="es-MX"/>
        </w:rPr>
        <w:t xml:space="preserve">[tuvieran] </w:t>
      </w:r>
      <w:r w:rsidRPr="00AD791A">
        <w:rPr>
          <w:rFonts w:ascii="Cambria" w:hAnsi="Cambria" w:cs="Arial Narrow"/>
          <w:iCs/>
          <w:spacing w:val="6"/>
          <w:sz w:val="20"/>
          <w:szCs w:val="20"/>
          <w:lang w:val="es-ES_tradnl"/>
        </w:rPr>
        <w:t>la oportunidad real de hacer usos de sus derechos”</w:t>
      </w:r>
      <w:r w:rsidRPr="00AD791A">
        <w:rPr>
          <w:rStyle w:val="FootnoteReference"/>
          <w:rFonts w:ascii="Cambria" w:hAnsi="Cambria" w:cs="Arial Narrow"/>
          <w:iCs/>
          <w:spacing w:val="6"/>
          <w:sz w:val="20"/>
          <w:szCs w:val="20"/>
        </w:rPr>
        <w:footnoteReference w:id="218"/>
      </w:r>
      <w:r w:rsidRPr="00AD791A">
        <w:rPr>
          <w:rFonts w:ascii="Cambria" w:hAnsi="Cambria" w:cs="Arial Narrow"/>
          <w:iCs/>
          <w:spacing w:val="6"/>
          <w:sz w:val="20"/>
          <w:szCs w:val="20"/>
          <w:lang w:val="es-ES_tradnl"/>
        </w:rPr>
        <w:t>, y o</w:t>
      </w:r>
      <w:r w:rsidRPr="00AD791A">
        <w:rPr>
          <w:rFonts w:ascii="Cambria" w:hAnsi="Cambria" w:cs="Arial Narrow"/>
          <w:spacing w:val="-2"/>
          <w:sz w:val="20"/>
          <w:szCs w:val="20"/>
          <w:lang w:val="es-MX"/>
        </w:rPr>
        <w:t>rdenó a la fuerza pública presentar a María Luisa Acosta en su Juzgado de Bluefields</w:t>
      </w:r>
      <w:r w:rsidRPr="00AD791A">
        <w:rPr>
          <w:rStyle w:val="FootnoteReference"/>
          <w:rFonts w:ascii="Cambria" w:hAnsi="Cambria" w:cs="Arial Narrow"/>
          <w:iCs/>
          <w:spacing w:val="6"/>
          <w:sz w:val="20"/>
          <w:szCs w:val="20"/>
          <w:lang w:val="es-ES_tradnl"/>
        </w:rPr>
        <w:footnoteReference w:id="219"/>
      </w:r>
      <w:r w:rsidRPr="00AD791A">
        <w:rPr>
          <w:rFonts w:ascii="Cambria" w:hAnsi="Cambria" w:cs="Arial Narrow"/>
          <w:iCs/>
          <w:spacing w:val="6"/>
          <w:sz w:val="20"/>
          <w:szCs w:val="20"/>
          <w:lang w:val="es-ES_tradnl"/>
        </w:rPr>
        <w:t xml:space="preserve">. La Comisión considera que esta situación, sumada a la ausencia de abodago defensor en los términos descritos, constituyó una afectación al derecho de defensa de la señora Acosta.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cs="Garamond"/>
          <w:sz w:val="20"/>
          <w:szCs w:val="20"/>
          <w:lang w:val="es-ES_tradnl"/>
        </w:rPr>
      </w:pPr>
      <w:r w:rsidRPr="00AD791A">
        <w:rPr>
          <w:rFonts w:ascii="Cambria" w:hAnsi="Cambria" w:cs="Garamond"/>
          <w:sz w:val="20"/>
          <w:szCs w:val="20"/>
          <w:lang w:val="es-ES_tradnl"/>
        </w:rPr>
        <w:t xml:space="preserve">La Comisión observa también que a pesar de que el señor Tsokos utilizó expresiones que fueron entendidas como irrespetuosas y ofensivas por parte de la señora Acosta, tales como que sus señalamientos “coqueteaban con la desesperación y estupidez propia de una persona desequilibrada”, no se adoptaron medidas para asegurar que dicha persona no incumpliera con las obligaciones que conforme  la Ley Orgánica del Poder Judicial deben satisfacer las partes. Específicamente, el deber de actuar con “respeto” y “probidad”. </w:t>
      </w:r>
    </w:p>
    <w:p w:rsidR="009D7F32" w:rsidRPr="00AD791A" w:rsidRDefault="009D7F32" w:rsidP="009D7F32">
      <w:pPr>
        <w:jc w:val="both"/>
        <w:rPr>
          <w:rFonts w:ascii="Cambria" w:hAnsi="Cambria" w:cs="Garamond"/>
          <w:sz w:val="20"/>
          <w:szCs w:val="20"/>
          <w:lang w:val="es-ES_tradnl"/>
        </w:rPr>
      </w:pPr>
      <w:r w:rsidRPr="00AD791A">
        <w:rPr>
          <w:rFonts w:ascii="Cambria" w:hAnsi="Cambria" w:cs="Garamond"/>
          <w:sz w:val="20"/>
          <w:szCs w:val="20"/>
          <w:lang w:val="es-ES_tradnl"/>
        </w:rPr>
        <w:t xml:space="preserve"> </w:t>
      </w: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La Comisión destaca que todos estos aspectos fueron levantados por la señora Acosta en las cinco quejas </w:t>
      </w:r>
      <w:r w:rsidRPr="00AD791A">
        <w:rPr>
          <w:rFonts w:ascii="Cambria" w:hAnsi="Cambria" w:cs="Garamond"/>
          <w:sz w:val="20"/>
          <w:szCs w:val="20"/>
          <w:lang w:val="es-ES_tradnl"/>
        </w:rPr>
        <w:t>disciplinarias</w:t>
      </w:r>
      <w:r w:rsidRPr="00AD791A">
        <w:rPr>
          <w:rFonts w:ascii="Cambria" w:hAnsi="Cambria"/>
          <w:sz w:val="20"/>
          <w:szCs w:val="20"/>
          <w:lang w:val="es-MX"/>
        </w:rPr>
        <w:t xml:space="preserve"> que interpuso ante la Comisión de Régimen Disciplinario de la Corte Suprema de Justicia, ésta hizo caso omiso de tales alegaciones. La Comisión advierte que la propia </w:t>
      </w:r>
      <w:r w:rsidR="004C5888" w:rsidRPr="00AD791A">
        <w:rPr>
          <w:rFonts w:ascii="Cambria" w:hAnsi="Cambria"/>
          <w:sz w:val="20"/>
          <w:szCs w:val="20"/>
          <w:lang w:val="es-MX"/>
        </w:rPr>
        <w:t>PDDH</w:t>
      </w:r>
      <w:r w:rsidRPr="00AD791A">
        <w:rPr>
          <w:rFonts w:ascii="Cambria" w:hAnsi="Cambria"/>
          <w:sz w:val="20"/>
          <w:szCs w:val="20"/>
          <w:lang w:val="es-MX"/>
        </w:rPr>
        <w:t xml:space="preserve"> estableció que la omisión en dar respuesta alguna a estas quejas “vulner</w:t>
      </w:r>
      <w:hyperlink r:id="rId34" w:anchor="Corchetes_.5B_.5D" w:history="1">
        <w:r w:rsidRPr="00AD791A">
          <w:rPr>
            <w:rFonts w:ascii="Cambria" w:hAnsi="Cambria"/>
            <w:sz w:val="20"/>
            <w:szCs w:val="20"/>
            <w:lang w:val="es-MX"/>
          </w:rPr>
          <w:t>[ó]</w:t>
        </w:r>
      </w:hyperlink>
      <w:r w:rsidRPr="00AD791A">
        <w:rPr>
          <w:rFonts w:ascii="Cambria" w:hAnsi="Cambria"/>
          <w:sz w:val="20"/>
          <w:szCs w:val="20"/>
          <w:lang w:val="es-MX"/>
        </w:rPr>
        <w:t xml:space="preserve"> </w:t>
      </w:r>
      <w:hyperlink r:id="rId35" w:anchor="Corchetes_.5B_.5D" w:history="1">
        <w:r w:rsidRPr="00AD791A">
          <w:rPr>
            <w:rFonts w:ascii="Cambria" w:hAnsi="Cambria"/>
            <w:sz w:val="20"/>
            <w:szCs w:val="20"/>
            <w:lang w:val="es-MX"/>
          </w:rPr>
          <w:t>[el]</w:t>
        </w:r>
      </w:hyperlink>
      <w:r w:rsidRPr="00AD791A">
        <w:rPr>
          <w:rFonts w:ascii="Cambria" w:hAnsi="Cambria"/>
          <w:sz w:val="20"/>
          <w:szCs w:val="20"/>
          <w:lang w:val="es-MX"/>
        </w:rPr>
        <w:t xml:space="preserve"> acceso a una justicia pronta por retardación de la misma, en contra de la señora María Luisa Acosta. </w:t>
      </w:r>
      <w:hyperlink r:id="rId36" w:anchor="Corchetes_.5B_.5D" w:history="1">
        <w:r w:rsidRPr="00AD791A">
          <w:rPr>
            <w:rFonts w:ascii="Cambria" w:hAnsi="Cambria"/>
            <w:sz w:val="20"/>
            <w:szCs w:val="20"/>
            <w:lang w:val="es-MX"/>
          </w:rPr>
          <w:t>[…]</w:t>
        </w:r>
      </w:hyperlink>
      <w:r w:rsidRPr="00AD791A">
        <w:rPr>
          <w:rFonts w:ascii="Cambria" w:hAnsi="Cambria"/>
          <w:sz w:val="20"/>
          <w:szCs w:val="20"/>
          <w:lang w:val="es-MX"/>
        </w:rPr>
        <w:t>”. Como resulta de los hechos probados, a pesar de que se recomendó a la Corte Suprema de Justicia dar respuesta a las quejas de la señora Acosta sobre la actuación de las autoridades judiciales y en el proceso en su contra, dicho Alto Tribunal no cumplió con las recomendaciones, lo que llevó a la PDDH a declarar que incurrió en desacato</w:t>
      </w:r>
      <w:r w:rsidRPr="00AD791A">
        <w:rPr>
          <w:rStyle w:val="FootnoteReference"/>
          <w:rFonts w:ascii="Cambria" w:hAnsi="Cambria" w:cs="Arial Narrow"/>
          <w:iCs/>
          <w:spacing w:val="6"/>
          <w:sz w:val="20"/>
          <w:szCs w:val="20"/>
          <w:lang w:val="es-ES_tradnl"/>
        </w:rPr>
        <w:footnoteReference w:id="220"/>
      </w:r>
      <w:r w:rsidRPr="00AD791A">
        <w:rPr>
          <w:rFonts w:ascii="Cambria" w:hAnsi="Cambria" w:cs="Arial Narrow"/>
          <w:iCs/>
          <w:spacing w:val="6"/>
          <w:sz w:val="20"/>
          <w:szCs w:val="20"/>
          <w:lang w:val="es-ES_tradnl"/>
        </w:rPr>
        <w:t xml:space="preserve">.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cs="Arial"/>
          <w:sz w:val="20"/>
          <w:szCs w:val="20"/>
          <w:lang w:val="es-MX"/>
        </w:rPr>
      </w:pPr>
      <w:r w:rsidRPr="00AD791A">
        <w:rPr>
          <w:rFonts w:ascii="Cambria" w:hAnsi="Cambria"/>
          <w:sz w:val="20"/>
          <w:szCs w:val="20"/>
          <w:lang w:val="es-MX"/>
        </w:rPr>
        <w:t xml:space="preserve">En virtud de las anteriores consideraciones, la Comisión concluye que el Estado violó el derecho de defensa de la señora María Luisa Acosta. Asimimso, la Comisión entiende que </w:t>
      </w:r>
      <w:r w:rsidRPr="00AD791A">
        <w:rPr>
          <w:rFonts w:ascii="Cambria" w:hAnsi="Cambria" w:cs="Arial"/>
          <w:sz w:val="20"/>
          <w:szCs w:val="20"/>
          <w:lang w:val="es-MX"/>
        </w:rPr>
        <w:t xml:space="preserve">i) el inicio de esta investigación en contra de la señora Acosta con base exclusiva en los dichos de los posibles autores intelectuales que ella esta imputando, no obstante tales dichos no eran ajustados a la realidad como consta del propio expediente a la vista de la autoridad respectiva;  ii) la imposición de obstáculos para que la señora Acosta pudiera participar adecuadamente en este proceso; y iii) la falta absoluta de respuesta a las quejas disciplinarias sobre el actuar de las autoridades judiciales; analizados en su conjunto permiten concluir que esta investigación constituyó un mecanismo de amedrentamiento e intimidación contra la señora Acosta por la denuncia de que el móvil del asesinato de su esposo estuvo relacionado con su labor de defensa de los derechos humanos. Esta conclusión adquiere aún más fuerza cuando se contrasta la apertura de esta investigación sin base alguna con la omisión ya descrita de llevar a cabo una investigación seria y diligente contra los presuntos autores intelectuales, no obstante sobre su posible responsabilidad sí existían indicios relevantes. </w:t>
      </w:r>
    </w:p>
    <w:p w:rsidR="009D7F32" w:rsidRPr="00AD791A" w:rsidRDefault="009D7F32" w:rsidP="009D7F32">
      <w:pPr>
        <w:jc w:val="both"/>
        <w:rPr>
          <w:rFonts w:ascii="Cambria" w:hAnsi="Cambria"/>
          <w:b/>
          <w:sz w:val="20"/>
          <w:szCs w:val="20"/>
          <w:lang w:val="es-MX"/>
        </w:rPr>
      </w:pPr>
    </w:p>
    <w:p w:rsidR="009D7F32" w:rsidRPr="00AD791A" w:rsidRDefault="009D7F32" w:rsidP="006264C8">
      <w:pPr>
        <w:pStyle w:val="Heading3"/>
        <w:rPr>
          <w:b w:val="0"/>
          <w:lang w:val="es-MX"/>
        </w:rPr>
      </w:pPr>
      <w:bookmarkStart w:id="127" w:name="_Toc414177735"/>
      <w:bookmarkStart w:id="128" w:name="_Toc414177760"/>
      <w:r w:rsidRPr="00AD791A">
        <w:rPr>
          <w:lang w:val="es-MX"/>
        </w:rPr>
        <w:t>La investigación penal por los delitos de “falso testimonio y denuncia falsa” y el proceso civil por daños y perjuicios</w:t>
      </w:r>
      <w:bookmarkEnd w:id="127"/>
      <w:bookmarkEnd w:id="128"/>
    </w:p>
    <w:p w:rsidR="009D7F32" w:rsidRPr="00AD791A" w:rsidRDefault="009D7F32" w:rsidP="009D7F32">
      <w:pPr>
        <w:pStyle w:val="ListParagraph1"/>
        <w:ind w:left="2700"/>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Por otra parte, r</w:t>
      </w:r>
      <w:r w:rsidRPr="00AD791A">
        <w:rPr>
          <w:rFonts w:ascii="Cambria" w:hAnsi="Cambria"/>
          <w:sz w:val="20"/>
          <w:szCs w:val="20"/>
          <w:lang w:val="es-ES_tradnl"/>
        </w:rPr>
        <w:t xml:space="preserve">especto de los otros dos procesos iniciados contra María Luisa Acosta, la Comisión recuerda que dos días después de dictado el sobreseimiento definitivo a favor de los supuestos autores intelectuales del asesinato del señor García Valle, el Juzgado de lo Civil de Distrito de Bluefields decretó el embargo de </w:t>
      </w:r>
      <w:r w:rsidRPr="00AD791A">
        <w:rPr>
          <w:rFonts w:ascii="Cambria" w:hAnsi="Cambria"/>
          <w:sz w:val="20"/>
          <w:szCs w:val="20"/>
          <w:lang w:val="es-MX"/>
        </w:rPr>
        <w:t>la casa de María Luisa Acosta y su esposo</w:t>
      </w:r>
      <w:r w:rsidRPr="00AD791A">
        <w:rPr>
          <w:rFonts w:ascii="Cambria" w:hAnsi="Cambria"/>
          <w:sz w:val="20"/>
          <w:szCs w:val="20"/>
          <w:lang w:val="es-ES_tradnl"/>
        </w:rPr>
        <w:t xml:space="preserve">. Este embargo fue decretado a solicitud de los propios señores Tsokos y Martínez quienes argumentaron que la señora Acosta “les debía dinero”. Este embargo se mantuvo posteriormente en el marco de una </w:t>
      </w:r>
      <w:r w:rsidRPr="00AD791A">
        <w:rPr>
          <w:rFonts w:ascii="Cambria" w:hAnsi="Cambria"/>
          <w:sz w:val="20"/>
          <w:szCs w:val="20"/>
          <w:lang w:val="es-MX"/>
        </w:rPr>
        <w:t xml:space="preserve">demanda por daños y perjuicios contra María Luisa Acosta, derivada de las acusaciones que ella había hecho “sin prueba alguna” contra los quejosos.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Asimismo, la Comisión observa que el 18 de octubre de 2002 se abrió un nuevo proceso penal como consecuencia de la denuncia interpuesta por los señores Tsokos y Martínez contra la señora Acosta por los delitos de “falso testimonio y denuncia falsa”. Al respecto,  la señora Acosta en su escrito de contestación de demanda señaló lo siguiente: </w:t>
      </w:r>
    </w:p>
    <w:p w:rsidR="009D7F32" w:rsidRPr="00AD791A" w:rsidRDefault="009D7F32" w:rsidP="009D7F32">
      <w:pPr>
        <w:pStyle w:val="ListParagraph1"/>
        <w:ind w:left="0"/>
        <w:rPr>
          <w:rFonts w:ascii="Cambria" w:hAnsi="Cambria"/>
          <w:sz w:val="20"/>
          <w:szCs w:val="20"/>
          <w:lang w:val="es-MX"/>
        </w:rPr>
      </w:pPr>
    </w:p>
    <w:p w:rsidR="009D7F32" w:rsidRPr="00AD791A" w:rsidRDefault="009D7F32" w:rsidP="006264C8">
      <w:pPr>
        <w:ind w:left="720" w:right="720"/>
        <w:jc w:val="both"/>
        <w:rPr>
          <w:rStyle w:val="st"/>
          <w:rFonts w:ascii="Cambria" w:hAnsi="Cambria" w:cs="Arial"/>
          <w:sz w:val="20"/>
          <w:szCs w:val="20"/>
          <w:lang w:val="es-MX"/>
        </w:rPr>
      </w:pPr>
      <w:r w:rsidRPr="00AD791A">
        <w:rPr>
          <w:rFonts w:ascii="Cambria" w:hAnsi="Cambria"/>
          <w:sz w:val="20"/>
          <w:szCs w:val="20"/>
          <w:lang w:val="es-MX"/>
        </w:rPr>
        <w:t xml:space="preserve">La presente acción </w:t>
      </w:r>
      <w:hyperlink r:id="rId37" w:anchor="Corchetes_.5B_.5D" w:history="1">
        <w:r w:rsidRPr="00AD791A">
          <w:rPr>
            <w:rFonts w:ascii="Cambria" w:hAnsi="Cambria" w:cs="Arial"/>
            <w:sz w:val="20"/>
            <w:szCs w:val="20"/>
            <w:lang w:val="es-MX"/>
          </w:rPr>
          <w:t>[era]</w:t>
        </w:r>
      </w:hyperlink>
      <w:r w:rsidRPr="00AD791A">
        <w:rPr>
          <w:rFonts w:ascii="Cambria" w:hAnsi="Cambria"/>
          <w:sz w:val="20"/>
          <w:szCs w:val="20"/>
          <w:lang w:val="es-MX"/>
        </w:rPr>
        <w:t xml:space="preserve"> </w:t>
      </w:r>
      <w:r w:rsidRPr="00AD791A">
        <w:rPr>
          <w:rStyle w:val="st"/>
          <w:rFonts w:ascii="Cambria" w:hAnsi="Cambria" w:cs="Arial"/>
          <w:sz w:val="20"/>
          <w:szCs w:val="20"/>
          <w:lang w:val="es-MX"/>
        </w:rPr>
        <w:t xml:space="preserve">claramente formulada con manifiesto abuso de derecho y entraña fraude de ley; los querellantes quieren </w:t>
      </w:r>
      <w:hyperlink r:id="rId38" w:anchor="Corchetes_.5B_.5D" w:history="1">
        <w:r w:rsidRPr="00AD791A">
          <w:rPr>
            <w:rFonts w:ascii="Cambria" w:hAnsi="Cambria" w:cs="Arial"/>
            <w:sz w:val="20"/>
            <w:szCs w:val="20"/>
            <w:lang w:val="es-MX"/>
          </w:rPr>
          <w:t>[…]</w:t>
        </w:r>
      </w:hyperlink>
      <w:r w:rsidRPr="00AD791A">
        <w:rPr>
          <w:rStyle w:val="st"/>
          <w:rFonts w:ascii="Cambria" w:hAnsi="Cambria" w:cs="Arial"/>
          <w:sz w:val="20"/>
          <w:szCs w:val="20"/>
          <w:lang w:val="es-MX"/>
        </w:rPr>
        <w:t xml:space="preserve"> continuar utilizando la acción penal y al sistema judicial como un medio de hostigamiento y coacción para que yo desista de llevar a los asesinos de mi esposo a juicio</w:t>
      </w:r>
      <w:r w:rsidRPr="00AD791A">
        <w:rPr>
          <w:rStyle w:val="FootnoteReference"/>
          <w:rFonts w:ascii="Cambria" w:hAnsi="Cambria" w:cs="Arial"/>
          <w:sz w:val="20"/>
          <w:szCs w:val="20"/>
          <w:lang w:val="es-MX"/>
        </w:rPr>
        <w:footnoteReference w:id="221"/>
      </w:r>
      <w:r w:rsidRPr="00AD791A">
        <w:rPr>
          <w:rStyle w:val="st"/>
          <w:rFonts w:ascii="Cambria" w:hAnsi="Cambria" w:cs="Arial"/>
          <w:sz w:val="20"/>
          <w:szCs w:val="20"/>
          <w:lang w:val="es-MX"/>
        </w:rPr>
        <w:t xml:space="preserve">. </w:t>
      </w:r>
    </w:p>
    <w:p w:rsidR="009D7F32" w:rsidRPr="00AD791A" w:rsidRDefault="009D7F32" w:rsidP="009D7F32">
      <w:pPr>
        <w:pStyle w:val="ListParagraph1"/>
        <w:ind w:left="0"/>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La Comisión recuerda </w:t>
      </w:r>
      <w:r w:rsidRPr="00AD791A">
        <w:rPr>
          <w:rFonts w:ascii="Cambria" w:hAnsi="Cambria"/>
          <w:spacing w:val="-3"/>
          <w:sz w:val="20"/>
          <w:szCs w:val="20"/>
          <w:lang w:val="es-ES"/>
        </w:rPr>
        <w:t>que conforme al artículo 8 de la Convención Americana, toda persona sometida a un proceso judicial tiene el derecho a ser oída por un juez o tribunal competente, con las debidas garantías y dentro de un plazo razonable</w:t>
      </w:r>
      <w:r w:rsidRPr="00AD791A">
        <w:rPr>
          <w:rStyle w:val="FootnoteReference"/>
          <w:rFonts w:ascii="Cambria" w:hAnsi="Cambria"/>
          <w:sz w:val="20"/>
          <w:szCs w:val="20"/>
          <w:lang w:val="es-ES"/>
        </w:rPr>
        <w:footnoteReference w:id="222"/>
      </w:r>
      <w:r w:rsidRPr="00AD791A">
        <w:rPr>
          <w:rFonts w:ascii="Cambria" w:hAnsi="Cambria"/>
          <w:spacing w:val="-3"/>
          <w:sz w:val="20"/>
          <w:szCs w:val="20"/>
          <w:lang w:val="es-ES"/>
        </w:rPr>
        <w:t xml:space="preserve">. Tomando en consideración los elementos de análisis del plazo razonable ya descritos en el presente informe, </w:t>
      </w:r>
      <w:r w:rsidRPr="00AD791A">
        <w:rPr>
          <w:rFonts w:ascii="Cambria" w:hAnsi="Cambria"/>
          <w:sz w:val="20"/>
          <w:szCs w:val="20"/>
          <w:lang w:val="es-MX"/>
        </w:rPr>
        <w:t>la Comisión observa que ninguno de los dos procesos abiertos adicionalmente contra la señora Acosta resultaba complejo.</w:t>
      </w:r>
      <w:r w:rsidRPr="00AD791A">
        <w:rPr>
          <w:rFonts w:ascii="Cambria" w:hAnsi="Cambria"/>
          <w:sz w:val="20"/>
          <w:szCs w:val="20"/>
          <w:lang w:val="es-CO"/>
        </w:rPr>
        <w:t xml:space="preserve"> Como se ha descrito, tanto la acción civil de daños y perjuicios como el proceso penal por denuncia falsa y falso testimonio, se basaron en lo indicado por los señores Tsokos y Martínez, quienes a su vez se basaron en las denuncias que presentó la señora Acosta en su contra. En ese sentido, en el marco de estos dos procesos, las autoridades internas estaban llamadas a determinar si la denuncia de la señora Acosta constituyó un ejercicio legítimo de sus derechos en la búsqueda de justicia por la muerte de su esposo, o si constituyó un supuesto susceptible de ser sancionado civil o penalmente. Relacionado con el segundo elemento de análisis, la información disponible no ofrece justificación alguna sobre la razón por la cual esta determinación por parte de las autoridades judiciales tomó más de dos años.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CO"/>
        </w:rPr>
        <w:t xml:space="preserve"> </w:t>
      </w:r>
      <w:r w:rsidRPr="00AD791A">
        <w:rPr>
          <w:rFonts w:ascii="Cambria" w:hAnsi="Cambria"/>
          <w:sz w:val="20"/>
          <w:szCs w:val="20"/>
          <w:lang w:val="es-MX"/>
        </w:rPr>
        <w:t>Por el contrario, la Comisión identifica demoras injustificadas en trámites sencillos, particularmente en respuesta a las solicitudes de la señora Acosta. Así por ejemplo, en el proceso civil la autoridad judicial demoró casi ocho meses en admitir el incidente en el que el representante de la señora Acosta solicitaba el levantamiento del embargo preventivo</w:t>
      </w:r>
      <w:r w:rsidRPr="00AD791A">
        <w:rPr>
          <w:rStyle w:val="FootnoteReference"/>
          <w:rFonts w:ascii="Cambria" w:hAnsi="Cambria"/>
          <w:sz w:val="20"/>
          <w:szCs w:val="20"/>
          <w:lang w:val="es-MX"/>
        </w:rPr>
        <w:footnoteReference w:id="223"/>
      </w:r>
      <w:r w:rsidRPr="00AD791A">
        <w:rPr>
          <w:rFonts w:ascii="Cambria" w:hAnsi="Cambria"/>
          <w:sz w:val="20"/>
          <w:szCs w:val="20"/>
          <w:lang w:val="es-MX"/>
        </w:rPr>
        <w:t>.</w:t>
      </w:r>
      <w:r w:rsidRPr="00AD791A">
        <w:rPr>
          <w:rFonts w:ascii="Cambria" w:hAnsi="Cambria"/>
          <w:b/>
          <w:sz w:val="20"/>
          <w:szCs w:val="20"/>
          <w:lang w:val="es-MX"/>
        </w:rPr>
        <w:t xml:space="preserve"> </w:t>
      </w:r>
      <w:r w:rsidRPr="00AD791A">
        <w:rPr>
          <w:rFonts w:ascii="Cambria" w:hAnsi="Cambria"/>
          <w:sz w:val="20"/>
          <w:szCs w:val="20"/>
          <w:lang w:val="es-MX"/>
        </w:rPr>
        <w:t>Lo anterior, a pesar de que en diversos escritos interpuestos por el representante de la señora Acosta se solicitaba que la autoridad se pronunciara prontamente por el perjuicio que estaba causando dicho embargo. Esta actuación contrasta con los veinte días que la misma autoridad judicial tardó en admitió el recurso de apelación interpuesto por el señor Peter Martínez contra la admisión del incidente de nulidad interpuesto por la señora Acosta</w:t>
      </w:r>
      <w:r w:rsidRPr="00AD791A">
        <w:rPr>
          <w:rStyle w:val="FootnoteReference"/>
          <w:rFonts w:ascii="Cambria" w:hAnsi="Cambria"/>
          <w:sz w:val="20"/>
          <w:szCs w:val="20"/>
          <w:lang w:val="es-MX"/>
        </w:rPr>
        <w:footnoteReference w:id="224"/>
      </w:r>
      <w:r w:rsidRPr="00AD791A">
        <w:rPr>
          <w:rFonts w:ascii="Cambria" w:hAnsi="Cambria"/>
          <w:sz w:val="20"/>
          <w:szCs w:val="20"/>
          <w:lang w:val="es-MX"/>
        </w:rPr>
        <w:t xml:space="preserve">. No existe información en el expediente que indique que la señora Acosta obstaculizó el avance de estos procesos o tuvo alguna responsabilidad por la demora en la resolución de los mismos. Por el contrario, constan sus reiteradas solicitudes para que los mismos fueran resueltos de forma pronta.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La CIDH ha establecido que l</w:t>
      </w:r>
      <w:r w:rsidRPr="00AD791A">
        <w:rPr>
          <w:rFonts w:ascii="Cambria" w:hAnsi="Cambria"/>
          <w:sz w:val="20"/>
          <w:szCs w:val="20"/>
          <w:lang w:val="es-ES"/>
        </w:rPr>
        <w:t>os procesos judiciales injustificados en contra de defensoras y defensores imponen cargas psicológicas y materiales que hostigan, amedrentan y disminuyen sus labores; además de que estas cargas se agravan por la prolongación irrazonable de los mismos</w:t>
      </w:r>
      <w:r w:rsidRPr="00AD791A">
        <w:rPr>
          <w:rStyle w:val="FootnoteReference"/>
          <w:rFonts w:ascii="Cambria" w:hAnsi="Cambria"/>
          <w:spacing w:val="-3"/>
          <w:sz w:val="20"/>
          <w:szCs w:val="20"/>
          <w:lang w:val="es-ES"/>
        </w:rPr>
        <w:footnoteReference w:id="225"/>
      </w:r>
      <w:r w:rsidRPr="00AD791A">
        <w:rPr>
          <w:rFonts w:ascii="Cambria" w:hAnsi="Cambria"/>
          <w:sz w:val="20"/>
          <w:szCs w:val="20"/>
          <w:lang w:val="es-ES"/>
        </w:rPr>
        <w:t xml:space="preserve">. Asimismo, sobre este mismo tipo de procesos judiciales, la Comisión ha indicado que </w:t>
      </w:r>
      <w:r w:rsidRPr="00AD791A">
        <w:rPr>
          <w:rStyle w:val="BodyTextCharCarCarCarCarCarCarCarCarCarCarCarCarCarCarCarCarCarCarCarCarCarCarCarCarCarCarCarCarCarCarCarCarCarCarCarCarCa"/>
          <w:rFonts w:ascii="Cambria" w:hAnsi="Cambria"/>
          <w:sz w:val="20"/>
          <w:szCs w:val="20"/>
        </w:rPr>
        <w:t>una decisión judicial oportuna contribuye a la revelación pública y completa de la verdad favoreciendo que el defensor o defensora sujetos a proceso no sean estigmatizados en virtud precisamente de dicho proceso, a la vez que favorece que la comunidad de defensores y defensoras no sea inhibida de continuar con sus actividades de denuncia de violaciones de derechos humanos</w:t>
      </w:r>
      <w:r w:rsidRPr="00AD791A">
        <w:rPr>
          <w:rStyle w:val="FootnoteReference"/>
          <w:rFonts w:ascii="Cambria" w:hAnsi="Cambria"/>
          <w:sz w:val="20"/>
          <w:szCs w:val="20"/>
          <w:lang w:val="es-ES" w:eastAsia="es-ES"/>
        </w:rPr>
        <w:footnoteReference w:id="226"/>
      </w:r>
      <w:r w:rsidRPr="00AD791A">
        <w:rPr>
          <w:rStyle w:val="BodyTextCharCarCarCarCarCarCarCarCarCarCarCarCarCarCarCarCarCarCarCarCarCarCarCarCarCarCarCarCarCarCarCarCarCarCarCarCarCa"/>
          <w:rFonts w:ascii="Cambria" w:hAnsi="Cambria"/>
          <w:sz w:val="20"/>
          <w:szCs w:val="20"/>
        </w:rPr>
        <w:t>.</w:t>
      </w:r>
    </w:p>
    <w:p w:rsidR="009D7F32" w:rsidRPr="00AD791A" w:rsidRDefault="009D7F32" w:rsidP="009D7F32">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La Comisión concluye que el Estado de Nicaragua incurrió en una violación a la garantía de plazo razonable en el marco de los dos procesos analizados en esta sección. Asimismo, la Comisión considera que, por la base sobre la cual fueron iniciados estos procesos, sumado a la falta de decisión oportuna y en el marco del contexto ya descrito en el cual las autoridades judiciales omitieron deliberadamente investigar la presunta autoría intelectual de las personasque activaron los procesos en contra de la señora Acosta, estos procesos al igual que el de encubrimiento analizado en la sección anterior, constituyeron un mecanismos de intimidación y hostigamiento en su contra como represalia por la búsqueda de justicia de la muerte de su esposo. </w:t>
      </w:r>
    </w:p>
    <w:p w:rsidR="009D7F32" w:rsidRPr="00AD791A" w:rsidRDefault="009D7F32" w:rsidP="009D7F32">
      <w:pPr>
        <w:jc w:val="both"/>
        <w:rPr>
          <w:rFonts w:ascii="Cambria" w:hAnsi="Cambria"/>
          <w:sz w:val="20"/>
          <w:szCs w:val="20"/>
          <w:lang w:val="es-MX"/>
        </w:rPr>
      </w:pPr>
    </w:p>
    <w:p w:rsidR="009D7F32" w:rsidRPr="00AD791A" w:rsidRDefault="009D7F32" w:rsidP="006264C8">
      <w:pPr>
        <w:pStyle w:val="Heading3"/>
        <w:rPr>
          <w:b w:val="0"/>
          <w:lang w:val="es-MX"/>
        </w:rPr>
      </w:pPr>
      <w:bookmarkStart w:id="129" w:name="_Toc414177736"/>
      <w:bookmarkStart w:id="130" w:name="_Toc414177761"/>
      <w:r w:rsidRPr="00AD791A">
        <w:rPr>
          <w:lang w:val="es-MX"/>
        </w:rPr>
        <w:t>Conclusión</w:t>
      </w:r>
      <w:bookmarkEnd w:id="129"/>
      <w:bookmarkEnd w:id="130"/>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En virtud de todo lo anterior, la Comisión concluye que el Estado de Nicaragua violó el derecho a ser juzgado en un plazo razonable y el derecho de defensa establecidos en los artículos 8.1 y 8.2 de la Convención Amricana en perjuicio de la señora María Luisa Acosta. Asimismo, la Comisión concluye que por la inefectividad de los recursos intentados para obtener protección frente a tales violaciones, el Estado también violó en su perjuicio el derecho a la protección judicial establecido en el artículo 25 del mismo instrumento, todo en relación con l</w:t>
      </w:r>
      <w:r w:rsidR="003F0A28" w:rsidRPr="00AD791A">
        <w:rPr>
          <w:rFonts w:ascii="Cambria" w:hAnsi="Cambria"/>
          <w:sz w:val="20"/>
          <w:szCs w:val="20"/>
          <w:lang w:val="es-MX"/>
        </w:rPr>
        <w:t>a</w:t>
      </w:r>
      <w:r w:rsidRPr="00AD791A">
        <w:rPr>
          <w:rFonts w:ascii="Cambria" w:hAnsi="Cambria"/>
          <w:sz w:val="20"/>
          <w:szCs w:val="20"/>
          <w:lang w:val="es-MX"/>
        </w:rPr>
        <w:t>s obligaciones consagradas en el artículo 1.1 de la Convención.</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Finalmente, la Comisión considera pertinente recordar que el fenómeno de la criminalización afecta a las defensoras y a los defensores de derechos humanos de manera individual y colectiva. La CIDH ha señalado que en relación con su persona que ésta puede producir angustia, inseguridad, frustración e impotencia ante las autoridades estatales, así como cargas económicas inesperadas, y una consecuente </w:t>
      </w:r>
      <w:r w:rsidRPr="00AD791A">
        <w:rPr>
          <w:rFonts w:ascii="Cambria" w:hAnsi="Cambria"/>
          <w:sz w:val="20"/>
          <w:szCs w:val="20"/>
          <w:lang w:val="es-ES"/>
        </w:rPr>
        <w:t>afectación</w:t>
      </w:r>
      <w:r w:rsidRPr="00AD791A">
        <w:rPr>
          <w:rFonts w:ascii="Cambria" w:hAnsi="Cambria"/>
          <w:sz w:val="20"/>
          <w:szCs w:val="20"/>
          <w:lang w:val="es-MX"/>
        </w:rPr>
        <w:t xml:space="preserve"> a su reputación y credibilidad.  Por otro lado, la CIDH ha indicado que la criminalización a defensoras y defensores de derechos humanos puede ser utilizada como medio de estigmatización colectiva y se envía un mensaje intimidatorio a todas las personas que tuvieren la intención de denunciar violaciones o hayan formulado denuncias por violaciones a los derechos humanos</w:t>
      </w:r>
      <w:r w:rsidRPr="00AD791A">
        <w:rPr>
          <w:rStyle w:val="FootnoteReference"/>
          <w:rFonts w:ascii="Cambria" w:hAnsi="Cambria"/>
          <w:sz w:val="20"/>
          <w:szCs w:val="20"/>
          <w:lang w:val="es-MX"/>
        </w:rPr>
        <w:footnoteReference w:id="227"/>
      </w:r>
      <w:r w:rsidRPr="00AD791A">
        <w:rPr>
          <w:rFonts w:ascii="Cambria" w:hAnsi="Cambria"/>
          <w:sz w:val="20"/>
          <w:szCs w:val="20"/>
          <w:lang w:val="es-MX"/>
        </w:rPr>
        <w:t xml:space="preserve">. </w:t>
      </w:r>
    </w:p>
    <w:p w:rsidR="009D7F32" w:rsidRPr="00AD791A" w:rsidRDefault="009D7F32" w:rsidP="009D7F32">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Por ello, l</w:t>
      </w:r>
      <w:r w:rsidRPr="00AD791A">
        <w:rPr>
          <w:rFonts w:ascii="Cambria" w:hAnsi="Cambria"/>
          <w:sz w:val="20"/>
          <w:szCs w:val="20"/>
          <w:lang w:val="es-PE"/>
        </w:rPr>
        <w:t>a CIDH considera que la iniciación de causas penales sin fundamento en contra de un defensor o defensora pueden acarrear una violación al derecho a la integridad personal</w:t>
      </w:r>
      <w:r w:rsidRPr="00AD791A">
        <w:rPr>
          <w:rFonts w:ascii="Cambria" w:hAnsi="Cambria"/>
          <w:spacing w:val="-3"/>
          <w:sz w:val="20"/>
          <w:szCs w:val="20"/>
          <w:lang w:val="es-ES"/>
        </w:rPr>
        <w:t xml:space="preserve"> cuando </w:t>
      </w:r>
      <w:r w:rsidRPr="00AD791A">
        <w:rPr>
          <w:rFonts w:ascii="Cambria" w:hAnsi="Cambria"/>
          <w:sz w:val="20"/>
          <w:szCs w:val="20"/>
          <w:lang w:val="es-MX"/>
        </w:rPr>
        <w:t>el hostigamiento causado por la iniciación de acciones penales afecta el normal desenvolvimiento en la vida diaria y causa grandes desequilibrios y desconciertos en la persona sujeta a procesos judiciales y en su familia</w:t>
      </w:r>
      <w:r w:rsidRPr="00AD791A">
        <w:rPr>
          <w:rStyle w:val="FootnoteReference"/>
          <w:rFonts w:ascii="Cambria" w:hAnsi="Cambria"/>
          <w:sz w:val="20"/>
          <w:szCs w:val="20"/>
          <w:lang w:val="es-MX"/>
        </w:rPr>
        <w:footnoteReference w:id="228"/>
      </w:r>
      <w:r w:rsidRPr="00AD791A">
        <w:rPr>
          <w:rFonts w:ascii="Cambria" w:hAnsi="Cambria"/>
          <w:sz w:val="20"/>
          <w:szCs w:val="20"/>
          <w:lang w:val="es-MX"/>
        </w:rPr>
        <w:t>, cuya severidad se verifica en la constante incertidumbre sobre su futuro</w:t>
      </w:r>
      <w:r w:rsidRPr="00AD791A">
        <w:rPr>
          <w:rStyle w:val="FootnoteReference"/>
          <w:rFonts w:ascii="Cambria" w:hAnsi="Cambria"/>
          <w:sz w:val="20"/>
          <w:szCs w:val="20"/>
          <w:lang w:val="es-MX"/>
        </w:rPr>
        <w:footnoteReference w:id="229"/>
      </w:r>
      <w:r w:rsidRPr="00AD791A">
        <w:rPr>
          <w:rFonts w:ascii="Cambria" w:hAnsi="Cambria"/>
          <w:sz w:val="20"/>
          <w:szCs w:val="20"/>
          <w:lang w:val="es-MX"/>
        </w:rPr>
        <w:t xml:space="preserve">. </w:t>
      </w:r>
    </w:p>
    <w:p w:rsidR="009D7F32" w:rsidRPr="00AD791A" w:rsidRDefault="009D7F32" w:rsidP="009D7F32">
      <w:pPr>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Tomando en cuenta las conclusiones sobre la apertura y manera en que se siguieron los dos procesos penales y el proceso civil como mecanismo de intimidación y hostigamiento por las labores de defensa de los derechos humanos realizadas por la señora Acosta, incluida la búsqueda de justicia por la muerte de su esposo, la Comisión también concluye que el Estado violó en su perjuicio el derecho a la integridad psíquica y moral establecido en el artículo 5 de la Convención Americana en relación con las obligaciones establecidas en el artículo 1.1 del mismo instrumento.</w:t>
      </w:r>
    </w:p>
    <w:p w:rsidR="009D7F32" w:rsidRPr="00AD791A" w:rsidRDefault="009D7F32" w:rsidP="009D7F32">
      <w:pPr>
        <w:pStyle w:val="ListParagraph1"/>
        <w:ind w:left="0"/>
        <w:rPr>
          <w:rFonts w:ascii="Cambria" w:hAnsi="Cambria"/>
          <w:sz w:val="20"/>
          <w:szCs w:val="20"/>
          <w:lang w:val="es-ES"/>
        </w:rPr>
      </w:pPr>
    </w:p>
    <w:p w:rsidR="009D7F32" w:rsidRPr="00AD791A" w:rsidRDefault="009D7F32" w:rsidP="009D7F32">
      <w:pPr>
        <w:pStyle w:val="BodyTextIndent"/>
        <w:numPr>
          <w:ilvl w:val="2"/>
          <w:numId w:val="6"/>
        </w:numPr>
        <w:tabs>
          <w:tab w:val="clear" w:pos="2340"/>
          <w:tab w:val="num" w:pos="1440"/>
        </w:tabs>
        <w:ind w:left="1440" w:hanging="720"/>
        <w:outlineLvl w:val="1"/>
        <w:rPr>
          <w:rFonts w:ascii="Cambria" w:hAnsi="Cambria"/>
          <w:b/>
          <w:bCs/>
          <w:sz w:val="20"/>
          <w:lang w:val="es-ES"/>
        </w:rPr>
      </w:pPr>
      <w:bookmarkStart w:id="131" w:name="_Toc388448164"/>
      <w:bookmarkStart w:id="132" w:name="_Toc412648000"/>
      <w:bookmarkStart w:id="133" w:name="_Toc412648034"/>
      <w:bookmarkStart w:id="134" w:name="_Toc414177401"/>
      <w:bookmarkStart w:id="135" w:name="_Toc414177737"/>
      <w:bookmarkStart w:id="136" w:name="_Toc414177762"/>
      <w:r w:rsidRPr="00AD791A">
        <w:rPr>
          <w:rFonts w:ascii="Cambria" w:hAnsi="Cambria"/>
          <w:b/>
          <w:bCs/>
          <w:sz w:val="20"/>
          <w:lang w:val="es-ES"/>
        </w:rPr>
        <w:t>Derecho a la integridad personal (artículo 5 de la Convención) en relación con el artículo 1.1</w:t>
      </w:r>
      <w:bookmarkEnd w:id="131"/>
      <w:bookmarkEnd w:id="132"/>
      <w:bookmarkEnd w:id="133"/>
      <w:r w:rsidRPr="00AD791A">
        <w:rPr>
          <w:rFonts w:ascii="Cambria" w:hAnsi="Cambria"/>
          <w:b/>
          <w:bCs/>
          <w:sz w:val="20"/>
          <w:lang w:val="es-ES"/>
        </w:rPr>
        <w:t xml:space="preserve"> respecto de </w:t>
      </w:r>
      <w:r w:rsidR="00855834" w:rsidRPr="00AD791A">
        <w:rPr>
          <w:rFonts w:ascii="Cambria" w:hAnsi="Cambria" w:cs="Garamond"/>
          <w:b/>
          <w:sz w:val="20"/>
          <w:lang w:val="es-ES_tradnl"/>
        </w:rPr>
        <w:t xml:space="preserve">María Luisa Acosta y </w:t>
      </w:r>
      <w:r w:rsidR="00855834" w:rsidRPr="00AD791A">
        <w:rPr>
          <w:rFonts w:ascii="Cambria" w:hAnsi="Cambria"/>
          <w:b/>
          <w:bCs/>
          <w:sz w:val="20"/>
          <w:lang w:val="es-ES"/>
        </w:rPr>
        <w:t>otros</w:t>
      </w:r>
      <w:r w:rsidRPr="00AD791A">
        <w:rPr>
          <w:rFonts w:ascii="Cambria" w:hAnsi="Cambria"/>
          <w:b/>
          <w:bCs/>
          <w:sz w:val="20"/>
          <w:lang w:val="es-ES"/>
        </w:rPr>
        <w:t xml:space="preserve"> familiares del señor García Valle</w:t>
      </w:r>
      <w:bookmarkEnd w:id="134"/>
      <w:bookmarkEnd w:id="135"/>
      <w:bookmarkEnd w:id="136"/>
    </w:p>
    <w:p w:rsidR="009D7F32" w:rsidRPr="00AD791A" w:rsidRDefault="009D7F32" w:rsidP="009D7F32">
      <w:pPr>
        <w:pStyle w:val="ListParagraph1"/>
        <w:ind w:left="0"/>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 xml:space="preserve">El artículo 5.1 de la Convención Americana establece que “[t]oda persona tiene derecho a que se respete su integridad física, psíquica y moral”. </w:t>
      </w:r>
      <w:r w:rsidRPr="00AD791A">
        <w:rPr>
          <w:rFonts w:ascii="Cambria" w:hAnsi="Cambria" w:cs="Arial"/>
          <w:sz w:val="20"/>
          <w:szCs w:val="20"/>
          <w:lang w:val="es-ES"/>
        </w:rPr>
        <w:t xml:space="preserve">La Corte Interamericana ha indicado que los familiares de las víctimas de ciertas violaciones de derechos </w:t>
      </w:r>
      <w:r w:rsidRPr="00AD791A">
        <w:rPr>
          <w:rFonts w:ascii="Cambria" w:hAnsi="Cambria"/>
          <w:sz w:val="20"/>
          <w:szCs w:val="20"/>
          <w:lang w:val="es-ES"/>
        </w:rPr>
        <w:t>humanos</w:t>
      </w:r>
      <w:r w:rsidRPr="00AD791A">
        <w:rPr>
          <w:rFonts w:ascii="Cambria" w:hAnsi="Cambria" w:cs="Arial"/>
          <w:sz w:val="20"/>
          <w:szCs w:val="20"/>
          <w:lang w:val="es-ES"/>
        </w:rPr>
        <w:t xml:space="preserve"> pueden ser, a su vez, víctimas</w:t>
      </w:r>
      <w:r w:rsidRPr="00AD791A">
        <w:rPr>
          <w:rStyle w:val="FootnoteReference"/>
          <w:rFonts w:ascii="Cambria" w:hAnsi="Cambria"/>
          <w:sz w:val="20"/>
          <w:szCs w:val="20"/>
          <w:lang w:val="es-ES"/>
        </w:rPr>
        <w:footnoteReference w:id="230"/>
      </w:r>
      <w:r w:rsidRPr="00AD791A">
        <w:rPr>
          <w:rFonts w:ascii="Cambria" w:hAnsi="Cambria" w:cs="Arial"/>
          <w:sz w:val="20"/>
          <w:szCs w:val="20"/>
          <w:lang w:val="es-ES"/>
        </w:rPr>
        <w:t xml:space="preserve">. Específicamente, la Corte ha </w:t>
      </w:r>
      <w:r w:rsidRPr="00AD791A">
        <w:rPr>
          <w:rFonts w:ascii="Cambria" w:hAnsi="Cambria"/>
          <w:sz w:val="20"/>
          <w:szCs w:val="20"/>
          <w:lang w:val="es-ES"/>
        </w:rPr>
        <w:t>indicado</w:t>
      </w:r>
      <w:r w:rsidRPr="00AD791A">
        <w:rPr>
          <w:rFonts w:ascii="Cambria" w:hAnsi="Cambria" w:cs="Arial"/>
          <w:sz w:val="20"/>
          <w:szCs w:val="20"/>
          <w:lang w:val="es-ES"/>
        </w:rPr>
        <w:t xml:space="preserve"> que los familiares de las víctimas pueden verse afectados en su integridad psíquica y moral como consecuencia de las situaciones particulares que padecieron sus seres queridos, y de las posteriores actuaciones u omisiones de las autoridades internas frente a estos hechos</w:t>
      </w:r>
      <w:r w:rsidRPr="00AD791A">
        <w:rPr>
          <w:rStyle w:val="FootnoteReference"/>
          <w:rFonts w:ascii="Cambria" w:hAnsi="Cambria"/>
          <w:sz w:val="20"/>
          <w:szCs w:val="20"/>
          <w:lang w:val="es-ES"/>
        </w:rPr>
        <w:footnoteReference w:id="231"/>
      </w:r>
      <w:r w:rsidRPr="00AD791A">
        <w:rPr>
          <w:rFonts w:ascii="Cambria" w:hAnsi="Cambria"/>
          <w:sz w:val="20"/>
          <w:szCs w:val="20"/>
          <w:lang w:val="es-ES"/>
        </w:rPr>
        <w:t xml:space="preserve">. </w:t>
      </w:r>
    </w:p>
    <w:p w:rsidR="009D7F32" w:rsidRPr="00AD791A" w:rsidRDefault="009D7F32" w:rsidP="009D7F32">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 xml:space="preserve">La Comisión ya concluyó en este informe que en el presente caso no existió una investigación completa y efectiva sobre los hechos ocurridos. A este respecto la Corte ha señalado que </w:t>
      </w:r>
    </w:p>
    <w:p w:rsidR="009D7F32" w:rsidRPr="00AD791A" w:rsidRDefault="009D7F32" w:rsidP="009D7F32">
      <w:pPr>
        <w:pStyle w:val="ListParagraph1"/>
        <w:rPr>
          <w:rFonts w:ascii="Cambria" w:hAnsi="Cambria"/>
          <w:sz w:val="20"/>
          <w:szCs w:val="20"/>
          <w:lang w:val="es-ES"/>
        </w:rPr>
      </w:pPr>
    </w:p>
    <w:p w:rsidR="009D7F32" w:rsidRPr="00AD791A" w:rsidRDefault="009D7F32" w:rsidP="006264C8">
      <w:pPr>
        <w:pStyle w:val="BodyTextIndent"/>
        <w:ind w:left="720" w:right="720" w:firstLine="0"/>
        <w:rPr>
          <w:rFonts w:ascii="Cambria" w:hAnsi="Cambria"/>
          <w:sz w:val="20"/>
          <w:lang w:val="es-ES"/>
        </w:rPr>
      </w:pPr>
      <w:r w:rsidRPr="00AD791A">
        <w:rPr>
          <w:rFonts w:ascii="Cambria" w:hAnsi="Cambria"/>
          <w:sz w:val="20"/>
          <w:lang w:val="es-ES"/>
        </w:rPr>
        <w:t>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 lo cual incluye la determinación judicial de los patrones de actuación conjunta y de todas las personas que de diversas formas participaron en dichas violaciones y sus correspondientes responsabilidades</w:t>
      </w:r>
      <w:r w:rsidRPr="00AD791A">
        <w:rPr>
          <w:rStyle w:val="FootnoteReference"/>
          <w:rFonts w:ascii="Cambria" w:hAnsi="Cambria"/>
          <w:sz w:val="20"/>
          <w:lang w:val="es-ES"/>
        </w:rPr>
        <w:footnoteReference w:id="232"/>
      </w:r>
      <w:r w:rsidRPr="00AD791A">
        <w:rPr>
          <w:rFonts w:ascii="Cambria" w:hAnsi="Cambria"/>
          <w:sz w:val="20"/>
          <w:lang w:val="es-ES"/>
        </w:rPr>
        <w:t xml:space="preserve">.  </w:t>
      </w:r>
    </w:p>
    <w:p w:rsidR="009D7F32" w:rsidRPr="00AD791A" w:rsidRDefault="009D7F32" w:rsidP="009D7F32">
      <w:pPr>
        <w:pStyle w:val="ListParagraph1"/>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De acuerdo a lo anterior, la Comisión considera que la pérdida de un ser querido en un contexto como el descrito en el presente caso, así como la ausencia de una investigación completa y efectiva que a su vez ocasiona sufrimiento y angustia de no conocer la verdad, constituye ya en sí misma una afectación a la integridad psíquica y moral de los familiares del señor García Valle.</w:t>
      </w:r>
    </w:p>
    <w:p w:rsidR="009D7F32" w:rsidRPr="00AD791A" w:rsidRDefault="009D7F32" w:rsidP="009D7F32">
      <w:pPr>
        <w:ind w:left="720"/>
        <w:jc w:val="both"/>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Asimismo, de conformidad con la información disponible presentada por los peticionarios y no controvertida por el Estado, la CIDH toma nota de que los siguientes familiares del señor García Valle han sufrido “una profunda pena moral”: </w:t>
      </w:r>
      <w:r w:rsidRPr="00AD791A">
        <w:rPr>
          <w:rFonts w:ascii="Cambria" w:hAnsi="Cambria" w:cs="Garamond"/>
          <w:sz w:val="20"/>
          <w:szCs w:val="20"/>
          <w:lang w:val="es-ES_tradnl"/>
        </w:rPr>
        <w:t xml:space="preserve">la señora María Luisa Acosta y sus hijos </w:t>
      </w:r>
      <w:r w:rsidRPr="00AD791A">
        <w:rPr>
          <w:rFonts w:ascii="Cambria" w:hAnsi="Cambria"/>
          <w:sz w:val="20"/>
          <w:szCs w:val="20"/>
          <w:lang w:val="es-ES"/>
        </w:rPr>
        <w:t>María y Álvaro Arístides Vergara Acosta</w:t>
      </w:r>
      <w:r w:rsidRPr="00AD791A">
        <w:rPr>
          <w:rFonts w:ascii="Cambria" w:hAnsi="Cambria" w:cs="Garamond"/>
          <w:sz w:val="20"/>
          <w:szCs w:val="20"/>
          <w:lang w:val="es-ES_tradnl"/>
        </w:rPr>
        <w:t xml:space="preserve">; la madre del señor García Valle, la señora </w:t>
      </w:r>
      <w:r w:rsidRPr="00AD791A">
        <w:rPr>
          <w:rFonts w:ascii="Cambria" w:hAnsi="Cambria"/>
          <w:sz w:val="20"/>
          <w:szCs w:val="20"/>
          <w:lang w:val="es-ES"/>
        </w:rPr>
        <w:t>Leonor del Carmen Valle de García y su padre, el señor Rodolfo García Solari</w:t>
      </w:r>
      <w:r w:rsidRPr="00AD791A">
        <w:rPr>
          <w:rFonts w:ascii="Cambria" w:hAnsi="Cambria"/>
          <w:sz w:val="20"/>
          <w:szCs w:val="20"/>
          <w:lang w:val="es-MX"/>
        </w:rPr>
        <w:t xml:space="preserve">. </w:t>
      </w:r>
      <w:r w:rsidRPr="00AD791A">
        <w:rPr>
          <w:rFonts w:ascii="Cambria" w:hAnsi="Cambria" w:cs="Garamond"/>
          <w:sz w:val="20"/>
          <w:szCs w:val="20"/>
          <w:lang w:val="es-MX"/>
        </w:rPr>
        <w:t xml:space="preserve">En particular, los peticionarios señalan que la pérdida de Francisco García Valle ocasionó </w:t>
      </w:r>
      <w:r w:rsidRPr="00AD791A">
        <w:rPr>
          <w:rFonts w:ascii="Cambria" w:hAnsi="Cambria" w:cs="Garamond"/>
          <w:sz w:val="20"/>
          <w:szCs w:val="20"/>
          <w:lang w:val="es-ES_tradnl"/>
        </w:rPr>
        <w:t>en sus hijos, un bajo rendimiento académico por la falta de concentración y desaliento que sufrían; en sus padres, un severo deterioro de salud, y en María Luisa Acosta, una depresión generalizada</w:t>
      </w:r>
      <w:r w:rsidRPr="00AD791A">
        <w:rPr>
          <w:rStyle w:val="FootnoteReference"/>
          <w:rFonts w:ascii="Cambria" w:hAnsi="Cambria" w:cs="Garamond"/>
          <w:sz w:val="20"/>
          <w:szCs w:val="20"/>
          <w:lang w:val="es-ES_tradnl"/>
        </w:rPr>
        <w:footnoteReference w:id="233"/>
      </w:r>
      <w:r w:rsidRPr="00AD791A">
        <w:rPr>
          <w:rFonts w:ascii="Cambria" w:hAnsi="Cambria" w:cs="Garamond"/>
          <w:sz w:val="20"/>
          <w:szCs w:val="20"/>
          <w:lang w:val="es-ES_tradnl"/>
        </w:rPr>
        <w:t xml:space="preserve">. </w:t>
      </w:r>
    </w:p>
    <w:p w:rsidR="009D7F32" w:rsidRPr="00AD791A" w:rsidRDefault="009D7F32" w:rsidP="009D7F32">
      <w:pPr>
        <w:pStyle w:val="ListParagraph1"/>
        <w:rPr>
          <w:rFonts w:ascii="Cambria" w:hAnsi="Cambria" w:cs="Arial"/>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cs="Arial"/>
          <w:sz w:val="20"/>
          <w:szCs w:val="20"/>
          <w:lang w:val="es-ES"/>
        </w:rPr>
        <w:t>Por otra parte, la Comisión toma nota de que a</w:t>
      </w:r>
      <w:r w:rsidRPr="00AD791A">
        <w:rPr>
          <w:rFonts w:ascii="Cambria" w:hAnsi="Cambria"/>
          <w:sz w:val="20"/>
          <w:szCs w:val="20"/>
          <w:lang w:val="es-MX"/>
        </w:rPr>
        <w:t xml:space="preserve"> raíz del asesinato del señor García Valle, María Luisa Acosta y sus hijos, debido a que temían por su vida, abandonaron la ciudad en la que residían y se mudaron a la ciudad de Chinandega</w:t>
      </w:r>
      <w:r w:rsidRPr="00AD791A">
        <w:rPr>
          <w:rStyle w:val="FootnoteReference"/>
          <w:rFonts w:ascii="Cambria" w:hAnsi="Cambria" w:cs="Arial Narrow"/>
          <w:sz w:val="20"/>
          <w:szCs w:val="20"/>
          <w:lang w:val="es-ES_tradnl"/>
        </w:rPr>
        <w:footnoteReference w:id="234"/>
      </w:r>
      <w:r w:rsidRPr="00AD791A">
        <w:rPr>
          <w:rFonts w:ascii="Cambria" w:hAnsi="Cambria"/>
          <w:sz w:val="20"/>
          <w:szCs w:val="20"/>
          <w:lang w:val="es-MX"/>
        </w:rPr>
        <w:t>. El cambio de residencia –de acuerdo con lo referido por los peticionarios y no controvertido por el Estado–  ocasionó además de una fuerte inversión económica, el cierre de los negocios familiares que generaban base fundamental para los ingresos económicos de la familia</w:t>
      </w:r>
      <w:r w:rsidRPr="00AD791A">
        <w:rPr>
          <w:rStyle w:val="FootnoteReference"/>
          <w:rFonts w:ascii="Cambria" w:hAnsi="Cambria" w:cs="Arial Narrow"/>
          <w:spacing w:val="-2"/>
          <w:sz w:val="20"/>
          <w:szCs w:val="20"/>
          <w:lang w:val="es-MX"/>
        </w:rPr>
        <w:footnoteReference w:id="235"/>
      </w:r>
      <w:r w:rsidRPr="00AD791A">
        <w:rPr>
          <w:rFonts w:ascii="Cambria" w:hAnsi="Cambria"/>
          <w:iCs/>
          <w:spacing w:val="8"/>
          <w:sz w:val="20"/>
          <w:szCs w:val="20"/>
          <w:lang w:val="es-MX"/>
        </w:rPr>
        <w:t>.</w:t>
      </w:r>
      <w:r w:rsidRPr="00AD791A">
        <w:rPr>
          <w:rFonts w:ascii="Cambria" w:hAnsi="Cambria"/>
          <w:sz w:val="20"/>
          <w:szCs w:val="20"/>
          <w:lang w:val="es-MX"/>
        </w:rPr>
        <w:t xml:space="preserve"> </w:t>
      </w:r>
    </w:p>
    <w:p w:rsidR="009D7F32" w:rsidRPr="00AD791A" w:rsidRDefault="009D7F32" w:rsidP="009D7F32">
      <w:pPr>
        <w:pStyle w:val="ListParagraph1"/>
        <w:rPr>
          <w:rFonts w:ascii="Cambria" w:hAnsi="Cambria"/>
          <w:sz w:val="20"/>
          <w:szCs w:val="20"/>
          <w:lang w:val="es-ES"/>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
        </w:rPr>
        <w:t xml:space="preserve">En vista de todo lo anterior, especialmente la angustia que han vivido los familiares del señor García Valle en la búsqueda de justicia por su asesinato, así como el profundo sufrimiento y cambio radical en su vida como consecuencia de todas las circunstancias descritas, la Comisión concluye que el Estado violó el derecho a la integridad psíquica y moral consagrado en el artículo 5.1 de la Convención Americana en relación con las obligaciones establecidas en el artículo 1.1 del mismo instrumento, en perjuicio de </w:t>
      </w:r>
      <w:r w:rsidR="000C2036" w:rsidRPr="00AD791A">
        <w:rPr>
          <w:rFonts w:ascii="Cambria" w:hAnsi="Cambria"/>
          <w:sz w:val="20"/>
          <w:szCs w:val="20"/>
          <w:lang w:val="es-ES"/>
        </w:rPr>
        <w:t xml:space="preserve">María Luisa Acosta y </w:t>
      </w:r>
      <w:r w:rsidRPr="00AD791A">
        <w:rPr>
          <w:rFonts w:ascii="Cambria" w:hAnsi="Cambria"/>
          <w:sz w:val="20"/>
          <w:szCs w:val="20"/>
          <w:lang w:val="es-ES"/>
        </w:rPr>
        <w:t>los familiares anteriormente mencionados.</w:t>
      </w:r>
    </w:p>
    <w:p w:rsidR="009D7F32" w:rsidRPr="00AD791A" w:rsidRDefault="009D7F32" w:rsidP="009D7F32">
      <w:pPr>
        <w:pStyle w:val="ListParagraph1"/>
        <w:rPr>
          <w:rFonts w:ascii="Cambria" w:hAnsi="Cambria"/>
          <w:sz w:val="20"/>
          <w:szCs w:val="20"/>
          <w:lang w:val="es-ES_tradnl"/>
        </w:rPr>
      </w:pPr>
    </w:p>
    <w:p w:rsidR="009D7F32" w:rsidRPr="00AD791A" w:rsidRDefault="009D7F32" w:rsidP="009D7F32">
      <w:pPr>
        <w:pStyle w:val="Heading1"/>
        <w:ind w:firstLine="0"/>
        <w:rPr>
          <w:rFonts w:ascii="Cambria" w:hAnsi="Cambria"/>
          <w:bCs w:val="0"/>
          <w:sz w:val="20"/>
          <w:szCs w:val="20"/>
          <w:lang w:val="es-AR"/>
        </w:rPr>
      </w:pPr>
      <w:r w:rsidRPr="00AD791A">
        <w:rPr>
          <w:rFonts w:ascii="Cambria" w:hAnsi="Cambria"/>
          <w:bCs w:val="0"/>
          <w:sz w:val="20"/>
          <w:szCs w:val="20"/>
          <w:lang w:val="es-AR"/>
        </w:rPr>
        <w:tab/>
      </w:r>
      <w:bookmarkStart w:id="137" w:name="_Toc350243742"/>
      <w:bookmarkStart w:id="138" w:name="_Toc388448165"/>
      <w:bookmarkStart w:id="139" w:name="_Toc412648001"/>
      <w:bookmarkStart w:id="140" w:name="_Toc412648035"/>
      <w:bookmarkStart w:id="141" w:name="_Toc414177402"/>
      <w:bookmarkStart w:id="142" w:name="_Toc414177738"/>
      <w:bookmarkStart w:id="143" w:name="_Toc414177763"/>
      <w:r w:rsidRPr="00AD791A">
        <w:rPr>
          <w:rFonts w:ascii="Cambria" w:hAnsi="Cambria"/>
          <w:bCs w:val="0"/>
          <w:sz w:val="20"/>
          <w:szCs w:val="20"/>
          <w:lang w:val="es-AR"/>
        </w:rPr>
        <w:t>VI.</w:t>
      </w:r>
      <w:r w:rsidRPr="00AD791A">
        <w:rPr>
          <w:rFonts w:ascii="Cambria" w:hAnsi="Cambria"/>
          <w:bCs w:val="0"/>
          <w:sz w:val="20"/>
          <w:szCs w:val="20"/>
          <w:lang w:val="es-AR"/>
        </w:rPr>
        <w:tab/>
        <w:t>CONCLUSIONES</w:t>
      </w:r>
      <w:bookmarkEnd w:id="137"/>
      <w:bookmarkEnd w:id="138"/>
      <w:bookmarkEnd w:id="139"/>
      <w:bookmarkEnd w:id="140"/>
      <w:bookmarkEnd w:id="141"/>
      <w:bookmarkEnd w:id="142"/>
      <w:bookmarkEnd w:id="143"/>
    </w:p>
    <w:p w:rsidR="009D7F32" w:rsidRPr="00AD791A" w:rsidRDefault="009D7F32" w:rsidP="009D7F32">
      <w:pPr>
        <w:pStyle w:val="ListParagraph1"/>
        <w:ind w:left="0"/>
        <w:rPr>
          <w:rFonts w:ascii="Cambria" w:hAnsi="Cambria"/>
          <w:sz w:val="20"/>
          <w:szCs w:val="20"/>
          <w:lang w:val="es-ES_tradnl"/>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ES_tradnl"/>
        </w:rPr>
        <w:t>Con base en las deterinaciones de hecho y de derechos establecidas a lo largo del presente informe, la Comisión concluye que el Estado de Nicaragua es responsable por la violación de los derechos a las garantías judiciales y protección judicial y a la integridad psíquica y moral consagrados en los artículos 8.1, 25 y 5.1 de la Convención Americana en relación con las obligaciones consagradas en el artículo 1.1 del mismo instrumento en perjuicio de</w:t>
      </w:r>
      <w:r w:rsidRPr="00AD791A">
        <w:rPr>
          <w:rFonts w:ascii="Cambria" w:hAnsi="Cambria"/>
          <w:sz w:val="20"/>
          <w:szCs w:val="20"/>
          <w:lang w:val="es-ES"/>
        </w:rPr>
        <w:t xml:space="preserve"> María Luisa Acosta Castellón, Ana María Vergara Acosta, Álvaro Arístides Vergara Acosta, Leonor del Carmen Valle de García y Rodolfo García Solari. </w:t>
      </w:r>
      <w:r w:rsidRPr="00AD791A">
        <w:rPr>
          <w:rFonts w:ascii="Cambria" w:hAnsi="Cambria"/>
          <w:sz w:val="20"/>
          <w:szCs w:val="20"/>
          <w:lang w:val="es-ES_tradnl"/>
        </w:rPr>
        <w:t xml:space="preserve">Asimismo, la CIDH concluye que el Estado violó los derechos a la integridad personal, a las </w:t>
      </w:r>
      <w:r w:rsidRPr="00AD791A">
        <w:rPr>
          <w:rFonts w:ascii="Cambria" w:hAnsi="Cambria"/>
          <w:sz w:val="20"/>
          <w:szCs w:val="20"/>
          <w:lang w:val="es-ES"/>
        </w:rPr>
        <w:t>garantías judiciales y a la protección judicial, establecidos en los artículos 5, 8.1, 8.2 y 25 de la Convención Americana en conexión con las obligaciones consagradas en el artículo 1.1 del mismo instrumento, en perjuicio de María Luisa Acosta.</w:t>
      </w:r>
    </w:p>
    <w:p w:rsidR="009D7F32" w:rsidRPr="00AD791A" w:rsidRDefault="009D7F32" w:rsidP="009D7F32">
      <w:pPr>
        <w:pStyle w:val="ListParagraph1"/>
        <w:ind w:left="0"/>
        <w:rPr>
          <w:rFonts w:ascii="Cambria" w:hAnsi="Cambria"/>
          <w:sz w:val="20"/>
          <w:szCs w:val="20"/>
          <w:lang w:val="es-MX"/>
        </w:rPr>
      </w:pPr>
    </w:p>
    <w:p w:rsidR="009D7F32" w:rsidRPr="00AD791A" w:rsidRDefault="009D7F32" w:rsidP="009D7F32">
      <w:pPr>
        <w:pStyle w:val="Heading1"/>
        <w:rPr>
          <w:rFonts w:ascii="Cambria" w:hAnsi="Cambria"/>
          <w:bCs w:val="0"/>
          <w:sz w:val="20"/>
          <w:szCs w:val="20"/>
          <w:lang w:val="es-MX"/>
        </w:rPr>
      </w:pPr>
      <w:bookmarkStart w:id="144" w:name="_Toc388448166"/>
      <w:bookmarkStart w:id="145" w:name="_Toc412648002"/>
      <w:bookmarkStart w:id="146" w:name="_Toc412648036"/>
      <w:bookmarkStart w:id="147" w:name="_Toc414177403"/>
      <w:bookmarkStart w:id="148" w:name="_Toc414177739"/>
      <w:bookmarkStart w:id="149" w:name="_Toc414177764"/>
      <w:r w:rsidRPr="00AD791A">
        <w:rPr>
          <w:rFonts w:ascii="Cambria" w:hAnsi="Cambria"/>
          <w:bCs w:val="0"/>
          <w:sz w:val="20"/>
          <w:szCs w:val="20"/>
          <w:lang w:val="es-MX"/>
        </w:rPr>
        <w:t>VII.</w:t>
      </w:r>
      <w:r w:rsidRPr="00AD791A">
        <w:rPr>
          <w:rFonts w:ascii="Cambria" w:hAnsi="Cambria"/>
          <w:bCs w:val="0"/>
          <w:sz w:val="20"/>
          <w:szCs w:val="20"/>
          <w:lang w:val="es-MX"/>
        </w:rPr>
        <w:tab/>
        <w:t>RECOMENDACIONES</w:t>
      </w:r>
      <w:bookmarkEnd w:id="144"/>
      <w:bookmarkEnd w:id="145"/>
      <w:bookmarkEnd w:id="146"/>
      <w:bookmarkEnd w:id="147"/>
      <w:bookmarkEnd w:id="148"/>
      <w:bookmarkEnd w:id="149"/>
    </w:p>
    <w:p w:rsidR="009D7F32" w:rsidRPr="00AD791A" w:rsidRDefault="009D7F32" w:rsidP="009D7F32">
      <w:pPr>
        <w:pStyle w:val="ListParagraph1"/>
        <w:ind w:left="0"/>
        <w:rPr>
          <w:rFonts w:ascii="Cambria" w:hAnsi="Cambria"/>
          <w:sz w:val="20"/>
          <w:szCs w:val="20"/>
          <w:lang w:val="es-MX"/>
        </w:rPr>
      </w:pPr>
    </w:p>
    <w:p w:rsidR="009D7F32" w:rsidRPr="00AD791A" w:rsidRDefault="009D7F32" w:rsidP="009D7F32">
      <w:pPr>
        <w:numPr>
          <w:ilvl w:val="0"/>
          <w:numId w:val="1"/>
        </w:numPr>
        <w:tabs>
          <w:tab w:val="clear" w:pos="1260"/>
        </w:tabs>
        <w:ind w:left="0" w:firstLine="720"/>
        <w:jc w:val="both"/>
        <w:rPr>
          <w:rFonts w:ascii="Cambria" w:hAnsi="Cambria"/>
          <w:sz w:val="20"/>
          <w:szCs w:val="20"/>
          <w:lang w:val="es-MX"/>
        </w:rPr>
      </w:pPr>
      <w:r w:rsidRPr="00AD791A">
        <w:rPr>
          <w:rFonts w:ascii="Cambria" w:hAnsi="Cambria"/>
          <w:sz w:val="20"/>
          <w:szCs w:val="20"/>
          <w:lang w:val="es-MX"/>
        </w:rPr>
        <w:t xml:space="preserve">En virtud de las anteriores conclusiones, </w:t>
      </w:r>
    </w:p>
    <w:p w:rsidR="009D7F32" w:rsidRPr="00AD791A" w:rsidRDefault="009D7F32" w:rsidP="009D7F32">
      <w:pPr>
        <w:jc w:val="both"/>
        <w:rPr>
          <w:rFonts w:ascii="Cambria" w:hAnsi="Cambria"/>
          <w:sz w:val="20"/>
          <w:szCs w:val="20"/>
          <w:lang w:val="es-MX"/>
        </w:rPr>
      </w:pPr>
    </w:p>
    <w:p w:rsidR="009D7F32" w:rsidRPr="00AD791A" w:rsidRDefault="009D7F32" w:rsidP="009D7F32">
      <w:pPr>
        <w:pStyle w:val="BodyTextIndent"/>
        <w:rPr>
          <w:rFonts w:ascii="Cambria" w:hAnsi="Cambria"/>
          <w:b/>
          <w:sz w:val="20"/>
        </w:rPr>
      </w:pPr>
      <w:r w:rsidRPr="00AD791A">
        <w:rPr>
          <w:rFonts w:ascii="Cambria" w:hAnsi="Cambria"/>
          <w:b/>
          <w:sz w:val="20"/>
        </w:rPr>
        <w:t>LA COMISIÓN INTERAMERICANA DE DERECHOS HUMANOS RECOMIENDA AL ESTADO DE NICARAGUA:</w:t>
      </w:r>
    </w:p>
    <w:p w:rsidR="009D7F32" w:rsidRPr="00AD791A" w:rsidRDefault="009D7F32" w:rsidP="009D7F32">
      <w:pPr>
        <w:pStyle w:val="BodyTextIndent"/>
        <w:ind w:firstLine="0"/>
        <w:rPr>
          <w:rFonts w:ascii="Cambria" w:hAnsi="Cambria"/>
          <w:b/>
          <w:sz w:val="20"/>
        </w:rPr>
      </w:pPr>
    </w:p>
    <w:p w:rsidR="009D7F32" w:rsidRPr="00AD791A" w:rsidRDefault="009D7F32" w:rsidP="009D7F32">
      <w:pPr>
        <w:pStyle w:val="BodyText3"/>
        <w:numPr>
          <w:ilvl w:val="1"/>
          <w:numId w:val="3"/>
        </w:numPr>
        <w:tabs>
          <w:tab w:val="clear" w:pos="1860"/>
        </w:tabs>
        <w:spacing w:after="0"/>
        <w:ind w:left="0" w:firstLine="720"/>
        <w:jc w:val="both"/>
        <w:rPr>
          <w:rFonts w:ascii="Cambria" w:hAnsi="Cambria"/>
          <w:sz w:val="20"/>
          <w:szCs w:val="20"/>
        </w:rPr>
      </w:pPr>
      <w:r w:rsidRPr="00AD791A">
        <w:rPr>
          <w:rFonts w:ascii="Cambria" w:hAnsi="Cambria"/>
          <w:sz w:val="20"/>
          <w:szCs w:val="20"/>
        </w:rPr>
        <w:t>Reparar integralmente las violaciones a derechos humanos declaradas en el presente informe tanto en el aspecto material como moral.</w:t>
      </w:r>
    </w:p>
    <w:p w:rsidR="009D7F32" w:rsidRPr="00AD791A" w:rsidRDefault="009D7F32" w:rsidP="009D7F32">
      <w:pPr>
        <w:pStyle w:val="BodyText3"/>
        <w:spacing w:after="0"/>
        <w:jc w:val="both"/>
        <w:rPr>
          <w:rFonts w:ascii="Cambria" w:hAnsi="Cambria"/>
          <w:sz w:val="20"/>
          <w:szCs w:val="20"/>
        </w:rPr>
      </w:pPr>
    </w:p>
    <w:p w:rsidR="009D7F32" w:rsidRPr="00AD791A" w:rsidRDefault="009D7F32" w:rsidP="009D7F32">
      <w:pPr>
        <w:pStyle w:val="BodyText3"/>
        <w:numPr>
          <w:ilvl w:val="1"/>
          <w:numId w:val="3"/>
        </w:numPr>
        <w:tabs>
          <w:tab w:val="clear" w:pos="1860"/>
        </w:tabs>
        <w:spacing w:after="0"/>
        <w:ind w:left="0" w:firstLine="720"/>
        <w:jc w:val="both"/>
        <w:rPr>
          <w:rFonts w:ascii="Cambria" w:hAnsi="Cambria"/>
          <w:sz w:val="20"/>
          <w:szCs w:val="20"/>
        </w:rPr>
      </w:pPr>
      <w:r w:rsidRPr="00AD791A">
        <w:rPr>
          <w:rFonts w:ascii="Cambria" w:hAnsi="Cambria"/>
          <w:sz w:val="20"/>
          <w:szCs w:val="20"/>
        </w:rPr>
        <w:t xml:space="preserve">Desarrollar y completar una investigación judicial imparcial, completa y efectiva, de manera expedita, con el objeto de esclarecer las circunstancias de la muerte del señor Francisco García Valle; investigar de manera exhaustiva las líneas lógicas de investigación sobre la autoría material e intelectual del asesinato; identificar a todas las personas que participaron en los diferentes niveles de decisión y ejecución; y, de ser el caso, aplicar las sanciones correspondientes.  </w:t>
      </w:r>
    </w:p>
    <w:p w:rsidR="009D7F32" w:rsidRPr="00AD791A" w:rsidRDefault="009D7F32" w:rsidP="009D7F32">
      <w:pPr>
        <w:pStyle w:val="BodyText3"/>
        <w:spacing w:after="0"/>
        <w:jc w:val="both"/>
        <w:rPr>
          <w:rFonts w:ascii="Cambria" w:hAnsi="Cambria"/>
          <w:sz w:val="20"/>
          <w:szCs w:val="20"/>
        </w:rPr>
      </w:pPr>
    </w:p>
    <w:p w:rsidR="009D7F32" w:rsidRPr="00AD791A" w:rsidRDefault="009D7F32" w:rsidP="009D7F32">
      <w:pPr>
        <w:pStyle w:val="BodyText3"/>
        <w:numPr>
          <w:ilvl w:val="1"/>
          <w:numId w:val="3"/>
        </w:numPr>
        <w:tabs>
          <w:tab w:val="clear" w:pos="1860"/>
        </w:tabs>
        <w:spacing w:after="0"/>
        <w:ind w:left="0" w:firstLine="720"/>
        <w:jc w:val="both"/>
        <w:rPr>
          <w:rFonts w:ascii="Cambria" w:hAnsi="Cambria"/>
          <w:sz w:val="20"/>
          <w:szCs w:val="20"/>
        </w:rPr>
      </w:pPr>
      <w:r w:rsidRPr="00AD791A">
        <w:rPr>
          <w:rFonts w:ascii="Cambria" w:hAnsi="Cambria"/>
          <w:sz w:val="20"/>
          <w:szCs w:val="20"/>
        </w:rPr>
        <w:t>Disponer las medidas administrativas, disciplinarias o penales correspondientes frente a las acciones u omisiones de los funcionarios estatales que contribuyeron al encubrimiento y consecuente denegación de justicia e impunidad parcial en se encuentran los hechos del caso.</w:t>
      </w:r>
    </w:p>
    <w:p w:rsidR="009D7F32" w:rsidRPr="00AD791A" w:rsidRDefault="009D7F32" w:rsidP="009D7F32">
      <w:pPr>
        <w:pStyle w:val="BodyText3"/>
        <w:tabs>
          <w:tab w:val="left" w:pos="720"/>
        </w:tabs>
        <w:spacing w:after="0"/>
        <w:ind w:left="720"/>
        <w:jc w:val="both"/>
        <w:rPr>
          <w:rFonts w:ascii="Cambria" w:hAnsi="Cambria"/>
          <w:sz w:val="20"/>
          <w:szCs w:val="20"/>
        </w:rPr>
      </w:pPr>
    </w:p>
    <w:p w:rsidR="009D7F32" w:rsidRPr="00AD791A" w:rsidRDefault="009D7F32" w:rsidP="009D7F32">
      <w:pPr>
        <w:pStyle w:val="BodyText3"/>
        <w:tabs>
          <w:tab w:val="left" w:pos="0"/>
          <w:tab w:val="left" w:pos="1440"/>
        </w:tabs>
        <w:spacing w:after="0"/>
        <w:ind w:firstLine="720"/>
        <w:jc w:val="both"/>
        <w:rPr>
          <w:rFonts w:ascii="Cambria" w:hAnsi="Cambria"/>
          <w:sz w:val="20"/>
          <w:szCs w:val="20"/>
        </w:rPr>
      </w:pPr>
      <w:r w:rsidRPr="00AD791A">
        <w:rPr>
          <w:rFonts w:ascii="Cambria" w:hAnsi="Cambria"/>
          <w:sz w:val="20"/>
          <w:szCs w:val="20"/>
        </w:rPr>
        <w:t>4.</w:t>
      </w:r>
      <w:r w:rsidRPr="00AD791A">
        <w:rPr>
          <w:rFonts w:ascii="Cambria" w:hAnsi="Cambria"/>
          <w:sz w:val="20"/>
          <w:szCs w:val="20"/>
        </w:rPr>
        <w:tab/>
        <w:t xml:space="preserve">Adoptar medidas de carácter legislativo, institucional y judicial orientadas a reducir la exposición al riesgo de las defensoras y defensores de derechos humanos que se encuentran en situación de vulnerabilidad. En ese sentido, el Estado debe: </w:t>
      </w:r>
    </w:p>
    <w:p w:rsidR="009D7F32" w:rsidRPr="00AD791A" w:rsidRDefault="009D7F32" w:rsidP="009D7F32">
      <w:pPr>
        <w:pStyle w:val="BodyText3"/>
        <w:tabs>
          <w:tab w:val="left" w:pos="0"/>
          <w:tab w:val="left" w:pos="1440"/>
          <w:tab w:val="num" w:pos="2880"/>
        </w:tabs>
        <w:spacing w:after="0"/>
        <w:ind w:firstLine="720"/>
        <w:jc w:val="both"/>
        <w:rPr>
          <w:rFonts w:ascii="Cambria" w:hAnsi="Cambria"/>
          <w:sz w:val="20"/>
          <w:szCs w:val="20"/>
        </w:rPr>
      </w:pPr>
    </w:p>
    <w:p w:rsidR="009D7F32" w:rsidRPr="00AD791A" w:rsidRDefault="009D7F32" w:rsidP="009D7F32">
      <w:pPr>
        <w:pStyle w:val="BodyText3"/>
        <w:tabs>
          <w:tab w:val="left" w:pos="0"/>
          <w:tab w:val="left" w:pos="1440"/>
        </w:tabs>
        <w:spacing w:after="0"/>
        <w:ind w:firstLine="720"/>
        <w:jc w:val="both"/>
        <w:rPr>
          <w:rFonts w:ascii="Cambria" w:hAnsi="Cambria"/>
          <w:sz w:val="20"/>
          <w:szCs w:val="20"/>
        </w:rPr>
      </w:pPr>
      <w:r w:rsidRPr="00AD791A">
        <w:rPr>
          <w:rFonts w:ascii="Cambria" w:hAnsi="Cambria"/>
          <w:sz w:val="20"/>
          <w:szCs w:val="20"/>
        </w:rPr>
        <w:t xml:space="preserve">4.1 </w:t>
      </w:r>
      <w:r w:rsidRPr="00AD791A">
        <w:rPr>
          <w:rFonts w:ascii="Cambria" w:hAnsi="Cambria"/>
          <w:sz w:val="20"/>
          <w:szCs w:val="20"/>
        </w:rPr>
        <w:tab/>
        <w:t>Fortalecer la capacidad institucional para combatir el patrón de impunidad frente a casos de amenazas y muertes de defensoras y defensores, mediante la elaboración de protocolos de investigación que tengan en cuenta los riesgos inherentes a la labor de defensa de los derechos humanos, y en particular del derecho a un medio ambiente sano, que conduzcan a la sanción de los responsables y a una reparación adecuada a las víctimas. Asimismo, el Estado debe asegurar que cuando funcionarios públicos estén implicados en investigaciones de violaciones de derechos humanos, las investigaciones se realicen eficazmente y con independencia.</w:t>
      </w:r>
    </w:p>
    <w:p w:rsidR="009D7F32" w:rsidRPr="00AD791A" w:rsidRDefault="009D7F32" w:rsidP="009D7F32">
      <w:pPr>
        <w:pStyle w:val="BodyText3"/>
        <w:tabs>
          <w:tab w:val="left" w:pos="0"/>
          <w:tab w:val="left" w:pos="1440"/>
        </w:tabs>
        <w:spacing w:after="0"/>
        <w:ind w:firstLine="720"/>
        <w:jc w:val="both"/>
        <w:rPr>
          <w:rFonts w:ascii="Cambria" w:hAnsi="Cambria"/>
          <w:sz w:val="20"/>
          <w:szCs w:val="20"/>
          <w:shd w:val="clear" w:color="auto" w:fill="FFFF00"/>
        </w:rPr>
      </w:pPr>
    </w:p>
    <w:p w:rsidR="009D7F32" w:rsidRPr="00AD791A" w:rsidRDefault="009D7F32" w:rsidP="009D7F32">
      <w:pPr>
        <w:pStyle w:val="BodyText3"/>
        <w:numPr>
          <w:ilvl w:val="1"/>
          <w:numId w:val="10"/>
        </w:numPr>
        <w:tabs>
          <w:tab w:val="left" w:pos="0"/>
          <w:tab w:val="left" w:pos="1440"/>
        </w:tabs>
        <w:spacing w:after="0"/>
        <w:ind w:left="0" w:firstLine="720"/>
        <w:jc w:val="both"/>
        <w:rPr>
          <w:rFonts w:ascii="Cambria" w:hAnsi="Cambria"/>
          <w:sz w:val="20"/>
          <w:szCs w:val="20"/>
          <w:lang w:val="es-CL"/>
        </w:rPr>
      </w:pPr>
      <w:r w:rsidRPr="00AD791A">
        <w:rPr>
          <w:rFonts w:ascii="Cambria" w:hAnsi="Cambria"/>
          <w:sz w:val="20"/>
          <w:szCs w:val="20"/>
        </w:rPr>
        <w:t xml:space="preserve">Fortalecer los mecanismos para proteger eficazmente a testigos, víctimas y familiares que se encuentren en riesgo como resultado de su vinculación a las investigaciones. </w:t>
      </w:r>
    </w:p>
    <w:p w:rsidR="009D7F32" w:rsidRPr="00AD791A" w:rsidRDefault="009D7F32" w:rsidP="009D7F32">
      <w:pPr>
        <w:pStyle w:val="BodyText3"/>
        <w:tabs>
          <w:tab w:val="left" w:pos="0"/>
          <w:tab w:val="left" w:pos="1440"/>
        </w:tabs>
        <w:spacing w:after="0"/>
        <w:ind w:firstLine="720"/>
        <w:jc w:val="both"/>
        <w:rPr>
          <w:rFonts w:ascii="Cambria" w:hAnsi="Cambria"/>
          <w:sz w:val="20"/>
          <w:szCs w:val="20"/>
          <w:lang w:val="es-CL"/>
        </w:rPr>
      </w:pPr>
    </w:p>
    <w:p w:rsidR="009D7F32" w:rsidRPr="00AD791A" w:rsidRDefault="009D7F32" w:rsidP="009D7F32">
      <w:pPr>
        <w:pStyle w:val="BodyText3"/>
        <w:numPr>
          <w:ilvl w:val="1"/>
          <w:numId w:val="10"/>
        </w:numPr>
        <w:tabs>
          <w:tab w:val="left" w:pos="0"/>
          <w:tab w:val="left" w:pos="1440"/>
        </w:tabs>
        <w:spacing w:after="0"/>
        <w:ind w:left="0" w:firstLine="720"/>
        <w:jc w:val="both"/>
        <w:rPr>
          <w:rFonts w:ascii="Cambria" w:hAnsi="Cambria"/>
          <w:sz w:val="20"/>
          <w:szCs w:val="20"/>
          <w:lang w:val="es-CL"/>
        </w:rPr>
      </w:pPr>
      <w:r w:rsidRPr="00AD791A">
        <w:rPr>
          <w:rFonts w:ascii="Cambria" w:hAnsi="Cambria"/>
          <w:sz w:val="20"/>
          <w:szCs w:val="20"/>
        </w:rPr>
        <w:t>Desarrollar medidas adecuadas y expeditas de respuesta institucional que permitan proteger eficazmente a defensoras y defensores de derechos humanos en situaciones de riesgo.</w:t>
      </w:r>
      <w:r w:rsidRPr="00AD791A">
        <w:rPr>
          <w:rFonts w:ascii="Cambria" w:hAnsi="Cambria"/>
          <w:sz w:val="20"/>
          <w:szCs w:val="20"/>
          <w:lang w:val="es-ES"/>
        </w:rPr>
        <w:t xml:space="preserve"> </w:t>
      </w:r>
    </w:p>
    <w:p w:rsidR="009D7F32" w:rsidRPr="00AD791A" w:rsidRDefault="009D7F32" w:rsidP="009D7F32">
      <w:pPr>
        <w:pStyle w:val="BodyText3"/>
        <w:tabs>
          <w:tab w:val="left" w:pos="0"/>
          <w:tab w:val="left" w:pos="1440"/>
        </w:tabs>
        <w:spacing w:after="0"/>
        <w:jc w:val="both"/>
        <w:rPr>
          <w:rFonts w:ascii="Cambria" w:hAnsi="Cambria"/>
          <w:sz w:val="20"/>
          <w:szCs w:val="20"/>
          <w:lang w:val="es-CL"/>
        </w:rPr>
      </w:pPr>
    </w:p>
    <w:p w:rsidR="009D7F32" w:rsidRDefault="009D7F32" w:rsidP="009D7F32">
      <w:pPr>
        <w:pStyle w:val="BodyText3"/>
        <w:numPr>
          <w:ilvl w:val="1"/>
          <w:numId w:val="10"/>
        </w:numPr>
        <w:tabs>
          <w:tab w:val="left" w:pos="0"/>
          <w:tab w:val="left" w:pos="1440"/>
        </w:tabs>
        <w:spacing w:after="0"/>
        <w:ind w:left="0" w:firstLine="720"/>
        <w:jc w:val="both"/>
        <w:rPr>
          <w:rFonts w:ascii="Cambria" w:hAnsi="Cambria"/>
          <w:sz w:val="20"/>
          <w:szCs w:val="20"/>
          <w:lang w:val="es-CL"/>
        </w:rPr>
      </w:pPr>
      <w:r w:rsidRPr="00AD791A">
        <w:rPr>
          <w:rFonts w:ascii="Cambria" w:hAnsi="Cambria"/>
          <w:sz w:val="20"/>
          <w:szCs w:val="20"/>
          <w:lang w:val="es-CL"/>
        </w:rPr>
        <w:t xml:space="preserve">Adoptar medidas legislativas, institucionales y judiciales para evitar el uso indebido de procesos civiles y penales como mecanismo de intimidación y hostigamiento contra defensores y defensoras de derechos humanos. </w:t>
      </w:r>
    </w:p>
    <w:p w:rsidR="007202AC" w:rsidRDefault="007202AC" w:rsidP="007202AC">
      <w:pPr>
        <w:pStyle w:val="BodyText3"/>
        <w:tabs>
          <w:tab w:val="left" w:pos="0"/>
          <w:tab w:val="left" w:pos="1440"/>
        </w:tabs>
        <w:spacing w:after="0"/>
        <w:ind w:left="720"/>
        <w:jc w:val="both"/>
        <w:rPr>
          <w:rFonts w:ascii="Cambria" w:hAnsi="Cambria"/>
          <w:sz w:val="20"/>
          <w:szCs w:val="20"/>
          <w:lang w:val="es-CL"/>
        </w:rPr>
      </w:pPr>
    </w:p>
    <w:p w:rsidR="009367D9" w:rsidRDefault="009367D9" w:rsidP="009367D9">
      <w:pPr>
        <w:ind w:firstLine="720"/>
        <w:jc w:val="both"/>
        <w:rPr>
          <w:rFonts w:asciiTheme="majorHAnsi" w:hAnsiTheme="majorHAnsi" w:cs="Arial"/>
          <w:noProof/>
          <w:spacing w:val="-2"/>
          <w:sz w:val="20"/>
          <w:lang w:val="es-CL"/>
        </w:rPr>
      </w:pPr>
    </w:p>
    <w:p w:rsidR="009367D9" w:rsidRDefault="009367D9" w:rsidP="009367D9">
      <w:pPr>
        <w:ind w:firstLine="720"/>
        <w:jc w:val="both"/>
        <w:rPr>
          <w:rFonts w:asciiTheme="majorHAnsi" w:hAnsiTheme="majorHAnsi" w:cs="Arial"/>
          <w:noProof/>
          <w:spacing w:val="-2"/>
          <w:sz w:val="20"/>
          <w:lang w:val="es-CL"/>
        </w:rPr>
      </w:pPr>
    </w:p>
    <w:p w:rsidR="009367D9" w:rsidRDefault="009367D9" w:rsidP="009367D9">
      <w:pPr>
        <w:ind w:firstLine="720"/>
        <w:jc w:val="both"/>
        <w:rPr>
          <w:rFonts w:asciiTheme="majorHAnsi" w:hAnsiTheme="majorHAnsi" w:cs="Arial"/>
          <w:noProof/>
          <w:spacing w:val="-2"/>
          <w:sz w:val="20"/>
          <w:lang w:val="es-CL"/>
        </w:rPr>
      </w:pPr>
    </w:p>
    <w:p w:rsidR="009367D9" w:rsidRDefault="009367D9" w:rsidP="009367D9">
      <w:pPr>
        <w:ind w:firstLine="720"/>
        <w:jc w:val="both"/>
        <w:rPr>
          <w:rFonts w:asciiTheme="majorHAnsi" w:hAnsiTheme="majorHAnsi" w:cs="Arial"/>
          <w:noProof/>
          <w:spacing w:val="-2"/>
          <w:sz w:val="20"/>
          <w:lang w:val="es-CL"/>
        </w:rPr>
      </w:pPr>
    </w:p>
    <w:p w:rsidR="009367D9" w:rsidRDefault="009367D9" w:rsidP="009367D9">
      <w:pPr>
        <w:ind w:firstLine="720"/>
        <w:jc w:val="both"/>
        <w:rPr>
          <w:rFonts w:asciiTheme="majorHAnsi" w:hAnsiTheme="majorHAnsi" w:cs="Arial"/>
          <w:noProof/>
          <w:spacing w:val="-2"/>
          <w:sz w:val="20"/>
          <w:lang w:val="es-CL"/>
        </w:rPr>
      </w:pPr>
    </w:p>
    <w:p w:rsidR="009367D9" w:rsidRDefault="009367D9" w:rsidP="009367D9">
      <w:pPr>
        <w:ind w:firstLine="720"/>
        <w:jc w:val="both"/>
        <w:rPr>
          <w:rFonts w:asciiTheme="majorHAnsi" w:hAnsiTheme="majorHAnsi" w:cs="Arial"/>
          <w:noProof/>
          <w:spacing w:val="-2"/>
          <w:sz w:val="20"/>
          <w:lang w:val="es-CL"/>
        </w:rPr>
      </w:pPr>
    </w:p>
    <w:p w:rsidR="009367D9" w:rsidRDefault="009367D9" w:rsidP="009367D9">
      <w:pPr>
        <w:ind w:firstLine="720"/>
        <w:jc w:val="both"/>
        <w:rPr>
          <w:rFonts w:asciiTheme="majorHAnsi" w:hAnsiTheme="majorHAnsi" w:cs="Arial"/>
          <w:noProof/>
          <w:spacing w:val="-2"/>
          <w:sz w:val="20"/>
          <w:lang w:val="es-CL"/>
        </w:rPr>
      </w:pPr>
    </w:p>
    <w:p w:rsidR="009367D9" w:rsidRDefault="009367D9" w:rsidP="009367D9">
      <w:pPr>
        <w:ind w:firstLine="720"/>
        <w:jc w:val="both"/>
        <w:rPr>
          <w:rFonts w:asciiTheme="majorHAnsi" w:hAnsiTheme="majorHAnsi" w:cs="Arial"/>
          <w:noProof/>
          <w:spacing w:val="-2"/>
          <w:sz w:val="20"/>
          <w:lang w:val="es-CL"/>
        </w:rPr>
      </w:pPr>
    </w:p>
    <w:p w:rsidR="009367D9" w:rsidRDefault="009367D9" w:rsidP="009367D9">
      <w:pPr>
        <w:ind w:firstLine="720"/>
        <w:jc w:val="both"/>
        <w:rPr>
          <w:rFonts w:asciiTheme="majorHAnsi" w:hAnsiTheme="majorHAnsi" w:cs="Arial"/>
          <w:noProof/>
          <w:spacing w:val="-2"/>
          <w:sz w:val="20"/>
          <w:lang w:val="es-CL"/>
        </w:rPr>
      </w:pPr>
    </w:p>
    <w:p w:rsidR="009367D9" w:rsidRDefault="009367D9" w:rsidP="009367D9">
      <w:pPr>
        <w:ind w:firstLine="720"/>
        <w:jc w:val="both"/>
        <w:rPr>
          <w:rFonts w:asciiTheme="majorHAnsi" w:hAnsiTheme="majorHAnsi" w:cs="Arial"/>
          <w:noProof/>
          <w:spacing w:val="-2"/>
          <w:sz w:val="20"/>
          <w:lang w:val="es-CL"/>
        </w:rPr>
      </w:pPr>
    </w:p>
    <w:p w:rsidR="009367D9" w:rsidRDefault="009367D9" w:rsidP="009367D9">
      <w:pPr>
        <w:ind w:firstLine="720"/>
        <w:jc w:val="both"/>
        <w:rPr>
          <w:rFonts w:asciiTheme="majorHAnsi" w:hAnsiTheme="majorHAnsi" w:cs="Arial"/>
          <w:noProof/>
          <w:spacing w:val="-2"/>
          <w:sz w:val="20"/>
          <w:lang w:val="es-CL"/>
        </w:rPr>
      </w:pPr>
    </w:p>
    <w:p w:rsidR="009367D9" w:rsidRDefault="009367D9" w:rsidP="009367D9">
      <w:pPr>
        <w:ind w:firstLine="720"/>
        <w:jc w:val="both"/>
        <w:rPr>
          <w:rFonts w:asciiTheme="majorHAnsi" w:hAnsiTheme="majorHAnsi" w:cs="Arial"/>
          <w:noProof/>
          <w:spacing w:val="-2"/>
          <w:sz w:val="20"/>
          <w:lang w:val="es-CL"/>
        </w:rPr>
      </w:pPr>
    </w:p>
    <w:p w:rsidR="009367D9" w:rsidRDefault="009367D9" w:rsidP="009367D9">
      <w:pPr>
        <w:ind w:firstLine="720"/>
        <w:jc w:val="both"/>
        <w:rPr>
          <w:rFonts w:asciiTheme="majorHAnsi" w:hAnsiTheme="majorHAnsi" w:cs="Arial"/>
          <w:noProof/>
          <w:spacing w:val="-2"/>
          <w:sz w:val="20"/>
          <w:lang w:val="es-CL"/>
        </w:rPr>
      </w:pPr>
    </w:p>
    <w:p w:rsidR="009367D9" w:rsidRPr="009367D9" w:rsidRDefault="009367D9" w:rsidP="009367D9">
      <w:pPr>
        <w:ind w:firstLine="720"/>
        <w:jc w:val="both"/>
        <w:rPr>
          <w:rFonts w:asciiTheme="majorHAnsi" w:hAnsiTheme="majorHAnsi" w:cs="Arial"/>
          <w:noProof/>
          <w:spacing w:val="-2"/>
          <w:sz w:val="20"/>
          <w:lang w:val="es-CL"/>
        </w:rPr>
      </w:pPr>
      <w:r w:rsidRPr="009367D9">
        <w:rPr>
          <w:rFonts w:asciiTheme="majorHAnsi" w:hAnsiTheme="majorHAnsi" w:cs="Arial"/>
          <w:noProof/>
          <w:spacing w:val="-2"/>
          <w:sz w:val="20"/>
          <w:lang w:val="es-CL"/>
        </w:rPr>
        <w:t xml:space="preserve">Dado y firmado en la ciudad de Washington, D.C., a los </w:t>
      </w:r>
      <w:r>
        <w:rPr>
          <w:rFonts w:asciiTheme="majorHAnsi" w:hAnsiTheme="majorHAnsi" w:cs="Arial"/>
          <w:noProof/>
          <w:spacing w:val="-2"/>
          <w:sz w:val="20"/>
          <w:lang w:val="es-CL"/>
        </w:rPr>
        <w:t>26</w:t>
      </w:r>
      <w:r w:rsidRPr="009367D9">
        <w:rPr>
          <w:rFonts w:asciiTheme="majorHAnsi" w:hAnsiTheme="majorHAnsi" w:cs="Arial"/>
          <w:noProof/>
          <w:spacing w:val="-2"/>
          <w:sz w:val="20"/>
          <w:lang w:val="es-CL"/>
        </w:rPr>
        <w:t xml:space="preserve"> días del mes de marzo de 2015.  (Firmado): Rose-Marie Belle Antoine, Presidenta; James L. Cavallaro, Primer Vicepresidente; José de Jesús Orozco Henríquez, Segundo Vicepresidente; Felipe González</w:t>
      </w:r>
      <w:r>
        <w:rPr>
          <w:rFonts w:asciiTheme="majorHAnsi" w:hAnsiTheme="majorHAnsi" w:cs="Arial"/>
          <w:noProof/>
          <w:spacing w:val="-2"/>
          <w:sz w:val="20"/>
          <w:lang w:val="es-CL"/>
        </w:rPr>
        <w:t xml:space="preserve"> y </w:t>
      </w:r>
      <w:r w:rsidRPr="009367D9">
        <w:rPr>
          <w:rFonts w:asciiTheme="majorHAnsi" w:hAnsiTheme="majorHAnsi" w:cs="Arial"/>
          <w:noProof/>
          <w:spacing w:val="-2"/>
          <w:sz w:val="20"/>
          <w:lang w:val="es-CL"/>
        </w:rPr>
        <w:t>Tracy Robinson, Miembros de la Comisión.</w:t>
      </w:r>
      <w:r w:rsidRPr="009367D9">
        <w:rPr>
          <w:rFonts w:asciiTheme="majorHAnsi" w:hAnsiTheme="majorHAnsi" w:cs="Arial"/>
          <w:noProof/>
          <w:sz w:val="20"/>
          <w:lang w:val="es-CL"/>
        </w:rPr>
        <w:t xml:space="preserve"> </w:t>
      </w:r>
    </w:p>
    <w:p w:rsidR="009367D9" w:rsidRDefault="009367D9" w:rsidP="009367D9">
      <w:pPr>
        <w:ind w:firstLine="720"/>
        <w:jc w:val="both"/>
        <w:rPr>
          <w:rFonts w:asciiTheme="majorHAnsi" w:hAnsiTheme="majorHAnsi" w:cs="Arial"/>
          <w:noProof/>
          <w:sz w:val="20"/>
          <w:lang w:val="es-CL"/>
        </w:rPr>
      </w:pPr>
    </w:p>
    <w:p w:rsidR="009367D9" w:rsidRPr="009367D9" w:rsidRDefault="009367D9" w:rsidP="009367D9">
      <w:pPr>
        <w:ind w:firstLine="720"/>
        <w:jc w:val="both"/>
        <w:rPr>
          <w:rFonts w:asciiTheme="majorHAnsi" w:hAnsiTheme="majorHAnsi" w:cs="Arial"/>
          <w:noProof/>
          <w:sz w:val="20"/>
          <w:lang w:val="es-CL"/>
        </w:rPr>
      </w:pPr>
      <w:r>
        <w:rPr>
          <w:rFonts w:asciiTheme="majorHAnsi" w:hAnsiTheme="majorHAnsi" w:cs="Arial"/>
          <w:noProof/>
          <w:sz w:val="20"/>
          <w:lang w:val="es-CL"/>
        </w:rPr>
        <w:t>La</w:t>
      </w:r>
      <w:r w:rsidRPr="009367D9">
        <w:rPr>
          <w:rFonts w:asciiTheme="majorHAnsi" w:hAnsiTheme="majorHAnsi" w:cs="Arial"/>
          <w:noProof/>
          <w:sz w:val="20"/>
          <w:lang w:val="es-CL"/>
        </w:rPr>
        <w:t xml:space="preserve"> que suscribe, </w:t>
      </w:r>
      <w:r>
        <w:rPr>
          <w:rFonts w:asciiTheme="majorHAnsi" w:hAnsiTheme="majorHAnsi" w:cs="Arial"/>
          <w:noProof/>
          <w:sz w:val="20"/>
          <w:lang w:val="es-CL"/>
        </w:rPr>
        <w:t>Elizabeth Abi-Mershed</w:t>
      </w:r>
      <w:r w:rsidRPr="009367D9">
        <w:rPr>
          <w:rFonts w:asciiTheme="majorHAnsi" w:hAnsiTheme="majorHAnsi" w:cs="Arial"/>
          <w:noProof/>
          <w:sz w:val="20"/>
          <w:lang w:val="es-CL"/>
        </w:rPr>
        <w:t>, en su carácter de Secretari</w:t>
      </w:r>
      <w:r>
        <w:rPr>
          <w:rFonts w:asciiTheme="majorHAnsi" w:hAnsiTheme="majorHAnsi" w:cs="Arial"/>
          <w:noProof/>
          <w:sz w:val="20"/>
          <w:lang w:val="es-CL"/>
        </w:rPr>
        <w:t>a</w:t>
      </w:r>
      <w:r w:rsidRPr="009367D9">
        <w:rPr>
          <w:rFonts w:asciiTheme="majorHAnsi" w:hAnsiTheme="majorHAnsi" w:cs="Arial"/>
          <w:noProof/>
          <w:sz w:val="20"/>
          <w:lang w:val="es-CL"/>
        </w:rPr>
        <w:t xml:space="preserve"> Ejecutiv</w:t>
      </w:r>
      <w:r>
        <w:rPr>
          <w:rFonts w:asciiTheme="majorHAnsi" w:hAnsiTheme="majorHAnsi" w:cs="Arial"/>
          <w:noProof/>
          <w:sz w:val="20"/>
          <w:lang w:val="es-CL"/>
        </w:rPr>
        <w:t>a Adjunta</w:t>
      </w:r>
      <w:r w:rsidRPr="009367D9">
        <w:rPr>
          <w:rFonts w:asciiTheme="majorHAnsi" w:hAnsiTheme="majorHAnsi" w:cs="Arial"/>
          <w:noProof/>
          <w:sz w:val="20"/>
          <w:lang w:val="es-CL"/>
        </w:rPr>
        <w:t xml:space="preserve"> de la Comisión Interamericana de Derechos Humanos, de conformidad con el artículo 49 del Reglamento de la Comisión, certifica que es copia fiel del original depositado en los archivos de la Secretaría de la CIDH.</w:t>
      </w:r>
    </w:p>
    <w:p w:rsidR="009367D9" w:rsidRPr="009367D9" w:rsidRDefault="009367D9" w:rsidP="009367D9">
      <w:pPr>
        <w:suppressAutoHyphens/>
        <w:jc w:val="both"/>
        <w:rPr>
          <w:rFonts w:asciiTheme="majorHAnsi" w:hAnsiTheme="majorHAnsi" w:cs="Arial"/>
          <w:noProof/>
          <w:spacing w:val="-2"/>
          <w:sz w:val="22"/>
          <w:szCs w:val="22"/>
          <w:lang w:val="es-CL"/>
        </w:rPr>
      </w:pPr>
    </w:p>
    <w:p w:rsidR="009367D9" w:rsidRPr="009367D9" w:rsidRDefault="009367D9" w:rsidP="009367D9">
      <w:pPr>
        <w:ind w:left="720" w:hanging="720"/>
        <w:jc w:val="center"/>
        <w:rPr>
          <w:rFonts w:asciiTheme="majorHAnsi" w:hAnsiTheme="majorHAnsi" w:cs="Arial"/>
          <w:sz w:val="20"/>
          <w:lang w:val="es-SV"/>
        </w:rPr>
      </w:pPr>
    </w:p>
    <w:p w:rsidR="009367D9" w:rsidRPr="009367D9" w:rsidRDefault="009367D9" w:rsidP="009367D9">
      <w:pPr>
        <w:ind w:left="720" w:hanging="720"/>
        <w:jc w:val="center"/>
        <w:rPr>
          <w:rFonts w:asciiTheme="majorHAnsi" w:hAnsiTheme="majorHAnsi" w:cs="Arial"/>
          <w:sz w:val="20"/>
          <w:lang w:val="es-SV"/>
        </w:rPr>
      </w:pPr>
    </w:p>
    <w:p w:rsidR="009367D9" w:rsidRPr="009367D9" w:rsidRDefault="009367D9" w:rsidP="009367D9">
      <w:pPr>
        <w:ind w:left="720" w:hanging="720"/>
        <w:jc w:val="center"/>
        <w:rPr>
          <w:rFonts w:asciiTheme="majorHAnsi" w:hAnsiTheme="majorHAnsi" w:cs="Arial"/>
          <w:sz w:val="20"/>
          <w:lang w:val="es-SV"/>
        </w:rPr>
      </w:pPr>
    </w:p>
    <w:p w:rsidR="009367D9" w:rsidRPr="009367D9" w:rsidRDefault="009367D9" w:rsidP="009367D9">
      <w:pPr>
        <w:ind w:left="720" w:hanging="720"/>
        <w:jc w:val="center"/>
        <w:rPr>
          <w:rFonts w:asciiTheme="majorHAnsi" w:hAnsiTheme="majorHAnsi" w:cs="Arial"/>
          <w:sz w:val="20"/>
          <w:lang w:val="es-SV"/>
        </w:rPr>
      </w:pPr>
    </w:p>
    <w:p w:rsidR="009367D9" w:rsidRPr="009367D9" w:rsidRDefault="009367D9" w:rsidP="009367D9">
      <w:pPr>
        <w:ind w:left="720" w:hanging="720"/>
        <w:jc w:val="center"/>
        <w:rPr>
          <w:rFonts w:asciiTheme="majorHAnsi" w:hAnsiTheme="majorHAnsi" w:cs="Arial"/>
          <w:sz w:val="20"/>
          <w:lang w:val="es-ES"/>
        </w:rPr>
      </w:pPr>
      <w:r>
        <w:rPr>
          <w:rFonts w:asciiTheme="majorHAnsi" w:hAnsiTheme="majorHAnsi" w:cs="Arial"/>
          <w:sz w:val="20"/>
          <w:lang w:val="es-ES"/>
        </w:rPr>
        <w:t>Elizabeth Abi-Mershed</w:t>
      </w:r>
    </w:p>
    <w:p w:rsidR="00DE600D" w:rsidRPr="00E73E51" w:rsidRDefault="009367D9" w:rsidP="009367D9">
      <w:pPr>
        <w:suppressAutoHyphens/>
        <w:jc w:val="center"/>
        <w:rPr>
          <w:rFonts w:ascii="Cambria" w:hAnsi="Cambria"/>
          <w:spacing w:val="-2"/>
          <w:sz w:val="20"/>
          <w:lang w:val="es-SV"/>
        </w:rPr>
      </w:pPr>
      <w:r>
        <w:rPr>
          <w:rFonts w:asciiTheme="majorHAnsi" w:hAnsiTheme="majorHAnsi" w:cs="Arial"/>
          <w:sz w:val="20"/>
          <w:lang w:val="es-ES"/>
        </w:rPr>
        <w:t>Secretaria</w:t>
      </w:r>
      <w:r w:rsidRPr="009367D9">
        <w:rPr>
          <w:rFonts w:asciiTheme="majorHAnsi" w:hAnsiTheme="majorHAnsi" w:cs="Arial"/>
          <w:sz w:val="20"/>
          <w:lang w:val="es-ES"/>
        </w:rPr>
        <w:t xml:space="preserve"> Ejecutiv</w:t>
      </w:r>
      <w:r>
        <w:rPr>
          <w:rFonts w:asciiTheme="majorHAnsi" w:hAnsiTheme="majorHAnsi" w:cs="Arial"/>
          <w:sz w:val="20"/>
          <w:lang w:val="es-ES"/>
        </w:rPr>
        <w:t>a Adjunta</w:t>
      </w:r>
    </w:p>
    <w:p w:rsidR="007202AC" w:rsidRPr="00A37B82" w:rsidRDefault="007202AC" w:rsidP="007202AC">
      <w:pPr>
        <w:suppressAutoHyphens/>
        <w:jc w:val="center"/>
        <w:rPr>
          <w:rFonts w:asciiTheme="majorHAnsi" w:hAnsiTheme="majorHAnsi"/>
          <w:spacing w:val="-2"/>
          <w:sz w:val="20"/>
          <w:szCs w:val="20"/>
          <w:lang w:val="es-SV"/>
        </w:rPr>
      </w:pPr>
    </w:p>
    <w:p w:rsidR="007202AC" w:rsidRPr="00AD791A" w:rsidRDefault="007202AC" w:rsidP="007202AC">
      <w:pPr>
        <w:pStyle w:val="BodyText3"/>
        <w:tabs>
          <w:tab w:val="left" w:pos="0"/>
          <w:tab w:val="left" w:pos="1440"/>
        </w:tabs>
        <w:spacing w:after="0"/>
        <w:ind w:left="720"/>
        <w:jc w:val="both"/>
        <w:rPr>
          <w:rFonts w:ascii="Cambria" w:hAnsi="Cambria"/>
          <w:sz w:val="20"/>
          <w:szCs w:val="20"/>
          <w:lang w:val="es-CL"/>
        </w:rPr>
      </w:pPr>
      <w:bookmarkStart w:id="150" w:name="_GoBack"/>
      <w:bookmarkEnd w:id="150"/>
    </w:p>
    <w:sectPr w:rsidR="007202AC" w:rsidRPr="00AD791A" w:rsidSect="009D7F3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27B" w:rsidRDefault="0074127B">
      <w:r>
        <w:separator/>
      </w:r>
    </w:p>
  </w:endnote>
  <w:endnote w:type="continuationSeparator" w:id="0">
    <w:p w:rsidR="0074127B" w:rsidRDefault="0074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4C" w:rsidRPr="00442B89" w:rsidRDefault="000A6E4C">
    <w:pPr>
      <w:pStyle w:val="Footer"/>
      <w:jc w:val="center"/>
      <w:rPr>
        <w:rFonts w:ascii="Cambria" w:hAnsi="Cambria"/>
        <w:sz w:val="18"/>
        <w:szCs w:val="18"/>
      </w:rPr>
    </w:pPr>
    <w:r w:rsidRPr="00442B89">
      <w:rPr>
        <w:rFonts w:ascii="Cambria" w:hAnsi="Cambria"/>
        <w:sz w:val="18"/>
        <w:szCs w:val="18"/>
      </w:rPr>
      <w:fldChar w:fldCharType="begin"/>
    </w:r>
    <w:r w:rsidRPr="00442B89">
      <w:rPr>
        <w:rFonts w:ascii="Cambria" w:hAnsi="Cambria"/>
        <w:sz w:val="18"/>
        <w:szCs w:val="18"/>
      </w:rPr>
      <w:instrText xml:space="preserve"> PAGE   \* MERGEFORMAT </w:instrText>
    </w:r>
    <w:r w:rsidRPr="00442B89">
      <w:rPr>
        <w:rFonts w:ascii="Cambria" w:hAnsi="Cambria"/>
        <w:sz w:val="18"/>
        <w:szCs w:val="18"/>
      </w:rPr>
      <w:fldChar w:fldCharType="separate"/>
    </w:r>
    <w:r w:rsidR="00366ECC">
      <w:rPr>
        <w:rFonts w:ascii="Cambria" w:hAnsi="Cambria"/>
        <w:noProof/>
        <w:sz w:val="18"/>
        <w:szCs w:val="18"/>
      </w:rPr>
      <w:t>40</w:t>
    </w:r>
    <w:r w:rsidRPr="00442B89">
      <w:rPr>
        <w:rFonts w:ascii="Cambria" w:hAnsi="Cambria"/>
        <w:noProof/>
        <w:sz w:val="18"/>
        <w:szCs w:val="18"/>
      </w:rPr>
      <w:fldChar w:fldCharType="end"/>
    </w:r>
  </w:p>
  <w:p w:rsidR="000A6E4C" w:rsidRDefault="000A6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4C" w:rsidRPr="00442B89" w:rsidRDefault="000A6E4C">
    <w:pPr>
      <w:pStyle w:val="Footer"/>
      <w:jc w:val="center"/>
      <w:rPr>
        <w:rFonts w:ascii="Cambria" w:hAnsi="Cambria"/>
        <w:sz w:val="18"/>
        <w:szCs w:val="18"/>
      </w:rPr>
    </w:pPr>
    <w:r w:rsidRPr="00442B89">
      <w:rPr>
        <w:rFonts w:ascii="Cambria" w:hAnsi="Cambria"/>
        <w:sz w:val="18"/>
        <w:szCs w:val="18"/>
      </w:rPr>
      <w:fldChar w:fldCharType="begin"/>
    </w:r>
    <w:r w:rsidRPr="00442B89">
      <w:rPr>
        <w:rFonts w:ascii="Cambria" w:hAnsi="Cambria"/>
        <w:sz w:val="18"/>
        <w:szCs w:val="18"/>
      </w:rPr>
      <w:instrText xml:space="preserve"> PAGE   \* MERGEFORMAT </w:instrText>
    </w:r>
    <w:r w:rsidRPr="00442B89">
      <w:rPr>
        <w:rFonts w:ascii="Cambria" w:hAnsi="Cambria"/>
        <w:sz w:val="18"/>
        <w:szCs w:val="18"/>
      </w:rPr>
      <w:fldChar w:fldCharType="separate"/>
    </w:r>
    <w:r w:rsidR="0074127B">
      <w:rPr>
        <w:rFonts w:ascii="Cambria" w:hAnsi="Cambria"/>
        <w:noProof/>
        <w:sz w:val="18"/>
        <w:szCs w:val="18"/>
      </w:rPr>
      <w:t>0</w:t>
    </w:r>
    <w:r w:rsidRPr="00442B89">
      <w:rPr>
        <w:rFonts w:ascii="Cambria" w:hAnsi="Cambria"/>
        <w:noProof/>
        <w:sz w:val="18"/>
        <w:szCs w:val="18"/>
      </w:rPr>
      <w:fldChar w:fldCharType="end"/>
    </w:r>
  </w:p>
  <w:p w:rsidR="000A6E4C" w:rsidRDefault="000A6E4C" w:rsidP="009D7F32">
    <w:pPr>
      <w:pStyle w:val="Footer"/>
      <w:ind w:lef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4C" w:rsidRDefault="000A6E4C" w:rsidP="009D7F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6E4C" w:rsidRDefault="000A6E4C">
    <w:pPr>
      <w:pStyle w:val="Footer"/>
    </w:pPr>
  </w:p>
  <w:p w:rsidR="000A6E4C" w:rsidRDefault="000A6E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27B" w:rsidRDefault="0074127B">
      <w:r>
        <w:separator/>
      </w:r>
    </w:p>
  </w:footnote>
  <w:footnote w:type="continuationSeparator" w:id="0">
    <w:p w:rsidR="0074127B" w:rsidRDefault="0074127B">
      <w:r>
        <w:continuationSeparator/>
      </w:r>
    </w:p>
  </w:footnote>
  <w:footnote w:id="1">
    <w:p w:rsidR="000A6E4C" w:rsidRPr="00AD791A" w:rsidRDefault="000A6E4C" w:rsidP="009D7F32">
      <w:pPr>
        <w:pStyle w:val="Heading2"/>
        <w:keepNext w:val="0"/>
        <w:spacing w:after="120"/>
        <w:jc w:val="both"/>
        <w:rPr>
          <w:rFonts w:ascii="Cambria" w:hAnsi="Cambria"/>
          <w:b w:val="0"/>
          <w:sz w:val="16"/>
          <w:szCs w:val="16"/>
          <w:lang w:val="es-MX"/>
        </w:rPr>
      </w:pPr>
      <w:r w:rsidRPr="00AD791A">
        <w:rPr>
          <w:rStyle w:val="FootnoteReference"/>
          <w:rFonts w:ascii="Cambria" w:hAnsi="Cambria"/>
          <w:b w:val="0"/>
          <w:i/>
          <w:sz w:val="16"/>
          <w:szCs w:val="16"/>
        </w:rPr>
        <w:footnoteRef/>
      </w:r>
      <w:r w:rsidRPr="00AD791A">
        <w:rPr>
          <w:rFonts w:ascii="Cambria" w:hAnsi="Cambria"/>
          <w:b w:val="0"/>
          <w:sz w:val="16"/>
          <w:szCs w:val="16"/>
          <w:lang w:val="es-MX"/>
        </w:rPr>
        <w:t xml:space="preserve"> CIDH, Informe No. 148/10, Petición 830-07, Admisibilidad, María Luisa Acosta y otros, Nicaragua, 1 de noviembre de 2010. </w:t>
      </w:r>
    </w:p>
  </w:footnote>
  <w:footnote w:id="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 Carta del Rector de la Universidad de Tromso dirigida a la OACNUDH, 2 de mayo de 2002. Expediente judicial de primera instancia No. 110-02, folio 353. Anexo 2. Carta del Centro de Investigación en la Universidad de York dirigida al Presidente de Nicaragua, 18 de abril de 2002. Expediente judicial de primera instancia No. 110-02, folio 355. Anexo 3. Pronunciamiento de </w:t>
      </w:r>
      <w:r w:rsidRPr="00AD791A">
        <w:rPr>
          <w:rFonts w:ascii="Cambria" w:hAnsi="Cambria"/>
          <w:i/>
          <w:szCs w:val="16"/>
          <w:lang w:val="es-MX"/>
        </w:rPr>
        <w:t>Nicaragua Emergency Response Network</w:t>
      </w:r>
      <w:r w:rsidRPr="00AD791A">
        <w:rPr>
          <w:rFonts w:ascii="Cambria" w:hAnsi="Cambria"/>
          <w:szCs w:val="16"/>
          <w:lang w:val="es-MX"/>
        </w:rPr>
        <w:t xml:space="preserve"> de 11 de abril de 2002. Expediente judicial de primera instancia No. 110-02, folio 350. Anexo 4 “</w:t>
      </w:r>
      <w:r w:rsidRPr="00AD791A">
        <w:rPr>
          <w:rFonts w:ascii="Cambria" w:hAnsi="Cambria" w:cs="Arial Narrow"/>
          <w:spacing w:val="-4"/>
          <w:szCs w:val="16"/>
        </w:rPr>
        <w:t xml:space="preserve">Pastores por la Paz </w:t>
      </w:r>
      <w:r w:rsidRPr="00AD791A">
        <w:rPr>
          <w:rFonts w:ascii="Cambria" w:hAnsi="Cambria"/>
          <w:spacing w:val="6"/>
          <w:szCs w:val="16"/>
        </w:rPr>
        <w:t xml:space="preserve">imploran investigar </w:t>
      </w:r>
      <w:r w:rsidRPr="00AD791A">
        <w:rPr>
          <w:rFonts w:ascii="Cambria" w:hAnsi="Cambria" w:cs="Arial Narrow"/>
          <w:spacing w:val="-4"/>
          <w:szCs w:val="16"/>
        </w:rPr>
        <w:t xml:space="preserve">crimen, constatan violaciones a </w:t>
      </w:r>
      <w:r w:rsidRPr="00AD791A">
        <w:rPr>
          <w:rFonts w:ascii="Cambria" w:hAnsi="Cambria" w:cs="Garamond"/>
          <w:spacing w:val="-6"/>
          <w:szCs w:val="16"/>
        </w:rPr>
        <w:t>derechos</w:t>
      </w:r>
      <w:r w:rsidRPr="00AD791A">
        <w:rPr>
          <w:rFonts w:ascii="Cambria" w:hAnsi="Cambria" w:cs="Garamond"/>
          <w:szCs w:val="16"/>
        </w:rPr>
        <w:t xml:space="preserve"> </w:t>
      </w:r>
      <w:r w:rsidRPr="00AD791A">
        <w:rPr>
          <w:rFonts w:ascii="Cambria" w:hAnsi="Cambria" w:cs="Arial Narrow"/>
          <w:spacing w:val="-4"/>
          <w:szCs w:val="16"/>
        </w:rPr>
        <w:t xml:space="preserve">indígenas en el </w:t>
      </w:r>
      <w:r w:rsidRPr="00AD791A">
        <w:rPr>
          <w:rFonts w:ascii="Cambria" w:hAnsi="Cambria"/>
          <w:spacing w:val="6"/>
          <w:szCs w:val="16"/>
        </w:rPr>
        <w:t xml:space="preserve">Caribe”, </w:t>
      </w:r>
      <w:r w:rsidRPr="00AD791A">
        <w:rPr>
          <w:rFonts w:ascii="Cambria" w:hAnsi="Cambria" w:cs="Arial Narrow"/>
          <w:i/>
          <w:spacing w:val="-4"/>
          <w:szCs w:val="16"/>
        </w:rPr>
        <w:t xml:space="preserve">La </w:t>
      </w:r>
      <w:r w:rsidRPr="00AD791A">
        <w:rPr>
          <w:rFonts w:ascii="Cambria" w:hAnsi="Cambria" w:cs="Arial Narrow"/>
          <w:i/>
          <w:spacing w:val="-2"/>
          <w:szCs w:val="16"/>
        </w:rPr>
        <w:t>Prensa</w:t>
      </w:r>
      <w:r w:rsidRPr="00AD791A">
        <w:rPr>
          <w:rFonts w:ascii="Cambria" w:hAnsi="Cambria" w:cs="Arial Narrow"/>
          <w:spacing w:val="-2"/>
          <w:szCs w:val="16"/>
        </w:rPr>
        <w:t>, 10 de abril de 2002. Anexos a la comunicación de los peticionarios de 13 de julio de 2007.</w:t>
      </w:r>
    </w:p>
  </w:footnote>
  <w:footnote w:id="3">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w:t>
      </w:r>
      <w:r w:rsidRPr="00AD791A">
        <w:rPr>
          <w:rFonts w:ascii="Cambria" w:hAnsi="Cambria" w:cs="Arial Narrow"/>
          <w:spacing w:val="-2"/>
          <w:szCs w:val="16"/>
        </w:rPr>
        <w:t>Anexo</w:t>
      </w:r>
      <w:r w:rsidRPr="00AD791A">
        <w:rPr>
          <w:rFonts w:ascii="Cambria" w:hAnsi="Cambria"/>
          <w:szCs w:val="16"/>
          <w:lang w:val="es-MX"/>
        </w:rPr>
        <w:t xml:space="preserve"> 5. Pronunciamiento del Procurador para la Defensa de los Derechos Humanos (PDDH), Benjamín Pérez Fonseca, Managua, 22 de abril de 2011. Expediente judicial de primera instancia No. 110-02, folio 352. </w:t>
      </w:r>
      <w:r w:rsidRPr="00AD791A">
        <w:rPr>
          <w:rFonts w:ascii="Cambria" w:hAnsi="Cambria" w:cs="Arial Narrow"/>
          <w:spacing w:val="-2"/>
          <w:szCs w:val="16"/>
        </w:rPr>
        <w:t>Anexo a la comunicación de los peticionarios de 13 de julio de 2007.</w:t>
      </w:r>
      <w:r w:rsidRPr="00AD791A">
        <w:rPr>
          <w:rFonts w:ascii="Cambria" w:hAnsi="Cambria"/>
          <w:szCs w:val="16"/>
          <w:lang w:val="es-MX"/>
        </w:rPr>
        <w:t xml:space="preserve">   </w:t>
      </w:r>
    </w:p>
  </w:footnote>
  <w:footnote w:id="4">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Sitio de Internet del Centro de Asistencia Legal Para Pueblos Indígenas (CALPI), </w:t>
      </w:r>
      <w:hyperlink r:id="rId1" w:history="1">
        <w:r w:rsidRPr="00AD791A">
          <w:rPr>
            <w:rStyle w:val="Hyperlink"/>
            <w:rFonts w:ascii="Cambria" w:hAnsi="Cambria"/>
            <w:color w:val="auto"/>
            <w:szCs w:val="16"/>
            <w:lang w:val="es-MX"/>
          </w:rPr>
          <w:t>http://calpi.nativeweb.org/quiensomos.htm</w:t>
        </w:r>
      </w:hyperlink>
      <w:r w:rsidRPr="00AD791A">
        <w:rPr>
          <w:rFonts w:ascii="Cambria" w:hAnsi="Cambria"/>
          <w:szCs w:val="16"/>
          <w:lang w:val="es-MX"/>
        </w:rPr>
        <w:t xml:space="preserve"> </w:t>
      </w:r>
    </w:p>
  </w:footnote>
  <w:footnote w:id="5">
    <w:p w:rsidR="000A6E4C" w:rsidRPr="00AD791A" w:rsidRDefault="000A6E4C" w:rsidP="009D7F32">
      <w:pPr>
        <w:pStyle w:val="Heading1"/>
        <w:spacing w:after="120"/>
        <w:rPr>
          <w:rFonts w:ascii="Cambria" w:hAnsi="Cambria"/>
          <w:b w:val="0"/>
          <w:sz w:val="16"/>
          <w:szCs w:val="16"/>
        </w:rPr>
      </w:pPr>
      <w:r w:rsidRPr="00AD791A">
        <w:rPr>
          <w:rStyle w:val="FootnoteReference"/>
          <w:rFonts w:ascii="Cambria" w:hAnsi="Cambria"/>
          <w:b w:val="0"/>
          <w:sz w:val="16"/>
          <w:szCs w:val="16"/>
        </w:rPr>
        <w:footnoteRef/>
      </w:r>
      <w:r w:rsidRPr="00AD791A">
        <w:rPr>
          <w:rFonts w:ascii="Cambria" w:hAnsi="Cambria"/>
          <w:b w:val="0"/>
          <w:sz w:val="16"/>
          <w:szCs w:val="16"/>
        </w:rPr>
        <w:t xml:space="preserve"> Workers World, Nicaragua leader targeted, 2 de mayo de 2002, </w:t>
      </w:r>
      <w:hyperlink r:id="rId2" w:history="1">
        <w:r w:rsidRPr="00AD791A">
          <w:rPr>
            <w:rStyle w:val="Hyperlink"/>
            <w:rFonts w:ascii="Cambria" w:hAnsi="Cambria"/>
            <w:b w:val="0"/>
            <w:color w:val="auto"/>
            <w:sz w:val="16"/>
            <w:szCs w:val="16"/>
          </w:rPr>
          <w:t>http://www.workers.org/ww/2002/nicaletter0502.php</w:t>
        </w:r>
      </w:hyperlink>
      <w:r w:rsidRPr="00AD791A">
        <w:rPr>
          <w:rFonts w:ascii="Cambria" w:hAnsi="Cambria"/>
          <w:b w:val="0"/>
          <w:sz w:val="16"/>
          <w:szCs w:val="16"/>
        </w:rPr>
        <w:t xml:space="preserve"> </w:t>
      </w:r>
    </w:p>
  </w:footnote>
  <w:footnote w:id="6">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6. “</w:t>
      </w:r>
      <w:r w:rsidRPr="00AD791A">
        <w:rPr>
          <w:rStyle w:val="FootnoteTex"/>
          <w:rFonts w:ascii="Cambria" w:hAnsi="Cambria"/>
          <w:sz w:val="16"/>
          <w:szCs w:val="16"/>
          <w:lang w:val="es-MX"/>
        </w:rPr>
        <w:t xml:space="preserve">Abogada de etnias asegura que Policía niega acceso al agua a las etnias que habitan en la zona”, </w:t>
      </w:r>
      <w:r w:rsidRPr="00AD791A">
        <w:rPr>
          <w:rStyle w:val="FootnoteTex"/>
          <w:rFonts w:ascii="Cambria" w:hAnsi="Cambria"/>
          <w:i/>
          <w:sz w:val="16"/>
          <w:szCs w:val="16"/>
          <w:lang w:val="es-MX"/>
        </w:rPr>
        <w:t>La Prensa</w:t>
      </w:r>
      <w:r w:rsidRPr="00AD791A">
        <w:rPr>
          <w:rStyle w:val="FootnoteTex"/>
          <w:rFonts w:ascii="Cambria" w:hAnsi="Cambria"/>
          <w:sz w:val="16"/>
          <w:szCs w:val="16"/>
          <w:lang w:val="es-MX"/>
        </w:rPr>
        <w:t xml:space="preserve">, 14 de octubre de 2000. Anexo 7. </w:t>
      </w:r>
      <w:r w:rsidRPr="00AD791A">
        <w:rPr>
          <w:rFonts w:ascii="Cambria" w:hAnsi="Cambria"/>
          <w:szCs w:val="16"/>
          <w:lang w:val="es-MX"/>
        </w:rPr>
        <w:t xml:space="preserve">“Corte Suprema ventilará conflicto por Cayos de Perlas”, </w:t>
      </w:r>
      <w:r w:rsidRPr="00AD791A">
        <w:rPr>
          <w:rFonts w:ascii="Cambria" w:hAnsi="Cambria"/>
          <w:i/>
          <w:szCs w:val="16"/>
          <w:lang w:val="es-MX"/>
        </w:rPr>
        <w:t>La Prensa</w:t>
      </w:r>
      <w:r w:rsidRPr="00AD791A">
        <w:rPr>
          <w:rFonts w:ascii="Cambria" w:hAnsi="Cambria"/>
          <w:szCs w:val="16"/>
          <w:lang w:val="es-MX"/>
        </w:rPr>
        <w:t xml:space="preserve">, 14 de octubre de 2000. En relación con la compraventa de estos Cayos, María Luisa también escribió publicaciones académicas. Anexo 8. Análisis Jurídico sobre la Compra-Venta de los Cayos Perlas. Revista del Caribe Nicaragüense, WANI. No. 29. CIDCA-UCA, abril-junio de 2002. Anexos </w:t>
      </w:r>
      <w:r w:rsidRPr="00AD791A">
        <w:rPr>
          <w:rFonts w:ascii="Cambria" w:hAnsi="Cambria" w:cs="Arial Narrow"/>
          <w:spacing w:val="-2"/>
          <w:szCs w:val="16"/>
        </w:rPr>
        <w:t>a la comunicación de los peticionarios de 13 de julio de 2007.</w:t>
      </w:r>
      <w:r w:rsidRPr="00AD791A">
        <w:rPr>
          <w:rFonts w:ascii="Cambria" w:hAnsi="Cambria"/>
          <w:szCs w:val="16"/>
          <w:lang w:val="es-MX"/>
        </w:rPr>
        <w:t xml:space="preserve">    </w:t>
      </w:r>
    </w:p>
  </w:footnote>
  <w:footnote w:id="7">
    <w:p w:rsidR="000A6E4C" w:rsidRPr="00AD791A" w:rsidRDefault="000A6E4C" w:rsidP="009D7F32">
      <w:pPr>
        <w:pStyle w:val="FootnoteText"/>
        <w:spacing w:before="0" w:after="120"/>
        <w:ind w:firstLine="720"/>
        <w:rPr>
          <w:rFonts w:ascii="Cambria" w:hAnsi="Cambria"/>
          <w:szCs w:val="16"/>
        </w:rPr>
      </w:pPr>
      <w:r w:rsidRPr="00AD791A">
        <w:rPr>
          <w:rStyle w:val="FootnoteReference"/>
          <w:rFonts w:ascii="Cambria" w:hAnsi="Cambria"/>
          <w:szCs w:val="16"/>
        </w:rPr>
        <w:footnoteRef/>
      </w:r>
      <w:r w:rsidRPr="00AD791A">
        <w:rPr>
          <w:rFonts w:ascii="Cambria" w:hAnsi="Cambria"/>
          <w:szCs w:val="16"/>
          <w:lang w:val="es-MX"/>
        </w:rPr>
        <w:t xml:space="preserve"> Anexo 9. Carta de solidaridad a María Luisa Acosta del Centro Alexander Von Humbolt, Grupo Jurídico Internacional, y Centro de Asistencia Legal a los pueblos indígenas (CALPI), 15 de abril de 2002. Expediente judicial de primera instancia No. 110-02, folio 351. </w:t>
      </w:r>
      <w:r w:rsidRPr="00AD791A">
        <w:rPr>
          <w:rFonts w:ascii="Cambria" w:hAnsi="Cambria" w:cs="Arial Narrow"/>
          <w:spacing w:val="-2"/>
          <w:szCs w:val="16"/>
        </w:rPr>
        <w:t>Anexo a la comunicación de los peticionarios de 13 de julio de 2007.</w:t>
      </w:r>
      <w:r w:rsidRPr="00AD791A">
        <w:rPr>
          <w:rFonts w:ascii="Cambria" w:hAnsi="Cambria"/>
          <w:szCs w:val="16"/>
          <w:lang w:val="es-MX"/>
        </w:rPr>
        <w:t xml:space="preserve">  Anexo 10. “</w:t>
      </w:r>
      <w:r w:rsidRPr="00AD791A">
        <w:rPr>
          <w:rFonts w:ascii="Cambria" w:hAnsi="Cambria"/>
          <w:szCs w:val="16"/>
        </w:rPr>
        <w:t xml:space="preserve">Jamás he cometido un delito, afirma, Griego protesta su inocencia”, </w:t>
      </w:r>
      <w:r w:rsidRPr="00AD791A">
        <w:rPr>
          <w:rFonts w:ascii="Cambria" w:hAnsi="Cambria"/>
          <w:i/>
          <w:szCs w:val="16"/>
        </w:rPr>
        <w:t>El Nuevo Diario</w:t>
      </w:r>
      <w:r w:rsidRPr="00AD791A">
        <w:rPr>
          <w:rFonts w:ascii="Cambria" w:hAnsi="Cambria"/>
          <w:szCs w:val="16"/>
        </w:rPr>
        <w:t>, 13 de abril de 2002. Anexo 4 “</w:t>
      </w:r>
      <w:r w:rsidRPr="00AD791A">
        <w:rPr>
          <w:rFonts w:ascii="Cambria" w:hAnsi="Cambria" w:cs="Arial Narrow"/>
          <w:spacing w:val="-4"/>
          <w:szCs w:val="16"/>
        </w:rPr>
        <w:t xml:space="preserve">Pastores por la Paz </w:t>
      </w:r>
      <w:r w:rsidRPr="00AD791A">
        <w:rPr>
          <w:rFonts w:ascii="Cambria" w:hAnsi="Cambria"/>
          <w:spacing w:val="6"/>
          <w:szCs w:val="16"/>
        </w:rPr>
        <w:t xml:space="preserve">imploran investigar </w:t>
      </w:r>
      <w:r w:rsidRPr="00AD791A">
        <w:rPr>
          <w:rFonts w:ascii="Cambria" w:hAnsi="Cambria" w:cs="Arial Narrow"/>
          <w:spacing w:val="-4"/>
          <w:szCs w:val="16"/>
        </w:rPr>
        <w:t xml:space="preserve">crimen, constatan violaciones a </w:t>
      </w:r>
      <w:r w:rsidRPr="00AD791A">
        <w:rPr>
          <w:rFonts w:ascii="Cambria" w:hAnsi="Cambria" w:cs="Garamond"/>
          <w:spacing w:val="-6"/>
          <w:szCs w:val="16"/>
        </w:rPr>
        <w:t>derechos</w:t>
      </w:r>
      <w:r w:rsidRPr="00AD791A">
        <w:rPr>
          <w:rFonts w:ascii="Cambria" w:hAnsi="Cambria" w:cs="Garamond"/>
          <w:szCs w:val="16"/>
        </w:rPr>
        <w:t xml:space="preserve"> </w:t>
      </w:r>
      <w:r w:rsidRPr="00AD791A">
        <w:rPr>
          <w:rFonts w:ascii="Cambria" w:hAnsi="Cambria" w:cs="Arial Narrow"/>
          <w:spacing w:val="-4"/>
          <w:szCs w:val="16"/>
        </w:rPr>
        <w:t xml:space="preserve">indígenas en el </w:t>
      </w:r>
      <w:r w:rsidRPr="00AD791A">
        <w:rPr>
          <w:rFonts w:ascii="Cambria" w:hAnsi="Cambria"/>
          <w:spacing w:val="6"/>
          <w:szCs w:val="16"/>
        </w:rPr>
        <w:t xml:space="preserve">Caribe”, </w:t>
      </w:r>
      <w:r w:rsidRPr="00AD791A">
        <w:rPr>
          <w:rFonts w:ascii="Cambria" w:hAnsi="Cambria" w:cs="Arial Narrow"/>
          <w:i/>
          <w:spacing w:val="-4"/>
          <w:szCs w:val="16"/>
        </w:rPr>
        <w:t xml:space="preserve">La </w:t>
      </w:r>
      <w:r w:rsidRPr="00AD791A">
        <w:rPr>
          <w:rFonts w:ascii="Cambria" w:hAnsi="Cambria" w:cs="Arial Narrow"/>
          <w:i/>
          <w:spacing w:val="-2"/>
          <w:szCs w:val="16"/>
        </w:rPr>
        <w:t>Prensa</w:t>
      </w:r>
      <w:r w:rsidRPr="00AD791A">
        <w:rPr>
          <w:rFonts w:ascii="Cambria" w:hAnsi="Cambria" w:cs="Arial Narrow"/>
          <w:spacing w:val="-2"/>
          <w:szCs w:val="16"/>
        </w:rPr>
        <w:t>, 10 de abril de 2002. Anexos a la comunicación de los peticionarios de 13 de julio de 2007.</w:t>
      </w:r>
      <w:r w:rsidRPr="00AD791A">
        <w:rPr>
          <w:rFonts w:ascii="Cambria" w:hAnsi="Cambria"/>
          <w:szCs w:val="16"/>
          <w:lang w:val="es-MX"/>
        </w:rPr>
        <w:t xml:space="preserve"> “Nicaragua leader targeted”, </w:t>
      </w:r>
      <w:r w:rsidRPr="00AD791A">
        <w:rPr>
          <w:rFonts w:ascii="Cambria" w:hAnsi="Cambria"/>
          <w:i/>
          <w:szCs w:val="16"/>
          <w:lang w:val="es-MX"/>
        </w:rPr>
        <w:t>Workers World</w:t>
      </w:r>
      <w:r w:rsidRPr="00AD791A">
        <w:rPr>
          <w:rFonts w:ascii="Cambria" w:hAnsi="Cambria"/>
          <w:szCs w:val="16"/>
          <w:lang w:val="es-MX"/>
        </w:rPr>
        <w:t xml:space="preserve">, 2 de mayo de 2002. Disponible en  </w:t>
      </w:r>
      <w:hyperlink r:id="rId3" w:history="1">
        <w:r w:rsidRPr="00AD791A">
          <w:rPr>
            <w:rStyle w:val="Hyperlink"/>
            <w:rFonts w:ascii="Cambria" w:hAnsi="Cambria"/>
            <w:color w:val="auto"/>
            <w:szCs w:val="16"/>
            <w:lang w:val="es-MX"/>
          </w:rPr>
          <w:t>http://www.workers.org/ww/2002/nicaletter0502.php</w:t>
        </w:r>
      </w:hyperlink>
      <w:r w:rsidRPr="00AD791A">
        <w:rPr>
          <w:rFonts w:ascii="Cambria" w:hAnsi="Cambria"/>
          <w:szCs w:val="16"/>
          <w:u w:val="single"/>
          <w:lang w:val="es-MX"/>
        </w:rPr>
        <w:t>.</w:t>
      </w:r>
      <w:r w:rsidRPr="00AD791A">
        <w:rPr>
          <w:rFonts w:ascii="Cambria" w:hAnsi="Cambria"/>
          <w:szCs w:val="16"/>
          <w:lang w:val="es-MX"/>
        </w:rPr>
        <w:t xml:space="preserve"> Anexo 11. “Indígenas reclaman complejo de islotes”, </w:t>
      </w:r>
      <w:r w:rsidRPr="00AD791A">
        <w:rPr>
          <w:rFonts w:ascii="Cambria" w:hAnsi="Cambria"/>
          <w:i/>
          <w:szCs w:val="16"/>
          <w:lang w:val="es-MX"/>
        </w:rPr>
        <w:t>La Prensa</w:t>
      </w:r>
      <w:r w:rsidRPr="00AD791A">
        <w:rPr>
          <w:rFonts w:ascii="Cambria" w:hAnsi="Cambria"/>
          <w:szCs w:val="16"/>
          <w:lang w:val="es-MX"/>
        </w:rPr>
        <w:t xml:space="preserve">, 8 de octubre de 2000. </w:t>
      </w:r>
      <w:r w:rsidRPr="00AD791A">
        <w:rPr>
          <w:rFonts w:ascii="Cambria" w:hAnsi="Cambria" w:cs="Arial Narrow"/>
          <w:spacing w:val="-2"/>
          <w:szCs w:val="16"/>
        </w:rPr>
        <w:t xml:space="preserve">Anexo a la comunicación de los peticionarios de 13 de julio de 2007. </w:t>
      </w:r>
    </w:p>
  </w:footnote>
  <w:footnote w:id="8">
    <w:p w:rsidR="000A6E4C" w:rsidRPr="00AD791A" w:rsidRDefault="000A6E4C" w:rsidP="009D7F32">
      <w:pPr>
        <w:pStyle w:val="Heading1"/>
        <w:spacing w:after="120"/>
        <w:rPr>
          <w:rFonts w:ascii="Cambria" w:hAnsi="Cambria"/>
          <w:b w:val="0"/>
          <w:sz w:val="16"/>
          <w:szCs w:val="16"/>
          <w:lang w:val="es-MX"/>
        </w:rPr>
      </w:pPr>
      <w:r w:rsidRPr="00AD791A">
        <w:rPr>
          <w:rStyle w:val="FootnoteReference"/>
          <w:rFonts w:ascii="Cambria" w:hAnsi="Cambria"/>
          <w:b w:val="0"/>
          <w:sz w:val="16"/>
          <w:szCs w:val="16"/>
        </w:rPr>
        <w:footnoteRef/>
      </w:r>
      <w:r w:rsidRPr="00AD791A">
        <w:rPr>
          <w:rFonts w:ascii="Cambria" w:hAnsi="Cambria"/>
          <w:b w:val="0"/>
          <w:sz w:val="16"/>
          <w:szCs w:val="16"/>
        </w:rPr>
        <w:t xml:space="preserve"> “Nicaragua leader targeted”, </w:t>
      </w:r>
      <w:r w:rsidRPr="00AD791A">
        <w:rPr>
          <w:rFonts w:ascii="Cambria" w:hAnsi="Cambria"/>
          <w:b w:val="0"/>
          <w:i/>
          <w:sz w:val="16"/>
          <w:szCs w:val="16"/>
        </w:rPr>
        <w:t>Workers World</w:t>
      </w:r>
      <w:r w:rsidRPr="00AD791A">
        <w:rPr>
          <w:rFonts w:ascii="Cambria" w:hAnsi="Cambria"/>
          <w:b w:val="0"/>
          <w:sz w:val="16"/>
          <w:szCs w:val="16"/>
        </w:rPr>
        <w:t xml:space="preserve">, 2 de mayo de 2002. Disponible en  </w:t>
      </w:r>
      <w:hyperlink r:id="rId4" w:history="1">
        <w:r w:rsidRPr="00AD791A">
          <w:rPr>
            <w:rStyle w:val="Hyperlink"/>
            <w:rFonts w:ascii="Cambria" w:hAnsi="Cambria"/>
            <w:b w:val="0"/>
            <w:color w:val="auto"/>
            <w:sz w:val="16"/>
            <w:szCs w:val="16"/>
          </w:rPr>
          <w:t>http://www.workers.org/ww/2002/nicaletter0502.php</w:t>
        </w:r>
      </w:hyperlink>
      <w:r w:rsidRPr="00AD791A">
        <w:rPr>
          <w:rFonts w:ascii="Cambria" w:hAnsi="Cambria"/>
          <w:b w:val="0"/>
          <w:sz w:val="16"/>
          <w:szCs w:val="16"/>
        </w:rPr>
        <w:t xml:space="preserve">. Anexo 12. Catherine Elton, “Legal storm rocking island `kingdom'”, </w:t>
      </w:r>
      <w:r w:rsidRPr="00AD791A">
        <w:rPr>
          <w:rFonts w:ascii="Cambria" w:hAnsi="Cambria"/>
          <w:b w:val="0"/>
          <w:i/>
          <w:sz w:val="16"/>
          <w:szCs w:val="16"/>
        </w:rPr>
        <w:t>The Miami Herald,</w:t>
      </w:r>
      <w:r w:rsidRPr="00AD791A">
        <w:rPr>
          <w:rFonts w:ascii="Cambria" w:hAnsi="Cambria"/>
          <w:b w:val="0"/>
          <w:sz w:val="16"/>
          <w:szCs w:val="16"/>
        </w:rPr>
        <w:t xml:space="preserve"> 99</w:t>
      </w:r>
      <w:r w:rsidRPr="00AD791A">
        <w:rPr>
          <w:rFonts w:ascii="Cambria" w:hAnsi="Cambria"/>
          <w:b w:val="0"/>
          <w:sz w:val="16"/>
          <w:szCs w:val="16"/>
          <w:vertAlign w:val="superscript"/>
        </w:rPr>
        <w:t>th</w:t>
      </w:r>
      <w:r w:rsidRPr="00AD791A">
        <w:rPr>
          <w:rFonts w:ascii="Cambria" w:hAnsi="Cambria"/>
          <w:b w:val="0"/>
          <w:sz w:val="16"/>
          <w:szCs w:val="16"/>
        </w:rPr>
        <w:t xml:space="preserve"> Year, No. 219, 2002</w:t>
      </w:r>
      <w:r w:rsidRPr="00AD791A">
        <w:rPr>
          <w:rFonts w:ascii="Cambria" w:hAnsi="Cambria" w:cs="Arial Narrow"/>
          <w:b w:val="0"/>
          <w:spacing w:val="-2"/>
          <w:sz w:val="16"/>
          <w:szCs w:val="16"/>
        </w:rPr>
        <w:t xml:space="preserve">. </w:t>
      </w:r>
      <w:r w:rsidRPr="00AD791A">
        <w:rPr>
          <w:rFonts w:ascii="Cambria" w:hAnsi="Cambria"/>
          <w:b w:val="0"/>
          <w:sz w:val="16"/>
          <w:szCs w:val="16"/>
          <w:lang w:val="es-MX"/>
        </w:rPr>
        <w:t>Expediente judicial de primera instancia No. 110-02, folios 368-370</w:t>
      </w:r>
      <w:r w:rsidRPr="00AD791A">
        <w:rPr>
          <w:rFonts w:ascii="Cambria" w:hAnsi="Cambria" w:cs="Arial Narrow"/>
          <w:b w:val="0"/>
          <w:spacing w:val="-2"/>
          <w:sz w:val="16"/>
          <w:szCs w:val="16"/>
          <w:lang w:val="es-MX"/>
        </w:rPr>
        <w:t xml:space="preserve">. Anexo a la comunicación de los peticionarios de 13 de julio de 2007. </w:t>
      </w:r>
      <w:r w:rsidRPr="00AD791A">
        <w:rPr>
          <w:rStyle w:val="HTMLCite"/>
          <w:rFonts w:ascii="Cambria" w:hAnsi="Cambria"/>
          <w:b w:val="0"/>
          <w:sz w:val="16"/>
          <w:szCs w:val="16"/>
          <w:lang w:val="es-MX"/>
        </w:rPr>
        <w:t>Nicaragua Network Hotline</w:t>
      </w:r>
      <w:r w:rsidRPr="00AD791A">
        <w:rPr>
          <w:rFonts w:ascii="Cambria" w:hAnsi="Cambria"/>
          <w:b w:val="0"/>
          <w:sz w:val="16"/>
          <w:szCs w:val="16"/>
          <w:lang w:val="es-MX"/>
        </w:rPr>
        <w:t xml:space="preserve">, Peter Tsokos sells another island!, 3 de diciembre de 2001. Disponible en </w:t>
      </w:r>
      <w:hyperlink r:id="rId5" w:history="1">
        <w:r w:rsidRPr="00AD791A">
          <w:rPr>
            <w:rStyle w:val="Hyperlink"/>
            <w:rFonts w:ascii="Cambria" w:hAnsi="Cambria"/>
            <w:b w:val="0"/>
            <w:color w:val="auto"/>
            <w:sz w:val="16"/>
            <w:szCs w:val="16"/>
            <w:lang w:val="es-MX"/>
          </w:rPr>
          <w:t>http://www.hartford-hwp.com/archives/47/402.html</w:t>
        </w:r>
      </w:hyperlink>
      <w:r w:rsidRPr="00AD791A">
        <w:rPr>
          <w:rFonts w:ascii="Cambria" w:hAnsi="Cambria"/>
          <w:b w:val="0"/>
          <w:sz w:val="16"/>
          <w:szCs w:val="16"/>
          <w:lang w:val="es-MX"/>
        </w:rPr>
        <w:t xml:space="preserve">. Anexo 13. “Marena multa al griego Peter Tsokos”, </w:t>
      </w:r>
      <w:r w:rsidRPr="00AD791A">
        <w:rPr>
          <w:rFonts w:ascii="Cambria" w:hAnsi="Cambria"/>
          <w:b w:val="0"/>
          <w:i/>
          <w:sz w:val="16"/>
          <w:szCs w:val="16"/>
          <w:lang w:val="es-MX"/>
        </w:rPr>
        <w:t>La Prensa</w:t>
      </w:r>
      <w:r w:rsidRPr="00AD791A">
        <w:rPr>
          <w:rFonts w:ascii="Cambria" w:hAnsi="Cambria"/>
          <w:b w:val="0"/>
          <w:sz w:val="16"/>
          <w:szCs w:val="16"/>
          <w:lang w:val="es-MX"/>
        </w:rPr>
        <w:t xml:space="preserve">, 18 de mayo de 2001. Anexo 14. “Amparan a misquitos en el caso de los cayos”, </w:t>
      </w:r>
      <w:r w:rsidRPr="00AD791A">
        <w:rPr>
          <w:rFonts w:ascii="Cambria" w:hAnsi="Cambria"/>
          <w:b w:val="0"/>
          <w:i/>
          <w:sz w:val="16"/>
          <w:szCs w:val="16"/>
          <w:lang w:val="es-MX"/>
        </w:rPr>
        <w:t>El Nuevo Diario</w:t>
      </w:r>
      <w:r w:rsidRPr="00AD791A">
        <w:rPr>
          <w:rFonts w:ascii="Cambria" w:hAnsi="Cambria"/>
          <w:b w:val="0"/>
          <w:sz w:val="16"/>
          <w:szCs w:val="16"/>
          <w:lang w:val="es-MX"/>
        </w:rPr>
        <w:t xml:space="preserve">, 12 de marzo de 2001. Anexo 15 “El Caso de los Cayos Perlas”, </w:t>
      </w:r>
      <w:r w:rsidRPr="00AD791A">
        <w:rPr>
          <w:rFonts w:ascii="Cambria" w:hAnsi="Cambria"/>
          <w:b w:val="0"/>
          <w:i/>
          <w:sz w:val="16"/>
          <w:szCs w:val="16"/>
          <w:lang w:val="es-MX"/>
        </w:rPr>
        <w:t>La Prensa</w:t>
      </w:r>
      <w:r w:rsidRPr="00AD791A">
        <w:rPr>
          <w:rFonts w:ascii="Cambria" w:hAnsi="Cambria"/>
          <w:b w:val="0"/>
          <w:sz w:val="16"/>
          <w:szCs w:val="16"/>
          <w:lang w:val="es-MX"/>
        </w:rPr>
        <w:t xml:space="preserve">, 12 de octubre de 2002. Anexo 16. ”Venta de cayos podría anularse”, </w:t>
      </w:r>
      <w:r w:rsidRPr="00AD791A">
        <w:rPr>
          <w:rFonts w:ascii="Cambria" w:hAnsi="Cambria"/>
          <w:b w:val="0"/>
          <w:i/>
          <w:sz w:val="16"/>
          <w:szCs w:val="16"/>
          <w:lang w:val="es-MX"/>
        </w:rPr>
        <w:t>La Prensa</w:t>
      </w:r>
      <w:r w:rsidRPr="00AD791A">
        <w:rPr>
          <w:rFonts w:ascii="Cambria" w:hAnsi="Cambria"/>
          <w:b w:val="0"/>
          <w:sz w:val="16"/>
          <w:szCs w:val="16"/>
          <w:lang w:val="es-MX"/>
        </w:rPr>
        <w:t xml:space="preserve">, 8 de octubre de 2000. </w:t>
      </w:r>
      <w:r w:rsidRPr="00AD791A">
        <w:rPr>
          <w:rFonts w:ascii="Cambria" w:hAnsi="Cambria" w:cs="Arial Narrow"/>
          <w:b w:val="0"/>
          <w:spacing w:val="-2"/>
          <w:sz w:val="16"/>
          <w:szCs w:val="16"/>
          <w:lang w:val="es-MX"/>
        </w:rPr>
        <w:t xml:space="preserve">Anexos a la comunicación de los peticionarios de 13 de julio de 2007. </w:t>
      </w:r>
      <w:r w:rsidRPr="00AD791A">
        <w:rPr>
          <w:rFonts w:ascii="Cambria" w:hAnsi="Cambria"/>
          <w:b w:val="0"/>
          <w:sz w:val="16"/>
          <w:szCs w:val="16"/>
          <w:lang w:val="es-MX"/>
        </w:rPr>
        <w:t>Al respecto, también se manifiestan los peticionarios. Petición inicial de 20 de junio de 2007.</w:t>
      </w:r>
    </w:p>
  </w:footnote>
  <w:footnote w:id="9">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17. “Asesino de García ya está en Bluefields”, </w:t>
      </w:r>
      <w:r w:rsidRPr="00AD791A">
        <w:rPr>
          <w:rFonts w:ascii="Cambria" w:hAnsi="Cambria"/>
          <w:i/>
          <w:sz w:val="16"/>
          <w:szCs w:val="16"/>
          <w:lang w:val="es-MX"/>
        </w:rPr>
        <w:t>El Nuevo Diario</w:t>
      </w:r>
      <w:r w:rsidRPr="00AD791A">
        <w:rPr>
          <w:rFonts w:ascii="Cambria" w:hAnsi="Cambria"/>
          <w:sz w:val="16"/>
          <w:szCs w:val="16"/>
          <w:lang w:val="es-MX"/>
        </w:rPr>
        <w:t xml:space="preserve">, 6 de septiembre de 2004, Expediente 2019-2004 del recurso de casación ante la Corte Suprema de Justicia, folio 95. Anexo a la comunicación de los peticionarios de 13 de julio de 2007. </w:t>
      </w:r>
      <w:r w:rsidRPr="00AD791A">
        <w:rPr>
          <w:rFonts w:ascii="Cambria" w:hAnsi="Cambria"/>
          <w:sz w:val="16"/>
          <w:szCs w:val="16"/>
        </w:rPr>
        <w:t xml:space="preserve">Anexo 12. Catherine Elton, “Legal storm rocking island `kingdom'”, </w:t>
      </w:r>
      <w:r w:rsidRPr="00AD791A">
        <w:rPr>
          <w:rFonts w:ascii="Cambria" w:hAnsi="Cambria"/>
          <w:i/>
          <w:sz w:val="16"/>
          <w:szCs w:val="16"/>
        </w:rPr>
        <w:t>The Miami Herald</w:t>
      </w:r>
      <w:r w:rsidRPr="00AD791A">
        <w:rPr>
          <w:rFonts w:ascii="Cambria" w:hAnsi="Cambria"/>
          <w:sz w:val="16"/>
          <w:szCs w:val="16"/>
        </w:rPr>
        <w:t>, 99</w:t>
      </w:r>
      <w:r w:rsidRPr="00AD791A">
        <w:rPr>
          <w:rFonts w:ascii="Cambria" w:hAnsi="Cambria"/>
          <w:sz w:val="16"/>
          <w:szCs w:val="16"/>
          <w:vertAlign w:val="superscript"/>
        </w:rPr>
        <w:t>th</w:t>
      </w:r>
      <w:r w:rsidRPr="00AD791A">
        <w:rPr>
          <w:rFonts w:ascii="Cambria" w:hAnsi="Cambria"/>
          <w:sz w:val="16"/>
          <w:szCs w:val="16"/>
        </w:rPr>
        <w:t xml:space="preserve"> Year, N</w:t>
      </w:r>
      <w:r w:rsidRPr="00AD791A">
        <w:rPr>
          <w:rFonts w:ascii="Cambria" w:hAnsi="Cambria"/>
          <w:bCs/>
          <w:kern w:val="36"/>
          <w:sz w:val="16"/>
          <w:szCs w:val="16"/>
        </w:rPr>
        <w:t xml:space="preserve">o. 219, 2002. </w:t>
      </w:r>
      <w:r w:rsidRPr="00AD791A">
        <w:rPr>
          <w:rFonts w:ascii="Cambria" w:hAnsi="Cambria"/>
          <w:sz w:val="16"/>
          <w:szCs w:val="16"/>
          <w:lang w:val="es-MX"/>
        </w:rPr>
        <w:t>Expediente judicial de primera instancia No. 110-02,</w:t>
      </w:r>
      <w:r w:rsidRPr="00AD791A">
        <w:rPr>
          <w:rFonts w:ascii="Cambria" w:hAnsi="Cambria"/>
          <w:bCs/>
          <w:kern w:val="36"/>
          <w:sz w:val="16"/>
          <w:szCs w:val="16"/>
          <w:lang w:val="es-MX"/>
        </w:rPr>
        <w:t xml:space="preserve"> folios 368-370. Anexo 18. “Rifan cayo nica”, </w:t>
      </w:r>
      <w:r w:rsidRPr="00AD791A">
        <w:rPr>
          <w:rFonts w:ascii="Cambria" w:hAnsi="Cambria"/>
          <w:bCs/>
          <w:i/>
          <w:kern w:val="36"/>
          <w:sz w:val="16"/>
          <w:szCs w:val="16"/>
          <w:lang w:val="es-MX"/>
        </w:rPr>
        <w:t>La Prensa</w:t>
      </w:r>
      <w:r w:rsidRPr="00AD791A">
        <w:rPr>
          <w:rFonts w:ascii="Cambria" w:hAnsi="Cambria"/>
          <w:bCs/>
          <w:kern w:val="36"/>
          <w:sz w:val="16"/>
          <w:szCs w:val="16"/>
          <w:lang w:val="es-MX"/>
        </w:rPr>
        <w:t>, 5 de enero de 2002. Anexo 19. “Continúan denuncias contra inversionista</w:t>
      </w:r>
      <w:r w:rsidRPr="00AD791A">
        <w:rPr>
          <w:rFonts w:ascii="Cambria" w:hAnsi="Cambria"/>
          <w:sz w:val="16"/>
          <w:szCs w:val="16"/>
          <w:lang w:val="es-MX"/>
        </w:rPr>
        <w:t xml:space="preserve"> griego”, </w:t>
      </w:r>
      <w:r w:rsidRPr="00AD791A">
        <w:rPr>
          <w:rFonts w:ascii="Cambria" w:hAnsi="Cambria"/>
          <w:i/>
          <w:sz w:val="16"/>
          <w:szCs w:val="16"/>
          <w:lang w:val="es-MX"/>
        </w:rPr>
        <w:t>La Prensa</w:t>
      </w:r>
      <w:r w:rsidRPr="00AD791A">
        <w:rPr>
          <w:rFonts w:ascii="Cambria" w:hAnsi="Cambria"/>
          <w:sz w:val="16"/>
          <w:szCs w:val="16"/>
          <w:lang w:val="es-MX"/>
        </w:rPr>
        <w:t xml:space="preserve">, 21 de abril de 2001. Anexo 13. “MARENA multa al griego Peter Tsokos”, </w:t>
      </w:r>
      <w:r w:rsidRPr="00AD791A">
        <w:rPr>
          <w:rFonts w:ascii="Cambria" w:hAnsi="Cambria"/>
          <w:i/>
          <w:sz w:val="16"/>
          <w:szCs w:val="16"/>
          <w:lang w:val="es-MX"/>
        </w:rPr>
        <w:t>La Prensa</w:t>
      </w:r>
      <w:r w:rsidRPr="00AD791A">
        <w:rPr>
          <w:rFonts w:ascii="Cambria" w:hAnsi="Cambria"/>
          <w:sz w:val="16"/>
          <w:szCs w:val="16"/>
          <w:lang w:val="es-MX"/>
        </w:rPr>
        <w:t xml:space="preserve">, 18 de mayo de 2001. </w:t>
      </w:r>
      <w:r w:rsidRPr="00AD791A">
        <w:rPr>
          <w:rFonts w:ascii="Cambria" w:hAnsi="Cambria"/>
          <w:bCs/>
          <w:kern w:val="36"/>
          <w:sz w:val="16"/>
          <w:szCs w:val="16"/>
          <w:lang w:val="es-MX"/>
        </w:rPr>
        <w:t>Anexos a la comunicación de los peticionarios de 13 de julio de 2007.</w:t>
      </w:r>
    </w:p>
  </w:footnote>
  <w:footnote w:id="10">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14. “Amparan a misquitos en el caso de los cayos”, </w:t>
      </w:r>
      <w:r w:rsidRPr="00AD791A">
        <w:rPr>
          <w:rFonts w:ascii="Cambria" w:hAnsi="Cambria"/>
          <w:i/>
          <w:szCs w:val="16"/>
          <w:lang w:val="es-MX"/>
        </w:rPr>
        <w:t>El Nuevo Diario</w:t>
      </w:r>
      <w:r w:rsidRPr="00AD791A">
        <w:rPr>
          <w:rFonts w:ascii="Cambria" w:hAnsi="Cambria"/>
          <w:szCs w:val="16"/>
          <w:lang w:val="es-MX"/>
        </w:rPr>
        <w:t>, 12 de marzo de 2001. Anexo 20. “Policía está al servicio de Tsokos”,</w:t>
      </w:r>
      <w:r w:rsidRPr="00AD791A">
        <w:rPr>
          <w:rFonts w:ascii="Cambria" w:hAnsi="Cambria"/>
          <w:i/>
          <w:szCs w:val="16"/>
          <w:lang w:val="es-MX"/>
        </w:rPr>
        <w:t xml:space="preserve"> La Prensa</w:t>
      </w:r>
      <w:r w:rsidRPr="00AD791A">
        <w:rPr>
          <w:rFonts w:ascii="Cambria" w:hAnsi="Cambria"/>
          <w:szCs w:val="16"/>
          <w:lang w:val="es-MX"/>
        </w:rPr>
        <w:t xml:space="preserve">, 14 de octubre de 2000. Anexo 21. “La otra cara de los Cayos”, </w:t>
      </w:r>
      <w:r w:rsidRPr="00AD791A">
        <w:rPr>
          <w:rFonts w:ascii="Cambria" w:hAnsi="Cambria"/>
          <w:i/>
          <w:szCs w:val="16"/>
          <w:lang w:val="es-MX"/>
        </w:rPr>
        <w:t>El Nuevo Diario</w:t>
      </w:r>
      <w:r w:rsidRPr="00AD791A">
        <w:rPr>
          <w:rFonts w:ascii="Cambria" w:hAnsi="Cambria"/>
          <w:szCs w:val="16"/>
          <w:lang w:val="es-MX"/>
        </w:rPr>
        <w:t xml:space="preserve">, 9 de octubre de 2000. </w:t>
      </w:r>
      <w:r w:rsidRPr="00AD791A">
        <w:rPr>
          <w:rFonts w:ascii="Cambria" w:hAnsi="Cambria"/>
          <w:bCs/>
          <w:kern w:val="36"/>
          <w:szCs w:val="16"/>
          <w:lang w:val="es-MX"/>
        </w:rPr>
        <w:t>Anexos a la comunicación de los peticionarios de 13 de julio de 2007.</w:t>
      </w:r>
    </w:p>
  </w:footnote>
  <w:footnote w:id="11">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Los recurrentes eran los pueblos indígenas y étnicos de la Cuenca de Laguna De Perlas (Pearl Lagoon); los pueblos indígenas Misquitas de Raitipura, Awas, Kahkabila, y las comunidades creoles de Laguna de Perlas, Brown Bank, Marshall Point y Set Net Point del Municipio de Laguna de Perlas. Específicamente, el amparo se interpuso contra el Jefe de Policía Nacional en la RAAS y el Jefe de la Policía Nacional en el Municipio de Laguna de Perlas. Anexo 22. Recurso de amparo ante la Sala Civil del Tribunal de Apelaciones de Bluefields, 2 de mayo de 2001. Anexo a la comunicación de los peticionarios de 13 de julio de 2013. </w:t>
      </w:r>
    </w:p>
  </w:footnote>
  <w:footnote w:id="1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22. Recurso de amparo ante la Sala Civil del Tribunal de Apelaciones de Bluefields, 2 de mayo de 2001. Anexo a la comunicación de los peticionarios de 13 de julio de 2013. Anexo a la comunicación de los peticionarios de 13 de julio de 2013.</w:t>
      </w:r>
    </w:p>
  </w:footnote>
  <w:footnote w:id="13">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23. “</w:t>
      </w:r>
      <w:r w:rsidRPr="00AD791A">
        <w:rPr>
          <w:rStyle w:val="FootnoteTex"/>
          <w:rFonts w:ascii="Cambria" w:hAnsi="Cambria"/>
          <w:sz w:val="16"/>
          <w:szCs w:val="16"/>
          <w:lang w:val="es-MX"/>
        </w:rPr>
        <w:t xml:space="preserve">Ordenan salida de policías de los Cayos Perlas”, </w:t>
      </w:r>
      <w:r w:rsidRPr="00AD791A">
        <w:rPr>
          <w:rStyle w:val="FootnoteTex"/>
          <w:rFonts w:ascii="Cambria" w:hAnsi="Cambria"/>
          <w:i/>
          <w:sz w:val="16"/>
          <w:szCs w:val="16"/>
          <w:lang w:val="es-MX"/>
        </w:rPr>
        <w:t>La Prensa</w:t>
      </w:r>
      <w:r w:rsidRPr="00AD791A">
        <w:rPr>
          <w:rStyle w:val="FootnoteTex"/>
          <w:rFonts w:ascii="Cambria" w:hAnsi="Cambria"/>
          <w:sz w:val="16"/>
          <w:szCs w:val="16"/>
          <w:lang w:val="es-MX"/>
        </w:rPr>
        <w:t xml:space="preserve">, 6 de mayo de 2001. </w:t>
      </w:r>
      <w:r w:rsidRPr="00AD791A">
        <w:rPr>
          <w:rFonts w:ascii="Cambria" w:hAnsi="Cambria"/>
          <w:szCs w:val="16"/>
          <w:lang w:val="es-MX"/>
        </w:rPr>
        <w:t>Anexo a la comunicación de los peticionarios de 13 de julio de 2013.</w:t>
      </w:r>
    </w:p>
  </w:footnote>
  <w:footnote w:id="14">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24. “Policía retira a agentes de los Cayos”, </w:t>
      </w:r>
      <w:r w:rsidRPr="00AD791A">
        <w:rPr>
          <w:rFonts w:ascii="Cambria" w:hAnsi="Cambria"/>
          <w:i/>
          <w:szCs w:val="16"/>
          <w:lang w:val="es-MX"/>
        </w:rPr>
        <w:t>La Prensa</w:t>
      </w:r>
      <w:r w:rsidRPr="00AD791A">
        <w:rPr>
          <w:rFonts w:ascii="Cambria" w:hAnsi="Cambria"/>
          <w:szCs w:val="16"/>
          <w:lang w:val="es-MX"/>
        </w:rPr>
        <w:t>, 8 de octubre de 2001. “</w:t>
      </w:r>
      <w:r w:rsidRPr="00AD791A">
        <w:rPr>
          <w:rStyle w:val="FootnoteTex"/>
          <w:rFonts w:ascii="Cambria" w:hAnsi="Cambria"/>
          <w:sz w:val="16"/>
          <w:szCs w:val="16"/>
          <w:lang w:val="es-MX"/>
        </w:rPr>
        <w:t xml:space="preserve">Abogada de etnias asegura que Policía niega acceso al agua a las etnias que habitan en la zona”, </w:t>
      </w:r>
      <w:r w:rsidRPr="00AD791A">
        <w:rPr>
          <w:rStyle w:val="FootnoteTex"/>
          <w:rFonts w:ascii="Cambria" w:hAnsi="Cambria"/>
          <w:i/>
          <w:sz w:val="16"/>
          <w:szCs w:val="16"/>
          <w:lang w:val="es-MX"/>
        </w:rPr>
        <w:t>La Prensa</w:t>
      </w:r>
      <w:r w:rsidRPr="00AD791A">
        <w:rPr>
          <w:rStyle w:val="FootnoteTex"/>
          <w:rFonts w:ascii="Cambria" w:hAnsi="Cambria"/>
          <w:sz w:val="16"/>
          <w:szCs w:val="16"/>
          <w:lang w:val="es-MX"/>
        </w:rPr>
        <w:t xml:space="preserve">, 14 de octubre de 2000. Anexo 14. “El caso de los Cayos Perlas”, </w:t>
      </w:r>
      <w:r w:rsidRPr="00AD791A">
        <w:rPr>
          <w:rStyle w:val="FootnoteTex"/>
          <w:rFonts w:ascii="Cambria" w:hAnsi="Cambria"/>
          <w:i/>
          <w:sz w:val="16"/>
          <w:szCs w:val="16"/>
          <w:lang w:val="es-MX"/>
        </w:rPr>
        <w:t>Editorial de La Prensa</w:t>
      </w:r>
      <w:r w:rsidRPr="00AD791A">
        <w:rPr>
          <w:rStyle w:val="FootnoteTex"/>
          <w:rFonts w:ascii="Cambria" w:hAnsi="Cambria"/>
          <w:sz w:val="16"/>
          <w:szCs w:val="16"/>
          <w:lang w:val="es-MX"/>
        </w:rPr>
        <w:t xml:space="preserve">, 12 de octubre de 2000. Anexo 11. “Indígenas reclaman complejo de islotes”, </w:t>
      </w:r>
      <w:r w:rsidRPr="00AD791A">
        <w:rPr>
          <w:rStyle w:val="FootnoteTex"/>
          <w:rFonts w:ascii="Cambria" w:hAnsi="Cambria"/>
          <w:i/>
          <w:sz w:val="16"/>
          <w:szCs w:val="16"/>
          <w:lang w:val="es-MX"/>
        </w:rPr>
        <w:t>La Prensa</w:t>
      </w:r>
      <w:r w:rsidRPr="00AD791A">
        <w:rPr>
          <w:rStyle w:val="FootnoteTex"/>
          <w:rFonts w:ascii="Cambria" w:hAnsi="Cambria"/>
          <w:sz w:val="16"/>
          <w:szCs w:val="16"/>
          <w:lang w:val="es-MX"/>
        </w:rPr>
        <w:t xml:space="preserve">, 12 de octubre de 2000. Anexo 25. “Misquitos se amparan contra policía que apoyan al griego”, </w:t>
      </w:r>
      <w:r w:rsidRPr="00AD791A">
        <w:rPr>
          <w:rStyle w:val="FootnoteTex"/>
          <w:rFonts w:ascii="Cambria" w:hAnsi="Cambria"/>
          <w:i/>
          <w:sz w:val="16"/>
          <w:szCs w:val="16"/>
          <w:lang w:val="es-MX"/>
        </w:rPr>
        <w:t>El Nuevo Diario</w:t>
      </w:r>
      <w:r w:rsidRPr="00AD791A">
        <w:rPr>
          <w:rStyle w:val="FootnoteTex"/>
          <w:rFonts w:ascii="Cambria" w:hAnsi="Cambria"/>
          <w:sz w:val="16"/>
          <w:szCs w:val="16"/>
          <w:lang w:val="es-MX"/>
        </w:rPr>
        <w:t xml:space="preserve">, 10 de octubre de 2000;“La otra cara de los Cayos”, </w:t>
      </w:r>
      <w:r w:rsidRPr="00AD791A">
        <w:rPr>
          <w:rStyle w:val="FootnoteTex"/>
          <w:rFonts w:ascii="Cambria" w:hAnsi="Cambria"/>
          <w:i/>
          <w:sz w:val="16"/>
          <w:szCs w:val="16"/>
          <w:lang w:val="es-MX"/>
        </w:rPr>
        <w:t>El Nuevo Diario</w:t>
      </w:r>
      <w:r w:rsidRPr="00AD791A">
        <w:rPr>
          <w:rStyle w:val="FootnoteTex"/>
          <w:rFonts w:ascii="Cambria" w:hAnsi="Cambria"/>
          <w:sz w:val="16"/>
          <w:szCs w:val="16"/>
          <w:lang w:val="es-MX"/>
        </w:rPr>
        <w:t xml:space="preserve">, 9 de octubre de 2000. </w:t>
      </w:r>
      <w:r w:rsidRPr="00AD791A">
        <w:rPr>
          <w:rFonts w:ascii="Cambria" w:hAnsi="Cambria"/>
          <w:szCs w:val="16"/>
          <w:lang w:val="es-MX"/>
        </w:rPr>
        <w:t>Anexos a la comunicación de los peticionarios de 13 de julio de 2013.</w:t>
      </w:r>
    </w:p>
  </w:footnote>
  <w:footnote w:id="15">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26. Escrito dirigido a Peter Tsokos, Procuraduría para la Defensa del Medio Ambiente y los Recursos Naturales, 18 de octubre de 2000.  Anexo a la comunicación de los peticionarios de 13 de julio de 2013.</w:t>
      </w:r>
    </w:p>
  </w:footnote>
  <w:footnote w:id="16">
    <w:p w:rsidR="000A6E4C" w:rsidRPr="00AD791A" w:rsidRDefault="000A6E4C" w:rsidP="00FD60D8">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w:t>
      </w:r>
      <w:r w:rsidRPr="00AD791A">
        <w:rPr>
          <w:rFonts w:asciiTheme="majorHAnsi" w:hAnsiTheme="majorHAnsi"/>
          <w:szCs w:val="16"/>
          <w:lang w:val="es-MX"/>
        </w:rPr>
        <w:t xml:space="preserve">Anexo 13. “Marena multa al griego Peter Tsokos”, </w:t>
      </w:r>
      <w:r w:rsidRPr="00AD791A">
        <w:rPr>
          <w:rFonts w:asciiTheme="majorHAnsi" w:hAnsiTheme="majorHAnsi"/>
          <w:i/>
          <w:szCs w:val="16"/>
          <w:lang w:val="es-MX"/>
        </w:rPr>
        <w:t>La Prensa</w:t>
      </w:r>
      <w:r w:rsidRPr="00AD791A">
        <w:rPr>
          <w:rFonts w:asciiTheme="majorHAnsi" w:hAnsiTheme="majorHAnsi"/>
          <w:szCs w:val="16"/>
          <w:lang w:val="es-MX"/>
        </w:rPr>
        <w:t xml:space="preserve">, 18 de mayo de 2001. </w:t>
      </w:r>
      <w:r w:rsidRPr="00AD791A">
        <w:rPr>
          <w:rFonts w:ascii="Cambria" w:hAnsi="Cambria"/>
          <w:szCs w:val="16"/>
          <w:lang w:val="es-MX"/>
        </w:rPr>
        <w:t>Anexo a la comunicación de los peticionarios de 13 de julio de 2013.</w:t>
      </w:r>
    </w:p>
    <w:p w:rsidR="000A6E4C" w:rsidRPr="00AD791A" w:rsidRDefault="000A6E4C" w:rsidP="009D7F32">
      <w:pPr>
        <w:pStyle w:val="FootnoteText"/>
        <w:spacing w:before="0" w:after="120"/>
        <w:ind w:firstLine="720"/>
        <w:rPr>
          <w:rFonts w:ascii="Cambria" w:hAnsi="Cambria"/>
          <w:szCs w:val="16"/>
          <w:lang w:val="es-MX"/>
        </w:rPr>
      </w:pPr>
    </w:p>
  </w:footnote>
  <w:footnote w:id="1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27. Auto del Juzgado de Distrito de lo Civil de Bluefields, 6 de febrero de 2002. Anexo a la comunicación de los peticionarios de 13 de julio de 2007. </w:t>
      </w:r>
    </w:p>
  </w:footnote>
  <w:footnote w:id="18">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28. Poder general judicial a favor de María Luisa Acosta, folio 13 del Protocolo No. 2 de la Abogada y Notaria Pública Gloria Mangas, 16 de marzo de 2002. Anexo a la comunicación de los peticionarios de 13 de julio de 2007. </w:t>
      </w:r>
    </w:p>
  </w:footnote>
  <w:footnote w:id="19">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28. Poder general judicial a favor de María Luisa Acosta, folio 13 del Protocolo No. 2 de la Abogada y Notaria Pública Gloria Mangas, 16 de marzo de 2002. Anexo a la comunicación de los peticionarios de 13 de julio de 2007. La representación de María Luisa fue también anunciada por la prensa nacional: Anexo 29. “Fiscalía pide procesar a Tsokos por crimen de profesor Francisco Valle en Bluefields”, </w:t>
      </w:r>
      <w:r w:rsidRPr="00AD791A">
        <w:rPr>
          <w:rFonts w:ascii="Cambria" w:hAnsi="Cambria"/>
          <w:i/>
          <w:sz w:val="16"/>
          <w:szCs w:val="16"/>
          <w:lang w:val="es-MX"/>
        </w:rPr>
        <w:t>Sucesos</w:t>
      </w:r>
      <w:r w:rsidRPr="00AD791A">
        <w:rPr>
          <w:rFonts w:ascii="Cambria" w:hAnsi="Cambria"/>
          <w:sz w:val="16"/>
          <w:szCs w:val="16"/>
          <w:lang w:val="es-MX"/>
        </w:rPr>
        <w:t xml:space="preserve">. Expediente No. 2019-2004 del recurso de casación ante la Corte Suprema de Justicia, folio 98. Anexo a la comunicación de los peticionarios de 13 de julio de 2007. Anexo 30, “Capturan Prófugo, Sucesos”, </w:t>
      </w:r>
      <w:r w:rsidRPr="00AD791A">
        <w:rPr>
          <w:rFonts w:ascii="Cambria" w:hAnsi="Cambria"/>
          <w:i/>
          <w:sz w:val="16"/>
          <w:szCs w:val="16"/>
          <w:lang w:val="es-MX"/>
        </w:rPr>
        <w:t>El Nuevo Diario</w:t>
      </w:r>
      <w:r w:rsidRPr="00AD791A">
        <w:rPr>
          <w:rFonts w:ascii="Cambria" w:hAnsi="Cambria"/>
          <w:sz w:val="16"/>
          <w:szCs w:val="16"/>
          <w:lang w:val="es-MX"/>
        </w:rPr>
        <w:t xml:space="preserve">, 1 de septiembre de 2004. Expediente No. 2019-2004 del recurso de casación ante la Corte Suprema de Justicia, folio 92. Anexo a la comunicación de los peticionarios de 13 de julio de 2007. Anexo 17. “Asesino de García ya está en Bluefields”, </w:t>
      </w:r>
      <w:r w:rsidRPr="00AD791A">
        <w:rPr>
          <w:rFonts w:ascii="Cambria" w:hAnsi="Cambria"/>
          <w:i/>
          <w:sz w:val="16"/>
          <w:szCs w:val="16"/>
          <w:lang w:val="es-MX"/>
        </w:rPr>
        <w:t>El Nuevo Diario</w:t>
      </w:r>
      <w:r w:rsidRPr="00AD791A">
        <w:rPr>
          <w:rFonts w:ascii="Cambria" w:hAnsi="Cambria"/>
          <w:sz w:val="16"/>
          <w:szCs w:val="16"/>
          <w:lang w:val="es-MX"/>
        </w:rPr>
        <w:t>, 6 de septiembre de 2004. Expediente No. 2019-2004 del recurso de casación ante la Corte Suprema de Justicia, folio 95. Anexo a la comunicación de los peticionarios de 13 de julio de 2007. CALPI</w:t>
      </w:r>
      <w:r w:rsidRPr="00AD791A">
        <w:rPr>
          <w:rFonts w:ascii="Cambria" w:hAnsi="Cambria"/>
          <w:i/>
          <w:sz w:val="16"/>
          <w:szCs w:val="16"/>
          <w:lang w:val="es-MX"/>
        </w:rPr>
        <w:t>, Cronología del caso García</w:t>
      </w:r>
      <w:r w:rsidRPr="00AD791A">
        <w:rPr>
          <w:rFonts w:ascii="Cambria" w:hAnsi="Cambria"/>
          <w:sz w:val="16"/>
          <w:szCs w:val="16"/>
          <w:lang w:val="es-MX"/>
        </w:rPr>
        <w:t xml:space="preserve">. Disponible en </w:t>
      </w:r>
      <w:hyperlink r:id="rId6" w:history="1">
        <w:r w:rsidRPr="00AD791A">
          <w:rPr>
            <w:rStyle w:val="Hyperlink"/>
            <w:rFonts w:ascii="Cambria" w:hAnsi="Cambria"/>
            <w:color w:val="auto"/>
            <w:sz w:val="16"/>
            <w:szCs w:val="16"/>
            <w:u w:val="none"/>
            <w:lang w:val="es-MX"/>
          </w:rPr>
          <w:t>http://calpi.nativeweb.org/cronos.html</w:t>
        </w:r>
      </w:hyperlink>
      <w:r w:rsidRPr="00AD791A">
        <w:rPr>
          <w:rFonts w:ascii="Cambria" w:hAnsi="Cambria"/>
          <w:sz w:val="16"/>
          <w:szCs w:val="16"/>
          <w:lang w:val="es-MX"/>
        </w:rPr>
        <w:t xml:space="preserve">. Anexo 19. “Continúan denuncias en contra de inversionista griego”, </w:t>
      </w:r>
      <w:r w:rsidRPr="00AD791A">
        <w:rPr>
          <w:rFonts w:ascii="Cambria" w:hAnsi="Cambria"/>
          <w:i/>
          <w:sz w:val="16"/>
          <w:szCs w:val="16"/>
          <w:lang w:val="es-MX"/>
        </w:rPr>
        <w:t>La Prensa</w:t>
      </w:r>
      <w:r w:rsidRPr="00AD791A">
        <w:rPr>
          <w:rFonts w:ascii="Cambria" w:hAnsi="Cambria"/>
          <w:sz w:val="16"/>
          <w:szCs w:val="16"/>
          <w:lang w:val="es-MX"/>
        </w:rPr>
        <w:t xml:space="preserve">, 21 de abril de 2001. Anexo a la comunicación de los peticionarios de 13 de julio de 2007. Información al respecto, también se encuentra en la petición inicial de 20 de junio de 2007. </w:t>
      </w:r>
    </w:p>
  </w:footnote>
  <w:footnote w:id="20">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La casa de la señora Acosta y su esposo estaba ubicada en el Barrio Santa Rosa primera entrada al asentamiento José Martín, y constaba de dos plantas; la de abajo, estaba dividida en dos, y se alquilaba como oficina, y como habitación. Anexo 31. Foto Tabla Ilustrativa, Policía Nacional Región Autónoma Atlántico Sur, 8 de abril de 2002. Expediente judicial de primera instancia No. 110-02, folios 18 y 20. Anexo 32. Declaración testifical de Natalia Omeir Hulse, 16 de abril de 2002. Expediente judicial de primera instancia No. 110-02, folios 53 y 54. Anexos a la comunicación de los peticionarios de 13 de julio de 2007.</w:t>
      </w:r>
    </w:p>
  </w:footnote>
  <w:footnote w:id="21">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La participación de Wilberth Ochoa en el asesinato fue determinada con la acusación del Ministerio Público ante el Juzgado Penal del Distrito de Bluefields. Anexo 33. Acusación contra Wilberth José Ochoa por el delito de asesinato, Ministerio Público – Región Autónoma Atlántico Sur, 13 de enero de 2013. Expediente judicial de primera instancia No. 110-02. folios 275 -277. Anexo a la comunicación de los peticionarios de 13 de julio de 2007.</w:t>
      </w:r>
    </w:p>
  </w:footnote>
  <w:footnote w:id="2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32. Declaración de Testigo de Natalia Isabel Omier Hulse (trabajadora doméstica por ocho años de la familia García Valle), ante la Policía Nacional de Investigaciones Criminales, 9 de abril de 2002. Expediente judicial de primera instancia No. 110-02, folio 13. Anexo 34. Modelo de solicitud de circulación de personas válido para codificaciones; A, J, Q, S, Policía Nacional, Ministerio de Gobernación, Archivo Nacional, 10 de abril de 2002. Expediente judicial de primera instancia No. 110-02, folio 15. Anexo 35. Declaración Ad-Inquirendum de María Luisa Acosta, 16 de abril de 2002. Expediente judicial de primera instancia No. 110-02, folio 55 y siguientes. Anexo 36.  Escrito de la Fiscal Auxiliar de Justicia al Juez de Distrito del Crimen de Bluefields, 9 de mayo de 2002, Expediente judicial de primera instancia No. 110-02, folio</w:t>
      </w:r>
      <w:r w:rsidRPr="00AD791A">
        <w:rPr>
          <w:rFonts w:ascii="Cambria" w:hAnsi="Cambria" w:cs="Garamond"/>
          <w:szCs w:val="16"/>
        </w:rPr>
        <w:t xml:space="preserve"> 168. Anexos a la comunicación de los peticionarios de 13 de julio de 2007. </w:t>
      </w:r>
    </w:p>
  </w:footnote>
  <w:footnote w:id="23">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37. Declaración de Testigo de Eddy Lira  Milles (vecino), Policía Nacional Investigaciones Criminales, 12 de abril de 2002. Expediente judicial de primera instancia No. 110-02, folio 14. Anexo 35. Declaración de María Luisa Acosta, Juez de Distrito del Crimen, 16 de abril de 2002. Expediente judicial de primera instancia No. 110-02, folio 55 y siguientes. Anexo 38. Declaración de Investigado (Wilberth Ochoa), Policía Nacional, Chinandega, 11 de enero de 2003. Expediente judicial de primera instancia No. 110-02, folio 306. Anexos a la comunicación de los peticionarios de 13 de julio de 2007. </w:t>
      </w:r>
    </w:p>
  </w:footnote>
  <w:footnote w:id="24">
    <w:p w:rsidR="000A6E4C" w:rsidRPr="00AD791A" w:rsidRDefault="000A6E4C" w:rsidP="00607E01">
      <w:pPr>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w:t>
      </w:r>
      <w:r w:rsidRPr="00AD791A">
        <w:rPr>
          <w:rFonts w:asciiTheme="majorHAnsi" w:hAnsiTheme="majorHAnsi"/>
          <w:sz w:val="16"/>
          <w:szCs w:val="16"/>
          <w:lang w:val="es-MX"/>
        </w:rPr>
        <w:t xml:space="preserve">Anexo 35. Declaración Ad-Inquirendum de María Luisa Acosta, 16 de abril de 2002. Expediente judicial de primera instancia No. 110-02, folio 55 y siguientes. </w:t>
      </w:r>
      <w:r w:rsidRPr="00AD791A">
        <w:rPr>
          <w:rFonts w:ascii="Cambria" w:hAnsi="Cambria" w:cs="Garamond"/>
          <w:sz w:val="16"/>
          <w:szCs w:val="16"/>
          <w:lang w:val="es-MX"/>
        </w:rPr>
        <w:t xml:space="preserve">Anexo 39. </w:t>
      </w:r>
      <w:r w:rsidRPr="00AD791A">
        <w:rPr>
          <w:rFonts w:ascii="Cambria" w:hAnsi="Cambria"/>
          <w:sz w:val="16"/>
          <w:szCs w:val="16"/>
          <w:lang w:val="es-MX"/>
        </w:rPr>
        <w:t>Informe de la Guardia Operativo, Policía Nacional Investigaciones Criminales, Bluefields. Expediente judicial de primera instancia No. 110-02, folio</w:t>
      </w:r>
      <w:r w:rsidRPr="00AD791A">
        <w:rPr>
          <w:rFonts w:ascii="Cambria" w:hAnsi="Cambria" w:cs="Garamond"/>
          <w:sz w:val="16"/>
          <w:szCs w:val="16"/>
          <w:lang w:val="es-MX"/>
        </w:rPr>
        <w:t xml:space="preserve"> 3. Anexos a la comunicación de los peticionarios de 13 de julio de 2007</w:t>
      </w:r>
      <w:r w:rsidRPr="00AD791A">
        <w:rPr>
          <w:rFonts w:ascii="Cambria" w:hAnsi="Cambria"/>
          <w:sz w:val="16"/>
          <w:szCs w:val="16"/>
          <w:lang w:val="es-MX"/>
        </w:rPr>
        <w:t>.</w:t>
      </w:r>
    </w:p>
    <w:p w:rsidR="000A6E4C" w:rsidRPr="00AD791A" w:rsidRDefault="000A6E4C" w:rsidP="00607E01">
      <w:pPr>
        <w:ind w:firstLine="720"/>
        <w:jc w:val="both"/>
        <w:rPr>
          <w:rFonts w:ascii="Cambria" w:hAnsi="Cambria"/>
          <w:sz w:val="16"/>
          <w:szCs w:val="16"/>
          <w:lang w:val="es-MX"/>
        </w:rPr>
      </w:pPr>
    </w:p>
  </w:footnote>
  <w:footnote w:id="25">
    <w:p w:rsidR="000A6E4C" w:rsidRPr="00AD791A" w:rsidRDefault="000A6E4C" w:rsidP="0083156C">
      <w:pPr>
        <w:ind w:firstLine="720"/>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w:t>
      </w:r>
      <w:r w:rsidRPr="00AD791A">
        <w:rPr>
          <w:rFonts w:asciiTheme="majorHAnsi" w:hAnsiTheme="majorHAnsi"/>
          <w:sz w:val="16"/>
          <w:szCs w:val="16"/>
          <w:lang w:val="es-MX"/>
        </w:rPr>
        <w:t xml:space="preserve">Anexo 35. Declaración Ad-Inquirendum de María Luisa Acosta, 16 de abril de 2002. Expediente judicial de primera instancia No. 110-02, folio 55 y siguientes. </w:t>
      </w:r>
      <w:r w:rsidRPr="00AD791A">
        <w:rPr>
          <w:rFonts w:ascii="Cambria" w:hAnsi="Cambria"/>
          <w:sz w:val="16"/>
          <w:szCs w:val="16"/>
          <w:lang w:val="es-MX"/>
        </w:rPr>
        <w:t>Anexo a la comunicación de los peticionarios de 13 de julio de 2007.</w:t>
      </w:r>
    </w:p>
    <w:p w:rsidR="000A6E4C" w:rsidRPr="00AD791A" w:rsidRDefault="000A6E4C" w:rsidP="0083156C">
      <w:pPr>
        <w:ind w:firstLine="720"/>
        <w:rPr>
          <w:rFonts w:ascii="Cambria" w:hAnsi="Cambria"/>
          <w:sz w:val="16"/>
          <w:szCs w:val="16"/>
          <w:lang w:val="es-MX"/>
        </w:rPr>
      </w:pPr>
    </w:p>
  </w:footnote>
  <w:footnote w:id="26">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w:t>
      </w:r>
      <w:r w:rsidRPr="00AD791A">
        <w:rPr>
          <w:rFonts w:asciiTheme="majorHAnsi" w:hAnsiTheme="majorHAnsi"/>
          <w:szCs w:val="16"/>
          <w:lang w:val="es-MX"/>
        </w:rPr>
        <w:t xml:space="preserve">Anexo 35. Declaración Ad-Inquirendum de María Luisa Acosta, 16 de abril de 2002. Expediente judicial de primera instancia No. 110-02, folio 55 y siguientes. </w:t>
      </w:r>
      <w:r w:rsidRPr="00AD791A">
        <w:rPr>
          <w:rFonts w:ascii="Cambria" w:hAnsi="Cambria"/>
          <w:szCs w:val="16"/>
          <w:lang w:val="es-MX"/>
        </w:rPr>
        <w:t>Anexo a la comunicación de los peticionarios de 13 de julio de 2007. Anexo 40. Declaración de Testigo, María Esther Castrillo Chavarría (vecina), Policía Nacional Investigaciones Criminales, 9 de abril de 2002. Expediente judicial de primera instancia No. 110-02, folio 12. Anexos a la comunicación de los peticionarios de 13 de julio de 2007.</w:t>
      </w:r>
    </w:p>
  </w:footnote>
  <w:footnote w:id="2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35. Declaración Ad-Inquirendum de María Luisa Acosta, 16 de abril de 2002. Expediente judicial de primera instancia No. 110-02, folio 55 y siguientes. Anexo 39. Informe de la Guardia Operativo, Policía Nacional Investigaciones Criminales, Bluefields, 8 de abril de 2002. Expediente judicial de primera instancia No. 110-02, folio 3. Anexo a la comunicación de los peticionarios de 13 de julio de 2007.</w:t>
      </w:r>
    </w:p>
  </w:footnote>
  <w:footnote w:id="28">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35. Declaración Ad-Inquirendum de María Luisa Acosta, 16 de abril de 2002. Expediente judicial de primera instancia No. 110-02, folio 55 y siguientes. Anexo 39. Informe de la Guardia Operativo, Policía Nacional Investigaciones Criminales, Bluefields, 8 de abril de 2002. Expediente judicial de primera instancia No. 110-02, folio 3. Anexo 41. Declaración testifical de María Esther Castrillo Chavarría (vecina), 16 de abril de 2002. Expediente judicial de primera instancia No. 110-02, folio 50. Anexos a la comunicación de los peticionarios de 13 de julio de 2007.</w:t>
      </w:r>
    </w:p>
  </w:footnote>
  <w:footnote w:id="29">
    <w:p w:rsidR="000A6E4C" w:rsidRPr="00AD791A" w:rsidRDefault="000A6E4C" w:rsidP="009D7F32">
      <w:pPr>
        <w:pStyle w:val="Style13"/>
        <w:spacing w:before="0" w:after="120" w:line="240" w:lineRule="auto"/>
        <w:ind w:firstLine="720"/>
        <w:rPr>
          <w:rFonts w:ascii="Cambria" w:hAnsi="Cambria"/>
          <w:sz w:val="16"/>
          <w:szCs w:val="16"/>
          <w:lang w:val="es-ES_tradnl"/>
        </w:rPr>
      </w:pPr>
      <w:r w:rsidRPr="00AD791A">
        <w:rPr>
          <w:rStyle w:val="FootnoteReference"/>
          <w:rFonts w:ascii="Cambria" w:hAnsi="Cambria"/>
          <w:sz w:val="16"/>
          <w:szCs w:val="16"/>
        </w:rPr>
        <w:footnoteRef/>
      </w:r>
      <w:r w:rsidRPr="00AD791A">
        <w:rPr>
          <w:rFonts w:ascii="Cambria" w:hAnsi="Cambria"/>
          <w:sz w:val="16"/>
          <w:szCs w:val="16"/>
          <w:lang w:val="es-MX"/>
        </w:rPr>
        <w:t xml:space="preserve"> Anexo 40. Declaración de María Esther Castrillo Chavarría (vecina), Policía Nacional Investigaciones Criminales, 9 de abril de 2002. Expediente judicial de primera instancia No. 110-02, folio 12. Anexo 42. </w:t>
      </w:r>
      <w:r w:rsidRPr="00AD791A">
        <w:rPr>
          <w:rFonts w:ascii="Cambria" w:hAnsi="Cambria" w:cs="Arial Narrow"/>
          <w:spacing w:val="-2"/>
          <w:sz w:val="16"/>
          <w:szCs w:val="16"/>
          <w:lang w:val="es-ES_tradnl"/>
        </w:rPr>
        <w:t>Denuncia por conocimiento propio (</w:t>
      </w:r>
      <w:r w:rsidRPr="00AD791A">
        <w:rPr>
          <w:rFonts w:ascii="Cambria" w:hAnsi="Cambria"/>
          <w:sz w:val="16"/>
          <w:szCs w:val="16"/>
          <w:lang w:val="es-MX"/>
        </w:rPr>
        <w:t>No. 00514-02</w:t>
      </w:r>
      <w:r w:rsidRPr="00AD791A">
        <w:rPr>
          <w:rFonts w:ascii="Cambria" w:hAnsi="Cambria" w:cs="Arial Narrow"/>
          <w:spacing w:val="-2"/>
          <w:sz w:val="16"/>
          <w:szCs w:val="16"/>
          <w:lang w:val="es-ES_tradnl"/>
        </w:rPr>
        <w:t>),</w:t>
      </w:r>
      <w:r w:rsidRPr="00AD791A">
        <w:rPr>
          <w:rFonts w:ascii="Cambria" w:hAnsi="Cambria"/>
          <w:sz w:val="16"/>
          <w:szCs w:val="16"/>
          <w:lang w:val="es-MX"/>
        </w:rPr>
        <w:t xml:space="preserve"> Delito: Asesinato, Policía Nacional Investigaciones Criminales, 8 de abril de 2004.  Expediente judicial de primera instancia No. 110-02, folio 2. Anexos a la comunicación de los peticionarios de 13 de julio de 2007. </w:t>
      </w:r>
    </w:p>
  </w:footnote>
  <w:footnote w:id="30">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43. Dictamen Médico Legal, Médico Forense Suplente, Zona Espectal 11, Bluefields, 9 de abril de 2002. Expediente judicial de primera instancia No. 110-02, folios 10 y 11. Anexo 44. Acta de inspección ocular. Policía Nacional Investigaciones Criminales, 8 de abril de 2002. Expediente judicial de primera instancia No. 110-02, folios 4 a 6. Anexos a la comunicación de los peticionarios de 13 de julio de 2007.</w:t>
      </w:r>
    </w:p>
  </w:footnote>
  <w:footnote w:id="31">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31. Foto Tabla Ilustrativa, Policía Nacional Región Autónoma Atlántico Sur, 8 de abril de 2002. Expediente judicial de primera instancia No. 110-02, folios 20 y 21. Anexo a la comunicación de los peticionarios de 13 de julio de 2007.</w:t>
      </w:r>
    </w:p>
  </w:footnote>
  <w:footnote w:id="32">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42. </w:t>
      </w:r>
      <w:r w:rsidRPr="00AD791A">
        <w:rPr>
          <w:rFonts w:ascii="Cambria" w:hAnsi="Cambria" w:cs="Arial Narrow"/>
          <w:spacing w:val="-2"/>
          <w:sz w:val="16"/>
          <w:szCs w:val="16"/>
          <w:lang w:val="es-ES_tradnl"/>
        </w:rPr>
        <w:t>Denuncia por conocimiento propio (</w:t>
      </w:r>
      <w:r w:rsidRPr="00AD791A">
        <w:rPr>
          <w:rFonts w:ascii="Cambria" w:hAnsi="Cambria"/>
          <w:sz w:val="16"/>
          <w:szCs w:val="16"/>
          <w:lang w:val="es-MX"/>
        </w:rPr>
        <w:t>No. 00514-02</w:t>
      </w:r>
      <w:r w:rsidRPr="00AD791A">
        <w:rPr>
          <w:rFonts w:ascii="Cambria" w:hAnsi="Cambria" w:cs="Arial Narrow"/>
          <w:spacing w:val="-2"/>
          <w:sz w:val="16"/>
          <w:szCs w:val="16"/>
          <w:lang w:val="es-ES_tradnl"/>
        </w:rPr>
        <w:t>),</w:t>
      </w:r>
      <w:r w:rsidRPr="00AD791A">
        <w:rPr>
          <w:rFonts w:ascii="Cambria" w:hAnsi="Cambria"/>
          <w:sz w:val="16"/>
          <w:szCs w:val="16"/>
          <w:lang w:val="es-MX"/>
        </w:rPr>
        <w:t xml:space="preserve"> Delito: Asesinato, Policía Nacional Investigaciones Criminales, 8 de abril de 2004.  Expediente judicial de primera instancia No. 110-02, folio 2. Anexo 39. Informe de la Guardia Operativa, Policía Nacional Investigaciones Criminales, Bluefields, 8 de abril de 2002. Expediente judicial de primera instancia No. 110-02, folio 3. Anexos a la comunicación de los peticionarios de 13 de julio de 2007.</w:t>
      </w:r>
    </w:p>
  </w:footnote>
  <w:footnote w:id="33">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43. Dictamen Médico Legal, Médico Forense Suplente, Zona Espectal 11, Bluefields, 9 de abril de 2002. Expediente judicial de primera instancia No. 110-02, folios 10 y 11. Anexo 31. Foto Tabla Ilustrativa, Policía Nacional Región Autónoma Atlántico Sur, 8 de abril de 2002, Fotografía Central No. 8, Fotografía Sinalética No. 9 y 10. Expediente judicial de primera instancia No. 110-02, folios 22 y 23. Anexos a la comunicación de los peticionarios de 13 de julio de 2007.</w:t>
      </w:r>
    </w:p>
  </w:footnote>
  <w:footnote w:id="34">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31. Foto Tabla Ilustrativa (Fotos centrales 8 y 9; fotografías detalladas 17 y 18), Policía Nacional Región Autónoma Atlántico Sur, 8 de abril de 2002. Expediente judicial de primera instancia No. 110-02, folios 22, 26, 27. Anexo a la comunicación de los peticionarios de 13 de julio de 2007.</w:t>
      </w:r>
    </w:p>
  </w:footnote>
  <w:footnote w:id="35">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31. Foto Tabla Ilustrativa (foto detallada No. 15), Policía Nacional Región Autónoma Atlántico Sur, 8 de abril de 2002. Expediente judicial de primera instancia No. 110-02, folio 26. Anexo a la comunicación de los peticionarios de 13 de julio de 2007.</w:t>
      </w:r>
    </w:p>
  </w:footnote>
  <w:footnote w:id="36">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31. Foto Tabla Ilustrativa (foto detallada No. 20), Policía Nacional Región Autónoma Atlántico Sur, 8 de abril de 2002. Expediente judicial de primera instancia No. 110-02, folio 28. Anexo a la comunicación de los peticionarios de 13 de julio de 2007. </w:t>
      </w:r>
    </w:p>
  </w:footnote>
  <w:footnote w:id="3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33. Acusación contra Wilberth José Ochoa por el delito de asesinato, Ministerio Público – Región Autónoma Atlántico Sur, 13 de enero de 2013. Expediente judicial de primera instancia No. 110-02, folios 275 -277. Anexo a la comunicación de los peticionarios de 13 de julio de 2007.  </w:t>
      </w:r>
    </w:p>
  </w:footnote>
  <w:footnote w:id="38">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33. Acusación contra Wilberth José Ochoa por el delito de asesinato, Ministerio Público – Región Autónoma Atlántico Sur, 13 de enero de 2013. Expediente judicial de primera instancia No. 110-02, folios 275 -277. Anexo 36. Escrito de la Fiscal Auxiliar de Justicia al Juez de Distrito del Crimen de Bluefields, 9 de mayo de 2002. Expediente judicial de primera instancia No. 110-02, folio </w:t>
      </w:r>
      <w:r w:rsidRPr="00AD791A">
        <w:rPr>
          <w:rFonts w:ascii="Cambria" w:hAnsi="Cambria" w:cs="Garamond"/>
          <w:szCs w:val="16"/>
        </w:rPr>
        <w:t xml:space="preserve">168. </w:t>
      </w:r>
      <w:r w:rsidRPr="00AD791A">
        <w:rPr>
          <w:rFonts w:ascii="Cambria" w:hAnsi="Cambria"/>
          <w:szCs w:val="16"/>
          <w:lang w:val="es-MX"/>
        </w:rPr>
        <w:t xml:space="preserve">Anexos a la comunicación de los peticionarios de 13 de julio de 2007.  </w:t>
      </w:r>
    </w:p>
  </w:footnote>
  <w:footnote w:id="39">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45 “</w:t>
      </w:r>
      <w:r w:rsidRPr="00AD791A">
        <w:rPr>
          <w:rFonts w:ascii="Cambria" w:hAnsi="Cambria" w:cs="Garamond"/>
          <w:sz w:val="16"/>
          <w:szCs w:val="16"/>
          <w:lang w:val="es-ES_tradnl"/>
        </w:rPr>
        <w:t xml:space="preserve">De </w:t>
      </w:r>
      <w:r w:rsidRPr="00AD791A">
        <w:rPr>
          <w:rFonts w:ascii="Cambria" w:hAnsi="Cambria" w:cs="Garamond"/>
          <w:spacing w:val="4"/>
          <w:sz w:val="16"/>
          <w:szCs w:val="16"/>
          <w:lang w:val="es-ES_tradnl"/>
        </w:rPr>
        <w:t xml:space="preserve">ofendida a </w:t>
      </w:r>
      <w:r w:rsidRPr="00AD791A">
        <w:rPr>
          <w:rFonts w:ascii="Cambria" w:hAnsi="Cambria" w:cs="Garamond"/>
          <w:sz w:val="16"/>
          <w:szCs w:val="16"/>
          <w:lang w:val="es-ES_tradnl"/>
        </w:rPr>
        <w:t xml:space="preserve">acusada”, </w:t>
      </w:r>
      <w:r w:rsidRPr="00AD791A">
        <w:rPr>
          <w:rFonts w:ascii="Cambria" w:hAnsi="Cambria" w:cs="Garamond"/>
          <w:i/>
          <w:sz w:val="16"/>
          <w:szCs w:val="16"/>
          <w:lang w:val="es-ES_tradnl"/>
        </w:rPr>
        <w:t>El Nuevo Diario</w:t>
      </w:r>
      <w:r w:rsidRPr="00AD791A">
        <w:rPr>
          <w:rFonts w:ascii="Cambria" w:hAnsi="Cambria" w:cs="Garamond"/>
          <w:sz w:val="16"/>
          <w:szCs w:val="16"/>
          <w:lang w:val="es-ES_tradnl"/>
        </w:rPr>
        <w:t xml:space="preserve">, 21 de abril de 2002. </w:t>
      </w:r>
      <w:r w:rsidRPr="00AD791A">
        <w:rPr>
          <w:rFonts w:ascii="Cambria" w:hAnsi="Cambria"/>
          <w:sz w:val="16"/>
          <w:szCs w:val="16"/>
          <w:lang w:val="es-MX"/>
        </w:rPr>
        <w:t xml:space="preserve">Expediente judicial de primera instancia No. 110-02, folio </w:t>
      </w:r>
      <w:r w:rsidRPr="00AD791A">
        <w:rPr>
          <w:rFonts w:ascii="Cambria" w:hAnsi="Cambria" w:cs="Garamond"/>
          <w:sz w:val="16"/>
          <w:szCs w:val="16"/>
          <w:lang w:val="es-MX"/>
        </w:rPr>
        <w:t>377.</w:t>
      </w:r>
      <w:r w:rsidRPr="00AD791A">
        <w:rPr>
          <w:rFonts w:ascii="Cambria" w:hAnsi="Cambria" w:cs="Garamond"/>
          <w:sz w:val="16"/>
          <w:szCs w:val="16"/>
          <w:lang w:val="es-ES_tradnl"/>
        </w:rPr>
        <w:t xml:space="preserve"> Anexo 46. “Abogada denuncia complot en su contra”, </w:t>
      </w:r>
      <w:r w:rsidRPr="00AD791A">
        <w:rPr>
          <w:rFonts w:ascii="Cambria" w:hAnsi="Cambria" w:cs="Garamond"/>
          <w:i/>
          <w:sz w:val="16"/>
          <w:szCs w:val="16"/>
          <w:lang w:val="es-ES_tradnl"/>
        </w:rPr>
        <w:t>La Prensa</w:t>
      </w:r>
      <w:r w:rsidRPr="00AD791A">
        <w:rPr>
          <w:rFonts w:ascii="Cambria" w:hAnsi="Cambria" w:cs="Garamond"/>
          <w:sz w:val="16"/>
          <w:szCs w:val="16"/>
          <w:lang w:val="es-ES_tradnl"/>
        </w:rPr>
        <w:t>, 7 de mayo de 2002. Anexo 45. “</w:t>
      </w:r>
      <w:r w:rsidRPr="00AD791A">
        <w:rPr>
          <w:rFonts w:ascii="Cambria" w:hAnsi="Cambria" w:cs="Garamond"/>
          <w:spacing w:val="3"/>
          <w:sz w:val="16"/>
          <w:szCs w:val="16"/>
          <w:lang w:val="es-ES_tradnl"/>
        </w:rPr>
        <w:t xml:space="preserve">Activistas de Derechos </w:t>
      </w:r>
      <w:r w:rsidRPr="00AD791A">
        <w:rPr>
          <w:rFonts w:ascii="Cambria" w:hAnsi="Cambria"/>
          <w:spacing w:val="-6"/>
          <w:sz w:val="16"/>
          <w:szCs w:val="16"/>
          <w:lang w:val="es-ES_tradnl"/>
        </w:rPr>
        <w:t xml:space="preserve">Humanos piden seguridad </w:t>
      </w:r>
      <w:r w:rsidRPr="00AD791A">
        <w:rPr>
          <w:rFonts w:ascii="Cambria" w:hAnsi="Cambria"/>
          <w:sz w:val="16"/>
          <w:szCs w:val="16"/>
          <w:lang w:val="es-ES_tradnl"/>
        </w:rPr>
        <w:t>para Dra. Acosta</w:t>
      </w:r>
      <w:r w:rsidRPr="00AD791A">
        <w:rPr>
          <w:rFonts w:ascii="Cambria" w:hAnsi="Cambria" w:cs="Garamond"/>
          <w:sz w:val="16"/>
          <w:szCs w:val="16"/>
          <w:lang w:val="es-ES_tradnl"/>
        </w:rPr>
        <w:t xml:space="preserve">”, La Prensa, 15 de abril de 2002. Expediente judicial de primera instancia No. 110-02, folio 376. Anexo 47. “Policía sospecha de asesinato por encargo”, </w:t>
      </w:r>
      <w:r w:rsidRPr="00AD791A">
        <w:rPr>
          <w:rFonts w:ascii="Cambria" w:hAnsi="Cambria" w:cs="Garamond"/>
          <w:i/>
          <w:sz w:val="16"/>
          <w:szCs w:val="16"/>
          <w:lang w:val="es-ES_tradnl"/>
        </w:rPr>
        <w:t>La Prensa</w:t>
      </w:r>
      <w:r w:rsidRPr="00AD791A">
        <w:rPr>
          <w:rFonts w:ascii="Cambria" w:hAnsi="Cambria" w:cs="Garamond"/>
          <w:sz w:val="16"/>
          <w:szCs w:val="16"/>
          <w:lang w:val="es-ES_tradnl"/>
        </w:rPr>
        <w:t xml:space="preserve">, 11 de abril de 2002. Expediente judicial de primera instancia No. 110-02, folio 378. </w:t>
      </w:r>
      <w:r w:rsidRPr="00AD791A">
        <w:rPr>
          <w:rFonts w:ascii="Cambria" w:hAnsi="Cambria"/>
          <w:sz w:val="16"/>
          <w:szCs w:val="16"/>
          <w:lang w:val="es-ES_tradnl"/>
        </w:rPr>
        <w:t xml:space="preserve">Anexo 48. “Atroz asesinato del presidente </w:t>
      </w:r>
      <w:r w:rsidRPr="00AD791A">
        <w:rPr>
          <w:rFonts w:ascii="Cambria" w:hAnsi="Cambria"/>
          <w:spacing w:val="8"/>
          <w:sz w:val="16"/>
          <w:szCs w:val="16"/>
          <w:lang w:val="es-ES_tradnl"/>
        </w:rPr>
        <w:t xml:space="preserve">de </w:t>
      </w:r>
      <w:r w:rsidRPr="00AD791A">
        <w:rPr>
          <w:rFonts w:ascii="Cambria" w:hAnsi="Cambria"/>
          <w:sz w:val="16"/>
          <w:szCs w:val="16"/>
          <w:lang w:val="es-ES_tradnl"/>
        </w:rPr>
        <w:t xml:space="preserve">Cámara de Comercio </w:t>
      </w:r>
      <w:r w:rsidRPr="00AD791A">
        <w:rPr>
          <w:rFonts w:ascii="Cambria" w:hAnsi="Cambria"/>
          <w:spacing w:val="8"/>
          <w:sz w:val="16"/>
          <w:szCs w:val="16"/>
          <w:lang w:val="es-ES_tradnl"/>
        </w:rPr>
        <w:t xml:space="preserve">de </w:t>
      </w:r>
      <w:r w:rsidRPr="00AD791A">
        <w:rPr>
          <w:rFonts w:ascii="Cambria" w:hAnsi="Cambria"/>
          <w:sz w:val="16"/>
          <w:szCs w:val="16"/>
          <w:lang w:val="es-ES_tradnl"/>
        </w:rPr>
        <w:t xml:space="preserve">Bluefields, </w:t>
      </w:r>
      <w:r w:rsidRPr="00AD791A">
        <w:rPr>
          <w:rFonts w:ascii="Cambria" w:hAnsi="Cambria"/>
          <w:spacing w:val="8"/>
          <w:sz w:val="16"/>
          <w:szCs w:val="16"/>
          <w:lang w:val="es-ES_tradnl"/>
        </w:rPr>
        <w:t xml:space="preserve">Su </w:t>
      </w:r>
      <w:r w:rsidRPr="00AD791A">
        <w:rPr>
          <w:rFonts w:ascii="Cambria" w:hAnsi="Cambria"/>
          <w:sz w:val="16"/>
          <w:szCs w:val="16"/>
          <w:lang w:val="es-ES_tradnl"/>
        </w:rPr>
        <w:t xml:space="preserve">esposa </w:t>
      </w:r>
      <w:r w:rsidRPr="00AD791A">
        <w:rPr>
          <w:rFonts w:ascii="Cambria" w:hAnsi="Cambria"/>
          <w:spacing w:val="8"/>
          <w:sz w:val="16"/>
          <w:szCs w:val="16"/>
          <w:lang w:val="es-ES_tradnl"/>
        </w:rPr>
        <w:t xml:space="preserve">una </w:t>
      </w:r>
      <w:r w:rsidRPr="00AD791A">
        <w:rPr>
          <w:rFonts w:ascii="Cambria" w:hAnsi="Cambria"/>
          <w:sz w:val="16"/>
          <w:szCs w:val="16"/>
          <w:lang w:val="es-ES_tradnl"/>
        </w:rPr>
        <w:t xml:space="preserve">abogada defensora de los derechos </w:t>
      </w:r>
      <w:r w:rsidRPr="00AD791A">
        <w:rPr>
          <w:rFonts w:ascii="Cambria" w:hAnsi="Cambria"/>
          <w:iCs/>
          <w:spacing w:val="6"/>
          <w:sz w:val="16"/>
          <w:szCs w:val="16"/>
          <w:lang w:val="es-ES_tradnl"/>
        </w:rPr>
        <w:t xml:space="preserve">indígenas, </w:t>
      </w:r>
      <w:r w:rsidRPr="00AD791A">
        <w:rPr>
          <w:rFonts w:ascii="Cambria" w:hAnsi="Cambria"/>
          <w:sz w:val="16"/>
          <w:szCs w:val="16"/>
          <w:lang w:val="es-ES_tradnl"/>
        </w:rPr>
        <w:t xml:space="preserve">considera que los </w:t>
      </w:r>
      <w:r w:rsidRPr="00AD791A">
        <w:rPr>
          <w:rFonts w:ascii="Cambria" w:hAnsi="Cambria"/>
          <w:iCs/>
          <w:spacing w:val="6"/>
          <w:sz w:val="16"/>
          <w:szCs w:val="16"/>
          <w:lang w:val="es-ES_tradnl"/>
        </w:rPr>
        <w:t xml:space="preserve">asesinos </w:t>
      </w:r>
      <w:r w:rsidRPr="00AD791A">
        <w:rPr>
          <w:rFonts w:ascii="Cambria" w:hAnsi="Cambria"/>
          <w:sz w:val="16"/>
          <w:szCs w:val="16"/>
          <w:lang w:val="es-ES_tradnl"/>
        </w:rPr>
        <w:t xml:space="preserve">le buscaban </w:t>
      </w:r>
      <w:r w:rsidRPr="00AD791A">
        <w:rPr>
          <w:rFonts w:ascii="Cambria" w:hAnsi="Cambria"/>
          <w:iCs/>
          <w:spacing w:val="6"/>
          <w:sz w:val="16"/>
          <w:szCs w:val="16"/>
          <w:lang w:val="es-ES_tradnl"/>
        </w:rPr>
        <w:t>a</w:t>
      </w:r>
      <w:r w:rsidRPr="00AD791A">
        <w:rPr>
          <w:rFonts w:ascii="Cambria" w:hAnsi="Cambria"/>
          <w:i/>
          <w:iCs/>
          <w:spacing w:val="6"/>
          <w:sz w:val="16"/>
          <w:szCs w:val="16"/>
          <w:lang w:val="es-ES_tradnl"/>
        </w:rPr>
        <w:t xml:space="preserve"> </w:t>
      </w:r>
      <w:r w:rsidRPr="00AD791A">
        <w:rPr>
          <w:rFonts w:ascii="Cambria" w:hAnsi="Cambria"/>
          <w:sz w:val="16"/>
          <w:szCs w:val="16"/>
          <w:lang w:val="es-ES_tradnl"/>
        </w:rPr>
        <w:t xml:space="preserve">ella”, </w:t>
      </w:r>
      <w:r w:rsidRPr="00AD791A">
        <w:rPr>
          <w:rFonts w:ascii="Cambria" w:hAnsi="Cambria"/>
          <w:i/>
          <w:iCs/>
          <w:spacing w:val="6"/>
          <w:sz w:val="16"/>
          <w:szCs w:val="16"/>
          <w:lang w:val="es-ES_tradnl"/>
        </w:rPr>
        <w:t xml:space="preserve">La </w:t>
      </w:r>
      <w:r w:rsidRPr="00AD791A">
        <w:rPr>
          <w:rFonts w:ascii="Cambria" w:hAnsi="Cambria"/>
          <w:i/>
          <w:sz w:val="16"/>
          <w:szCs w:val="16"/>
          <w:lang w:val="es-ES_tradnl"/>
        </w:rPr>
        <w:t>Prensa</w:t>
      </w:r>
      <w:r w:rsidRPr="00AD791A">
        <w:rPr>
          <w:rFonts w:ascii="Cambria" w:hAnsi="Cambria"/>
          <w:sz w:val="16"/>
          <w:szCs w:val="16"/>
          <w:lang w:val="es-ES_tradnl"/>
        </w:rPr>
        <w:t xml:space="preserve">, </w:t>
      </w:r>
      <w:r w:rsidRPr="00AD791A">
        <w:rPr>
          <w:rFonts w:ascii="Cambria" w:hAnsi="Cambria"/>
          <w:iCs/>
          <w:spacing w:val="6"/>
          <w:sz w:val="16"/>
          <w:szCs w:val="16"/>
          <w:lang w:val="es-ES_tradnl"/>
        </w:rPr>
        <w:t>1</w:t>
      </w:r>
      <w:r w:rsidRPr="00AD791A">
        <w:rPr>
          <w:rFonts w:ascii="Cambria" w:hAnsi="Cambria"/>
          <w:sz w:val="16"/>
          <w:szCs w:val="16"/>
          <w:lang w:val="es-MX"/>
        </w:rPr>
        <w:t>0 de abril de 2002. Expediente judicial de primera instancia No. 110-02, folio 379. Anexo 49. “Pero su lucha sigue</w:t>
      </w:r>
      <w:r w:rsidRPr="00AD791A">
        <w:rPr>
          <w:rFonts w:ascii="Cambria" w:hAnsi="Cambria" w:cs="Garamond"/>
          <w:spacing w:val="3"/>
          <w:sz w:val="16"/>
          <w:szCs w:val="16"/>
          <w:lang w:val="es-ES_tradnl"/>
        </w:rPr>
        <w:t xml:space="preserve">”, </w:t>
      </w:r>
      <w:r w:rsidRPr="00AD791A">
        <w:rPr>
          <w:rFonts w:ascii="Cambria" w:hAnsi="Cambria" w:cs="Garamond"/>
          <w:i/>
          <w:spacing w:val="3"/>
          <w:sz w:val="16"/>
          <w:szCs w:val="16"/>
          <w:lang w:val="es-ES_tradnl"/>
        </w:rPr>
        <w:t>El Nuevo Diario</w:t>
      </w:r>
      <w:r w:rsidRPr="00AD791A">
        <w:rPr>
          <w:rFonts w:ascii="Cambria" w:hAnsi="Cambria" w:cs="Garamond"/>
          <w:spacing w:val="3"/>
          <w:sz w:val="16"/>
          <w:szCs w:val="16"/>
          <w:lang w:val="es-ES_tradnl"/>
        </w:rPr>
        <w:t xml:space="preserve">, 28 de abril de 2002. </w:t>
      </w:r>
      <w:r w:rsidRPr="00AD791A">
        <w:rPr>
          <w:rFonts w:ascii="Cambria" w:hAnsi="Cambria"/>
          <w:sz w:val="16"/>
          <w:szCs w:val="16"/>
          <w:lang w:val="es-MX"/>
        </w:rPr>
        <w:t xml:space="preserve">Expediente judicial de primera instancia No. 110-02, folio </w:t>
      </w:r>
      <w:r w:rsidRPr="00AD791A">
        <w:rPr>
          <w:rFonts w:ascii="Cambria" w:hAnsi="Cambria" w:cs="Garamond"/>
          <w:sz w:val="16"/>
          <w:szCs w:val="16"/>
          <w:lang w:val="es-MX"/>
        </w:rPr>
        <w:t xml:space="preserve">380. </w:t>
      </w:r>
      <w:r w:rsidRPr="00AD791A">
        <w:rPr>
          <w:rFonts w:ascii="Cambria" w:hAnsi="Cambria"/>
          <w:sz w:val="16"/>
          <w:szCs w:val="16"/>
          <w:lang w:val="es-MX"/>
        </w:rPr>
        <w:t xml:space="preserve">Anexo 50 </w:t>
      </w:r>
      <w:r w:rsidRPr="00AD791A">
        <w:rPr>
          <w:rFonts w:ascii="Cambria" w:hAnsi="Cambria"/>
          <w:i/>
          <w:iCs/>
          <w:spacing w:val="6"/>
          <w:sz w:val="16"/>
          <w:szCs w:val="16"/>
          <w:lang w:val="es-ES_tradnl"/>
        </w:rPr>
        <w:t>“</w:t>
      </w:r>
      <w:r w:rsidRPr="00AD791A">
        <w:rPr>
          <w:rFonts w:ascii="Cambria" w:hAnsi="Cambria"/>
          <w:sz w:val="16"/>
          <w:szCs w:val="16"/>
          <w:lang w:val="es-ES_tradnl"/>
        </w:rPr>
        <w:t xml:space="preserve">Indígenas </w:t>
      </w:r>
      <w:r w:rsidRPr="00AD791A">
        <w:rPr>
          <w:rFonts w:ascii="Cambria" w:hAnsi="Cambria"/>
          <w:iCs/>
          <w:spacing w:val="6"/>
          <w:sz w:val="16"/>
          <w:szCs w:val="16"/>
          <w:lang w:val="es-ES_tradnl"/>
        </w:rPr>
        <w:t xml:space="preserve">solo </w:t>
      </w:r>
      <w:r w:rsidRPr="00AD791A">
        <w:rPr>
          <w:rFonts w:ascii="Cambria" w:hAnsi="Cambria"/>
          <w:sz w:val="16"/>
          <w:szCs w:val="16"/>
          <w:lang w:val="es-ES_tradnl"/>
        </w:rPr>
        <w:t xml:space="preserve">quieren que Tsokos!”, </w:t>
      </w:r>
      <w:r w:rsidRPr="00AD791A">
        <w:rPr>
          <w:rFonts w:ascii="Cambria" w:hAnsi="Cambria"/>
          <w:i/>
          <w:sz w:val="16"/>
          <w:szCs w:val="16"/>
          <w:lang w:val="es-ES_tradnl"/>
        </w:rPr>
        <w:t>El</w:t>
      </w:r>
      <w:r w:rsidRPr="00AD791A">
        <w:rPr>
          <w:rFonts w:ascii="Cambria" w:hAnsi="Cambria"/>
          <w:sz w:val="16"/>
          <w:szCs w:val="16"/>
          <w:lang w:val="es-ES_tradnl"/>
        </w:rPr>
        <w:t xml:space="preserve"> </w:t>
      </w:r>
      <w:r w:rsidRPr="00AD791A">
        <w:rPr>
          <w:rFonts w:ascii="Cambria" w:hAnsi="Cambria"/>
          <w:i/>
          <w:iCs/>
          <w:spacing w:val="6"/>
          <w:sz w:val="16"/>
          <w:szCs w:val="16"/>
          <w:lang w:val="es-ES_tradnl"/>
        </w:rPr>
        <w:t xml:space="preserve">Nuevo Diario, </w:t>
      </w:r>
      <w:r w:rsidRPr="00AD791A">
        <w:rPr>
          <w:rFonts w:ascii="Cambria" w:hAnsi="Cambria"/>
          <w:iCs/>
          <w:spacing w:val="6"/>
          <w:sz w:val="16"/>
          <w:szCs w:val="16"/>
          <w:lang w:val="es-ES_tradnl"/>
        </w:rPr>
        <w:t xml:space="preserve">9 de abril de 2002. Anexo 51. </w:t>
      </w:r>
      <w:r w:rsidRPr="00AD791A">
        <w:rPr>
          <w:rFonts w:ascii="Cambria" w:hAnsi="Cambria"/>
          <w:sz w:val="16"/>
          <w:szCs w:val="16"/>
          <w:lang w:val="es-ES_tradnl"/>
        </w:rPr>
        <w:t>“</w:t>
      </w:r>
      <w:r w:rsidRPr="00AD791A">
        <w:rPr>
          <w:rFonts w:ascii="Cambria" w:hAnsi="Cambria"/>
          <w:iCs/>
          <w:spacing w:val="6"/>
          <w:sz w:val="16"/>
          <w:szCs w:val="16"/>
          <w:lang w:val="es-ES_tradnl"/>
        </w:rPr>
        <w:t xml:space="preserve">Asesinan a esposo de </w:t>
      </w:r>
      <w:r w:rsidRPr="00AD791A">
        <w:rPr>
          <w:rFonts w:ascii="Cambria" w:hAnsi="Cambria"/>
          <w:sz w:val="16"/>
          <w:szCs w:val="16"/>
          <w:lang w:val="es-ES_tradnl"/>
        </w:rPr>
        <w:t xml:space="preserve">abogada </w:t>
      </w:r>
      <w:r w:rsidRPr="00AD791A">
        <w:rPr>
          <w:rFonts w:ascii="Cambria" w:hAnsi="Cambria"/>
          <w:iCs/>
          <w:spacing w:val="6"/>
          <w:sz w:val="16"/>
          <w:szCs w:val="16"/>
          <w:lang w:val="es-ES_tradnl"/>
        </w:rPr>
        <w:t>indigenista”</w:t>
      </w:r>
      <w:r w:rsidRPr="00AD791A">
        <w:rPr>
          <w:rFonts w:ascii="Cambria" w:hAnsi="Cambria"/>
          <w:i/>
          <w:iCs/>
          <w:spacing w:val="6"/>
          <w:sz w:val="16"/>
          <w:szCs w:val="16"/>
          <w:lang w:val="es-ES_tradnl"/>
        </w:rPr>
        <w:t xml:space="preserve">, </w:t>
      </w:r>
      <w:r w:rsidRPr="00AD791A">
        <w:rPr>
          <w:rFonts w:ascii="Cambria" w:hAnsi="Cambria"/>
          <w:i/>
          <w:sz w:val="16"/>
          <w:szCs w:val="16"/>
          <w:lang w:val="es-ES_tradnl"/>
        </w:rPr>
        <w:t>El</w:t>
      </w:r>
      <w:r w:rsidRPr="00AD791A">
        <w:rPr>
          <w:rFonts w:ascii="Cambria" w:hAnsi="Cambria"/>
          <w:sz w:val="16"/>
          <w:szCs w:val="16"/>
          <w:lang w:val="es-ES_tradnl"/>
        </w:rPr>
        <w:t xml:space="preserve"> </w:t>
      </w:r>
      <w:r w:rsidRPr="00AD791A">
        <w:rPr>
          <w:rFonts w:ascii="Cambria" w:hAnsi="Cambria"/>
          <w:i/>
          <w:iCs/>
          <w:spacing w:val="6"/>
          <w:sz w:val="16"/>
          <w:szCs w:val="16"/>
          <w:lang w:val="es-ES_tradnl"/>
        </w:rPr>
        <w:t xml:space="preserve">Nuevo Diario, </w:t>
      </w:r>
      <w:r w:rsidRPr="00AD791A">
        <w:rPr>
          <w:rFonts w:ascii="Cambria" w:hAnsi="Cambria" w:cs="Garamond"/>
          <w:sz w:val="16"/>
          <w:szCs w:val="16"/>
          <w:lang w:val="es-ES_tradnl"/>
        </w:rPr>
        <w:t>10 de abril de 2002. “Viuda ata cabos en crimen de su marido</w:t>
      </w:r>
      <w:r w:rsidRPr="00AD791A">
        <w:rPr>
          <w:rFonts w:ascii="Cambria" w:hAnsi="Cambria"/>
          <w:sz w:val="16"/>
          <w:szCs w:val="16"/>
          <w:lang w:val="es-ES_tradnl"/>
        </w:rPr>
        <w:t xml:space="preserve">”, </w:t>
      </w:r>
      <w:r w:rsidRPr="00AD791A">
        <w:rPr>
          <w:rFonts w:ascii="Cambria" w:hAnsi="Cambria" w:cs="Garamond"/>
          <w:i/>
          <w:spacing w:val="3"/>
          <w:sz w:val="16"/>
          <w:szCs w:val="16"/>
          <w:lang w:val="es-ES_tradnl"/>
        </w:rPr>
        <w:t>El Nuevo Diario</w:t>
      </w:r>
      <w:r w:rsidRPr="00AD791A">
        <w:rPr>
          <w:rFonts w:ascii="Cambria" w:hAnsi="Cambria" w:cs="Garamond"/>
          <w:spacing w:val="3"/>
          <w:sz w:val="16"/>
          <w:szCs w:val="16"/>
          <w:lang w:val="es-ES_tradnl"/>
        </w:rPr>
        <w:t xml:space="preserve">, 12 de abril de 2002. </w:t>
      </w:r>
      <w:r w:rsidRPr="00AD791A">
        <w:rPr>
          <w:rFonts w:ascii="Cambria" w:hAnsi="Cambria"/>
          <w:sz w:val="16"/>
          <w:szCs w:val="16"/>
          <w:lang w:val="es-MX"/>
        </w:rPr>
        <w:t>Anexos a la comunicación de los peticionarios de 13 de julio de 2007</w:t>
      </w:r>
    </w:p>
  </w:footnote>
  <w:footnote w:id="40">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3. Pronunciamiento de </w:t>
      </w:r>
      <w:r w:rsidRPr="00AD791A">
        <w:rPr>
          <w:rFonts w:ascii="Cambria" w:hAnsi="Cambria"/>
          <w:i/>
          <w:sz w:val="16"/>
          <w:szCs w:val="16"/>
          <w:lang w:val="es-MX"/>
        </w:rPr>
        <w:t>Nicaragua Emergency Response Network</w:t>
      </w:r>
      <w:r w:rsidRPr="00AD791A">
        <w:rPr>
          <w:rFonts w:ascii="Cambria" w:hAnsi="Cambria"/>
          <w:sz w:val="16"/>
          <w:szCs w:val="16"/>
          <w:lang w:val="es-MX"/>
        </w:rPr>
        <w:t xml:space="preserve">, 11 de abril de 2002. Expediente judicial de primera instancia No. 110-02, folio 350. Anexo 9. Carta de solidaridad a María Luisa Acosta del Centro Alexander Von Humbolt, Grupo Jurídico Internacional, y Centro de Asistencia Legal a los pueblos indígenas (CALPI). Expediente judicial de primera instancia No. 110-02, folio 351. Anexo 1. Carta del Rector de la Universidad de Tromso dirigida a la OACNUDH, 2 de mayo de 2002. Expediente judicial de primera instancia No. 110-02, folio 353. Anexo 53. Pronunciamiento de la Universidad de las Regiones Autónomas de la Costa Caribe Nicaragüense (URACCAN); Primera Asociación Campesina del Cultura y Producción Ecológicas en las Regiones Autónomas del Atlántico Sur y Central, Nueva Guinea; Escuela Campesina de Agricultura Ecológica en el Trópico Húmedo La Esperancita, Nueva Guinea. Expediente judicial de primera instancia No. 110-02, folio 354. Anexo 2. Carta del Centro de Investigación en la Universidad de York dirigida al Presidente de Nicaragua, 18 de abril de 2002. Expediente judicial de primera instancia No. 110-02, folio 355. Anexo 54. Comunicado de la Cámara de Comercio Nicaragüense-Americana, 15 de abril de 2002. Expediente judicial de primera instancia No. 110-02, folio 358. Anexo 55. Carta del </w:t>
      </w:r>
      <w:r w:rsidRPr="00AD791A">
        <w:rPr>
          <w:rFonts w:ascii="Cambria" w:hAnsi="Cambria"/>
          <w:i/>
          <w:sz w:val="16"/>
          <w:szCs w:val="16"/>
          <w:lang w:val="es-MX"/>
        </w:rPr>
        <w:t>Center for Maritime Research</w:t>
      </w:r>
      <w:r w:rsidRPr="00AD791A">
        <w:rPr>
          <w:rFonts w:ascii="Cambria" w:hAnsi="Cambria"/>
          <w:sz w:val="16"/>
          <w:szCs w:val="16"/>
          <w:lang w:val="es-MX"/>
        </w:rPr>
        <w:t xml:space="preserve"> (MARE). Expediente judicial de primera instancia No. 110-02, folio 362. Anexo 4. “</w:t>
      </w:r>
      <w:r w:rsidRPr="00AD791A">
        <w:rPr>
          <w:rFonts w:ascii="Cambria" w:hAnsi="Cambria" w:cs="Arial Narrow"/>
          <w:spacing w:val="-4"/>
          <w:sz w:val="16"/>
          <w:szCs w:val="16"/>
          <w:lang w:val="es-MX"/>
        </w:rPr>
        <w:t xml:space="preserve">Pastores por la Paz </w:t>
      </w:r>
      <w:r w:rsidRPr="00AD791A">
        <w:rPr>
          <w:rFonts w:ascii="Cambria" w:hAnsi="Cambria"/>
          <w:spacing w:val="6"/>
          <w:sz w:val="16"/>
          <w:szCs w:val="16"/>
          <w:lang w:val="es-MX"/>
        </w:rPr>
        <w:t xml:space="preserve">imploran investigar </w:t>
      </w:r>
      <w:r w:rsidRPr="00AD791A">
        <w:rPr>
          <w:rFonts w:ascii="Cambria" w:hAnsi="Cambria" w:cs="Arial Narrow"/>
          <w:spacing w:val="-4"/>
          <w:sz w:val="16"/>
          <w:szCs w:val="16"/>
          <w:lang w:val="es-MX"/>
        </w:rPr>
        <w:t xml:space="preserve">crimen, constatan violaciones a </w:t>
      </w:r>
      <w:r w:rsidRPr="00AD791A">
        <w:rPr>
          <w:rFonts w:ascii="Cambria" w:hAnsi="Cambria" w:cs="Garamond"/>
          <w:spacing w:val="-6"/>
          <w:sz w:val="16"/>
          <w:szCs w:val="16"/>
          <w:lang w:val="es-MX"/>
        </w:rPr>
        <w:t>derechos</w:t>
      </w:r>
      <w:r w:rsidRPr="00AD791A">
        <w:rPr>
          <w:rFonts w:ascii="Cambria" w:hAnsi="Cambria" w:cs="Garamond"/>
          <w:sz w:val="16"/>
          <w:szCs w:val="16"/>
          <w:lang w:val="es-MX"/>
        </w:rPr>
        <w:t xml:space="preserve"> </w:t>
      </w:r>
      <w:r w:rsidRPr="00AD791A">
        <w:rPr>
          <w:rFonts w:ascii="Cambria" w:hAnsi="Cambria" w:cs="Arial Narrow"/>
          <w:spacing w:val="-4"/>
          <w:sz w:val="16"/>
          <w:szCs w:val="16"/>
          <w:lang w:val="es-MX"/>
        </w:rPr>
        <w:t xml:space="preserve">indígenas en el </w:t>
      </w:r>
      <w:r w:rsidRPr="00AD791A">
        <w:rPr>
          <w:rFonts w:ascii="Cambria" w:hAnsi="Cambria"/>
          <w:spacing w:val="6"/>
          <w:sz w:val="16"/>
          <w:szCs w:val="16"/>
          <w:lang w:val="es-MX"/>
        </w:rPr>
        <w:t xml:space="preserve">Caribe”, </w:t>
      </w:r>
      <w:r w:rsidRPr="00AD791A">
        <w:rPr>
          <w:rFonts w:ascii="Cambria" w:hAnsi="Cambria" w:cs="Arial Narrow"/>
          <w:i/>
          <w:spacing w:val="-4"/>
          <w:sz w:val="16"/>
          <w:szCs w:val="16"/>
          <w:lang w:val="es-MX"/>
        </w:rPr>
        <w:t xml:space="preserve">La </w:t>
      </w:r>
      <w:r w:rsidRPr="00AD791A">
        <w:rPr>
          <w:rFonts w:ascii="Cambria" w:hAnsi="Cambria" w:cs="Arial Narrow"/>
          <w:i/>
          <w:spacing w:val="-2"/>
          <w:sz w:val="16"/>
          <w:szCs w:val="16"/>
          <w:lang w:val="es-MX"/>
        </w:rPr>
        <w:t>Prensa</w:t>
      </w:r>
      <w:r w:rsidRPr="00AD791A">
        <w:rPr>
          <w:rFonts w:ascii="Cambria" w:hAnsi="Cambria" w:cs="Arial Narrow"/>
          <w:spacing w:val="-2"/>
          <w:sz w:val="16"/>
          <w:szCs w:val="16"/>
          <w:lang w:val="es-MX"/>
        </w:rPr>
        <w:t xml:space="preserve">, 10 de abril de 2002. </w:t>
      </w:r>
      <w:r w:rsidRPr="00AD791A">
        <w:rPr>
          <w:rFonts w:ascii="Cambria" w:hAnsi="Cambria" w:cs="Garamond"/>
          <w:spacing w:val="3"/>
          <w:sz w:val="16"/>
          <w:szCs w:val="16"/>
          <w:lang w:val="es-ES_tradnl"/>
        </w:rPr>
        <w:t xml:space="preserve">Anexos a la comunicación de los peticionarios de 13 de julio de 2007. </w:t>
      </w:r>
    </w:p>
  </w:footnote>
  <w:footnote w:id="41">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5. Pronunciamiento del Procurador para la Defensa de los Derechos Humanos (PDDH), Benjamín Pérez Fonseca, Managua, 22 de abril de 2011. Expediente judicial de primera instancia No. 110-02, folio 352. Anexo a la comunicación de los peticionarios de 13 de julio de 2007.</w:t>
      </w:r>
    </w:p>
  </w:footnote>
  <w:footnote w:id="4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3. Pronunciamiento de </w:t>
      </w:r>
      <w:r w:rsidRPr="00AD791A">
        <w:rPr>
          <w:rFonts w:ascii="Cambria" w:hAnsi="Cambria"/>
          <w:i/>
          <w:szCs w:val="16"/>
          <w:lang w:val="es-MX"/>
        </w:rPr>
        <w:t>Nicaragua Emergency Response Network</w:t>
      </w:r>
      <w:r w:rsidRPr="00AD791A">
        <w:rPr>
          <w:rFonts w:ascii="Cambria" w:hAnsi="Cambria"/>
          <w:szCs w:val="16"/>
          <w:lang w:val="es-MX"/>
        </w:rPr>
        <w:t xml:space="preserve"> de 11 de abril de 2002. Expediente judicial de primera instancia No. 110-02, folio  350. Anexo 1. Carta del Rector de la Universidad de Tromso dirigida a la OACNUDH, 2 de mayo de 2002. Expediente judicial de primera instancia No. 110-02, folio  353. Anexos a la comunicación de los peticionarios de 13 de julio de 2007.</w:t>
      </w:r>
    </w:p>
  </w:footnote>
  <w:footnote w:id="43">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56. Comunicado de María Luisa Acosta, 19 de abril de 2002. Expediente judicial de primera instancia No. 110-02, folio  331. Anexo a la comunicación de los peticionarios de 13 de julio de 2007.</w:t>
      </w:r>
    </w:p>
  </w:footnote>
  <w:footnote w:id="44">
    <w:p w:rsidR="000A6E4C" w:rsidRPr="00AD791A" w:rsidRDefault="000A6E4C" w:rsidP="00165968">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26. Escrito dirigido a Peter Tsokos, Procuraduría para la Defensa del Medio Ambiente y los Recursos Naturales, 18 de octubre de 2000.  Anexo a la comunicación de los peticionarios de 13 de julio de 2013.</w:t>
      </w:r>
    </w:p>
  </w:footnote>
  <w:footnote w:id="45">
    <w:p w:rsidR="000A6E4C" w:rsidRPr="00AD791A" w:rsidRDefault="000A6E4C" w:rsidP="00F34F8E">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w:t>
      </w:r>
      <w:r w:rsidRPr="00AD791A">
        <w:rPr>
          <w:rFonts w:asciiTheme="majorHAnsi" w:hAnsiTheme="majorHAnsi"/>
          <w:szCs w:val="16"/>
          <w:lang w:val="es-MX"/>
        </w:rPr>
        <w:t xml:space="preserve">Anexo 13. “Marena multa al griego Peter Tsokos”, </w:t>
      </w:r>
      <w:r w:rsidRPr="00AD791A">
        <w:rPr>
          <w:rFonts w:asciiTheme="majorHAnsi" w:hAnsiTheme="majorHAnsi"/>
          <w:i/>
          <w:szCs w:val="16"/>
          <w:lang w:val="es-MX"/>
        </w:rPr>
        <w:t>La Prensa</w:t>
      </w:r>
      <w:r w:rsidRPr="00AD791A">
        <w:rPr>
          <w:rFonts w:asciiTheme="majorHAnsi" w:hAnsiTheme="majorHAnsi"/>
          <w:szCs w:val="16"/>
          <w:lang w:val="es-MX"/>
        </w:rPr>
        <w:t>, 18 de mayo de 2001. Anexo a la comunicación de los peticionarios de 13 de julio de 2013.</w:t>
      </w:r>
    </w:p>
  </w:footnote>
  <w:footnote w:id="46">
    <w:p w:rsidR="000A6E4C" w:rsidRPr="00AD791A" w:rsidRDefault="000A6E4C" w:rsidP="002D2350">
      <w:pPr>
        <w:pStyle w:val="FootnoteText"/>
        <w:ind w:firstLine="720"/>
        <w:rPr>
          <w:lang w:val="es-MX"/>
        </w:rPr>
      </w:pPr>
      <w:r w:rsidRPr="00AD791A">
        <w:rPr>
          <w:rStyle w:val="FootnoteReference"/>
        </w:rPr>
        <w:footnoteRef/>
      </w:r>
      <w:r w:rsidRPr="00AD791A">
        <w:t xml:space="preserve"> </w:t>
      </w:r>
      <w:r w:rsidRPr="00AD791A">
        <w:rPr>
          <w:rFonts w:ascii="Cambria" w:hAnsi="Cambria"/>
          <w:szCs w:val="16"/>
          <w:lang w:val="es-MX"/>
        </w:rPr>
        <w:t>Anexo 22. Recurso de amparo ante la Sala Civil del Tribunal de Apelaciones de Bluefields, 2 de mayo de 2001. Anexo a la comunicación de los peticionarios de 13 de julio de 2013.</w:t>
      </w:r>
    </w:p>
  </w:footnote>
  <w:footnote w:id="47">
    <w:p w:rsidR="000A6E4C" w:rsidRPr="00AD791A" w:rsidRDefault="000A6E4C" w:rsidP="00E70278">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28. Poder general judicial a favor de María Luisa Acosta, folio 13 del Protocolo No. 2 de la Abogada y Notaria Pública Gloria Mangas, 16 de marzo de 2002. Anexo a la comunicación de los peticionarios de 13 de julio de 2007. La representación de María Luisa fue también anunciada por la prensa nacional: Anexo 29. “Fiscalía pide procesar a Tsokos por crimen de profesor Francisco Valle en Bluefields”, </w:t>
      </w:r>
      <w:r w:rsidRPr="00AD791A">
        <w:rPr>
          <w:rFonts w:ascii="Cambria" w:hAnsi="Cambria"/>
          <w:i/>
          <w:sz w:val="16"/>
          <w:szCs w:val="16"/>
          <w:lang w:val="es-MX"/>
        </w:rPr>
        <w:t>Sucesos</w:t>
      </w:r>
      <w:r w:rsidRPr="00AD791A">
        <w:rPr>
          <w:rFonts w:ascii="Cambria" w:hAnsi="Cambria"/>
          <w:sz w:val="16"/>
          <w:szCs w:val="16"/>
          <w:lang w:val="es-MX"/>
        </w:rPr>
        <w:t xml:space="preserve">. Expediente No. 2019-2004 del recurso de casación ante la Corte Suprema de Justicia, folio 98. Anexo 30, “Capturan Prófugo, Sucesos”, </w:t>
      </w:r>
      <w:r w:rsidRPr="00AD791A">
        <w:rPr>
          <w:rFonts w:ascii="Cambria" w:hAnsi="Cambria"/>
          <w:i/>
          <w:sz w:val="16"/>
          <w:szCs w:val="16"/>
          <w:lang w:val="es-MX"/>
        </w:rPr>
        <w:t>El Nuevo Diario</w:t>
      </w:r>
      <w:r w:rsidRPr="00AD791A">
        <w:rPr>
          <w:rFonts w:ascii="Cambria" w:hAnsi="Cambria"/>
          <w:sz w:val="16"/>
          <w:szCs w:val="16"/>
          <w:lang w:val="es-MX"/>
        </w:rPr>
        <w:t xml:space="preserve">, 1 de septiembre de 2004. Expediente No. 2019-2004 del recurso de casación ante la Corte Suprema de Justicia, folio 92. Anexo a la comunicación de los peticionarios de 13 de julio de 2007. Anexo 17. “Asesino de García ya está en Bluefields”, </w:t>
      </w:r>
      <w:r w:rsidRPr="00AD791A">
        <w:rPr>
          <w:rFonts w:ascii="Cambria" w:hAnsi="Cambria"/>
          <w:i/>
          <w:sz w:val="16"/>
          <w:szCs w:val="16"/>
          <w:lang w:val="es-MX"/>
        </w:rPr>
        <w:t>El Nuevo Diario</w:t>
      </w:r>
      <w:r w:rsidRPr="00AD791A">
        <w:rPr>
          <w:rFonts w:ascii="Cambria" w:hAnsi="Cambria"/>
          <w:sz w:val="16"/>
          <w:szCs w:val="16"/>
          <w:lang w:val="es-MX"/>
        </w:rPr>
        <w:t>, 6 de septiembre de 2004. Expediente No. 2019-2004 del recurso de casación ante la Corte Suprema de Justicia, folio 95. Anexo a la comunicación de los peticionarios de 13 de julio de 2007. Anexos a la comunicación de los peticionarios de 13 de julio de 2007. CALPI</w:t>
      </w:r>
      <w:r w:rsidRPr="00AD791A">
        <w:rPr>
          <w:rFonts w:ascii="Cambria" w:hAnsi="Cambria"/>
          <w:i/>
          <w:sz w:val="16"/>
          <w:szCs w:val="16"/>
          <w:lang w:val="es-MX"/>
        </w:rPr>
        <w:t>, Cronología del caso García</w:t>
      </w:r>
      <w:r w:rsidRPr="00AD791A">
        <w:rPr>
          <w:rFonts w:ascii="Cambria" w:hAnsi="Cambria"/>
          <w:sz w:val="16"/>
          <w:szCs w:val="16"/>
          <w:lang w:val="es-MX"/>
        </w:rPr>
        <w:t xml:space="preserve">. Disponible en </w:t>
      </w:r>
      <w:hyperlink r:id="rId7" w:history="1">
        <w:r w:rsidRPr="00AD791A">
          <w:rPr>
            <w:rStyle w:val="Hyperlink"/>
            <w:rFonts w:ascii="Cambria" w:hAnsi="Cambria"/>
            <w:color w:val="auto"/>
            <w:sz w:val="16"/>
            <w:szCs w:val="16"/>
            <w:u w:val="none"/>
            <w:lang w:val="es-MX"/>
          </w:rPr>
          <w:t>http://calpi.nativeweb.org/cronos.html</w:t>
        </w:r>
      </w:hyperlink>
      <w:r w:rsidRPr="00AD791A">
        <w:rPr>
          <w:rFonts w:ascii="Cambria" w:hAnsi="Cambria"/>
          <w:sz w:val="16"/>
          <w:szCs w:val="16"/>
          <w:lang w:val="es-MX"/>
        </w:rPr>
        <w:t xml:space="preserve">. Anexo 19. “Continúan denuncias en contra de inversionista griego”, </w:t>
      </w:r>
      <w:r w:rsidRPr="00AD791A">
        <w:rPr>
          <w:rFonts w:ascii="Cambria" w:hAnsi="Cambria"/>
          <w:i/>
          <w:sz w:val="16"/>
          <w:szCs w:val="16"/>
          <w:lang w:val="es-MX"/>
        </w:rPr>
        <w:t>La Prensa</w:t>
      </w:r>
      <w:r w:rsidRPr="00AD791A">
        <w:rPr>
          <w:rFonts w:ascii="Cambria" w:hAnsi="Cambria"/>
          <w:sz w:val="16"/>
          <w:szCs w:val="16"/>
          <w:lang w:val="es-MX"/>
        </w:rPr>
        <w:t xml:space="preserve">, 21 de abril de 2001. Anexo a la comunicación de los peticionarios de 13 de julio de 2007. Información al respecto, también se encuentra en la petición inicial de 20 de junio de 2007.  </w:t>
      </w:r>
    </w:p>
  </w:footnote>
  <w:footnote w:id="48">
    <w:p w:rsidR="000A6E4C" w:rsidRPr="00AD791A" w:rsidRDefault="000A6E4C" w:rsidP="009D7F32">
      <w:pPr>
        <w:pStyle w:val="Style29"/>
        <w:spacing w:before="0" w:after="120" w:line="240" w:lineRule="auto"/>
        <w:ind w:firstLine="720"/>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57. Escrito de la Fiscal Auxiliar de Justicia, 24 de abril de 2002. Expediente judicial de primera instancia No. 110-02, folio 132. Anexo a la comunicación de los peticionarios de 13 de julio de 2007.</w:t>
      </w:r>
      <w:r w:rsidRPr="00AD791A">
        <w:rPr>
          <w:rFonts w:ascii="Cambria" w:hAnsi="Cambria" w:cs="Arial Narrow"/>
          <w:sz w:val="16"/>
          <w:szCs w:val="16"/>
          <w:lang w:val="es-MX"/>
        </w:rPr>
        <w:t xml:space="preserve"> Los peticionarios también se refieren a este hecho, y manifiestan que “</w:t>
      </w:r>
      <w:r w:rsidRPr="00AD791A">
        <w:rPr>
          <w:rFonts w:ascii="Cambria" w:hAnsi="Cambria" w:cs="Arial Narrow"/>
          <w:spacing w:val="-2"/>
          <w:sz w:val="16"/>
          <w:szCs w:val="16"/>
          <w:lang w:val="es-ES_tradnl"/>
        </w:rPr>
        <w:t>María Luisa Acosta tuvo que cambiar su domicilio, trasladándose a vivir a Chinandega, a la casa de su padre, cambiando así su entorno inmediato y viéndose obligada a dejar amigos, familiares y su trabajo para buscar zonas de mayor seguridad”. Petición inicial de 20 de junio de 2007.</w:t>
      </w:r>
    </w:p>
  </w:footnote>
  <w:footnote w:id="49">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58. Escrito de María Luisa Acosta, sin fecha. Expediente No. 298-02 del Juzgado de Distrito de lo Civil y Penal del In de Bluefields (Delito: Falso testimonio y denuncia), folios 28 y 29. Anexo a la comunicación de los peticionarios de 13 de julio de 2007.</w:t>
      </w:r>
    </w:p>
  </w:footnote>
  <w:footnote w:id="50">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57. Escrito de la Fiscal Auxiliar de Justicia, 24 de abril de 2002. </w:t>
      </w:r>
      <w:r w:rsidRPr="00AD791A">
        <w:rPr>
          <w:rFonts w:ascii="Cambria" w:hAnsi="Cambria" w:cs="Arial Narrow"/>
          <w:szCs w:val="16"/>
          <w:lang w:val="es-MX"/>
        </w:rPr>
        <w:t xml:space="preserve">Expediente judicial de primera instancia No. 110-02, folio 132. </w:t>
      </w:r>
      <w:r w:rsidRPr="00AD791A">
        <w:rPr>
          <w:rFonts w:ascii="Cambria" w:hAnsi="Cambria"/>
          <w:szCs w:val="16"/>
          <w:lang w:val="es-MX"/>
        </w:rPr>
        <w:t>Anexo a la comunicación de los peticionarios de 13 de julio de 2007.</w:t>
      </w:r>
    </w:p>
  </w:footnote>
  <w:footnote w:id="51">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43. Acta de inspección ocular (casa habitación y cuerpo del señor García Valle), Policía Nacional Investigaciones Criminales, de 8 de abril de 2002. Expediente judicial de primera instancia, folios 4 a 6. Anexo 31. Foto Tabla Ilustrativa, Policía Nacional Región Autónoma Atlántico Sur, 8 de abril de 2002.  Expediente judicial de primera instancia, folios 17 a 37. Anexos a la comunicación de los peticionarios de 13 de julio de 2007.</w:t>
      </w:r>
    </w:p>
  </w:footnote>
  <w:footnote w:id="52">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31. Foto Tabla Ilustrativa, Policía Nacional Región Autónoma Atlántico Sur, 8 de abril de 2002. Expediente judicial de primera instancia No. 110-02, folio 37. Anexo a la comunicación de los peticionarios de 13 de julio de 2007.</w:t>
      </w:r>
    </w:p>
  </w:footnote>
  <w:footnote w:id="53">
    <w:p w:rsidR="000A6E4C" w:rsidRPr="00AD791A" w:rsidRDefault="000A6E4C" w:rsidP="009D7F32">
      <w:pPr>
        <w:pStyle w:val="FootnoteText"/>
        <w:spacing w:before="0" w:after="120"/>
        <w:ind w:firstLine="720"/>
        <w:rPr>
          <w:rFonts w:ascii="Cambria" w:hAnsi="Cambria"/>
          <w:szCs w:val="16"/>
        </w:rPr>
      </w:pPr>
      <w:r w:rsidRPr="00AD791A">
        <w:rPr>
          <w:rStyle w:val="FootnoteReference"/>
          <w:rFonts w:ascii="Cambria" w:hAnsi="Cambria"/>
          <w:szCs w:val="16"/>
        </w:rPr>
        <w:footnoteRef/>
      </w:r>
      <w:r w:rsidRPr="00AD791A">
        <w:rPr>
          <w:rFonts w:ascii="Cambria" w:hAnsi="Cambria"/>
          <w:szCs w:val="16"/>
        </w:rPr>
        <w:t xml:space="preserve"> Anexo 59. Acta de inspección ocular, Juez de Distrito del Crimen y Fiscal Auxiliar de Justicia, </w:t>
      </w:r>
      <w:r w:rsidRPr="00AD791A">
        <w:rPr>
          <w:rFonts w:ascii="Cambria" w:hAnsi="Cambria"/>
          <w:szCs w:val="16"/>
          <w:lang w:val="es-MX"/>
        </w:rPr>
        <w:t>Expediente judicial de primera instancia No. 110-02, folios 84 y 85. Anexos a la comunicación de los peticionarios de 13 de julio de 2007</w:t>
      </w:r>
      <w:r w:rsidRPr="00AD791A">
        <w:rPr>
          <w:rFonts w:ascii="Cambria" w:hAnsi="Cambria"/>
          <w:szCs w:val="16"/>
        </w:rPr>
        <w:t>.</w:t>
      </w:r>
    </w:p>
  </w:footnote>
  <w:footnote w:id="54">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60. Solicitud de dictamen médico dirigido a médico forense. Policía Nacional Investigaciones Criminales, 8 de abril de 2002. Expediente judicial de primera instancia, folio 9. Anexo a la comunicación de los peticionarios de 13 de julio de 2007.</w:t>
      </w:r>
    </w:p>
  </w:footnote>
  <w:footnote w:id="55">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39. Informe de la Guardia Operativo, Bluefields, 8 de abril de 2002. Expediente judicial de primera instancia, folio 3. Anexo a la comunicación de los peticionarios de 13 de julio de 2007.</w:t>
      </w:r>
    </w:p>
  </w:footnote>
  <w:footnote w:id="56">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43. Dictamen Médico Legal, Médico Forense Suplente, Zona Espectal 11, Bluefields, 9 de abril de 2002.  Expediente judicial de primera instancia, folios 10 y 11. Anexo a la comunicación de los peticionarios de 13 de julio de 2007.</w:t>
      </w:r>
    </w:p>
  </w:footnote>
  <w:footnote w:id="5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rPr>
        <w:t xml:space="preserve"> </w:t>
      </w:r>
      <w:r w:rsidRPr="00AD791A">
        <w:rPr>
          <w:rFonts w:ascii="Cambria" w:hAnsi="Cambria"/>
          <w:szCs w:val="16"/>
          <w:lang w:val="es-MX"/>
        </w:rPr>
        <w:t xml:space="preserve">El 9 de abril de 2002, la Policía Nacional interrogó a la vecina María Esther Castrillo Chavarría, y a la trabajadora del hogar Natalia Isabel Omier Hulse. El 12 de abril de 2002, al vecino Eddy Eduardo Lira Miles. </w:t>
      </w:r>
      <w:r w:rsidRPr="00AD791A">
        <w:rPr>
          <w:rFonts w:ascii="Cambria" w:hAnsi="Cambria"/>
          <w:color w:val="7030A0"/>
          <w:szCs w:val="16"/>
          <w:lang w:val="es-MX"/>
        </w:rPr>
        <w:t xml:space="preserve">Anexo 40. Declaración de Testigo, María Esther Castrillo Chavarría (vecina), Policía Nacional Investigaciones Criminales, 9 de abril de 2002. Expediente judicial de primera instancia, folio 12. </w:t>
      </w:r>
      <w:r w:rsidRPr="00AD791A">
        <w:rPr>
          <w:rFonts w:ascii="Cambria" w:hAnsi="Cambria"/>
          <w:szCs w:val="16"/>
          <w:lang w:val="es-MX"/>
        </w:rPr>
        <w:t xml:space="preserve">Anexo 61. Declaración de Testigo, Natalia Isabel Omier Hulse (trabajadora del hogar), Policía Nacional Investigaciones Criminales, 9 de abril de 2002. Expediente judicial de primera instancia, folio 13. Anexo 37. Declaración de Testigo de Eddy Lira  Milles. Policía Nacional. Investigaciones Criminales, 12 de abril de 2002. Expediente judicial de primera instancia, folio 14. Anexos a la comunicación de los peticionarios de 13 de julio de 2007. </w:t>
      </w:r>
    </w:p>
  </w:footnote>
  <w:footnote w:id="58">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62. Solicitud de antecedentes de la Policía Nacional de Investigaciones Criminales al Ministerio de Gobernación Archivo Nacional, 10 de abril de 2002. Expediente judicial de primera instancia, folio 13. Anexo a la comunicación de los peticionarios de 13 de julio de 2007.</w:t>
      </w:r>
    </w:p>
  </w:footnote>
  <w:footnote w:id="59">
    <w:p w:rsidR="000A6E4C" w:rsidRPr="00AD791A" w:rsidRDefault="000A6E4C" w:rsidP="009D7F32">
      <w:pPr>
        <w:pStyle w:val="Style13"/>
        <w:spacing w:before="0" w:after="120" w:line="240" w:lineRule="auto"/>
        <w:ind w:firstLine="720"/>
        <w:rPr>
          <w:rFonts w:ascii="Cambria" w:hAnsi="Cambria"/>
          <w:sz w:val="16"/>
          <w:szCs w:val="16"/>
          <w:lang w:val="es-ES_tradnl"/>
        </w:rPr>
      </w:pPr>
      <w:r w:rsidRPr="00AD791A">
        <w:rPr>
          <w:rStyle w:val="FootnoteReference"/>
          <w:rFonts w:ascii="Cambria" w:hAnsi="Cambria"/>
          <w:sz w:val="16"/>
          <w:szCs w:val="16"/>
        </w:rPr>
        <w:footnoteRef/>
      </w:r>
      <w:r w:rsidRPr="00AD791A">
        <w:rPr>
          <w:rFonts w:ascii="Cambria" w:hAnsi="Cambria"/>
          <w:sz w:val="16"/>
          <w:szCs w:val="16"/>
          <w:lang w:val="es-MX"/>
        </w:rPr>
        <w:t xml:space="preserve"> En este expediente, constaban la siguientes diligencias realizadas: </w:t>
      </w:r>
      <w:r w:rsidRPr="00AD791A">
        <w:rPr>
          <w:rFonts w:ascii="Cambria" w:hAnsi="Cambria"/>
          <w:sz w:val="16"/>
          <w:szCs w:val="16"/>
          <w:lang w:val="es-ES_tradnl"/>
        </w:rPr>
        <w:t xml:space="preserve">a) Denuncia por conocimiento propio; b) Informe de guardia operativa; c) Acta de inspección ocular; d) Anexo del Acta de Inspección Ocultar; e) Anexo del Acta de Inspección ocular; f) Recibo del Ocupación No. 1; g) Recibo del Ocupación No. 2; h) Solicitud de Dictamen médico legal; i) Dictamen médico legal; j) Testifical de María Esther Castrillo Chavarría; k) Testifical de Natalia Isabel Omier Hulse; l) Testifical de Eddy Lira Miller; m) Modelo de solicitud de circulado de personas, y n) Solicitud de antecedentes. Anexo 63. Remisión de Diligencias ante el Juez de Distrito, 15 de abril de 2002. </w:t>
      </w:r>
      <w:r w:rsidRPr="00AD791A">
        <w:rPr>
          <w:rFonts w:ascii="Cambria" w:hAnsi="Cambria"/>
          <w:sz w:val="16"/>
          <w:szCs w:val="16"/>
          <w:lang w:val="es-MX"/>
        </w:rPr>
        <w:t>Expediente judicial de primera instancia, folios 1 a 40. Anexo a la comunicación de los peticionarios de 13 de julio de 2007.</w:t>
      </w:r>
    </w:p>
  </w:footnote>
  <w:footnote w:id="60">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64. Solicitud de Orden de Allanamiento y Registro Domiciliar, Policía Nacional Investigaciones Criminales, 15 de abril de 2002. Expediente judicial de primera instancia, folio 38. Anexo a la comunicación de los peticionarios de 13 de julio de 2007.</w:t>
      </w:r>
    </w:p>
  </w:footnote>
  <w:footnote w:id="61">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65. Orden de Allanamiento y Registro Domiciliar de Juez de Distrito del Crimen de Bluefields, 15 de abril de 2002. Expediente judicial de primera instancia, folio 43. Anexo a la comunicación de los peticionarios de 13 de julio de 2007. </w:t>
      </w:r>
    </w:p>
  </w:footnote>
  <w:footnote w:id="6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66. Decreto de arresto provisional contra Iván Argüello Rivera, Juzgado de Distrito del Crimen de Bluefields, 15 de abril de 2002. Expediente judicial de primera instancia, folio 46. Consta la cédula judicial en la que se notificó a María Luisa en su casa el 16 de abril de 2002. Anexo 67. Auto judicial, 16 de abril de 2002. Expediente judicial de primera instancia, folio 44. Anexos a la comunicación de los peticionarios de 13 de julio de 2007. </w:t>
      </w:r>
    </w:p>
  </w:footnote>
  <w:footnote w:id="63">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35. Declaración Ad-Inquirendum de María Luisa Acosta, 16 de abril de 2002. Expediente judicial de primera instancia No. 110-02, folio 55 y siguientes. Anexo a la comunicación de los peticionarios de 13 de julio de 2007.</w:t>
      </w:r>
    </w:p>
  </w:footnote>
  <w:footnote w:id="64">
    <w:p w:rsidR="000A6E4C" w:rsidRPr="00AD791A" w:rsidRDefault="000A6E4C" w:rsidP="00177E85">
      <w:pPr>
        <w:pStyle w:val="FootnoteText"/>
        <w:spacing w:before="0" w:after="120"/>
        <w:ind w:firstLine="720"/>
        <w:rPr>
          <w:rFonts w:ascii="Cambria" w:hAnsi="Cambria"/>
          <w:sz w:val="18"/>
          <w:szCs w:val="18"/>
          <w:lang w:val="es-MX"/>
        </w:rPr>
      </w:pPr>
      <w:r w:rsidRPr="00AD791A">
        <w:rPr>
          <w:rStyle w:val="FootnoteReference"/>
          <w:rFonts w:ascii="Cambria" w:hAnsi="Cambria"/>
          <w:sz w:val="18"/>
          <w:szCs w:val="18"/>
        </w:rPr>
        <w:footnoteRef/>
      </w:r>
      <w:r w:rsidRPr="00AD791A">
        <w:rPr>
          <w:rFonts w:ascii="Cambria" w:hAnsi="Cambria"/>
          <w:sz w:val="18"/>
          <w:szCs w:val="18"/>
          <w:lang w:val="es-MX"/>
        </w:rPr>
        <w:t xml:space="preserve"> </w:t>
      </w:r>
      <w:r w:rsidRPr="00AD791A">
        <w:rPr>
          <w:rFonts w:ascii="Cambria" w:hAnsi="Cambria"/>
          <w:szCs w:val="16"/>
          <w:lang w:val="es-MX"/>
        </w:rPr>
        <w:t>Anexo 35. Declaración Ad-Inquirendum de María Luisa Acosta, 16 de abril de 2002. Expediente judicial de primera instancia No. 110-02, folio 55 y siguientes.</w:t>
      </w:r>
      <w:r w:rsidRPr="00AD791A">
        <w:rPr>
          <w:rFonts w:ascii="Cambria" w:hAnsi="Cambria"/>
          <w:sz w:val="18"/>
          <w:szCs w:val="18"/>
          <w:lang w:val="es-MX"/>
        </w:rPr>
        <w:t xml:space="preserve"> Anexo a la comunicación de los peticionarios de 13 de julio de 2007.  Al respecto los peticionarios señalaron que Charles Presida fue el motorista que condujo el bote con motor fuera de borda, propiedad de Tsokos, que sacaría a Bluefields a los sospechosos del asesinato del señor García Valle. Petición inicial de 20 de junio de 2007.</w:t>
      </w:r>
    </w:p>
  </w:footnote>
  <w:footnote w:id="65">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41. Declaración testifical de María Esther Castrillo Chavarría (vecina), 16 de abril de 2002. Expediente judicial de primera instancia, folio 51. Anexo a la comunicación de los peticionarios de 13 de julio de 2007.  </w:t>
      </w:r>
    </w:p>
  </w:footnote>
  <w:footnote w:id="66">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rPr>
        <w:t xml:space="preserve"> </w:t>
      </w:r>
      <w:r w:rsidRPr="00AD791A">
        <w:rPr>
          <w:rFonts w:ascii="Cambria" w:hAnsi="Cambria"/>
          <w:szCs w:val="16"/>
          <w:lang w:val="es-MX"/>
        </w:rPr>
        <w:t>El 13 de abril de 2002, el juez recibió la declaración de la trabajadora del hogar Nathalia Isabel Omer Hulse. Dos días después, el 18 de abril de 2002, del vecino Eddy Eduardo Lira Miles, del carpintero Miguel Antonio López Balladares,</w:t>
      </w:r>
      <w:r w:rsidRPr="00AD791A">
        <w:rPr>
          <w:rStyle w:val="FootnoteReference"/>
          <w:rFonts w:ascii="Cambria" w:hAnsi="Cambria"/>
          <w:szCs w:val="16"/>
          <w:lang w:val="es-MX"/>
        </w:rPr>
        <w:t xml:space="preserve"> </w:t>
      </w:r>
      <w:r w:rsidRPr="00AD791A">
        <w:rPr>
          <w:rFonts w:ascii="Cambria" w:hAnsi="Cambria"/>
          <w:szCs w:val="16"/>
          <w:lang w:val="es-MX"/>
        </w:rPr>
        <w:t>y de Charles Presida. Anexo 32. Declaración testifical de Natalia Omeir Halls, 16 de abril de 2002. Expediente judicial de primera instancia, folios 53 y 54. Anexo 68. Declaración testifical de Eddy Eduardo Lira Miles, ante el Juez de Distrito del Crimen de Bluefields, 17 de abril de 2002. Expediente judicial de primera instancia, folio 64. Anexo 69. Declaración testifical de Miguel Antonio López Balladares, ante el Juez de Distrito del Crimen de Bluefields, 18 de abril de 2002. Expediente judicial de primera instancia, folios 71 y 72. Anexo 70. Declaración Indagatoria de Charles Jeremiah Presida, ante el Juez de Distrito del Crimen de Bluefields, 18 de abril de 2002. Expediente judicial de primera instancia, folios 83 y 84.  Anexos a la comunicación de los peticionarios de 13 de julio de 2007.</w:t>
      </w:r>
    </w:p>
  </w:footnote>
  <w:footnote w:id="6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70. Declaración Indagatoria de Charles Jeremiah Presida, ante el Juez de Distrito del Crimen de Bluefields, 18 de abril de 2002. Expediente judicial de primera instancia, folios 83 y 84. Anexos a la comunicación de los peticionarios de 13 de julio de 2007.</w:t>
      </w:r>
    </w:p>
  </w:footnote>
  <w:footnote w:id="68">
    <w:p w:rsidR="000A6E4C" w:rsidRPr="00AD791A" w:rsidRDefault="000A6E4C" w:rsidP="009D7F32">
      <w:pPr>
        <w:spacing w:after="120"/>
        <w:ind w:firstLine="720"/>
        <w:jc w:val="both"/>
        <w:rPr>
          <w:rFonts w:ascii="Cambria" w:hAnsi="Cambria"/>
          <w:sz w:val="16"/>
          <w:szCs w:val="16"/>
          <w:lang w:val="es-ES_tradnl"/>
        </w:rPr>
      </w:pPr>
      <w:r w:rsidRPr="00AD791A">
        <w:rPr>
          <w:rStyle w:val="FootnoteReference"/>
          <w:rFonts w:ascii="Cambria" w:hAnsi="Cambria"/>
          <w:sz w:val="16"/>
          <w:szCs w:val="16"/>
        </w:rPr>
        <w:footnoteRef/>
      </w:r>
      <w:r w:rsidRPr="00AD791A">
        <w:rPr>
          <w:rFonts w:ascii="Cambria" w:hAnsi="Cambria"/>
          <w:sz w:val="16"/>
          <w:szCs w:val="16"/>
          <w:lang w:val="es-MX"/>
        </w:rPr>
        <w:t xml:space="preserve"> Anexo 71. Remisión de diligencias, Policía Nacional de Investigaciones Criminales, 18 de abril de 2002, Expediente judicial de primera instancia, folio 78 y siguientes. Anexos a la comunicación de los peticionarios de 13 de julio de 2007. </w:t>
      </w:r>
    </w:p>
  </w:footnote>
  <w:footnote w:id="69">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 esta inspección, </w:t>
      </w:r>
      <w:r w:rsidRPr="00AD791A">
        <w:rPr>
          <w:rFonts w:ascii="Cambria" w:hAnsi="Cambria" w:cs="Garamond"/>
          <w:szCs w:val="16"/>
        </w:rPr>
        <w:t>asistieron, entre otros, la Fiscal Auxiliar de Justicia de la Región Autónoma Atlántico Sur, un oficial de la Policía Nacional, Peter Martínez y María Luisa Acosta. Anexo 59.</w:t>
      </w:r>
      <w:r w:rsidRPr="00AD791A">
        <w:rPr>
          <w:rFonts w:ascii="Cambria" w:hAnsi="Cambria"/>
          <w:szCs w:val="16"/>
          <w:lang w:val="es-MX"/>
        </w:rPr>
        <w:t xml:space="preserve"> Acta de inspección ocular del Juez de Distrito del Crimen de Bluefields y la Fiscal Auxiliar de Justicia, 18 de abril de 2002. Expediente judicial de primera instancia, folios 84 y 85. Anexos a la comunicación de los peticionarios de 13 de julio de 2007.  </w:t>
      </w:r>
    </w:p>
  </w:footnote>
  <w:footnote w:id="70">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72. Solicitud de allanamiento de la Fiscal Auxiliar de Justicia al Juzgado de Distrito del Crimen de Bluefields, 19 de abril de 2002. Expediente judicial de primera instancia, folio 88. Anexo a la comunicación de los peticionarios de 13 de julio de 2007.  </w:t>
      </w:r>
    </w:p>
  </w:footnote>
  <w:footnote w:id="71">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73. Orden de Allanamiento y Registro Domiciliar del Juzgado de Distrito del Crimen de Bluefields, 19 de abril de 2002. Expediente judicial de primera instancia, folio 116. Anexo a la comunicación de los peticionarios de 13 de julio de 2007.  </w:t>
      </w:r>
    </w:p>
  </w:footnote>
  <w:footnote w:id="7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74. Oficio del Juez de Distrito del Crimen de Bluefields, dirigido al Gerente de BANCENTRO, 19 de abril de 2002. Expediente judicial de primera instancia, folio 89. Anexo 75. Oficio del Juez de Distrito del Crimen de Bluefields, dirigido al Gerente del Banco Caley Dagnall, 19 de abril de 2002. Expediente judicial de primera instancia, folio 90. Anexo 76. Oficio del Juez de Distrito del Crimen de Bluefields, dirigido al Delegado de ENITEL, 19 de abril de 2002. Expediente judicial de primera instancia, folio 91. Anexos a la comunicación de los peticionarios de 13 de julio de 2007.</w:t>
      </w:r>
    </w:p>
  </w:footnote>
  <w:footnote w:id="73">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77. Declaración Indagatoria de Peter Tsokos, de 19 de abril de 2002. Expediente judicial de primera instancia,  folios 102 y 103. Anexo a la comunicación de los peticionarios de 13 de julio de 2007.</w:t>
      </w:r>
    </w:p>
  </w:footnote>
  <w:footnote w:id="74">
    <w:p w:rsidR="000A6E4C" w:rsidRPr="00AD791A" w:rsidRDefault="000A6E4C" w:rsidP="009D7F32">
      <w:pPr>
        <w:pStyle w:val="Style3"/>
        <w:spacing w:after="120"/>
        <w:ind w:firstLine="720"/>
        <w:rPr>
          <w:rFonts w:ascii="Cambria" w:hAnsi="Cambria"/>
          <w:sz w:val="16"/>
          <w:szCs w:val="16"/>
          <w:lang w:val="es-ES_tradnl"/>
        </w:rPr>
      </w:pPr>
      <w:r w:rsidRPr="00AD791A">
        <w:rPr>
          <w:rStyle w:val="FootnoteReference"/>
          <w:rFonts w:ascii="Cambria" w:hAnsi="Cambria"/>
          <w:sz w:val="16"/>
          <w:szCs w:val="16"/>
        </w:rPr>
        <w:footnoteRef/>
      </w:r>
      <w:r w:rsidRPr="00AD791A">
        <w:rPr>
          <w:rFonts w:ascii="Cambria" w:hAnsi="Cambria"/>
          <w:sz w:val="16"/>
          <w:szCs w:val="16"/>
          <w:lang w:val="es-MX"/>
        </w:rPr>
        <w:t xml:space="preserve"> Anexo 78. Declaración Indagatoria de Peter Martínez, 19 de abril de 2002. Expediente judicial de primera instancia,  folios 95 y 96. Anexo a la comunicación de los peticionarios de 13 de julio de 2007.</w:t>
      </w:r>
    </w:p>
  </w:footnote>
  <w:footnote w:id="75">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Anexo 79.  Auto del Juzgado de Distrito del Crimen de Bluefields, 19 de abril de 2002. Expediente judicial de primera instancia, folio 115. Anexo a la comunicación de los peticionarios de 13 de julio de 2007.</w:t>
      </w:r>
    </w:p>
  </w:footnote>
  <w:footnote w:id="76">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80. Citación a María Luisa Acosta, Juzgado de Distrito del Crimen, 24 de abril de 2002. Expediente judicial de primera instancia, fo</w:t>
      </w:r>
      <w:r w:rsidRPr="00AD791A">
        <w:rPr>
          <w:rFonts w:ascii="Cambria" w:hAnsi="Cambria" w:cs="Arial Narrow"/>
          <w:spacing w:val="-2"/>
          <w:szCs w:val="16"/>
          <w:lang w:val="es-MX"/>
        </w:rPr>
        <w:t xml:space="preserve">lio 138. Anexo </w:t>
      </w:r>
      <w:r w:rsidRPr="00AD791A">
        <w:rPr>
          <w:rFonts w:ascii="Cambria" w:hAnsi="Cambria"/>
          <w:szCs w:val="16"/>
          <w:lang w:val="es-MX"/>
        </w:rPr>
        <w:t>a la comunicación de los peticionarios de 13 de julio de 2007.</w:t>
      </w:r>
    </w:p>
  </w:footnote>
  <w:footnote w:id="7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57. Escrito de la Fiscal Auxiliar de Justicia, 24 de abril de 2002. Expediente judicial de primera instancia, fo</w:t>
      </w:r>
      <w:r w:rsidRPr="00AD791A">
        <w:rPr>
          <w:rFonts w:ascii="Cambria" w:hAnsi="Cambria" w:cs="Arial Narrow"/>
          <w:spacing w:val="-2"/>
          <w:szCs w:val="16"/>
          <w:lang w:val="es-MX"/>
        </w:rPr>
        <w:t xml:space="preserve">lio 132. Anexo </w:t>
      </w:r>
      <w:r w:rsidRPr="00AD791A">
        <w:rPr>
          <w:rFonts w:ascii="Cambria" w:hAnsi="Cambria"/>
          <w:szCs w:val="16"/>
          <w:lang w:val="es-MX"/>
        </w:rPr>
        <w:t>a la comunicación de los peticionarios de 13 de julio de 2007.</w:t>
      </w:r>
    </w:p>
  </w:footnote>
  <w:footnote w:id="78">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81. Auto del Juzgado de Distrito del Crimen de Bluefields, 25 de abril de 2002. Expediente judicial de primera instancia, fo</w:t>
      </w:r>
      <w:r w:rsidRPr="00AD791A">
        <w:rPr>
          <w:rFonts w:ascii="Cambria" w:hAnsi="Cambria" w:cs="Arial Narrow"/>
          <w:spacing w:val="-2"/>
          <w:szCs w:val="16"/>
          <w:lang w:val="es-MX"/>
        </w:rPr>
        <w:t xml:space="preserve">lio 139. Anexo </w:t>
      </w:r>
      <w:r w:rsidRPr="00AD791A">
        <w:rPr>
          <w:rFonts w:ascii="Cambria" w:hAnsi="Cambria"/>
          <w:szCs w:val="16"/>
          <w:lang w:val="es-MX"/>
        </w:rPr>
        <w:t>a la comunicación de los peticionarios de 13 de julio de 2007.</w:t>
      </w:r>
    </w:p>
  </w:footnote>
  <w:footnote w:id="79">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82. Auto del Juzgado de Distrito del Crimen de Bluefields, 26 de abril de 2002. Expediente judicial de primera instancia, fo</w:t>
      </w:r>
      <w:r w:rsidRPr="00AD791A">
        <w:rPr>
          <w:rFonts w:ascii="Cambria" w:hAnsi="Cambria" w:cs="Arial Narrow"/>
          <w:spacing w:val="-2"/>
          <w:szCs w:val="16"/>
          <w:lang w:val="es-MX"/>
        </w:rPr>
        <w:t xml:space="preserve">lio 148. Anexo </w:t>
      </w:r>
      <w:r w:rsidRPr="00AD791A">
        <w:rPr>
          <w:rFonts w:ascii="Cambria" w:hAnsi="Cambria"/>
          <w:szCs w:val="16"/>
          <w:lang w:val="es-MX"/>
        </w:rPr>
        <w:t>a la comunicación de los peticionarios de 13 de julio de 2007.</w:t>
      </w:r>
    </w:p>
  </w:footnote>
  <w:footnote w:id="80">
    <w:p w:rsidR="000A6E4C" w:rsidRPr="00AD791A" w:rsidRDefault="000A6E4C" w:rsidP="009D7F32">
      <w:pPr>
        <w:spacing w:after="120"/>
        <w:ind w:firstLine="720"/>
        <w:jc w:val="both"/>
        <w:rPr>
          <w:rFonts w:ascii="Cambria" w:hAnsi="Cambria"/>
          <w:sz w:val="16"/>
          <w:szCs w:val="16"/>
          <w:lang w:val="es-ES_tradnl"/>
        </w:rPr>
      </w:pPr>
      <w:r w:rsidRPr="00AD791A">
        <w:rPr>
          <w:rStyle w:val="FootnoteReference"/>
          <w:rFonts w:ascii="Cambria" w:hAnsi="Cambria"/>
          <w:sz w:val="16"/>
          <w:szCs w:val="16"/>
        </w:rPr>
        <w:footnoteRef/>
      </w:r>
      <w:r w:rsidRPr="00AD791A">
        <w:rPr>
          <w:rFonts w:ascii="Cambria" w:hAnsi="Cambria"/>
          <w:sz w:val="16"/>
          <w:szCs w:val="16"/>
          <w:lang w:val="es-MX"/>
        </w:rPr>
        <w:t xml:space="preserve"> Anexo 83. Escrito del representante legal de la señora Acosta, 29 de abril de 2002, Expediente judicial de primera instancia, fo</w:t>
      </w:r>
      <w:r w:rsidRPr="00AD791A">
        <w:rPr>
          <w:rFonts w:ascii="Cambria" w:hAnsi="Cambria" w:cs="Arial Narrow"/>
          <w:spacing w:val="-2"/>
          <w:sz w:val="16"/>
          <w:szCs w:val="16"/>
          <w:lang w:val="es-MX"/>
        </w:rPr>
        <w:t xml:space="preserve">lios </w:t>
      </w:r>
      <w:r w:rsidRPr="00AD791A">
        <w:rPr>
          <w:rFonts w:ascii="Cambria" w:hAnsi="Cambria" w:cs="Arial Narrow"/>
          <w:sz w:val="16"/>
          <w:szCs w:val="16"/>
          <w:lang w:val="es-ES_tradnl"/>
        </w:rPr>
        <w:t>151 a 154</w:t>
      </w:r>
      <w:r w:rsidRPr="00AD791A">
        <w:rPr>
          <w:rFonts w:ascii="Cambria" w:hAnsi="Cambria" w:cs="Arial Narrow"/>
          <w:spacing w:val="-2"/>
          <w:sz w:val="16"/>
          <w:szCs w:val="16"/>
          <w:lang w:val="es-MX"/>
        </w:rPr>
        <w:t xml:space="preserve">. Anexo </w:t>
      </w:r>
      <w:r w:rsidRPr="00AD791A">
        <w:rPr>
          <w:rFonts w:ascii="Cambria" w:hAnsi="Cambria"/>
          <w:sz w:val="16"/>
          <w:szCs w:val="16"/>
          <w:lang w:val="es-MX"/>
        </w:rPr>
        <w:t xml:space="preserve">a la comunicación de los peticionarios de 13 de julio de 2007. </w:t>
      </w:r>
    </w:p>
  </w:footnote>
  <w:footnote w:id="81">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84. Auto del Juzgado de Distrito del Crimen de Bluefields, 2 de mayo de 2002. Expediente judicial de primera instancia, fo</w:t>
      </w:r>
      <w:r w:rsidRPr="00AD791A">
        <w:rPr>
          <w:rFonts w:ascii="Cambria" w:hAnsi="Cambria" w:cs="Arial Narrow"/>
          <w:spacing w:val="-2"/>
          <w:szCs w:val="16"/>
          <w:lang w:val="es-MX"/>
        </w:rPr>
        <w:t xml:space="preserve">lio 156. Anexo </w:t>
      </w:r>
      <w:r w:rsidRPr="00AD791A">
        <w:rPr>
          <w:rFonts w:ascii="Cambria" w:hAnsi="Cambria"/>
          <w:szCs w:val="16"/>
          <w:lang w:val="es-MX"/>
        </w:rPr>
        <w:t>a la comunicación de los peticionarios de 13 de julio de 2007.</w:t>
      </w:r>
    </w:p>
  </w:footnote>
  <w:footnote w:id="8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84. Auto del Juzgado de Distrito del Crimen de Bluefields, 2 de mayo de 2002. Expediente judicial de primera instancia, fo</w:t>
      </w:r>
      <w:r w:rsidRPr="00AD791A">
        <w:rPr>
          <w:rFonts w:ascii="Cambria" w:hAnsi="Cambria" w:cs="Arial Narrow"/>
          <w:spacing w:val="-2"/>
          <w:szCs w:val="16"/>
          <w:lang w:val="es-MX"/>
        </w:rPr>
        <w:t xml:space="preserve">lio 156. Anexo </w:t>
      </w:r>
      <w:r w:rsidRPr="00AD791A">
        <w:rPr>
          <w:rFonts w:ascii="Cambria" w:hAnsi="Cambria"/>
          <w:szCs w:val="16"/>
          <w:lang w:val="es-MX"/>
        </w:rPr>
        <w:t>a la comunicación de los peticionarios de 13 de julio de 2007.</w:t>
      </w:r>
    </w:p>
  </w:footnote>
  <w:footnote w:id="83">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85. Orden de Captura, Juzgado de Distrito del Crimen de Bluefields, 3 de mayo de 2002. Expediente judicial de primera instancia, fo</w:t>
      </w:r>
      <w:r w:rsidRPr="00AD791A">
        <w:rPr>
          <w:rFonts w:ascii="Cambria" w:hAnsi="Cambria" w:cs="Arial Narrow"/>
          <w:spacing w:val="-2"/>
          <w:szCs w:val="16"/>
          <w:lang w:val="es-MX"/>
        </w:rPr>
        <w:t xml:space="preserve">lio 6. Anexo </w:t>
      </w:r>
      <w:r w:rsidRPr="00AD791A">
        <w:rPr>
          <w:rFonts w:ascii="Cambria" w:hAnsi="Cambria"/>
          <w:szCs w:val="16"/>
          <w:lang w:val="es-MX"/>
        </w:rPr>
        <w:t>a la comunicación de los peticionarios de 13 de julio de 2007.</w:t>
      </w:r>
    </w:p>
  </w:footnote>
  <w:footnote w:id="84">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86. Recurso de apelación interpuesto por el representante legal de la señora Acosta, 3 de mayo de 2002. Expediente judicial de primera instancia, fo</w:t>
      </w:r>
      <w:r w:rsidRPr="00AD791A">
        <w:rPr>
          <w:rFonts w:ascii="Cambria" w:hAnsi="Cambria" w:cs="Arial Narrow"/>
          <w:spacing w:val="-2"/>
          <w:szCs w:val="16"/>
          <w:lang w:val="es-MX"/>
        </w:rPr>
        <w:t xml:space="preserve">lio 159. Anexo </w:t>
      </w:r>
      <w:r w:rsidRPr="00AD791A">
        <w:rPr>
          <w:rFonts w:ascii="Cambria" w:hAnsi="Cambria"/>
          <w:szCs w:val="16"/>
          <w:lang w:val="es-MX"/>
        </w:rPr>
        <w:t>a la comunicación de los peticionarios de 13 de julio de 2007.</w:t>
      </w:r>
    </w:p>
  </w:footnote>
  <w:footnote w:id="85">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87. Auto del Juzgado de Distrito del Crimen de Bluefields, 6 de mayo de 2002. Expediente judicial de primera instancia, fo</w:t>
      </w:r>
      <w:r w:rsidRPr="00AD791A">
        <w:rPr>
          <w:rFonts w:ascii="Cambria" w:hAnsi="Cambria" w:cs="Arial Narrow"/>
          <w:spacing w:val="-2"/>
          <w:szCs w:val="16"/>
          <w:lang w:val="es-MX"/>
        </w:rPr>
        <w:t xml:space="preserve">lio 162. Anexo </w:t>
      </w:r>
      <w:r w:rsidRPr="00AD791A">
        <w:rPr>
          <w:rFonts w:ascii="Cambria" w:hAnsi="Cambria"/>
          <w:szCs w:val="16"/>
          <w:lang w:val="es-MX"/>
        </w:rPr>
        <w:t>a la comunicación de los peticionarios de 13 de julio de 2007.</w:t>
      </w:r>
    </w:p>
  </w:footnote>
  <w:footnote w:id="86">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88. Acusación e Incidente de nulidad perpetua presentado por el representante legal de la señora Acosta al Juez de Distrito Civil de Bluefields y de Distrito del Crimen, 10 de mayo de 2002. Expediente judicial de primera instancia, folios 175 a 179.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8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89. Auto del Juzgado de Distrito del Crimen de Bluefields, 13 de mayo de 2002. Expediente judicial de primera instancia, folio 181.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88">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90. Escrito del Banco Caley Dagnall dirigido al Juez del Distrito del Crimen Bluefields, 22 de abril de 2002. Expediente judicial de primera instancia, folio 128. Anexo 91. Escrito del BANCENTRO dirigido al Juez del Distrito del Crimen Bluefields, 9 de mayo de 2002. Expediente judicial de primera instancia, folio 128. Anexos a la comunicación de los peticionarios de 13 de julio de 2007.</w:t>
      </w:r>
    </w:p>
  </w:footnote>
  <w:footnote w:id="89">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92. Informe de Registro  de la Policía Nacional de Investigaciones Criminales, 23 de abril de 2002, folio 123.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90">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93. </w:t>
      </w:r>
      <w:r w:rsidRPr="00AD791A">
        <w:rPr>
          <w:rFonts w:ascii="Cambria" w:hAnsi="Cambria" w:cs="Arial Narrow"/>
          <w:spacing w:val="-2"/>
          <w:szCs w:val="16"/>
          <w:lang w:val="es-MX"/>
        </w:rPr>
        <w:t xml:space="preserve">Laboratorio de Criminalística, Policía Nacional, 15 de abril d 2002.  </w:t>
      </w:r>
      <w:r w:rsidRPr="00AD791A">
        <w:rPr>
          <w:rFonts w:ascii="Cambria" w:hAnsi="Cambria"/>
          <w:szCs w:val="16"/>
          <w:lang w:val="es-MX"/>
        </w:rPr>
        <w:t>Expediente judicial de primera instancia, fo</w:t>
      </w:r>
      <w:r w:rsidRPr="00AD791A">
        <w:rPr>
          <w:rFonts w:ascii="Cambria" w:hAnsi="Cambria" w:cs="Arial Narrow"/>
          <w:spacing w:val="-2"/>
          <w:szCs w:val="16"/>
          <w:lang w:val="es-MX"/>
        </w:rPr>
        <w:t xml:space="preserve">lios 143 y 144. Anexo </w:t>
      </w:r>
      <w:r w:rsidRPr="00AD791A">
        <w:rPr>
          <w:rFonts w:ascii="Cambria" w:hAnsi="Cambria"/>
          <w:szCs w:val="16"/>
          <w:lang w:val="es-MX"/>
        </w:rPr>
        <w:t>a la comunicación de los peticionarios de 13 de julio de 2007.</w:t>
      </w:r>
    </w:p>
  </w:footnote>
  <w:footnote w:id="91">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94. Envío de diligencias practicadas (ampliación informe pericial) al Juzgado de Distrito, Policía Nacional Investigaciones Criminales. Expediente judicial de primera instancia, folios 165 a 167.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9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94. Envío de diligencias practicadas (ampliación informe pericial) al Juzgado de Distrito, Policía Nacional Investigaciones Criminales. Expediente judicial de primera instancia, folios 165 a 167.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93">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95. Acusación e Incidente de nulidad perpetua presentado por el representante legal de la señora Acosta, ante el Juez de Distrito Civil de Bluefields y de Distrito del Crimen, 10 de mayo de 2002. Expediente judicial de primera instancia, </w:t>
      </w:r>
      <w:r w:rsidRPr="00AD791A">
        <w:rPr>
          <w:rFonts w:ascii="Cambria" w:hAnsi="Cambria" w:cs="Arial Narrow"/>
          <w:spacing w:val="-2"/>
          <w:szCs w:val="16"/>
        </w:rPr>
        <w:t xml:space="preserve">folios 175 a 179.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94">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89. Auto del Juzgado de Distrito del Crimen de Bluefields, 13 de mayo de 2002. Expediente judicial de primera instancia, folio 181.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95">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96. Resolución de sobreseimiento definitivo, Juzgado de Distrito del Crimen de Bluefields, 13 de mayo de 2002. Expediente judicial de primera instancia, folios 184 a 189.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96">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96. Resolución de sobreseimiento definitivo, Juzgado de Distrito del Crimen de Bluefields, 13 de mayo de 2002. Expediente judicial de primera instancia, folios 184 a 189.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9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96. Resolución de sobreseimiento definitivo, Juzgado de Distrito del Crimen de Bluefields, 13 de mayo de 2002. Expediente judicial de primera instancia, folios 184 a 189</w:t>
      </w:r>
      <w:r w:rsidRPr="00AD791A">
        <w:rPr>
          <w:rFonts w:ascii="Cambria" w:hAnsi="Cambria" w:cs="Arial Narrow"/>
          <w:spacing w:val="-2"/>
          <w:szCs w:val="16"/>
        </w:rPr>
        <w:t xml:space="preserve">.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98">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97. Recurso de apelación al sobreseimiento definitivo de 13 de mayo de 2002, presentado por el </w:t>
      </w:r>
      <w:r w:rsidRPr="00AD791A">
        <w:rPr>
          <w:rFonts w:ascii="Cambria" w:hAnsi="Cambria"/>
          <w:szCs w:val="16"/>
          <w:lang w:val="es-ES"/>
        </w:rPr>
        <w:t xml:space="preserve">representante legal de la señora Acosta ante el Juzgado de de Distrito del Crimen de Bluefields, 15 de mayo de 2002. </w:t>
      </w:r>
      <w:r w:rsidRPr="00AD791A">
        <w:rPr>
          <w:rFonts w:ascii="Cambria" w:hAnsi="Cambria"/>
          <w:szCs w:val="16"/>
          <w:lang w:val="es-MX"/>
        </w:rPr>
        <w:t xml:space="preserve">Expediente judicial de primera instancia, folio 195.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r w:rsidRPr="00AD791A">
        <w:rPr>
          <w:rFonts w:ascii="Cambria" w:hAnsi="Cambria"/>
          <w:szCs w:val="16"/>
          <w:lang w:val="es-ES"/>
        </w:rPr>
        <w:t xml:space="preserve"> </w:t>
      </w:r>
    </w:p>
  </w:footnote>
  <w:footnote w:id="99">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98. Auto del </w:t>
      </w:r>
      <w:r w:rsidRPr="00AD791A">
        <w:rPr>
          <w:rFonts w:ascii="Cambria" w:hAnsi="Cambria"/>
          <w:szCs w:val="16"/>
          <w:lang w:val="es-ES"/>
        </w:rPr>
        <w:t xml:space="preserve">Juzgado de de Distrito del Crimen de Bluefields, 17 de mayo de 2002. </w:t>
      </w:r>
      <w:r w:rsidRPr="00AD791A">
        <w:rPr>
          <w:rFonts w:ascii="Cambria" w:hAnsi="Cambria"/>
          <w:szCs w:val="16"/>
          <w:lang w:val="es-MX"/>
        </w:rPr>
        <w:t xml:space="preserve">Expediente judicial de primera instancia, folio 196.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r w:rsidRPr="00AD791A">
        <w:rPr>
          <w:rFonts w:ascii="Cambria" w:hAnsi="Cambria"/>
          <w:szCs w:val="16"/>
          <w:lang w:val="es-ES"/>
        </w:rPr>
        <w:t xml:space="preserve"> </w:t>
      </w:r>
    </w:p>
  </w:footnote>
  <w:footnote w:id="100">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98. Auto del </w:t>
      </w:r>
      <w:r w:rsidRPr="00AD791A">
        <w:rPr>
          <w:rFonts w:ascii="Cambria" w:hAnsi="Cambria"/>
          <w:szCs w:val="16"/>
          <w:lang w:val="es-ES"/>
        </w:rPr>
        <w:t xml:space="preserve">Juzgado de de Distrito del Crimen de Bluefields, 17 de mayo de 2002. </w:t>
      </w:r>
      <w:r w:rsidRPr="00AD791A">
        <w:rPr>
          <w:rFonts w:ascii="Cambria" w:hAnsi="Cambria"/>
          <w:szCs w:val="16"/>
          <w:lang w:val="es-MX"/>
        </w:rPr>
        <w:t xml:space="preserve">Expediente judicial de primera instancia, folio 196.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r w:rsidRPr="00AD791A">
        <w:rPr>
          <w:rFonts w:ascii="Cambria" w:hAnsi="Cambria"/>
          <w:szCs w:val="16"/>
          <w:lang w:val="es-ES"/>
        </w:rPr>
        <w:t xml:space="preserve"> </w:t>
      </w:r>
    </w:p>
  </w:footnote>
  <w:footnote w:id="101">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99. </w:t>
      </w:r>
      <w:r w:rsidRPr="00AD791A">
        <w:rPr>
          <w:rFonts w:ascii="Cambria" w:hAnsi="Cambria"/>
          <w:szCs w:val="16"/>
          <w:lang w:val="es-ES"/>
        </w:rPr>
        <w:t xml:space="preserve">Recurso de reforma interpuesto por el representante de la señora Acosta ante el Juzgado de Distrito del Crimen de Bluefields, 22 de mayo de 2002. </w:t>
      </w:r>
      <w:r w:rsidRPr="00AD791A">
        <w:rPr>
          <w:rFonts w:ascii="Cambria" w:hAnsi="Cambria"/>
          <w:szCs w:val="16"/>
          <w:lang w:val="es-MX"/>
        </w:rPr>
        <w:t xml:space="preserve">Expediente judicial de primera instancia, folio 202.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r w:rsidRPr="00AD791A">
        <w:rPr>
          <w:rFonts w:ascii="Cambria" w:hAnsi="Cambria"/>
          <w:szCs w:val="16"/>
          <w:lang w:val="es-ES"/>
        </w:rPr>
        <w:t xml:space="preserve"> </w:t>
      </w:r>
    </w:p>
  </w:footnote>
  <w:footnote w:id="10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99. </w:t>
      </w:r>
      <w:r w:rsidRPr="00AD791A">
        <w:rPr>
          <w:rFonts w:ascii="Cambria" w:hAnsi="Cambria"/>
          <w:szCs w:val="16"/>
          <w:lang w:val="es-ES"/>
        </w:rPr>
        <w:t xml:space="preserve">Recurso de reforma interpuesto por el representante de la señora Acosta ante el Juzgado de Distrito del Crimen de Bluefields, 22 de mayo de 2002. </w:t>
      </w:r>
      <w:r w:rsidRPr="00AD791A">
        <w:rPr>
          <w:rFonts w:ascii="Cambria" w:hAnsi="Cambria"/>
          <w:szCs w:val="16"/>
          <w:lang w:val="es-MX"/>
        </w:rPr>
        <w:t xml:space="preserve">Expediente judicial de primera instancia, folio 202.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r w:rsidRPr="00AD791A">
        <w:rPr>
          <w:rFonts w:ascii="Cambria" w:hAnsi="Cambria"/>
          <w:szCs w:val="16"/>
          <w:lang w:val="es-ES"/>
        </w:rPr>
        <w:t xml:space="preserve"> </w:t>
      </w:r>
    </w:p>
  </w:footnote>
  <w:footnote w:id="103">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99. </w:t>
      </w:r>
      <w:r w:rsidRPr="00AD791A">
        <w:rPr>
          <w:rFonts w:ascii="Cambria" w:hAnsi="Cambria"/>
          <w:szCs w:val="16"/>
          <w:lang w:val="es-ES"/>
        </w:rPr>
        <w:t xml:space="preserve">Recurso de reforma interpuesto por el representante de la señora Acosta ante el Juzgado de Distrito del Crimen de Bluefields, 22 de mayo de 2002. </w:t>
      </w:r>
      <w:r w:rsidRPr="00AD791A">
        <w:rPr>
          <w:rFonts w:ascii="Cambria" w:hAnsi="Cambria"/>
          <w:szCs w:val="16"/>
          <w:lang w:val="es-MX"/>
        </w:rPr>
        <w:t xml:space="preserve">Expediente judicial de primera instancia, folio 202.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r w:rsidRPr="00AD791A">
        <w:rPr>
          <w:rFonts w:ascii="Cambria" w:hAnsi="Cambria"/>
          <w:szCs w:val="16"/>
          <w:lang w:val="es-ES"/>
        </w:rPr>
        <w:t xml:space="preserve"> </w:t>
      </w:r>
    </w:p>
  </w:footnote>
  <w:footnote w:id="104">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De acuerdo con la Fiscal Auxiliar, “</w:t>
      </w:r>
      <w:r w:rsidRPr="00AD791A">
        <w:rPr>
          <w:rFonts w:ascii="Cambria" w:hAnsi="Cambria" w:cs="Arial"/>
          <w:szCs w:val="16"/>
          <w:lang w:val="es-MX"/>
        </w:rPr>
        <w:t xml:space="preserve">consta por secretaria a reverso del folio 202 la presentación de dinero por parte del </w:t>
      </w:r>
      <w:hyperlink r:id="rId8" w:anchor="Corchetes_.5B_.5D" w:history="1">
        <w:r w:rsidRPr="00AD791A">
          <w:rPr>
            <w:rFonts w:ascii="Cambria" w:hAnsi="Cambria" w:cs="Arial"/>
            <w:szCs w:val="16"/>
            <w:lang w:val="es-MX"/>
          </w:rPr>
          <w:t>[representante de la señora Acosta]</w:t>
        </w:r>
      </w:hyperlink>
      <w:r w:rsidRPr="00AD791A">
        <w:rPr>
          <w:rFonts w:ascii="Cambria" w:hAnsi="Cambria" w:cs="Arial"/>
          <w:szCs w:val="16"/>
          <w:lang w:val="es-MX"/>
        </w:rPr>
        <w:t xml:space="preserve"> para gastos de fotocopia, los cuales no le fueron recibidos”. Anexo 100. </w:t>
      </w:r>
      <w:r w:rsidRPr="00AD791A">
        <w:rPr>
          <w:rFonts w:ascii="Cambria" w:hAnsi="Cambria"/>
          <w:szCs w:val="16"/>
          <w:lang w:val="es-MX"/>
        </w:rPr>
        <w:t xml:space="preserve">Escrito de segundas vistas de la Fiscal Auxiliar ante el Juzgado de Distrito de lo Civil y Penal del In. Por Ministerio de La Ley de Bluefields, 24 de diciembre de 2002.  Expediente judicial de primera instancia, folios 268 a 270.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05">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101. Resolución del </w:t>
      </w:r>
      <w:r w:rsidRPr="00AD791A">
        <w:rPr>
          <w:rFonts w:ascii="Cambria" w:hAnsi="Cambria"/>
          <w:szCs w:val="16"/>
          <w:lang w:val="es-ES"/>
        </w:rPr>
        <w:t xml:space="preserve">Juzgado de Distrito del Crimen de Bluefields, 31 de mayo de 2002, </w:t>
      </w:r>
      <w:r w:rsidRPr="00AD791A">
        <w:rPr>
          <w:rFonts w:ascii="Cambria" w:hAnsi="Cambria"/>
          <w:szCs w:val="16"/>
          <w:lang w:val="es-MX"/>
        </w:rPr>
        <w:t xml:space="preserve">Expediente judicial de primera instancia, folio 211.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06">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102. Resolución del </w:t>
      </w:r>
      <w:r w:rsidRPr="00AD791A">
        <w:rPr>
          <w:rFonts w:ascii="Cambria" w:hAnsi="Cambria"/>
          <w:szCs w:val="16"/>
          <w:lang w:val="es-ES"/>
        </w:rPr>
        <w:t xml:space="preserve">Juzgado de Distrito del Crimen de Bluefields, 3 de junio de 2002. </w:t>
      </w:r>
      <w:r w:rsidRPr="00AD791A">
        <w:rPr>
          <w:rFonts w:ascii="Cambria" w:hAnsi="Cambria"/>
          <w:szCs w:val="16"/>
          <w:lang w:val="es-MX"/>
        </w:rPr>
        <w:t xml:space="preserve">Expediente judicial de primera instancia, folio 214.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0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103. Edicto del Juzgado de Distrito del Crimen de Bluefields de 27 de mayo de 2002, folio 206.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08">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104. Informe pericial balístico del Laboratorio de Criminalística, Policía Nacional, 20 de mayo de 2002. Expediente judicial de primera instancia, folio 209.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 Este informe fue realizado por solicitud hecha por el Sub-Comisionado Oswaldo Pérez con la remisión del proyectil investigado, el día 17 de mayo de 2002.</w:t>
      </w:r>
    </w:p>
  </w:footnote>
  <w:footnote w:id="109">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En este escrito </w:t>
      </w:r>
      <w:r w:rsidRPr="00AD791A">
        <w:rPr>
          <w:rFonts w:ascii="Cambria" w:hAnsi="Cambria" w:cs="Garamond"/>
          <w:szCs w:val="16"/>
        </w:rPr>
        <w:t xml:space="preserve">el representante legal de la señora Acosta adicionó información al incidente de nulidad presentado el 10 de junio de 2002. Anexo 105. </w:t>
      </w:r>
      <w:r w:rsidRPr="00AD791A">
        <w:rPr>
          <w:rFonts w:ascii="Cambria" w:hAnsi="Cambria"/>
          <w:szCs w:val="16"/>
          <w:lang w:val="es-MX"/>
        </w:rPr>
        <w:t xml:space="preserve">Adición al incidente de nulidad, presentado por el representante legal de la señora Acosta, de 22 de julio de 2002. Expediente judicial de primera instancia, folios 225 y 226.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10">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106. Incidente de nulidad perpetua presentado por el representante legal de la señora Acosta, ante el Juez de Distrito de lo Criminal de Bluefields, 10 de junio de 2002. Expediente judicial de primera instancia, folios 215 y 216. </w:t>
      </w:r>
      <w:r w:rsidRPr="00AD791A">
        <w:rPr>
          <w:rFonts w:ascii="Cambria" w:hAnsi="Cambria" w:cs="Garamond"/>
          <w:szCs w:val="16"/>
        </w:rPr>
        <w:t xml:space="preserve">Anexo 105. </w:t>
      </w:r>
      <w:r w:rsidRPr="00AD791A">
        <w:rPr>
          <w:rFonts w:ascii="Cambria" w:hAnsi="Cambria"/>
          <w:szCs w:val="16"/>
          <w:lang w:val="es-MX"/>
        </w:rPr>
        <w:t xml:space="preserve">Adición al incidente de nulidad, presentado por el representante legal de la señora Acosta, de 22 de julio de 2002. Expediente judicial de primera instancia, folios 225 y 226. </w:t>
      </w:r>
      <w:r w:rsidRPr="00AD791A">
        <w:rPr>
          <w:rFonts w:ascii="Cambria" w:hAnsi="Cambria" w:cs="Arial Narrow"/>
          <w:spacing w:val="-2"/>
          <w:szCs w:val="16"/>
          <w:lang w:val="es-MX"/>
        </w:rPr>
        <w:t xml:space="preserve">Anexos </w:t>
      </w:r>
      <w:r w:rsidRPr="00AD791A">
        <w:rPr>
          <w:rFonts w:ascii="Cambria" w:hAnsi="Cambria"/>
          <w:szCs w:val="16"/>
          <w:lang w:val="es-MX"/>
        </w:rPr>
        <w:t xml:space="preserve">a la comunicación de los peticionarios de 13 de julio de 2007.   </w:t>
      </w:r>
    </w:p>
  </w:footnote>
  <w:footnote w:id="111">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107. Auto del Juzgado de Distrito, 5 de agosto de 2002. Expediente judicial de primera instancia, folio 228.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1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108. Auto del Juzgado de Distrito del Crimen de Bluefields, 5 de agosto de 2002. Expediente judicial de primera instancia, folio 230.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r w:rsidRPr="00AD791A">
        <w:rPr>
          <w:rFonts w:ascii="Cambria" w:hAnsi="Cambria" w:cs="Garamond"/>
          <w:szCs w:val="16"/>
        </w:rPr>
        <w:t xml:space="preserve"> </w:t>
      </w:r>
    </w:p>
  </w:footnote>
  <w:footnote w:id="113">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109. Informe sobre ampliación de las investigaciones de asesinato E.I.C. No. 00502-2002, Policía Nacional Región Autónoma Atlántico Sur de 8 de octubre de 2002. Expediente judicial de primera instancia, folios 239 y 240.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14">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109. Informe sobre ampliación de las investigaciones de asesinato E.I.C. No. 00502-2002, Policía Nacional Región Autónoma Atlántico Sur de 8 de octubre de 2002. Expediente judicial de primera instancia, folios 239 y 240.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15">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110. Escrito de la Empresa de Seguridad Master Security enviado al Director de Inteligencia Policial, 3 de septiembre de 2002. Expediente judicial de primera instancia, folio 242.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16">
    <w:p w:rsidR="000A6E4C" w:rsidRPr="00AD791A" w:rsidRDefault="000A6E4C" w:rsidP="009D7F32">
      <w:pPr>
        <w:pStyle w:val="Style13"/>
        <w:spacing w:before="0" w:after="120" w:line="240" w:lineRule="auto"/>
        <w:ind w:firstLine="720"/>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111. Informe pericial balístico (Registro No. BT-0716-2496-2002), Policía Nacional, Ministerio de Gobernación, Laboratorio de Criminalística,  3 de septiembre de 2002. Expediente judicial de primera instancia, folios 247 a 251. </w:t>
      </w:r>
      <w:r w:rsidRPr="00AD791A">
        <w:rPr>
          <w:rFonts w:ascii="Cambria" w:hAnsi="Cambria" w:cs="Arial Narrow"/>
          <w:spacing w:val="-2"/>
          <w:sz w:val="16"/>
          <w:szCs w:val="16"/>
          <w:lang w:val="es-MX"/>
        </w:rPr>
        <w:t xml:space="preserve">Anexo </w:t>
      </w:r>
      <w:r w:rsidRPr="00AD791A">
        <w:rPr>
          <w:rFonts w:ascii="Cambria" w:hAnsi="Cambria"/>
          <w:sz w:val="16"/>
          <w:szCs w:val="16"/>
          <w:lang w:val="es-MX"/>
        </w:rPr>
        <w:t>a la comunicación de los peticionarios de 13 de julio de 2007.</w:t>
      </w:r>
    </w:p>
  </w:footnote>
  <w:footnote w:id="11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112. Auto del Juzgado de Distrito, 8 de agosto de 2002. Expediente judicial de primera instancia, folio 230.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18">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113. “Recurso Extraordinario de Hecho” presentado por el representante legal de la señora Acosta, ante el Juzgado Penal de Distrito de Bluefields, 29 de agosto de 2002. Expediente del recurso de apelación por vía de hecho del Tribunal de Apelaciones de la Circunscripción Atlántico Sur, folios 1 y 2.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19">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114. Auto del Tribunal de Apelaciones de la Circunscripción Atlántico Sur, 23 de septiembre de 2002. Expediente del recurso de apelación por vía de hecho del Tribunal de Apelaciones de la Circunscripción Atlántico Sur, folio 23.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20">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115. Recurso de apelación por la vía de hecho presentado por el representante legal de la señora Acosta,  10 de octubre de 2002. Expediente del recurso de apelación por vía de hecho del Tribunal de Apelaciones de la Circunscripción Atlántico Sur, folio 24.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21">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116. Auto del Tribunal de Apelaciones de la Circunscripción Atlántico Sur, 11 de octubre de 2002, Expediente del recurso de apelación por vía de hecho del Tribunal de Apelaciones de la Circunscripción Atlántico Sur, folio 25.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2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117. Edicto del Juzgado de Distrito, de 28 de octubre de 2002. Expediente judicial de primera instancia, folio 259.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23">
    <w:p w:rsidR="000A6E4C" w:rsidRPr="00AD791A" w:rsidRDefault="000A6E4C" w:rsidP="009D7F32">
      <w:pPr>
        <w:pStyle w:val="FootnoteText"/>
        <w:spacing w:before="0" w:after="120"/>
        <w:ind w:firstLine="720"/>
        <w:rPr>
          <w:rFonts w:ascii="Cambria" w:hAnsi="Cambria"/>
          <w:szCs w:val="16"/>
        </w:rPr>
      </w:pPr>
      <w:r w:rsidRPr="00AD791A">
        <w:rPr>
          <w:rStyle w:val="FootnoteReference"/>
          <w:rFonts w:ascii="Cambria" w:hAnsi="Cambria"/>
          <w:szCs w:val="16"/>
        </w:rPr>
        <w:footnoteRef/>
      </w:r>
      <w:r w:rsidRPr="00AD791A">
        <w:rPr>
          <w:rFonts w:ascii="Cambria" w:hAnsi="Cambria"/>
          <w:szCs w:val="16"/>
          <w:lang w:val="es-MX"/>
        </w:rPr>
        <w:t xml:space="preserve"> En vista de que el 24 de diciembre de 2002 entró en vigencia el nuevo Código Procesal Penal, desde el mes de noviembre de 2002, el </w:t>
      </w:r>
      <w:r w:rsidRPr="00AD791A">
        <w:rPr>
          <w:rFonts w:ascii="Cambria" w:hAnsi="Cambria"/>
          <w:szCs w:val="16"/>
        </w:rPr>
        <w:t xml:space="preserve">caso del asesinato del señor García Valle, bajo el procedimiento del </w:t>
      </w:r>
      <w:r w:rsidRPr="00AD791A">
        <w:rPr>
          <w:rFonts w:ascii="Cambria" w:hAnsi="Cambria" w:cs="Garamond"/>
          <w:szCs w:val="16"/>
        </w:rPr>
        <w:t xml:space="preserve">Código de Instrucción Criminal (In), pasó a ser de conocimiento del Juzgado Civil del Distrito de </w:t>
      </w:r>
      <w:r w:rsidRPr="00AD791A">
        <w:rPr>
          <w:rFonts w:ascii="Cambria" w:hAnsi="Cambria" w:cs="Tahoma"/>
          <w:spacing w:val="-2"/>
          <w:szCs w:val="16"/>
        </w:rPr>
        <w:t xml:space="preserve">Bluefields  </w:t>
      </w:r>
      <w:r w:rsidRPr="00AD791A">
        <w:rPr>
          <w:rFonts w:ascii="Cambria" w:hAnsi="Cambria" w:cs="Arial Narrow"/>
          <w:iCs/>
          <w:spacing w:val="16"/>
          <w:szCs w:val="16"/>
        </w:rPr>
        <w:t>y</w:t>
      </w:r>
      <w:r w:rsidRPr="00AD791A">
        <w:rPr>
          <w:rFonts w:ascii="Cambria" w:hAnsi="Cambria" w:cs="Arial Narrow"/>
          <w:i/>
          <w:iCs/>
          <w:spacing w:val="16"/>
          <w:szCs w:val="16"/>
        </w:rPr>
        <w:t xml:space="preserve"> </w:t>
      </w:r>
      <w:r w:rsidRPr="00AD791A">
        <w:rPr>
          <w:rFonts w:ascii="Cambria" w:hAnsi="Cambria" w:cs="Tahoma"/>
          <w:spacing w:val="-2"/>
          <w:szCs w:val="16"/>
        </w:rPr>
        <w:t xml:space="preserve">del </w:t>
      </w:r>
      <w:r w:rsidRPr="00AD791A">
        <w:rPr>
          <w:rFonts w:ascii="Cambria" w:hAnsi="Cambria" w:cs="Arial Narrow"/>
          <w:iCs/>
          <w:spacing w:val="16"/>
          <w:szCs w:val="16"/>
        </w:rPr>
        <w:t>In</w:t>
      </w:r>
      <w:r w:rsidRPr="00AD791A">
        <w:rPr>
          <w:rFonts w:ascii="Cambria" w:hAnsi="Cambria" w:cs="Arial Narrow"/>
          <w:i/>
          <w:iCs/>
          <w:spacing w:val="16"/>
          <w:szCs w:val="16"/>
        </w:rPr>
        <w:t xml:space="preserve"> </w:t>
      </w:r>
      <w:r w:rsidRPr="00AD791A">
        <w:rPr>
          <w:rFonts w:ascii="Cambria" w:hAnsi="Cambria" w:cs="Tahoma"/>
          <w:spacing w:val="-2"/>
          <w:szCs w:val="16"/>
        </w:rPr>
        <w:t xml:space="preserve">por Ministerio de la ley. </w:t>
      </w:r>
    </w:p>
  </w:footnote>
  <w:footnote w:id="124">
    <w:p w:rsidR="000A6E4C" w:rsidRPr="00AD791A" w:rsidRDefault="000A6E4C" w:rsidP="009D7F32">
      <w:pPr>
        <w:pStyle w:val="Style3"/>
        <w:spacing w:after="120"/>
        <w:ind w:firstLine="720"/>
        <w:rPr>
          <w:rFonts w:ascii="Cambria" w:hAnsi="Cambria"/>
          <w:sz w:val="16"/>
          <w:szCs w:val="16"/>
          <w:lang w:val="es-ES_tradnl"/>
        </w:rPr>
      </w:pPr>
      <w:r w:rsidRPr="00AD791A">
        <w:rPr>
          <w:rStyle w:val="FootnoteReference"/>
          <w:rFonts w:ascii="Cambria" w:hAnsi="Cambria"/>
          <w:sz w:val="16"/>
          <w:szCs w:val="16"/>
        </w:rPr>
        <w:footnoteRef/>
      </w:r>
      <w:r w:rsidRPr="00AD791A">
        <w:rPr>
          <w:rFonts w:ascii="Cambria" w:hAnsi="Cambria"/>
          <w:sz w:val="16"/>
          <w:szCs w:val="16"/>
          <w:lang w:val="es-MX"/>
        </w:rPr>
        <w:t xml:space="preserve"> Anexo 118. Auto del Juzgado de Distrito de lo Penal del C.P.P. y del In. Por Ministerio de la Ley de Bluefields de 17 de diciembre de 2002. Expediente judicial de primera instancia, folios 265. </w:t>
      </w:r>
      <w:r w:rsidRPr="00AD791A">
        <w:rPr>
          <w:rFonts w:ascii="Cambria" w:hAnsi="Cambria" w:cs="Arial Narrow"/>
          <w:spacing w:val="-2"/>
          <w:sz w:val="16"/>
          <w:szCs w:val="16"/>
          <w:lang w:val="es-MX"/>
        </w:rPr>
        <w:t xml:space="preserve">Anexo </w:t>
      </w:r>
      <w:r w:rsidRPr="00AD791A">
        <w:rPr>
          <w:rFonts w:ascii="Cambria" w:hAnsi="Cambria"/>
          <w:sz w:val="16"/>
          <w:szCs w:val="16"/>
          <w:lang w:val="es-MX"/>
        </w:rPr>
        <w:t xml:space="preserve">a la comunicación de los peticionarios de 13 de julio de 2007. </w:t>
      </w:r>
    </w:p>
  </w:footnote>
  <w:footnote w:id="125">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100. Escrito de segundas vistas de la Fiscal ante el Juzgado de Distrito de lo Civil y Penal del In. Por Ministerio de La Ley de Bluefields., 24 de diciembre de 2002. Expediente judicial de primera instancia, folios 268 a 270.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26">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100. Escrito de segundas vistas de la Fiscal ante el Juzgado de Distrito de lo Civil y Penal del In. Por Ministerio de La Ley de Bluefields., 24 de diciembre de 2002. Expediente judicial de primera instancia, folios 268 a 270.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2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33. Acusación contra Wilberth José Ochoa por el delito de asesinato, Ministerio Público – Región Autónoma Atlántico Sur, 13 de enero de 2013. Expediente judicial de primera instancia, folios 275 a 277.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28">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w:t>
      </w:r>
      <w:r w:rsidRPr="00AD791A">
        <w:rPr>
          <w:rFonts w:ascii="Cambria" w:hAnsi="Cambria"/>
          <w:szCs w:val="16"/>
        </w:rPr>
        <w:t xml:space="preserve">Entre estos elementos, obra la declaración de Wilberth Ochoa, en la que manifestó que acompañó a Iván Argüello en sus viajes a Bluefields en semana santa y cuando perdió la vida el señor García Valle. Refirió también que después de las 7 p.m. del 8 de abril de 2002, escuchó un disparo, y un segundo después, Iván Argüello llegó a la habitación y le dijo que si no se iban, habría problemas. Por ello, sospechó que Iván Argüello había asesinado al señor García Valle, pero desconocía las razones de ello. Anexo 38. </w:t>
      </w:r>
      <w:r w:rsidRPr="00AD791A">
        <w:rPr>
          <w:rFonts w:ascii="Cambria" w:hAnsi="Cambria"/>
          <w:szCs w:val="16"/>
          <w:lang w:val="es-MX"/>
        </w:rPr>
        <w:t xml:space="preserve">Declaración de Investigado (Wilberth Ochoa) ante la Policía Nacional, Chinandega, 11 de enero de 2003. Expediente judicial de primera instancia, folio 306.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Ver también. Anexo 119. Escrito de la Fiscal Auxiliar de Justicia dirigido al </w:t>
      </w:r>
      <w:r w:rsidRPr="00AD791A">
        <w:rPr>
          <w:rFonts w:ascii="Cambria" w:hAnsi="Cambria" w:cs="Arial Narrow"/>
          <w:spacing w:val="-2"/>
          <w:szCs w:val="16"/>
        </w:rPr>
        <w:t>Juez de Distrito de lo Civil y Penal del In por Ministerio de Ley</w:t>
      </w:r>
      <w:r w:rsidRPr="00AD791A">
        <w:rPr>
          <w:rFonts w:ascii="Cambria" w:hAnsi="Cambria"/>
          <w:szCs w:val="16"/>
          <w:lang w:val="es-MX"/>
        </w:rPr>
        <w:t xml:space="preserve">, 22 de enero de 2003. Expediente judicial de primera instancia, folios 299 a 312.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29">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w:t>
      </w:r>
      <w:r w:rsidRPr="00AD791A">
        <w:rPr>
          <w:rFonts w:ascii="Cambria" w:hAnsi="Cambria" w:cs="Arial Narrow"/>
          <w:spacing w:val="-2"/>
          <w:szCs w:val="16"/>
        </w:rPr>
        <w:t xml:space="preserve">Respecto a este último escrito, el representante legal de la señora Acosta hace la aclaración de que éste adiciona al presentado el 24 de enero de 2003. Anexo 120. Escrito presentado por el representante de la señora Acosta en el que solicita nuevamente se declare la nulidad del proceso, 4 de febrero de 2003. </w:t>
      </w:r>
      <w:r w:rsidRPr="00AD791A">
        <w:rPr>
          <w:rFonts w:ascii="Cambria" w:hAnsi="Cambria"/>
          <w:szCs w:val="16"/>
          <w:lang w:val="es-MX"/>
        </w:rPr>
        <w:t xml:space="preserve">Expediente judicial de primera instancia, folios 333 y 334.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30">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Específicamente: </w:t>
      </w:r>
      <w:r w:rsidRPr="00AD791A">
        <w:rPr>
          <w:rFonts w:ascii="Cambria" w:hAnsi="Cambria" w:cs="Garamond"/>
          <w:spacing w:val="-4"/>
          <w:szCs w:val="16"/>
        </w:rPr>
        <w:t>a) que se hubiera declarado desierta la apelación promovida contra la sentencia de 13 de mayo de 2002 “</w:t>
      </w:r>
      <w:r w:rsidRPr="00AD791A">
        <w:rPr>
          <w:rFonts w:ascii="Cambria" w:hAnsi="Cambria" w:cs="Arial"/>
          <w:szCs w:val="16"/>
          <w:lang w:val="es-MX"/>
        </w:rPr>
        <w:t xml:space="preserve">haciendo imposible </w:t>
      </w:r>
      <w:hyperlink r:id="rId9" w:anchor="Corchetes_.5B_.5D" w:history="1">
        <w:r w:rsidRPr="00AD791A">
          <w:rPr>
            <w:rFonts w:ascii="Cambria" w:hAnsi="Cambria" w:cs="Arial"/>
            <w:szCs w:val="16"/>
            <w:lang w:val="es-MX"/>
          </w:rPr>
          <w:t>[…]</w:t>
        </w:r>
      </w:hyperlink>
      <w:r w:rsidRPr="00AD791A">
        <w:rPr>
          <w:rFonts w:ascii="Cambria" w:hAnsi="Cambria" w:cs="Arial"/>
          <w:szCs w:val="16"/>
          <w:lang w:val="es-MX"/>
        </w:rPr>
        <w:t xml:space="preserve"> cumplir con el requisito de enterar el papel o el dinero para testimoniar todo lo actuado”, y sin considerar la derogación de la deserción en materia penal para todas las partes, y b) </w:t>
      </w:r>
      <w:r w:rsidRPr="00AD791A">
        <w:rPr>
          <w:rFonts w:ascii="Cambria" w:hAnsi="Cambria"/>
          <w:szCs w:val="16"/>
        </w:rPr>
        <w:t xml:space="preserve">la doble calidad de María Luisa Acosta en el presente caso con base en el simple dicho de Peter Martínez, y sin que éste aportara prueba alguna); c) que no se hubiera tomado la declaración indagatoria de la señora Acosta, lo que conllevó a que ésta fuera procesada de manera ilegal; d) la negativa de intervención de un representante legal para la señora Acosta y la falta de nombramiento de un defensor de oficio; e) la negativa del juez del exhorto para que </w:t>
      </w:r>
      <w:r w:rsidRPr="00AD791A">
        <w:rPr>
          <w:rFonts w:ascii="Cambria" w:hAnsi="Cambria" w:cs="Arial Narrow"/>
          <w:spacing w:val="-2"/>
          <w:szCs w:val="16"/>
        </w:rPr>
        <w:t>María Luisa Acosta rindiera su declaración indagatoria en Chinandega, y h) que se haya sobreseído definitivamente a los responsables del asesinato del señor García Valle cuando “lo que cabía era imponerles un sobreseimiento provisional, a lo más”. Anexo 121. R</w:t>
      </w:r>
      <w:r w:rsidRPr="00AD791A">
        <w:rPr>
          <w:rFonts w:ascii="Cambria" w:hAnsi="Cambria"/>
          <w:szCs w:val="16"/>
          <w:lang w:val="es-MX"/>
        </w:rPr>
        <w:t xml:space="preserve">ecurso de nulidad ante el Juez Civil de Distrito y Juez Penal de Distrito por Ministerio de Ley, 24 de enero de 2003. Expediente judicial de primera instancia, folios </w:t>
      </w:r>
      <w:r w:rsidRPr="00AD791A">
        <w:rPr>
          <w:rFonts w:ascii="Cambria" w:hAnsi="Cambria" w:cs="Arial Narrow"/>
          <w:spacing w:val="-2"/>
          <w:szCs w:val="16"/>
        </w:rPr>
        <w:t>324 a 329, y 333 y 334</w:t>
      </w:r>
      <w:r w:rsidRPr="00AD791A">
        <w:rPr>
          <w:rFonts w:ascii="Cambria" w:hAnsi="Cambria"/>
          <w:szCs w:val="16"/>
          <w:lang w:val="es-MX"/>
        </w:rPr>
        <w:t xml:space="preserve">.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31">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122. </w:t>
      </w:r>
      <w:r w:rsidRPr="00AD791A">
        <w:rPr>
          <w:rFonts w:ascii="Cambria" w:hAnsi="Cambria" w:cs="Arial Narrow"/>
          <w:spacing w:val="-2"/>
          <w:szCs w:val="16"/>
        </w:rPr>
        <w:t xml:space="preserve">Resolución del Juzgado de Distrito de lo Civil y Penal para el In, de Bluefields, Por Ministerio de la Ley, 4 de marzo de 2003.  </w:t>
      </w:r>
      <w:r w:rsidRPr="00AD791A">
        <w:rPr>
          <w:rFonts w:ascii="Cambria" w:hAnsi="Cambria"/>
          <w:szCs w:val="16"/>
          <w:lang w:val="es-MX"/>
        </w:rPr>
        <w:t xml:space="preserve">Expediente judicial de primera instancia, folio </w:t>
      </w:r>
      <w:r w:rsidRPr="00AD791A">
        <w:rPr>
          <w:rFonts w:ascii="Cambria" w:hAnsi="Cambria" w:cs="Arial Narrow"/>
          <w:spacing w:val="-2"/>
          <w:szCs w:val="16"/>
        </w:rPr>
        <w:t>365</w:t>
      </w:r>
      <w:r w:rsidRPr="00AD791A">
        <w:rPr>
          <w:rFonts w:ascii="Cambria" w:hAnsi="Cambria"/>
          <w:szCs w:val="16"/>
          <w:lang w:val="es-MX"/>
        </w:rPr>
        <w:t xml:space="preserve">.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3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123. Ejecutoria de la sentencia de sobreseimiento definitivo de 13 de mayo de 2002, del Juzgado de Distrito de lo Civil y Penal del In por Ministerio de la Ley, 24 de marzo de 2003. Expediente judicial de primera instancia, </w:t>
      </w:r>
      <w:r w:rsidRPr="00AD791A">
        <w:rPr>
          <w:rFonts w:ascii="Cambria" w:hAnsi="Cambria" w:cs="Arial Narrow"/>
          <w:spacing w:val="-2"/>
          <w:szCs w:val="16"/>
        </w:rPr>
        <w:t xml:space="preserve">folios </w:t>
      </w:r>
      <w:r w:rsidRPr="00AD791A">
        <w:rPr>
          <w:rFonts w:ascii="Cambria" w:hAnsi="Cambria"/>
          <w:szCs w:val="16"/>
          <w:lang w:val="es-MX"/>
        </w:rPr>
        <w:t xml:space="preserve">396 a 403.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33">
    <w:p w:rsidR="000A6E4C" w:rsidRPr="00AD791A" w:rsidRDefault="000A6E4C" w:rsidP="009D7F32">
      <w:pPr>
        <w:spacing w:after="120"/>
        <w:ind w:firstLine="720"/>
        <w:jc w:val="both"/>
        <w:rPr>
          <w:rFonts w:ascii="Cambria" w:hAnsi="Cambria"/>
          <w:sz w:val="16"/>
          <w:szCs w:val="16"/>
          <w:lang w:val="es-ES_tradnl"/>
        </w:rPr>
      </w:pPr>
      <w:r w:rsidRPr="00AD791A">
        <w:rPr>
          <w:rStyle w:val="FootnoteReference"/>
          <w:rFonts w:ascii="Cambria" w:hAnsi="Cambria"/>
          <w:sz w:val="16"/>
          <w:szCs w:val="16"/>
        </w:rPr>
        <w:footnoteRef/>
      </w:r>
      <w:r w:rsidRPr="00AD791A">
        <w:rPr>
          <w:rFonts w:ascii="Cambria" w:hAnsi="Cambria"/>
          <w:sz w:val="16"/>
          <w:szCs w:val="16"/>
          <w:lang w:val="es-MX"/>
        </w:rPr>
        <w:t xml:space="preserve"> Según </w:t>
      </w:r>
      <w:r w:rsidRPr="00AD791A">
        <w:rPr>
          <w:rFonts w:ascii="Cambria" w:hAnsi="Cambria" w:cs="Arial Narrow"/>
          <w:spacing w:val="-2"/>
          <w:sz w:val="16"/>
          <w:szCs w:val="16"/>
          <w:lang w:val="es-ES_tradnl"/>
        </w:rPr>
        <w:t>los peticionarios, entre las irregularidades alegadas, se encuentran las siguientes: a) la “ilegal” declaratoria de caducidad de la apelación de la sentencia interlocutoria que sobresee definitivamente a Peter Tsokos y Peter Martínez; b) la falta de tramitación del Incidente de Recusación interpuesto por la parte acusadora, y c) en general la falta de tramitaciones de los distintos incidentes interpuestos.</w:t>
      </w:r>
    </w:p>
  </w:footnote>
  <w:footnote w:id="134">
    <w:p w:rsidR="000A6E4C" w:rsidRPr="00AD791A" w:rsidRDefault="000A6E4C" w:rsidP="009D7F32">
      <w:pPr>
        <w:spacing w:after="120"/>
        <w:ind w:firstLine="720"/>
        <w:jc w:val="both"/>
        <w:rPr>
          <w:rFonts w:ascii="Cambria" w:hAnsi="Cambria" w:cs="Garamond"/>
          <w:spacing w:val="-10"/>
          <w:sz w:val="16"/>
          <w:szCs w:val="16"/>
          <w:lang w:val="es-ES_tradnl"/>
        </w:rPr>
      </w:pPr>
      <w:r w:rsidRPr="00AD791A">
        <w:rPr>
          <w:rStyle w:val="FootnoteReference"/>
          <w:rFonts w:ascii="Cambria" w:hAnsi="Cambria"/>
          <w:sz w:val="16"/>
          <w:szCs w:val="16"/>
        </w:rPr>
        <w:footnoteRef/>
      </w:r>
      <w:r w:rsidRPr="00AD791A">
        <w:rPr>
          <w:rFonts w:ascii="Cambria" w:hAnsi="Cambria"/>
          <w:sz w:val="16"/>
          <w:szCs w:val="16"/>
          <w:lang w:val="es-MX"/>
        </w:rPr>
        <w:t xml:space="preserve"> Anexo 124. Sentencia del </w:t>
      </w:r>
      <w:r w:rsidRPr="00AD791A">
        <w:rPr>
          <w:rFonts w:ascii="Cambria" w:hAnsi="Cambria"/>
          <w:sz w:val="16"/>
          <w:szCs w:val="16"/>
          <w:lang w:val="es-ES_tradnl"/>
        </w:rPr>
        <w:t>Tribunal de Apelaciones, Circunscripción Atlántico Sur, Sala Penal de Bluefields</w:t>
      </w:r>
      <w:r w:rsidRPr="00AD791A">
        <w:rPr>
          <w:rFonts w:ascii="Cambria" w:hAnsi="Cambria" w:cs="Garamond"/>
          <w:spacing w:val="-10"/>
          <w:sz w:val="16"/>
          <w:szCs w:val="16"/>
          <w:lang w:val="es-ES_tradnl"/>
        </w:rPr>
        <w:t xml:space="preserve">, 23 de septiembre de 2003. </w:t>
      </w:r>
      <w:r w:rsidRPr="00AD791A">
        <w:rPr>
          <w:rFonts w:ascii="Cambria" w:hAnsi="Cambria"/>
          <w:sz w:val="16"/>
          <w:szCs w:val="16"/>
          <w:lang w:val="es-MX"/>
        </w:rPr>
        <w:t xml:space="preserve">Expediente judicial de primera instancia, folios </w:t>
      </w:r>
      <w:r w:rsidRPr="00AD791A">
        <w:rPr>
          <w:rFonts w:ascii="Cambria" w:hAnsi="Cambria" w:cs="Garamond"/>
          <w:spacing w:val="-10"/>
          <w:sz w:val="16"/>
          <w:szCs w:val="16"/>
          <w:lang w:val="es-ES_tradnl"/>
        </w:rPr>
        <w:t>442-447.</w:t>
      </w:r>
      <w:r w:rsidRPr="00AD791A">
        <w:rPr>
          <w:rFonts w:ascii="Cambria" w:hAnsi="Cambria"/>
          <w:sz w:val="16"/>
          <w:szCs w:val="16"/>
          <w:lang w:val="es-MX"/>
        </w:rPr>
        <w:t xml:space="preserve"> </w:t>
      </w:r>
      <w:r w:rsidRPr="00AD791A">
        <w:rPr>
          <w:rFonts w:ascii="Cambria" w:hAnsi="Cambria" w:cs="Arial Narrow"/>
          <w:spacing w:val="-2"/>
          <w:sz w:val="16"/>
          <w:szCs w:val="16"/>
          <w:lang w:val="es-MX"/>
        </w:rPr>
        <w:t xml:space="preserve">Anexo </w:t>
      </w:r>
      <w:r w:rsidRPr="00AD791A">
        <w:rPr>
          <w:rFonts w:ascii="Cambria" w:hAnsi="Cambria"/>
          <w:sz w:val="16"/>
          <w:szCs w:val="16"/>
          <w:lang w:val="es-MX"/>
        </w:rPr>
        <w:t xml:space="preserve">a la comunicación de los peticionarios de 13 de julio de 2007.   </w:t>
      </w:r>
    </w:p>
  </w:footnote>
  <w:footnote w:id="135">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125. Interposición del</w:t>
      </w:r>
      <w:r w:rsidRPr="00AD791A">
        <w:rPr>
          <w:rFonts w:ascii="Cambria" w:hAnsi="Cambria"/>
          <w:szCs w:val="16"/>
        </w:rPr>
        <w:t xml:space="preserve"> recurso extraordinario de casación, 31 de octubre de 2003. Expediente No. </w:t>
      </w:r>
      <w:r w:rsidRPr="00AD791A">
        <w:rPr>
          <w:rFonts w:ascii="Cambria" w:hAnsi="Cambria"/>
          <w:szCs w:val="16"/>
          <w:lang w:val="es-MX"/>
        </w:rPr>
        <w:t>No. 1176-2003</w:t>
      </w:r>
      <w:r w:rsidRPr="00AD791A">
        <w:rPr>
          <w:rFonts w:ascii="Cambria" w:hAnsi="Cambria"/>
          <w:szCs w:val="16"/>
        </w:rPr>
        <w:t xml:space="preserve"> del recurso extraordinario de casación  ante la Corte Suprema de Justicia, folios 1 a 19.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36">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126. Sentencia No. 11 de la Sala de lo Penal de la Corte Suprema de Justicia, 18 de abril de 2005, </w:t>
      </w:r>
      <w:r w:rsidRPr="00AD791A">
        <w:rPr>
          <w:rFonts w:ascii="Cambria" w:hAnsi="Cambria"/>
          <w:szCs w:val="16"/>
        </w:rPr>
        <w:t xml:space="preserve">Expediente No. </w:t>
      </w:r>
      <w:r w:rsidRPr="00AD791A">
        <w:rPr>
          <w:rFonts w:ascii="Cambria" w:hAnsi="Cambria"/>
          <w:szCs w:val="16"/>
          <w:lang w:val="es-MX"/>
        </w:rPr>
        <w:t>No. 1176-2003</w:t>
      </w:r>
      <w:r w:rsidRPr="00AD791A">
        <w:rPr>
          <w:rFonts w:ascii="Cambria" w:hAnsi="Cambria"/>
          <w:szCs w:val="16"/>
        </w:rPr>
        <w:t xml:space="preserve"> del recurso extraordinario de casación  ante la Corte Suprema de Justicia, folios 39 y 40.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3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127. Sentencia condenatoria del </w:t>
      </w:r>
      <w:r w:rsidRPr="00AD791A">
        <w:rPr>
          <w:rFonts w:ascii="Cambria" w:hAnsi="Cambria" w:cs="Arial Narrow"/>
          <w:spacing w:val="-2"/>
          <w:szCs w:val="16"/>
        </w:rPr>
        <w:t xml:space="preserve">Juzgado de Distrito de lo Civil y Penal del In. por Ministerio de la Ley, 22 de abril de 2004.  </w:t>
      </w:r>
      <w:r w:rsidRPr="00AD791A">
        <w:rPr>
          <w:rFonts w:ascii="Cambria" w:hAnsi="Cambria"/>
          <w:szCs w:val="16"/>
          <w:lang w:val="es-MX"/>
        </w:rPr>
        <w:t xml:space="preserve">Expediente judicial de primera instancia, </w:t>
      </w:r>
      <w:r w:rsidRPr="00AD791A">
        <w:rPr>
          <w:rFonts w:ascii="Cambria" w:hAnsi="Cambria" w:cs="Arial Narrow"/>
          <w:spacing w:val="-2"/>
          <w:szCs w:val="16"/>
        </w:rPr>
        <w:t xml:space="preserve">folios </w:t>
      </w:r>
      <w:r w:rsidRPr="00AD791A">
        <w:rPr>
          <w:rFonts w:ascii="Cambria" w:hAnsi="Cambria" w:cs="Arial Narrow"/>
          <w:szCs w:val="16"/>
        </w:rPr>
        <w:t>492 a 501</w:t>
      </w:r>
      <w:r w:rsidRPr="00AD791A">
        <w:rPr>
          <w:rFonts w:ascii="Cambria" w:hAnsi="Cambria"/>
          <w:szCs w:val="16"/>
          <w:lang w:val="es-MX"/>
        </w:rPr>
        <w:t xml:space="preserve">.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38">
    <w:p w:rsidR="000A6E4C" w:rsidRPr="00AD791A" w:rsidRDefault="000A6E4C" w:rsidP="009D7F32">
      <w:pPr>
        <w:spacing w:after="120"/>
        <w:ind w:right="72" w:firstLine="720"/>
        <w:jc w:val="both"/>
        <w:rPr>
          <w:rFonts w:ascii="Cambria" w:hAnsi="Cambria"/>
          <w:sz w:val="16"/>
          <w:szCs w:val="16"/>
          <w:lang w:val="es-ES_tradnl"/>
        </w:rPr>
      </w:pPr>
      <w:r w:rsidRPr="00AD791A">
        <w:rPr>
          <w:rStyle w:val="FootnoteReference"/>
          <w:rFonts w:ascii="Cambria" w:hAnsi="Cambria"/>
          <w:sz w:val="16"/>
          <w:szCs w:val="16"/>
        </w:rPr>
        <w:footnoteRef/>
      </w:r>
      <w:r w:rsidRPr="00AD791A">
        <w:rPr>
          <w:rFonts w:ascii="Cambria" w:hAnsi="Cambria"/>
          <w:sz w:val="16"/>
          <w:szCs w:val="16"/>
          <w:lang w:val="es-ES_tradnl"/>
        </w:rPr>
        <w:t xml:space="preserve"> Anexo 128. Recurso de apelación presentado por el representante de la señora Acosta ante el Juez Civil de Distrito y Penal del In. por Ministerio de la Ley. </w:t>
      </w:r>
      <w:r w:rsidRPr="00AD791A">
        <w:rPr>
          <w:rFonts w:ascii="Cambria" w:hAnsi="Cambria"/>
          <w:sz w:val="16"/>
          <w:szCs w:val="16"/>
          <w:lang w:val="es-MX"/>
        </w:rPr>
        <w:t xml:space="preserve">Expediente judicial de primera instancia, </w:t>
      </w:r>
      <w:r w:rsidRPr="00AD791A">
        <w:rPr>
          <w:rFonts w:ascii="Cambria" w:hAnsi="Cambria" w:cs="Arial Narrow"/>
          <w:spacing w:val="-2"/>
          <w:sz w:val="16"/>
          <w:szCs w:val="16"/>
          <w:lang w:val="es-MX"/>
        </w:rPr>
        <w:t xml:space="preserve">folio </w:t>
      </w:r>
      <w:r w:rsidRPr="00AD791A">
        <w:rPr>
          <w:rFonts w:ascii="Cambria" w:hAnsi="Cambria"/>
          <w:sz w:val="16"/>
          <w:szCs w:val="16"/>
          <w:lang w:val="es-ES_tradnl"/>
        </w:rPr>
        <w:t>503</w:t>
      </w:r>
      <w:r w:rsidRPr="00AD791A">
        <w:rPr>
          <w:rFonts w:ascii="Cambria" w:hAnsi="Cambria"/>
          <w:sz w:val="16"/>
          <w:szCs w:val="16"/>
          <w:lang w:val="es-MX"/>
        </w:rPr>
        <w:t xml:space="preserve">. </w:t>
      </w:r>
      <w:r w:rsidRPr="00AD791A">
        <w:rPr>
          <w:rFonts w:ascii="Cambria" w:hAnsi="Cambria" w:cs="Arial Narrow"/>
          <w:spacing w:val="-2"/>
          <w:sz w:val="16"/>
          <w:szCs w:val="16"/>
          <w:lang w:val="es-MX"/>
        </w:rPr>
        <w:t xml:space="preserve">Anexo </w:t>
      </w:r>
      <w:r w:rsidRPr="00AD791A">
        <w:rPr>
          <w:rFonts w:ascii="Cambria" w:hAnsi="Cambria"/>
          <w:sz w:val="16"/>
          <w:szCs w:val="16"/>
          <w:lang w:val="es-MX"/>
        </w:rPr>
        <w:t xml:space="preserve">a la comunicación de los peticionarios de 13 de julio de 2007. </w:t>
      </w:r>
      <w:r w:rsidRPr="00AD791A">
        <w:rPr>
          <w:rFonts w:ascii="Cambria" w:hAnsi="Cambria"/>
          <w:sz w:val="16"/>
          <w:szCs w:val="16"/>
          <w:lang w:val="es-ES_tradnl"/>
        </w:rPr>
        <w:t xml:space="preserve">La defensa por su parte, solicitaba una pena menor a la impuesta por la Juez. Anexo 129. Recurso de apelación presentado por la representante de Wilberth Ochoa ante el referido juez, el 27 de abril de 2002. </w:t>
      </w:r>
      <w:r w:rsidRPr="00AD791A">
        <w:rPr>
          <w:rFonts w:ascii="Cambria" w:hAnsi="Cambria"/>
          <w:sz w:val="16"/>
          <w:szCs w:val="16"/>
          <w:lang w:val="es-MX"/>
        </w:rPr>
        <w:t xml:space="preserve">Expediente judicial de primera instancia, </w:t>
      </w:r>
      <w:r w:rsidRPr="00AD791A">
        <w:rPr>
          <w:rFonts w:ascii="Cambria" w:hAnsi="Cambria" w:cs="Arial Narrow"/>
          <w:spacing w:val="-2"/>
          <w:sz w:val="16"/>
          <w:szCs w:val="16"/>
          <w:lang w:val="es-MX"/>
        </w:rPr>
        <w:t xml:space="preserve">folio </w:t>
      </w:r>
      <w:r w:rsidRPr="00AD791A">
        <w:rPr>
          <w:rFonts w:ascii="Cambria" w:hAnsi="Cambria"/>
          <w:sz w:val="16"/>
          <w:szCs w:val="16"/>
          <w:lang w:val="es-ES_tradnl"/>
        </w:rPr>
        <w:t>507</w:t>
      </w:r>
      <w:r w:rsidRPr="00AD791A">
        <w:rPr>
          <w:rFonts w:ascii="Cambria" w:hAnsi="Cambria"/>
          <w:sz w:val="16"/>
          <w:szCs w:val="16"/>
          <w:lang w:val="es-MX"/>
        </w:rPr>
        <w:t xml:space="preserve">. </w:t>
      </w:r>
      <w:r w:rsidRPr="00AD791A">
        <w:rPr>
          <w:rFonts w:ascii="Cambria" w:hAnsi="Cambria" w:cs="Arial Narrow"/>
          <w:spacing w:val="-2"/>
          <w:sz w:val="16"/>
          <w:szCs w:val="16"/>
          <w:lang w:val="es-MX"/>
        </w:rPr>
        <w:t xml:space="preserve">Anexo </w:t>
      </w:r>
      <w:r w:rsidRPr="00AD791A">
        <w:rPr>
          <w:rFonts w:ascii="Cambria" w:hAnsi="Cambria"/>
          <w:sz w:val="16"/>
          <w:szCs w:val="16"/>
          <w:lang w:val="es-MX"/>
        </w:rPr>
        <w:t>a la comunicación de los peticionarios de 13 de julio de 2007.</w:t>
      </w:r>
    </w:p>
  </w:footnote>
  <w:footnote w:id="139">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Esta captura contó con amplia cobertura mediática. “Prófugo por homicidio. Capturan nicaragüense”, </w:t>
      </w:r>
      <w:r w:rsidRPr="00AD791A">
        <w:rPr>
          <w:rFonts w:ascii="Cambria" w:hAnsi="Cambria"/>
          <w:i/>
          <w:szCs w:val="16"/>
          <w:lang w:val="es-MX"/>
        </w:rPr>
        <w:t>Sucesos, El Nuevo Diario</w:t>
      </w:r>
      <w:r w:rsidRPr="00AD791A">
        <w:rPr>
          <w:rFonts w:ascii="Cambria" w:hAnsi="Cambria"/>
          <w:szCs w:val="16"/>
          <w:lang w:val="es-MX"/>
        </w:rPr>
        <w:t xml:space="preserve">; “Capturan Prófugo”, </w:t>
      </w:r>
      <w:r w:rsidRPr="00AD791A">
        <w:rPr>
          <w:rFonts w:ascii="Cambria" w:hAnsi="Cambria"/>
          <w:i/>
          <w:szCs w:val="16"/>
          <w:lang w:val="es-MX"/>
        </w:rPr>
        <w:t>Sucesos, El Nuevo Diario</w:t>
      </w:r>
      <w:r w:rsidRPr="00AD791A">
        <w:rPr>
          <w:rFonts w:ascii="Cambria" w:hAnsi="Cambria"/>
          <w:szCs w:val="16"/>
          <w:lang w:val="es-MX"/>
        </w:rPr>
        <w:t xml:space="preserve">, 1 de septiembre de 2004. “Capturan a asesino del presidente de Cámara de Comercio de Bluefields”, </w:t>
      </w:r>
      <w:r w:rsidRPr="00AD791A">
        <w:rPr>
          <w:rFonts w:ascii="Cambria" w:hAnsi="Cambria"/>
          <w:i/>
          <w:szCs w:val="16"/>
          <w:lang w:val="es-MX"/>
        </w:rPr>
        <w:t>La Prensa</w:t>
      </w:r>
      <w:r w:rsidRPr="00AD791A">
        <w:rPr>
          <w:rFonts w:ascii="Cambria" w:hAnsi="Cambria"/>
          <w:szCs w:val="16"/>
          <w:lang w:val="es-MX"/>
        </w:rPr>
        <w:t xml:space="preserve">, 1 de septiembre de 2004. “Asesino rumbo a Bluefields”, </w:t>
      </w:r>
      <w:r w:rsidRPr="00AD791A">
        <w:rPr>
          <w:rFonts w:ascii="Cambria" w:hAnsi="Cambria"/>
          <w:i/>
          <w:szCs w:val="16"/>
          <w:lang w:val="es-MX"/>
        </w:rPr>
        <w:t>Sucesos</w:t>
      </w:r>
      <w:r w:rsidRPr="00AD791A">
        <w:rPr>
          <w:rFonts w:ascii="Cambria" w:hAnsi="Cambria"/>
          <w:szCs w:val="16"/>
          <w:lang w:val="es-MX"/>
        </w:rPr>
        <w:t xml:space="preserve">, 6 de septiembre de 2004. Anexo 130. Notas periodísticas. Expediente No. 2019-2004 del recurso de casación ante la Corte Suprema de Justicia, folios 91, 92, 93 y 97.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40">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“Asesino de García ya está en Bluefields”, </w:t>
      </w:r>
      <w:r w:rsidRPr="00AD791A">
        <w:rPr>
          <w:rFonts w:ascii="Cambria" w:hAnsi="Cambria"/>
          <w:i/>
          <w:szCs w:val="16"/>
          <w:lang w:val="es-MX"/>
        </w:rPr>
        <w:t>El Nuevo Diario</w:t>
      </w:r>
      <w:r w:rsidRPr="00AD791A">
        <w:rPr>
          <w:rFonts w:ascii="Cambria" w:hAnsi="Cambria"/>
          <w:szCs w:val="16"/>
          <w:lang w:val="es-MX"/>
        </w:rPr>
        <w:t xml:space="preserve">, 6 de septiembre de 2004. “Asesino menciona a Tsokos en declaraciones a Canal 11 de Costa Rica comprometen a griego vende cayos” </w:t>
      </w:r>
      <w:r w:rsidRPr="00AD791A">
        <w:rPr>
          <w:rFonts w:ascii="Cambria" w:hAnsi="Cambria"/>
          <w:i/>
          <w:szCs w:val="16"/>
          <w:lang w:val="es-MX"/>
        </w:rPr>
        <w:t>Hoy</w:t>
      </w:r>
      <w:r w:rsidRPr="00AD791A">
        <w:rPr>
          <w:rFonts w:ascii="Cambria" w:hAnsi="Cambria"/>
          <w:szCs w:val="16"/>
          <w:lang w:val="es-MX"/>
        </w:rPr>
        <w:t xml:space="preserve">, 2 de septiembre de 2004. Anexo 131. Notas periodísticas. Expediente No. 2019-2004 del recurso de casación ante la Corte Suprema de Justicia, folio 95.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41">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132. Sentencia de la Sala Penal del Tribunal de Apelaciones de Bluefields, Circunscripción Atlántico Sur, 29 de noviembre de 2004. Anexo a la comunicación de los peticionarios de 8 de abril de 2014. </w:t>
      </w:r>
    </w:p>
  </w:footnote>
  <w:footnote w:id="14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133. Recurso de Casación ante la Corte Suprema de Justicia interpuesto por el representante legal de la señora María Luisa Acosta, 22 de diciembre de 2004. Expediente No. 2019-2004 del recurso de casación ante la Corte Suprema de Justicia, folios 1 a 25.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43">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Anexo 134. Respuesta de la Fiscalía Auxiliar de Managua a los agravios de la parte recurrente del recurso de casación, Expediente No. 2019-2004 del recurso de casación ante la Corte Suprema de Justicia, folios 80 a 86.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44">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135. Sentencia No. 19 de la Corte Suprema de Justicia, Sala de lo Penal, 19 de diciembre de 2006. Expediente No. 2019-2004 del recurso de casación ante la Corte Suprema de Justicia, folios 110 y siguientes.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45">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136. Cédula judicial de la Corte Suprema de Justicia, Sala de lo Penal, 22 de diciembre de 2006. Expediente No. 2019-2004 del recurso de casación ante la Corte Suprema de Justicia, folio 112.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46">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137. Solicitud de embargo preventivo de interpuesta por Peter Tsokos y Peter Martínez, 14 de mayo de 2002. Expediente No. 350-02 del Juzgado de lo Civil del Distrito de Bluefields (Embargo Preventivo / Daños y perjuicios), folio 1.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4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138. Acta de embargo preventivo del Juzgado de lo Civil del Distrito de Bluefields, 15 de mayo de 2002, Expediente No. 350-02 del Juzgado de Distrito (Embargo Preventivo / Daños y perjuicios), folio 5.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48">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139. Demanda de daños y perjuicios, 15 de mayo de 2002. Expediente No. 350-02 del Juzgado de Distrito (Embargo Preventivo / Daños y perjuicios), folios 6 y 7.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49">
    <w:p w:rsidR="000A6E4C" w:rsidRPr="00AD791A" w:rsidRDefault="000A6E4C" w:rsidP="009D7F32">
      <w:pPr>
        <w:pStyle w:val="FootnoteText"/>
        <w:spacing w:before="0" w:after="120"/>
        <w:ind w:firstLine="720"/>
        <w:rPr>
          <w:rFonts w:ascii="Cambria" w:hAnsi="Cambria"/>
          <w:szCs w:val="16"/>
        </w:rPr>
      </w:pPr>
      <w:r w:rsidRPr="00AD791A">
        <w:rPr>
          <w:rStyle w:val="FootnoteReference"/>
          <w:rFonts w:ascii="Cambria" w:hAnsi="Cambria"/>
          <w:szCs w:val="16"/>
        </w:rPr>
        <w:footnoteRef/>
      </w:r>
      <w:r w:rsidRPr="00AD791A">
        <w:rPr>
          <w:rFonts w:ascii="Cambria" w:hAnsi="Cambria"/>
          <w:szCs w:val="16"/>
        </w:rPr>
        <w:t xml:space="preserve"> Anexo 140. Incidente de nulidad, presentado por el representante de la señora Acosta, 26 de junio de 2002. </w:t>
      </w:r>
      <w:r w:rsidRPr="00AD791A">
        <w:rPr>
          <w:rFonts w:ascii="Cambria" w:hAnsi="Cambria"/>
          <w:szCs w:val="16"/>
          <w:lang w:val="es-MX"/>
        </w:rPr>
        <w:t xml:space="preserve">Expediente No. 350-02 del Juzgado de Distrito (Embargo Preventivo / Daños y perjuicios), folios 18 a 21.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50">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141. Escrito del representante de la señora Acosta, 23 de octubre de 2002.  Expediente No. 350-02 del Juzgado de Distrito (Embargo Preventivo / Daños y perjuicios), folio 42.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51">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142. Auto de Juzgado de Distrito, 24 de octubre de 2002. Expediente No. 350-02 del Juzgado de Distrito (Embargo Preventivo/Daños y perjuicios), folio 43.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5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143. Auto del Jugado de lo Civil del Distrito de Bluefields, 27 de febrero de 2003. Expediente No. 350-02 del Juzgado de lo Civil del Distrito de Bluefields (Embargo Preventivo / Daños y perjuicios), folio 65.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53">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144. Apelación interpuesta por Peter Martínez, 5 de marzo de 2003. Expediente No. 350-02 del Juzgado de lo Civil del Distrito de Bluefields (Embargo Preventivo / Daños y perjuicios), folio 67.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54">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145. Auto, Tribunal de Apelaciones de Bluefields, Sala de lo Civil, 25 de marzo de 2003. Expediente No. 06-2003 del Tribunal de Apelaciones de Bluefields, Sala de lo Civil, folio 6.</w:t>
      </w:r>
      <w:r w:rsidRPr="00AD791A">
        <w:rPr>
          <w:rFonts w:ascii="Cambria" w:hAnsi="Cambria" w:cs="Arial Narrow"/>
          <w:spacing w:val="-2"/>
          <w:szCs w:val="16"/>
          <w:lang w:val="es-MX"/>
        </w:rPr>
        <w:t xml:space="preserve"> Anexo </w:t>
      </w:r>
      <w:r w:rsidRPr="00AD791A">
        <w:rPr>
          <w:rFonts w:ascii="Cambria" w:hAnsi="Cambria"/>
          <w:szCs w:val="16"/>
          <w:lang w:val="es-MX"/>
        </w:rPr>
        <w:t>a la comunicación de los peticionarios de 13 de julio de 2007.</w:t>
      </w:r>
    </w:p>
  </w:footnote>
  <w:footnote w:id="155">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146. Recurso de Retardación interpuesto por el representante de la señora Acosta, ante la Corte Suprema de Justicia, 20 de agosto de 2004.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56">
    <w:p w:rsidR="000A6E4C" w:rsidRPr="00AD791A" w:rsidRDefault="000A6E4C" w:rsidP="009D7F32">
      <w:pPr>
        <w:pStyle w:val="NormalWeb"/>
        <w:spacing w:before="0" w:beforeAutospacing="0" w:after="120" w:afterAutospacing="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El artículo 353 del Código Penal de la República de Nicaragua establece que “c</w:t>
      </w:r>
      <w:r w:rsidRPr="00AD791A">
        <w:rPr>
          <w:rFonts w:ascii="Cambria" w:hAnsi="Cambria" w:cs="Arial"/>
          <w:sz w:val="16"/>
          <w:szCs w:val="16"/>
          <w:lang w:val="es-MX"/>
        </w:rPr>
        <w:t xml:space="preserve">omete delito de falso testimonio el que ya sea como testigo, perito, intérprete o traductor afirmare una falsedad, u ocultare la verdad en todo o en parte, ante autoridad competente, y será castigado con prisión de uno a cinco años, si el falso testimonio fuese cometido en causa civil, pero si lo fuese en causa criminal en perjuicio del inculpado, la pena será igual a la que corresponda al hecho falsamente imputado”. Por su parte, el artículo </w:t>
      </w:r>
      <w:r w:rsidRPr="00AD791A">
        <w:rPr>
          <w:rFonts w:ascii="Cambria" w:hAnsi="Cambria" w:cs="Arial"/>
          <w:bCs/>
          <w:sz w:val="16"/>
          <w:szCs w:val="16"/>
          <w:lang w:val="es-MX"/>
        </w:rPr>
        <w:t>356 estipula que e</w:t>
      </w:r>
      <w:r w:rsidRPr="00AD791A">
        <w:rPr>
          <w:rFonts w:ascii="Cambria" w:hAnsi="Cambria" w:cs="Arial"/>
          <w:sz w:val="16"/>
          <w:szCs w:val="16"/>
          <w:lang w:val="es-MX"/>
        </w:rPr>
        <w:t>l que faltando a la verdad a sabiendas, denunciare o acusare a una persona de haber cometido delito o falta ante cualquier funcionario que tenga jurisdicción para sancionar el delito o falta denunciado o acusado, será sancionado con las penas que para el falso testimonio establece el artículo 353.</w:t>
      </w:r>
      <w:r w:rsidRPr="00AD791A">
        <w:rPr>
          <w:rFonts w:ascii="Cambria" w:hAnsi="Cambria"/>
          <w:sz w:val="16"/>
          <w:szCs w:val="16"/>
          <w:lang w:val="es-MX"/>
        </w:rPr>
        <w:t xml:space="preserve"> </w:t>
      </w:r>
    </w:p>
  </w:footnote>
  <w:footnote w:id="157">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147. Denuncia por falso testimonio y denuncia falsa, interpuesta por Peter Tsokos y su socio, 1 de octubre de 2012. Expediente No. 298-02 del Juzgado de Distrito de lo Civil y Penal del In de Bluefields (Delito: Falso testimonio y denuncia falsa), folios 1 y 2. </w:t>
      </w:r>
      <w:r w:rsidRPr="00AD791A">
        <w:rPr>
          <w:rFonts w:ascii="Cambria" w:hAnsi="Cambria" w:cs="Arial Narrow"/>
          <w:spacing w:val="-2"/>
          <w:sz w:val="16"/>
          <w:szCs w:val="16"/>
          <w:lang w:val="es-MX"/>
        </w:rPr>
        <w:t xml:space="preserve">Anexo </w:t>
      </w:r>
      <w:r w:rsidRPr="00AD791A">
        <w:rPr>
          <w:rFonts w:ascii="Cambria" w:hAnsi="Cambria"/>
          <w:sz w:val="16"/>
          <w:szCs w:val="16"/>
          <w:lang w:val="es-MX"/>
        </w:rPr>
        <w:t xml:space="preserve">a la comunicación de los peticionarios de 13 de julio de 2007.  </w:t>
      </w:r>
    </w:p>
  </w:footnote>
  <w:footnote w:id="158">
    <w:p w:rsidR="000A6E4C" w:rsidRPr="00AD791A" w:rsidRDefault="000A6E4C" w:rsidP="009D7F32">
      <w:pPr>
        <w:pStyle w:val="FootnoteText"/>
        <w:spacing w:before="0" w:after="120"/>
        <w:ind w:firstLine="720"/>
        <w:rPr>
          <w:rFonts w:ascii="Cambria" w:hAnsi="Cambria"/>
          <w:szCs w:val="16"/>
        </w:rPr>
      </w:pPr>
      <w:r w:rsidRPr="00AD791A">
        <w:rPr>
          <w:rStyle w:val="FootnoteReference"/>
          <w:rFonts w:ascii="Cambria" w:hAnsi="Cambria"/>
          <w:szCs w:val="16"/>
        </w:rPr>
        <w:footnoteRef/>
      </w:r>
      <w:r w:rsidRPr="00AD791A">
        <w:rPr>
          <w:rFonts w:ascii="Cambria" w:hAnsi="Cambria"/>
          <w:szCs w:val="16"/>
        </w:rPr>
        <w:t xml:space="preserve"> Anexo 148. Escrito del representante legal de la señora Acosta, dirigido al </w:t>
      </w:r>
      <w:r w:rsidRPr="00AD791A">
        <w:rPr>
          <w:rFonts w:ascii="Cambria" w:hAnsi="Cambria"/>
          <w:szCs w:val="16"/>
          <w:lang w:val="es-MX"/>
        </w:rPr>
        <w:t xml:space="preserve">Juzgado de Distrito de lo Civil y Penal del In de Bluefields, 22 de octubre de 2001. Expediente No. 298-02 del Juzgado de Distrito de lo Civil y Penal del In de Bluefields (Delito: Falso testimonio y denuncia falsa), folios 1 y 2.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59">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rPr>
        <w:t xml:space="preserve"> Anexo 149. Escrito de contestación de demanda, interpuesto por el representante de la señora Acosta, 14 de agosto de 2003, </w:t>
      </w:r>
      <w:r w:rsidRPr="00AD791A">
        <w:rPr>
          <w:rFonts w:ascii="Cambria" w:hAnsi="Cambria"/>
          <w:szCs w:val="16"/>
          <w:lang w:val="es-MX"/>
        </w:rPr>
        <w:t xml:space="preserve">Expediente No. 298-02 del Juzgado de Distrito de lo Civil y Penal del In de Bluefields (Delito: Falso testimonio y denuncia falsa), </w:t>
      </w:r>
      <w:r w:rsidRPr="00AD791A">
        <w:rPr>
          <w:rFonts w:ascii="Cambria" w:hAnsi="Cambria"/>
          <w:szCs w:val="16"/>
        </w:rPr>
        <w:t>folios 40 a 43</w:t>
      </w:r>
      <w:r w:rsidRPr="00AD791A">
        <w:rPr>
          <w:rFonts w:ascii="Cambria" w:hAnsi="Cambria"/>
          <w:szCs w:val="16"/>
          <w:lang w:val="es-MX"/>
        </w:rPr>
        <w:t xml:space="preserve">.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60">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CO"/>
        </w:rPr>
        <w:t xml:space="preserve"> Anexo 150. </w:t>
      </w:r>
      <w:r w:rsidRPr="00AD791A">
        <w:rPr>
          <w:rFonts w:ascii="Cambria" w:hAnsi="Cambria"/>
          <w:szCs w:val="16"/>
          <w:lang w:val="es-MX"/>
        </w:rPr>
        <w:t xml:space="preserve">Auto, Juzgado de Distrito de lo Civil y Penal del In de Bluefields, 23 de agosto de 2004. Expediente No. 298-02 del Juzgado de Distrito de lo Civil y Penal del In de Bluefields (Delito: Falso testimonio y denuncia falsa), folio 46.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61">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151. Apelación interpuesta por Peter Tsokos y Peter Martínez, 30 de septiembre de 2004. Expediente No. 298-02 del Juzgado de Distrito de lo Civil y Penal del In de Bluefields (Delito: Falso testimonio y denuncia falsa), folio 51.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6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152. Auto del Juzgado de Distrito de lo Civil y Penal del In de Bluefields, 12 de octubre de 2004. Expediente No. 298-02 del Juzgado de Distrito de lo Civil y Penal del In de Bluefields (Delito: Falso testimonio y denuncia falsa), folio 57.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63">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153. Queja interpuesta por María Luisa Acosta, 6 de mayo de 2002. Expediente No. 362-2002 de la Comisión de Régimen Disciplinario de la Corte Suprema de Justicia, sin folio.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Anexo 154. Queja interpuesta por María Luisa Acosta, 4 de octubre de 2002. Expediente No. 362-2002 de la Comisión de Régimen Disciplinario de la Corte Suprema de Justicia, sin folio.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Anexo 155. Queja interpuesta por María Luisa Acosta, 4 de abril de 2003. Expediente No. 362-2002 de la Comisión de Régimen Disciplinario de la Corte Suprema de Justicia, sin folio. </w:t>
      </w:r>
      <w:r w:rsidRPr="00AD791A">
        <w:rPr>
          <w:rFonts w:ascii="Cambria" w:hAnsi="Cambria" w:cs="Arial Narrow"/>
          <w:spacing w:val="-2"/>
          <w:szCs w:val="16"/>
          <w:lang w:val="es-MX"/>
        </w:rPr>
        <w:t xml:space="preserve">Anexos </w:t>
      </w:r>
      <w:r w:rsidRPr="00AD791A">
        <w:rPr>
          <w:rFonts w:ascii="Cambria" w:hAnsi="Cambria"/>
          <w:szCs w:val="16"/>
          <w:lang w:val="es-MX"/>
        </w:rPr>
        <w:t xml:space="preserve">a la comunicación de los peticionarios de 13 de julio de 2007; Anexo 156. Queja interpuesta por María Luisa Acosta, 13 de junio de 2003. Expediente No. 362-2002 de la Comisión de Régimen Disciplinario de la Corte Suprema de Justicia, sin folio.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r w:rsidRPr="00AD791A">
        <w:rPr>
          <w:rFonts w:ascii="Cambria" w:hAnsi="Cambria"/>
          <w:szCs w:val="16"/>
        </w:rPr>
        <w:t xml:space="preserve">Anexo 157. </w:t>
      </w:r>
      <w:r w:rsidRPr="00AD791A">
        <w:rPr>
          <w:rFonts w:ascii="Cambria" w:hAnsi="Cambria"/>
          <w:szCs w:val="16"/>
          <w:lang w:val="es-MX"/>
        </w:rPr>
        <w:t xml:space="preserve">Queja interpuesta por María Luisa Acosta, 31 de octubre de 2003. Expediente No. 362-2002 de la Comisión de Régimen Disciplinario de la Corte Suprema de Justicia, sin folio. </w:t>
      </w:r>
      <w:r w:rsidRPr="00AD791A">
        <w:rPr>
          <w:rFonts w:ascii="Cambria" w:hAnsi="Cambria" w:cs="Arial Narrow"/>
          <w:spacing w:val="-2"/>
          <w:szCs w:val="16"/>
          <w:lang w:val="es-MX"/>
        </w:rPr>
        <w:t xml:space="preserve">Anexos </w:t>
      </w:r>
      <w:r w:rsidRPr="00AD791A">
        <w:rPr>
          <w:rFonts w:ascii="Cambria" w:hAnsi="Cambria"/>
          <w:szCs w:val="16"/>
          <w:lang w:val="es-MX"/>
        </w:rPr>
        <w:t xml:space="preserve">a la comunicación de los peticionarios de 13 de julio de 2007. El objeto de las quejas fueron contra las diversas autoridades que conocieron el caso y por una multiplicidad de irregularidades a lo largo de los procesos. </w:t>
      </w:r>
    </w:p>
  </w:footnote>
  <w:footnote w:id="164">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158. Resolución Final, 6 de octubre de 2003. Expediente No. 154-2003 de la Procuraduría para la Defensa de los Derechos Humanos, folio 1.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65">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158. Resolución Final, 6 de octubre de 2003. Expediente No. 154-2003 de la Procuraduría para la Defensa de los Derechos Humanos, folio 1.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66">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159. Informe Final de Seguimiento Expediente No. 154-2003 de la Procuraduría para la Defensa de los Derechos Humanos, 10 de junio de 2004.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6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58. Escrito de María Luisa Acosta, sin fecha. Expediente No. 298-02 del Juzgado de Distrito de lo Civil y Penal del In de Bluefields (Delito: Falso testimonio y denuncia), folios 28 y 29. Anexo 65. Orden de Allanamiento y Registro Domiciliar de Juez de Distrito del Crimen De Bluefields, 15 de abril de 2002. </w:t>
      </w:r>
      <w:r w:rsidRPr="00AD791A">
        <w:rPr>
          <w:rFonts w:ascii="Cambria" w:hAnsi="Cambria" w:cs="Arial Narrow"/>
          <w:szCs w:val="16"/>
          <w:lang w:val="es-MX"/>
        </w:rPr>
        <w:t xml:space="preserve">Expediente judicial de primera instancia No. 110-02, folio 43. </w:t>
      </w:r>
      <w:r w:rsidRPr="00AD791A">
        <w:rPr>
          <w:rFonts w:ascii="Cambria" w:hAnsi="Cambria"/>
          <w:szCs w:val="16"/>
          <w:lang w:val="es-MX"/>
        </w:rPr>
        <w:t>Anexos a la comunicación de los peticionarios de 13 de julio de 2007. Sobre este respecto, también se manifestaron los peticionarios en la petición inicial de 20 de junio de 2007, y en sus escritos de observaciones sobre el fondo de 19 de septiembre de 2011 y de 6 de diciembre de 2013.</w:t>
      </w:r>
    </w:p>
  </w:footnote>
  <w:footnote w:id="168">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58. Escrito de María Luisa Acosta, sin fecha. Expediente No. 298-02 del Juzgado de Distrito de lo Civil y Penal del In de Bluefields (Delito: Falso testimonio y denuncia), folios 28 y 29. Anexo a la comunicación de los peticionarios de 13 de julio de 2007.</w:t>
      </w:r>
    </w:p>
  </w:footnote>
  <w:footnote w:id="169">
    <w:p w:rsidR="000A6E4C" w:rsidRPr="00AD791A" w:rsidRDefault="000A6E4C" w:rsidP="009D7F32">
      <w:pPr>
        <w:pStyle w:val="BodyTextIndent"/>
        <w:spacing w:after="120"/>
        <w:rPr>
          <w:rFonts w:ascii="Cambria" w:hAnsi="Cambria"/>
          <w:sz w:val="16"/>
          <w:szCs w:val="16"/>
          <w:lang w:val="es-ES"/>
        </w:rPr>
      </w:pPr>
      <w:r w:rsidRPr="00AD791A">
        <w:rPr>
          <w:rStyle w:val="FootnoteReference"/>
          <w:rFonts w:ascii="Cambria" w:hAnsi="Cambria"/>
          <w:sz w:val="16"/>
          <w:szCs w:val="16"/>
          <w:lang w:val="es-ES"/>
        </w:rPr>
        <w:footnoteRef/>
      </w:r>
      <w:r w:rsidRPr="00AD791A">
        <w:rPr>
          <w:rFonts w:ascii="Cambria" w:hAnsi="Cambria"/>
          <w:sz w:val="16"/>
          <w:szCs w:val="16"/>
          <w:lang w:val="es-ES"/>
        </w:rPr>
        <w:t xml:space="preserve"> El artículo 8.1 de la Convención Americana por su parte establece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footnote>
  <w:footnote w:id="170">
    <w:p w:rsidR="000A6E4C" w:rsidRPr="00AD791A" w:rsidRDefault="000A6E4C" w:rsidP="009D7F32">
      <w:pPr>
        <w:pStyle w:val="BodyTextIndent"/>
        <w:spacing w:after="120"/>
        <w:rPr>
          <w:rFonts w:ascii="Cambria" w:hAnsi="Cambria"/>
          <w:sz w:val="16"/>
          <w:szCs w:val="16"/>
          <w:lang w:val="es-ES"/>
        </w:rPr>
      </w:pPr>
      <w:r w:rsidRPr="00AD791A">
        <w:rPr>
          <w:rStyle w:val="FootnoteReference"/>
          <w:rFonts w:ascii="Cambria" w:hAnsi="Cambria"/>
          <w:sz w:val="16"/>
          <w:szCs w:val="16"/>
          <w:lang w:val="es-ES"/>
        </w:rPr>
        <w:footnoteRef/>
      </w:r>
      <w:r w:rsidRPr="00AD791A">
        <w:rPr>
          <w:rFonts w:ascii="Cambria" w:hAnsi="Cambria"/>
          <w:sz w:val="16"/>
          <w:szCs w:val="16"/>
          <w:lang w:val="es-ES"/>
        </w:rPr>
        <w:t xml:space="preserve"> Por su parte, el artículo 25 de la Convención Americana establece que: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actúan en ejercicio de sus funciones oficiales. </w:t>
      </w:r>
    </w:p>
  </w:footnote>
  <w:footnote w:id="171">
    <w:p w:rsidR="000A6E4C" w:rsidRPr="00AD791A" w:rsidRDefault="000A6E4C" w:rsidP="009D7F32">
      <w:pPr>
        <w:pStyle w:val="FootnoteText"/>
        <w:tabs>
          <w:tab w:val="left" w:pos="720"/>
        </w:tabs>
        <w:spacing w:after="120"/>
        <w:ind w:firstLine="720"/>
        <w:rPr>
          <w:rFonts w:ascii="Cambria" w:hAnsi="Cambria"/>
          <w:spacing w:val="-4"/>
          <w:szCs w:val="16"/>
          <w:lang w:val="es-CR"/>
        </w:rPr>
      </w:pPr>
      <w:r w:rsidRPr="00AD791A">
        <w:rPr>
          <w:rStyle w:val="FootnoteReference"/>
          <w:rFonts w:ascii="Cambria" w:hAnsi="Cambria"/>
          <w:spacing w:val="-4"/>
          <w:szCs w:val="16"/>
        </w:rPr>
        <w:footnoteRef/>
      </w:r>
      <w:r w:rsidRPr="00AD791A">
        <w:rPr>
          <w:rFonts w:ascii="Cambria" w:hAnsi="Cambria"/>
          <w:spacing w:val="-4"/>
          <w:szCs w:val="16"/>
          <w:lang w:val="es-CR"/>
        </w:rPr>
        <w:t xml:space="preserve"> </w:t>
      </w:r>
      <w:r w:rsidRPr="00AD791A">
        <w:rPr>
          <w:rFonts w:ascii="Cambria" w:hAnsi="Cambria"/>
          <w:bCs/>
          <w:szCs w:val="16"/>
          <w:lang w:val="es-CO"/>
        </w:rPr>
        <w:t>Corte IDH. Caso Rodríguez Vera y otros (Desaparecidos del Palacio de Justicia) Vs. Colombia. Excepciones Preliminares, Fondo, Reparaciones y Costas. Sentencia de 14 de noviembre de 2014. Serie C No. 287</w:t>
      </w:r>
      <w:r w:rsidRPr="00AD791A">
        <w:rPr>
          <w:rFonts w:ascii="Cambria" w:hAnsi="Cambria"/>
          <w:szCs w:val="16"/>
          <w:lang w:val="es-CO"/>
        </w:rPr>
        <w:t xml:space="preserve">. Párr. 435. </w:t>
      </w:r>
      <w:r w:rsidRPr="00AD791A">
        <w:rPr>
          <w:rFonts w:ascii="Cambria" w:hAnsi="Cambria"/>
          <w:spacing w:val="-4"/>
          <w:szCs w:val="16"/>
          <w:lang w:val="es-CR"/>
        </w:rPr>
        <w:t xml:space="preserve">citando. Cfr. Caso Velásquez Rodríguez Vs. Honduras. Excepciones Preliminares. Sentencia de 26 de junio de 1987. Serie C No. 1, párr. 91, y </w:t>
      </w:r>
      <w:r w:rsidRPr="00AD791A">
        <w:rPr>
          <w:rFonts w:ascii="Cambria" w:hAnsi="Cambria"/>
          <w:spacing w:val="-4"/>
          <w:szCs w:val="16"/>
          <w:lang w:val="es-MX"/>
        </w:rPr>
        <w:t>Caso Defensor de Derechos Humanos y otros Vs. Guatemala. Excepciones Preliminares, Fondo, Reparaciones y Costas. Sentencia de 28 de agosto de 2014. Serie C No. 283</w:t>
      </w:r>
      <w:r w:rsidRPr="00AD791A">
        <w:rPr>
          <w:rFonts w:ascii="Cambria" w:hAnsi="Cambria"/>
          <w:spacing w:val="-4"/>
          <w:szCs w:val="16"/>
          <w:lang w:val="es-CR"/>
        </w:rPr>
        <w:t>, párr. 199.</w:t>
      </w:r>
    </w:p>
  </w:footnote>
  <w:footnote w:id="172">
    <w:p w:rsidR="000A6E4C" w:rsidRPr="00AD791A" w:rsidRDefault="000A6E4C" w:rsidP="009D7F32">
      <w:pPr>
        <w:pStyle w:val="FootnoteText"/>
        <w:tabs>
          <w:tab w:val="left" w:pos="720"/>
        </w:tabs>
        <w:spacing w:after="120"/>
        <w:ind w:firstLine="720"/>
        <w:rPr>
          <w:rFonts w:ascii="Cambria" w:hAnsi="Cambria"/>
          <w:spacing w:val="-4"/>
          <w:szCs w:val="16"/>
          <w:lang w:val="es-CR"/>
        </w:rPr>
      </w:pPr>
      <w:r w:rsidRPr="00AD791A">
        <w:rPr>
          <w:rStyle w:val="FootnoteReference"/>
          <w:rFonts w:ascii="Cambria" w:hAnsi="Cambria"/>
          <w:spacing w:val="-4"/>
          <w:szCs w:val="16"/>
        </w:rPr>
        <w:footnoteRef/>
      </w:r>
      <w:r w:rsidRPr="00AD791A">
        <w:rPr>
          <w:rFonts w:ascii="Cambria" w:hAnsi="Cambria"/>
          <w:spacing w:val="-4"/>
          <w:szCs w:val="16"/>
          <w:lang w:val="es-CR"/>
        </w:rPr>
        <w:t xml:space="preserve"> </w:t>
      </w:r>
      <w:r w:rsidRPr="00AD791A">
        <w:rPr>
          <w:rFonts w:ascii="Cambria" w:hAnsi="Cambria"/>
          <w:bCs/>
          <w:szCs w:val="16"/>
          <w:lang w:val="es-CO"/>
        </w:rPr>
        <w:t>Corte IDH. Caso Rodríguez Vera y otros (Desaparecidos del Palacio de Justicia) Vs. Colombia. Excepciones Preliminares, Fondo, Reparaciones y Costas. Sentencia de 14 de noviembre de 2014. Serie C No. 287</w:t>
      </w:r>
      <w:r w:rsidRPr="00AD791A">
        <w:rPr>
          <w:rFonts w:ascii="Cambria" w:hAnsi="Cambria"/>
          <w:szCs w:val="16"/>
          <w:lang w:val="es-CO"/>
        </w:rPr>
        <w:t xml:space="preserve">. Párr. 435. Citando. </w:t>
      </w:r>
      <w:r w:rsidRPr="00AD791A">
        <w:rPr>
          <w:rFonts w:ascii="Cambria" w:hAnsi="Cambria"/>
          <w:iCs/>
          <w:spacing w:val="-4"/>
          <w:szCs w:val="16"/>
          <w:lang w:val="es-CR"/>
        </w:rPr>
        <w:t>Cfr. Caso Bulacio Vs. Argentina. Fondo, Reparaciones y Costas</w:t>
      </w:r>
      <w:r w:rsidRPr="00AD791A">
        <w:rPr>
          <w:rFonts w:ascii="Cambria" w:hAnsi="Cambria"/>
          <w:spacing w:val="-4"/>
          <w:szCs w:val="16"/>
          <w:lang w:val="es-CR"/>
        </w:rPr>
        <w:t xml:space="preserve">. Sentencia de 18 de septiembre de 2003. Serie C No. 100, párr. 114, y </w:t>
      </w:r>
      <w:r w:rsidRPr="00AD791A">
        <w:rPr>
          <w:rFonts w:ascii="Cambria" w:hAnsi="Cambria"/>
          <w:spacing w:val="-4"/>
          <w:szCs w:val="16"/>
          <w:lang w:val="es-MX"/>
        </w:rPr>
        <w:t>Caso Defensor de Derechos Humanos y otros Vs. Guatemala. Excepciones Preliminares, Fondo, Reparaciones y Costas. Sentencia de 28 de agosto de 2014. Serie C No. 283</w:t>
      </w:r>
      <w:r w:rsidRPr="00AD791A">
        <w:rPr>
          <w:rFonts w:ascii="Cambria" w:hAnsi="Cambria"/>
          <w:spacing w:val="-4"/>
          <w:szCs w:val="16"/>
          <w:lang w:val="es-CR"/>
        </w:rPr>
        <w:t>, párr. 199.</w:t>
      </w:r>
    </w:p>
  </w:footnote>
  <w:footnote w:id="173">
    <w:p w:rsidR="000A6E4C" w:rsidRPr="00AD791A" w:rsidRDefault="000A6E4C" w:rsidP="009D7F32">
      <w:pPr>
        <w:pStyle w:val="FootnoteText"/>
        <w:spacing w:after="120"/>
        <w:ind w:firstLine="720"/>
        <w:rPr>
          <w:rFonts w:ascii="Cambria" w:hAnsi="Cambria"/>
          <w:szCs w:val="16"/>
          <w:lang w:val="es-ES"/>
        </w:rPr>
      </w:pPr>
      <w:r w:rsidRPr="00AD791A">
        <w:rPr>
          <w:rStyle w:val="FootnoteReference"/>
          <w:rFonts w:ascii="Cambria" w:hAnsi="Cambria"/>
          <w:szCs w:val="16"/>
        </w:rPr>
        <w:footnoteRef/>
      </w:r>
      <w:r w:rsidRPr="00AD791A">
        <w:rPr>
          <w:rStyle w:val="FootnoteReference"/>
          <w:rFonts w:ascii="Cambria" w:hAnsi="Cambria"/>
          <w:szCs w:val="16"/>
        </w:rPr>
        <w:t xml:space="preserve"> </w:t>
      </w:r>
      <w:r w:rsidRPr="00AD791A">
        <w:rPr>
          <w:rFonts w:ascii="Cambria" w:hAnsi="Cambria"/>
          <w:szCs w:val="16"/>
        </w:rPr>
        <w:t xml:space="preserve">Corte I.D.H., Caso Velásquez Rodríguez Vs. Honduras. Fondo. Sentencia de 29 de julio de 1988. Serie C No. 4, párr. 177; Corte I.D.H., </w:t>
      </w:r>
      <w:r w:rsidRPr="00AD791A">
        <w:rPr>
          <w:rFonts w:ascii="Cambria" w:hAnsi="Cambria"/>
          <w:bCs/>
          <w:szCs w:val="16"/>
        </w:rPr>
        <w:t xml:space="preserve">Caso Cantoral Huamaní y García Santa Cruz Vs. Perú. </w:t>
      </w:r>
      <w:r w:rsidRPr="00AD791A">
        <w:rPr>
          <w:rFonts w:ascii="Cambria" w:hAnsi="Cambria"/>
          <w:szCs w:val="16"/>
        </w:rPr>
        <w:t xml:space="preserve">Excepción Preliminar, Fondo, Reparaciones y Costas. Sentencia de 10 de julio de 2007. </w:t>
      </w:r>
      <w:r w:rsidRPr="00AD791A">
        <w:rPr>
          <w:rFonts w:ascii="Cambria" w:hAnsi="Cambria"/>
          <w:szCs w:val="16"/>
          <w:lang w:val="es-ES"/>
        </w:rPr>
        <w:t xml:space="preserve">Serie C No. 167, párr. 131. </w:t>
      </w:r>
    </w:p>
  </w:footnote>
  <w:footnote w:id="174">
    <w:p w:rsidR="000A6E4C" w:rsidRPr="00AD791A" w:rsidRDefault="000A6E4C" w:rsidP="009D7F32">
      <w:pPr>
        <w:pStyle w:val="FootnoteText"/>
        <w:spacing w:before="0" w:after="120"/>
        <w:ind w:firstLine="720"/>
        <w:rPr>
          <w:rFonts w:ascii="Cambria" w:hAnsi="Cambria"/>
          <w:szCs w:val="16"/>
          <w:lang w:val="es-ES"/>
        </w:rPr>
      </w:pPr>
      <w:r w:rsidRPr="00AD791A">
        <w:rPr>
          <w:rStyle w:val="FootnoteReference"/>
          <w:rFonts w:ascii="Cambria" w:hAnsi="Cambria"/>
          <w:szCs w:val="16"/>
          <w:lang w:val="es-ES"/>
        </w:rPr>
        <w:footnoteRef/>
      </w:r>
      <w:r w:rsidRPr="00AD791A">
        <w:rPr>
          <w:rStyle w:val="FootnoteReference"/>
          <w:rFonts w:ascii="Cambria" w:hAnsi="Cambria"/>
          <w:szCs w:val="16"/>
          <w:lang w:val="es-ES"/>
        </w:rPr>
        <w:t xml:space="preserve"> </w:t>
      </w:r>
      <w:r w:rsidRPr="00AD791A">
        <w:rPr>
          <w:rFonts w:ascii="Cambria" w:hAnsi="Cambria"/>
          <w:szCs w:val="16"/>
          <w:lang w:val="es-ES"/>
        </w:rPr>
        <w:t xml:space="preserve">Corte IDH., </w:t>
      </w:r>
      <w:r w:rsidRPr="00AD791A">
        <w:rPr>
          <w:rFonts w:ascii="Cambria" w:hAnsi="Cambria"/>
          <w:bCs/>
          <w:i/>
          <w:szCs w:val="16"/>
          <w:lang w:val="es-ES"/>
        </w:rPr>
        <w:t>Caso García Prieto y otros Vs. El Salvador.</w:t>
      </w:r>
      <w:r w:rsidRPr="00AD791A">
        <w:rPr>
          <w:rFonts w:ascii="Cambria" w:hAnsi="Cambria"/>
          <w:bCs/>
          <w:szCs w:val="16"/>
          <w:lang w:val="es-ES"/>
        </w:rPr>
        <w:t xml:space="preserve"> </w:t>
      </w:r>
      <w:r w:rsidRPr="00AD791A">
        <w:rPr>
          <w:rFonts w:ascii="Cambria" w:hAnsi="Cambria"/>
          <w:szCs w:val="16"/>
          <w:lang w:val="es-ES"/>
        </w:rPr>
        <w:t xml:space="preserve">Excepción Preliminar, Fondo, Reparaciones y Costas. Sentencia de 20 de noviembre de 2007. Serie C No. 168, párr. 101; Corte IDH., </w:t>
      </w:r>
      <w:r w:rsidRPr="00AD791A">
        <w:rPr>
          <w:rFonts w:ascii="Cambria" w:hAnsi="Cambria"/>
          <w:i/>
          <w:szCs w:val="16"/>
          <w:lang w:val="es-ES"/>
        </w:rPr>
        <w:t>Caso de los Hermanos Gómez Paquiyauri Vs. Perú</w:t>
      </w:r>
      <w:r w:rsidRPr="00AD791A">
        <w:rPr>
          <w:rFonts w:ascii="Cambria" w:hAnsi="Cambria"/>
          <w:szCs w:val="16"/>
          <w:lang w:val="es-ES"/>
        </w:rPr>
        <w:t xml:space="preserve">. Sentencia de 8 de julio de 2004. Serie C No. 110, párr. 146; Corte IDH., </w:t>
      </w:r>
      <w:r w:rsidRPr="00AD791A">
        <w:rPr>
          <w:rFonts w:ascii="Cambria" w:hAnsi="Cambria"/>
          <w:bCs/>
          <w:i/>
          <w:szCs w:val="16"/>
          <w:lang w:val="es-ES"/>
        </w:rPr>
        <w:t>Caso Cantoral Huamaní y García Santa Cruz Vs. Perú.</w:t>
      </w:r>
      <w:r w:rsidRPr="00AD791A">
        <w:rPr>
          <w:rFonts w:ascii="Cambria" w:hAnsi="Cambria"/>
          <w:bCs/>
          <w:szCs w:val="16"/>
          <w:lang w:val="es-ES"/>
        </w:rPr>
        <w:t xml:space="preserve"> </w:t>
      </w:r>
      <w:r w:rsidRPr="00AD791A">
        <w:rPr>
          <w:rFonts w:ascii="Cambria" w:hAnsi="Cambria"/>
          <w:szCs w:val="16"/>
          <w:lang w:val="es-ES"/>
        </w:rPr>
        <w:t xml:space="preserve">Excepción Preliminar, Fondo, Reparaciones y Costas. Sentencia de 10 de julio de 2007. Serie C No. 167, párr. 130. </w:t>
      </w:r>
      <w:r w:rsidRPr="00AD791A">
        <w:rPr>
          <w:rFonts w:ascii="Cambria" w:hAnsi="Cambria"/>
          <w:i/>
          <w:szCs w:val="16"/>
          <w:lang w:val="es-ES"/>
        </w:rPr>
        <w:t xml:space="preserve"> </w:t>
      </w:r>
    </w:p>
  </w:footnote>
  <w:footnote w:id="175">
    <w:p w:rsidR="000A6E4C" w:rsidRPr="00AD791A" w:rsidRDefault="000A6E4C" w:rsidP="009D7F32">
      <w:pPr>
        <w:pStyle w:val="FootnoteText"/>
        <w:spacing w:before="0" w:after="120"/>
        <w:ind w:firstLine="720"/>
        <w:rPr>
          <w:rFonts w:ascii="Cambria" w:hAnsi="Cambria"/>
          <w:szCs w:val="16"/>
          <w:lang w:val="es-ES"/>
        </w:rPr>
      </w:pPr>
      <w:r w:rsidRPr="00AD791A">
        <w:rPr>
          <w:rStyle w:val="FootnoteReference"/>
          <w:rFonts w:ascii="Cambria" w:hAnsi="Cambria"/>
          <w:szCs w:val="16"/>
          <w:lang w:val="es-ES"/>
        </w:rPr>
        <w:footnoteRef/>
      </w:r>
      <w:r w:rsidRPr="00AD791A">
        <w:rPr>
          <w:rFonts w:ascii="Cambria" w:hAnsi="Cambria"/>
          <w:szCs w:val="16"/>
          <w:lang w:val="es-CO"/>
        </w:rPr>
        <w:t xml:space="preserve"> Corte IDH., </w:t>
      </w:r>
      <w:r w:rsidRPr="00AD791A">
        <w:rPr>
          <w:rFonts w:ascii="Cambria" w:hAnsi="Cambria"/>
          <w:i/>
          <w:szCs w:val="16"/>
          <w:lang w:val="es-CO"/>
        </w:rPr>
        <w:t xml:space="preserve">Caso Bulacio Vs. </w:t>
      </w:r>
      <w:r w:rsidRPr="00AD791A">
        <w:rPr>
          <w:rFonts w:ascii="Cambria" w:hAnsi="Cambria"/>
          <w:i/>
          <w:szCs w:val="16"/>
          <w:lang w:val="es-ES"/>
        </w:rPr>
        <w:t>Argentina</w:t>
      </w:r>
      <w:r w:rsidRPr="00AD791A">
        <w:rPr>
          <w:rFonts w:ascii="Cambria" w:hAnsi="Cambria"/>
          <w:szCs w:val="16"/>
          <w:lang w:val="es-ES"/>
        </w:rPr>
        <w:t xml:space="preserve">. Sentencia de 18 de septiembre de 2003. Serie C No. 100, párr. 114; Corte IDH., </w:t>
      </w:r>
      <w:r w:rsidRPr="00AD791A">
        <w:rPr>
          <w:rFonts w:ascii="Cambria" w:hAnsi="Cambria"/>
          <w:i/>
          <w:szCs w:val="16"/>
          <w:lang w:val="es-ES"/>
        </w:rPr>
        <w:t>Caso de la Masacre de la Rochela Vs. Colombia</w:t>
      </w:r>
      <w:r w:rsidRPr="00AD791A">
        <w:rPr>
          <w:rFonts w:ascii="Cambria" w:hAnsi="Cambria"/>
          <w:szCs w:val="16"/>
          <w:lang w:val="es-ES"/>
        </w:rPr>
        <w:t xml:space="preserve">.  Sentencia de 11 de mayo de 2007.  Serie C. No. 163, párr. 146; Corte IDH., </w:t>
      </w:r>
      <w:r w:rsidRPr="00AD791A">
        <w:rPr>
          <w:rFonts w:ascii="Cambria" w:hAnsi="Cambria"/>
          <w:bCs/>
          <w:i/>
          <w:szCs w:val="16"/>
          <w:lang w:val="es-ES"/>
        </w:rPr>
        <w:t>Caso del Penal Miguel Castro Castro Vs. Perú</w:t>
      </w:r>
      <w:r w:rsidRPr="00AD791A">
        <w:rPr>
          <w:rFonts w:ascii="Cambria" w:hAnsi="Cambria"/>
          <w:bCs/>
          <w:szCs w:val="16"/>
          <w:lang w:val="es-ES"/>
        </w:rPr>
        <w:t xml:space="preserve">. </w:t>
      </w:r>
      <w:r w:rsidRPr="00AD791A">
        <w:rPr>
          <w:rFonts w:ascii="Cambria" w:hAnsi="Cambria"/>
          <w:szCs w:val="16"/>
          <w:lang w:val="es-ES"/>
        </w:rPr>
        <w:t>Sentencia de 25 de noviembre de 2006. Serie C No. 160, párr. 382.</w:t>
      </w:r>
    </w:p>
  </w:footnote>
  <w:footnote w:id="176">
    <w:p w:rsidR="000A6E4C" w:rsidRPr="00AD791A" w:rsidRDefault="000A6E4C" w:rsidP="009D7F32">
      <w:pPr>
        <w:pStyle w:val="FootnoteText"/>
        <w:spacing w:before="0" w:after="120"/>
        <w:ind w:firstLine="720"/>
        <w:rPr>
          <w:rFonts w:ascii="Cambria" w:hAnsi="Cambria"/>
          <w:szCs w:val="16"/>
          <w:lang w:val="es-ES"/>
        </w:rPr>
      </w:pPr>
      <w:r w:rsidRPr="00AD791A">
        <w:rPr>
          <w:rStyle w:val="FootnoteReference"/>
          <w:rFonts w:ascii="Cambria" w:hAnsi="Cambria"/>
          <w:szCs w:val="16"/>
          <w:lang w:val="es-ES"/>
        </w:rPr>
        <w:footnoteRef/>
      </w:r>
      <w:r w:rsidRPr="00AD791A">
        <w:rPr>
          <w:rFonts w:ascii="Cambria" w:hAnsi="Cambria"/>
          <w:szCs w:val="16"/>
          <w:lang w:val="es-ES"/>
        </w:rPr>
        <w:t xml:space="preserve"> CIDH, Informe No. 56/12 Fondo (Florentín Gudiel Ramos, Makrina Gudiel Álvarez y otros) Guatemala, 21 de marzo de 2012, párr. </w:t>
      </w:r>
      <w:r w:rsidRPr="00AD791A">
        <w:rPr>
          <w:rFonts w:ascii="Cambria" w:hAnsi="Cambria"/>
          <w:szCs w:val="16"/>
          <w:lang w:val="es-MX"/>
        </w:rPr>
        <w:t xml:space="preserve">126; </w:t>
      </w:r>
      <w:r w:rsidRPr="00AD791A">
        <w:rPr>
          <w:rFonts w:ascii="Cambria" w:hAnsi="Cambria"/>
          <w:szCs w:val="16"/>
          <w:lang w:val="es-ES"/>
        </w:rPr>
        <w:t xml:space="preserve">CIDH, </w:t>
      </w:r>
      <w:r w:rsidRPr="00AD791A">
        <w:rPr>
          <w:rFonts w:ascii="Cambria" w:hAnsi="Cambria"/>
          <w:i/>
          <w:szCs w:val="16"/>
          <w:lang w:val="es-ES"/>
        </w:rPr>
        <w:t>Acceso a la Justicia para las Mujeres Víctimas de Violencia en las Américas</w:t>
      </w:r>
      <w:r w:rsidRPr="00AD791A">
        <w:rPr>
          <w:rFonts w:ascii="Cambria" w:hAnsi="Cambria"/>
          <w:szCs w:val="16"/>
          <w:lang w:val="es-ES"/>
        </w:rPr>
        <w:t xml:space="preserve">, OEA/Ser. L/V/II. doc.68, 20 de enero de 2007, párr. 112. CIDH, </w:t>
      </w:r>
      <w:r w:rsidRPr="00AD791A">
        <w:rPr>
          <w:rFonts w:ascii="Cambria" w:hAnsi="Cambria"/>
          <w:i/>
          <w:iCs/>
          <w:szCs w:val="16"/>
          <w:lang w:val="es-ES"/>
        </w:rPr>
        <w:t>Informe sobre la Situación de las Defensoras y Defensores de los Derechos Humanos en las Américas</w:t>
      </w:r>
      <w:r w:rsidRPr="00AD791A">
        <w:rPr>
          <w:rFonts w:ascii="Cambria" w:hAnsi="Cambria"/>
          <w:szCs w:val="16"/>
          <w:lang w:val="es-ES"/>
        </w:rPr>
        <w:t xml:space="preserve"> OEA/Ser.L/V/II.124. Doc. 5 rev.1, 7 de marzo de 2006.</w:t>
      </w:r>
    </w:p>
  </w:footnote>
  <w:footnote w:id="177">
    <w:p w:rsidR="000A6E4C" w:rsidRPr="00AD791A" w:rsidRDefault="000A6E4C" w:rsidP="009D7F32">
      <w:pPr>
        <w:pStyle w:val="FootnoteText"/>
        <w:spacing w:before="0" w:after="120"/>
        <w:ind w:firstLine="720"/>
        <w:rPr>
          <w:rFonts w:ascii="Cambria" w:hAnsi="Cambria"/>
          <w:szCs w:val="16"/>
          <w:lang w:val="es-CO"/>
        </w:rPr>
      </w:pPr>
      <w:r w:rsidRPr="00AD791A">
        <w:rPr>
          <w:rStyle w:val="FootnoteReference"/>
          <w:rFonts w:ascii="Cambria" w:hAnsi="Cambria"/>
          <w:szCs w:val="16"/>
        </w:rPr>
        <w:footnoteRef/>
      </w:r>
      <w:r w:rsidRPr="00AD791A">
        <w:rPr>
          <w:rFonts w:ascii="Cambria" w:hAnsi="Cambria"/>
          <w:szCs w:val="16"/>
        </w:rPr>
        <w:t xml:space="preserve"> </w:t>
      </w:r>
      <w:hyperlink r:id="rId10" w:history="1">
        <w:r w:rsidRPr="00AD791A">
          <w:rPr>
            <w:rFonts w:ascii="Cambria" w:eastAsia="Times New Roman" w:hAnsi="Cambria" w:cs="Arial"/>
            <w:szCs w:val="16"/>
            <w:lang w:val="es-MX"/>
          </w:rPr>
          <w:t xml:space="preserve">Corte IDH. Caso Valle Jaramillo y otros Vs. Colombia. Fondo, Reparaciones y Costas. Sentencia de 27 de noviembre de 2008. Serie C No. 192, párr. 96. </w:t>
        </w:r>
      </w:hyperlink>
      <w:r w:rsidRPr="00AD791A">
        <w:rPr>
          <w:rFonts w:ascii="Cambria" w:hAnsi="Cambria"/>
          <w:i/>
          <w:iCs/>
          <w:szCs w:val="16"/>
          <w:lang w:val="es-MX"/>
        </w:rPr>
        <w:t xml:space="preserve"> Cfr. Caso Nogueira de Carvalho y otros Vs. Brasil. Excepciones Preliminares y Fondo.</w:t>
      </w:r>
      <w:r w:rsidRPr="00AD791A">
        <w:rPr>
          <w:rFonts w:ascii="Cambria" w:hAnsi="Cambria"/>
          <w:szCs w:val="16"/>
          <w:lang w:val="es-MX"/>
        </w:rPr>
        <w:t xml:space="preserve"> Sentencia de 28 de noviembre de 2006. Serie C No. 161, párr. </w:t>
      </w:r>
      <w:r w:rsidRPr="00AD791A">
        <w:rPr>
          <w:rFonts w:ascii="Cambria" w:hAnsi="Cambria"/>
          <w:szCs w:val="16"/>
          <w:lang w:val="es-CO"/>
        </w:rPr>
        <w:t>76.</w:t>
      </w:r>
    </w:p>
  </w:footnote>
  <w:footnote w:id="178">
    <w:p w:rsidR="000A6E4C" w:rsidRPr="00AD791A" w:rsidRDefault="000A6E4C" w:rsidP="009D7F32">
      <w:pPr>
        <w:pStyle w:val="FootnoteText"/>
        <w:spacing w:before="0" w:after="120"/>
        <w:ind w:firstLine="720"/>
        <w:rPr>
          <w:rFonts w:ascii="Cambria" w:hAnsi="Cambria"/>
          <w:szCs w:val="16"/>
          <w:lang w:val="es-ES"/>
        </w:rPr>
      </w:pPr>
      <w:r w:rsidRPr="00AD791A">
        <w:rPr>
          <w:rStyle w:val="FootnoteReference"/>
          <w:rFonts w:ascii="Cambria" w:hAnsi="Cambria"/>
          <w:szCs w:val="16"/>
          <w:lang w:val="es-ES"/>
        </w:rPr>
        <w:footnoteRef/>
      </w:r>
      <w:r w:rsidRPr="00AD791A">
        <w:rPr>
          <w:rFonts w:ascii="Cambria" w:hAnsi="Cambria"/>
          <w:szCs w:val="16"/>
          <w:lang w:val="es-ES"/>
        </w:rPr>
        <w:t xml:space="preserve"> OACNUDH. </w:t>
      </w:r>
      <w:r w:rsidRPr="00AD791A">
        <w:rPr>
          <w:rFonts w:ascii="Cambria" w:hAnsi="Cambria"/>
          <w:i/>
          <w:iCs/>
          <w:szCs w:val="16"/>
          <w:lang w:val="es-ES"/>
        </w:rPr>
        <w:t xml:space="preserve">Defender los derechos humanos: entre el compromiso y el riesgo. </w:t>
      </w:r>
      <w:r w:rsidRPr="00AD791A">
        <w:rPr>
          <w:rFonts w:ascii="Cambria" w:hAnsi="Cambria"/>
          <w:szCs w:val="16"/>
          <w:lang w:val="es-ES"/>
        </w:rPr>
        <w:t xml:space="preserve">Resumen Ejecutivo, párr.7. </w:t>
      </w:r>
      <w:hyperlink r:id="rId11" w:history="1">
        <w:r w:rsidRPr="00AD791A">
          <w:rPr>
            <w:rStyle w:val="Hyperlink"/>
            <w:rFonts w:ascii="Cambria" w:hAnsi="Cambria"/>
            <w:color w:val="auto"/>
            <w:szCs w:val="16"/>
            <w:lang w:val="es-ES"/>
          </w:rPr>
          <w:t>http://www.hchr.org.mx/documentos/libros/informepdf.pdf</w:t>
        </w:r>
      </w:hyperlink>
    </w:p>
  </w:footnote>
  <w:footnote w:id="179">
    <w:p w:rsidR="000A6E4C" w:rsidRPr="00AD791A" w:rsidRDefault="000A6E4C" w:rsidP="009D7F32">
      <w:pPr>
        <w:tabs>
          <w:tab w:val="left" w:pos="360"/>
          <w:tab w:val="left" w:pos="720"/>
          <w:tab w:val="left" w:pos="900"/>
          <w:tab w:val="left" w:pos="1080"/>
        </w:tabs>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Corte IDH., </w:t>
      </w:r>
      <w:r w:rsidRPr="00AD791A">
        <w:rPr>
          <w:rFonts w:ascii="Cambria" w:hAnsi="Cambria"/>
          <w:bCs/>
          <w:i/>
          <w:sz w:val="16"/>
          <w:szCs w:val="16"/>
          <w:lang w:val="es-MX"/>
        </w:rPr>
        <w:t>Caso García Prieto y otros.</w:t>
      </w:r>
      <w:r w:rsidRPr="00AD791A">
        <w:rPr>
          <w:rFonts w:ascii="Cambria" w:hAnsi="Cambria"/>
          <w:bCs/>
          <w:sz w:val="16"/>
          <w:szCs w:val="16"/>
          <w:lang w:val="es-MX"/>
        </w:rPr>
        <w:t xml:space="preserve"> </w:t>
      </w:r>
      <w:r w:rsidRPr="00AD791A">
        <w:rPr>
          <w:rFonts w:ascii="Cambria" w:hAnsi="Cambria"/>
          <w:sz w:val="16"/>
          <w:szCs w:val="16"/>
          <w:lang w:val="es-MX"/>
        </w:rPr>
        <w:t xml:space="preserve">Excepción Preliminar, Fondo, Reparaciones y Costas. Sentencia de 20 de noviembre de 2007. Serie C No. 168. Párr. 101. </w:t>
      </w:r>
      <w:r w:rsidRPr="00AD791A">
        <w:rPr>
          <w:rFonts w:ascii="Cambria" w:hAnsi="Cambria"/>
          <w:i/>
          <w:sz w:val="16"/>
          <w:szCs w:val="16"/>
          <w:lang w:val="es-MX"/>
        </w:rPr>
        <w:t xml:space="preserve"> </w:t>
      </w:r>
    </w:p>
  </w:footnote>
  <w:footnote w:id="180">
    <w:p w:rsidR="000A6E4C" w:rsidRPr="00AD791A" w:rsidRDefault="000A6E4C" w:rsidP="007C449B">
      <w:pPr>
        <w:pStyle w:val="FootnoteText"/>
        <w:spacing w:before="0" w:after="120"/>
        <w:ind w:firstLine="720"/>
        <w:rPr>
          <w:rFonts w:ascii="Cambria" w:hAnsi="Cambria"/>
          <w:szCs w:val="16"/>
          <w:lang w:val="es-ES"/>
        </w:rPr>
      </w:pPr>
      <w:r w:rsidRPr="00AD791A">
        <w:rPr>
          <w:rStyle w:val="FootnoteReference"/>
          <w:rFonts w:ascii="Cambria" w:hAnsi="Cambria"/>
          <w:szCs w:val="16"/>
          <w:lang w:val="es-ES"/>
        </w:rPr>
        <w:footnoteRef/>
      </w:r>
      <w:r w:rsidRPr="00AD791A">
        <w:rPr>
          <w:rFonts w:ascii="Cambria" w:hAnsi="Cambria"/>
          <w:szCs w:val="16"/>
          <w:lang w:val="es-ES"/>
        </w:rPr>
        <w:t xml:space="preserve"> Corte IDH., </w:t>
      </w:r>
      <w:r w:rsidRPr="00AD791A">
        <w:rPr>
          <w:rFonts w:ascii="Cambria" w:hAnsi="Cambria"/>
          <w:i/>
          <w:iCs/>
          <w:szCs w:val="16"/>
          <w:lang w:val="es-ES"/>
        </w:rPr>
        <w:t>Caso de los “Niños de la Calle” (Villagrán Morales y otros) Vs. Guatemala.</w:t>
      </w:r>
      <w:r w:rsidRPr="00AD791A">
        <w:rPr>
          <w:rFonts w:ascii="Cambria" w:hAnsi="Cambria"/>
          <w:szCs w:val="16"/>
          <w:lang w:val="es-ES"/>
        </w:rPr>
        <w:t xml:space="preserve"> Sentencia de 19 de noviembre de 1999. Serie C No. 63, párr. 230. Ver también, CIDH, Informe No. 56/12 Fondo (Florentín Gudiel Ramos, Makrina Gudiel Álvarez y otros) Guatemala, 21 de marzo de 2012, párr. </w:t>
      </w:r>
      <w:r w:rsidRPr="00AD791A">
        <w:rPr>
          <w:rFonts w:ascii="Cambria" w:hAnsi="Cambria"/>
          <w:szCs w:val="16"/>
          <w:lang w:val="es-MX"/>
        </w:rPr>
        <w:t xml:space="preserve">126; </w:t>
      </w:r>
      <w:r w:rsidRPr="00AD791A">
        <w:rPr>
          <w:rFonts w:ascii="Cambria" w:hAnsi="Cambria"/>
          <w:szCs w:val="16"/>
          <w:lang w:val="es-ES"/>
        </w:rPr>
        <w:t xml:space="preserve">CIDH, </w:t>
      </w:r>
      <w:r w:rsidRPr="00AD791A">
        <w:rPr>
          <w:rFonts w:ascii="Cambria" w:hAnsi="Cambria"/>
          <w:i/>
          <w:szCs w:val="16"/>
          <w:lang w:val="es-ES"/>
        </w:rPr>
        <w:t>Acceso a la Justicia para las Mujeres Víctimas de Violencia en las Américas</w:t>
      </w:r>
      <w:r w:rsidRPr="00AD791A">
        <w:rPr>
          <w:rFonts w:ascii="Cambria" w:hAnsi="Cambria"/>
          <w:szCs w:val="16"/>
          <w:lang w:val="es-ES"/>
        </w:rPr>
        <w:t>, OEA/Ser. L/V/II. doc.68, 20 de enero de 2007, párr. 41.</w:t>
      </w:r>
    </w:p>
  </w:footnote>
  <w:footnote w:id="181">
    <w:p w:rsidR="000A6E4C" w:rsidRPr="00AD791A" w:rsidRDefault="000A6E4C" w:rsidP="007C449B">
      <w:pPr>
        <w:pStyle w:val="BodyTextIndent"/>
        <w:spacing w:after="120"/>
        <w:rPr>
          <w:rFonts w:ascii="Cambria" w:hAnsi="Cambria"/>
          <w:sz w:val="16"/>
          <w:szCs w:val="16"/>
          <w:lang w:val="es-ES"/>
        </w:rPr>
      </w:pPr>
      <w:r w:rsidRPr="00AD791A">
        <w:rPr>
          <w:rStyle w:val="FootnoteReference"/>
          <w:rFonts w:ascii="Cambria" w:hAnsi="Cambria"/>
          <w:sz w:val="16"/>
          <w:szCs w:val="16"/>
          <w:lang w:val="es-ES"/>
        </w:rPr>
        <w:footnoteRef/>
      </w:r>
      <w:r w:rsidRPr="00AD791A">
        <w:rPr>
          <w:rFonts w:ascii="Cambria" w:hAnsi="Cambria"/>
          <w:sz w:val="16"/>
          <w:szCs w:val="16"/>
          <w:lang w:val="es-ES"/>
        </w:rPr>
        <w:t xml:space="preserve"> CIDH, Informe No. 56/12 Fondo (Florentín Gudiel Ramos, Makrina Gudiel Álvarez y otros) Guatemala, 21 de marzo de 2012, párr. 110; CIDH, Informe No. 100/11 Fondo (Carlos Antonio Luna López y otros) Honduras, 22 de julio de 2011, párr. 188. Ver también CIDH, </w:t>
      </w:r>
      <w:r w:rsidRPr="00AD791A">
        <w:rPr>
          <w:rFonts w:ascii="Cambria" w:hAnsi="Cambria"/>
          <w:i/>
          <w:sz w:val="16"/>
          <w:szCs w:val="16"/>
          <w:lang w:val="es-ES"/>
        </w:rPr>
        <w:t>Informe sobre la Situación de las Defensoras y Defensores de los Derechos Humanos en las Américas</w:t>
      </w:r>
      <w:r w:rsidRPr="00AD791A">
        <w:rPr>
          <w:rFonts w:ascii="Cambria" w:hAnsi="Cambria"/>
          <w:sz w:val="16"/>
          <w:szCs w:val="16"/>
          <w:lang w:val="es-ES"/>
        </w:rPr>
        <w:t xml:space="preserve"> OEA/Ser.L/V/II.124. Doc. 5 rev.1, 7 de marzo de 2006, párr. 109.</w:t>
      </w:r>
    </w:p>
  </w:footnote>
  <w:footnote w:id="182">
    <w:p w:rsidR="000A6E4C" w:rsidRPr="00671784" w:rsidRDefault="000A6E4C" w:rsidP="007C449B">
      <w:pPr>
        <w:autoSpaceDE w:val="0"/>
        <w:autoSpaceDN w:val="0"/>
        <w:adjustRightInd w:val="0"/>
        <w:spacing w:after="120"/>
        <w:ind w:firstLine="720"/>
        <w:jc w:val="both"/>
        <w:rPr>
          <w:rFonts w:ascii="Cambria" w:hAnsi="Cambria"/>
          <w:sz w:val="16"/>
          <w:szCs w:val="16"/>
          <w:lang w:val="pt-BR"/>
        </w:rPr>
      </w:pPr>
      <w:r w:rsidRPr="00AD791A">
        <w:rPr>
          <w:rStyle w:val="FootnoteReference"/>
          <w:rFonts w:ascii="Cambria" w:hAnsi="Cambria"/>
          <w:sz w:val="16"/>
          <w:szCs w:val="16"/>
        </w:rPr>
        <w:footnoteRef/>
      </w:r>
      <w:r w:rsidRPr="00AD791A">
        <w:rPr>
          <w:rFonts w:ascii="Cambria" w:hAnsi="Cambria"/>
          <w:sz w:val="16"/>
          <w:szCs w:val="16"/>
          <w:lang w:val="es-MX"/>
        </w:rPr>
        <w:t xml:space="preserve"> </w:t>
      </w:r>
      <w:r w:rsidRPr="00AD791A">
        <w:rPr>
          <w:rFonts w:ascii="Cambria" w:hAnsi="Cambria" w:cs="Calibri"/>
          <w:sz w:val="16"/>
          <w:szCs w:val="16"/>
          <w:lang w:val="es-MX"/>
        </w:rPr>
        <w:t xml:space="preserve">Corte I.D.H., </w:t>
      </w:r>
      <w:r w:rsidRPr="00AD791A">
        <w:rPr>
          <w:rFonts w:ascii="Cambria" w:hAnsi="Cambria" w:cs="Calibri-Italic"/>
          <w:i/>
          <w:iCs/>
          <w:sz w:val="16"/>
          <w:szCs w:val="16"/>
          <w:lang w:val="es-MX"/>
        </w:rPr>
        <w:t xml:space="preserve">Caso Zambrano Vélez y otros Vs. Ecuador. </w:t>
      </w:r>
      <w:r w:rsidRPr="00AD791A">
        <w:rPr>
          <w:rFonts w:ascii="Cambria" w:hAnsi="Cambria" w:cs="Calibri"/>
          <w:sz w:val="16"/>
          <w:szCs w:val="16"/>
          <w:lang w:val="es-MX"/>
        </w:rPr>
        <w:t xml:space="preserve">Fondo, Reparaciones y Costas. Sentencia de 4 de julio de 2007. </w:t>
      </w:r>
      <w:r w:rsidRPr="00671784">
        <w:rPr>
          <w:rFonts w:ascii="Cambria" w:hAnsi="Cambria" w:cs="Calibri"/>
          <w:sz w:val="16"/>
          <w:szCs w:val="16"/>
          <w:lang w:val="pt-BR"/>
        </w:rPr>
        <w:t>Serie C No. 166, párr. 122.</w:t>
      </w:r>
    </w:p>
  </w:footnote>
  <w:footnote w:id="183">
    <w:p w:rsidR="000A6E4C" w:rsidRPr="00AD791A" w:rsidRDefault="000A6E4C" w:rsidP="007C449B">
      <w:pPr>
        <w:pStyle w:val="FootnoteText"/>
        <w:spacing w:before="0" w:after="120"/>
        <w:ind w:firstLine="720"/>
        <w:rPr>
          <w:rFonts w:ascii="Cambria" w:hAnsi="Cambria"/>
          <w:i/>
          <w:szCs w:val="16"/>
          <w:lang w:val="pt-BR"/>
        </w:rPr>
      </w:pPr>
      <w:r w:rsidRPr="00AD791A">
        <w:rPr>
          <w:rStyle w:val="FootnoteReference"/>
          <w:rFonts w:ascii="Cambria" w:hAnsi="Cambria"/>
          <w:szCs w:val="16"/>
        </w:rPr>
        <w:footnoteRef/>
      </w:r>
      <w:r w:rsidRPr="00671784">
        <w:rPr>
          <w:rFonts w:ascii="Cambria" w:hAnsi="Cambria"/>
          <w:szCs w:val="16"/>
          <w:lang w:val="pt-BR"/>
        </w:rPr>
        <w:t xml:space="preserve"> </w:t>
      </w:r>
      <w:r w:rsidRPr="00671784">
        <w:rPr>
          <w:rFonts w:ascii="Cambria" w:hAnsi="Cambria"/>
          <w:i/>
          <w:szCs w:val="16"/>
          <w:lang w:val="pt-BR"/>
        </w:rPr>
        <w:t xml:space="preserve">Cfr. </w:t>
      </w:r>
      <w:r w:rsidRPr="00671784">
        <w:rPr>
          <w:rFonts w:ascii="Cambria" w:hAnsi="Cambria"/>
          <w:szCs w:val="16"/>
          <w:lang w:val="pt-BR"/>
        </w:rPr>
        <w:t xml:space="preserve">Corte IDH., </w:t>
      </w:r>
      <w:r w:rsidRPr="00671784">
        <w:rPr>
          <w:rFonts w:ascii="Cambria" w:hAnsi="Cambria"/>
          <w:i/>
          <w:szCs w:val="16"/>
          <w:lang w:val="pt-BR"/>
        </w:rPr>
        <w:t xml:space="preserve">Caso Kawas Fernández Vs. </w:t>
      </w:r>
      <w:r w:rsidRPr="00AD791A">
        <w:rPr>
          <w:rFonts w:ascii="Cambria" w:hAnsi="Cambria"/>
          <w:i/>
          <w:szCs w:val="16"/>
          <w:lang w:val="es-CO"/>
        </w:rPr>
        <w:t>Honduras</w:t>
      </w:r>
      <w:r w:rsidRPr="00AD791A">
        <w:rPr>
          <w:rFonts w:ascii="Cambria" w:hAnsi="Cambria"/>
          <w:szCs w:val="16"/>
          <w:lang w:val="es-CO"/>
        </w:rPr>
        <w:t xml:space="preserve">. Fondo, Reparaciones y Costas. Sentencia de 3 de abril de 2009 Serie C No. 196, párr. </w:t>
      </w:r>
      <w:r w:rsidRPr="00AD791A">
        <w:rPr>
          <w:rFonts w:ascii="Cambria" w:hAnsi="Cambria"/>
          <w:i/>
          <w:szCs w:val="16"/>
          <w:lang w:val="es-CO"/>
        </w:rPr>
        <w:t xml:space="preserve">79, Caso Cantoral Huamaní y García Santa Cruz. Excepción Preliminar, Fondo, Reparaciones y Costas, </w:t>
      </w:r>
      <w:r w:rsidRPr="00AD791A">
        <w:rPr>
          <w:rFonts w:ascii="Cambria" w:hAnsi="Cambria"/>
          <w:szCs w:val="16"/>
          <w:lang w:val="es-CO"/>
        </w:rPr>
        <w:t xml:space="preserve">Sentencia de 10 de julio de 2007. </w:t>
      </w:r>
      <w:r w:rsidRPr="00AD791A">
        <w:rPr>
          <w:rFonts w:ascii="Cambria" w:hAnsi="Cambria"/>
          <w:szCs w:val="16"/>
          <w:lang w:val="pt-BR"/>
        </w:rPr>
        <w:t>Serie C No. 167, párr. 87.</w:t>
      </w:r>
    </w:p>
  </w:footnote>
  <w:footnote w:id="184">
    <w:p w:rsidR="000A6E4C" w:rsidRPr="00AD791A" w:rsidRDefault="000A6E4C" w:rsidP="007C449B">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pt-BR"/>
        </w:rPr>
        <w:t xml:space="preserve"> Corte IDH., </w:t>
      </w:r>
      <w:r w:rsidRPr="00AD791A">
        <w:rPr>
          <w:rFonts w:ascii="Cambria" w:hAnsi="Cambria"/>
          <w:i/>
          <w:szCs w:val="16"/>
          <w:lang w:val="pt-BR"/>
        </w:rPr>
        <w:t xml:space="preserve">Caso Kawas Fernández Vs. </w:t>
      </w:r>
      <w:r w:rsidRPr="00AD791A">
        <w:rPr>
          <w:rFonts w:ascii="Cambria" w:hAnsi="Cambria"/>
          <w:i/>
          <w:szCs w:val="16"/>
          <w:lang w:val="es-CO"/>
        </w:rPr>
        <w:t>Honduras</w:t>
      </w:r>
      <w:r w:rsidRPr="00AD791A">
        <w:rPr>
          <w:rFonts w:ascii="Cambria" w:hAnsi="Cambria"/>
          <w:szCs w:val="16"/>
          <w:lang w:val="es-CO"/>
        </w:rPr>
        <w:t xml:space="preserve">. Fondo, Reparaciones y Costas. Sentencia de 3 de abril de 2009. Serie C No. 196, párr.112.  </w:t>
      </w:r>
    </w:p>
  </w:footnote>
  <w:footnote w:id="185">
    <w:p w:rsidR="000A6E4C" w:rsidRPr="00AD791A" w:rsidRDefault="000A6E4C" w:rsidP="007C449B">
      <w:pPr>
        <w:spacing w:after="120"/>
        <w:ind w:firstLine="720"/>
        <w:jc w:val="both"/>
        <w:rPr>
          <w:rFonts w:ascii="Cambria" w:hAnsi="Cambria" w:cs="Arial"/>
          <w:sz w:val="16"/>
          <w:szCs w:val="16"/>
          <w:lang w:val="pt-BR"/>
        </w:rPr>
      </w:pPr>
      <w:r w:rsidRPr="00AD791A">
        <w:rPr>
          <w:rStyle w:val="FootnoteReference"/>
          <w:rFonts w:ascii="Cambria" w:hAnsi="Cambria"/>
          <w:sz w:val="16"/>
          <w:szCs w:val="16"/>
          <w:lang w:val="es-ES"/>
        </w:rPr>
        <w:footnoteRef/>
      </w:r>
      <w:r w:rsidRPr="00AD791A">
        <w:rPr>
          <w:rFonts w:ascii="Cambria" w:hAnsi="Cambria"/>
          <w:sz w:val="16"/>
          <w:szCs w:val="16"/>
          <w:lang w:val="es-ES"/>
        </w:rPr>
        <w:t xml:space="preserve"> CIDH, Informe de Fondo, N˚ 55/97, </w:t>
      </w:r>
      <w:r w:rsidRPr="00AD791A">
        <w:rPr>
          <w:rFonts w:ascii="Cambria" w:hAnsi="Cambria"/>
          <w:i/>
          <w:sz w:val="16"/>
          <w:szCs w:val="16"/>
          <w:lang w:val="es-ES"/>
        </w:rPr>
        <w:t xml:space="preserve">Juan Carlos Abella y Otros </w:t>
      </w:r>
      <w:r w:rsidRPr="00AD791A">
        <w:rPr>
          <w:rFonts w:ascii="Cambria" w:hAnsi="Cambria"/>
          <w:sz w:val="16"/>
          <w:szCs w:val="16"/>
          <w:lang w:val="es-ES"/>
        </w:rPr>
        <w:t>(Argentina)</w:t>
      </w:r>
      <w:r w:rsidRPr="00AD791A">
        <w:rPr>
          <w:rFonts w:ascii="Cambria" w:hAnsi="Cambria"/>
          <w:i/>
          <w:sz w:val="16"/>
          <w:szCs w:val="16"/>
          <w:lang w:val="es-ES"/>
        </w:rPr>
        <w:t xml:space="preserve">, </w:t>
      </w:r>
      <w:r w:rsidRPr="00AD791A">
        <w:rPr>
          <w:rFonts w:ascii="Cambria" w:hAnsi="Cambria"/>
          <w:sz w:val="16"/>
          <w:szCs w:val="16"/>
          <w:lang w:val="es-ES"/>
        </w:rPr>
        <w:t xml:space="preserve">18 de noviembre de 1997, párr. </w:t>
      </w:r>
      <w:r w:rsidRPr="00AD791A">
        <w:rPr>
          <w:rFonts w:ascii="Cambria" w:hAnsi="Cambria"/>
          <w:sz w:val="16"/>
          <w:szCs w:val="16"/>
          <w:lang w:val="pt-BR"/>
        </w:rPr>
        <w:t>412.</w:t>
      </w:r>
    </w:p>
  </w:footnote>
  <w:footnote w:id="186">
    <w:p w:rsidR="000A6E4C" w:rsidRPr="00AD791A" w:rsidRDefault="000A6E4C" w:rsidP="007C449B">
      <w:pPr>
        <w:pStyle w:val="FootnoteText"/>
        <w:spacing w:before="0" w:after="120"/>
        <w:ind w:firstLine="720"/>
        <w:rPr>
          <w:rFonts w:ascii="Cambria" w:hAnsi="Cambria"/>
          <w:szCs w:val="16"/>
          <w:lang w:val="es-CO"/>
        </w:rPr>
      </w:pPr>
      <w:r w:rsidRPr="00AD791A">
        <w:rPr>
          <w:rStyle w:val="FootnoteReference"/>
          <w:rFonts w:ascii="Cambria" w:hAnsi="Cambria"/>
          <w:szCs w:val="16"/>
        </w:rPr>
        <w:footnoteRef/>
      </w:r>
      <w:r w:rsidRPr="00AD791A">
        <w:rPr>
          <w:rFonts w:ascii="Cambria" w:hAnsi="Cambria"/>
          <w:szCs w:val="16"/>
          <w:lang w:val="pt-BR"/>
        </w:rPr>
        <w:t xml:space="preserve">CIDH, Informe No. 25/09 Fondo (Sebastião Camargo Filho) Brasil, 19 de marzo de 2009, párr. </w:t>
      </w:r>
      <w:r w:rsidRPr="00AD791A">
        <w:rPr>
          <w:rFonts w:ascii="Cambria" w:hAnsi="Cambria"/>
          <w:szCs w:val="16"/>
          <w:lang w:val="es-CO"/>
        </w:rPr>
        <w:t xml:space="preserve">109. Ver también, </w:t>
      </w:r>
      <w:r w:rsidRPr="00AD791A">
        <w:rPr>
          <w:rFonts w:ascii="Cambria" w:hAnsi="Cambria"/>
          <w:szCs w:val="16"/>
          <w:lang w:val="es-AR"/>
        </w:rPr>
        <w:t xml:space="preserve">CIDH, </w:t>
      </w:r>
      <w:r w:rsidRPr="00AD791A">
        <w:rPr>
          <w:rFonts w:ascii="Cambria" w:hAnsi="Cambria"/>
          <w:i/>
          <w:szCs w:val="16"/>
          <w:lang w:val="es-AR"/>
        </w:rPr>
        <w:t>Acceso a la Justicia para las Mujeres Víctimas de Violencia en las Américas</w:t>
      </w:r>
      <w:r w:rsidRPr="00AD791A">
        <w:rPr>
          <w:rFonts w:ascii="Cambria" w:hAnsi="Cambria"/>
          <w:szCs w:val="16"/>
          <w:lang w:val="es-AR"/>
        </w:rPr>
        <w:t xml:space="preserve">, </w:t>
      </w:r>
      <w:r w:rsidRPr="00AD791A">
        <w:rPr>
          <w:rFonts w:ascii="Cambria" w:hAnsi="Cambria"/>
          <w:szCs w:val="16"/>
          <w:lang w:val="es-CO"/>
        </w:rPr>
        <w:t xml:space="preserve">OEA/Ser. L/V/II. doc.68, 20 de enero de 2007, párr. 41; </w:t>
      </w:r>
      <w:r w:rsidRPr="00AD791A">
        <w:rPr>
          <w:rFonts w:ascii="Cambria" w:hAnsi="Cambria"/>
          <w:szCs w:val="16"/>
          <w:lang w:val="es-ES"/>
        </w:rPr>
        <w:t xml:space="preserve">Corte I.D.H., </w:t>
      </w:r>
      <w:hyperlink r:id="rId12" w:history="1">
        <w:r w:rsidRPr="00AD791A">
          <w:rPr>
            <w:rFonts w:asciiTheme="majorHAnsi" w:hAnsiTheme="majorHAnsi"/>
          </w:rPr>
          <w:t>Caso González Medina y familiares Vs. República Dominicana. Excepciones Preliminares, Fondo, Reparaciones y Costas. Sentencia de 27 de febrero de 2012 Serie C No. 240</w:t>
        </w:r>
      </w:hyperlink>
      <w:r w:rsidRPr="00AD791A">
        <w:rPr>
          <w:rFonts w:asciiTheme="majorHAnsi" w:hAnsiTheme="majorHAnsi"/>
          <w:szCs w:val="16"/>
        </w:rPr>
        <w:t>, párr. 115</w:t>
      </w:r>
      <w:r w:rsidRPr="00AD791A">
        <w:rPr>
          <w:rFonts w:ascii="Cambria" w:hAnsi="Cambria"/>
          <w:szCs w:val="16"/>
        </w:rPr>
        <w:t xml:space="preserve">. Asimismo, véase: </w:t>
      </w:r>
      <w:r w:rsidRPr="00AD791A">
        <w:rPr>
          <w:rFonts w:ascii="Cambria" w:hAnsi="Cambria"/>
          <w:szCs w:val="16"/>
          <w:lang w:val="es-ES"/>
        </w:rPr>
        <w:t>CIDH, Informe No. 111/09, Caso 11.324, Fondo, Narciso González Medina, República Dominicana, 10 de noviembre de 2009, párr. 240.</w:t>
      </w:r>
    </w:p>
  </w:footnote>
  <w:footnote w:id="18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lang w:val="es-ES"/>
        </w:rPr>
        <w:footnoteRef/>
      </w:r>
      <w:r w:rsidRPr="00AD791A">
        <w:rPr>
          <w:rFonts w:ascii="Cambria" w:hAnsi="Cambria"/>
          <w:szCs w:val="16"/>
          <w:lang w:val="es-ES"/>
        </w:rPr>
        <w:t xml:space="preserve"> CIDH, Informe No. 56/12 Fondo (Florentín Gudiel Ramos, Makrina Gudiel Álvarez y otros) Guatemala, 21 de marzo de 2012, párr. </w:t>
      </w:r>
      <w:r w:rsidRPr="00AD791A">
        <w:rPr>
          <w:rFonts w:ascii="Cambria" w:hAnsi="Cambria"/>
          <w:szCs w:val="16"/>
          <w:lang w:val="es-MX"/>
        </w:rPr>
        <w:t xml:space="preserve">126. </w:t>
      </w:r>
      <w:r w:rsidRPr="00AD791A">
        <w:rPr>
          <w:rFonts w:ascii="Cambria" w:hAnsi="Cambria"/>
          <w:szCs w:val="16"/>
          <w:lang w:val="es-ES"/>
        </w:rPr>
        <w:t xml:space="preserve">Ver también CIDH, Segundo Informe sobre la Situación de Defensoras y Defensores en la Américas, 31 de diciembre de 2011, párr. </w:t>
      </w:r>
      <w:r w:rsidRPr="00AD791A">
        <w:rPr>
          <w:rFonts w:ascii="Cambria" w:hAnsi="Cambria"/>
          <w:szCs w:val="16"/>
          <w:lang w:val="es-MX"/>
        </w:rPr>
        <w:t>236.</w:t>
      </w:r>
    </w:p>
  </w:footnote>
  <w:footnote w:id="188">
    <w:p w:rsidR="000A6E4C" w:rsidRPr="00AD791A" w:rsidRDefault="000A6E4C" w:rsidP="006C517D">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w:t>
      </w:r>
      <w:r w:rsidRPr="00AD791A">
        <w:rPr>
          <w:rFonts w:asciiTheme="majorHAnsi" w:hAnsiTheme="majorHAnsi"/>
          <w:szCs w:val="16"/>
          <w:lang w:val="es-MX"/>
        </w:rPr>
        <w:t xml:space="preserve">Anexo 13. “Marena multa al griego Peter Tsokos”, </w:t>
      </w:r>
      <w:r w:rsidRPr="00AD791A">
        <w:rPr>
          <w:rFonts w:asciiTheme="majorHAnsi" w:hAnsiTheme="majorHAnsi"/>
          <w:i/>
          <w:szCs w:val="16"/>
          <w:lang w:val="es-MX"/>
        </w:rPr>
        <w:t>La Prensa</w:t>
      </w:r>
      <w:r w:rsidRPr="00AD791A">
        <w:rPr>
          <w:rFonts w:asciiTheme="majorHAnsi" w:hAnsiTheme="majorHAnsi"/>
          <w:szCs w:val="16"/>
          <w:lang w:val="es-MX"/>
        </w:rPr>
        <w:t>, 18 de mayo de 2001. Anexo a la comunicación de los peticionarios de 13 de julio de 2013.</w:t>
      </w:r>
    </w:p>
  </w:footnote>
  <w:footnote w:id="189">
    <w:p w:rsidR="000A6E4C" w:rsidRPr="00AD791A" w:rsidRDefault="000A6E4C" w:rsidP="00C848FE">
      <w:pPr>
        <w:pStyle w:val="FootnoteText"/>
        <w:ind w:firstLine="720"/>
        <w:rPr>
          <w:lang w:val="es-MX"/>
        </w:rPr>
      </w:pPr>
      <w:r w:rsidRPr="00AD791A">
        <w:rPr>
          <w:rStyle w:val="FootnoteReference"/>
        </w:rPr>
        <w:footnoteRef/>
      </w:r>
      <w:r w:rsidRPr="00AD791A">
        <w:t xml:space="preserve"> </w:t>
      </w:r>
      <w:r w:rsidRPr="00AD791A">
        <w:rPr>
          <w:rFonts w:ascii="Cambria" w:hAnsi="Cambria"/>
          <w:szCs w:val="16"/>
          <w:lang w:val="es-MX"/>
        </w:rPr>
        <w:t>Anexo 22. Recurso de amparo ante la Sala Civil del Tribunal de Apelaciones de Bluefields, 2 de mayo de 2001. Anexo a la comunicación de los peticionarios de 13 de julio de 2013.</w:t>
      </w:r>
    </w:p>
  </w:footnote>
  <w:footnote w:id="190">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160. Acta y Resultado de Registro del inmueble de Peter Tsokos, Policía Nacional Investigaciones Criminales, 20 de abril de 2002. Expediente judicial de primera instancia No. 110-02, folio 127.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En el acta y resultado de registro de la Funeraria La Paz, sí se establece cuál es el objetivo de la diligencia, consistente en “incautar cualquier documentación que se encuentre vinculado en el proceso contra Iván Argüello Rivera;” asimismo se especifican los documentos que fueron encontrados. Anexo 161. Acta y Resultado de Registro de la Funeraria La Paz, Policía Nacional Investigaciones Criminales, 16 de abril de 2002. Expediente judicial de primera instancia No. 110-02, folio 125.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91">
    <w:p w:rsidR="000A6E4C" w:rsidRPr="00AD791A" w:rsidRDefault="000A6E4C" w:rsidP="009D7F32">
      <w:pPr>
        <w:spacing w:after="120"/>
        <w:ind w:left="72" w:firstLine="720"/>
        <w:jc w:val="both"/>
        <w:rPr>
          <w:rFonts w:ascii="Cambria" w:hAnsi="Cambria"/>
          <w:sz w:val="16"/>
          <w:szCs w:val="16"/>
          <w:lang w:val="es-ES_tradnl"/>
        </w:rPr>
      </w:pPr>
      <w:r w:rsidRPr="00AD791A">
        <w:rPr>
          <w:rStyle w:val="FootnoteReference"/>
          <w:rFonts w:ascii="Cambria" w:hAnsi="Cambria"/>
          <w:sz w:val="16"/>
          <w:szCs w:val="16"/>
        </w:rPr>
        <w:footnoteRef/>
      </w:r>
      <w:r w:rsidRPr="00AD791A">
        <w:rPr>
          <w:rFonts w:ascii="Cambria" w:hAnsi="Cambria"/>
          <w:sz w:val="16"/>
          <w:szCs w:val="16"/>
          <w:lang w:val="es-MX"/>
        </w:rPr>
        <w:t xml:space="preserve"> Anexo 71. Remisión de diligencias, Policía Nacional de Investigaciones Criminales al Juez de Distrito del Crimen de Bluefields,  18 de abril de 2002. Expediente judicial de primera instancia No. 110-02, folios 78 y siguientes. </w:t>
      </w:r>
      <w:r w:rsidRPr="00AD791A">
        <w:rPr>
          <w:rFonts w:ascii="Cambria" w:hAnsi="Cambria" w:cs="Arial Narrow"/>
          <w:spacing w:val="-2"/>
          <w:sz w:val="16"/>
          <w:szCs w:val="16"/>
          <w:lang w:val="es-MX"/>
        </w:rPr>
        <w:t xml:space="preserve">Anexo </w:t>
      </w:r>
      <w:r w:rsidRPr="00AD791A">
        <w:rPr>
          <w:rFonts w:ascii="Cambria" w:hAnsi="Cambria"/>
          <w:sz w:val="16"/>
          <w:szCs w:val="16"/>
          <w:lang w:val="es-MX"/>
        </w:rPr>
        <w:t>a la comunicación de los peticionarios de 13 de julio de 2007.</w:t>
      </w:r>
    </w:p>
  </w:footnote>
  <w:footnote w:id="192">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rPr>
        <w:t xml:space="preserve"> Anexo 100. </w:t>
      </w:r>
      <w:r w:rsidRPr="00AD791A">
        <w:rPr>
          <w:rFonts w:ascii="Cambria" w:hAnsi="Cambria"/>
          <w:szCs w:val="16"/>
          <w:lang w:val="es-MX"/>
        </w:rPr>
        <w:t xml:space="preserve">Escrito de segundas vistas de la Fiscal ante el Juzgado de Distrito de lo Civil y Penal del In. Por Ministerio de La Ley de Bluefields., 24 de diciembre de 2002. Expediente judicial de primera instancia No. 110-02, folios 268 a 270.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193">
    <w:p w:rsidR="000A6E4C" w:rsidRPr="00AD791A" w:rsidRDefault="000A6E4C" w:rsidP="009D7F32">
      <w:pPr>
        <w:pStyle w:val="FootnoteText"/>
        <w:spacing w:before="0" w:after="120"/>
        <w:ind w:firstLine="720"/>
        <w:rPr>
          <w:rFonts w:ascii="Cambria" w:hAnsi="Cambria"/>
          <w:lang w:val="es-MX"/>
        </w:rPr>
      </w:pPr>
      <w:r w:rsidRPr="00AD791A">
        <w:rPr>
          <w:rStyle w:val="FootnoteReference"/>
          <w:rFonts w:ascii="Cambria" w:hAnsi="Cambria"/>
          <w:szCs w:val="16"/>
        </w:rPr>
        <w:footnoteRef/>
      </w:r>
      <w:r w:rsidRPr="00AD791A">
        <w:rPr>
          <w:rFonts w:ascii="Cambria" w:hAnsi="Cambria"/>
          <w:szCs w:val="16"/>
          <w:lang w:val="es-MX"/>
        </w:rPr>
        <w:t xml:space="preserve">Anexo 134. Respuesta de la Fiscalía Auxiliar de Managua a los agravios de la parte recurrente del recurso de casación. </w:t>
      </w:r>
      <w:r w:rsidRPr="00AD791A">
        <w:rPr>
          <w:rFonts w:ascii="Cambria" w:hAnsi="Cambria"/>
          <w:lang w:val="es-MX"/>
        </w:rPr>
        <w:t>Expediente No. 2019-2004 del recurso de casación ante la Corte Suprema de Justicia, folios 80-86. Anexo a la comunicación de los peticionarios de 13 de julio de 2007.</w:t>
      </w:r>
    </w:p>
  </w:footnote>
  <w:footnote w:id="194">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134. Respuesta de la Fiscalía Auxiliar de Managua a los agravios de la parte recurrente del recurso de casación. Expediente No. 2019-2004 del recurso de casación ante la Corte Suprema de Justicia, folios 80-86. </w:t>
      </w:r>
      <w:r w:rsidRPr="00AD791A">
        <w:rPr>
          <w:rFonts w:ascii="Cambria" w:hAnsi="Cambria" w:cs="Arial Narrow"/>
          <w:spacing w:val="-2"/>
          <w:szCs w:val="16"/>
          <w:lang w:val="es-MX"/>
        </w:rPr>
        <w:t xml:space="preserve">Anexo </w:t>
      </w:r>
      <w:r w:rsidRPr="00AD791A">
        <w:rPr>
          <w:rFonts w:ascii="Cambria" w:hAnsi="Cambria"/>
          <w:szCs w:val="16"/>
          <w:lang w:val="es-MX"/>
        </w:rPr>
        <w:t xml:space="preserve">a la comunicación de los peticionarios de 13 de julio de 2007. </w:t>
      </w:r>
    </w:p>
  </w:footnote>
  <w:footnote w:id="195">
    <w:p w:rsidR="000A6E4C" w:rsidRPr="00AD791A" w:rsidRDefault="000A6E4C" w:rsidP="009D7F32">
      <w:pPr>
        <w:spacing w:after="120"/>
        <w:ind w:firstLine="720"/>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w:t>
      </w:r>
      <w:hyperlink r:id="rId13" w:history="1">
        <w:r w:rsidRPr="00AD791A">
          <w:rPr>
            <w:rFonts w:ascii="Cambria" w:hAnsi="Cambria" w:cs="Arial"/>
            <w:sz w:val="16"/>
            <w:szCs w:val="16"/>
            <w:lang w:val="es-MX"/>
          </w:rPr>
          <w:t xml:space="preserve">Corte IDH. Caso Myrna Mack Chang Vs. Guatemala. Fondo, Reparaciones y Costas. Sentencia de 25 de noviembre de 2003. Serie C No. 101, párr. 275. </w:t>
        </w:r>
      </w:hyperlink>
    </w:p>
  </w:footnote>
  <w:footnote w:id="196">
    <w:p w:rsidR="000A6E4C" w:rsidRPr="00AD791A" w:rsidRDefault="000A6E4C" w:rsidP="009D7F32">
      <w:pPr>
        <w:autoSpaceDE w:val="0"/>
        <w:autoSpaceDN w:val="0"/>
        <w:adjustRightInd w:val="0"/>
        <w:spacing w:after="120"/>
        <w:ind w:firstLine="720"/>
        <w:jc w:val="both"/>
        <w:rPr>
          <w:rFonts w:ascii="Cambria" w:hAnsi="Cambria"/>
          <w:sz w:val="16"/>
          <w:szCs w:val="16"/>
          <w:lang w:val="es-ES"/>
        </w:rPr>
      </w:pPr>
      <w:r w:rsidRPr="00AD791A">
        <w:rPr>
          <w:rStyle w:val="FootnoteReference"/>
          <w:rFonts w:ascii="Cambria" w:hAnsi="Cambria"/>
          <w:sz w:val="16"/>
          <w:szCs w:val="16"/>
          <w:lang w:val="es-ES"/>
        </w:rPr>
        <w:footnoteRef/>
      </w:r>
      <w:r w:rsidRPr="00AD791A">
        <w:rPr>
          <w:rFonts w:ascii="Cambria" w:hAnsi="Cambria"/>
          <w:sz w:val="16"/>
          <w:szCs w:val="16"/>
          <w:lang w:val="es-ES"/>
        </w:rPr>
        <w:t xml:space="preserve"> </w:t>
      </w:r>
      <w:r w:rsidRPr="00AD791A">
        <w:rPr>
          <w:rFonts w:ascii="Cambria" w:hAnsi="Cambria" w:cs="Univers"/>
          <w:sz w:val="16"/>
          <w:szCs w:val="16"/>
          <w:lang w:val="es-ES"/>
        </w:rPr>
        <w:t>Ver: U.N. Doc E/ST/CSDHA</w:t>
      </w:r>
      <w:r w:rsidRPr="00AD791A">
        <w:rPr>
          <w:rFonts w:ascii="Cambria" w:hAnsi="Cambria" w:cs="Arial"/>
          <w:sz w:val="16"/>
          <w:szCs w:val="16"/>
          <w:lang w:val="es-MX"/>
        </w:rPr>
        <w:t>/.12 (1991</w:t>
      </w:r>
      <w:r w:rsidRPr="00AD791A">
        <w:rPr>
          <w:rFonts w:ascii="Cambria" w:hAnsi="Cambria" w:cs="Univers"/>
          <w:sz w:val="16"/>
          <w:szCs w:val="16"/>
          <w:lang w:val="es-ES"/>
        </w:rPr>
        <w:t>).</w:t>
      </w:r>
    </w:p>
  </w:footnote>
  <w:footnote w:id="19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Según varios testimonios rendidos ante el Juez y la Fiscalía, al tercer individuo se le había sido visto con Iván Argüello y Wilberth Madariaga en semana santa, además de que éste había también arrendado la planta baja de la casa de María Luisa Acosta y desaparecido a que después de la muerte del señor García Valle habría desaparecido.  Anexo 35. Declaración Ad-Inquirendum de María Luisa Acosta, 16 de abril de 2002. Expediente judicial de primera instancia No. 110-02, folio 55 y siguientes. Anexo 41. Declaración testifical de María Esther Castrillo Chavarría, 16 de abril de 2002. Expediente judicial de primera instancia No. 110-02, folio 50. Anexo 32. Declaración testifical Natalia Omeir Hulse, 16 de abril de 2002. Expediente judicial de primera instancia No. 110-02, folios 53 y 54. Anexo 162. Declaración de Miguel Antonio López Balladares, Policía Nacional Investigaciones Criminales, 17 de abril. Expediente judicial de primera instancia No. 110-02, folio 61. Anexo 38. Declaración de Investigado (Wilberth Ochoa). Policía Nacional, Chinandega, 11 de enero de 2003. Expediente judicial de primera instancia No. 110-02, folio 306.  Asimismo, en sus mismos escritos, la Policía Nacional se refiere al involucramiento de este tercer individuo. </w:t>
      </w:r>
      <w:r w:rsidRPr="00AD791A">
        <w:rPr>
          <w:rFonts w:asciiTheme="majorHAnsi" w:hAnsiTheme="majorHAnsi"/>
          <w:szCs w:val="16"/>
          <w:lang w:val="es-MX"/>
        </w:rPr>
        <w:t>Anexo 36.  Escrito de la Fiscal Auxiliar de Justicia al Juez de Distrito del Crimen de Bluefields, 9 de mayo de 2002, Expediente judicial de primera instancia No. 110-02, folio</w:t>
      </w:r>
      <w:r w:rsidRPr="00AD791A">
        <w:rPr>
          <w:rFonts w:asciiTheme="majorHAnsi" w:hAnsiTheme="majorHAnsi" w:cs="Garamond"/>
          <w:szCs w:val="16"/>
          <w:lang w:val="es-MX"/>
        </w:rPr>
        <w:t xml:space="preserve"> 168</w:t>
      </w:r>
      <w:r w:rsidRPr="00AD791A">
        <w:rPr>
          <w:rFonts w:ascii="Cambria" w:hAnsi="Cambria" w:cs="Garamond"/>
          <w:szCs w:val="16"/>
        </w:rPr>
        <w:t xml:space="preserve">. Anexo 33. </w:t>
      </w:r>
      <w:r w:rsidRPr="00AD791A">
        <w:rPr>
          <w:rFonts w:ascii="Cambria" w:hAnsi="Cambria"/>
          <w:szCs w:val="16"/>
          <w:lang w:val="es-MX"/>
        </w:rPr>
        <w:t xml:space="preserve">Acusación contra Wilberth José Ochoa por el delito de asesinato, Ministerio Público – Región Autónoma Atlántico Sur, 13 de enero de 2013. Expediente judicial de primera instancia No. 110-02, folios 275 a 277. Anexos a la comunicación de los peticionarios de 13 de julio de 2007. Las diligencias de la Policía Nacional en donde se señalaba una tercera persona, son las siguientes: Modelo de solicitud de circulación de personas válido para codificaciones; A, J, Q, S Policía Nacional, Ministerio de Gobernación, Archivo Nacional, 10 de abril de 2002. Expediente judicial de primera instancia No. 110-02, folio 15. Anexo a la comunicación de los peticionarios de 13 de julio de 2007. Asimismo, en sus mismos escritos, los juzgados respectivos, también se refieren a la participación de una tercera persona en el asesinato del señor García Valle. Anexo 163. Sentencia Interlocutoria, </w:t>
      </w:r>
      <w:r w:rsidRPr="00AD791A">
        <w:rPr>
          <w:rFonts w:ascii="Cambria" w:hAnsi="Cambria" w:cs="Arial Narrow"/>
          <w:spacing w:val="-2"/>
          <w:szCs w:val="16"/>
        </w:rPr>
        <w:t xml:space="preserve">Juzgado de Distrito de lo Civil y Penal del In de Bluefields, por Ministerio de la Ley, 24 de enero de 2003. </w:t>
      </w:r>
      <w:r w:rsidRPr="00AD791A">
        <w:rPr>
          <w:rFonts w:ascii="Cambria" w:hAnsi="Cambria"/>
          <w:szCs w:val="16"/>
          <w:lang w:val="es-MX"/>
        </w:rPr>
        <w:t xml:space="preserve">Expediente judicial de primera instancia No. 110-02, folios </w:t>
      </w:r>
      <w:r w:rsidRPr="00AD791A">
        <w:rPr>
          <w:rFonts w:ascii="Cambria" w:hAnsi="Cambria" w:cs="Arial Narrow"/>
          <w:spacing w:val="-2"/>
          <w:szCs w:val="16"/>
        </w:rPr>
        <w:t xml:space="preserve">319 a 323. Anexo a la comunicación de los peticionarios de 13 de julio de 2007. </w:t>
      </w:r>
    </w:p>
  </w:footnote>
  <w:footnote w:id="198">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rPr>
        <w:t xml:space="preserve"> Estos testigos </w:t>
      </w:r>
      <w:r w:rsidRPr="00AD791A">
        <w:rPr>
          <w:rFonts w:ascii="Cambria" w:hAnsi="Cambria"/>
          <w:szCs w:val="16"/>
          <w:lang w:val="es-MX"/>
        </w:rPr>
        <w:t>vieron a los tres individuos que arrendaron la casa de María Luisa Acosta y que la abandonaron con posterioridad al crimen del señor García Valle. Anexo 40. Declaración de testigo, María Esther Castrillo Chavarría, Policía Nacional Investigaciones Criminales, 9 de abril de 2002. Expediente judicial de primera instancia No. 110-02, folio 12. Anexo 41. Declaración testifical de María Esther Castrillo Chavarría, 16 de abril de 2002. Expediente judicial de primera instancia No. 110-02, folio 50. Anexo 61. Declaración de testigo de Natalia Isabel Omier Hulse, Policía Nacional Investigaciones Criminales, 9 de abril de 2002. Expediente judicial de primera instancia No. 110-02, folio 13. Anexo 32. Declaración testifical Natalia Omeir Hulse, 16 de abril de 2002. Expediente judicial de primera instancia No. 110-02, folios 53 y 54. Anexo 69. Declaración testifical de Miguel Antonio López Balladares, ante el Juez de Distrito del Crimen de Bluefields, 18 de abril de 2002. Expediente judicial de primera instancia No. 110-02, folios 71 y 72. Anexo 37. Declaración de Testigo de Eddy Lira  Milles (vecino), Policía Nacional Investigaciones Criminales, 12 de abril de 2002. Expediente judicial de primera instancia No. 110-02, folio 14. Anexo 68. Declaración Testifical de Eddy Eduardo Lira Miles, Juez de Distrito del Crimen de Bluefields, 17 de abril de 2002. Expediente judicial de primera instancia No. 110-02, folio 64. Anexos a la comunicación de los peticionarios de 13 de julio de 2007.</w:t>
      </w:r>
    </w:p>
  </w:footnote>
  <w:footnote w:id="199">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31. Foto Tabla Ilustrativa, Policía Nacional Región Autónoma Atlántico Sur, 8 de abril de 2002. Expediente judicial de primera instancia No. 110-02, folio 37. Anexo a la comunicación de los peticionarios de 13 de julio de 2007.</w:t>
      </w:r>
    </w:p>
  </w:footnote>
  <w:footnote w:id="200">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70. Declaración Indagatoria de Charles Jeremiah Presida, Juez de Distrito del Crimen de Bluefields, 18 de abril de 2002. Expediente judicial de primera instancia No. 110-02, folios 83 y 84. Anexos a la comunicación de los peticionarios de 13 de julio de 2007. </w:t>
      </w:r>
    </w:p>
  </w:footnote>
  <w:footnote w:id="201">
    <w:p w:rsidR="000A6E4C" w:rsidRPr="00AD791A" w:rsidRDefault="000A6E4C" w:rsidP="00673CF8">
      <w:pPr>
        <w:pStyle w:val="FootnoteText"/>
        <w:spacing w:before="0" w:after="120"/>
        <w:ind w:firstLine="720"/>
        <w:rPr>
          <w:rFonts w:ascii="Cambria" w:hAnsi="Cambria"/>
          <w:sz w:val="18"/>
          <w:szCs w:val="18"/>
        </w:rPr>
      </w:pPr>
      <w:r w:rsidRPr="00AD791A">
        <w:rPr>
          <w:rStyle w:val="FootnoteReference"/>
          <w:rFonts w:ascii="Cambria" w:hAnsi="Cambria"/>
          <w:sz w:val="18"/>
          <w:szCs w:val="18"/>
        </w:rPr>
        <w:footnoteRef/>
      </w:r>
      <w:r w:rsidRPr="00AD791A">
        <w:rPr>
          <w:rFonts w:ascii="Cambria" w:hAnsi="Cambria"/>
          <w:sz w:val="18"/>
          <w:szCs w:val="18"/>
        </w:rPr>
        <w:t xml:space="preserve"> Corte IDH. Caso Castillo Petruzzi y otros. Sentencia de 30 de mayo de 1999. Serie C No. 52, párr. 61; Corte IDH.</w:t>
      </w:r>
      <w:r w:rsidRPr="00AD791A">
        <w:rPr>
          <w:rFonts w:ascii="Cambria" w:hAnsi="Cambria"/>
          <w:sz w:val="18"/>
          <w:szCs w:val="18"/>
          <w:lang w:val="es-MX"/>
        </w:rPr>
        <w:t xml:space="preserve"> </w:t>
      </w:r>
      <w:r w:rsidRPr="00AD791A">
        <w:rPr>
          <w:rFonts w:ascii="Cambria" w:hAnsi="Cambria"/>
          <w:i/>
          <w:iCs/>
          <w:sz w:val="18"/>
          <w:szCs w:val="18"/>
          <w:lang w:val="es-MX"/>
        </w:rPr>
        <w:t xml:space="preserve">Caso Cayara, </w:t>
      </w:r>
      <w:r w:rsidRPr="00AD791A">
        <w:rPr>
          <w:rFonts w:ascii="Cambria" w:hAnsi="Cambria"/>
          <w:iCs/>
          <w:sz w:val="18"/>
          <w:szCs w:val="18"/>
          <w:lang w:val="es-MX"/>
        </w:rPr>
        <w:t>Excepciones Preliminares</w:t>
      </w:r>
      <w:r w:rsidRPr="00AD791A">
        <w:rPr>
          <w:rFonts w:ascii="Cambria" w:hAnsi="Cambria"/>
          <w:sz w:val="18"/>
          <w:szCs w:val="18"/>
          <w:lang w:val="es-MX"/>
        </w:rPr>
        <w:t>, Sentencia de 3 de febrero de 1993. Serie C No. 14, párr. 42. En el mismo sentido, Corte IDH,</w:t>
      </w:r>
      <w:r w:rsidRPr="00AD791A">
        <w:rPr>
          <w:rFonts w:ascii="Cambria" w:hAnsi="Cambria"/>
          <w:i/>
          <w:iCs/>
          <w:sz w:val="18"/>
          <w:szCs w:val="18"/>
          <w:lang w:val="es-MX"/>
        </w:rPr>
        <w:t xml:space="preserve"> Caso Paniagua Morales y otros,</w:t>
      </w:r>
      <w:r w:rsidRPr="00AD791A">
        <w:rPr>
          <w:rFonts w:ascii="Cambria" w:hAnsi="Cambria"/>
          <w:sz w:val="18"/>
          <w:szCs w:val="18"/>
          <w:lang w:val="es-MX"/>
        </w:rPr>
        <w:t xml:space="preserve"> Sentencia de 8 de marzo de 1998. Serie C No. 37, párr. 70.</w:t>
      </w:r>
    </w:p>
  </w:footnote>
  <w:footnote w:id="202">
    <w:p w:rsidR="000A6E4C" w:rsidRPr="00AD791A" w:rsidRDefault="000A6E4C" w:rsidP="006842C3">
      <w:pPr>
        <w:pStyle w:val="FootnoteText"/>
        <w:spacing w:before="0" w:after="120"/>
        <w:ind w:firstLine="720"/>
        <w:rPr>
          <w:rFonts w:ascii="Cambria" w:hAnsi="Cambria"/>
          <w:sz w:val="18"/>
          <w:szCs w:val="18"/>
        </w:rPr>
      </w:pPr>
      <w:r w:rsidRPr="00AD791A">
        <w:rPr>
          <w:rStyle w:val="FootnoteReference"/>
          <w:rFonts w:ascii="Cambria" w:hAnsi="Cambria"/>
          <w:sz w:val="18"/>
          <w:szCs w:val="18"/>
        </w:rPr>
        <w:footnoteRef/>
      </w:r>
      <w:r w:rsidRPr="00AD791A">
        <w:rPr>
          <w:rFonts w:ascii="Cambria" w:hAnsi="Cambria"/>
          <w:sz w:val="18"/>
          <w:szCs w:val="18"/>
        </w:rPr>
        <w:t xml:space="preserve"> Corte IDH. </w:t>
      </w:r>
      <w:r w:rsidRPr="00AD791A">
        <w:rPr>
          <w:rFonts w:ascii="Cambria" w:hAnsi="Cambria"/>
          <w:sz w:val="18"/>
          <w:szCs w:val="18"/>
          <w:lang w:val="es-MX"/>
        </w:rPr>
        <w:t xml:space="preserve">Caso Godínez Cruz </w:t>
      </w:r>
      <w:r w:rsidRPr="00AD791A">
        <w:rPr>
          <w:rFonts w:ascii="Cambria" w:hAnsi="Cambria"/>
          <w:i/>
          <w:sz w:val="18"/>
          <w:szCs w:val="18"/>
          <w:lang w:val="es-MX"/>
        </w:rPr>
        <w:t>Vs Honduras</w:t>
      </w:r>
      <w:r w:rsidRPr="00AD791A">
        <w:rPr>
          <w:rFonts w:ascii="Cambria" w:hAnsi="Cambria"/>
          <w:sz w:val="18"/>
          <w:szCs w:val="18"/>
          <w:lang w:val="es-MX"/>
        </w:rPr>
        <w:t xml:space="preserve">, </w:t>
      </w:r>
      <w:r w:rsidRPr="00AD791A">
        <w:rPr>
          <w:rFonts w:ascii="Cambria" w:hAnsi="Cambria"/>
          <w:i/>
          <w:sz w:val="18"/>
          <w:szCs w:val="18"/>
          <w:lang w:val="es-MX"/>
        </w:rPr>
        <w:t xml:space="preserve">Fondo. </w:t>
      </w:r>
      <w:r w:rsidRPr="00AD791A">
        <w:rPr>
          <w:rFonts w:ascii="Cambria" w:hAnsi="Cambria"/>
          <w:sz w:val="18"/>
          <w:szCs w:val="18"/>
          <w:lang w:val="es-MX"/>
        </w:rPr>
        <w:t>Sentencia de 20 de enero de 1989. Serie C No. 5. parr. 71.</w:t>
      </w:r>
    </w:p>
  </w:footnote>
  <w:footnote w:id="203">
    <w:p w:rsidR="000A6E4C" w:rsidRPr="00AD791A" w:rsidRDefault="000A6E4C" w:rsidP="006842C3">
      <w:pPr>
        <w:pStyle w:val="FootnoteText"/>
        <w:ind w:firstLine="720"/>
        <w:rPr>
          <w:rFonts w:ascii="Cambria" w:hAnsi="Cambria"/>
          <w:sz w:val="18"/>
          <w:szCs w:val="18"/>
        </w:rPr>
      </w:pPr>
      <w:r w:rsidRPr="00AD791A">
        <w:rPr>
          <w:rStyle w:val="FootnoteReference"/>
          <w:rFonts w:ascii="Cambria" w:hAnsi="Cambria"/>
          <w:sz w:val="18"/>
          <w:szCs w:val="18"/>
        </w:rPr>
        <w:footnoteRef/>
      </w:r>
      <w:r w:rsidRPr="00AD791A">
        <w:rPr>
          <w:rFonts w:ascii="Cambria" w:hAnsi="Cambria"/>
          <w:sz w:val="18"/>
          <w:szCs w:val="18"/>
        </w:rPr>
        <w:t xml:space="preserve"> C</w:t>
      </w:r>
      <w:r w:rsidRPr="00AD791A">
        <w:rPr>
          <w:rFonts w:ascii="Cambria" w:hAnsi="Cambria" w:cs="Verdana"/>
          <w:bCs/>
          <w:sz w:val="18"/>
          <w:szCs w:val="18"/>
          <w:lang w:bidi="en-US"/>
        </w:rPr>
        <w:t>orte IDH. Caso Trabajadores Cesados del Congreso (Aguado Alfaro y otros) Vs. Perú. Excepciones Preliminares, Fondo, Reparaciones y Costas. Sentencia de 24 de Noviembre de 2006. Serie C No. 158. Párrs. 126 y 127.</w:t>
      </w:r>
    </w:p>
  </w:footnote>
  <w:footnote w:id="204">
    <w:p w:rsidR="000A6E4C" w:rsidRPr="00AD791A" w:rsidRDefault="000A6E4C" w:rsidP="006842C3">
      <w:pPr>
        <w:autoSpaceDE w:val="0"/>
        <w:autoSpaceDN w:val="0"/>
        <w:adjustRightInd w:val="0"/>
        <w:ind w:firstLine="720"/>
        <w:jc w:val="both"/>
        <w:rPr>
          <w:rFonts w:ascii="Cambria" w:hAnsi="Cambria"/>
          <w:sz w:val="18"/>
          <w:szCs w:val="18"/>
          <w:lang w:val="es-MX"/>
        </w:rPr>
      </w:pPr>
      <w:r w:rsidRPr="00AD791A">
        <w:rPr>
          <w:rStyle w:val="FootnoteReference"/>
          <w:rFonts w:ascii="Cambria" w:hAnsi="Cambria"/>
          <w:sz w:val="18"/>
          <w:szCs w:val="18"/>
        </w:rPr>
        <w:footnoteRef/>
      </w:r>
      <w:r w:rsidRPr="00AD791A">
        <w:rPr>
          <w:rFonts w:ascii="Cambria" w:hAnsi="Cambria"/>
          <w:sz w:val="18"/>
          <w:szCs w:val="18"/>
          <w:lang w:val="es-ES"/>
        </w:rPr>
        <w:t xml:space="preserve"> Corte IDH. </w:t>
      </w:r>
      <w:r w:rsidRPr="00AD791A">
        <w:rPr>
          <w:rFonts w:ascii="Cambria" w:hAnsi="Cambria" w:cs="Verdana,Bold"/>
          <w:bCs/>
          <w:sz w:val="18"/>
          <w:szCs w:val="18"/>
          <w:lang w:val="es-ES"/>
        </w:rPr>
        <w:t xml:space="preserve">Caso Cantos </w:t>
      </w:r>
      <w:r w:rsidRPr="00AD791A">
        <w:rPr>
          <w:rFonts w:ascii="Cambria" w:hAnsi="Cambria" w:cs="Verdana,BoldItalic"/>
          <w:bCs/>
          <w:i/>
          <w:iCs/>
          <w:sz w:val="18"/>
          <w:szCs w:val="18"/>
          <w:lang w:val="es-ES"/>
        </w:rPr>
        <w:t xml:space="preserve">Vs. </w:t>
      </w:r>
      <w:r w:rsidRPr="00AD791A">
        <w:rPr>
          <w:rFonts w:ascii="Cambria" w:hAnsi="Cambria" w:cs="Verdana,Bold"/>
          <w:bCs/>
          <w:sz w:val="18"/>
          <w:szCs w:val="18"/>
          <w:lang w:val="es-MX"/>
        </w:rPr>
        <w:t xml:space="preserve">Argentina. </w:t>
      </w:r>
      <w:r w:rsidRPr="00AD791A">
        <w:rPr>
          <w:rFonts w:ascii="Cambria" w:hAnsi="Cambria" w:cs="Verdana,BoldItalic"/>
          <w:bCs/>
          <w:iCs/>
          <w:sz w:val="18"/>
          <w:szCs w:val="18"/>
          <w:lang w:val="es-MX"/>
        </w:rPr>
        <w:t xml:space="preserve">Fondo, Reparaciones y Costas. </w:t>
      </w:r>
      <w:r w:rsidRPr="00AD791A">
        <w:rPr>
          <w:rFonts w:ascii="Cambria" w:hAnsi="Cambria" w:cs="Verdana,Bold"/>
          <w:bCs/>
          <w:sz w:val="18"/>
          <w:szCs w:val="18"/>
          <w:lang w:val="es-MX"/>
        </w:rPr>
        <w:t xml:space="preserve">Sentencia de 28 de noviembre de 2002. </w:t>
      </w:r>
      <w:r w:rsidRPr="00AD791A">
        <w:rPr>
          <w:rFonts w:ascii="Cambria" w:hAnsi="Cambria" w:cs="Verdana,BoldItalic"/>
          <w:bCs/>
          <w:iCs/>
          <w:sz w:val="18"/>
          <w:szCs w:val="18"/>
          <w:lang w:val="es-MX"/>
        </w:rPr>
        <w:t>Serie C. No. 85, párr. 50.</w:t>
      </w:r>
      <w:r w:rsidRPr="00AD791A">
        <w:rPr>
          <w:rFonts w:ascii="Cambria" w:hAnsi="Cambria" w:cs="Verdana,BoldItalic"/>
          <w:bCs/>
          <w:i/>
          <w:iCs/>
          <w:sz w:val="18"/>
          <w:szCs w:val="18"/>
          <w:lang w:val="es-MX"/>
        </w:rPr>
        <w:t xml:space="preserve"> </w:t>
      </w:r>
    </w:p>
  </w:footnote>
  <w:footnote w:id="205">
    <w:p w:rsidR="000A6E4C" w:rsidRPr="00AD791A" w:rsidRDefault="000A6E4C" w:rsidP="00673CF8">
      <w:pPr>
        <w:pStyle w:val="FootnoteText"/>
        <w:ind w:firstLine="720"/>
        <w:rPr>
          <w:rFonts w:ascii="Cambria" w:hAnsi="Cambria"/>
          <w:sz w:val="18"/>
          <w:szCs w:val="18"/>
          <w:lang w:val="es-MX"/>
        </w:rPr>
      </w:pPr>
      <w:r w:rsidRPr="00AD791A">
        <w:rPr>
          <w:rStyle w:val="FootnoteReference"/>
          <w:rFonts w:ascii="Cambria" w:hAnsi="Cambria"/>
          <w:sz w:val="18"/>
          <w:szCs w:val="18"/>
        </w:rPr>
        <w:footnoteRef/>
      </w:r>
      <w:r w:rsidRPr="00AD791A">
        <w:rPr>
          <w:rFonts w:ascii="Cambria" w:hAnsi="Cambria"/>
          <w:sz w:val="18"/>
          <w:szCs w:val="18"/>
        </w:rPr>
        <w:t xml:space="preserve"> Al respecto, el artículo 471 del Código de Procedimiento Civil </w:t>
      </w:r>
      <w:r w:rsidRPr="00AD791A">
        <w:rPr>
          <w:rFonts w:ascii="Cambria" w:hAnsi="Cambria" w:cs="Arial"/>
          <w:sz w:val="18"/>
          <w:szCs w:val="18"/>
          <w:lang w:val="es-MX"/>
        </w:rPr>
        <w:t>estipula que la apelación será declarada como desierta cuando el apelante se niegue a proveer gastos para la remisión del proceso. Por otra parte, el artículo 2045 de la misma normativa dispone que los jueces están facultados para ordenar al secretario que exija de las partes el papel necesario para sacar copias al expediente y para imponer una multa al que se niegue a proveerlo. La misma norma dispone que el tercer día de requerida la multa, sin que el recurrente haya provisto el papel, el juez podrá dar por terminada la instancia.</w:t>
      </w:r>
    </w:p>
  </w:footnote>
  <w:footnote w:id="206">
    <w:p w:rsidR="000A6E4C" w:rsidRPr="00AD791A" w:rsidRDefault="000A6E4C" w:rsidP="00673CF8">
      <w:pPr>
        <w:pStyle w:val="FootnoteText"/>
        <w:spacing w:before="0" w:after="120"/>
        <w:ind w:firstLine="720"/>
        <w:rPr>
          <w:rFonts w:ascii="Cambria" w:hAnsi="Cambria"/>
          <w:sz w:val="18"/>
          <w:szCs w:val="18"/>
        </w:rPr>
      </w:pPr>
      <w:r w:rsidRPr="00AD791A">
        <w:rPr>
          <w:rStyle w:val="FootnoteReference"/>
          <w:rFonts w:ascii="Cambria" w:hAnsi="Cambria"/>
          <w:sz w:val="18"/>
          <w:szCs w:val="18"/>
        </w:rPr>
        <w:footnoteRef/>
      </w:r>
      <w:r w:rsidRPr="00AD791A">
        <w:rPr>
          <w:rFonts w:ascii="Cambria" w:hAnsi="Cambria"/>
          <w:sz w:val="18"/>
          <w:szCs w:val="18"/>
          <w:lang w:val="es-MX"/>
        </w:rPr>
        <w:t xml:space="preserve"> Anexo 99. </w:t>
      </w:r>
      <w:r w:rsidRPr="00AD791A">
        <w:rPr>
          <w:rFonts w:ascii="Cambria" w:hAnsi="Cambria"/>
          <w:sz w:val="18"/>
          <w:szCs w:val="18"/>
          <w:lang w:val="es-ES"/>
        </w:rPr>
        <w:t xml:space="preserve">Recurso de reforma interpuesto por el representante de la señora Acosta ante el Juzgado de Distrito del Crimen de Bluefields, 22 de mayo de 2002. </w:t>
      </w:r>
      <w:r w:rsidRPr="00AD791A">
        <w:rPr>
          <w:rFonts w:ascii="Cambria" w:hAnsi="Cambria"/>
          <w:sz w:val="18"/>
          <w:szCs w:val="18"/>
          <w:lang w:val="es-MX"/>
        </w:rPr>
        <w:t>Expediente judicial de primera instancia No. 110-02, folio 202. Anexo a la comunicación de los peticionarios de 13 de julio de 2007.</w:t>
      </w:r>
    </w:p>
  </w:footnote>
  <w:footnote w:id="207">
    <w:p w:rsidR="000A6E4C" w:rsidRPr="00AD791A" w:rsidRDefault="000A6E4C" w:rsidP="00673CF8">
      <w:pPr>
        <w:pStyle w:val="FootnoteText"/>
        <w:spacing w:before="0" w:after="120"/>
        <w:ind w:firstLine="720"/>
        <w:rPr>
          <w:rFonts w:ascii="Cambria" w:hAnsi="Cambria"/>
          <w:sz w:val="18"/>
          <w:szCs w:val="18"/>
        </w:rPr>
      </w:pPr>
      <w:r w:rsidRPr="00AD791A">
        <w:rPr>
          <w:rStyle w:val="FootnoteReference"/>
          <w:rFonts w:ascii="Cambria" w:hAnsi="Cambria"/>
          <w:sz w:val="18"/>
          <w:szCs w:val="18"/>
        </w:rPr>
        <w:footnoteRef/>
      </w:r>
      <w:r w:rsidRPr="00AD791A">
        <w:rPr>
          <w:rFonts w:ascii="Cambria" w:hAnsi="Cambria"/>
          <w:sz w:val="18"/>
          <w:szCs w:val="18"/>
          <w:lang w:val="es-MX"/>
        </w:rPr>
        <w:t xml:space="preserve"> Anexo 100. Escrito de segundas vistas de la Fiscal ante el Juzgado de Distrito de lo Civil y Penal del In. Por Ministerio de La Ley de Bluefields, 24 de diciembre de 2002. Expediente judicial de primera instancia No. 110-02, folios 268 a 270. Anexo a la comunicación de los peticionarios de 13 de julio de 2007.</w:t>
      </w:r>
    </w:p>
  </w:footnote>
  <w:footnote w:id="208">
    <w:p w:rsidR="000A6E4C" w:rsidRPr="00AD791A" w:rsidRDefault="000A6E4C" w:rsidP="00673CF8">
      <w:pPr>
        <w:pStyle w:val="FootnoteText"/>
        <w:spacing w:before="0" w:after="120"/>
        <w:ind w:firstLine="720"/>
        <w:rPr>
          <w:rFonts w:ascii="Cambria" w:hAnsi="Cambria"/>
          <w:sz w:val="18"/>
          <w:szCs w:val="18"/>
        </w:rPr>
      </w:pPr>
      <w:r w:rsidRPr="00AD791A">
        <w:rPr>
          <w:rStyle w:val="FootnoteReference"/>
          <w:rFonts w:ascii="Cambria" w:hAnsi="Cambria"/>
          <w:sz w:val="18"/>
          <w:szCs w:val="18"/>
        </w:rPr>
        <w:footnoteRef/>
      </w:r>
      <w:r w:rsidRPr="00AD791A">
        <w:rPr>
          <w:rFonts w:ascii="Cambria" w:hAnsi="Cambria"/>
          <w:sz w:val="18"/>
          <w:szCs w:val="18"/>
          <w:lang w:val="es-MX"/>
        </w:rPr>
        <w:t>Anexo 134. Respuesta de la Fiscalía Auxiliar de Managua a los agravios de la parte recurrente del recurso de casación. Expediente No. 2019-2004 del recurso de casación ante la Corte Suprema de Justicia, folios 80-86. Anexo a la comunicación de los peticionarios de 13 de julio de 2007.</w:t>
      </w:r>
    </w:p>
  </w:footnote>
  <w:footnote w:id="209">
    <w:p w:rsidR="000A6E4C" w:rsidRPr="00AD791A" w:rsidRDefault="000A6E4C" w:rsidP="009D7F32">
      <w:pPr>
        <w:pStyle w:val="FootnoteText"/>
        <w:spacing w:before="0" w:after="120"/>
        <w:ind w:firstLine="720"/>
        <w:rPr>
          <w:rFonts w:ascii="Cambria" w:hAnsi="Cambria"/>
          <w:szCs w:val="16"/>
        </w:rPr>
      </w:pPr>
      <w:r w:rsidRPr="00AD791A">
        <w:rPr>
          <w:rStyle w:val="FootnoteReference"/>
          <w:rFonts w:ascii="Cambria" w:hAnsi="Cambria"/>
          <w:szCs w:val="16"/>
        </w:rPr>
        <w:footnoteRef/>
      </w:r>
      <w:r w:rsidRPr="00AD791A">
        <w:rPr>
          <w:rFonts w:ascii="Cambria" w:hAnsi="Cambria" w:cs="Arial"/>
          <w:szCs w:val="16"/>
        </w:rPr>
        <w:t xml:space="preserve"> </w:t>
      </w:r>
      <w:r w:rsidRPr="00AD791A">
        <w:rPr>
          <w:rFonts w:ascii="Cambria" w:hAnsi="Cambria"/>
          <w:szCs w:val="16"/>
        </w:rPr>
        <w:t>CIDH, Informe No. 56/12 Fondo (</w:t>
      </w:r>
      <w:r w:rsidRPr="00AD791A">
        <w:rPr>
          <w:rFonts w:ascii="Cambria" w:hAnsi="Cambria"/>
          <w:i/>
          <w:szCs w:val="16"/>
        </w:rPr>
        <w:t>Florentín Gudiel Ramos, Makrina Gudiel Álvarez y otros</w:t>
      </w:r>
      <w:r w:rsidRPr="00AD791A">
        <w:rPr>
          <w:rFonts w:ascii="Cambria" w:hAnsi="Cambria"/>
          <w:szCs w:val="16"/>
        </w:rPr>
        <w:t>) Guatemala, 21 de marzo de 2012, párr</w:t>
      </w:r>
      <w:r w:rsidRPr="00AD791A">
        <w:rPr>
          <w:rFonts w:ascii="Cambria" w:hAnsi="Cambria" w:cs="Arial"/>
          <w:szCs w:val="16"/>
        </w:rPr>
        <w:t xml:space="preserve">.148; </w:t>
      </w:r>
      <w:r w:rsidRPr="00AD791A">
        <w:rPr>
          <w:rFonts w:ascii="Cambria" w:hAnsi="Cambria"/>
          <w:szCs w:val="16"/>
        </w:rPr>
        <w:t xml:space="preserve">Corte IDH., </w:t>
      </w:r>
      <w:r w:rsidRPr="00AD791A">
        <w:rPr>
          <w:rFonts w:ascii="Cambria" w:hAnsi="Cambria"/>
          <w:i/>
          <w:szCs w:val="16"/>
        </w:rPr>
        <w:t>Caso García Asto y Ramírez Rojas Vs. Perú</w:t>
      </w:r>
      <w:r w:rsidRPr="00AD791A">
        <w:rPr>
          <w:rFonts w:ascii="Cambria" w:hAnsi="Cambria"/>
          <w:szCs w:val="16"/>
        </w:rPr>
        <w:t>. Sentencia de 25 de noviembre de 2005. Serie C No. 137</w:t>
      </w:r>
      <w:r w:rsidRPr="00AD791A">
        <w:rPr>
          <w:rFonts w:ascii="Cambria" w:hAnsi="Cambria" w:cs="Arial"/>
          <w:iCs/>
          <w:szCs w:val="16"/>
        </w:rPr>
        <w:t xml:space="preserve">, párr. 166; </w:t>
      </w:r>
      <w:r w:rsidRPr="00AD791A">
        <w:rPr>
          <w:rFonts w:ascii="Cambria" w:hAnsi="Cambria"/>
          <w:szCs w:val="16"/>
        </w:rPr>
        <w:t xml:space="preserve">Corte IDH., </w:t>
      </w:r>
      <w:r w:rsidRPr="00AD791A">
        <w:rPr>
          <w:rFonts w:ascii="Cambria" w:hAnsi="Cambria"/>
          <w:i/>
          <w:szCs w:val="16"/>
        </w:rPr>
        <w:t>Caso Gómez Palomino Vs. Perú</w:t>
      </w:r>
      <w:r w:rsidRPr="00AD791A">
        <w:rPr>
          <w:rFonts w:ascii="Cambria" w:hAnsi="Cambria"/>
          <w:szCs w:val="16"/>
        </w:rPr>
        <w:t>. Sentencia de 22 de noviembre de 2005. Serie C No. 136</w:t>
      </w:r>
      <w:r w:rsidRPr="00AD791A">
        <w:rPr>
          <w:rFonts w:ascii="Cambria" w:hAnsi="Cambria" w:cs="Arial"/>
          <w:szCs w:val="16"/>
        </w:rPr>
        <w:t xml:space="preserve">, párr. 85; y </w:t>
      </w:r>
      <w:r w:rsidRPr="00AD791A">
        <w:rPr>
          <w:rFonts w:ascii="Cambria" w:hAnsi="Cambria"/>
          <w:szCs w:val="16"/>
        </w:rPr>
        <w:t xml:space="preserve">Corte IDH., </w:t>
      </w:r>
      <w:r w:rsidRPr="00AD791A">
        <w:rPr>
          <w:rFonts w:ascii="Cambria" w:hAnsi="Cambria"/>
          <w:i/>
          <w:szCs w:val="16"/>
        </w:rPr>
        <w:t>Caso de la Comunidad Moiwana Vs. Surinam</w:t>
      </w:r>
      <w:r w:rsidRPr="00AD791A">
        <w:rPr>
          <w:rFonts w:ascii="Cambria" w:hAnsi="Cambria"/>
          <w:szCs w:val="16"/>
        </w:rPr>
        <w:t>. Sentencia de 15 de junio de 2005. Serie C No. 124</w:t>
      </w:r>
      <w:r w:rsidRPr="00AD791A">
        <w:rPr>
          <w:rFonts w:ascii="Cambria" w:hAnsi="Cambria" w:cs="Arial"/>
          <w:szCs w:val="16"/>
        </w:rPr>
        <w:t>, párr. 160.</w:t>
      </w:r>
    </w:p>
  </w:footnote>
  <w:footnote w:id="210">
    <w:p w:rsidR="000A6E4C" w:rsidRPr="00AD791A" w:rsidRDefault="000A6E4C" w:rsidP="009D7F32">
      <w:pPr>
        <w:pStyle w:val="FootnoteText"/>
        <w:spacing w:before="0" w:after="120"/>
        <w:ind w:firstLine="720"/>
        <w:rPr>
          <w:rFonts w:ascii="Cambria" w:hAnsi="Cambria"/>
          <w:szCs w:val="16"/>
        </w:rPr>
      </w:pPr>
      <w:r w:rsidRPr="00AD791A">
        <w:rPr>
          <w:rStyle w:val="FootnoteReference"/>
          <w:rFonts w:ascii="Cambria" w:hAnsi="Cambria"/>
          <w:szCs w:val="16"/>
        </w:rPr>
        <w:footnoteRef/>
      </w:r>
      <w:r w:rsidRPr="00AD791A">
        <w:rPr>
          <w:rFonts w:ascii="Cambria" w:hAnsi="Cambria"/>
          <w:szCs w:val="16"/>
        </w:rPr>
        <w:t xml:space="preserve"> CIDH, Informe No. 56/12 Fondo (</w:t>
      </w:r>
      <w:r w:rsidRPr="00AD791A">
        <w:rPr>
          <w:rFonts w:ascii="Cambria" w:hAnsi="Cambria"/>
          <w:i/>
          <w:szCs w:val="16"/>
        </w:rPr>
        <w:t>Florentín Gudiel Ramos, Makrina Gudiel Álvarez y otros</w:t>
      </w:r>
      <w:r w:rsidRPr="00AD791A">
        <w:rPr>
          <w:rFonts w:ascii="Cambria" w:hAnsi="Cambria"/>
          <w:szCs w:val="16"/>
        </w:rPr>
        <w:t>) Guatemala, 21 de marzo de 2012, párr.</w:t>
      </w:r>
      <w:r w:rsidRPr="00AD791A">
        <w:rPr>
          <w:rFonts w:ascii="Cambria" w:hAnsi="Cambria" w:cs="Arial"/>
          <w:szCs w:val="16"/>
        </w:rPr>
        <w:t xml:space="preserve"> </w:t>
      </w:r>
      <w:r w:rsidRPr="00AD791A">
        <w:rPr>
          <w:rFonts w:ascii="Cambria" w:hAnsi="Cambria" w:cs="Arial"/>
          <w:szCs w:val="16"/>
          <w:lang w:val="pt-BR"/>
        </w:rPr>
        <w:t xml:space="preserve">148; </w:t>
      </w:r>
      <w:r w:rsidRPr="00AD791A">
        <w:rPr>
          <w:rFonts w:ascii="Cambria" w:hAnsi="Cambria"/>
          <w:szCs w:val="16"/>
          <w:lang w:val="pt-BR"/>
        </w:rPr>
        <w:t xml:space="preserve">Corte IDH., </w:t>
      </w:r>
      <w:r w:rsidRPr="00AD791A">
        <w:rPr>
          <w:rFonts w:ascii="Cambria" w:hAnsi="Cambria"/>
          <w:i/>
          <w:szCs w:val="16"/>
          <w:lang w:val="pt-BR"/>
        </w:rPr>
        <w:t>Caso Ricardo Canese Vs. Paraguay</w:t>
      </w:r>
      <w:r w:rsidRPr="00AD791A">
        <w:rPr>
          <w:rFonts w:ascii="Cambria" w:hAnsi="Cambria"/>
          <w:szCs w:val="16"/>
          <w:lang w:val="pt-BR"/>
        </w:rPr>
        <w:t xml:space="preserve">. Sentencia de 31 de agosto de 2004. </w:t>
      </w:r>
      <w:r w:rsidRPr="00AD791A">
        <w:rPr>
          <w:rFonts w:ascii="Cambria" w:hAnsi="Cambria"/>
          <w:szCs w:val="16"/>
        </w:rPr>
        <w:t>Serie C No. 111</w:t>
      </w:r>
      <w:r w:rsidRPr="00AD791A">
        <w:rPr>
          <w:rFonts w:ascii="Cambria" w:hAnsi="Cambria" w:cs="Arial"/>
          <w:szCs w:val="16"/>
        </w:rPr>
        <w:t>, párr. 142.</w:t>
      </w:r>
    </w:p>
  </w:footnote>
  <w:footnote w:id="211">
    <w:p w:rsidR="000A6E4C" w:rsidRPr="00AD791A" w:rsidRDefault="000A6E4C" w:rsidP="009D7F32">
      <w:pPr>
        <w:pStyle w:val="FootnoteText"/>
        <w:spacing w:before="0" w:after="120"/>
        <w:ind w:firstLine="720"/>
        <w:rPr>
          <w:rFonts w:ascii="Cambria" w:hAnsi="Cambria"/>
          <w:szCs w:val="16"/>
        </w:rPr>
      </w:pPr>
      <w:r w:rsidRPr="00AD791A">
        <w:rPr>
          <w:rStyle w:val="FootnoteReference"/>
          <w:rFonts w:ascii="Cambria" w:hAnsi="Cambria"/>
          <w:szCs w:val="16"/>
        </w:rPr>
        <w:footnoteRef/>
      </w:r>
      <w:r w:rsidRPr="00AD791A">
        <w:rPr>
          <w:rFonts w:ascii="Cambria" w:hAnsi="Cambria" w:cs="Arial"/>
          <w:szCs w:val="16"/>
        </w:rPr>
        <w:t xml:space="preserve"> </w:t>
      </w:r>
      <w:r w:rsidRPr="00AD791A">
        <w:rPr>
          <w:rFonts w:ascii="Cambria" w:hAnsi="Cambria"/>
          <w:szCs w:val="16"/>
        </w:rPr>
        <w:t>CIDH, Informe No. 56/12 Fondo (</w:t>
      </w:r>
      <w:r w:rsidRPr="00AD791A">
        <w:rPr>
          <w:rFonts w:ascii="Cambria" w:hAnsi="Cambria"/>
          <w:i/>
          <w:szCs w:val="16"/>
        </w:rPr>
        <w:t>Florentín Gudiel Ramos, Makrina Gudiel Álvarez y otros</w:t>
      </w:r>
      <w:r w:rsidRPr="00AD791A">
        <w:rPr>
          <w:rFonts w:ascii="Cambria" w:hAnsi="Cambria"/>
          <w:szCs w:val="16"/>
        </w:rPr>
        <w:t>) Guatemala, 21 de marzo de 2012, párr</w:t>
      </w:r>
      <w:r w:rsidRPr="00AD791A">
        <w:rPr>
          <w:rFonts w:ascii="Cambria" w:hAnsi="Cambria" w:cs="Arial"/>
          <w:szCs w:val="16"/>
        </w:rPr>
        <w:t xml:space="preserve">. 148; </w:t>
      </w:r>
      <w:r w:rsidRPr="00AD791A">
        <w:rPr>
          <w:rFonts w:ascii="Cambria" w:hAnsi="Cambria"/>
          <w:szCs w:val="16"/>
        </w:rPr>
        <w:t xml:space="preserve">Corte IDH., </w:t>
      </w:r>
      <w:r w:rsidRPr="00AD791A">
        <w:rPr>
          <w:rFonts w:ascii="Cambria" w:hAnsi="Cambria"/>
          <w:i/>
          <w:szCs w:val="16"/>
        </w:rPr>
        <w:t>Caso</w:t>
      </w:r>
      <w:r w:rsidRPr="00AD791A">
        <w:rPr>
          <w:rFonts w:ascii="Cambria" w:hAnsi="Cambria"/>
          <w:szCs w:val="16"/>
        </w:rPr>
        <w:t xml:space="preserve"> </w:t>
      </w:r>
      <w:r w:rsidRPr="00AD791A">
        <w:rPr>
          <w:rFonts w:ascii="Cambria" w:hAnsi="Cambria"/>
          <w:i/>
          <w:szCs w:val="16"/>
        </w:rPr>
        <w:t>López Álvarez Vs. Honduras</w:t>
      </w:r>
      <w:r w:rsidRPr="00AD791A">
        <w:rPr>
          <w:rFonts w:ascii="Cambria" w:hAnsi="Cambria"/>
          <w:szCs w:val="16"/>
        </w:rPr>
        <w:t>. Sentencia de 1 de febrero de 2006. Serie C No. 141</w:t>
      </w:r>
      <w:r w:rsidRPr="00AD791A">
        <w:rPr>
          <w:rFonts w:ascii="Cambria" w:hAnsi="Cambria" w:cs="Arial"/>
          <w:szCs w:val="16"/>
        </w:rPr>
        <w:t xml:space="preserve">, párr. 129; </w:t>
      </w:r>
      <w:r w:rsidRPr="00AD791A">
        <w:rPr>
          <w:rFonts w:ascii="Cambria" w:hAnsi="Cambria"/>
          <w:szCs w:val="16"/>
        </w:rPr>
        <w:t xml:space="preserve">Corte IDH., </w:t>
      </w:r>
      <w:r w:rsidRPr="00AD791A">
        <w:rPr>
          <w:rFonts w:ascii="Cambria" w:hAnsi="Cambria"/>
          <w:i/>
          <w:szCs w:val="16"/>
        </w:rPr>
        <w:t>Caso Acosta Calderón Vs. Ecuador</w:t>
      </w:r>
      <w:r w:rsidRPr="00AD791A">
        <w:rPr>
          <w:rFonts w:ascii="Cambria" w:hAnsi="Cambria"/>
          <w:szCs w:val="16"/>
        </w:rPr>
        <w:t>. Sentencia de 24 de junio de 2005. Serie C No. 129</w:t>
      </w:r>
      <w:r w:rsidRPr="00AD791A">
        <w:rPr>
          <w:rFonts w:ascii="Cambria" w:hAnsi="Cambria" w:cs="Arial"/>
          <w:szCs w:val="16"/>
        </w:rPr>
        <w:t>, párr. 104; y</w:t>
      </w:r>
      <w:r w:rsidRPr="00AD791A">
        <w:rPr>
          <w:rFonts w:ascii="Cambria" w:hAnsi="Cambria"/>
          <w:szCs w:val="16"/>
        </w:rPr>
        <w:t xml:space="preserve"> Corte IDH., </w:t>
      </w:r>
      <w:r w:rsidRPr="00AD791A">
        <w:rPr>
          <w:rFonts w:ascii="Cambria" w:hAnsi="Cambria"/>
          <w:i/>
          <w:szCs w:val="16"/>
        </w:rPr>
        <w:t>Caso Tibi Vs. Ecuador</w:t>
      </w:r>
      <w:r w:rsidRPr="00AD791A">
        <w:rPr>
          <w:rFonts w:ascii="Cambria" w:hAnsi="Cambria"/>
          <w:szCs w:val="16"/>
        </w:rPr>
        <w:t>. Sentencia de 7 de septiembre de 2004. Serie C No. 114</w:t>
      </w:r>
      <w:r w:rsidRPr="00AD791A">
        <w:rPr>
          <w:rFonts w:ascii="Cambria" w:hAnsi="Cambria" w:cs="Arial"/>
          <w:szCs w:val="16"/>
        </w:rPr>
        <w:t>, párr. 168.</w:t>
      </w:r>
    </w:p>
  </w:footnote>
  <w:footnote w:id="212">
    <w:p w:rsidR="000A6E4C" w:rsidRPr="00AD791A" w:rsidRDefault="000A6E4C" w:rsidP="009D7F32">
      <w:pPr>
        <w:pStyle w:val="FootnoteText"/>
        <w:spacing w:before="0" w:after="120"/>
        <w:ind w:firstLine="720"/>
        <w:rPr>
          <w:rFonts w:ascii="Cambria" w:hAnsi="Cambria"/>
          <w:szCs w:val="16"/>
        </w:rPr>
      </w:pPr>
      <w:r w:rsidRPr="00AD791A">
        <w:rPr>
          <w:rStyle w:val="FootnoteReference"/>
          <w:rFonts w:ascii="Cambria" w:hAnsi="Cambria"/>
          <w:szCs w:val="16"/>
        </w:rPr>
        <w:footnoteRef/>
      </w:r>
      <w:r w:rsidRPr="00AD791A">
        <w:rPr>
          <w:rFonts w:ascii="Cambria" w:hAnsi="Cambria" w:cs="Arial"/>
          <w:szCs w:val="16"/>
        </w:rPr>
        <w:t xml:space="preserve"> </w:t>
      </w:r>
      <w:r w:rsidRPr="00AD791A">
        <w:rPr>
          <w:rFonts w:ascii="Cambria" w:hAnsi="Cambria"/>
          <w:szCs w:val="16"/>
        </w:rPr>
        <w:t>CIDH, Informe No. 56/12 Fondo (Florentín Gudiel Ramos, Makrina Gudiel Álvarez y otros) Guatemala, 21 de marzo de 2012, párr. 148;</w:t>
      </w:r>
      <w:r w:rsidRPr="00AD791A">
        <w:rPr>
          <w:rFonts w:ascii="Cambria" w:hAnsi="Cambria" w:cs="Arial"/>
          <w:szCs w:val="16"/>
        </w:rPr>
        <w:t xml:space="preserve"> CIDH, Informe de Fondo No. 77/02, </w:t>
      </w:r>
      <w:r w:rsidRPr="00AD791A">
        <w:rPr>
          <w:rFonts w:ascii="Cambria" w:hAnsi="Cambria" w:cs="Arial"/>
          <w:i/>
          <w:szCs w:val="16"/>
        </w:rPr>
        <w:t>Waldemar Gerónimo Pinheiro y José Víctor dos Santos</w:t>
      </w:r>
      <w:r w:rsidRPr="00AD791A">
        <w:rPr>
          <w:rFonts w:ascii="Cambria" w:hAnsi="Cambria" w:cs="Arial"/>
          <w:szCs w:val="16"/>
        </w:rPr>
        <w:t xml:space="preserve"> (Caso 11.506), 27 de diciembre de 2002, párr. 76. Ver también </w:t>
      </w:r>
      <w:r w:rsidRPr="00AD791A">
        <w:rPr>
          <w:rFonts w:ascii="Cambria" w:hAnsi="Cambria"/>
          <w:szCs w:val="16"/>
        </w:rPr>
        <w:t xml:space="preserve">Corte IDH., </w:t>
      </w:r>
      <w:r w:rsidRPr="00AD791A">
        <w:rPr>
          <w:rFonts w:ascii="Cambria" w:hAnsi="Cambria"/>
          <w:i/>
          <w:szCs w:val="16"/>
        </w:rPr>
        <w:t>Caso</w:t>
      </w:r>
      <w:r w:rsidRPr="00AD791A">
        <w:rPr>
          <w:rFonts w:ascii="Cambria" w:hAnsi="Cambria"/>
          <w:szCs w:val="16"/>
        </w:rPr>
        <w:t xml:space="preserve"> </w:t>
      </w:r>
      <w:r w:rsidRPr="00AD791A">
        <w:rPr>
          <w:rFonts w:ascii="Cambria" w:hAnsi="Cambria"/>
          <w:i/>
          <w:szCs w:val="16"/>
        </w:rPr>
        <w:t>López Álvarez Vs. Honduras</w:t>
      </w:r>
      <w:r w:rsidRPr="00AD791A">
        <w:rPr>
          <w:rFonts w:ascii="Cambria" w:hAnsi="Cambria"/>
          <w:szCs w:val="16"/>
        </w:rPr>
        <w:t>. Sentencia de 1 de febrero de 2006. Serie C No. 141</w:t>
      </w:r>
      <w:r w:rsidRPr="00AD791A">
        <w:rPr>
          <w:rFonts w:ascii="Cambria" w:hAnsi="Cambria" w:cs="Arial"/>
          <w:szCs w:val="16"/>
        </w:rPr>
        <w:t xml:space="preserve">, párr. 132; </w:t>
      </w:r>
      <w:r w:rsidRPr="00AD791A">
        <w:rPr>
          <w:rFonts w:ascii="Cambria" w:hAnsi="Cambria"/>
          <w:szCs w:val="16"/>
        </w:rPr>
        <w:t xml:space="preserve">Corte IDH., </w:t>
      </w:r>
      <w:r w:rsidRPr="00AD791A">
        <w:rPr>
          <w:rFonts w:ascii="Cambria" w:hAnsi="Cambria"/>
          <w:i/>
          <w:szCs w:val="16"/>
        </w:rPr>
        <w:t>Caso García Asto y Ramírez Rojas Vs. Perú</w:t>
      </w:r>
      <w:r w:rsidRPr="00AD791A">
        <w:rPr>
          <w:rFonts w:ascii="Cambria" w:hAnsi="Cambria"/>
          <w:szCs w:val="16"/>
        </w:rPr>
        <w:t>. Sentencia de 25 de noviembre de 2005. Serie C No. 137</w:t>
      </w:r>
      <w:r w:rsidRPr="00AD791A">
        <w:rPr>
          <w:rFonts w:ascii="Cambria" w:hAnsi="Cambria" w:cs="Arial"/>
          <w:szCs w:val="16"/>
        </w:rPr>
        <w:t>, párr. 166.</w:t>
      </w:r>
    </w:p>
  </w:footnote>
  <w:footnote w:id="213">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Anexo 134.  Respuesta de la Fiscalía Auxiliar de Managua a los agravios de la parte recurrente del recurso de casación, Expediente Número 2019-2004 Recurso de Casación ante la Corte Suprema de Justicia. Expediente judicial de primera instancia No. 110-02, folios 80 a 86. Anexo a la comunicación de los peticionarios de 13 de julio de 2007.</w:t>
      </w:r>
    </w:p>
  </w:footnote>
  <w:footnote w:id="214">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100. Escrito de segundas vistas de la Fiscal ante el Juzgado de Distrito de lo Civil y Penal del In. Por Ministerio de La Ley de Bluefields, 24 de diciembre de 2002. Expediente judicial de primera instancia No. 110-02, folios 268 a 270. Anexo a la comunicación de los peticionarios de 13 de julio de 2007. </w:t>
      </w:r>
    </w:p>
  </w:footnote>
  <w:footnote w:id="215">
    <w:p w:rsidR="000A6E4C" w:rsidRPr="00AD791A" w:rsidRDefault="000A6E4C" w:rsidP="009D7F32">
      <w:pPr>
        <w:pStyle w:val="Style13"/>
        <w:spacing w:before="0" w:line="240" w:lineRule="auto"/>
        <w:ind w:firstLine="720"/>
        <w:rPr>
          <w:rFonts w:ascii="Cambria" w:hAnsi="Cambria"/>
          <w:sz w:val="16"/>
          <w:szCs w:val="16"/>
          <w:lang w:val="es-MX"/>
        </w:rPr>
      </w:pPr>
      <w:r w:rsidRPr="00AD791A">
        <w:rPr>
          <w:rStyle w:val="FootnoteReference"/>
          <w:rFonts w:ascii="Cambria" w:hAnsi="Cambria"/>
          <w:sz w:val="16"/>
          <w:szCs w:val="16"/>
        </w:rPr>
        <w:footnoteRef/>
      </w:r>
      <w:r w:rsidRPr="00AD791A">
        <w:rPr>
          <w:rFonts w:ascii="Cambria" w:hAnsi="Cambria"/>
          <w:sz w:val="16"/>
          <w:szCs w:val="16"/>
          <w:lang w:val="es-MX"/>
        </w:rPr>
        <w:t xml:space="preserve"> Anexo 164. </w:t>
      </w:r>
      <w:r w:rsidRPr="00AD791A">
        <w:rPr>
          <w:rFonts w:ascii="Cambria" w:hAnsi="Cambria" w:cs="Arial"/>
          <w:sz w:val="16"/>
          <w:szCs w:val="16"/>
          <w:lang w:val="es-ES_tradnl"/>
        </w:rPr>
        <w:t xml:space="preserve">Auto, Juzgado de Distrito del Crimen de Bluefields. </w:t>
      </w:r>
      <w:r w:rsidRPr="00AD791A">
        <w:rPr>
          <w:rFonts w:ascii="Cambria" w:hAnsi="Cambria" w:cs="Arial Narrow"/>
          <w:spacing w:val="-2"/>
          <w:sz w:val="16"/>
          <w:szCs w:val="16"/>
          <w:lang w:val="es-MX"/>
        </w:rPr>
        <w:t xml:space="preserve">Expediente judicial de primera instancia No. 110-02. </w:t>
      </w:r>
      <w:r w:rsidRPr="00AD791A">
        <w:rPr>
          <w:rFonts w:ascii="Cambria" w:hAnsi="Cambria" w:cs="Arial"/>
          <w:sz w:val="16"/>
          <w:szCs w:val="16"/>
          <w:lang w:val="es-ES_tradnl"/>
        </w:rPr>
        <w:t>folio 75. Anexo a la comunicación de los peticionarios de 13 de julio de 2007.</w:t>
      </w:r>
    </w:p>
  </w:footnote>
  <w:footnote w:id="216">
    <w:p w:rsidR="000A6E4C" w:rsidRPr="00AD791A" w:rsidRDefault="000A6E4C" w:rsidP="009D7F32">
      <w:pPr>
        <w:pStyle w:val="FootnoteText"/>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165. Cédula judicial del Distrito del Crimen de Bluefields, 12 de diciembre de 2002. </w:t>
      </w:r>
      <w:r w:rsidRPr="00AD791A">
        <w:rPr>
          <w:rFonts w:ascii="Cambria" w:hAnsi="Cambria" w:cs="Arial Narrow"/>
          <w:spacing w:val="-2"/>
          <w:szCs w:val="16"/>
          <w:lang w:val="es-MX"/>
        </w:rPr>
        <w:t xml:space="preserve">Expediente judicial de primera instancia No. 110-02. </w:t>
      </w:r>
      <w:r w:rsidRPr="00AD791A">
        <w:rPr>
          <w:rFonts w:ascii="Cambria" w:hAnsi="Cambria" w:cs="Arial"/>
          <w:szCs w:val="16"/>
        </w:rPr>
        <w:t>folio 264. Anexo a la comunicación de los peticionarios de 13 de julio de 2007.</w:t>
      </w:r>
    </w:p>
  </w:footnote>
  <w:footnote w:id="217">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89. Auto del Juzgado de Distrito del Crimen de Bluefields, 13 de mayo de 2002. </w:t>
      </w:r>
      <w:r w:rsidRPr="00AD791A">
        <w:rPr>
          <w:rFonts w:ascii="Cambria" w:hAnsi="Cambria" w:cs="Arial Narrow"/>
          <w:spacing w:val="-2"/>
          <w:szCs w:val="16"/>
          <w:lang w:val="es-MX"/>
        </w:rPr>
        <w:t xml:space="preserve">Expediente judicial de primera instancia No. 110-02. </w:t>
      </w:r>
      <w:r w:rsidRPr="00AD791A">
        <w:rPr>
          <w:rFonts w:ascii="Cambria" w:hAnsi="Cambria" w:cs="Arial"/>
          <w:szCs w:val="16"/>
        </w:rPr>
        <w:t xml:space="preserve">folio 181. Anexo a la comunicación de los peticionarios de 13 de julio de 2007. </w:t>
      </w:r>
    </w:p>
  </w:footnote>
  <w:footnote w:id="218">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81. Auto del Juzgado de Distrito del Crimen de Bluefields, 25 de abril de 2002. </w:t>
      </w:r>
      <w:r w:rsidRPr="00AD791A">
        <w:rPr>
          <w:rFonts w:ascii="Cambria" w:hAnsi="Cambria" w:cs="Arial Narrow"/>
          <w:spacing w:val="-2"/>
          <w:szCs w:val="16"/>
          <w:lang w:val="es-MX"/>
        </w:rPr>
        <w:t xml:space="preserve">Expediente judicial de primera instancia No. 110-02. </w:t>
      </w:r>
      <w:r w:rsidRPr="00AD791A">
        <w:rPr>
          <w:rFonts w:ascii="Cambria" w:hAnsi="Cambria" w:cs="Arial"/>
          <w:szCs w:val="16"/>
        </w:rPr>
        <w:t>folio 139. Anexo a la comunicación de los peticionarios de 13 de julio de 2007.</w:t>
      </w:r>
    </w:p>
  </w:footnote>
  <w:footnote w:id="219">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82. Auto del Juzgado de Distrito del Crimen de Bluefields, 26 de abril de 2002. Expediente judicial de primera instancia, fo</w:t>
      </w:r>
      <w:r w:rsidRPr="00AD791A">
        <w:rPr>
          <w:rFonts w:ascii="Cambria" w:hAnsi="Cambria" w:cs="Arial Narrow"/>
          <w:spacing w:val="-2"/>
          <w:szCs w:val="16"/>
          <w:lang w:val="es-MX"/>
        </w:rPr>
        <w:t xml:space="preserve">lio 148. Anexo </w:t>
      </w:r>
      <w:r w:rsidRPr="00AD791A">
        <w:rPr>
          <w:rFonts w:ascii="Cambria" w:hAnsi="Cambria"/>
          <w:szCs w:val="16"/>
          <w:lang w:val="es-MX"/>
        </w:rPr>
        <w:t>a la comunicación de los peticionarios de 13 de julio de 2007.</w:t>
      </w:r>
    </w:p>
  </w:footnote>
  <w:footnote w:id="220">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159. Informe Final de Seguimiento Expediente No. 154-2003 de Procuraduría para la Defensa de los Derechos Humanos, 10 de junio de 2004. Anexo a la comunicación de los peticionarios de 13 de julio de 2007.</w:t>
      </w:r>
    </w:p>
  </w:footnote>
  <w:footnote w:id="221">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rPr>
        <w:t xml:space="preserve"> Anexo 149. Escrito de contestación de demanda, interpuesto por el representante de la señora Acosta, 14 de agosto de 2003, </w:t>
      </w:r>
      <w:r w:rsidRPr="00AD791A">
        <w:rPr>
          <w:rFonts w:ascii="Cambria" w:hAnsi="Cambria"/>
          <w:szCs w:val="16"/>
          <w:lang w:val="es-MX"/>
        </w:rPr>
        <w:t xml:space="preserve">Expediente No. 298-02 del Juzgado de Distrito de lo Civil y Penal del In de Bluefields (Delito: Falso testimonio y denuncia falsa), </w:t>
      </w:r>
      <w:r w:rsidRPr="00AD791A">
        <w:rPr>
          <w:rFonts w:ascii="Cambria" w:hAnsi="Cambria"/>
          <w:szCs w:val="16"/>
        </w:rPr>
        <w:t>folios 40 a 43</w:t>
      </w:r>
      <w:r w:rsidRPr="00AD791A">
        <w:rPr>
          <w:rFonts w:ascii="Cambria" w:hAnsi="Cambria"/>
          <w:szCs w:val="16"/>
          <w:lang w:val="es-MX"/>
        </w:rPr>
        <w:t xml:space="preserve">. </w:t>
      </w:r>
      <w:r w:rsidRPr="00AD791A">
        <w:rPr>
          <w:rFonts w:ascii="Cambria" w:hAnsi="Cambria" w:cs="Arial Narrow"/>
          <w:spacing w:val="-2"/>
          <w:szCs w:val="16"/>
          <w:lang w:val="es-MX"/>
        </w:rPr>
        <w:t xml:space="preserve">Anexo </w:t>
      </w:r>
      <w:r w:rsidRPr="00AD791A">
        <w:rPr>
          <w:rFonts w:ascii="Cambria" w:hAnsi="Cambria"/>
          <w:szCs w:val="16"/>
          <w:lang w:val="es-MX"/>
        </w:rPr>
        <w:t>a la comunicación de los peticionarios de 13 de julio de 2007.</w:t>
      </w:r>
    </w:p>
  </w:footnote>
  <w:footnote w:id="222">
    <w:p w:rsidR="000A6E4C" w:rsidRPr="00AD791A" w:rsidRDefault="000A6E4C" w:rsidP="009D7F32">
      <w:pPr>
        <w:pStyle w:val="FootnoteText"/>
        <w:spacing w:before="0" w:after="120"/>
        <w:ind w:firstLine="720"/>
        <w:rPr>
          <w:rFonts w:ascii="Cambria" w:hAnsi="Cambria"/>
          <w:szCs w:val="16"/>
          <w:lang w:val="es-ES"/>
        </w:rPr>
      </w:pPr>
      <w:r w:rsidRPr="00AD791A">
        <w:rPr>
          <w:rStyle w:val="FootnoteReference"/>
          <w:rFonts w:ascii="Cambria" w:hAnsi="Cambria"/>
          <w:szCs w:val="16"/>
          <w:lang w:val="es-ES"/>
        </w:rPr>
        <w:footnoteRef/>
      </w:r>
      <w:r w:rsidRPr="00AD791A">
        <w:rPr>
          <w:rFonts w:ascii="Cambria" w:hAnsi="Cambria"/>
          <w:spacing w:val="-3"/>
          <w:szCs w:val="16"/>
          <w:lang w:val="es-ES"/>
        </w:rPr>
        <w:t xml:space="preserve"> CIDH, Demanda ante la Corte Interamericana de Derechos Humanos, Caso 11.219 (Nicholas Chapman Blake), 3 de agosto de 1995, pág. 32.</w:t>
      </w:r>
      <w:r w:rsidRPr="00AD791A">
        <w:rPr>
          <w:rFonts w:ascii="Cambria" w:hAnsi="Cambria"/>
          <w:szCs w:val="16"/>
          <w:lang w:val="es-ES"/>
        </w:rPr>
        <w:t xml:space="preserve"> </w:t>
      </w:r>
    </w:p>
  </w:footnote>
  <w:footnote w:id="223">
    <w:p w:rsidR="000A6E4C" w:rsidRPr="00AD791A" w:rsidRDefault="000A6E4C" w:rsidP="009D7F32">
      <w:pPr>
        <w:pStyle w:val="FootnoteText"/>
        <w:spacing w:before="0" w:after="120"/>
        <w:ind w:firstLine="720"/>
        <w:rPr>
          <w:rFonts w:ascii="Cambria" w:hAnsi="Cambria"/>
          <w:szCs w:val="16"/>
        </w:rPr>
      </w:pPr>
      <w:r w:rsidRPr="00AD791A">
        <w:rPr>
          <w:rStyle w:val="FootnoteReference"/>
          <w:rFonts w:ascii="Cambria" w:hAnsi="Cambria"/>
          <w:szCs w:val="16"/>
        </w:rPr>
        <w:footnoteRef/>
      </w:r>
      <w:r w:rsidRPr="00AD791A">
        <w:rPr>
          <w:rFonts w:ascii="Cambria" w:hAnsi="Cambria"/>
          <w:szCs w:val="16"/>
        </w:rPr>
        <w:t xml:space="preserve"> Anexo 140. Incidente de nulidad, presentado por el representante de la señora Acosta, 26 de junio de 2002, folios 18 a 21, </w:t>
      </w:r>
      <w:r w:rsidRPr="00AD791A">
        <w:rPr>
          <w:rFonts w:ascii="Cambria" w:hAnsi="Cambria"/>
          <w:szCs w:val="16"/>
          <w:lang w:val="es-MX"/>
        </w:rPr>
        <w:t>Expediente 350-02 del Juzgado de lo Civil del Distrito de Bluefields (Embargo Preventivo / Daños y perjuicios).</w:t>
      </w:r>
    </w:p>
  </w:footnote>
  <w:footnote w:id="224">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Anexo 145. Auto, Tribunal de Apelaciones de Bluefields, Sala de lo Civil, 25 de marzo de 2003. Expediente No. 06-2003 del Tribunal de Apelaciones de Bluefields, Sala de lo Civil, folio 6. Anexo a la comunicación de los peticionarios de 13 de julio de 2007.</w:t>
      </w:r>
    </w:p>
  </w:footnote>
  <w:footnote w:id="225">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w:t>
      </w:r>
      <w:r w:rsidRPr="00AD791A">
        <w:rPr>
          <w:rFonts w:ascii="Cambria" w:hAnsi="Cambria"/>
          <w:szCs w:val="16"/>
        </w:rPr>
        <w:t xml:space="preserve">En este sentido, es importante señalar que la CIDH, en el informe en el “Segundo Informe sobre la Situación de las Defensoras y los Defensores de Derechos Humanos en Las Américas”, se refiere a los procesos penales; sin embargo, considerando la jurisprudencia constante del Sistema Interamericano, la aplicación del artículo 8 de la Convención Americana (“Garantías Judiciales”) no se limita a los recursos judiciales en sentido estricto, "sino [al] conjunto de requisitos que deben observarse en las instancias procesales" a efectos de que las personas estén en condiciones de defender adecuadamente sus derechos ante cualquier tipo de acto del Estado que pueda afectarlos. Es decir, cualquier actuación u omisión de los órganos estatales dentro de un proceso, sea administrativo sancionatorio o jurisdiccional, debe respetar el debido proceso legal. </w:t>
      </w:r>
      <w:hyperlink r:id="rId14" w:history="1">
        <w:r w:rsidRPr="00AD791A">
          <w:rPr>
            <w:rFonts w:ascii="Cambria" w:hAnsi="Cambria"/>
            <w:szCs w:val="16"/>
          </w:rPr>
          <w:t>Corte IDH. Caso Baena Ricardo y otros Vs. Panamá. Fondo, Reparaciones y Costas. Sentencia de 2 de febrero de 2001. Serie C No. 72, párr. 124</w:t>
        </w:r>
      </w:hyperlink>
      <w:r w:rsidRPr="00AD791A">
        <w:rPr>
          <w:rFonts w:ascii="Cambria" w:hAnsi="Cambria"/>
          <w:szCs w:val="16"/>
        </w:rPr>
        <w:t xml:space="preserve">. Cfr. Corte I.D.H. Caso del Tribunal Constitucional, Sentencia de 31 de enero de 2001. Serie C No. 71, párr. 49, párr. 69; y Garantías judiciales en Estados de Emergencia (arts. 27.2, 25 y 8 Convención Americana sobre Derechos Humanos). Opinión Consultiva OC-9/87 del 6 de octubre de 1987. Serie  A No. 9, párr. 27. Véase también </w:t>
      </w:r>
      <w:r w:rsidRPr="00AD791A">
        <w:rPr>
          <w:rFonts w:ascii="Cambria" w:hAnsi="Cambria"/>
          <w:szCs w:val="16"/>
          <w:lang w:val="es-MX"/>
        </w:rPr>
        <w:t xml:space="preserve"> CIDH, Segundo Informe sobre la Situación de las Defensoras y los Defensores de Derechos Humanos en Las Américas, </w:t>
      </w:r>
      <w:r w:rsidRPr="00AD791A">
        <w:rPr>
          <w:rFonts w:ascii="Cambria" w:eastAsia="Times New Roman" w:hAnsi="Cambria"/>
          <w:szCs w:val="16"/>
          <w:lang w:val="es-MX"/>
        </w:rPr>
        <w:t>OEA/Ser.L/V/II.</w:t>
      </w:r>
      <w:r w:rsidRPr="00AD791A">
        <w:rPr>
          <w:rFonts w:ascii="Cambria" w:hAnsi="Cambria"/>
          <w:szCs w:val="16"/>
          <w:lang w:val="es-MX"/>
        </w:rPr>
        <w:t xml:space="preserve"> </w:t>
      </w:r>
      <w:r w:rsidRPr="00AD791A">
        <w:rPr>
          <w:rFonts w:ascii="Cambria" w:eastAsia="Times New Roman" w:hAnsi="Cambria"/>
          <w:szCs w:val="16"/>
          <w:lang w:val="es-MX"/>
        </w:rPr>
        <w:t>Doc. 66</w:t>
      </w:r>
      <w:r w:rsidRPr="00AD791A">
        <w:rPr>
          <w:rFonts w:ascii="Cambria" w:hAnsi="Cambria"/>
          <w:szCs w:val="16"/>
          <w:lang w:val="es-MX"/>
        </w:rPr>
        <w:t xml:space="preserve">, </w:t>
      </w:r>
      <w:r w:rsidRPr="00AD791A">
        <w:rPr>
          <w:rFonts w:ascii="Cambria" w:eastAsia="Times New Roman" w:hAnsi="Cambria"/>
          <w:szCs w:val="16"/>
          <w:lang w:val="es-MX"/>
        </w:rPr>
        <w:t>31 diciembre 2011</w:t>
      </w:r>
      <w:r w:rsidRPr="00AD791A">
        <w:rPr>
          <w:rFonts w:ascii="Cambria" w:hAnsi="Cambria"/>
          <w:szCs w:val="16"/>
          <w:lang w:val="es-MX"/>
        </w:rPr>
        <w:t xml:space="preserve">, párr. 109.  Disponible en </w:t>
      </w:r>
      <w:hyperlink r:id="rId15" w:history="1">
        <w:r w:rsidRPr="00AD791A">
          <w:rPr>
            <w:rStyle w:val="Hyperlink"/>
            <w:rFonts w:ascii="Cambria" w:hAnsi="Cambria"/>
            <w:color w:val="auto"/>
            <w:szCs w:val="16"/>
            <w:lang w:val="es-MX"/>
          </w:rPr>
          <w:t>http://www.oas.org/es/cidh/defensores/docs/pdf/defensores2011.pdf</w:t>
        </w:r>
      </w:hyperlink>
    </w:p>
  </w:footnote>
  <w:footnote w:id="226">
    <w:p w:rsidR="000A6E4C" w:rsidRPr="00AD791A" w:rsidRDefault="000A6E4C" w:rsidP="009D7F32">
      <w:pPr>
        <w:pStyle w:val="FootnoteText"/>
        <w:spacing w:before="0" w:after="120"/>
        <w:ind w:firstLine="720"/>
        <w:rPr>
          <w:rFonts w:ascii="Cambria" w:hAnsi="Cambria"/>
          <w:szCs w:val="16"/>
          <w:lang w:val="es-MX"/>
        </w:rPr>
      </w:pPr>
      <w:r w:rsidRPr="00AD791A">
        <w:rPr>
          <w:rStyle w:val="FootnoteReference"/>
          <w:rFonts w:ascii="Cambria" w:hAnsi="Cambria"/>
          <w:szCs w:val="16"/>
        </w:rPr>
        <w:footnoteRef/>
      </w:r>
      <w:r w:rsidRPr="00AD791A">
        <w:rPr>
          <w:rFonts w:ascii="Cambria" w:hAnsi="Cambria"/>
          <w:szCs w:val="16"/>
          <w:lang w:val="es-MX"/>
        </w:rPr>
        <w:t xml:space="preserve"> CIDH, Segundo Informe sobre la Situación de las Defensoras y los Defensores de Derechos Humanos en Las Américas, </w:t>
      </w:r>
      <w:r w:rsidRPr="00AD791A">
        <w:rPr>
          <w:rFonts w:ascii="Cambria" w:eastAsia="Times New Roman" w:hAnsi="Cambria"/>
          <w:szCs w:val="16"/>
          <w:lang w:val="es-MX"/>
        </w:rPr>
        <w:t>OEA/Ser.L/V/II.</w:t>
      </w:r>
      <w:r w:rsidRPr="00AD791A">
        <w:rPr>
          <w:rFonts w:ascii="Cambria" w:hAnsi="Cambria"/>
          <w:szCs w:val="16"/>
          <w:lang w:val="es-MX"/>
        </w:rPr>
        <w:t xml:space="preserve"> </w:t>
      </w:r>
      <w:r w:rsidRPr="00AD791A">
        <w:rPr>
          <w:rFonts w:ascii="Cambria" w:eastAsia="Times New Roman" w:hAnsi="Cambria"/>
          <w:szCs w:val="16"/>
          <w:lang w:val="es-MX"/>
        </w:rPr>
        <w:t>Doc. 66</w:t>
      </w:r>
      <w:r w:rsidRPr="00AD791A">
        <w:rPr>
          <w:rFonts w:ascii="Cambria" w:hAnsi="Cambria"/>
          <w:szCs w:val="16"/>
          <w:lang w:val="es-MX"/>
        </w:rPr>
        <w:t xml:space="preserve">, </w:t>
      </w:r>
      <w:r w:rsidRPr="00AD791A">
        <w:rPr>
          <w:rFonts w:ascii="Cambria" w:eastAsia="Times New Roman" w:hAnsi="Cambria"/>
          <w:szCs w:val="16"/>
          <w:lang w:val="es-MX"/>
        </w:rPr>
        <w:t>31 diciembre 2011</w:t>
      </w:r>
      <w:r w:rsidRPr="00AD791A">
        <w:rPr>
          <w:rFonts w:ascii="Cambria" w:hAnsi="Cambria"/>
          <w:szCs w:val="16"/>
          <w:lang w:val="es-MX"/>
        </w:rPr>
        <w:t xml:space="preserve">, párr. 111.  Disponible en </w:t>
      </w:r>
      <w:hyperlink r:id="rId16" w:history="1">
        <w:r w:rsidRPr="00AD791A">
          <w:rPr>
            <w:rStyle w:val="Hyperlink"/>
            <w:rFonts w:ascii="Cambria" w:hAnsi="Cambria"/>
            <w:color w:val="auto"/>
            <w:szCs w:val="16"/>
            <w:lang w:val="es-MX"/>
          </w:rPr>
          <w:t>http://www.oas.org/es/cidh/defensores/docs/pdf/defensores2011.pdf</w:t>
        </w:r>
      </w:hyperlink>
    </w:p>
  </w:footnote>
  <w:footnote w:id="227">
    <w:p w:rsidR="000A6E4C" w:rsidRPr="00AD791A" w:rsidRDefault="000A6E4C" w:rsidP="009D7F32">
      <w:pPr>
        <w:pStyle w:val="FootnoteText"/>
        <w:spacing w:before="0" w:after="120"/>
        <w:ind w:firstLine="720"/>
        <w:rPr>
          <w:rFonts w:ascii="Cambria" w:hAnsi="Cambria"/>
          <w:szCs w:val="16"/>
          <w:lang w:val="es-ES"/>
        </w:rPr>
      </w:pPr>
      <w:r w:rsidRPr="00AD791A">
        <w:rPr>
          <w:rStyle w:val="FootnoteReference"/>
          <w:rFonts w:ascii="Cambria" w:hAnsi="Cambria"/>
          <w:szCs w:val="16"/>
          <w:lang w:val="es-ES"/>
        </w:rPr>
        <w:footnoteRef/>
      </w:r>
      <w:r w:rsidRPr="00AD791A">
        <w:rPr>
          <w:rFonts w:ascii="Cambria" w:hAnsi="Cambria"/>
          <w:szCs w:val="16"/>
          <w:lang w:val="es-ES"/>
        </w:rPr>
        <w:t xml:space="preserve"> </w:t>
      </w:r>
      <w:r w:rsidRPr="00AD791A">
        <w:rPr>
          <w:rFonts w:ascii="Cambria" w:hAnsi="Cambria"/>
          <w:szCs w:val="16"/>
          <w:lang w:val="es-MX"/>
        </w:rPr>
        <w:t xml:space="preserve">CIDH, Segundo Informe sobre la Situación de las Defensoras y los Defensores de Derechos Humanos en Las Américas, </w:t>
      </w:r>
      <w:r w:rsidRPr="00AD791A">
        <w:rPr>
          <w:rFonts w:ascii="Cambria" w:eastAsia="Times New Roman" w:hAnsi="Cambria"/>
          <w:szCs w:val="16"/>
          <w:lang w:val="es-MX"/>
        </w:rPr>
        <w:t>OEA/Ser.L/V/II.</w:t>
      </w:r>
      <w:r w:rsidRPr="00AD791A">
        <w:rPr>
          <w:rFonts w:ascii="Cambria" w:hAnsi="Cambria"/>
          <w:szCs w:val="16"/>
          <w:lang w:val="es-MX"/>
        </w:rPr>
        <w:t xml:space="preserve"> </w:t>
      </w:r>
      <w:r w:rsidRPr="00AD791A">
        <w:rPr>
          <w:rFonts w:ascii="Cambria" w:eastAsia="Times New Roman" w:hAnsi="Cambria"/>
          <w:szCs w:val="16"/>
          <w:lang w:val="es-MX"/>
        </w:rPr>
        <w:t>Doc. 66</w:t>
      </w:r>
      <w:r w:rsidRPr="00AD791A">
        <w:rPr>
          <w:rFonts w:ascii="Cambria" w:hAnsi="Cambria"/>
          <w:szCs w:val="16"/>
          <w:lang w:val="es-MX"/>
        </w:rPr>
        <w:t xml:space="preserve">, </w:t>
      </w:r>
      <w:r w:rsidRPr="00AD791A">
        <w:rPr>
          <w:rFonts w:ascii="Cambria" w:eastAsia="Times New Roman" w:hAnsi="Cambria"/>
          <w:szCs w:val="16"/>
          <w:lang w:val="es-MX"/>
        </w:rPr>
        <w:t>31 diciembre 2011</w:t>
      </w:r>
      <w:r w:rsidRPr="00AD791A">
        <w:rPr>
          <w:rFonts w:ascii="Cambria" w:hAnsi="Cambria"/>
          <w:szCs w:val="16"/>
          <w:lang w:val="es-MX"/>
        </w:rPr>
        <w:t xml:space="preserve">, párr. 78. </w:t>
      </w:r>
      <w:r w:rsidRPr="00AD791A">
        <w:rPr>
          <w:rFonts w:ascii="Cambria" w:hAnsi="Cambria"/>
          <w:szCs w:val="16"/>
          <w:lang w:val="es-ES"/>
        </w:rPr>
        <w:t xml:space="preserve">Sobre las afectaciones que causa a un defensor o defensora el ser sometido a un proceso penal infundado, Ver CIDH, </w:t>
      </w:r>
      <w:r w:rsidRPr="00AD791A">
        <w:rPr>
          <w:rFonts w:ascii="Cambria" w:hAnsi="Cambria"/>
          <w:i/>
          <w:szCs w:val="16"/>
          <w:lang w:val="es-ES"/>
        </w:rPr>
        <w:t>Audiencia Criminalización de defensores y defensoras de derechos humanos,</w:t>
      </w:r>
      <w:r w:rsidRPr="00AD791A">
        <w:rPr>
          <w:rFonts w:ascii="Cambria" w:hAnsi="Cambria"/>
          <w:szCs w:val="16"/>
          <w:lang w:val="es-ES"/>
        </w:rPr>
        <w:t xml:space="preserve"> 140º período ordinario de sesiones, 26 de octubre de 2010.</w:t>
      </w:r>
    </w:p>
  </w:footnote>
  <w:footnote w:id="228">
    <w:p w:rsidR="000A6E4C" w:rsidRPr="00AD791A" w:rsidRDefault="000A6E4C" w:rsidP="009D7F32">
      <w:pPr>
        <w:pStyle w:val="FootnoteText"/>
        <w:spacing w:before="0" w:after="120"/>
        <w:ind w:firstLine="720"/>
        <w:rPr>
          <w:rFonts w:ascii="Cambria" w:hAnsi="Cambria"/>
          <w:szCs w:val="16"/>
          <w:lang w:val="es-ES"/>
        </w:rPr>
      </w:pPr>
      <w:r w:rsidRPr="00AD791A">
        <w:rPr>
          <w:rStyle w:val="FootnoteReference"/>
          <w:rFonts w:ascii="Cambria" w:hAnsi="Cambria"/>
          <w:szCs w:val="16"/>
          <w:lang w:val="es-ES"/>
        </w:rPr>
        <w:footnoteRef/>
      </w:r>
      <w:r w:rsidRPr="00AD791A">
        <w:rPr>
          <w:rFonts w:ascii="Cambria" w:hAnsi="Cambria"/>
          <w:szCs w:val="16"/>
          <w:lang w:val="es-ES"/>
        </w:rPr>
        <w:t xml:space="preserve"> </w:t>
      </w:r>
      <w:r w:rsidRPr="00AD791A">
        <w:rPr>
          <w:rFonts w:ascii="Cambria" w:hAnsi="Cambria"/>
          <w:szCs w:val="16"/>
          <w:lang w:val="es-MX"/>
        </w:rPr>
        <w:t xml:space="preserve">CIDH, Segundo Informe sobre la Situación de las Defensoras y los Defensores de Derechos Humanos en Las Américas, </w:t>
      </w:r>
      <w:r w:rsidRPr="00AD791A">
        <w:rPr>
          <w:rFonts w:ascii="Cambria" w:eastAsia="Times New Roman" w:hAnsi="Cambria"/>
          <w:szCs w:val="16"/>
          <w:lang w:val="es-MX"/>
        </w:rPr>
        <w:t>OEA/Ser.L/V/II.</w:t>
      </w:r>
      <w:r w:rsidRPr="00AD791A">
        <w:rPr>
          <w:rFonts w:ascii="Cambria" w:hAnsi="Cambria"/>
          <w:szCs w:val="16"/>
          <w:lang w:val="es-MX"/>
        </w:rPr>
        <w:t xml:space="preserve"> </w:t>
      </w:r>
      <w:r w:rsidRPr="00AD791A">
        <w:rPr>
          <w:rFonts w:ascii="Cambria" w:eastAsia="Times New Roman" w:hAnsi="Cambria"/>
          <w:szCs w:val="16"/>
          <w:lang w:val="es-MX"/>
        </w:rPr>
        <w:t>Doc. 66</w:t>
      </w:r>
      <w:r w:rsidRPr="00AD791A">
        <w:rPr>
          <w:rFonts w:ascii="Cambria" w:hAnsi="Cambria"/>
          <w:szCs w:val="16"/>
          <w:lang w:val="es-MX"/>
        </w:rPr>
        <w:t xml:space="preserve">, </w:t>
      </w:r>
      <w:r w:rsidRPr="00AD791A">
        <w:rPr>
          <w:rFonts w:ascii="Cambria" w:eastAsia="Times New Roman" w:hAnsi="Cambria"/>
          <w:szCs w:val="16"/>
          <w:lang w:val="es-MX"/>
        </w:rPr>
        <w:t>31 diciembre 2011</w:t>
      </w:r>
      <w:r w:rsidRPr="00AD791A">
        <w:rPr>
          <w:rFonts w:ascii="Cambria" w:hAnsi="Cambria"/>
          <w:szCs w:val="16"/>
          <w:lang w:val="es-MX"/>
        </w:rPr>
        <w:t xml:space="preserve">, párr. 120.  Disponible en </w:t>
      </w:r>
      <w:hyperlink r:id="rId17" w:history="1">
        <w:r w:rsidRPr="00AD791A">
          <w:rPr>
            <w:rStyle w:val="Hyperlink"/>
            <w:rFonts w:ascii="Cambria" w:hAnsi="Cambria"/>
            <w:color w:val="auto"/>
            <w:szCs w:val="16"/>
            <w:lang w:val="es-MX"/>
          </w:rPr>
          <w:t>http://www.oas.org/es/cidh/defensores/docs/pdf/defensores2011.pdf</w:t>
        </w:r>
      </w:hyperlink>
      <w:r w:rsidRPr="00AD791A">
        <w:rPr>
          <w:rFonts w:ascii="Cambria" w:hAnsi="Cambria"/>
          <w:szCs w:val="16"/>
          <w:lang w:val="es-MX"/>
        </w:rPr>
        <w:t xml:space="preserve"> </w:t>
      </w:r>
      <w:r w:rsidRPr="00AD791A">
        <w:rPr>
          <w:rFonts w:ascii="Cambria" w:hAnsi="Cambria"/>
          <w:szCs w:val="16"/>
          <w:lang w:val="es-ES"/>
        </w:rPr>
        <w:t>CIDH, Informe de Fondo No. 43/96, Caso 11.430, José Francisco Gallardo (México), 15 de octubre de 1996, párr. 79.</w:t>
      </w:r>
    </w:p>
  </w:footnote>
  <w:footnote w:id="229">
    <w:p w:rsidR="000A6E4C" w:rsidRPr="00AD791A" w:rsidRDefault="000A6E4C" w:rsidP="009D7F32">
      <w:pPr>
        <w:pStyle w:val="FootnoteText"/>
        <w:spacing w:before="0" w:after="120"/>
        <w:ind w:firstLine="720"/>
        <w:rPr>
          <w:rFonts w:ascii="Cambria" w:hAnsi="Cambria"/>
          <w:szCs w:val="16"/>
          <w:lang w:val="es-ES"/>
        </w:rPr>
      </w:pPr>
      <w:r w:rsidRPr="00AD791A">
        <w:rPr>
          <w:rStyle w:val="FootnoteReference"/>
          <w:rFonts w:ascii="Cambria" w:hAnsi="Cambria"/>
          <w:szCs w:val="16"/>
          <w:lang w:val="es-ES"/>
        </w:rPr>
        <w:footnoteRef/>
      </w:r>
      <w:r w:rsidRPr="00AD791A">
        <w:rPr>
          <w:rFonts w:ascii="Cambria" w:hAnsi="Cambria"/>
          <w:szCs w:val="16"/>
          <w:lang w:val="es-ES"/>
        </w:rPr>
        <w:t xml:space="preserve"> </w:t>
      </w:r>
      <w:r w:rsidRPr="00AD791A">
        <w:rPr>
          <w:rFonts w:ascii="Cambria" w:hAnsi="Cambria"/>
          <w:szCs w:val="16"/>
          <w:lang w:val="es-MX"/>
        </w:rPr>
        <w:t xml:space="preserve">CIDH, Segundo Informe sobre la Situación de las Defensoras y los Defensores de Derechos Humanos en Las Américas, </w:t>
      </w:r>
      <w:r w:rsidRPr="00AD791A">
        <w:rPr>
          <w:rFonts w:ascii="Cambria" w:eastAsia="Times New Roman" w:hAnsi="Cambria"/>
          <w:szCs w:val="16"/>
          <w:lang w:val="es-MX"/>
        </w:rPr>
        <w:t>OEA/Ser.L/V/II.</w:t>
      </w:r>
      <w:r w:rsidRPr="00AD791A">
        <w:rPr>
          <w:rFonts w:ascii="Cambria" w:hAnsi="Cambria"/>
          <w:szCs w:val="16"/>
          <w:lang w:val="es-MX"/>
        </w:rPr>
        <w:t xml:space="preserve"> </w:t>
      </w:r>
      <w:r w:rsidRPr="00AD791A">
        <w:rPr>
          <w:rFonts w:ascii="Cambria" w:eastAsia="Times New Roman" w:hAnsi="Cambria"/>
          <w:szCs w:val="16"/>
          <w:lang w:val="es-MX"/>
        </w:rPr>
        <w:t>Doc. 66</w:t>
      </w:r>
      <w:r w:rsidRPr="00AD791A">
        <w:rPr>
          <w:rFonts w:ascii="Cambria" w:hAnsi="Cambria"/>
          <w:szCs w:val="16"/>
          <w:lang w:val="es-MX"/>
        </w:rPr>
        <w:t xml:space="preserve">, </w:t>
      </w:r>
      <w:r w:rsidRPr="00AD791A">
        <w:rPr>
          <w:rFonts w:ascii="Cambria" w:eastAsia="Times New Roman" w:hAnsi="Cambria"/>
          <w:szCs w:val="16"/>
          <w:lang w:val="es-MX"/>
        </w:rPr>
        <w:t>31 diciembre 2011</w:t>
      </w:r>
      <w:r w:rsidRPr="00AD791A">
        <w:rPr>
          <w:rFonts w:ascii="Cambria" w:hAnsi="Cambria"/>
          <w:szCs w:val="16"/>
          <w:lang w:val="es-MX"/>
        </w:rPr>
        <w:t xml:space="preserve">, párr. 120.  Disponible en </w:t>
      </w:r>
      <w:hyperlink r:id="rId18" w:history="1">
        <w:r w:rsidRPr="00AD791A">
          <w:rPr>
            <w:rStyle w:val="Hyperlink"/>
            <w:rFonts w:ascii="Cambria" w:hAnsi="Cambria"/>
            <w:color w:val="auto"/>
            <w:szCs w:val="16"/>
            <w:lang w:val="es-MX"/>
          </w:rPr>
          <w:t>http://www.oas.org/es/cidh/defensores/docs/pdf/defensores2011.pdf</w:t>
        </w:r>
      </w:hyperlink>
      <w:r w:rsidRPr="00AD791A">
        <w:rPr>
          <w:rFonts w:ascii="Cambria" w:hAnsi="Cambria"/>
          <w:szCs w:val="16"/>
          <w:lang w:val="es-MX"/>
        </w:rPr>
        <w:t xml:space="preserve"> </w:t>
      </w:r>
      <w:r w:rsidRPr="00AD791A">
        <w:rPr>
          <w:rFonts w:ascii="Cambria" w:hAnsi="Cambria"/>
          <w:szCs w:val="16"/>
          <w:lang w:val="es-ES"/>
        </w:rPr>
        <w:t>CIDH, Informe de Fondo No. 43/96, Caso 11.430, José Francisco Gallardo (México), 15 de octubre de 1996, párr. 79.</w:t>
      </w:r>
    </w:p>
  </w:footnote>
  <w:footnote w:id="230">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lang w:val="es-ES"/>
        </w:rPr>
        <w:footnoteRef/>
      </w:r>
      <w:r w:rsidRPr="00AD791A">
        <w:rPr>
          <w:rFonts w:ascii="Cambria" w:hAnsi="Cambria"/>
          <w:sz w:val="16"/>
          <w:szCs w:val="16"/>
          <w:lang w:val="es-ES"/>
        </w:rPr>
        <w:t xml:space="preserve"> Corte IDH., </w:t>
      </w:r>
      <w:r w:rsidRPr="00AD791A">
        <w:rPr>
          <w:rFonts w:ascii="Cambria" w:hAnsi="Cambria"/>
          <w:bCs/>
          <w:i/>
          <w:sz w:val="16"/>
          <w:szCs w:val="16"/>
          <w:lang w:val="es-ES"/>
        </w:rPr>
        <w:t>Caso Cantoral Huamaní y García Santa Cruz Vs. Perú.</w:t>
      </w:r>
      <w:r w:rsidRPr="00AD791A">
        <w:rPr>
          <w:rFonts w:ascii="Cambria" w:hAnsi="Cambria"/>
          <w:bCs/>
          <w:sz w:val="16"/>
          <w:szCs w:val="16"/>
          <w:lang w:val="es-ES"/>
        </w:rPr>
        <w:t xml:space="preserve"> </w:t>
      </w:r>
      <w:r w:rsidRPr="00AD791A">
        <w:rPr>
          <w:rFonts w:ascii="Cambria" w:hAnsi="Cambria"/>
          <w:sz w:val="16"/>
          <w:szCs w:val="16"/>
          <w:lang w:val="es-ES"/>
        </w:rPr>
        <w:t xml:space="preserve">Excepción Preliminar, Fondo, Reparaciones y Costas. Sentencia de 10 de julio de 2007. Serie C No. 167. párr. 112; Corte IDH., </w:t>
      </w:r>
      <w:r w:rsidRPr="00AD791A">
        <w:rPr>
          <w:rFonts w:ascii="Cambria" w:hAnsi="Cambria"/>
          <w:i/>
          <w:sz w:val="16"/>
          <w:szCs w:val="16"/>
          <w:lang w:val="es-ES"/>
        </w:rPr>
        <w:t>Caso Bueno Alves</w:t>
      </w:r>
      <w:r w:rsidRPr="00AD791A">
        <w:rPr>
          <w:rFonts w:ascii="Cambria" w:hAnsi="Cambria"/>
          <w:sz w:val="16"/>
          <w:szCs w:val="16"/>
          <w:lang w:val="es-ES"/>
        </w:rPr>
        <w:t xml:space="preserve">. Sentencia de 11 de mayo de 2007. Serie C. No. 164. párr. 102. </w:t>
      </w:r>
    </w:p>
  </w:footnote>
  <w:footnote w:id="231">
    <w:p w:rsidR="000A6E4C" w:rsidRPr="00AD791A" w:rsidRDefault="000A6E4C" w:rsidP="009D7F32">
      <w:pPr>
        <w:spacing w:after="120"/>
        <w:ind w:firstLine="720"/>
        <w:jc w:val="both"/>
        <w:rPr>
          <w:rFonts w:ascii="Cambria" w:hAnsi="Cambria"/>
          <w:sz w:val="16"/>
          <w:szCs w:val="16"/>
          <w:lang w:val="es-MX"/>
        </w:rPr>
      </w:pPr>
      <w:r w:rsidRPr="00AD791A">
        <w:rPr>
          <w:rStyle w:val="FootnoteReference"/>
          <w:rFonts w:ascii="Cambria" w:hAnsi="Cambria"/>
          <w:sz w:val="16"/>
          <w:szCs w:val="16"/>
          <w:lang w:val="es-ES"/>
        </w:rPr>
        <w:footnoteRef/>
      </w:r>
      <w:r w:rsidRPr="00AD791A">
        <w:rPr>
          <w:rFonts w:ascii="Cambria" w:hAnsi="Cambria"/>
          <w:sz w:val="16"/>
          <w:szCs w:val="16"/>
          <w:lang w:val="es-ES"/>
        </w:rPr>
        <w:t xml:space="preserve"> Corte IDH., </w:t>
      </w:r>
      <w:r w:rsidRPr="00AD791A">
        <w:rPr>
          <w:rFonts w:ascii="Cambria" w:hAnsi="Cambria"/>
          <w:bCs/>
          <w:i/>
          <w:sz w:val="16"/>
          <w:szCs w:val="16"/>
          <w:lang w:val="es-ES"/>
        </w:rPr>
        <w:t>Caso Cantoral Huamaní y García Santa Cruz Vs. Perú.</w:t>
      </w:r>
      <w:r w:rsidRPr="00AD791A">
        <w:rPr>
          <w:rFonts w:ascii="Cambria" w:hAnsi="Cambria"/>
          <w:bCs/>
          <w:sz w:val="16"/>
          <w:szCs w:val="16"/>
          <w:lang w:val="es-ES"/>
        </w:rPr>
        <w:t xml:space="preserve"> </w:t>
      </w:r>
      <w:r w:rsidRPr="00AD791A">
        <w:rPr>
          <w:rFonts w:ascii="Cambria" w:hAnsi="Cambria"/>
          <w:sz w:val="16"/>
          <w:szCs w:val="16"/>
          <w:lang w:val="es-ES"/>
        </w:rPr>
        <w:t xml:space="preserve">Excepción Preliminar, Fondo, Reparaciones y Costas. Sentencia de 10 de julio de 2007. Serie C No. 167. párr. 112; Corte IDH., </w:t>
      </w:r>
      <w:r w:rsidRPr="00AD791A">
        <w:rPr>
          <w:rFonts w:ascii="Cambria" w:hAnsi="Cambria"/>
          <w:i/>
          <w:sz w:val="16"/>
          <w:szCs w:val="16"/>
          <w:lang w:val="es-ES"/>
        </w:rPr>
        <w:t>Caso Vargas Areco Vs. Paraguay</w:t>
      </w:r>
      <w:r w:rsidRPr="00AD791A">
        <w:rPr>
          <w:rFonts w:ascii="Cambria" w:hAnsi="Cambria"/>
          <w:sz w:val="16"/>
          <w:szCs w:val="16"/>
          <w:lang w:val="es-ES"/>
        </w:rPr>
        <w:t>. Sentencia de 26 de septiembre de 2006. Serie C No. 155. párr. 96.</w:t>
      </w:r>
    </w:p>
  </w:footnote>
  <w:footnote w:id="232">
    <w:p w:rsidR="000A6E4C" w:rsidRPr="00AD791A" w:rsidRDefault="000A6E4C" w:rsidP="009D7F32">
      <w:pPr>
        <w:pStyle w:val="FootnoteText"/>
        <w:spacing w:before="0" w:after="120"/>
        <w:ind w:firstLine="720"/>
        <w:rPr>
          <w:rFonts w:ascii="Cambria" w:hAnsi="Cambria"/>
          <w:szCs w:val="16"/>
        </w:rPr>
      </w:pPr>
      <w:r w:rsidRPr="00AD791A">
        <w:rPr>
          <w:rStyle w:val="FootnoteReference"/>
          <w:rFonts w:ascii="Cambria" w:hAnsi="Cambria"/>
          <w:szCs w:val="16"/>
          <w:lang w:val="es-ES"/>
        </w:rPr>
        <w:footnoteRef/>
      </w:r>
      <w:r w:rsidRPr="00AD791A">
        <w:rPr>
          <w:rFonts w:ascii="Cambria" w:hAnsi="Cambria"/>
          <w:szCs w:val="16"/>
          <w:lang w:val="es-ES"/>
        </w:rPr>
        <w:t xml:space="preserve"> </w:t>
      </w:r>
      <w:r w:rsidRPr="00AD791A">
        <w:rPr>
          <w:rFonts w:ascii="Cambria" w:hAnsi="Cambria"/>
          <w:noProof/>
          <w:szCs w:val="16"/>
          <w:lang w:val="es-ES"/>
        </w:rPr>
        <w:t xml:space="preserve">Corte IDH., </w:t>
      </w:r>
      <w:r w:rsidRPr="00AD791A">
        <w:rPr>
          <w:rFonts w:ascii="Cambria" w:hAnsi="Cambria"/>
          <w:i/>
          <w:noProof/>
          <w:szCs w:val="16"/>
          <w:lang w:val="es-ES"/>
        </w:rPr>
        <w:t>Caso Valle Jaramillo y otros Vs. Colombia</w:t>
      </w:r>
      <w:r w:rsidRPr="00AD791A">
        <w:rPr>
          <w:rFonts w:ascii="Cambria" w:hAnsi="Cambria"/>
          <w:noProof/>
          <w:szCs w:val="16"/>
          <w:lang w:val="es-ES"/>
        </w:rPr>
        <w:t>. Fondo, Reparaciones y Costas. Sentencia de 27 de noviembre de 2008. Serie C No. 192</w:t>
      </w:r>
      <w:r w:rsidRPr="00AD791A">
        <w:rPr>
          <w:rFonts w:ascii="Cambria" w:hAnsi="Cambria"/>
          <w:szCs w:val="16"/>
          <w:lang w:val="es-ES"/>
        </w:rPr>
        <w:t xml:space="preserve">, párr. 102  </w:t>
      </w:r>
      <w:r w:rsidRPr="00AD791A">
        <w:rPr>
          <w:rFonts w:ascii="Cambria" w:hAnsi="Cambria"/>
          <w:i/>
          <w:szCs w:val="16"/>
          <w:lang w:val="es-ES"/>
        </w:rPr>
        <w:t xml:space="preserve">Cfr. </w:t>
      </w:r>
      <w:r w:rsidRPr="00AD791A">
        <w:rPr>
          <w:rFonts w:ascii="Cambria" w:hAnsi="Cambria"/>
          <w:szCs w:val="16"/>
          <w:lang w:val="es-ES"/>
        </w:rPr>
        <w:t xml:space="preserve">Corte IDH., </w:t>
      </w:r>
      <w:r w:rsidRPr="00AD791A">
        <w:rPr>
          <w:rFonts w:ascii="Cambria" w:hAnsi="Cambria"/>
          <w:i/>
          <w:szCs w:val="16"/>
          <w:lang w:val="es-ES"/>
        </w:rPr>
        <w:t xml:space="preserve">Caso de la Masacre de la Rochela Vs. Colombia, </w:t>
      </w:r>
      <w:r w:rsidRPr="00AD791A">
        <w:rPr>
          <w:rFonts w:ascii="Cambria" w:hAnsi="Cambria"/>
          <w:szCs w:val="16"/>
          <w:lang w:val="es-ES"/>
        </w:rPr>
        <w:t xml:space="preserve">Sentencia de 11 de mayo de 2007, Serie C No. 163, párr. 195, Corte IDH., </w:t>
      </w:r>
      <w:r w:rsidRPr="00AD791A">
        <w:rPr>
          <w:rFonts w:ascii="Cambria" w:hAnsi="Cambria"/>
          <w:i/>
          <w:szCs w:val="16"/>
          <w:lang w:val="es-ES"/>
        </w:rPr>
        <w:t>Caso Velásquez Rodríguez Vs. Honduras</w:t>
      </w:r>
      <w:r w:rsidRPr="00AD791A">
        <w:rPr>
          <w:rFonts w:ascii="Cambria" w:hAnsi="Cambria"/>
          <w:szCs w:val="16"/>
          <w:lang w:val="es-ES"/>
        </w:rPr>
        <w:t xml:space="preserve">. Sentencia de 29 de julio de 1988, Serie C No. 4, párr. 181; Corte IDH., </w:t>
      </w:r>
      <w:r w:rsidRPr="00AD791A">
        <w:rPr>
          <w:rFonts w:ascii="Cambria" w:hAnsi="Cambria"/>
          <w:i/>
          <w:szCs w:val="16"/>
          <w:lang w:val="es-ES"/>
        </w:rPr>
        <w:t xml:space="preserve">Caso Heliodoro Portugal Vs. Panamá. </w:t>
      </w:r>
      <w:r w:rsidRPr="00AD791A">
        <w:rPr>
          <w:rFonts w:ascii="Cambria" w:hAnsi="Cambria"/>
          <w:szCs w:val="16"/>
          <w:lang w:val="es-ES"/>
        </w:rPr>
        <w:t xml:space="preserve">Sentencia de 12 de agosto de 2008. Serie C No. 186, párr. 146, y Corte IDH., </w:t>
      </w:r>
      <w:r w:rsidRPr="00AD791A">
        <w:rPr>
          <w:rFonts w:ascii="Cambria" w:hAnsi="Cambria"/>
          <w:i/>
          <w:szCs w:val="16"/>
          <w:lang w:val="es-ES"/>
        </w:rPr>
        <w:t xml:space="preserve">Caso García Prieto y otros Vs. El Salvador. </w:t>
      </w:r>
      <w:r w:rsidRPr="00AD791A">
        <w:rPr>
          <w:rFonts w:ascii="Cambria" w:hAnsi="Cambria"/>
          <w:szCs w:val="16"/>
          <w:lang w:val="es-ES"/>
        </w:rPr>
        <w:t>Sentencia de 20 de noviembre de 2007, Serie C No. 168, párr. 102.</w:t>
      </w:r>
    </w:p>
  </w:footnote>
  <w:footnote w:id="233">
    <w:p w:rsidR="000A6E4C" w:rsidRPr="00AD791A" w:rsidRDefault="000A6E4C" w:rsidP="009D7F32">
      <w:pPr>
        <w:pStyle w:val="FootnoteText"/>
        <w:spacing w:before="0" w:after="120"/>
        <w:ind w:firstLine="720"/>
        <w:rPr>
          <w:rFonts w:ascii="Cambria" w:hAnsi="Cambria"/>
          <w:szCs w:val="16"/>
          <w:lang w:val="es-ES"/>
        </w:rPr>
      </w:pPr>
      <w:r w:rsidRPr="00AD791A">
        <w:rPr>
          <w:rStyle w:val="FootnoteReference"/>
          <w:rFonts w:ascii="Cambria" w:hAnsi="Cambria"/>
          <w:szCs w:val="16"/>
        </w:rPr>
        <w:footnoteRef/>
      </w:r>
      <w:r w:rsidRPr="00AD791A">
        <w:rPr>
          <w:rFonts w:ascii="Cambria" w:hAnsi="Cambria"/>
          <w:szCs w:val="16"/>
          <w:lang w:val="es-MX"/>
        </w:rPr>
        <w:t xml:space="preserve"> </w:t>
      </w:r>
      <w:r w:rsidRPr="00AD791A">
        <w:rPr>
          <w:rFonts w:ascii="Cambria" w:hAnsi="Cambria"/>
          <w:szCs w:val="16"/>
          <w:lang w:val="es-ES"/>
        </w:rPr>
        <w:t>Observaciones de los peticionarios sobre el fondo, de 19 de septiembre de 2011.</w:t>
      </w:r>
    </w:p>
  </w:footnote>
  <w:footnote w:id="234">
    <w:p w:rsidR="000A6E4C" w:rsidRPr="00AD791A" w:rsidRDefault="000A6E4C" w:rsidP="009D7F32">
      <w:pPr>
        <w:pStyle w:val="FootnoteText"/>
        <w:spacing w:before="0" w:after="120"/>
        <w:ind w:firstLine="720"/>
        <w:rPr>
          <w:rFonts w:ascii="Cambria" w:hAnsi="Cambria"/>
          <w:szCs w:val="16"/>
          <w:lang w:val="es-ES"/>
        </w:rPr>
      </w:pPr>
      <w:r w:rsidRPr="00AD791A">
        <w:rPr>
          <w:rStyle w:val="FootnoteReference"/>
          <w:rFonts w:ascii="Cambria" w:hAnsi="Cambria"/>
          <w:szCs w:val="16"/>
        </w:rPr>
        <w:footnoteRef/>
      </w:r>
      <w:r w:rsidRPr="00AD791A">
        <w:rPr>
          <w:rStyle w:val="FootnoteReference"/>
          <w:rFonts w:ascii="Cambria" w:hAnsi="Cambria"/>
          <w:szCs w:val="16"/>
        </w:rPr>
        <w:t xml:space="preserve"> </w:t>
      </w:r>
      <w:r w:rsidRPr="00AD791A">
        <w:rPr>
          <w:rFonts w:ascii="Cambria" w:hAnsi="Cambria"/>
          <w:szCs w:val="16"/>
          <w:lang w:val="es-ES"/>
        </w:rPr>
        <w:t>Los peticionarios, en la petición, manifiestan en particular que “María Luisa Acosta tuvo que cambiar su domicilio, trasladándose a vivir a Chinandega, a la casa de su padre, cambiando así su entorno inmediato y viéndose obligada a dejar amigos, familiares y su trabajo para buscar zonas de mayor seguridad”. Petición inicial de 20 de junio de 2007. La Fiscal Auxiliar también se pronuncia sobre este aspecto. Anexo 57. Escrito de la Fiscal Auxiliar de Justicia, 24 de abril de 2002. Expediente judicial de primera instancia No, 110-02, folio 132. Anexo a la comunicación de los peticionarios de 13 de julio de 2007.</w:t>
      </w:r>
    </w:p>
  </w:footnote>
  <w:footnote w:id="235">
    <w:p w:rsidR="000A6E4C" w:rsidRPr="00B61D9C" w:rsidRDefault="000A6E4C" w:rsidP="009D7F32">
      <w:pPr>
        <w:pStyle w:val="FootnoteText"/>
        <w:spacing w:before="0" w:after="120"/>
        <w:ind w:firstLine="720"/>
        <w:rPr>
          <w:rFonts w:ascii="Cambria" w:hAnsi="Cambria"/>
          <w:szCs w:val="16"/>
        </w:rPr>
      </w:pPr>
      <w:r w:rsidRPr="00AD791A">
        <w:rPr>
          <w:rStyle w:val="FootnoteReference"/>
          <w:rFonts w:ascii="Cambria" w:hAnsi="Cambria"/>
          <w:szCs w:val="16"/>
        </w:rPr>
        <w:footnoteRef/>
      </w:r>
      <w:r w:rsidRPr="00AD791A">
        <w:rPr>
          <w:rStyle w:val="FootnoteReference"/>
          <w:rFonts w:ascii="Cambria" w:hAnsi="Cambria"/>
          <w:szCs w:val="16"/>
        </w:rPr>
        <w:t xml:space="preserve"> </w:t>
      </w:r>
      <w:r w:rsidRPr="00AD791A">
        <w:rPr>
          <w:rFonts w:ascii="Cambria" w:hAnsi="Cambria"/>
          <w:szCs w:val="16"/>
          <w:lang w:val="es-ES"/>
        </w:rPr>
        <w:t>Petición inicial de 20 de junio de 2007, y observaciones</w:t>
      </w:r>
      <w:r w:rsidRPr="00AD791A">
        <w:rPr>
          <w:rFonts w:ascii="Cambria" w:hAnsi="Cambria"/>
          <w:szCs w:val="16"/>
          <w:lang w:val="es-MX"/>
        </w:rPr>
        <w:t xml:space="preserve"> de los peticionarios sobre el fondo, de 19 de septiembre de 2011.</w:t>
      </w:r>
      <w:r w:rsidRPr="00B61D9C">
        <w:rPr>
          <w:rFonts w:ascii="Cambria" w:hAnsi="Cambria"/>
          <w:szCs w:val="16"/>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4C" w:rsidRDefault="000A6E4C" w:rsidP="009D7F3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A6E4C" w:rsidRDefault="000A6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4C" w:rsidRDefault="000A6E4C" w:rsidP="009D7F32">
    <w:pPr>
      <w:pStyle w:val="Header"/>
      <w:tabs>
        <w:tab w:val="clear" w:pos="4320"/>
        <w:tab w:val="clear" w:pos="8640"/>
      </w:tabs>
      <w:jc w:val="center"/>
      <w:rPr>
        <w:sz w:val="22"/>
        <w:szCs w:val="22"/>
      </w:rPr>
    </w:pPr>
    <w:r>
      <w:rPr>
        <w:noProof/>
        <w:sz w:val="22"/>
        <w:szCs w:val="22"/>
      </w:rPr>
      <w:drawing>
        <wp:inline distT="0" distB="0" distL="0" distR="0" wp14:anchorId="455D2798" wp14:editId="21C4C4CB">
          <wp:extent cx="1971675" cy="104775"/>
          <wp:effectExtent l="0" t="0" r="9525" b="9525"/>
          <wp:docPr id="22"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rsidR="000A6E4C" w:rsidRPr="00EC7D62" w:rsidRDefault="000A6E4C" w:rsidP="009D7F32">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4C" w:rsidRPr="00EA5E48" w:rsidRDefault="000A6E4C">
    <w:pPr>
      <w:pStyle w:val="Header"/>
      <w:jc w:val="center"/>
      <w:rPr>
        <w:rFonts w:ascii="Calibri" w:hAnsi="Calibri"/>
        <w:sz w:val="22"/>
        <w:szCs w:val="22"/>
      </w:rPr>
    </w:pPr>
  </w:p>
  <w:p w:rsidR="000A6E4C" w:rsidRDefault="000A6E4C" w:rsidP="009D7F32">
    <w:pPr>
      <w:pStyle w:val="Header"/>
      <w:tabs>
        <w:tab w:val="clear" w:pos="4320"/>
        <w:tab w:val="clear" w:pos="8640"/>
      </w:tabs>
      <w:jc w:val="center"/>
      <w:rPr>
        <w:sz w:val="22"/>
        <w:szCs w:val="22"/>
      </w:rPr>
    </w:pPr>
    <w:r>
      <w:rPr>
        <w:noProof/>
        <w:sz w:val="22"/>
        <w:szCs w:val="22"/>
      </w:rPr>
      <w:drawing>
        <wp:inline distT="0" distB="0" distL="0" distR="0" wp14:anchorId="4569F126" wp14:editId="0C551799">
          <wp:extent cx="1971675" cy="104775"/>
          <wp:effectExtent l="0" t="0" r="9525" b="9525"/>
          <wp:docPr id="2" name="Picture 2"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rsidR="000A6E4C" w:rsidRDefault="000A6E4C" w:rsidP="009D20F0">
    <w:pPr>
      <w:pStyle w:val="Header"/>
    </w:pPr>
    <w:r>
      <w:rPr>
        <w:sz w:val="22"/>
        <w:szCs w:val="22"/>
      </w:rPr>
      <w:pict>
        <v:rect id="_x0000_i1026" style="width:0;height:1.5pt" o:hralign="center" o:hrstd="t" o:hr="t" fillcolor="#a0a0a0" stroked="f"/>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4C" w:rsidRDefault="000A6E4C" w:rsidP="009D7F32">
    <w:pPr>
      <w:pStyle w:val="Header"/>
      <w:tabs>
        <w:tab w:val="clear" w:pos="4320"/>
        <w:tab w:val="clear" w:pos="8640"/>
      </w:tabs>
      <w:jc w:val="center"/>
      <w:rPr>
        <w:sz w:val="22"/>
        <w:szCs w:val="22"/>
      </w:rPr>
    </w:pPr>
    <w:r>
      <w:rPr>
        <w:noProof/>
        <w:sz w:val="22"/>
        <w:szCs w:val="22"/>
      </w:rPr>
      <w:drawing>
        <wp:inline distT="0" distB="0" distL="0" distR="0" wp14:anchorId="3777056D" wp14:editId="6C17ECF4">
          <wp:extent cx="1971675" cy="104775"/>
          <wp:effectExtent l="0" t="0" r="9525" b="9525"/>
          <wp:docPr id="4" name="Picture 4"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rsidR="000A6E4C" w:rsidRDefault="000A6E4C" w:rsidP="009D7F32">
    <w:pPr>
      <w:pStyle w:val="Header"/>
    </w:pPr>
    <w:r>
      <w:rPr>
        <w:sz w:val="22"/>
        <w:szCs w:val="22"/>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188"/>
    <w:multiLevelType w:val="hybridMultilevel"/>
    <w:tmpl w:val="3E3A94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735772A"/>
    <w:multiLevelType w:val="multilevel"/>
    <w:tmpl w:val="FA9CCF3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9D40219"/>
    <w:multiLevelType w:val="multilevel"/>
    <w:tmpl w:val="0DC21012"/>
    <w:lvl w:ilvl="0">
      <w:start w:val="1"/>
      <w:numFmt w:val="decimal"/>
      <w:pStyle w:val="Heading3"/>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9DD7672"/>
    <w:multiLevelType w:val="hybridMultilevel"/>
    <w:tmpl w:val="5F4A336A"/>
    <w:lvl w:ilvl="0" w:tplc="C08C3E04">
      <w:start w:val="1"/>
      <w:numFmt w:val="decimal"/>
      <w:lvlText w:val="%1."/>
      <w:lvlJc w:val="left"/>
      <w:pPr>
        <w:tabs>
          <w:tab w:val="num" w:pos="1260"/>
        </w:tabs>
        <w:ind w:left="1260" w:hanging="360"/>
      </w:pPr>
      <w:rPr>
        <w:rFonts w:ascii="Calibri" w:hAnsi="Calibri" w:hint="default"/>
        <w:b w:val="0"/>
        <w:sz w:val="22"/>
        <w:szCs w:val="22"/>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Wingding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Wingding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Wingding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Wingding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Wingding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Wingding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Wingding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Wingding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Wingdings"/>
        <w:b/>
        <w:bCs/>
        <w:color w:val="000000"/>
        <w:position w:val="0"/>
        <w:sz w:val="22"/>
        <w:szCs w:val="22"/>
        <w:u w:color="000000"/>
        <w:lang w:val="es-ES_tradnl"/>
      </w:rPr>
    </w:lvl>
  </w:abstractNum>
  <w:abstractNum w:abstractNumId="5">
    <w:nsid w:val="3C67015A"/>
    <w:multiLevelType w:val="hybridMultilevel"/>
    <w:tmpl w:val="AE8A9616"/>
    <w:lvl w:ilvl="0" w:tplc="4F5E4C06">
      <w:start w:val="1"/>
      <w:numFmt w:val="decimal"/>
      <w:lvlText w:val="%1."/>
      <w:lvlJc w:val="left"/>
      <w:pPr>
        <w:tabs>
          <w:tab w:val="num" w:pos="1260"/>
        </w:tabs>
        <w:ind w:left="1260" w:hanging="360"/>
      </w:pPr>
      <w:rPr>
        <w:rFonts w:ascii="Calibri" w:hAnsi="Calibri" w:hint="default"/>
        <w:b/>
        <w:sz w:val="22"/>
        <w:szCs w:val="22"/>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F13EE8"/>
    <w:multiLevelType w:val="hybridMultilevel"/>
    <w:tmpl w:val="78BC45F8"/>
    <w:lvl w:ilvl="0" w:tplc="A9BE8700">
      <w:start w:val="1"/>
      <w:numFmt w:val="upperLetter"/>
      <w:lvlText w:val="%1."/>
      <w:lvlJc w:val="left"/>
      <w:pPr>
        <w:tabs>
          <w:tab w:val="num" w:pos="1440"/>
        </w:tabs>
        <w:ind w:left="1440" w:hanging="720"/>
      </w:pPr>
      <w:rPr>
        <w:rFonts w:hint="default"/>
      </w:rPr>
    </w:lvl>
    <w:lvl w:ilvl="1" w:tplc="866684E6">
      <w:start w:val="1"/>
      <w:numFmt w:val="decimal"/>
      <w:lvlText w:val="%2."/>
      <w:lvlJc w:val="left"/>
      <w:pPr>
        <w:tabs>
          <w:tab w:val="num" w:pos="1860"/>
        </w:tabs>
        <w:ind w:left="1860" w:hanging="420"/>
      </w:pPr>
      <w:rPr>
        <w:rFonts w:hint="default"/>
      </w:rPr>
    </w:lvl>
    <w:lvl w:ilvl="2" w:tplc="06320E34">
      <w:start w:val="2"/>
      <w:numFmt w:val="lowerLetter"/>
      <w:lvlText w:val="%3."/>
      <w:lvlJc w:val="left"/>
      <w:pPr>
        <w:tabs>
          <w:tab w:val="num" w:pos="3060"/>
        </w:tabs>
        <w:ind w:left="3060" w:hanging="720"/>
      </w:pPr>
      <w:rPr>
        <w:rFonts w:hint="default"/>
      </w:rPr>
    </w:lvl>
    <w:lvl w:ilvl="3" w:tplc="53A68094" w:tentative="1">
      <w:start w:val="1"/>
      <w:numFmt w:val="decimal"/>
      <w:lvlText w:val="%4."/>
      <w:lvlJc w:val="left"/>
      <w:pPr>
        <w:tabs>
          <w:tab w:val="num" w:pos="3240"/>
        </w:tabs>
        <w:ind w:left="3240" w:hanging="360"/>
      </w:pPr>
    </w:lvl>
    <w:lvl w:ilvl="4" w:tplc="48AA1B3C" w:tentative="1">
      <w:start w:val="1"/>
      <w:numFmt w:val="lowerLetter"/>
      <w:lvlText w:val="%5."/>
      <w:lvlJc w:val="left"/>
      <w:pPr>
        <w:tabs>
          <w:tab w:val="num" w:pos="3960"/>
        </w:tabs>
        <w:ind w:left="3960" w:hanging="360"/>
      </w:pPr>
    </w:lvl>
    <w:lvl w:ilvl="5" w:tplc="4582E920" w:tentative="1">
      <w:start w:val="1"/>
      <w:numFmt w:val="lowerRoman"/>
      <w:lvlText w:val="%6."/>
      <w:lvlJc w:val="right"/>
      <w:pPr>
        <w:tabs>
          <w:tab w:val="num" w:pos="4680"/>
        </w:tabs>
        <w:ind w:left="4680" w:hanging="180"/>
      </w:pPr>
    </w:lvl>
    <w:lvl w:ilvl="6" w:tplc="126E8A7A" w:tentative="1">
      <w:start w:val="1"/>
      <w:numFmt w:val="decimal"/>
      <w:lvlText w:val="%7."/>
      <w:lvlJc w:val="left"/>
      <w:pPr>
        <w:tabs>
          <w:tab w:val="num" w:pos="5400"/>
        </w:tabs>
        <w:ind w:left="5400" w:hanging="360"/>
      </w:pPr>
    </w:lvl>
    <w:lvl w:ilvl="7" w:tplc="159ECA6A" w:tentative="1">
      <w:start w:val="1"/>
      <w:numFmt w:val="lowerLetter"/>
      <w:lvlText w:val="%8."/>
      <w:lvlJc w:val="left"/>
      <w:pPr>
        <w:tabs>
          <w:tab w:val="num" w:pos="6120"/>
        </w:tabs>
        <w:ind w:left="6120" w:hanging="360"/>
      </w:pPr>
    </w:lvl>
    <w:lvl w:ilvl="8" w:tplc="0194CBF4" w:tentative="1">
      <w:start w:val="1"/>
      <w:numFmt w:val="lowerRoman"/>
      <w:lvlText w:val="%9."/>
      <w:lvlJc w:val="right"/>
      <w:pPr>
        <w:tabs>
          <w:tab w:val="num" w:pos="6840"/>
        </w:tabs>
        <w:ind w:left="6840" w:hanging="180"/>
      </w:pPr>
    </w:lvl>
  </w:abstractNum>
  <w:abstractNum w:abstractNumId="7">
    <w:nsid w:val="471A7BD0"/>
    <w:multiLevelType w:val="hybridMultilevel"/>
    <w:tmpl w:val="CD969ED4"/>
    <w:lvl w:ilvl="0" w:tplc="9962CC1E">
      <w:start w:val="1"/>
      <w:numFmt w:val="decimal"/>
      <w:lvlText w:val="%1."/>
      <w:lvlJc w:val="left"/>
      <w:pPr>
        <w:tabs>
          <w:tab w:val="num" w:pos="1260"/>
        </w:tabs>
        <w:ind w:left="1260" w:hanging="360"/>
      </w:pPr>
      <w:rPr>
        <w:rFonts w:ascii="Cambria" w:hAnsi="Cambria" w:hint="default"/>
        <w:b w:val="0"/>
        <w:sz w:val="20"/>
        <w:szCs w:val="20"/>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04698F"/>
    <w:multiLevelType w:val="multilevel"/>
    <w:tmpl w:val="AB8A5AD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CF77CF3"/>
    <w:multiLevelType w:val="hybridMultilevel"/>
    <w:tmpl w:val="082E0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1"/>
  </w:num>
  <w:num w:numId="6">
    <w:abstractNumId w:val="3"/>
  </w:num>
  <w:num w:numId="7">
    <w:abstractNumId w:val="5"/>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B7"/>
    <w:rsid w:val="00016C2E"/>
    <w:rsid w:val="000220A0"/>
    <w:rsid w:val="000300B8"/>
    <w:rsid w:val="00036277"/>
    <w:rsid w:val="000362F1"/>
    <w:rsid w:val="00040668"/>
    <w:rsid w:val="00051F53"/>
    <w:rsid w:val="00060AB0"/>
    <w:rsid w:val="0006526B"/>
    <w:rsid w:val="00075A7C"/>
    <w:rsid w:val="00075B25"/>
    <w:rsid w:val="00083A03"/>
    <w:rsid w:val="00083DFD"/>
    <w:rsid w:val="0009510B"/>
    <w:rsid w:val="000A1C93"/>
    <w:rsid w:val="000A3349"/>
    <w:rsid w:val="000A5F60"/>
    <w:rsid w:val="000A6E4C"/>
    <w:rsid w:val="000B11B2"/>
    <w:rsid w:val="000C0401"/>
    <w:rsid w:val="000C14E4"/>
    <w:rsid w:val="000C2036"/>
    <w:rsid w:val="000C68DF"/>
    <w:rsid w:val="000D3D17"/>
    <w:rsid w:val="000E5886"/>
    <w:rsid w:val="000F5F1D"/>
    <w:rsid w:val="00106DE1"/>
    <w:rsid w:val="0010742D"/>
    <w:rsid w:val="00145FB5"/>
    <w:rsid w:val="00165968"/>
    <w:rsid w:val="00166063"/>
    <w:rsid w:val="001677B5"/>
    <w:rsid w:val="00171C78"/>
    <w:rsid w:val="00174BD2"/>
    <w:rsid w:val="00177E85"/>
    <w:rsid w:val="001814EF"/>
    <w:rsid w:val="0018239E"/>
    <w:rsid w:val="0019108A"/>
    <w:rsid w:val="001A3698"/>
    <w:rsid w:val="001B0F33"/>
    <w:rsid w:val="001E016B"/>
    <w:rsid w:val="001E26F8"/>
    <w:rsid w:val="001E2A9B"/>
    <w:rsid w:val="001E6B2F"/>
    <w:rsid w:val="00216848"/>
    <w:rsid w:val="00216E9B"/>
    <w:rsid w:val="00232277"/>
    <w:rsid w:val="00246EBA"/>
    <w:rsid w:val="00255902"/>
    <w:rsid w:val="00270BC7"/>
    <w:rsid w:val="00270C48"/>
    <w:rsid w:val="00270D07"/>
    <w:rsid w:val="00285CD4"/>
    <w:rsid w:val="00286445"/>
    <w:rsid w:val="00286C95"/>
    <w:rsid w:val="002870C0"/>
    <w:rsid w:val="00292E3C"/>
    <w:rsid w:val="00296A8E"/>
    <w:rsid w:val="002A0875"/>
    <w:rsid w:val="002A0A00"/>
    <w:rsid w:val="002A401C"/>
    <w:rsid w:val="002A60CC"/>
    <w:rsid w:val="002B2EF6"/>
    <w:rsid w:val="002B452F"/>
    <w:rsid w:val="002C12EA"/>
    <w:rsid w:val="002C50D6"/>
    <w:rsid w:val="002D2350"/>
    <w:rsid w:val="002D5E20"/>
    <w:rsid w:val="002E2D7C"/>
    <w:rsid w:val="002F4397"/>
    <w:rsid w:val="0030678C"/>
    <w:rsid w:val="0031288F"/>
    <w:rsid w:val="00322B3F"/>
    <w:rsid w:val="00354F54"/>
    <w:rsid w:val="003610B2"/>
    <w:rsid w:val="00362527"/>
    <w:rsid w:val="00366ECC"/>
    <w:rsid w:val="003738B3"/>
    <w:rsid w:val="0039144A"/>
    <w:rsid w:val="003A31FB"/>
    <w:rsid w:val="003D0797"/>
    <w:rsid w:val="003D0B3E"/>
    <w:rsid w:val="003F0A28"/>
    <w:rsid w:val="003F1FEA"/>
    <w:rsid w:val="00404818"/>
    <w:rsid w:val="0040639E"/>
    <w:rsid w:val="00406F1D"/>
    <w:rsid w:val="00410820"/>
    <w:rsid w:val="00446BA3"/>
    <w:rsid w:val="004503FE"/>
    <w:rsid w:val="004522D2"/>
    <w:rsid w:val="00453ED8"/>
    <w:rsid w:val="004556B9"/>
    <w:rsid w:val="00456773"/>
    <w:rsid w:val="00462F99"/>
    <w:rsid w:val="004671BD"/>
    <w:rsid w:val="00483BC7"/>
    <w:rsid w:val="004907AC"/>
    <w:rsid w:val="004A1C18"/>
    <w:rsid w:val="004A685E"/>
    <w:rsid w:val="004B58EF"/>
    <w:rsid w:val="004B772B"/>
    <w:rsid w:val="004C1887"/>
    <w:rsid w:val="004C5888"/>
    <w:rsid w:val="004D0FE7"/>
    <w:rsid w:val="004D20F0"/>
    <w:rsid w:val="004D7B8C"/>
    <w:rsid w:val="004E1197"/>
    <w:rsid w:val="004E224C"/>
    <w:rsid w:val="004E7739"/>
    <w:rsid w:val="0050278E"/>
    <w:rsid w:val="005031F8"/>
    <w:rsid w:val="005237AB"/>
    <w:rsid w:val="0052517D"/>
    <w:rsid w:val="005348A5"/>
    <w:rsid w:val="005429C7"/>
    <w:rsid w:val="00573EBA"/>
    <w:rsid w:val="00577D39"/>
    <w:rsid w:val="005805D8"/>
    <w:rsid w:val="005809F1"/>
    <w:rsid w:val="005A0F49"/>
    <w:rsid w:val="005B098F"/>
    <w:rsid w:val="005C4391"/>
    <w:rsid w:val="005C7046"/>
    <w:rsid w:val="005D7DF8"/>
    <w:rsid w:val="005F2ED5"/>
    <w:rsid w:val="005F5F39"/>
    <w:rsid w:val="00601818"/>
    <w:rsid w:val="00607E01"/>
    <w:rsid w:val="006264C8"/>
    <w:rsid w:val="006307B7"/>
    <w:rsid w:val="0064192A"/>
    <w:rsid w:val="00645908"/>
    <w:rsid w:val="00671784"/>
    <w:rsid w:val="00673CF8"/>
    <w:rsid w:val="006842C3"/>
    <w:rsid w:val="006842FD"/>
    <w:rsid w:val="00697CED"/>
    <w:rsid w:val="006A0144"/>
    <w:rsid w:val="006A47D8"/>
    <w:rsid w:val="006A4C45"/>
    <w:rsid w:val="006A7FC6"/>
    <w:rsid w:val="006B0082"/>
    <w:rsid w:val="006B158C"/>
    <w:rsid w:val="006B37CD"/>
    <w:rsid w:val="006C517D"/>
    <w:rsid w:val="006C6A03"/>
    <w:rsid w:val="006E17EA"/>
    <w:rsid w:val="006E3078"/>
    <w:rsid w:val="006E68FA"/>
    <w:rsid w:val="006F0A57"/>
    <w:rsid w:val="006F12E9"/>
    <w:rsid w:val="0070530C"/>
    <w:rsid w:val="007202AC"/>
    <w:rsid w:val="00734844"/>
    <w:rsid w:val="0073591A"/>
    <w:rsid w:val="0074127B"/>
    <w:rsid w:val="007474BD"/>
    <w:rsid w:val="007546B2"/>
    <w:rsid w:val="0075736C"/>
    <w:rsid w:val="0076340D"/>
    <w:rsid w:val="00766C31"/>
    <w:rsid w:val="00783B81"/>
    <w:rsid w:val="007C0076"/>
    <w:rsid w:val="007C449B"/>
    <w:rsid w:val="007D4619"/>
    <w:rsid w:val="007D6882"/>
    <w:rsid w:val="007E1960"/>
    <w:rsid w:val="007F1484"/>
    <w:rsid w:val="007F2603"/>
    <w:rsid w:val="007F756B"/>
    <w:rsid w:val="007F7EA8"/>
    <w:rsid w:val="00800E35"/>
    <w:rsid w:val="0083156C"/>
    <w:rsid w:val="0083191E"/>
    <w:rsid w:val="00841633"/>
    <w:rsid w:val="00842402"/>
    <w:rsid w:val="00844397"/>
    <w:rsid w:val="0084686F"/>
    <w:rsid w:val="00850C28"/>
    <w:rsid w:val="00855834"/>
    <w:rsid w:val="008953A6"/>
    <w:rsid w:val="008B44A0"/>
    <w:rsid w:val="008C25DB"/>
    <w:rsid w:val="008C3506"/>
    <w:rsid w:val="008C3982"/>
    <w:rsid w:val="008D7790"/>
    <w:rsid w:val="008E7663"/>
    <w:rsid w:val="00925075"/>
    <w:rsid w:val="0092592A"/>
    <w:rsid w:val="00932BAF"/>
    <w:rsid w:val="009367D9"/>
    <w:rsid w:val="00936905"/>
    <w:rsid w:val="009457AE"/>
    <w:rsid w:val="0096004F"/>
    <w:rsid w:val="009708D5"/>
    <w:rsid w:val="00982FB7"/>
    <w:rsid w:val="0098328A"/>
    <w:rsid w:val="009A1B64"/>
    <w:rsid w:val="009A3A3E"/>
    <w:rsid w:val="009B63E3"/>
    <w:rsid w:val="009B7C1C"/>
    <w:rsid w:val="009C03B0"/>
    <w:rsid w:val="009D1DAE"/>
    <w:rsid w:val="009D20F0"/>
    <w:rsid w:val="009D7F32"/>
    <w:rsid w:val="009E0EA7"/>
    <w:rsid w:val="009F5FEE"/>
    <w:rsid w:val="00A00F52"/>
    <w:rsid w:val="00A03667"/>
    <w:rsid w:val="00A111D5"/>
    <w:rsid w:val="00A237A3"/>
    <w:rsid w:val="00A27019"/>
    <w:rsid w:val="00A3125C"/>
    <w:rsid w:val="00A34AE8"/>
    <w:rsid w:val="00A436F5"/>
    <w:rsid w:val="00A4778E"/>
    <w:rsid w:val="00A47E6F"/>
    <w:rsid w:val="00A527C2"/>
    <w:rsid w:val="00A52871"/>
    <w:rsid w:val="00A719C9"/>
    <w:rsid w:val="00A76EE8"/>
    <w:rsid w:val="00A833AA"/>
    <w:rsid w:val="00A864CD"/>
    <w:rsid w:val="00A900BE"/>
    <w:rsid w:val="00A90C03"/>
    <w:rsid w:val="00AA15B5"/>
    <w:rsid w:val="00AA1D0A"/>
    <w:rsid w:val="00AB02C2"/>
    <w:rsid w:val="00AB529C"/>
    <w:rsid w:val="00AD791A"/>
    <w:rsid w:val="00AF17A8"/>
    <w:rsid w:val="00AF2A19"/>
    <w:rsid w:val="00B05A36"/>
    <w:rsid w:val="00B13299"/>
    <w:rsid w:val="00B27EFF"/>
    <w:rsid w:val="00B43356"/>
    <w:rsid w:val="00B5402D"/>
    <w:rsid w:val="00B547DB"/>
    <w:rsid w:val="00B55307"/>
    <w:rsid w:val="00B70C2C"/>
    <w:rsid w:val="00B72971"/>
    <w:rsid w:val="00B80DC3"/>
    <w:rsid w:val="00B84896"/>
    <w:rsid w:val="00B95183"/>
    <w:rsid w:val="00B96E37"/>
    <w:rsid w:val="00BA2944"/>
    <w:rsid w:val="00BC5205"/>
    <w:rsid w:val="00BF0F42"/>
    <w:rsid w:val="00C0160B"/>
    <w:rsid w:val="00C105A3"/>
    <w:rsid w:val="00C11C09"/>
    <w:rsid w:val="00C24AAA"/>
    <w:rsid w:val="00C41015"/>
    <w:rsid w:val="00C51EF3"/>
    <w:rsid w:val="00C677C4"/>
    <w:rsid w:val="00C72708"/>
    <w:rsid w:val="00C817C3"/>
    <w:rsid w:val="00C848FE"/>
    <w:rsid w:val="00C8718B"/>
    <w:rsid w:val="00C9130D"/>
    <w:rsid w:val="00CB042A"/>
    <w:rsid w:val="00CB49BB"/>
    <w:rsid w:val="00CB6A78"/>
    <w:rsid w:val="00CC2843"/>
    <w:rsid w:val="00CD02A3"/>
    <w:rsid w:val="00CE4444"/>
    <w:rsid w:val="00CF46EA"/>
    <w:rsid w:val="00CF7DA8"/>
    <w:rsid w:val="00D04916"/>
    <w:rsid w:val="00D134D1"/>
    <w:rsid w:val="00D17973"/>
    <w:rsid w:val="00D22BF1"/>
    <w:rsid w:val="00D52B04"/>
    <w:rsid w:val="00D61533"/>
    <w:rsid w:val="00D67F3A"/>
    <w:rsid w:val="00D73358"/>
    <w:rsid w:val="00D81279"/>
    <w:rsid w:val="00D87F7F"/>
    <w:rsid w:val="00D954D6"/>
    <w:rsid w:val="00D968CA"/>
    <w:rsid w:val="00DA32C4"/>
    <w:rsid w:val="00DA3C01"/>
    <w:rsid w:val="00DC2AB3"/>
    <w:rsid w:val="00DD4437"/>
    <w:rsid w:val="00DE5F50"/>
    <w:rsid w:val="00DE600D"/>
    <w:rsid w:val="00DE7470"/>
    <w:rsid w:val="00DF00E3"/>
    <w:rsid w:val="00DF5106"/>
    <w:rsid w:val="00E25069"/>
    <w:rsid w:val="00E40446"/>
    <w:rsid w:val="00E435F1"/>
    <w:rsid w:val="00E46B16"/>
    <w:rsid w:val="00E47A96"/>
    <w:rsid w:val="00E52C03"/>
    <w:rsid w:val="00E54B5A"/>
    <w:rsid w:val="00E57B8C"/>
    <w:rsid w:val="00E65928"/>
    <w:rsid w:val="00E6621D"/>
    <w:rsid w:val="00E66B41"/>
    <w:rsid w:val="00E70278"/>
    <w:rsid w:val="00E71E76"/>
    <w:rsid w:val="00E73E5C"/>
    <w:rsid w:val="00E74B33"/>
    <w:rsid w:val="00E77FAF"/>
    <w:rsid w:val="00E92E12"/>
    <w:rsid w:val="00E95135"/>
    <w:rsid w:val="00E9648A"/>
    <w:rsid w:val="00E9710B"/>
    <w:rsid w:val="00EA4914"/>
    <w:rsid w:val="00EA6A2D"/>
    <w:rsid w:val="00EB1295"/>
    <w:rsid w:val="00EB2F99"/>
    <w:rsid w:val="00EB423B"/>
    <w:rsid w:val="00EC66E2"/>
    <w:rsid w:val="00EE0FE1"/>
    <w:rsid w:val="00EF45EA"/>
    <w:rsid w:val="00F024F0"/>
    <w:rsid w:val="00F0712B"/>
    <w:rsid w:val="00F21611"/>
    <w:rsid w:val="00F34F8E"/>
    <w:rsid w:val="00F573B0"/>
    <w:rsid w:val="00F62054"/>
    <w:rsid w:val="00F77B20"/>
    <w:rsid w:val="00F83EF7"/>
    <w:rsid w:val="00F97BFE"/>
    <w:rsid w:val="00FA4327"/>
    <w:rsid w:val="00FA4B72"/>
    <w:rsid w:val="00FB2AA7"/>
    <w:rsid w:val="00FB53D2"/>
    <w:rsid w:val="00FB66F0"/>
    <w:rsid w:val="00FC0066"/>
    <w:rsid w:val="00FC176C"/>
    <w:rsid w:val="00FC1E25"/>
    <w:rsid w:val="00FD60D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66"/>
    <w:rPr>
      <w:sz w:val="24"/>
      <w:szCs w:val="24"/>
    </w:rPr>
  </w:style>
  <w:style w:type="paragraph" w:styleId="Heading1">
    <w:name w:val="heading 1"/>
    <w:basedOn w:val="Normal"/>
    <w:link w:val="Heading1Char"/>
    <w:qFormat/>
    <w:rsid w:val="006D4077"/>
    <w:pPr>
      <w:keepNext/>
      <w:ind w:firstLine="720"/>
      <w:jc w:val="both"/>
      <w:outlineLvl w:val="0"/>
    </w:pPr>
    <w:rPr>
      <w:b/>
      <w:bCs/>
      <w:kern w:val="36"/>
      <w:sz w:val="22"/>
      <w:szCs w:val="22"/>
    </w:rPr>
  </w:style>
  <w:style w:type="paragraph" w:styleId="Heading2">
    <w:name w:val="heading 2"/>
    <w:basedOn w:val="Normal"/>
    <w:next w:val="Normal"/>
    <w:qFormat/>
    <w:rsid w:val="00896D1B"/>
    <w:pPr>
      <w:keepNext/>
      <w:ind w:firstLine="720"/>
      <w:outlineLvl w:val="1"/>
    </w:pPr>
    <w:rPr>
      <w:rFonts w:ascii="Calibri" w:hAnsi="Calibri" w:cs="Arial"/>
      <w:b/>
      <w:bCs/>
      <w:iCs/>
      <w:sz w:val="22"/>
      <w:szCs w:val="28"/>
    </w:rPr>
  </w:style>
  <w:style w:type="paragraph" w:styleId="Heading3">
    <w:name w:val="heading 3"/>
    <w:basedOn w:val="Normal"/>
    <w:next w:val="Normal"/>
    <w:link w:val="Heading3Char"/>
    <w:qFormat/>
    <w:rsid w:val="000B11B2"/>
    <w:pPr>
      <w:keepNext/>
      <w:numPr>
        <w:numId w:val="9"/>
      </w:numPr>
      <w:ind w:left="1440" w:hanging="720"/>
      <w:outlineLvl w:val="2"/>
    </w:pPr>
    <w:rPr>
      <w:rFonts w:ascii="Cambria" w:eastAsia="Times New Roman" w:hAnsi="Cambria"/>
      <w:b/>
      <w:bCs/>
      <w:sz w:val="20"/>
      <w:szCs w:val="20"/>
      <w:lang w:val="es-ES_tradnl"/>
    </w:rPr>
  </w:style>
  <w:style w:type="paragraph" w:styleId="Heading4">
    <w:name w:val="heading 4"/>
    <w:basedOn w:val="Normal"/>
    <w:next w:val="Normal"/>
    <w:link w:val="Heading4Char"/>
    <w:qFormat/>
    <w:rsid w:val="00EA077D"/>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s refss,Texto de nota al pie,Appel note de bas de page,referencia nota al pie,BVI fnr,Footnote number,f,Ref. de nota al pie.,4_G,16 Point,Superscript 6 Point,Footnote symbol,Footnote,Texto nota al pie,Ref. de nota al pi,Ref,f1"/>
    <w:link w:val="1"/>
    <w:qFormat/>
    <w:rsid w:val="006D4077"/>
    <w:rPr>
      <w:vertAlign w:val="superscript"/>
    </w:rPr>
  </w:style>
  <w:style w:type="paragraph" w:styleId="FootnoteText">
    <w:name w:val="footnote text"/>
    <w:aliases w:val="Footnote reference,FA Fu,Footnote Text Char Char Char Char Char,Footnote Text Char Char Char Char,Footnote Text Char Char Char,NOTA AL PIE TESIS PUCP,Footnote Text Cha,FA Fußnotentext,FA Fuﬂnotentext,Texto nota pie Car,FA Fu?notentext,Ca,C"/>
    <w:basedOn w:val="Normal"/>
    <w:link w:val="FootnoteTextChar"/>
    <w:qFormat/>
    <w:rsid w:val="006D4077"/>
    <w:pPr>
      <w:spacing w:before="60" w:after="60"/>
      <w:jc w:val="both"/>
    </w:pPr>
    <w:rPr>
      <w:rFonts w:ascii="Verdana" w:hAnsi="Verdana"/>
      <w:sz w:val="16"/>
      <w:szCs w:val="20"/>
      <w:lang w:val="es-ES_tradnl"/>
    </w:rPr>
  </w:style>
  <w:style w:type="character" w:customStyle="1" w:styleId="FootnoteTextChar">
    <w:name w:val="Footnote Text Char"/>
    <w:aliases w:val="Footnote reference Char,FA Fu Char,Footnote Text Char Char Char Char Char Char,Footnote Text Char Char Char Char Char1,Footnote Text Char Char Char Char1,NOTA AL PIE TESIS PUCP Char,Footnote Text Cha Char,FA Fußnotentext Char,Ca Char"/>
    <w:link w:val="FootnoteText"/>
    <w:rsid w:val="006D4077"/>
    <w:rPr>
      <w:rFonts w:ascii="Verdana" w:eastAsia="MS Mincho" w:hAnsi="Verdana"/>
      <w:sz w:val="16"/>
      <w:lang w:val="es-ES_tradnl" w:eastAsia="en-US" w:bidi="ar-SA"/>
    </w:rPr>
  </w:style>
  <w:style w:type="paragraph" w:customStyle="1" w:styleId="Style25">
    <w:name w:val="Style 25"/>
    <w:basedOn w:val="Normal"/>
    <w:rsid w:val="006D4077"/>
    <w:pPr>
      <w:widowControl w:val="0"/>
      <w:autoSpaceDE w:val="0"/>
      <w:autoSpaceDN w:val="0"/>
      <w:jc w:val="both"/>
    </w:pPr>
  </w:style>
  <w:style w:type="paragraph" w:customStyle="1" w:styleId="Style27">
    <w:name w:val="Style 27"/>
    <w:basedOn w:val="Normal"/>
    <w:rsid w:val="002F2700"/>
    <w:pPr>
      <w:widowControl w:val="0"/>
      <w:autoSpaceDE w:val="0"/>
      <w:autoSpaceDN w:val="0"/>
      <w:spacing w:before="108" w:line="252" w:lineRule="exact"/>
      <w:ind w:left="72" w:right="72"/>
      <w:jc w:val="both"/>
    </w:pPr>
  </w:style>
  <w:style w:type="paragraph" w:customStyle="1" w:styleId="Style36">
    <w:name w:val="Style 36"/>
    <w:basedOn w:val="Normal"/>
    <w:rsid w:val="002F2700"/>
    <w:pPr>
      <w:widowControl w:val="0"/>
      <w:autoSpaceDE w:val="0"/>
      <w:autoSpaceDN w:val="0"/>
      <w:adjustRightInd w:val="0"/>
    </w:pPr>
  </w:style>
  <w:style w:type="paragraph" w:customStyle="1" w:styleId="Style13">
    <w:name w:val="Style 13"/>
    <w:basedOn w:val="Normal"/>
    <w:rsid w:val="00980E99"/>
    <w:pPr>
      <w:widowControl w:val="0"/>
      <w:autoSpaceDE w:val="0"/>
      <w:autoSpaceDN w:val="0"/>
      <w:spacing w:before="252" w:line="240" w:lineRule="exact"/>
      <w:ind w:right="72"/>
      <w:jc w:val="both"/>
    </w:pPr>
  </w:style>
  <w:style w:type="paragraph" w:customStyle="1" w:styleId="Style1">
    <w:name w:val="Style 1"/>
    <w:basedOn w:val="Normal"/>
    <w:rsid w:val="00D43D13"/>
    <w:pPr>
      <w:widowControl w:val="0"/>
      <w:autoSpaceDE w:val="0"/>
      <w:autoSpaceDN w:val="0"/>
      <w:jc w:val="both"/>
    </w:pPr>
  </w:style>
  <w:style w:type="paragraph" w:customStyle="1" w:styleId="Style28">
    <w:name w:val="Style 28"/>
    <w:basedOn w:val="Normal"/>
    <w:rsid w:val="00CB1752"/>
    <w:pPr>
      <w:widowControl w:val="0"/>
      <w:autoSpaceDE w:val="0"/>
      <w:autoSpaceDN w:val="0"/>
      <w:spacing w:line="240" w:lineRule="exact"/>
      <w:ind w:right="72"/>
      <w:jc w:val="both"/>
    </w:pPr>
  </w:style>
  <w:style w:type="paragraph" w:customStyle="1" w:styleId="Style29">
    <w:name w:val="Style 29"/>
    <w:basedOn w:val="Normal"/>
    <w:uiPriority w:val="99"/>
    <w:rsid w:val="00CB1752"/>
    <w:pPr>
      <w:widowControl w:val="0"/>
      <w:autoSpaceDE w:val="0"/>
      <w:autoSpaceDN w:val="0"/>
      <w:spacing w:before="252" w:line="240" w:lineRule="exact"/>
      <w:jc w:val="both"/>
    </w:pPr>
  </w:style>
  <w:style w:type="paragraph" w:styleId="BalloonText">
    <w:name w:val="Balloon Text"/>
    <w:basedOn w:val="Normal"/>
    <w:semiHidden/>
    <w:rsid w:val="00F70E78"/>
    <w:rPr>
      <w:rFonts w:ascii="Tahoma" w:hAnsi="Tahoma" w:cs="Tahoma"/>
      <w:sz w:val="16"/>
      <w:szCs w:val="16"/>
    </w:rPr>
  </w:style>
  <w:style w:type="paragraph" w:styleId="BodyTextIndent">
    <w:name w:val="Body Text Indent"/>
    <w:basedOn w:val="Normal"/>
    <w:link w:val="BodyTextIndentChar"/>
    <w:rsid w:val="0075459C"/>
    <w:pPr>
      <w:ind w:firstLine="720"/>
      <w:jc w:val="both"/>
    </w:pPr>
    <w:rPr>
      <w:rFonts w:ascii="Univers" w:hAnsi="Univers"/>
      <w:sz w:val="22"/>
      <w:szCs w:val="20"/>
      <w:lang w:val="es-AR"/>
    </w:rPr>
  </w:style>
  <w:style w:type="character" w:customStyle="1" w:styleId="BodyTextIndentChar">
    <w:name w:val="Body Text Indent Char"/>
    <w:link w:val="BodyTextIndent"/>
    <w:rsid w:val="0075459C"/>
    <w:rPr>
      <w:rFonts w:ascii="Univers" w:hAnsi="Univers"/>
      <w:sz w:val="22"/>
      <w:lang w:val="es-AR" w:eastAsia="en-US" w:bidi="ar-SA"/>
    </w:rPr>
  </w:style>
  <w:style w:type="character" w:styleId="Hyperlink">
    <w:name w:val="Hyperlink"/>
    <w:uiPriority w:val="99"/>
    <w:rsid w:val="005F6DC5"/>
    <w:rPr>
      <w:color w:val="0000FF"/>
      <w:u w:val="single"/>
    </w:rPr>
  </w:style>
  <w:style w:type="paragraph" w:customStyle="1" w:styleId="Style11">
    <w:name w:val="Style 11"/>
    <w:basedOn w:val="Normal"/>
    <w:rsid w:val="005F6DC5"/>
    <w:pPr>
      <w:widowControl w:val="0"/>
      <w:autoSpaceDE w:val="0"/>
      <w:autoSpaceDN w:val="0"/>
      <w:ind w:right="72"/>
      <w:jc w:val="both"/>
    </w:pPr>
  </w:style>
  <w:style w:type="paragraph" w:customStyle="1" w:styleId="Style3">
    <w:name w:val="Style 3"/>
    <w:basedOn w:val="Normal"/>
    <w:rsid w:val="005F6DC5"/>
    <w:pPr>
      <w:widowControl w:val="0"/>
      <w:autoSpaceDE w:val="0"/>
      <w:autoSpaceDN w:val="0"/>
      <w:jc w:val="both"/>
    </w:pPr>
  </w:style>
  <w:style w:type="character" w:customStyle="1" w:styleId="st1">
    <w:name w:val="st1"/>
    <w:basedOn w:val="DefaultParagraphFont"/>
    <w:rsid w:val="005F6DC5"/>
  </w:style>
  <w:style w:type="paragraph" w:customStyle="1" w:styleId="Style14">
    <w:name w:val="Style 14"/>
    <w:basedOn w:val="Normal"/>
    <w:rsid w:val="005F6DC5"/>
    <w:pPr>
      <w:widowControl w:val="0"/>
      <w:autoSpaceDE w:val="0"/>
      <w:autoSpaceDN w:val="0"/>
      <w:adjustRightInd w:val="0"/>
    </w:pPr>
  </w:style>
  <w:style w:type="paragraph" w:customStyle="1" w:styleId="Style15">
    <w:name w:val="Style 15"/>
    <w:basedOn w:val="Normal"/>
    <w:rsid w:val="005F6DC5"/>
    <w:pPr>
      <w:widowControl w:val="0"/>
      <w:autoSpaceDE w:val="0"/>
      <w:autoSpaceDN w:val="0"/>
      <w:jc w:val="both"/>
    </w:pPr>
  </w:style>
  <w:style w:type="paragraph" w:customStyle="1" w:styleId="Style22">
    <w:name w:val="Style 22"/>
    <w:basedOn w:val="Normal"/>
    <w:rsid w:val="005F6DC5"/>
    <w:pPr>
      <w:widowControl w:val="0"/>
      <w:autoSpaceDE w:val="0"/>
      <w:autoSpaceDN w:val="0"/>
      <w:ind w:left="144"/>
      <w:jc w:val="both"/>
    </w:pPr>
  </w:style>
  <w:style w:type="paragraph" w:styleId="Header">
    <w:name w:val="header"/>
    <w:aliases w:val="encabezado"/>
    <w:basedOn w:val="Normal"/>
    <w:link w:val="HeaderChar"/>
    <w:rsid w:val="005F6DC5"/>
    <w:pPr>
      <w:tabs>
        <w:tab w:val="center" w:pos="4320"/>
        <w:tab w:val="right" w:pos="8640"/>
      </w:tabs>
    </w:pPr>
  </w:style>
  <w:style w:type="paragraph" w:customStyle="1" w:styleId="Style19">
    <w:name w:val="Style 19"/>
    <w:basedOn w:val="Normal"/>
    <w:rsid w:val="005F6DC5"/>
    <w:pPr>
      <w:widowControl w:val="0"/>
      <w:autoSpaceDE w:val="0"/>
      <w:autoSpaceDN w:val="0"/>
      <w:spacing w:line="240" w:lineRule="exact"/>
      <w:jc w:val="both"/>
    </w:pPr>
  </w:style>
  <w:style w:type="character" w:styleId="HTMLCite">
    <w:name w:val="HTML Cite"/>
    <w:rsid w:val="005F6DC5"/>
    <w:rPr>
      <w:i/>
      <w:iCs/>
    </w:rPr>
  </w:style>
  <w:style w:type="character" w:styleId="Emphasis">
    <w:name w:val="Emphasis"/>
    <w:qFormat/>
    <w:rsid w:val="005F6DC5"/>
    <w:rPr>
      <w:b/>
      <w:bCs/>
      <w:i w:val="0"/>
      <w:iCs w:val="0"/>
    </w:rPr>
  </w:style>
  <w:style w:type="character" w:customStyle="1" w:styleId="FootnoteTex">
    <w:name w:val="Footnote Tex"/>
    <w:rsid w:val="005F6DC5"/>
    <w:rPr>
      <w:rFonts w:ascii="Times New Roman" w:hAnsi="Times New Roman" w:cs="Times New Roman" w:hint="default"/>
      <w:sz w:val="20"/>
      <w:lang w:val="en-US"/>
    </w:rPr>
  </w:style>
  <w:style w:type="paragraph" w:customStyle="1" w:styleId="ListParagraph1">
    <w:name w:val="List Paragraph1"/>
    <w:aliases w:val="Colorful List - Accent 11"/>
    <w:basedOn w:val="Normal"/>
    <w:link w:val="ListParagraphChar"/>
    <w:uiPriority w:val="34"/>
    <w:qFormat/>
    <w:rsid w:val="0091124F"/>
    <w:pPr>
      <w:ind w:left="720"/>
    </w:pPr>
  </w:style>
  <w:style w:type="character" w:customStyle="1" w:styleId="Heading4Char">
    <w:name w:val="Heading 4 Char"/>
    <w:link w:val="Heading4"/>
    <w:semiHidden/>
    <w:rsid w:val="00EA077D"/>
    <w:rPr>
      <w:rFonts w:ascii="Calibri" w:eastAsia="Times New Roman" w:hAnsi="Calibri" w:cs="Times New Roman"/>
      <w:b/>
      <w:bCs/>
      <w:sz w:val="28"/>
      <w:szCs w:val="28"/>
    </w:rPr>
  </w:style>
  <w:style w:type="paragraph" w:customStyle="1" w:styleId="Sangradetindependiente">
    <w:name w:val="SangrÌa de t. independiente"/>
    <w:basedOn w:val="Normal"/>
    <w:rsid w:val="009B6593"/>
    <w:pPr>
      <w:suppressAutoHyphens/>
      <w:spacing w:line="360" w:lineRule="atLeast"/>
    </w:pPr>
    <w:rPr>
      <w:rFonts w:ascii="Garamond" w:hAnsi="Garamond"/>
      <w:szCs w:val="20"/>
      <w:lang w:val="es-ES_tradnl" w:eastAsia="ar-SA"/>
    </w:rPr>
  </w:style>
  <w:style w:type="character" w:customStyle="1" w:styleId="WW-FootnoteCharacters">
    <w:name w:val="WW-Footnote Characters"/>
    <w:rsid w:val="009B6593"/>
    <w:rPr>
      <w:vertAlign w:val="superscript"/>
    </w:rPr>
  </w:style>
  <w:style w:type="character" w:customStyle="1" w:styleId="FootnoteTextChar1">
    <w:name w:val="Footnote Text Char1"/>
    <w:aliases w:val="Footnote Text Char Char Char Char Char Char1,Footnote Text Char Char Char Char Char2,FA Fu Char1,Footnote reference Char1,NOTA AL PIE TESIS PUCP Char1,Footnote Text Char Char Char Char2,Footnote Text Cha Char1,FA Fußnotentext Char1"/>
    <w:uiPriority w:val="99"/>
    <w:semiHidden/>
    <w:locked/>
    <w:rsid w:val="00905621"/>
    <w:rPr>
      <w:sz w:val="20"/>
      <w:szCs w:val="20"/>
      <w:lang w:val="es-SV"/>
    </w:rPr>
  </w:style>
  <w:style w:type="paragraph" w:customStyle="1" w:styleId="PrrafodeSentencia">
    <w:name w:val="*. Párrafo de Sentencia"/>
    <w:basedOn w:val="Normal"/>
    <w:link w:val="PrrafodeSentenciaChar"/>
    <w:autoRedefine/>
    <w:qFormat/>
    <w:rsid w:val="00A11E3C"/>
    <w:pPr>
      <w:ind w:left="1260" w:hanging="540"/>
      <w:jc w:val="both"/>
      <w:outlineLvl w:val="2"/>
    </w:pPr>
    <w:rPr>
      <w:rFonts w:ascii="Calibri" w:eastAsia="Batang" w:hAnsi="Calibri"/>
      <w:b/>
      <w:sz w:val="20"/>
      <w:szCs w:val="20"/>
      <w:lang w:val="es-MX" w:eastAsia="es-MX"/>
    </w:rPr>
  </w:style>
  <w:style w:type="character" w:customStyle="1" w:styleId="PrrafodeSentenciaChar">
    <w:name w:val="*. Párrafo de Sentencia Char"/>
    <w:link w:val="PrrafodeSentencia"/>
    <w:rsid w:val="00A11E3C"/>
    <w:rPr>
      <w:rFonts w:ascii="Calibri" w:eastAsia="Batang" w:hAnsi="Calibri"/>
      <w:b/>
      <w:lang w:val="es-MX" w:eastAsia="es-MX"/>
    </w:rPr>
  </w:style>
  <w:style w:type="paragraph" w:styleId="NormalWeb">
    <w:name w:val="Normal (Web)"/>
    <w:basedOn w:val="Normal"/>
    <w:rsid w:val="0080466B"/>
    <w:pPr>
      <w:spacing w:before="100" w:beforeAutospacing="1" w:after="100" w:afterAutospacing="1"/>
    </w:pPr>
  </w:style>
  <w:style w:type="paragraph" w:styleId="BodyText3">
    <w:name w:val="Body Text 3"/>
    <w:basedOn w:val="Normal"/>
    <w:rsid w:val="00BA2B3A"/>
    <w:pPr>
      <w:spacing w:after="120"/>
    </w:pPr>
    <w:rPr>
      <w:rFonts w:ascii="Univers" w:hAnsi="Univers"/>
      <w:sz w:val="16"/>
      <w:szCs w:val="16"/>
      <w:lang w:val="es-ES_tradnl"/>
    </w:rPr>
  </w:style>
  <w:style w:type="paragraph" w:styleId="Footer">
    <w:name w:val="footer"/>
    <w:basedOn w:val="Normal"/>
    <w:link w:val="FooterChar"/>
    <w:uiPriority w:val="99"/>
    <w:rsid w:val="002E12F3"/>
    <w:pPr>
      <w:tabs>
        <w:tab w:val="center" w:pos="4320"/>
        <w:tab w:val="right" w:pos="8640"/>
      </w:tabs>
    </w:pPr>
  </w:style>
  <w:style w:type="character" w:styleId="PageNumber">
    <w:name w:val="page number"/>
    <w:basedOn w:val="DefaultParagraphFont"/>
    <w:rsid w:val="002E12F3"/>
  </w:style>
  <w:style w:type="paragraph" w:styleId="TOC1">
    <w:name w:val="toc 1"/>
    <w:basedOn w:val="Normal"/>
    <w:next w:val="Normal"/>
    <w:autoRedefine/>
    <w:uiPriority w:val="39"/>
    <w:rsid w:val="00DF00E3"/>
    <w:pPr>
      <w:tabs>
        <w:tab w:val="left" w:pos="720"/>
        <w:tab w:val="right" w:leader="dot" w:pos="9350"/>
      </w:tabs>
      <w:ind w:left="720" w:hanging="720"/>
      <w:jc w:val="both"/>
    </w:pPr>
    <w:rPr>
      <w:rFonts w:ascii="Calibri" w:hAnsi="Calibri"/>
      <w:sz w:val="22"/>
    </w:rPr>
  </w:style>
  <w:style w:type="paragraph" w:styleId="TOC2">
    <w:name w:val="toc 2"/>
    <w:basedOn w:val="Normal"/>
    <w:next w:val="Normal"/>
    <w:autoRedefine/>
    <w:uiPriority w:val="39"/>
    <w:rsid w:val="00AA15B5"/>
    <w:pPr>
      <w:tabs>
        <w:tab w:val="left" w:pos="1440"/>
        <w:tab w:val="right" w:leader="dot" w:pos="9350"/>
      </w:tabs>
      <w:ind w:left="1440" w:hanging="720"/>
    </w:pPr>
  </w:style>
  <w:style w:type="paragraph" w:styleId="TOC3">
    <w:name w:val="toc 3"/>
    <w:basedOn w:val="Normal"/>
    <w:next w:val="Normal"/>
    <w:link w:val="TOC3Char"/>
    <w:autoRedefine/>
    <w:uiPriority w:val="39"/>
    <w:rsid w:val="00D04916"/>
    <w:pPr>
      <w:tabs>
        <w:tab w:val="left" w:pos="720"/>
        <w:tab w:val="left" w:pos="1440"/>
        <w:tab w:val="right" w:leader="dot" w:pos="9350"/>
      </w:tabs>
      <w:ind w:left="1440" w:hanging="720"/>
      <w:jc w:val="both"/>
    </w:pPr>
    <w:rPr>
      <w:rFonts w:ascii="Calibri" w:hAnsi="Calibri"/>
      <w:b/>
      <w:sz w:val="20"/>
      <w:szCs w:val="20"/>
      <w:lang w:val="es-MX"/>
    </w:rPr>
  </w:style>
  <w:style w:type="character" w:customStyle="1" w:styleId="Heading1Char">
    <w:name w:val="Heading 1 Char"/>
    <w:link w:val="Heading1"/>
    <w:rsid w:val="0040380F"/>
    <w:rPr>
      <w:rFonts w:eastAsia="MS Mincho"/>
      <w:b/>
      <w:bCs/>
      <w:kern w:val="36"/>
      <w:sz w:val="22"/>
      <w:szCs w:val="22"/>
    </w:rPr>
  </w:style>
  <w:style w:type="character" w:styleId="CommentReference">
    <w:name w:val="annotation reference"/>
    <w:rsid w:val="00F84858"/>
    <w:rPr>
      <w:sz w:val="16"/>
      <w:szCs w:val="16"/>
    </w:rPr>
  </w:style>
  <w:style w:type="paragraph" w:styleId="CommentText">
    <w:name w:val="annotation text"/>
    <w:basedOn w:val="Normal"/>
    <w:link w:val="CommentTextChar"/>
    <w:rsid w:val="00F84858"/>
    <w:rPr>
      <w:sz w:val="20"/>
      <w:szCs w:val="20"/>
    </w:rPr>
  </w:style>
  <w:style w:type="character" w:customStyle="1" w:styleId="CommentTextChar">
    <w:name w:val="Comment Text Char"/>
    <w:basedOn w:val="DefaultParagraphFont"/>
    <w:link w:val="CommentText"/>
    <w:rsid w:val="00F84858"/>
  </w:style>
  <w:style w:type="paragraph" w:styleId="CommentSubject">
    <w:name w:val="annotation subject"/>
    <w:basedOn w:val="CommentText"/>
    <w:next w:val="CommentText"/>
    <w:link w:val="CommentSubjectChar"/>
    <w:rsid w:val="00F84858"/>
    <w:rPr>
      <w:b/>
      <w:bCs/>
    </w:rPr>
  </w:style>
  <w:style w:type="character" w:customStyle="1" w:styleId="CommentSubjectChar">
    <w:name w:val="Comment Subject Char"/>
    <w:link w:val="CommentSubject"/>
    <w:rsid w:val="00F84858"/>
    <w:rPr>
      <w:b/>
      <w:bCs/>
    </w:rPr>
  </w:style>
  <w:style w:type="character" w:styleId="Strong">
    <w:name w:val="Strong"/>
    <w:qFormat/>
    <w:rsid w:val="00691227"/>
    <w:rPr>
      <w:b/>
      <w:bCs/>
    </w:rPr>
  </w:style>
  <w:style w:type="character" w:customStyle="1" w:styleId="st">
    <w:name w:val="st"/>
    <w:rsid w:val="00747BF6"/>
  </w:style>
  <w:style w:type="character" w:customStyle="1" w:styleId="BodyTextCharCarCarCarCarCarCarCarCarCarCarCarCarCarCarCarCarCarCarCarCarCarCarCarCarCarCarCarCarCarCarCarCarCarCarCarCarCa">
    <w:name w:val="Body Text Char Car Car Car Car Car Car Car Car Car Car Car Car Car Car Car Car Car Car Car Car Car Car Car Car Car Car Car Car Car Car Car Car Car Car Car Car Ca"/>
    <w:rsid w:val="00C6180F"/>
    <w:rPr>
      <w:rFonts w:ascii="Times New Roman" w:hAnsi="Times New Roman" w:cs="Times New Roman"/>
      <w:sz w:val="24"/>
      <w:szCs w:val="24"/>
      <w:lang w:val="es-ES" w:eastAsia="es-ES"/>
    </w:rPr>
  </w:style>
  <w:style w:type="character" w:customStyle="1" w:styleId="HeaderChar">
    <w:name w:val="Header Char"/>
    <w:aliases w:val="encabezado Char"/>
    <w:link w:val="Header"/>
    <w:uiPriority w:val="99"/>
    <w:rsid w:val="00EA5E48"/>
    <w:rPr>
      <w:sz w:val="24"/>
      <w:szCs w:val="24"/>
    </w:rPr>
  </w:style>
  <w:style w:type="character" w:customStyle="1" w:styleId="Heading3Char">
    <w:name w:val="Heading 3 Char"/>
    <w:link w:val="Heading3"/>
    <w:rsid w:val="000B11B2"/>
    <w:rPr>
      <w:rFonts w:ascii="Cambria" w:eastAsia="Times New Roman" w:hAnsi="Cambria"/>
      <w:b/>
      <w:bCs/>
      <w:lang w:val="es-ES_tradnl"/>
    </w:rPr>
  </w:style>
  <w:style w:type="paragraph" w:customStyle="1" w:styleId="Style10">
    <w:name w:val="Style1"/>
    <w:basedOn w:val="TOC3"/>
    <w:link w:val="Style1Char"/>
    <w:qFormat/>
    <w:rsid w:val="005358B9"/>
    <w:pPr>
      <w:outlineLvl w:val="0"/>
    </w:pPr>
    <w:rPr>
      <w:sz w:val="22"/>
      <w:szCs w:val="22"/>
    </w:rPr>
  </w:style>
  <w:style w:type="paragraph" w:styleId="TOC4">
    <w:name w:val="toc 4"/>
    <w:basedOn w:val="Normal"/>
    <w:next w:val="Normal"/>
    <w:autoRedefine/>
    <w:uiPriority w:val="39"/>
    <w:rsid w:val="006B4EEC"/>
    <w:pPr>
      <w:ind w:left="720"/>
    </w:pPr>
  </w:style>
  <w:style w:type="character" w:customStyle="1" w:styleId="TOC3Char">
    <w:name w:val="TOC 3 Char"/>
    <w:link w:val="TOC3"/>
    <w:uiPriority w:val="39"/>
    <w:rsid w:val="00D04916"/>
    <w:rPr>
      <w:rFonts w:ascii="Calibri" w:hAnsi="Calibri"/>
      <w:b/>
      <w:lang w:val="es-MX"/>
    </w:rPr>
  </w:style>
  <w:style w:type="character" w:customStyle="1" w:styleId="Style1Char">
    <w:name w:val="Style1 Char"/>
    <w:link w:val="Style10"/>
    <w:rsid w:val="005358B9"/>
    <w:rPr>
      <w:rFonts w:ascii="Calibri" w:eastAsia="MS Mincho" w:hAnsi="Calibri"/>
      <w:b/>
      <w:sz w:val="22"/>
      <w:szCs w:val="22"/>
      <w:lang w:val="es-MX"/>
    </w:rPr>
  </w:style>
  <w:style w:type="numbering" w:customStyle="1" w:styleId="List7">
    <w:name w:val="List 7"/>
    <w:basedOn w:val="NoList"/>
    <w:rsid w:val="00D142E1"/>
    <w:pPr>
      <w:numPr>
        <w:numId w:val="8"/>
      </w:numPr>
    </w:pPr>
  </w:style>
  <w:style w:type="character" w:customStyle="1" w:styleId="FooterChar">
    <w:name w:val="Footer Char"/>
    <w:link w:val="Footer"/>
    <w:uiPriority w:val="99"/>
    <w:rsid w:val="00D142E1"/>
    <w:rPr>
      <w:sz w:val="24"/>
      <w:szCs w:val="24"/>
    </w:rPr>
  </w:style>
  <w:style w:type="character" w:customStyle="1" w:styleId="ListParagraphChar">
    <w:name w:val="List Paragraph Char"/>
    <w:aliases w:val="Colorful List - Accent 11 Char"/>
    <w:link w:val="ListParagraph1"/>
    <w:uiPriority w:val="34"/>
    <w:locked/>
    <w:rsid w:val="006655CC"/>
    <w:rPr>
      <w:sz w:val="24"/>
      <w:szCs w:val="24"/>
    </w:rPr>
  </w:style>
  <w:style w:type="paragraph" w:styleId="ListParagraph">
    <w:name w:val="List Paragraph"/>
    <w:basedOn w:val="Normal"/>
    <w:uiPriority w:val="34"/>
    <w:qFormat/>
    <w:rsid w:val="001A3698"/>
    <w:pPr>
      <w:ind w:left="720"/>
    </w:pPr>
  </w:style>
  <w:style w:type="paragraph" w:customStyle="1" w:styleId="1">
    <w:name w:val="1"/>
    <w:basedOn w:val="Normal"/>
    <w:link w:val="FootnoteReference"/>
    <w:rsid w:val="0006526B"/>
    <w:pP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66"/>
    <w:rPr>
      <w:sz w:val="24"/>
      <w:szCs w:val="24"/>
    </w:rPr>
  </w:style>
  <w:style w:type="paragraph" w:styleId="Heading1">
    <w:name w:val="heading 1"/>
    <w:basedOn w:val="Normal"/>
    <w:link w:val="Heading1Char"/>
    <w:qFormat/>
    <w:rsid w:val="006D4077"/>
    <w:pPr>
      <w:keepNext/>
      <w:ind w:firstLine="720"/>
      <w:jc w:val="both"/>
      <w:outlineLvl w:val="0"/>
    </w:pPr>
    <w:rPr>
      <w:b/>
      <w:bCs/>
      <w:kern w:val="36"/>
      <w:sz w:val="22"/>
      <w:szCs w:val="22"/>
    </w:rPr>
  </w:style>
  <w:style w:type="paragraph" w:styleId="Heading2">
    <w:name w:val="heading 2"/>
    <w:basedOn w:val="Normal"/>
    <w:next w:val="Normal"/>
    <w:qFormat/>
    <w:rsid w:val="00896D1B"/>
    <w:pPr>
      <w:keepNext/>
      <w:ind w:firstLine="720"/>
      <w:outlineLvl w:val="1"/>
    </w:pPr>
    <w:rPr>
      <w:rFonts w:ascii="Calibri" w:hAnsi="Calibri" w:cs="Arial"/>
      <w:b/>
      <w:bCs/>
      <w:iCs/>
      <w:sz w:val="22"/>
      <w:szCs w:val="28"/>
    </w:rPr>
  </w:style>
  <w:style w:type="paragraph" w:styleId="Heading3">
    <w:name w:val="heading 3"/>
    <w:basedOn w:val="Normal"/>
    <w:next w:val="Normal"/>
    <w:link w:val="Heading3Char"/>
    <w:qFormat/>
    <w:rsid w:val="000B11B2"/>
    <w:pPr>
      <w:keepNext/>
      <w:numPr>
        <w:numId w:val="9"/>
      </w:numPr>
      <w:ind w:left="1440" w:hanging="720"/>
      <w:outlineLvl w:val="2"/>
    </w:pPr>
    <w:rPr>
      <w:rFonts w:ascii="Cambria" w:eastAsia="Times New Roman" w:hAnsi="Cambria"/>
      <w:b/>
      <w:bCs/>
      <w:sz w:val="20"/>
      <w:szCs w:val="20"/>
      <w:lang w:val="es-ES_tradnl"/>
    </w:rPr>
  </w:style>
  <w:style w:type="paragraph" w:styleId="Heading4">
    <w:name w:val="heading 4"/>
    <w:basedOn w:val="Normal"/>
    <w:next w:val="Normal"/>
    <w:link w:val="Heading4Char"/>
    <w:qFormat/>
    <w:rsid w:val="00EA077D"/>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s refss,Texto de nota al pie,Appel note de bas de page,referencia nota al pie,BVI fnr,Footnote number,f,Ref. de nota al pie.,4_G,16 Point,Superscript 6 Point,Footnote symbol,Footnote,Texto nota al pie,Ref. de nota al pi,Ref,f1"/>
    <w:link w:val="1"/>
    <w:qFormat/>
    <w:rsid w:val="006D4077"/>
    <w:rPr>
      <w:vertAlign w:val="superscript"/>
    </w:rPr>
  </w:style>
  <w:style w:type="paragraph" w:styleId="FootnoteText">
    <w:name w:val="footnote text"/>
    <w:aliases w:val="Footnote reference,FA Fu,Footnote Text Char Char Char Char Char,Footnote Text Char Char Char Char,Footnote Text Char Char Char,NOTA AL PIE TESIS PUCP,Footnote Text Cha,FA Fußnotentext,FA Fuﬂnotentext,Texto nota pie Car,FA Fu?notentext,Ca,C"/>
    <w:basedOn w:val="Normal"/>
    <w:link w:val="FootnoteTextChar"/>
    <w:qFormat/>
    <w:rsid w:val="006D4077"/>
    <w:pPr>
      <w:spacing w:before="60" w:after="60"/>
      <w:jc w:val="both"/>
    </w:pPr>
    <w:rPr>
      <w:rFonts w:ascii="Verdana" w:hAnsi="Verdana"/>
      <w:sz w:val="16"/>
      <w:szCs w:val="20"/>
      <w:lang w:val="es-ES_tradnl"/>
    </w:rPr>
  </w:style>
  <w:style w:type="character" w:customStyle="1" w:styleId="FootnoteTextChar">
    <w:name w:val="Footnote Text Char"/>
    <w:aliases w:val="Footnote reference Char,FA Fu Char,Footnote Text Char Char Char Char Char Char,Footnote Text Char Char Char Char Char1,Footnote Text Char Char Char Char1,NOTA AL PIE TESIS PUCP Char,Footnote Text Cha Char,FA Fußnotentext Char,Ca Char"/>
    <w:link w:val="FootnoteText"/>
    <w:rsid w:val="006D4077"/>
    <w:rPr>
      <w:rFonts w:ascii="Verdana" w:eastAsia="MS Mincho" w:hAnsi="Verdana"/>
      <w:sz w:val="16"/>
      <w:lang w:val="es-ES_tradnl" w:eastAsia="en-US" w:bidi="ar-SA"/>
    </w:rPr>
  </w:style>
  <w:style w:type="paragraph" w:customStyle="1" w:styleId="Style25">
    <w:name w:val="Style 25"/>
    <w:basedOn w:val="Normal"/>
    <w:rsid w:val="006D4077"/>
    <w:pPr>
      <w:widowControl w:val="0"/>
      <w:autoSpaceDE w:val="0"/>
      <w:autoSpaceDN w:val="0"/>
      <w:jc w:val="both"/>
    </w:pPr>
  </w:style>
  <w:style w:type="paragraph" w:customStyle="1" w:styleId="Style27">
    <w:name w:val="Style 27"/>
    <w:basedOn w:val="Normal"/>
    <w:rsid w:val="002F2700"/>
    <w:pPr>
      <w:widowControl w:val="0"/>
      <w:autoSpaceDE w:val="0"/>
      <w:autoSpaceDN w:val="0"/>
      <w:spacing w:before="108" w:line="252" w:lineRule="exact"/>
      <w:ind w:left="72" w:right="72"/>
      <w:jc w:val="both"/>
    </w:pPr>
  </w:style>
  <w:style w:type="paragraph" w:customStyle="1" w:styleId="Style36">
    <w:name w:val="Style 36"/>
    <w:basedOn w:val="Normal"/>
    <w:rsid w:val="002F2700"/>
    <w:pPr>
      <w:widowControl w:val="0"/>
      <w:autoSpaceDE w:val="0"/>
      <w:autoSpaceDN w:val="0"/>
      <w:adjustRightInd w:val="0"/>
    </w:pPr>
  </w:style>
  <w:style w:type="paragraph" w:customStyle="1" w:styleId="Style13">
    <w:name w:val="Style 13"/>
    <w:basedOn w:val="Normal"/>
    <w:rsid w:val="00980E99"/>
    <w:pPr>
      <w:widowControl w:val="0"/>
      <w:autoSpaceDE w:val="0"/>
      <w:autoSpaceDN w:val="0"/>
      <w:spacing w:before="252" w:line="240" w:lineRule="exact"/>
      <w:ind w:right="72"/>
      <w:jc w:val="both"/>
    </w:pPr>
  </w:style>
  <w:style w:type="paragraph" w:customStyle="1" w:styleId="Style1">
    <w:name w:val="Style 1"/>
    <w:basedOn w:val="Normal"/>
    <w:rsid w:val="00D43D13"/>
    <w:pPr>
      <w:widowControl w:val="0"/>
      <w:autoSpaceDE w:val="0"/>
      <w:autoSpaceDN w:val="0"/>
      <w:jc w:val="both"/>
    </w:pPr>
  </w:style>
  <w:style w:type="paragraph" w:customStyle="1" w:styleId="Style28">
    <w:name w:val="Style 28"/>
    <w:basedOn w:val="Normal"/>
    <w:rsid w:val="00CB1752"/>
    <w:pPr>
      <w:widowControl w:val="0"/>
      <w:autoSpaceDE w:val="0"/>
      <w:autoSpaceDN w:val="0"/>
      <w:spacing w:line="240" w:lineRule="exact"/>
      <w:ind w:right="72"/>
      <w:jc w:val="both"/>
    </w:pPr>
  </w:style>
  <w:style w:type="paragraph" w:customStyle="1" w:styleId="Style29">
    <w:name w:val="Style 29"/>
    <w:basedOn w:val="Normal"/>
    <w:uiPriority w:val="99"/>
    <w:rsid w:val="00CB1752"/>
    <w:pPr>
      <w:widowControl w:val="0"/>
      <w:autoSpaceDE w:val="0"/>
      <w:autoSpaceDN w:val="0"/>
      <w:spacing w:before="252" w:line="240" w:lineRule="exact"/>
      <w:jc w:val="both"/>
    </w:pPr>
  </w:style>
  <w:style w:type="paragraph" w:styleId="BalloonText">
    <w:name w:val="Balloon Text"/>
    <w:basedOn w:val="Normal"/>
    <w:semiHidden/>
    <w:rsid w:val="00F70E78"/>
    <w:rPr>
      <w:rFonts w:ascii="Tahoma" w:hAnsi="Tahoma" w:cs="Tahoma"/>
      <w:sz w:val="16"/>
      <w:szCs w:val="16"/>
    </w:rPr>
  </w:style>
  <w:style w:type="paragraph" w:styleId="BodyTextIndent">
    <w:name w:val="Body Text Indent"/>
    <w:basedOn w:val="Normal"/>
    <w:link w:val="BodyTextIndentChar"/>
    <w:rsid w:val="0075459C"/>
    <w:pPr>
      <w:ind w:firstLine="720"/>
      <w:jc w:val="both"/>
    </w:pPr>
    <w:rPr>
      <w:rFonts w:ascii="Univers" w:hAnsi="Univers"/>
      <w:sz w:val="22"/>
      <w:szCs w:val="20"/>
      <w:lang w:val="es-AR"/>
    </w:rPr>
  </w:style>
  <w:style w:type="character" w:customStyle="1" w:styleId="BodyTextIndentChar">
    <w:name w:val="Body Text Indent Char"/>
    <w:link w:val="BodyTextIndent"/>
    <w:rsid w:val="0075459C"/>
    <w:rPr>
      <w:rFonts w:ascii="Univers" w:hAnsi="Univers"/>
      <w:sz w:val="22"/>
      <w:lang w:val="es-AR" w:eastAsia="en-US" w:bidi="ar-SA"/>
    </w:rPr>
  </w:style>
  <w:style w:type="character" w:styleId="Hyperlink">
    <w:name w:val="Hyperlink"/>
    <w:uiPriority w:val="99"/>
    <w:rsid w:val="005F6DC5"/>
    <w:rPr>
      <w:color w:val="0000FF"/>
      <w:u w:val="single"/>
    </w:rPr>
  </w:style>
  <w:style w:type="paragraph" w:customStyle="1" w:styleId="Style11">
    <w:name w:val="Style 11"/>
    <w:basedOn w:val="Normal"/>
    <w:rsid w:val="005F6DC5"/>
    <w:pPr>
      <w:widowControl w:val="0"/>
      <w:autoSpaceDE w:val="0"/>
      <w:autoSpaceDN w:val="0"/>
      <w:ind w:right="72"/>
      <w:jc w:val="both"/>
    </w:pPr>
  </w:style>
  <w:style w:type="paragraph" w:customStyle="1" w:styleId="Style3">
    <w:name w:val="Style 3"/>
    <w:basedOn w:val="Normal"/>
    <w:rsid w:val="005F6DC5"/>
    <w:pPr>
      <w:widowControl w:val="0"/>
      <w:autoSpaceDE w:val="0"/>
      <w:autoSpaceDN w:val="0"/>
      <w:jc w:val="both"/>
    </w:pPr>
  </w:style>
  <w:style w:type="character" w:customStyle="1" w:styleId="st1">
    <w:name w:val="st1"/>
    <w:basedOn w:val="DefaultParagraphFont"/>
    <w:rsid w:val="005F6DC5"/>
  </w:style>
  <w:style w:type="paragraph" w:customStyle="1" w:styleId="Style14">
    <w:name w:val="Style 14"/>
    <w:basedOn w:val="Normal"/>
    <w:rsid w:val="005F6DC5"/>
    <w:pPr>
      <w:widowControl w:val="0"/>
      <w:autoSpaceDE w:val="0"/>
      <w:autoSpaceDN w:val="0"/>
      <w:adjustRightInd w:val="0"/>
    </w:pPr>
  </w:style>
  <w:style w:type="paragraph" w:customStyle="1" w:styleId="Style15">
    <w:name w:val="Style 15"/>
    <w:basedOn w:val="Normal"/>
    <w:rsid w:val="005F6DC5"/>
    <w:pPr>
      <w:widowControl w:val="0"/>
      <w:autoSpaceDE w:val="0"/>
      <w:autoSpaceDN w:val="0"/>
      <w:jc w:val="both"/>
    </w:pPr>
  </w:style>
  <w:style w:type="paragraph" w:customStyle="1" w:styleId="Style22">
    <w:name w:val="Style 22"/>
    <w:basedOn w:val="Normal"/>
    <w:rsid w:val="005F6DC5"/>
    <w:pPr>
      <w:widowControl w:val="0"/>
      <w:autoSpaceDE w:val="0"/>
      <w:autoSpaceDN w:val="0"/>
      <w:ind w:left="144"/>
      <w:jc w:val="both"/>
    </w:pPr>
  </w:style>
  <w:style w:type="paragraph" w:styleId="Header">
    <w:name w:val="header"/>
    <w:aliases w:val="encabezado"/>
    <w:basedOn w:val="Normal"/>
    <w:link w:val="HeaderChar"/>
    <w:rsid w:val="005F6DC5"/>
    <w:pPr>
      <w:tabs>
        <w:tab w:val="center" w:pos="4320"/>
        <w:tab w:val="right" w:pos="8640"/>
      </w:tabs>
    </w:pPr>
  </w:style>
  <w:style w:type="paragraph" w:customStyle="1" w:styleId="Style19">
    <w:name w:val="Style 19"/>
    <w:basedOn w:val="Normal"/>
    <w:rsid w:val="005F6DC5"/>
    <w:pPr>
      <w:widowControl w:val="0"/>
      <w:autoSpaceDE w:val="0"/>
      <w:autoSpaceDN w:val="0"/>
      <w:spacing w:line="240" w:lineRule="exact"/>
      <w:jc w:val="both"/>
    </w:pPr>
  </w:style>
  <w:style w:type="character" w:styleId="HTMLCite">
    <w:name w:val="HTML Cite"/>
    <w:rsid w:val="005F6DC5"/>
    <w:rPr>
      <w:i/>
      <w:iCs/>
    </w:rPr>
  </w:style>
  <w:style w:type="character" w:styleId="Emphasis">
    <w:name w:val="Emphasis"/>
    <w:qFormat/>
    <w:rsid w:val="005F6DC5"/>
    <w:rPr>
      <w:b/>
      <w:bCs/>
      <w:i w:val="0"/>
      <w:iCs w:val="0"/>
    </w:rPr>
  </w:style>
  <w:style w:type="character" w:customStyle="1" w:styleId="FootnoteTex">
    <w:name w:val="Footnote Tex"/>
    <w:rsid w:val="005F6DC5"/>
    <w:rPr>
      <w:rFonts w:ascii="Times New Roman" w:hAnsi="Times New Roman" w:cs="Times New Roman" w:hint="default"/>
      <w:sz w:val="20"/>
      <w:lang w:val="en-US"/>
    </w:rPr>
  </w:style>
  <w:style w:type="paragraph" w:customStyle="1" w:styleId="ListParagraph1">
    <w:name w:val="List Paragraph1"/>
    <w:aliases w:val="Colorful List - Accent 11"/>
    <w:basedOn w:val="Normal"/>
    <w:link w:val="ListParagraphChar"/>
    <w:uiPriority w:val="34"/>
    <w:qFormat/>
    <w:rsid w:val="0091124F"/>
    <w:pPr>
      <w:ind w:left="720"/>
    </w:pPr>
  </w:style>
  <w:style w:type="character" w:customStyle="1" w:styleId="Heading4Char">
    <w:name w:val="Heading 4 Char"/>
    <w:link w:val="Heading4"/>
    <w:semiHidden/>
    <w:rsid w:val="00EA077D"/>
    <w:rPr>
      <w:rFonts w:ascii="Calibri" w:eastAsia="Times New Roman" w:hAnsi="Calibri" w:cs="Times New Roman"/>
      <w:b/>
      <w:bCs/>
      <w:sz w:val="28"/>
      <w:szCs w:val="28"/>
    </w:rPr>
  </w:style>
  <w:style w:type="paragraph" w:customStyle="1" w:styleId="Sangradetindependiente">
    <w:name w:val="SangrÌa de t. independiente"/>
    <w:basedOn w:val="Normal"/>
    <w:rsid w:val="009B6593"/>
    <w:pPr>
      <w:suppressAutoHyphens/>
      <w:spacing w:line="360" w:lineRule="atLeast"/>
    </w:pPr>
    <w:rPr>
      <w:rFonts w:ascii="Garamond" w:hAnsi="Garamond"/>
      <w:szCs w:val="20"/>
      <w:lang w:val="es-ES_tradnl" w:eastAsia="ar-SA"/>
    </w:rPr>
  </w:style>
  <w:style w:type="character" w:customStyle="1" w:styleId="WW-FootnoteCharacters">
    <w:name w:val="WW-Footnote Characters"/>
    <w:rsid w:val="009B6593"/>
    <w:rPr>
      <w:vertAlign w:val="superscript"/>
    </w:rPr>
  </w:style>
  <w:style w:type="character" w:customStyle="1" w:styleId="FootnoteTextChar1">
    <w:name w:val="Footnote Text Char1"/>
    <w:aliases w:val="Footnote Text Char Char Char Char Char Char1,Footnote Text Char Char Char Char Char2,FA Fu Char1,Footnote reference Char1,NOTA AL PIE TESIS PUCP Char1,Footnote Text Char Char Char Char2,Footnote Text Cha Char1,FA Fußnotentext Char1"/>
    <w:uiPriority w:val="99"/>
    <w:semiHidden/>
    <w:locked/>
    <w:rsid w:val="00905621"/>
    <w:rPr>
      <w:sz w:val="20"/>
      <w:szCs w:val="20"/>
      <w:lang w:val="es-SV"/>
    </w:rPr>
  </w:style>
  <w:style w:type="paragraph" w:customStyle="1" w:styleId="PrrafodeSentencia">
    <w:name w:val="*. Párrafo de Sentencia"/>
    <w:basedOn w:val="Normal"/>
    <w:link w:val="PrrafodeSentenciaChar"/>
    <w:autoRedefine/>
    <w:qFormat/>
    <w:rsid w:val="00A11E3C"/>
    <w:pPr>
      <w:ind w:left="1260" w:hanging="540"/>
      <w:jc w:val="both"/>
      <w:outlineLvl w:val="2"/>
    </w:pPr>
    <w:rPr>
      <w:rFonts w:ascii="Calibri" w:eastAsia="Batang" w:hAnsi="Calibri"/>
      <w:b/>
      <w:sz w:val="20"/>
      <w:szCs w:val="20"/>
      <w:lang w:val="es-MX" w:eastAsia="es-MX"/>
    </w:rPr>
  </w:style>
  <w:style w:type="character" w:customStyle="1" w:styleId="PrrafodeSentenciaChar">
    <w:name w:val="*. Párrafo de Sentencia Char"/>
    <w:link w:val="PrrafodeSentencia"/>
    <w:rsid w:val="00A11E3C"/>
    <w:rPr>
      <w:rFonts w:ascii="Calibri" w:eastAsia="Batang" w:hAnsi="Calibri"/>
      <w:b/>
      <w:lang w:val="es-MX" w:eastAsia="es-MX"/>
    </w:rPr>
  </w:style>
  <w:style w:type="paragraph" w:styleId="NormalWeb">
    <w:name w:val="Normal (Web)"/>
    <w:basedOn w:val="Normal"/>
    <w:rsid w:val="0080466B"/>
    <w:pPr>
      <w:spacing w:before="100" w:beforeAutospacing="1" w:after="100" w:afterAutospacing="1"/>
    </w:pPr>
  </w:style>
  <w:style w:type="paragraph" w:styleId="BodyText3">
    <w:name w:val="Body Text 3"/>
    <w:basedOn w:val="Normal"/>
    <w:rsid w:val="00BA2B3A"/>
    <w:pPr>
      <w:spacing w:after="120"/>
    </w:pPr>
    <w:rPr>
      <w:rFonts w:ascii="Univers" w:hAnsi="Univers"/>
      <w:sz w:val="16"/>
      <w:szCs w:val="16"/>
      <w:lang w:val="es-ES_tradnl"/>
    </w:rPr>
  </w:style>
  <w:style w:type="paragraph" w:styleId="Footer">
    <w:name w:val="footer"/>
    <w:basedOn w:val="Normal"/>
    <w:link w:val="FooterChar"/>
    <w:uiPriority w:val="99"/>
    <w:rsid w:val="002E12F3"/>
    <w:pPr>
      <w:tabs>
        <w:tab w:val="center" w:pos="4320"/>
        <w:tab w:val="right" w:pos="8640"/>
      </w:tabs>
    </w:pPr>
  </w:style>
  <w:style w:type="character" w:styleId="PageNumber">
    <w:name w:val="page number"/>
    <w:basedOn w:val="DefaultParagraphFont"/>
    <w:rsid w:val="002E12F3"/>
  </w:style>
  <w:style w:type="paragraph" w:styleId="TOC1">
    <w:name w:val="toc 1"/>
    <w:basedOn w:val="Normal"/>
    <w:next w:val="Normal"/>
    <w:autoRedefine/>
    <w:uiPriority w:val="39"/>
    <w:rsid w:val="00DF00E3"/>
    <w:pPr>
      <w:tabs>
        <w:tab w:val="left" w:pos="720"/>
        <w:tab w:val="right" w:leader="dot" w:pos="9350"/>
      </w:tabs>
      <w:ind w:left="720" w:hanging="720"/>
      <w:jc w:val="both"/>
    </w:pPr>
    <w:rPr>
      <w:rFonts w:ascii="Calibri" w:hAnsi="Calibri"/>
      <w:sz w:val="22"/>
    </w:rPr>
  </w:style>
  <w:style w:type="paragraph" w:styleId="TOC2">
    <w:name w:val="toc 2"/>
    <w:basedOn w:val="Normal"/>
    <w:next w:val="Normal"/>
    <w:autoRedefine/>
    <w:uiPriority w:val="39"/>
    <w:rsid w:val="00AA15B5"/>
    <w:pPr>
      <w:tabs>
        <w:tab w:val="left" w:pos="1440"/>
        <w:tab w:val="right" w:leader="dot" w:pos="9350"/>
      </w:tabs>
      <w:ind w:left="1440" w:hanging="720"/>
    </w:pPr>
  </w:style>
  <w:style w:type="paragraph" w:styleId="TOC3">
    <w:name w:val="toc 3"/>
    <w:basedOn w:val="Normal"/>
    <w:next w:val="Normal"/>
    <w:link w:val="TOC3Char"/>
    <w:autoRedefine/>
    <w:uiPriority w:val="39"/>
    <w:rsid w:val="00D04916"/>
    <w:pPr>
      <w:tabs>
        <w:tab w:val="left" w:pos="720"/>
        <w:tab w:val="left" w:pos="1440"/>
        <w:tab w:val="right" w:leader="dot" w:pos="9350"/>
      </w:tabs>
      <w:ind w:left="1440" w:hanging="720"/>
      <w:jc w:val="both"/>
    </w:pPr>
    <w:rPr>
      <w:rFonts w:ascii="Calibri" w:hAnsi="Calibri"/>
      <w:b/>
      <w:sz w:val="20"/>
      <w:szCs w:val="20"/>
      <w:lang w:val="es-MX"/>
    </w:rPr>
  </w:style>
  <w:style w:type="character" w:customStyle="1" w:styleId="Heading1Char">
    <w:name w:val="Heading 1 Char"/>
    <w:link w:val="Heading1"/>
    <w:rsid w:val="0040380F"/>
    <w:rPr>
      <w:rFonts w:eastAsia="MS Mincho"/>
      <w:b/>
      <w:bCs/>
      <w:kern w:val="36"/>
      <w:sz w:val="22"/>
      <w:szCs w:val="22"/>
    </w:rPr>
  </w:style>
  <w:style w:type="character" w:styleId="CommentReference">
    <w:name w:val="annotation reference"/>
    <w:rsid w:val="00F84858"/>
    <w:rPr>
      <w:sz w:val="16"/>
      <w:szCs w:val="16"/>
    </w:rPr>
  </w:style>
  <w:style w:type="paragraph" w:styleId="CommentText">
    <w:name w:val="annotation text"/>
    <w:basedOn w:val="Normal"/>
    <w:link w:val="CommentTextChar"/>
    <w:rsid w:val="00F84858"/>
    <w:rPr>
      <w:sz w:val="20"/>
      <w:szCs w:val="20"/>
    </w:rPr>
  </w:style>
  <w:style w:type="character" w:customStyle="1" w:styleId="CommentTextChar">
    <w:name w:val="Comment Text Char"/>
    <w:basedOn w:val="DefaultParagraphFont"/>
    <w:link w:val="CommentText"/>
    <w:rsid w:val="00F84858"/>
  </w:style>
  <w:style w:type="paragraph" w:styleId="CommentSubject">
    <w:name w:val="annotation subject"/>
    <w:basedOn w:val="CommentText"/>
    <w:next w:val="CommentText"/>
    <w:link w:val="CommentSubjectChar"/>
    <w:rsid w:val="00F84858"/>
    <w:rPr>
      <w:b/>
      <w:bCs/>
    </w:rPr>
  </w:style>
  <w:style w:type="character" w:customStyle="1" w:styleId="CommentSubjectChar">
    <w:name w:val="Comment Subject Char"/>
    <w:link w:val="CommentSubject"/>
    <w:rsid w:val="00F84858"/>
    <w:rPr>
      <w:b/>
      <w:bCs/>
    </w:rPr>
  </w:style>
  <w:style w:type="character" w:styleId="Strong">
    <w:name w:val="Strong"/>
    <w:qFormat/>
    <w:rsid w:val="00691227"/>
    <w:rPr>
      <w:b/>
      <w:bCs/>
    </w:rPr>
  </w:style>
  <w:style w:type="character" w:customStyle="1" w:styleId="st">
    <w:name w:val="st"/>
    <w:rsid w:val="00747BF6"/>
  </w:style>
  <w:style w:type="character" w:customStyle="1" w:styleId="BodyTextCharCarCarCarCarCarCarCarCarCarCarCarCarCarCarCarCarCarCarCarCarCarCarCarCarCarCarCarCarCarCarCarCarCarCarCarCarCa">
    <w:name w:val="Body Text Char Car Car Car Car Car Car Car Car Car Car Car Car Car Car Car Car Car Car Car Car Car Car Car Car Car Car Car Car Car Car Car Car Car Car Car Car Ca"/>
    <w:rsid w:val="00C6180F"/>
    <w:rPr>
      <w:rFonts w:ascii="Times New Roman" w:hAnsi="Times New Roman" w:cs="Times New Roman"/>
      <w:sz w:val="24"/>
      <w:szCs w:val="24"/>
      <w:lang w:val="es-ES" w:eastAsia="es-ES"/>
    </w:rPr>
  </w:style>
  <w:style w:type="character" w:customStyle="1" w:styleId="HeaderChar">
    <w:name w:val="Header Char"/>
    <w:aliases w:val="encabezado Char"/>
    <w:link w:val="Header"/>
    <w:uiPriority w:val="99"/>
    <w:rsid w:val="00EA5E48"/>
    <w:rPr>
      <w:sz w:val="24"/>
      <w:szCs w:val="24"/>
    </w:rPr>
  </w:style>
  <w:style w:type="character" w:customStyle="1" w:styleId="Heading3Char">
    <w:name w:val="Heading 3 Char"/>
    <w:link w:val="Heading3"/>
    <w:rsid w:val="000B11B2"/>
    <w:rPr>
      <w:rFonts w:ascii="Cambria" w:eastAsia="Times New Roman" w:hAnsi="Cambria"/>
      <w:b/>
      <w:bCs/>
      <w:lang w:val="es-ES_tradnl"/>
    </w:rPr>
  </w:style>
  <w:style w:type="paragraph" w:customStyle="1" w:styleId="Style10">
    <w:name w:val="Style1"/>
    <w:basedOn w:val="TOC3"/>
    <w:link w:val="Style1Char"/>
    <w:qFormat/>
    <w:rsid w:val="005358B9"/>
    <w:pPr>
      <w:outlineLvl w:val="0"/>
    </w:pPr>
    <w:rPr>
      <w:sz w:val="22"/>
      <w:szCs w:val="22"/>
    </w:rPr>
  </w:style>
  <w:style w:type="paragraph" w:styleId="TOC4">
    <w:name w:val="toc 4"/>
    <w:basedOn w:val="Normal"/>
    <w:next w:val="Normal"/>
    <w:autoRedefine/>
    <w:uiPriority w:val="39"/>
    <w:rsid w:val="006B4EEC"/>
    <w:pPr>
      <w:ind w:left="720"/>
    </w:pPr>
  </w:style>
  <w:style w:type="character" w:customStyle="1" w:styleId="TOC3Char">
    <w:name w:val="TOC 3 Char"/>
    <w:link w:val="TOC3"/>
    <w:uiPriority w:val="39"/>
    <w:rsid w:val="00D04916"/>
    <w:rPr>
      <w:rFonts w:ascii="Calibri" w:hAnsi="Calibri"/>
      <w:b/>
      <w:lang w:val="es-MX"/>
    </w:rPr>
  </w:style>
  <w:style w:type="character" w:customStyle="1" w:styleId="Style1Char">
    <w:name w:val="Style1 Char"/>
    <w:link w:val="Style10"/>
    <w:rsid w:val="005358B9"/>
    <w:rPr>
      <w:rFonts w:ascii="Calibri" w:eastAsia="MS Mincho" w:hAnsi="Calibri"/>
      <w:b/>
      <w:sz w:val="22"/>
      <w:szCs w:val="22"/>
      <w:lang w:val="es-MX"/>
    </w:rPr>
  </w:style>
  <w:style w:type="numbering" w:customStyle="1" w:styleId="List7">
    <w:name w:val="List 7"/>
    <w:basedOn w:val="NoList"/>
    <w:rsid w:val="00D142E1"/>
    <w:pPr>
      <w:numPr>
        <w:numId w:val="8"/>
      </w:numPr>
    </w:pPr>
  </w:style>
  <w:style w:type="character" w:customStyle="1" w:styleId="FooterChar">
    <w:name w:val="Footer Char"/>
    <w:link w:val="Footer"/>
    <w:uiPriority w:val="99"/>
    <w:rsid w:val="00D142E1"/>
    <w:rPr>
      <w:sz w:val="24"/>
      <w:szCs w:val="24"/>
    </w:rPr>
  </w:style>
  <w:style w:type="character" w:customStyle="1" w:styleId="ListParagraphChar">
    <w:name w:val="List Paragraph Char"/>
    <w:aliases w:val="Colorful List - Accent 11 Char"/>
    <w:link w:val="ListParagraph1"/>
    <w:uiPriority w:val="34"/>
    <w:locked/>
    <w:rsid w:val="006655CC"/>
    <w:rPr>
      <w:sz w:val="24"/>
      <w:szCs w:val="24"/>
    </w:rPr>
  </w:style>
  <w:style w:type="paragraph" w:styleId="ListParagraph">
    <w:name w:val="List Paragraph"/>
    <w:basedOn w:val="Normal"/>
    <w:uiPriority w:val="34"/>
    <w:qFormat/>
    <w:rsid w:val="001A3698"/>
    <w:pPr>
      <w:ind w:left="720"/>
    </w:pPr>
  </w:style>
  <w:style w:type="paragraph" w:customStyle="1" w:styleId="1">
    <w:name w:val="1"/>
    <w:basedOn w:val="Normal"/>
    <w:link w:val="FootnoteReference"/>
    <w:rsid w:val="0006526B"/>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es.wikipedia.org/wiki/Par%C3%A9ntesis" TargetMode="External"/><Relationship Id="rId26" Type="http://schemas.openxmlformats.org/officeDocument/2006/relationships/hyperlink" Target="http://es.wikipedia.org/wiki/Par%C3%A9ntesi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s.wikipedia.org/wiki/Par%C3%A9ntesis" TargetMode="External"/><Relationship Id="rId34" Type="http://schemas.openxmlformats.org/officeDocument/2006/relationships/hyperlink" Target="http://es.wikipedia.org/wiki/Par%C3%A9ntesi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es.wikipedia.org/wiki/Par%C3%A9ntesis" TargetMode="External"/><Relationship Id="rId33" Type="http://schemas.openxmlformats.org/officeDocument/2006/relationships/hyperlink" Target="http://es.wikipedia.org/wiki/Par%C3%A9ntesis" TargetMode="External"/><Relationship Id="rId38" Type="http://schemas.openxmlformats.org/officeDocument/2006/relationships/hyperlink" Target="http://es.wikipedia.org/wiki/Par%C3%A9ntesi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s.wikipedia.org/wiki/Par%C3%A9ntesis" TargetMode="External"/><Relationship Id="rId29" Type="http://schemas.openxmlformats.org/officeDocument/2006/relationships/hyperlink" Target="http://es.wikipedia.org/wiki/Par%C3%A9ntes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es.wikipedia.org/wiki/Par%C3%A9ntesis" TargetMode="External"/><Relationship Id="rId32" Type="http://schemas.openxmlformats.org/officeDocument/2006/relationships/hyperlink" Target="http://es.wikipedia.org/wiki/Par%C3%A9ntesis" TargetMode="External"/><Relationship Id="rId37" Type="http://schemas.openxmlformats.org/officeDocument/2006/relationships/hyperlink" Target="http://es.wikipedia.org/wiki/Par%C3%A9ntesis"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es.wikipedia.org/wiki/Par%C3%A9ntesis" TargetMode="External"/><Relationship Id="rId28" Type="http://schemas.openxmlformats.org/officeDocument/2006/relationships/hyperlink" Target="http://es.wikipedia.org/wiki/Par%C3%A9ntesis" TargetMode="External"/><Relationship Id="rId36" Type="http://schemas.openxmlformats.org/officeDocument/2006/relationships/hyperlink" Target="http://es.wikipedia.org/wiki/Par%C3%A9ntesis" TargetMode="External"/><Relationship Id="rId10" Type="http://schemas.openxmlformats.org/officeDocument/2006/relationships/image" Target="media/image2.jpeg"/><Relationship Id="rId19" Type="http://schemas.openxmlformats.org/officeDocument/2006/relationships/hyperlink" Target="http://es.wikipedia.org/wiki/Par%C3%A9ntesis" TargetMode="External"/><Relationship Id="rId31" Type="http://schemas.openxmlformats.org/officeDocument/2006/relationships/hyperlink" Target="http://es.wikipedia.org/wiki/Par%C3%A9ntesi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es.wikipedia.org/wiki/Par%C3%A9ntesis" TargetMode="External"/><Relationship Id="rId27" Type="http://schemas.openxmlformats.org/officeDocument/2006/relationships/hyperlink" Target="http://es.wikipedia.org/wiki/Par%C3%A9ntesis" TargetMode="External"/><Relationship Id="rId30" Type="http://schemas.openxmlformats.org/officeDocument/2006/relationships/hyperlink" Target="http://es.wikipedia.org/wiki/Par%C3%A9ntesis" TargetMode="External"/><Relationship Id="rId35" Type="http://schemas.openxmlformats.org/officeDocument/2006/relationships/hyperlink" Target="http://es.wikipedia.org/wiki/Par%C3%A9ntesi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s.wikipedia.org/wiki/Par%C3%A9ntesis" TargetMode="External"/><Relationship Id="rId13" Type="http://schemas.openxmlformats.org/officeDocument/2006/relationships/hyperlink" Target="http://www.bjdh.org.mx/interamericano/busqueda" TargetMode="External"/><Relationship Id="rId18" Type="http://schemas.openxmlformats.org/officeDocument/2006/relationships/hyperlink" Target="http://www.oas.org/es/cidh/defensores/docs/pdf/defensores2011.pdf" TargetMode="External"/><Relationship Id="rId3" Type="http://schemas.openxmlformats.org/officeDocument/2006/relationships/hyperlink" Target="http://www.workers.org/ww/2002/nicaletter0502.php" TargetMode="External"/><Relationship Id="rId7" Type="http://schemas.openxmlformats.org/officeDocument/2006/relationships/hyperlink" Target="http://calpi.nativeweb.org/cronos.html" TargetMode="External"/><Relationship Id="rId12" Type="http://schemas.openxmlformats.org/officeDocument/2006/relationships/hyperlink" Target="http://joomla.corteidh.or.cr:8080/joomla/es/casos-contenciosos/38-jurisprudencia/1572-corte-idh-caso-gonzalez-medina-y-familiares-vs-republica-dominicana-excepciones-preliminares-fondo-reparaciones-y-costas-sentencia-de-27-de-febrero-de-2012-serie-c-no-240" TargetMode="External"/><Relationship Id="rId17" Type="http://schemas.openxmlformats.org/officeDocument/2006/relationships/hyperlink" Target="http://www.oas.org/es/cidh/defensores/docs/pdf/defensores2011.pdf" TargetMode="External"/><Relationship Id="rId2" Type="http://schemas.openxmlformats.org/officeDocument/2006/relationships/hyperlink" Target="http://www.workers.org/ww/2002/nicaletter0502.php" TargetMode="External"/><Relationship Id="rId16" Type="http://schemas.openxmlformats.org/officeDocument/2006/relationships/hyperlink" Target="http://www.oas.org/es/cidh/defensores/docs/pdf/defensores2011.pdf" TargetMode="External"/><Relationship Id="rId1" Type="http://schemas.openxmlformats.org/officeDocument/2006/relationships/hyperlink" Target="http://calpi.nativeweb.org/quiensomos.htm" TargetMode="External"/><Relationship Id="rId6" Type="http://schemas.openxmlformats.org/officeDocument/2006/relationships/hyperlink" Target="http://calpi.nativeweb.org/cronos.html" TargetMode="External"/><Relationship Id="rId11" Type="http://schemas.openxmlformats.org/officeDocument/2006/relationships/hyperlink" Target="http://www.hchr.org.mx/documentos/libros/informepdf.pdf" TargetMode="External"/><Relationship Id="rId5" Type="http://schemas.openxmlformats.org/officeDocument/2006/relationships/hyperlink" Target="http://www.hartford-hwp.com/archives/47/402.html" TargetMode="External"/><Relationship Id="rId15" Type="http://schemas.openxmlformats.org/officeDocument/2006/relationships/hyperlink" Target="http://www.oas.org/es/cidh/defensores/docs/pdf/defensores2011.pdf" TargetMode="External"/><Relationship Id="rId10" Type="http://schemas.openxmlformats.org/officeDocument/2006/relationships/hyperlink" Target="http://www.bjdh.org.mx/BJDH/busqueda" TargetMode="External"/><Relationship Id="rId4" Type="http://schemas.openxmlformats.org/officeDocument/2006/relationships/hyperlink" Target="http://www.workers.org/ww/2002/nicaletter0502.php" TargetMode="External"/><Relationship Id="rId9" Type="http://schemas.openxmlformats.org/officeDocument/2006/relationships/hyperlink" Target="http://es.wikipedia.org/wiki/Par%C3%A9ntesis" TargetMode="External"/><Relationship Id="rId14" Type="http://schemas.openxmlformats.org/officeDocument/2006/relationships/hyperlink" Target="http://www.bjdh.org.mx/BJDH/busqued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54AE2-83AA-4D42-8CDF-5FE5A241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16569</Words>
  <Characters>94448</Characters>
  <Application>Microsoft Office Word</Application>
  <DocSecurity>0</DocSecurity>
  <Lines>787</Lines>
  <Paragraphs>221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POSICIONES DE LAS PARTES SOBRE EL FONDO</vt:lpstr>
      <vt:lpstr>    </vt:lpstr>
      <vt:lpstr>I.	RESUMEN</vt:lpstr>
      <vt:lpstr>II. 	TRÁMITE ANTE LA COMISIÓN POSTERIOR A LA APROBACIÓN DEL INFORME DE ADMISIBIL</vt:lpstr>
      <vt:lpstr>III.	POSICIONES DE LAS PARTES </vt:lpstr>
      <vt:lpstr>    Posición de los peticionarios </vt:lpstr>
      <vt:lpstr>    B.	Posición del Estado</vt:lpstr>
      <vt:lpstr>IV.	ANÁLISIS DE FONDO</vt:lpstr>
      <vt:lpstr>    A.	Hechos probados</vt:lpstr>
      <vt:lpstr>        Sobre la labor de María Luisa Acosta</vt:lpstr>
      <vt:lpstr>        2.	El asesinato del señor Francisco José García Valle</vt:lpstr>
      <vt:lpstr>        3.	La investigación y proceso judicial sobre el asesinato del señor Francisco Ga</vt:lpstr>
      <vt:lpstr>        4. 	Procesos incoados por Peter Tsokos y Peter Martínez contra María Luisa Acost</vt:lpstr>
      <vt:lpstr>        5.	Quejas ante la Comisión de Régimen Disciplinario de la Corte Suprema de Justi</vt:lpstr>
      <vt:lpstr>        6.	Consecuencias del asesinato del señor Francisco García Valle en el ambiente f</vt:lpstr>
      <vt:lpstr>V.	ANÁLISIS DE DERECHO</vt:lpstr>
      <vt:lpstr>    A.	Derecho a las garantías judiciales y protección judicial (Artículos 8.1  y 25</vt:lpstr>
      <vt:lpstr>        Sobre el deber de investigar con la debida diligencia </vt:lpstr>
      <vt:lpstr>        </vt:lpstr>
      <vt:lpstr>        El derecho a una investigación en un plazo razonable sobre la muerte de Francisc</vt:lpstr>
      <vt:lpstr>        4.	Conclusión</vt:lpstr>
      <vt:lpstr>    B.	Derecho a las garantías judiciales y la protección judicial (Artículos 8.1 y </vt:lpstr>
      <vt:lpstr>        1. 	La investigación penal por el supuesto encubrimiento de la investigación del</vt:lpstr>
      <vt:lpstr>        La investigación penal por los delitos de “falso testimonio y denuncia falsa” y </vt:lpstr>
    </vt:vector>
  </TitlesOfParts>
  <Company/>
  <LinksUpToDate>false</LinksUpToDate>
  <CharactersWithSpaces>110796</CharactersWithSpaces>
  <SharedDoc>false</SharedDoc>
  <HLinks>
    <vt:vector size="426" baseType="variant">
      <vt:variant>
        <vt:i4>1704000</vt:i4>
      </vt:variant>
      <vt:variant>
        <vt:i4>207</vt:i4>
      </vt:variant>
      <vt:variant>
        <vt:i4>0</vt:i4>
      </vt:variant>
      <vt:variant>
        <vt:i4>5</vt:i4>
      </vt:variant>
      <vt:variant>
        <vt:lpwstr>http://es.wikipedia.org/wiki/Par%C3%A9ntesis</vt:lpwstr>
      </vt:variant>
      <vt:variant>
        <vt:lpwstr>Corchetes_.5B_.5D</vt:lpwstr>
      </vt:variant>
      <vt:variant>
        <vt:i4>1704000</vt:i4>
      </vt:variant>
      <vt:variant>
        <vt:i4>204</vt:i4>
      </vt:variant>
      <vt:variant>
        <vt:i4>0</vt:i4>
      </vt:variant>
      <vt:variant>
        <vt:i4>5</vt:i4>
      </vt:variant>
      <vt:variant>
        <vt:lpwstr>http://es.wikipedia.org/wiki/Par%C3%A9ntesis</vt:lpwstr>
      </vt:variant>
      <vt:variant>
        <vt:lpwstr>Corchetes_.5B_.5D</vt:lpwstr>
      </vt:variant>
      <vt:variant>
        <vt:i4>1704000</vt:i4>
      </vt:variant>
      <vt:variant>
        <vt:i4>201</vt:i4>
      </vt:variant>
      <vt:variant>
        <vt:i4>0</vt:i4>
      </vt:variant>
      <vt:variant>
        <vt:i4>5</vt:i4>
      </vt:variant>
      <vt:variant>
        <vt:lpwstr>http://es.wikipedia.org/wiki/Par%C3%A9ntesis</vt:lpwstr>
      </vt:variant>
      <vt:variant>
        <vt:lpwstr>Corchetes_.5B_.5D</vt:lpwstr>
      </vt:variant>
      <vt:variant>
        <vt:i4>1704000</vt:i4>
      </vt:variant>
      <vt:variant>
        <vt:i4>198</vt:i4>
      </vt:variant>
      <vt:variant>
        <vt:i4>0</vt:i4>
      </vt:variant>
      <vt:variant>
        <vt:i4>5</vt:i4>
      </vt:variant>
      <vt:variant>
        <vt:lpwstr>http://es.wikipedia.org/wiki/Par%C3%A9ntesis</vt:lpwstr>
      </vt:variant>
      <vt:variant>
        <vt:lpwstr>Corchetes_.5B_.5D</vt:lpwstr>
      </vt:variant>
      <vt:variant>
        <vt:i4>1704000</vt:i4>
      </vt:variant>
      <vt:variant>
        <vt:i4>195</vt:i4>
      </vt:variant>
      <vt:variant>
        <vt:i4>0</vt:i4>
      </vt:variant>
      <vt:variant>
        <vt:i4>5</vt:i4>
      </vt:variant>
      <vt:variant>
        <vt:lpwstr>http://es.wikipedia.org/wiki/Par%C3%A9ntesis</vt:lpwstr>
      </vt:variant>
      <vt:variant>
        <vt:lpwstr>Corchetes_.5B_.5D</vt:lpwstr>
      </vt:variant>
      <vt:variant>
        <vt:i4>1704000</vt:i4>
      </vt:variant>
      <vt:variant>
        <vt:i4>192</vt:i4>
      </vt:variant>
      <vt:variant>
        <vt:i4>0</vt:i4>
      </vt:variant>
      <vt:variant>
        <vt:i4>5</vt:i4>
      </vt:variant>
      <vt:variant>
        <vt:lpwstr>http://es.wikipedia.org/wiki/Par%C3%A9ntesis</vt:lpwstr>
      </vt:variant>
      <vt:variant>
        <vt:lpwstr>Corchetes_.5B_.5D</vt:lpwstr>
      </vt:variant>
      <vt:variant>
        <vt:i4>1704000</vt:i4>
      </vt:variant>
      <vt:variant>
        <vt:i4>189</vt:i4>
      </vt:variant>
      <vt:variant>
        <vt:i4>0</vt:i4>
      </vt:variant>
      <vt:variant>
        <vt:i4>5</vt:i4>
      </vt:variant>
      <vt:variant>
        <vt:lpwstr>http://es.wikipedia.org/wiki/Par%C3%A9ntesis</vt:lpwstr>
      </vt:variant>
      <vt:variant>
        <vt:lpwstr>Corchetes_.5B_.5D</vt:lpwstr>
      </vt:variant>
      <vt:variant>
        <vt:i4>1704000</vt:i4>
      </vt:variant>
      <vt:variant>
        <vt:i4>186</vt:i4>
      </vt:variant>
      <vt:variant>
        <vt:i4>0</vt:i4>
      </vt:variant>
      <vt:variant>
        <vt:i4>5</vt:i4>
      </vt:variant>
      <vt:variant>
        <vt:lpwstr>http://es.wikipedia.org/wiki/Par%C3%A9ntesis</vt:lpwstr>
      </vt:variant>
      <vt:variant>
        <vt:lpwstr>Corchetes_.5B_.5D</vt:lpwstr>
      </vt:variant>
      <vt:variant>
        <vt:i4>1704000</vt:i4>
      </vt:variant>
      <vt:variant>
        <vt:i4>183</vt:i4>
      </vt:variant>
      <vt:variant>
        <vt:i4>0</vt:i4>
      </vt:variant>
      <vt:variant>
        <vt:i4>5</vt:i4>
      </vt:variant>
      <vt:variant>
        <vt:lpwstr>http://es.wikipedia.org/wiki/Par%C3%A9ntesis</vt:lpwstr>
      </vt:variant>
      <vt:variant>
        <vt:lpwstr>Corchetes_.5B_.5D</vt:lpwstr>
      </vt:variant>
      <vt:variant>
        <vt:i4>1704000</vt:i4>
      </vt:variant>
      <vt:variant>
        <vt:i4>180</vt:i4>
      </vt:variant>
      <vt:variant>
        <vt:i4>0</vt:i4>
      </vt:variant>
      <vt:variant>
        <vt:i4>5</vt:i4>
      </vt:variant>
      <vt:variant>
        <vt:lpwstr>http://es.wikipedia.org/wiki/Par%C3%A9ntesis</vt:lpwstr>
      </vt:variant>
      <vt:variant>
        <vt:lpwstr>Corchetes_.5B_.5D</vt:lpwstr>
      </vt:variant>
      <vt:variant>
        <vt:i4>1704000</vt:i4>
      </vt:variant>
      <vt:variant>
        <vt:i4>177</vt:i4>
      </vt:variant>
      <vt:variant>
        <vt:i4>0</vt:i4>
      </vt:variant>
      <vt:variant>
        <vt:i4>5</vt:i4>
      </vt:variant>
      <vt:variant>
        <vt:lpwstr>http://es.wikipedia.org/wiki/Par%C3%A9ntesis</vt:lpwstr>
      </vt:variant>
      <vt:variant>
        <vt:lpwstr>Corchetes_.5B_.5D</vt:lpwstr>
      </vt:variant>
      <vt:variant>
        <vt:i4>1704000</vt:i4>
      </vt:variant>
      <vt:variant>
        <vt:i4>174</vt:i4>
      </vt:variant>
      <vt:variant>
        <vt:i4>0</vt:i4>
      </vt:variant>
      <vt:variant>
        <vt:i4>5</vt:i4>
      </vt:variant>
      <vt:variant>
        <vt:lpwstr>http://es.wikipedia.org/wiki/Par%C3%A9ntesis</vt:lpwstr>
      </vt:variant>
      <vt:variant>
        <vt:lpwstr>Corchetes_.5B_.5D</vt:lpwstr>
      </vt:variant>
      <vt:variant>
        <vt:i4>1704000</vt:i4>
      </vt:variant>
      <vt:variant>
        <vt:i4>171</vt:i4>
      </vt:variant>
      <vt:variant>
        <vt:i4>0</vt:i4>
      </vt:variant>
      <vt:variant>
        <vt:i4>5</vt:i4>
      </vt:variant>
      <vt:variant>
        <vt:lpwstr>http://es.wikipedia.org/wiki/Par%C3%A9ntesis</vt:lpwstr>
      </vt:variant>
      <vt:variant>
        <vt:lpwstr>Corchetes_.5B_.5D</vt:lpwstr>
      </vt:variant>
      <vt:variant>
        <vt:i4>1704000</vt:i4>
      </vt:variant>
      <vt:variant>
        <vt:i4>168</vt:i4>
      </vt:variant>
      <vt:variant>
        <vt:i4>0</vt:i4>
      </vt:variant>
      <vt:variant>
        <vt:i4>5</vt:i4>
      </vt:variant>
      <vt:variant>
        <vt:lpwstr>http://es.wikipedia.org/wiki/Par%C3%A9ntesis</vt:lpwstr>
      </vt:variant>
      <vt:variant>
        <vt:lpwstr>Corchetes_.5B_.5D</vt:lpwstr>
      </vt:variant>
      <vt:variant>
        <vt:i4>1704000</vt:i4>
      </vt:variant>
      <vt:variant>
        <vt:i4>165</vt:i4>
      </vt:variant>
      <vt:variant>
        <vt:i4>0</vt:i4>
      </vt:variant>
      <vt:variant>
        <vt:i4>5</vt:i4>
      </vt:variant>
      <vt:variant>
        <vt:lpwstr>http://es.wikipedia.org/wiki/Par%C3%A9ntesis</vt:lpwstr>
      </vt:variant>
      <vt:variant>
        <vt:lpwstr>Corchetes_.5B_.5D</vt:lpwstr>
      </vt:variant>
      <vt:variant>
        <vt:i4>1704000</vt:i4>
      </vt:variant>
      <vt:variant>
        <vt:i4>162</vt:i4>
      </vt:variant>
      <vt:variant>
        <vt:i4>0</vt:i4>
      </vt:variant>
      <vt:variant>
        <vt:i4>5</vt:i4>
      </vt:variant>
      <vt:variant>
        <vt:lpwstr>http://es.wikipedia.org/wiki/Par%C3%A9ntesis</vt:lpwstr>
      </vt:variant>
      <vt:variant>
        <vt:lpwstr>Corchetes_.5B_.5D</vt:lpwstr>
      </vt:variant>
      <vt:variant>
        <vt:i4>1704000</vt:i4>
      </vt:variant>
      <vt:variant>
        <vt:i4>159</vt:i4>
      </vt:variant>
      <vt:variant>
        <vt:i4>0</vt:i4>
      </vt:variant>
      <vt:variant>
        <vt:i4>5</vt:i4>
      </vt:variant>
      <vt:variant>
        <vt:lpwstr>http://es.wikipedia.org/wiki/Par%C3%A9ntesis</vt:lpwstr>
      </vt:variant>
      <vt:variant>
        <vt:lpwstr>Corchetes_.5B_.5D</vt:lpwstr>
      </vt:variant>
      <vt:variant>
        <vt:i4>1704000</vt:i4>
      </vt:variant>
      <vt:variant>
        <vt:i4>156</vt:i4>
      </vt:variant>
      <vt:variant>
        <vt:i4>0</vt:i4>
      </vt:variant>
      <vt:variant>
        <vt:i4>5</vt:i4>
      </vt:variant>
      <vt:variant>
        <vt:lpwstr>http://es.wikipedia.org/wiki/Par%C3%A9ntesis</vt:lpwstr>
      </vt:variant>
      <vt:variant>
        <vt:lpwstr>Corchetes_.5B_.5D</vt:lpwstr>
      </vt:variant>
      <vt:variant>
        <vt:i4>1704000</vt:i4>
      </vt:variant>
      <vt:variant>
        <vt:i4>153</vt:i4>
      </vt:variant>
      <vt:variant>
        <vt:i4>0</vt:i4>
      </vt:variant>
      <vt:variant>
        <vt:i4>5</vt:i4>
      </vt:variant>
      <vt:variant>
        <vt:lpwstr>http://es.wikipedia.org/wiki/Par%C3%A9ntesis</vt:lpwstr>
      </vt:variant>
      <vt:variant>
        <vt:lpwstr>Corchetes_.5B_.5D</vt:lpwstr>
      </vt:variant>
      <vt:variant>
        <vt:i4>1704000</vt:i4>
      </vt:variant>
      <vt:variant>
        <vt:i4>150</vt:i4>
      </vt:variant>
      <vt:variant>
        <vt:i4>0</vt:i4>
      </vt:variant>
      <vt:variant>
        <vt:i4>5</vt:i4>
      </vt:variant>
      <vt:variant>
        <vt:lpwstr>http://es.wikipedia.org/wiki/Par%C3%A9ntesis</vt:lpwstr>
      </vt:variant>
      <vt:variant>
        <vt:lpwstr>Corchetes_.5B_.5D</vt:lpwstr>
      </vt:variant>
      <vt:variant>
        <vt:i4>1704000</vt:i4>
      </vt:variant>
      <vt:variant>
        <vt:i4>147</vt:i4>
      </vt:variant>
      <vt:variant>
        <vt:i4>0</vt:i4>
      </vt:variant>
      <vt:variant>
        <vt:i4>5</vt:i4>
      </vt:variant>
      <vt:variant>
        <vt:lpwstr>http://es.wikipedia.org/wiki/Par%C3%A9ntesis</vt:lpwstr>
      </vt:variant>
      <vt:variant>
        <vt:lpwstr>Corchetes_.5B_.5D</vt:lpwstr>
      </vt:variant>
      <vt:variant>
        <vt:i4>1769522</vt:i4>
      </vt:variant>
      <vt:variant>
        <vt:i4>140</vt:i4>
      </vt:variant>
      <vt:variant>
        <vt:i4>0</vt:i4>
      </vt:variant>
      <vt:variant>
        <vt:i4>5</vt:i4>
      </vt:variant>
      <vt:variant>
        <vt:lpwstr/>
      </vt:variant>
      <vt:variant>
        <vt:lpwstr>_Toc412648036</vt:lpwstr>
      </vt:variant>
      <vt:variant>
        <vt:i4>1769522</vt:i4>
      </vt:variant>
      <vt:variant>
        <vt:i4>134</vt:i4>
      </vt:variant>
      <vt:variant>
        <vt:i4>0</vt:i4>
      </vt:variant>
      <vt:variant>
        <vt:i4>5</vt:i4>
      </vt:variant>
      <vt:variant>
        <vt:lpwstr/>
      </vt:variant>
      <vt:variant>
        <vt:lpwstr>_Toc412648035</vt:lpwstr>
      </vt:variant>
      <vt:variant>
        <vt:i4>1769522</vt:i4>
      </vt:variant>
      <vt:variant>
        <vt:i4>128</vt:i4>
      </vt:variant>
      <vt:variant>
        <vt:i4>0</vt:i4>
      </vt:variant>
      <vt:variant>
        <vt:i4>5</vt:i4>
      </vt:variant>
      <vt:variant>
        <vt:lpwstr/>
      </vt:variant>
      <vt:variant>
        <vt:lpwstr>_Toc412648034</vt:lpwstr>
      </vt:variant>
      <vt:variant>
        <vt:i4>1769522</vt:i4>
      </vt:variant>
      <vt:variant>
        <vt:i4>125</vt:i4>
      </vt:variant>
      <vt:variant>
        <vt:i4>0</vt:i4>
      </vt:variant>
      <vt:variant>
        <vt:i4>5</vt:i4>
      </vt:variant>
      <vt:variant>
        <vt:lpwstr/>
      </vt:variant>
      <vt:variant>
        <vt:lpwstr>_Toc412648032</vt:lpwstr>
      </vt:variant>
      <vt:variant>
        <vt:i4>1769522</vt:i4>
      </vt:variant>
      <vt:variant>
        <vt:i4>122</vt:i4>
      </vt:variant>
      <vt:variant>
        <vt:i4>0</vt:i4>
      </vt:variant>
      <vt:variant>
        <vt:i4>5</vt:i4>
      </vt:variant>
      <vt:variant>
        <vt:lpwstr/>
      </vt:variant>
      <vt:variant>
        <vt:lpwstr>_Toc412648031</vt:lpwstr>
      </vt:variant>
      <vt:variant>
        <vt:i4>1769522</vt:i4>
      </vt:variant>
      <vt:variant>
        <vt:i4>116</vt:i4>
      </vt:variant>
      <vt:variant>
        <vt:i4>0</vt:i4>
      </vt:variant>
      <vt:variant>
        <vt:i4>5</vt:i4>
      </vt:variant>
      <vt:variant>
        <vt:lpwstr/>
      </vt:variant>
      <vt:variant>
        <vt:lpwstr>_Toc412648030</vt:lpwstr>
      </vt:variant>
      <vt:variant>
        <vt:i4>1703986</vt:i4>
      </vt:variant>
      <vt:variant>
        <vt:i4>110</vt:i4>
      </vt:variant>
      <vt:variant>
        <vt:i4>0</vt:i4>
      </vt:variant>
      <vt:variant>
        <vt:i4>5</vt:i4>
      </vt:variant>
      <vt:variant>
        <vt:lpwstr/>
      </vt:variant>
      <vt:variant>
        <vt:lpwstr>_Toc412648029</vt:lpwstr>
      </vt:variant>
      <vt:variant>
        <vt:i4>1703986</vt:i4>
      </vt:variant>
      <vt:variant>
        <vt:i4>107</vt:i4>
      </vt:variant>
      <vt:variant>
        <vt:i4>0</vt:i4>
      </vt:variant>
      <vt:variant>
        <vt:i4>5</vt:i4>
      </vt:variant>
      <vt:variant>
        <vt:lpwstr/>
      </vt:variant>
      <vt:variant>
        <vt:lpwstr>_Toc412648028</vt:lpwstr>
      </vt:variant>
      <vt:variant>
        <vt:i4>1703986</vt:i4>
      </vt:variant>
      <vt:variant>
        <vt:i4>104</vt:i4>
      </vt:variant>
      <vt:variant>
        <vt:i4>0</vt:i4>
      </vt:variant>
      <vt:variant>
        <vt:i4>5</vt:i4>
      </vt:variant>
      <vt:variant>
        <vt:lpwstr/>
      </vt:variant>
      <vt:variant>
        <vt:lpwstr>_Toc412648027</vt:lpwstr>
      </vt:variant>
      <vt:variant>
        <vt:i4>1703986</vt:i4>
      </vt:variant>
      <vt:variant>
        <vt:i4>98</vt:i4>
      </vt:variant>
      <vt:variant>
        <vt:i4>0</vt:i4>
      </vt:variant>
      <vt:variant>
        <vt:i4>5</vt:i4>
      </vt:variant>
      <vt:variant>
        <vt:lpwstr/>
      </vt:variant>
      <vt:variant>
        <vt:lpwstr>_Toc412648026</vt:lpwstr>
      </vt:variant>
      <vt:variant>
        <vt:i4>1703986</vt:i4>
      </vt:variant>
      <vt:variant>
        <vt:i4>92</vt:i4>
      </vt:variant>
      <vt:variant>
        <vt:i4>0</vt:i4>
      </vt:variant>
      <vt:variant>
        <vt:i4>5</vt:i4>
      </vt:variant>
      <vt:variant>
        <vt:lpwstr/>
      </vt:variant>
      <vt:variant>
        <vt:lpwstr>_Toc412648025</vt:lpwstr>
      </vt:variant>
      <vt:variant>
        <vt:i4>1703986</vt:i4>
      </vt:variant>
      <vt:variant>
        <vt:i4>86</vt:i4>
      </vt:variant>
      <vt:variant>
        <vt:i4>0</vt:i4>
      </vt:variant>
      <vt:variant>
        <vt:i4>5</vt:i4>
      </vt:variant>
      <vt:variant>
        <vt:lpwstr/>
      </vt:variant>
      <vt:variant>
        <vt:lpwstr>_Toc412648024</vt:lpwstr>
      </vt:variant>
      <vt:variant>
        <vt:i4>1703986</vt:i4>
      </vt:variant>
      <vt:variant>
        <vt:i4>80</vt:i4>
      </vt:variant>
      <vt:variant>
        <vt:i4>0</vt:i4>
      </vt:variant>
      <vt:variant>
        <vt:i4>5</vt:i4>
      </vt:variant>
      <vt:variant>
        <vt:lpwstr/>
      </vt:variant>
      <vt:variant>
        <vt:lpwstr>_Toc412648023</vt:lpwstr>
      </vt:variant>
      <vt:variant>
        <vt:i4>1703986</vt:i4>
      </vt:variant>
      <vt:variant>
        <vt:i4>74</vt:i4>
      </vt:variant>
      <vt:variant>
        <vt:i4>0</vt:i4>
      </vt:variant>
      <vt:variant>
        <vt:i4>5</vt:i4>
      </vt:variant>
      <vt:variant>
        <vt:lpwstr/>
      </vt:variant>
      <vt:variant>
        <vt:lpwstr>_Toc412648022</vt:lpwstr>
      </vt:variant>
      <vt:variant>
        <vt:i4>1703986</vt:i4>
      </vt:variant>
      <vt:variant>
        <vt:i4>68</vt:i4>
      </vt:variant>
      <vt:variant>
        <vt:i4>0</vt:i4>
      </vt:variant>
      <vt:variant>
        <vt:i4>5</vt:i4>
      </vt:variant>
      <vt:variant>
        <vt:lpwstr/>
      </vt:variant>
      <vt:variant>
        <vt:lpwstr>_Toc412648021</vt:lpwstr>
      </vt:variant>
      <vt:variant>
        <vt:i4>1703986</vt:i4>
      </vt:variant>
      <vt:variant>
        <vt:i4>65</vt:i4>
      </vt:variant>
      <vt:variant>
        <vt:i4>0</vt:i4>
      </vt:variant>
      <vt:variant>
        <vt:i4>5</vt:i4>
      </vt:variant>
      <vt:variant>
        <vt:lpwstr/>
      </vt:variant>
      <vt:variant>
        <vt:lpwstr>_Toc412648020</vt:lpwstr>
      </vt:variant>
      <vt:variant>
        <vt:i4>1638450</vt:i4>
      </vt:variant>
      <vt:variant>
        <vt:i4>59</vt:i4>
      </vt:variant>
      <vt:variant>
        <vt:i4>0</vt:i4>
      </vt:variant>
      <vt:variant>
        <vt:i4>5</vt:i4>
      </vt:variant>
      <vt:variant>
        <vt:lpwstr/>
      </vt:variant>
      <vt:variant>
        <vt:lpwstr>_Toc412648019</vt:lpwstr>
      </vt:variant>
      <vt:variant>
        <vt:i4>1638450</vt:i4>
      </vt:variant>
      <vt:variant>
        <vt:i4>53</vt:i4>
      </vt:variant>
      <vt:variant>
        <vt:i4>0</vt:i4>
      </vt:variant>
      <vt:variant>
        <vt:i4>5</vt:i4>
      </vt:variant>
      <vt:variant>
        <vt:lpwstr/>
      </vt:variant>
      <vt:variant>
        <vt:lpwstr>_Toc412648018</vt:lpwstr>
      </vt:variant>
      <vt:variant>
        <vt:i4>1638450</vt:i4>
      </vt:variant>
      <vt:variant>
        <vt:i4>47</vt:i4>
      </vt:variant>
      <vt:variant>
        <vt:i4>0</vt:i4>
      </vt:variant>
      <vt:variant>
        <vt:i4>5</vt:i4>
      </vt:variant>
      <vt:variant>
        <vt:lpwstr/>
      </vt:variant>
      <vt:variant>
        <vt:lpwstr>_Toc412648017</vt:lpwstr>
      </vt:variant>
      <vt:variant>
        <vt:i4>1638450</vt:i4>
      </vt:variant>
      <vt:variant>
        <vt:i4>41</vt:i4>
      </vt:variant>
      <vt:variant>
        <vt:i4>0</vt:i4>
      </vt:variant>
      <vt:variant>
        <vt:i4>5</vt:i4>
      </vt:variant>
      <vt:variant>
        <vt:lpwstr/>
      </vt:variant>
      <vt:variant>
        <vt:lpwstr>_Toc412648016</vt:lpwstr>
      </vt:variant>
      <vt:variant>
        <vt:i4>1638450</vt:i4>
      </vt:variant>
      <vt:variant>
        <vt:i4>38</vt:i4>
      </vt:variant>
      <vt:variant>
        <vt:i4>0</vt:i4>
      </vt:variant>
      <vt:variant>
        <vt:i4>5</vt:i4>
      </vt:variant>
      <vt:variant>
        <vt:lpwstr/>
      </vt:variant>
      <vt:variant>
        <vt:lpwstr>_Toc412648015</vt:lpwstr>
      </vt:variant>
      <vt:variant>
        <vt:i4>1638450</vt:i4>
      </vt:variant>
      <vt:variant>
        <vt:i4>32</vt:i4>
      </vt:variant>
      <vt:variant>
        <vt:i4>0</vt:i4>
      </vt:variant>
      <vt:variant>
        <vt:i4>5</vt:i4>
      </vt:variant>
      <vt:variant>
        <vt:lpwstr/>
      </vt:variant>
      <vt:variant>
        <vt:lpwstr>_Toc412648014</vt:lpwstr>
      </vt:variant>
      <vt:variant>
        <vt:i4>1638450</vt:i4>
      </vt:variant>
      <vt:variant>
        <vt:i4>26</vt:i4>
      </vt:variant>
      <vt:variant>
        <vt:i4>0</vt:i4>
      </vt:variant>
      <vt:variant>
        <vt:i4>5</vt:i4>
      </vt:variant>
      <vt:variant>
        <vt:lpwstr/>
      </vt:variant>
      <vt:variant>
        <vt:lpwstr>_Toc412648013</vt:lpwstr>
      </vt:variant>
      <vt:variant>
        <vt:i4>1638450</vt:i4>
      </vt:variant>
      <vt:variant>
        <vt:i4>20</vt:i4>
      </vt:variant>
      <vt:variant>
        <vt:i4>0</vt:i4>
      </vt:variant>
      <vt:variant>
        <vt:i4>5</vt:i4>
      </vt:variant>
      <vt:variant>
        <vt:lpwstr/>
      </vt:variant>
      <vt:variant>
        <vt:lpwstr>_Toc412648012</vt:lpwstr>
      </vt:variant>
      <vt:variant>
        <vt:i4>1638450</vt:i4>
      </vt:variant>
      <vt:variant>
        <vt:i4>14</vt:i4>
      </vt:variant>
      <vt:variant>
        <vt:i4>0</vt:i4>
      </vt:variant>
      <vt:variant>
        <vt:i4>5</vt:i4>
      </vt:variant>
      <vt:variant>
        <vt:lpwstr/>
      </vt:variant>
      <vt:variant>
        <vt:lpwstr>_Toc412648011</vt:lpwstr>
      </vt:variant>
      <vt:variant>
        <vt:i4>1638450</vt:i4>
      </vt:variant>
      <vt:variant>
        <vt:i4>8</vt:i4>
      </vt:variant>
      <vt:variant>
        <vt:i4>0</vt:i4>
      </vt:variant>
      <vt:variant>
        <vt:i4>5</vt:i4>
      </vt:variant>
      <vt:variant>
        <vt:lpwstr/>
      </vt:variant>
      <vt:variant>
        <vt:lpwstr>_Toc412648010</vt:lpwstr>
      </vt:variant>
      <vt:variant>
        <vt:i4>1572914</vt:i4>
      </vt:variant>
      <vt:variant>
        <vt:i4>2</vt:i4>
      </vt:variant>
      <vt:variant>
        <vt:i4>0</vt:i4>
      </vt:variant>
      <vt:variant>
        <vt:i4>5</vt:i4>
      </vt:variant>
      <vt:variant>
        <vt:lpwstr/>
      </vt:variant>
      <vt:variant>
        <vt:lpwstr>_Toc412648009</vt:lpwstr>
      </vt:variant>
      <vt:variant>
        <vt:i4>1572875</vt:i4>
      </vt:variant>
      <vt:variant>
        <vt:i4>66</vt:i4>
      </vt:variant>
      <vt:variant>
        <vt:i4>0</vt:i4>
      </vt:variant>
      <vt:variant>
        <vt:i4>5</vt:i4>
      </vt:variant>
      <vt:variant>
        <vt:lpwstr>http://www.oas.org/es/cidh/defensores/docs/pdf/defensores2011.pdf</vt:lpwstr>
      </vt:variant>
      <vt:variant>
        <vt:lpwstr/>
      </vt:variant>
      <vt:variant>
        <vt:i4>1572875</vt:i4>
      </vt:variant>
      <vt:variant>
        <vt:i4>63</vt:i4>
      </vt:variant>
      <vt:variant>
        <vt:i4>0</vt:i4>
      </vt:variant>
      <vt:variant>
        <vt:i4>5</vt:i4>
      </vt:variant>
      <vt:variant>
        <vt:lpwstr>http://www.oas.org/es/cidh/defensores/docs/pdf/defensores2011.pdf</vt:lpwstr>
      </vt:variant>
      <vt:variant>
        <vt:lpwstr/>
      </vt:variant>
      <vt:variant>
        <vt:i4>1572875</vt:i4>
      </vt:variant>
      <vt:variant>
        <vt:i4>60</vt:i4>
      </vt:variant>
      <vt:variant>
        <vt:i4>0</vt:i4>
      </vt:variant>
      <vt:variant>
        <vt:i4>5</vt:i4>
      </vt:variant>
      <vt:variant>
        <vt:lpwstr>http://www.oas.org/es/cidh/defensores/docs/pdf/defensores2011.pdf</vt:lpwstr>
      </vt:variant>
      <vt:variant>
        <vt:lpwstr/>
      </vt:variant>
      <vt:variant>
        <vt:i4>1572875</vt:i4>
      </vt:variant>
      <vt:variant>
        <vt:i4>57</vt:i4>
      </vt:variant>
      <vt:variant>
        <vt:i4>0</vt:i4>
      </vt:variant>
      <vt:variant>
        <vt:i4>5</vt:i4>
      </vt:variant>
      <vt:variant>
        <vt:lpwstr>http://www.oas.org/es/cidh/defensores/docs/pdf/defensores2011.pdf</vt:lpwstr>
      </vt:variant>
      <vt:variant>
        <vt:lpwstr/>
      </vt:variant>
      <vt:variant>
        <vt:i4>917530</vt:i4>
      </vt:variant>
      <vt:variant>
        <vt:i4>54</vt:i4>
      </vt:variant>
      <vt:variant>
        <vt:i4>0</vt:i4>
      </vt:variant>
      <vt:variant>
        <vt:i4>5</vt:i4>
      </vt:variant>
      <vt:variant>
        <vt:lpwstr>http://www.bjdh.org.mx/BJDH/busqueda</vt:lpwstr>
      </vt:variant>
      <vt:variant>
        <vt:lpwstr/>
      </vt:variant>
      <vt:variant>
        <vt:i4>7667824</vt:i4>
      </vt:variant>
      <vt:variant>
        <vt:i4>51</vt:i4>
      </vt:variant>
      <vt:variant>
        <vt:i4>0</vt:i4>
      </vt:variant>
      <vt:variant>
        <vt:i4>5</vt:i4>
      </vt:variant>
      <vt:variant>
        <vt:lpwstr>http://www.bjdh.org.mx/interamericano/busqueda</vt:lpwstr>
      </vt:variant>
      <vt:variant>
        <vt:lpwstr/>
      </vt:variant>
      <vt:variant>
        <vt:i4>2883620</vt:i4>
      </vt:variant>
      <vt:variant>
        <vt:i4>48</vt:i4>
      </vt:variant>
      <vt:variant>
        <vt:i4>0</vt:i4>
      </vt:variant>
      <vt:variant>
        <vt:i4>5</vt:i4>
      </vt:variant>
      <vt:variant>
        <vt:lpwstr>http://joomla.corteidh.or.cr:8080/joomla/es/casos-contenciosos/38-jurisprudencia/1572-corte-idh-caso-gonzalez-medina-y-familiares-vs-republica-dominicana-excepciones-preliminares-fondo-reparaciones-y-costas-sentencia-de-27-de-febrero-de-2012-serie-c-no-240</vt:lpwstr>
      </vt:variant>
      <vt:variant>
        <vt:lpwstr/>
      </vt:variant>
      <vt:variant>
        <vt:i4>3866679</vt:i4>
      </vt:variant>
      <vt:variant>
        <vt:i4>45</vt:i4>
      </vt:variant>
      <vt:variant>
        <vt:i4>0</vt:i4>
      </vt:variant>
      <vt:variant>
        <vt:i4>5</vt:i4>
      </vt:variant>
      <vt:variant>
        <vt:lpwstr>http://www.hchr.org.mx/documentos/libros/informepdf.pdf</vt:lpwstr>
      </vt:variant>
      <vt:variant>
        <vt:lpwstr/>
      </vt:variant>
      <vt:variant>
        <vt:i4>917530</vt:i4>
      </vt:variant>
      <vt:variant>
        <vt:i4>42</vt:i4>
      </vt:variant>
      <vt:variant>
        <vt:i4>0</vt:i4>
      </vt:variant>
      <vt:variant>
        <vt:i4>5</vt:i4>
      </vt:variant>
      <vt:variant>
        <vt:lpwstr>http://www.bjdh.org.mx/BJDH/busqueda</vt:lpwstr>
      </vt:variant>
      <vt:variant>
        <vt:lpwstr/>
      </vt:variant>
      <vt:variant>
        <vt:i4>1704000</vt:i4>
      </vt:variant>
      <vt:variant>
        <vt:i4>39</vt:i4>
      </vt:variant>
      <vt:variant>
        <vt:i4>0</vt:i4>
      </vt:variant>
      <vt:variant>
        <vt:i4>5</vt:i4>
      </vt:variant>
      <vt:variant>
        <vt:lpwstr>http://es.wikipedia.org/wiki/Par%C3%A9ntesis</vt:lpwstr>
      </vt:variant>
      <vt:variant>
        <vt:lpwstr>Corchetes_.5B_.5D</vt:lpwstr>
      </vt:variant>
      <vt:variant>
        <vt:i4>1704000</vt:i4>
      </vt:variant>
      <vt:variant>
        <vt:i4>36</vt:i4>
      </vt:variant>
      <vt:variant>
        <vt:i4>0</vt:i4>
      </vt:variant>
      <vt:variant>
        <vt:i4>5</vt:i4>
      </vt:variant>
      <vt:variant>
        <vt:lpwstr>http://es.wikipedia.org/wiki/Par%C3%A9ntesis</vt:lpwstr>
      </vt:variant>
      <vt:variant>
        <vt:lpwstr>Corchetes_.5B_.5D</vt:lpwstr>
      </vt:variant>
      <vt:variant>
        <vt:i4>6881319</vt:i4>
      </vt:variant>
      <vt:variant>
        <vt:i4>33</vt:i4>
      </vt:variant>
      <vt:variant>
        <vt:i4>0</vt:i4>
      </vt:variant>
      <vt:variant>
        <vt:i4>5</vt:i4>
      </vt:variant>
      <vt:variant>
        <vt:lpwstr>http://calpi.nativeweb.org/cronos.html</vt:lpwstr>
      </vt:variant>
      <vt:variant>
        <vt:lpwstr/>
      </vt:variant>
      <vt:variant>
        <vt:i4>3080312</vt:i4>
      </vt:variant>
      <vt:variant>
        <vt:i4>30</vt:i4>
      </vt:variant>
      <vt:variant>
        <vt:i4>0</vt:i4>
      </vt:variant>
      <vt:variant>
        <vt:i4>5</vt:i4>
      </vt:variant>
      <vt:variant>
        <vt:lpwstr>http://archivo.laprensa.com.ni/archivo/2002/mayo/07/nacionales/nacionales-20020507-07.html</vt:lpwstr>
      </vt:variant>
      <vt:variant>
        <vt:lpwstr/>
      </vt:variant>
      <vt:variant>
        <vt:i4>6619197</vt:i4>
      </vt:variant>
      <vt:variant>
        <vt:i4>27</vt:i4>
      </vt:variant>
      <vt:variant>
        <vt:i4>0</vt:i4>
      </vt:variant>
      <vt:variant>
        <vt:i4>5</vt:i4>
      </vt:variant>
      <vt:variant>
        <vt:lpwstr>http://archivo.elnuevodiario.com.ni/2002/abril/21-abril-2002/sucesos/sucesos3.html</vt:lpwstr>
      </vt:variant>
      <vt:variant>
        <vt:lpwstr/>
      </vt:variant>
      <vt:variant>
        <vt:i4>6881319</vt:i4>
      </vt:variant>
      <vt:variant>
        <vt:i4>24</vt:i4>
      </vt:variant>
      <vt:variant>
        <vt:i4>0</vt:i4>
      </vt:variant>
      <vt:variant>
        <vt:i4>5</vt:i4>
      </vt:variant>
      <vt:variant>
        <vt:lpwstr>http://calpi.nativeweb.org/cronos.html</vt:lpwstr>
      </vt:variant>
      <vt:variant>
        <vt:lpwstr/>
      </vt:variant>
      <vt:variant>
        <vt:i4>6225923</vt:i4>
      </vt:variant>
      <vt:variant>
        <vt:i4>21</vt:i4>
      </vt:variant>
      <vt:variant>
        <vt:i4>0</vt:i4>
      </vt:variant>
      <vt:variant>
        <vt:i4>5</vt:i4>
      </vt:variant>
      <vt:variant>
        <vt:lpwstr>http://archivo.elnuevodiario.com.ni/2001/marzo/12-marzo-2001/nacional/nacional7.html</vt:lpwstr>
      </vt:variant>
      <vt:variant>
        <vt:lpwstr/>
      </vt:variant>
      <vt:variant>
        <vt:i4>2228343</vt:i4>
      </vt:variant>
      <vt:variant>
        <vt:i4>18</vt:i4>
      </vt:variant>
      <vt:variant>
        <vt:i4>0</vt:i4>
      </vt:variant>
      <vt:variant>
        <vt:i4>5</vt:i4>
      </vt:variant>
      <vt:variant>
        <vt:lpwstr>http://archivo.laprensa.com.ni/archivo/2001/mayo/18/nacionales/nacionales-20010518-05.html</vt:lpwstr>
      </vt:variant>
      <vt:variant>
        <vt:lpwstr/>
      </vt:variant>
      <vt:variant>
        <vt:i4>3211364</vt:i4>
      </vt:variant>
      <vt:variant>
        <vt:i4>15</vt:i4>
      </vt:variant>
      <vt:variant>
        <vt:i4>0</vt:i4>
      </vt:variant>
      <vt:variant>
        <vt:i4>5</vt:i4>
      </vt:variant>
      <vt:variant>
        <vt:lpwstr>http://archivo.laprensa.com.ni/archivo/2001/abril/21/nacionales/nacionales-20010421-06.html</vt:lpwstr>
      </vt:variant>
      <vt:variant>
        <vt:lpwstr/>
      </vt:variant>
      <vt:variant>
        <vt:i4>1245261</vt:i4>
      </vt:variant>
      <vt:variant>
        <vt:i4>12</vt:i4>
      </vt:variant>
      <vt:variant>
        <vt:i4>0</vt:i4>
      </vt:variant>
      <vt:variant>
        <vt:i4>5</vt:i4>
      </vt:variant>
      <vt:variant>
        <vt:lpwstr>http://www.hartford-hwp.com/archives/47/402.html</vt:lpwstr>
      </vt:variant>
      <vt:variant>
        <vt:lpwstr/>
      </vt:variant>
      <vt:variant>
        <vt:i4>6029331</vt:i4>
      </vt:variant>
      <vt:variant>
        <vt:i4>9</vt:i4>
      </vt:variant>
      <vt:variant>
        <vt:i4>0</vt:i4>
      </vt:variant>
      <vt:variant>
        <vt:i4>5</vt:i4>
      </vt:variant>
      <vt:variant>
        <vt:lpwstr>http://www.workers.org/ww/2002/nicaletter0502.php</vt:lpwstr>
      </vt:variant>
      <vt:variant>
        <vt:lpwstr/>
      </vt:variant>
      <vt:variant>
        <vt:i4>6029331</vt:i4>
      </vt:variant>
      <vt:variant>
        <vt:i4>6</vt:i4>
      </vt:variant>
      <vt:variant>
        <vt:i4>0</vt:i4>
      </vt:variant>
      <vt:variant>
        <vt:i4>5</vt:i4>
      </vt:variant>
      <vt:variant>
        <vt:lpwstr>http://www.workers.org/ww/2002/nicaletter0502.php</vt:lpwstr>
      </vt:variant>
      <vt:variant>
        <vt:lpwstr/>
      </vt:variant>
      <vt:variant>
        <vt:i4>4194328</vt:i4>
      </vt:variant>
      <vt:variant>
        <vt:i4>3</vt:i4>
      </vt:variant>
      <vt:variant>
        <vt:i4>0</vt:i4>
      </vt:variant>
      <vt:variant>
        <vt:i4>5</vt:i4>
      </vt:variant>
      <vt:variant>
        <vt:lpwstr>http://archivo.elnuevodiario.com.ni/2002/abril/13-abril-2002/nacional/nacional2.html</vt:lpwstr>
      </vt:variant>
      <vt:variant>
        <vt:lpwstr/>
      </vt:variant>
      <vt:variant>
        <vt:i4>6029331</vt:i4>
      </vt:variant>
      <vt:variant>
        <vt:i4>0</vt:i4>
      </vt:variant>
      <vt:variant>
        <vt:i4>0</vt:i4>
      </vt:variant>
      <vt:variant>
        <vt:i4>5</vt:i4>
      </vt:variant>
      <vt:variant>
        <vt:lpwstr>http://www.workers.org/ww/2002/nicaletter0502.php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POSICIONES DE LAS PARTES SOBRE EL FONDO</dc:title>
  <dc:creator>HGalvan</dc:creator>
  <cp:lastModifiedBy>%username%</cp:lastModifiedBy>
  <cp:revision>5</cp:revision>
  <cp:lastPrinted>2015-04-29T18:39:00Z</cp:lastPrinted>
  <dcterms:created xsi:type="dcterms:W3CDTF">2015-04-08T16:02:00Z</dcterms:created>
  <dcterms:modified xsi:type="dcterms:W3CDTF">2015-04-29T19:37:00Z</dcterms:modified>
</cp:coreProperties>
</file>