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78F7B" w14:textId="77777777" w:rsidR="00565AB2" w:rsidRDefault="00565AB2" w:rsidP="00565AB2">
      <w:pPr>
        <w:pStyle w:val="Header"/>
        <w:jc w:val="center"/>
        <w:rPr>
          <w:rFonts w:ascii="Calibri Light" w:hAnsi="Calibri Light"/>
          <w:lang w:val="es-PE"/>
        </w:rPr>
      </w:pPr>
      <w:r w:rsidRPr="00C80A19">
        <w:rPr>
          <w:rFonts w:ascii="Calibri Light" w:hAnsi="Calibri Light"/>
          <w:noProof/>
          <w:lang w:val="es-PE"/>
        </w:rPr>
        <w:drawing>
          <wp:anchor distT="0" distB="0" distL="114300" distR="114300" simplePos="0" relativeHeight="251661312" behindDoc="1" locked="0" layoutInCell="1" allowOverlap="1" wp14:anchorId="25E89427" wp14:editId="6688697E">
            <wp:simplePos x="0" y="0"/>
            <wp:positionH relativeFrom="margin">
              <wp:posOffset>4020820</wp:posOffset>
            </wp:positionH>
            <wp:positionV relativeFrom="margin">
              <wp:posOffset>-271145</wp:posOffset>
            </wp:positionV>
            <wp:extent cx="1849755" cy="789940"/>
            <wp:effectExtent l="0" t="0" r="4445" b="0"/>
            <wp:wrapTight wrapText="bothSides">
              <wp:wrapPolygon edited="0">
                <wp:start x="0" y="0"/>
                <wp:lineTo x="0" y="21183"/>
                <wp:lineTo x="21504" y="21183"/>
                <wp:lineTo x="21504" y="0"/>
                <wp:lineTo x="0" y="0"/>
              </wp:wrapPolygon>
            </wp:wrapTight>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7" r:link="rId8" cstate="print">
                      <a:extLst>
                        <a:ext uri="{28A0092B-C50C-407E-A947-70E740481C1C}">
                          <a14:useLocalDpi xmlns:a14="http://schemas.microsoft.com/office/drawing/2010/main" val="0"/>
                        </a:ext>
                      </a:extLst>
                    </a:blip>
                    <a:srcRect l="5442" t="27352" r="6449" b="25571"/>
                    <a:stretch/>
                  </pic:blipFill>
                  <pic:spPr bwMode="auto">
                    <a:xfrm>
                      <a:off x="0" y="0"/>
                      <a:ext cx="1849755"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60288" behindDoc="1" locked="0" layoutInCell="1" allowOverlap="1" wp14:anchorId="1A43F200" wp14:editId="3BA79AB4">
            <wp:simplePos x="0" y="0"/>
            <wp:positionH relativeFrom="column">
              <wp:posOffset>1399540</wp:posOffset>
            </wp:positionH>
            <wp:positionV relativeFrom="paragraph">
              <wp:posOffset>-107950</wp:posOffset>
            </wp:positionV>
            <wp:extent cx="2564130" cy="626110"/>
            <wp:effectExtent l="0" t="0" r="1270" b="0"/>
            <wp:wrapTight wrapText="bothSides">
              <wp:wrapPolygon edited="0">
                <wp:start x="1605" y="2629"/>
                <wp:lineTo x="1070" y="5258"/>
                <wp:lineTo x="642" y="7886"/>
                <wp:lineTo x="642" y="11830"/>
                <wp:lineTo x="1284" y="17087"/>
                <wp:lineTo x="1498" y="17963"/>
                <wp:lineTo x="21397" y="17963"/>
                <wp:lineTo x="21504" y="16649"/>
                <wp:lineTo x="21183" y="9639"/>
                <wp:lineTo x="15406" y="2629"/>
                <wp:lineTo x="1605" y="2629"/>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9"/>
                    <a:srcRect r="3349"/>
                    <a:stretch/>
                  </pic:blipFill>
                  <pic:spPr bwMode="auto">
                    <a:xfrm>
                      <a:off x="0" y="0"/>
                      <a:ext cx="256413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59264" behindDoc="1" locked="0" layoutInCell="1" allowOverlap="1" wp14:anchorId="27E6C7C7" wp14:editId="5B8AF5B5">
            <wp:simplePos x="0" y="0"/>
            <wp:positionH relativeFrom="column">
              <wp:posOffset>-407474</wp:posOffset>
            </wp:positionH>
            <wp:positionV relativeFrom="paragraph">
              <wp:posOffset>-200514</wp:posOffset>
            </wp:positionV>
            <wp:extent cx="1735455" cy="727710"/>
            <wp:effectExtent l="0" t="0" r="0" b="0"/>
            <wp:wrapTight wrapText="bothSides">
              <wp:wrapPolygon edited="0">
                <wp:start x="316" y="754"/>
                <wp:lineTo x="316" y="18094"/>
                <wp:lineTo x="632" y="19602"/>
                <wp:lineTo x="1739" y="20356"/>
                <wp:lineTo x="13436" y="20356"/>
                <wp:lineTo x="21181" y="19602"/>
                <wp:lineTo x="21339" y="14325"/>
                <wp:lineTo x="20075" y="13571"/>
                <wp:lineTo x="21181" y="10178"/>
                <wp:lineTo x="21181" y="7539"/>
                <wp:lineTo x="18652" y="3393"/>
                <wp:lineTo x="17546" y="754"/>
                <wp:lineTo x="316" y="754"/>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0"/>
                    <a:srcRect l="11357" t="20875" r="13129" b="18785"/>
                    <a:stretch/>
                  </pic:blipFill>
                  <pic:spPr bwMode="auto">
                    <a:xfrm>
                      <a:off x="0" y="0"/>
                      <a:ext cx="1735455"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922D42" w14:textId="77777777" w:rsidR="00412844" w:rsidRDefault="00412844" w:rsidP="00565AB2">
      <w:pPr>
        <w:pStyle w:val="Header"/>
        <w:jc w:val="center"/>
        <w:rPr>
          <w:rFonts w:ascii="Calibri Light" w:hAnsi="Calibri Light"/>
          <w:lang w:val="es-PE"/>
        </w:rPr>
      </w:pPr>
    </w:p>
    <w:p w14:paraId="4944C691" w14:textId="77777777" w:rsidR="00412844" w:rsidRDefault="00412844" w:rsidP="00565AB2">
      <w:pPr>
        <w:pStyle w:val="Header"/>
        <w:jc w:val="center"/>
        <w:rPr>
          <w:rFonts w:ascii="Calibri Light" w:hAnsi="Calibri Light"/>
          <w:lang w:val="es-PE"/>
        </w:rPr>
      </w:pPr>
    </w:p>
    <w:p w14:paraId="19B84305" w14:textId="35DF0EBA" w:rsidR="00565AB2" w:rsidRPr="00411A74" w:rsidRDefault="00565AB2" w:rsidP="00565AB2">
      <w:pPr>
        <w:pStyle w:val="Header"/>
        <w:jc w:val="center"/>
        <w:rPr>
          <w:rFonts w:ascii="Calibri Light" w:hAnsi="Calibri Light"/>
          <w:lang w:val="es-PE"/>
        </w:rPr>
      </w:pPr>
      <w:r w:rsidRPr="00411A74">
        <w:rPr>
          <w:rFonts w:ascii="Calibri Light" w:hAnsi="Calibri Light"/>
          <w:lang w:val="es-PE"/>
        </w:rPr>
        <w:t>Difundiendo los estándares para la protección de los DDHH de la CIDH</w:t>
      </w:r>
    </w:p>
    <w:p w14:paraId="4CEFC86B" w14:textId="77777777" w:rsidR="00565AB2" w:rsidRDefault="00565AB2" w:rsidP="00565AB2">
      <w:pPr>
        <w:spacing w:after="0" w:line="240" w:lineRule="auto"/>
        <w:jc w:val="center"/>
        <w:outlineLvl w:val="0"/>
        <w:rPr>
          <w:rFonts w:ascii="Calibri Light" w:hAnsi="Calibri Light"/>
          <w:b/>
          <w:i/>
          <w:lang w:val="es-PE"/>
        </w:rPr>
      </w:pPr>
      <w:r>
        <w:rPr>
          <w:rFonts w:ascii="Calibri Light" w:hAnsi="Calibri Light"/>
          <w:b/>
          <w:i/>
          <w:lang w:val="es-PE"/>
        </w:rPr>
        <w:t>Ficha de R</w:t>
      </w:r>
      <w:r w:rsidRPr="00411A74">
        <w:rPr>
          <w:rFonts w:ascii="Calibri Light" w:hAnsi="Calibri Light"/>
          <w:b/>
          <w:i/>
          <w:lang w:val="es-PE"/>
        </w:rPr>
        <w:t xml:space="preserve">esumen </w:t>
      </w:r>
    </w:p>
    <w:p w14:paraId="24A171EA" w14:textId="77777777" w:rsidR="00DA095D" w:rsidRDefault="00DA095D" w:rsidP="00DA095D">
      <w:pPr>
        <w:spacing w:after="0" w:line="240" w:lineRule="auto"/>
        <w:jc w:val="center"/>
        <w:outlineLvl w:val="0"/>
        <w:rPr>
          <w:rFonts w:ascii="Calibri Light" w:hAnsi="Calibri Light"/>
          <w:b/>
          <w:i/>
          <w:lang w:val="es-PE"/>
        </w:rPr>
      </w:pPr>
    </w:p>
    <w:tbl>
      <w:tblPr>
        <w:tblStyle w:val="Tabladelista2-nfasis11"/>
        <w:tblW w:w="8721" w:type="dxa"/>
        <w:tblLook w:val="04A0" w:firstRow="1" w:lastRow="0" w:firstColumn="1" w:lastColumn="0" w:noHBand="0" w:noVBand="1"/>
      </w:tblPr>
      <w:tblGrid>
        <w:gridCol w:w="3678"/>
        <w:gridCol w:w="2475"/>
        <w:gridCol w:w="2568"/>
      </w:tblGrid>
      <w:tr w:rsidR="00B15193" w:rsidRPr="004533E5" w14:paraId="4EC62AA6" w14:textId="77777777" w:rsidTr="00A84D66">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721" w:type="dxa"/>
            <w:gridSpan w:val="3"/>
          </w:tcPr>
          <w:p w14:paraId="47DABDE4" w14:textId="77777777" w:rsidR="00B15193" w:rsidRDefault="00B15193" w:rsidP="00A84D66">
            <w:pPr>
              <w:pStyle w:val="ListParagraph"/>
              <w:rPr>
                <w:rFonts w:ascii="Calibri Light" w:hAnsi="Calibri Light"/>
              </w:rPr>
            </w:pPr>
          </w:p>
          <w:p w14:paraId="2DB3A726" w14:textId="77777777" w:rsidR="00B15193" w:rsidRDefault="00B15193" w:rsidP="00A84D66">
            <w:pPr>
              <w:pStyle w:val="ListParagraph"/>
              <w:numPr>
                <w:ilvl w:val="0"/>
                <w:numId w:val="1"/>
              </w:numPr>
              <w:jc w:val="center"/>
              <w:rPr>
                <w:rFonts w:ascii="Calibri Light" w:hAnsi="Calibri Light"/>
              </w:rPr>
            </w:pPr>
            <w:r w:rsidRPr="004533E5">
              <w:rPr>
                <w:rFonts w:ascii="Calibri Light" w:hAnsi="Calibri Light"/>
              </w:rPr>
              <w:t>Datos generales</w:t>
            </w:r>
          </w:p>
          <w:p w14:paraId="6020360B" w14:textId="77777777" w:rsidR="00B15193" w:rsidRPr="00AC6F31" w:rsidRDefault="00B15193" w:rsidP="00A84D66">
            <w:pPr>
              <w:pStyle w:val="ListParagraph"/>
              <w:rPr>
                <w:rFonts w:ascii="Calibri Light" w:hAnsi="Calibri Light"/>
              </w:rPr>
            </w:pPr>
          </w:p>
        </w:tc>
      </w:tr>
      <w:tr w:rsidR="00B15193" w:rsidRPr="004533E5" w14:paraId="7AB69373" w14:textId="77777777" w:rsidTr="00A84D66">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235EF64D" w14:textId="77777777" w:rsidR="00B15193" w:rsidRPr="004533E5" w:rsidRDefault="00B15193" w:rsidP="00A84D66">
            <w:pPr>
              <w:pStyle w:val="ListParagraph"/>
              <w:numPr>
                <w:ilvl w:val="0"/>
                <w:numId w:val="2"/>
              </w:numPr>
              <w:rPr>
                <w:rFonts w:ascii="Calibri Light" w:hAnsi="Calibri Light"/>
              </w:rPr>
            </w:pPr>
            <w:r w:rsidRPr="004533E5">
              <w:rPr>
                <w:rFonts w:ascii="Calibri Light" w:hAnsi="Calibri Light"/>
              </w:rPr>
              <w:t>Nombre del caso</w:t>
            </w:r>
          </w:p>
        </w:tc>
        <w:tc>
          <w:tcPr>
            <w:tcW w:w="5043" w:type="dxa"/>
            <w:gridSpan w:val="2"/>
            <w:vAlign w:val="center"/>
          </w:tcPr>
          <w:p w14:paraId="0D1BB334" w14:textId="419545E8" w:rsidR="00B15193" w:rsidRPr="004533E5" w:rsidRDefault="00DA095D" w:rsidP="00A84D66">
            <w:pPr>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 xml:space="preserve">Masacre de Trujillo, </w:t>
            </w:r>
            <w:r w:rsidR="00B15193">
              <w:rPr>
                <w:rFonts w:ascii="Calibri Light" w:hAnsi="Calibri Light"/>
              </w:rPr>
              <w:t>Colombia</w:t>
            </w:r>
          </w:p>
        </w:tc>
      </w:tr>
      <w:tr w:rsidR="00B15193" w:rsidRPr="004533E5" w14:paraId="246AFF98" w14:textId="77777777" w:rsidTr="00A84D66">
        <w:trPr>
          <w:trHeight w:val="263"/>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4943A082" w14:textId="3AB3C166" w:rsidR="00B15193" w:rsidRPr="004533E5" w:rsidRDefault="00DA095D" w:rsidP="00A84D66">
            <w:pPr>
              <w:pStyle w:val="ListParagraph"/>
              <w:numPr>
                <w:ilvl w:val="0"/>
                <w:numId w:val="2"/>
              </w:numPr>
              <w:rPr>
                <w:rFonts w:ascii="Calibri Light" w:hAnsi="Calibri Light"/>
              </w:rPr>
            </w:pPr>
            <w:r>
              <w:rPr>
                <w:rFonts w:ascii="Calibri Light" w:hAnsi="Calibri Light"/>
              </w:rPr>
              <w:t>Parte peticionaria</w:t>
            </w:r>
          </w:p>
        </w:tc>
        <w:tc>
          <w:tcPr>
            <w:tcW w:w="5043" w:type="dxa"/>
            <w:gridSpan w:val="2"/>
            <w:vAlign w:val="center"/>
          </w:tcPr>
          <w:p w14:paraId="42716D46" w14:textId="77777777" w:rsidR="007C4319" w:rsidRDefault="00B15193" w:rsidP="00A84D66">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B15193">
              <w:rPr>
                <w:rFonts w:ascii="Calibri Light" w:hAnsi="Calibri Light"/>
              </w:rPr>
              <w:t xml:space="preserve">Comisión </w:t>
            </w:r>
            <w:proofErr w:type="spellStart"/>
            <w:r w:rsidRPr="00B15193">
              <w:rPr>
                <w:rFonts w:ascii="Calibri Light" w:hAnsi="Calibri Light"/>
              </w:rPr>
              <w:t>Intercongre</w:t>
            </w:r>
            <w:r w:rsidR="0027472A">
              <w:rPr>
                <w:rFonts w:ascii="Calibri Light" w:hAnsi="Calibri Light"/>
              </w:rPr>
              <w:t>gac</w:t>
            </w:r>
            <w:r w:rsidRPr="00B15193">
              <w:rPr>
                <w:rFonts w:ascii="Calibri Light" w:hAnsi="Calibri Light"/>
              </w:rPr>
              <w:t>ional</w:t>
            </w:r>
            <w:proofErr w:type="spellEnd"/>
            <w:r w:rsidRPr="00B15193">
              <w:rPr>
                <w:rFonts w:ascii="Calibri Light" w:hAnsi="Calibri Light"/>
              </w:rPr>
              <w:t xml:space="preserve"> de Justicia y Paz</w:t>
            </w:r>
          </w:p>
          <w:p w14:paraId="1479EC4D" w14:textId="77777777" w:rsidR="00B15193" w:rsidRDefault="007C4319" w:rsidP="00565AB2">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Corporación Colectivo de Abogado</w:t>
            </w:r>
            <w:r w:rsidR="00B15193">
              <w:rPr>
                <w:rFonts w:ascii="Calibri Light" w:hAnsi="Calibri Light"/>
              </w:rPr>
              <w:t>s José Alvear Restrepo</w:t>
            </w:r>
          </w:p>
        </w:tc>
      </w:tr>
      <w:tr w:rsidR="00B15193" w:rsidRPr="004533E5" w14:paraId="2B60A37A" w14:textId="77777777" w:rsidTr="00A84D66">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37DC37D8" w14:textId="77777777" w:rsidR="00B15193" w:rsidRPr="004533E5" w:rsidRDefault="00B15193" w:rsidP="00A84D66">
            <w:pPr>
              <w:pStyle w:val="ListParagraph"/>
              <w:numPr>
                <w:ilvl w:val="0"/>
                <w:numId w:val="2"/>
              </w:numPr>
              <w:rPr>
                <w:rFonts w:ascii="Calibri Light" w:hAnsi="Calibri Light"/>
              </w:rPr>
            </w:pPr>
            <w:r w:rsidRPr="004533E5">
              <w:rPr>
                <w:rFonts w:ascii="Calibri Light" w:hAnsi="Calibri Light"/>
              </w:rPr>
              <w:t xml:space="preserve">Número de Informe </w:t>
            </w:r>
          </w:p>
        </w:tc>
        <w:tc>
          <w:tcPr>
            <w:tcW w:w="5043" w:type="dxa"/>
            <w:gridSpan w:val="2"/>
            <w:vAlign w:val="center"/>
          </w:tcPr>
          <w:p w14:paraId="16573A34" w14:textId="77777777" w:rsidR="00B15193" w:rsidRPr="00B15193" w:rsidRDefault="00DA61D7" w:rsidP="00A84D66">
            <w:pPr>
              <w:cnfStyle w:val="000000100000" w:firstRow="0" w:lastRow="0" w:firstColumn="0" w:lastColumn="0" w:oddVBand="0" w:evenVBand="0" w:oddHBand="1" w:evenHBand="0" w:firstRowFirstColumn="0" w:firstRowLastColumn="0" w:lastRowFirstColumn="0" w:lastRowLastColumn="0"/>
              <w:rPr>
                <w:rFonts w:ascii="Calibri Light" w:hAnsi="Calibri Light"/>
              </w:rPr>
            </w:pPr>
            <w:hyperlink r:id="rId11" w:history="1">
              <w:r w:rsidR="00B15193" w:rsidRPr="00B15193">
                <w:rPr>
                  <w:rStyle w:val="Hyperlink"/>
                  <w:rFonts w:ascii="Calibri Light" w:hAnsi="Calibri Light"/>
                </w:rPr>
                <w:t>Informe No</w:t>
              </w:r>
              <w:r w:rsidR="00EC277A">
                <w:rPr>
                  <w:rStyle w:val="Hyperlink"/>
                  <w:rFonts w:ascii="Calibri Light" w:hAnsi="Calibri Light"/>
                </w:rPr>
                <w:t xml:space="preserve">. </w:t>
              </w:r>
              <w:r w:rsidR="00B15193" w:rsidRPr="00B15193">
                <w:rPr>
                  <w:rStyle w:val="Hyperlink"/>
                  <w:rFonts w:ascii="Calibri Light" w:hAnsi="Calibri Light"/>
                </w:rPr>
                <w:t>6</w:t>
              </w:r>
              <w:r w:rsidR="00EC277A">
                <w:rPr>
                  <w:rStyle w:val="Hyperlink"/>
                  <w:rFonts w:ascii="Calibri Light" w:hAnsi="Calibri Light"/>
                </w:rPr>
                <w:t>8</w:t>
              </w:r>
              <w:r w:rsidR="00B15193" w:rsidRPr="00B15193">
                <w:rPr>
                  <w:rStyle w:val="Hyperlink"/>
                  <w:rFonts w:ascii="Calibri Light" w:hAnsi="Calibri Light"/>
                </w:rPr>
                <w:t>/16</w:t>
              </w:r>
            </w:hyperlink>
          </w:p>
        </w:tc>
      </w:tr>
      <w:tr w:rsidR="00B15193" w:rsidRPr="004533E5" w14:paraId="4E576124" w14:textId="77777777" w:rsidTr="00A84D66">
        <w:trPr>
          <w:trHeight w:val="212"/>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356C36D8" w14:textId="77777777" w:rsidR="00B15193" w:rsidRPr="00F725A5" w:rsidRDefault="00B15193" w:rsidP="00A84D66">
            <w:pPr>
              <w:pStyle w:val="ListParagraph"/>
              <w:numPr>
                <w:ilvl w:val="0"/>
                <w:numId w:val="2"/>
              </w:numPr>
            </w:pPr>
            <w:r w:rsidRPr="004533E5">
              <w:rPr>
                <w:rFonts w:ascii="Calibri Light" w:hAnsi="Calibri Light"/>
              </w:rPr>
              <w:t xml:space="preserve">Tipo de informe </w:t>
            </w:r>
          </w:p>
        </w:tc>
        <w:tc>
          <w:tcPr>
            <w:tcW w:w="5043" w:type="dxa"/>
            <w:gridSpan w:val="2"/>
            <w:vAlign w:val="center"/>
          </w:tcPr>
          <w:p w14:paraId="1380C6CD" w14:textId="77777777" w:rsidR="00B15193" w:rsidRPr="004533E5" w:rsidRDefault="00B15193" w:rsidP="00A84D66">
            <w:pPr>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Informe de Solución Amistosa</w:t>
            </w:r>
          </w:p>
        </w:tc>
      </w:tr>
      <w:tr w:rsidR="00B15193" w:rsidRPr="004533E5" w14:paraId="600EE8CF" w14:textId="77777777" w:rsidTr="00A84D6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0936848A" w14:textId="77777777" w:rsidR="00B15193" w:rsidRPr="004533E5" w:rsidRDefault="00B15193" w:rsidP="00A84D66">
            <w:pPr>
              <w:pStyle w:val="ListParagraph"/>
              <w:numPr>
                <w:ilvl w:val="0"/>
                <w:numId w:val="2"/>
              </w:numPr>
              <w:rPr>
                <w:rFonts w:ascii="Calibri Light" w:hAnsi="Calibri Light"/>
              </w:rPr>
            </w:pPr>
            <w:r>
              <w:rPr>
                <w:rFonts w:ascii="Calibri Light" w:hAnsi="Calibri Light"/>
              </w:rPr>
              <w:t>Fecha</w:t>
            </w:r>
            <w:r w:rsidRPr="004533E5">
              <w:rPr>
                <w:rFonts w:ascii="Calibri Light" w:hAnsi="Calibri Light"/>
              </w:rPr>
              <w:t xml:space="preserve"> </w:t>
            </w:r>
          </w:p>
        </w:tc>
        <w:tc>
          <w:tcPr>
            <w:tcW w:w="5043" w:type="dxa"/>
            <w:gridSpan w:val="2"/>
            <w:vAlign w:val="center"/>
          </w:tcPr>
          <w:p w14:paraId="0B87492D" w14:textId="77777777" w:rsidR="00B15193" w:rsidRPr="004533E5" w:rsidRDefault="00B15193" w:rsidP="00A84D66">
            <w:pPr>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 xml:space="preserve">30 de noviembre de 2016 </w:t>
            </w:r>
          </w:p>
        </w:tc>
      </w:tr>
      <w:tr w:rsidR="00B15193" w:rsidRPr="004533E5" w14:paraId="52774FCE" w14:textId="77777777" w:rsidTr="00A84D66">
        <w:trPr>
          <w:trHeight w:val="602"/>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37064682" w14:textId="77777777" w:rsidR="00B15193" w:rsidRPr="004533E5" w:rsidRDefault="00B15193" w:rsidP="00A84D66">
            <w:pPr>
              <w:pStyle w:val="ListParagraph"/>
              <w:numPr>
                <w:ilvl w:val="0"/>
                <w:numId w:val="2"/>
              </w:numPr>
              <w:rPr>
                <w:rFonts w:ascii="Calibri Light" w:hAnsi="Calibri Light"/>
              </w:rPr>
            </w:pPr>
            <w:r>
              <w:rPr>
                <w:rFonts w:ascii="Calibri Light" w:hAnsi="Calibri Light"/>
              </w:rPr>
              <w:t>Decisiones de la CIDH</w:t>
            </w:r>
            <w:r w:rsidRPr="004533E5">
              <w:rPr>
                <w:rFonts w:ascii="Calibri Light" w:hAnsi="Calibri Light"/>
              </w:rPr>
              <w:t xml:space="preserve"> </w:t>
            </w:r>
            <w:r>
              <w:rPr>
                <w:rFonts w:ascii="Calibri Light" w:hAnsi="Calibri Light"/>
              </w:rPr>
              <w:t xml:space="preserve">y/o la Corte IDH, </w:t>
            </w:r>
            <w:r w:rsidRPr="004533E5">
              <w:rPr>
                <w:rFonts w:ascii="Calibri Light" w:hAnsi="Calibri Light"/>
              </w:rPr>
              <w:t>relacionadas</w:t>
            </w:r>
          </w:p>
        </w:tc>
        <w:tc>
          <w:tcPr>
            <w:tcW w:w="5043" w:type="dxa"/>
            <w:gridSpan w:val="2"/>
            <w:vAlign w:val="center"/>
          </w:tcPr>
          <w:p w14:paraId="06CBC5FE" w14:textId="77777777" w:rsidR="00B15193" w:rsidRPr="004533E5" w:rsidRDefault="00DA61D7" w:rsidP="00A84D66">
            <w:pPr>
              <w:cnfStyle w:val="000000000000" w:firstRow="0" w:lastRow="0" w:firstColumn="0" w:lastColumn="0" w:oddVBand="0" w:evenVBand="0" w:oddHBand="0" w:evenHBand="0" w:firstRowFirstColumn="0" w:firstRowLastColumn="0" w:lastRowFirstColumn="0" w:lastRowLastColumn="0"/>
              <w:rPr>
                <w:rFonts w:ascii="Calibri Light" w:hAnsi="Calibri Light"/>
              </w:rPr>
            </w:pPr>
            <w:hyperlink r:id="rId12" w:history="1">
              <w:r w:rsidR="00EC277A" w:rsidRPr="007D5FEA">
                <w:rPr>
                  <w:rStyle w:val="Hyperlink"/>
                  <w:rFonts w:ascii="Calibri Light" w:hAnsi="Calibri Light"/>
                </w:rPr>
                <w:t>Medidas Cautelares</w:t>
              </w:r>
            </w:hyperlink>
          </w:p>
        </w:tc>
      </w:tr>
      <w:tr w:rsidR="00B15193" w:rsidRPr="004533E5" w14:paraId="2D4B35F8" w14:textId="77777777" w:rsidTr="00A84D66">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3678" w:type="dxa"/>
            <w:vMerge w:val="restart"/>
            <w:vAlign w:val="center"/>
          </w:tcPr>
          <w:p w14:paraId="463D63F5" w14:textId="77777777" w:rsidR="00B15193" w:rsidRDefault="00B15193" w:rsidP="00A84D66">
            <w:pPr>
              <w:pStyle w:val="ListParagraph"/>
              <w:numPr>
                <w:ilvl w:val="0"/>
                <w:numId w:val="2"/>
              </w:numPr>
              <w:rPr>
                <w:rFonts w:ascii="Calibri Light" w:hAnsi="Calibri Light"/>
              </w:rPr>
            </w:pPr>
            <w:r>
              <w:rPr>
                <w:rFonts w:ascii="Calibri Light" w:hAnsi="Calibri Light"/>
              </w:rPr>
              <w:t>Artículos analizados</w:t>
            </w:r>
          </w:p>
        </w:tc>
        <w:tc>
          <w:tcPr>
            <w:tcW w:w="5043" w:type="dxa"/>
            <w:gridSpan w:val="2"/>
            <w:vAlign w:val="center"/>
          </w:tcPr>
          <w:p w14:paraId="3C308AD7" w14:textId="77777777" w:rsidR="00B15193" w:rsidRPr="004533E5" w:rsidRDefault="00B15193" w:rsidP="00A84D66">
            <w:pPr>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 xml:space="preserve">Convención Americana sobre Derechos Humanos                                                                                                 </w:t>
            </w:r>
          </w:p>
        </w:tc>
      </w:tr>
      <w:tr w:rsidR="00B15193" w:rsidRPr="004533E5" w14:paraId="36D6CC3B" w14:textId="77777777" w:rsidTr="00A84D66">
        <w:trPr>
          <w:trHeight w:val="165"/>
        </w:trPr>
        <w:tc>
          <w:tcPr>
            <w:cnfStyle w:val="001000000000" w:firstRow="0" w:lastRow="0" w:firstColumn="1" w:lastColumn="0" w:oddVBand="0" w:evenVBand="0" w:oddHBand="0" w:evenHBand="0" w:firstRowFirstColumn="0" w:firstRowLastColumn="0" w:lastRowFirstColumn="0" w:lastRowLastColumn="0"/>
            <w:tcW w:w="3678" w:type="dxa"/>
            <w:vMerge/>
          </w:tcPr>
          <w:p w14:paraId="39623918" w14:textId="77777777" w:rsidR="00B15193" w:rsidRDefault="00B15193" w:rsidP="00A84D66">
            <w:pPr>
              <w:pStyle w:val="ListParagraph"/>
              <w:numPr>
                <w:ilvl w:val="0"/>
                <w:numId w:val="2"/>
              </w:numPr>
              <w:rPr>
                <w:rFonts w:ascii="Calibri Light" w:hAnsi="Calibri Light"/>
              </w:rPr>
            </w:pPr>
          </w:p>
        </w:tc>
        <w:tc>
          <w:tcPr>
            <w:tcW w:w="2475" w:type="dxa"/>
          </w:tcPr>
          <w:p w14:paraId="08352AEF" w14:textId="77777777" w:rsidR="00B15193" w:rsidDel="00680B38" w:rsidRDefault="00B15193" w:rsidP="00A84D66">
            <w:pPr>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Artículos sobre los que se alcanzó un acuerdo</w:t>
            </w:r>
          </w:p>
        </w:tc>
        <w:tc>
          <w:tcPr>
            <w:tcW w:w="2568" w:type="dxa"/>
          </w:tcPr>
          <w:p w14:paraId="7ABCC4CC" w14:textId="77777777" w:rsidR="00B15193" w:rsidDel="00680B38" w:rsidRDefault="00B15193" w:rsidP="00A84D66">
            <w:pPr>
              <w:tabs>
                <w:tab w:val="left" w:pos="0"/>
                <w:tab w:val="left" w:pos="84"/>
                <w:tab w:val="left" w:pos="1360"/>
              </w:tabs>
              <w:ind w:firstLine="1"/>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Artículos sobre los que no se alcanzó un acuerdo</w:t>
            </w:r>
          </w:p>
        </w:tc>
      </w:tr>
      <w:tr w:rsidR="00B15193" w:rsidRPr="00DA6941" w14:paraId="53B17C91" w14:textId="77777777" w:rsidTr="00A84D66">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678" w:type="dxa"/>
            <w:vMerge/>
          </w:tcPr>
          <w:p w14:paraId="6965D2AA" w14:textId="77777777" w:rsidR="00B15193" w:rsidRDefault="00B15193" w:rsidP="00A84D66">
            <w:pPr>
              <w:pStyle w:val="ListParagraph"/>
              <w:numPr>
                <w:ilvl w:val="0"/>
                <w:numId w:val="2"/>
              </w:numPr>
              <w:rPr>
                <w:rFonts w:ascii="Calibri Light" w:hAnsi="Calibri Light"/>
              </w:rPr>
            </w:pPr>
          </w:p>
        </w:tc>
        <w:tc>
          <w:tcPr>
            <w:tcW w:w="2475" w:type="dxa"/>
          </w:tcPr>
          <w:p w14:paraId="024FBECB" w14:textId="77777777" w:rsidR="00B15193" w:rsidRPr="00B50993" w:rsidRDefault="00B15193" w:rsidP="00A84D66">
            <w:pPr>
              <w:cnfStyle w:val="000000100000" w:firstRow="0" w:lastRow="0" w:firstColumn="0" w:lastColumn="0" w:oddVBand="0" w:evenVBand="0" w:oddHBand="1" w:evenHBand="0" w:firstRowFirstColumn="0" w:firstRowLastColumn="0" w:lastRowFirstColumn="0" w:lastRowLastColumn="0"/>
              <w:rPr>
                <w:rFonts w:ascii="Calibri Light" w:hAnsi="Calibri Light"/>
                <w:lang w:val="en-US"/>
              </w:rPr>
            </w:pPr>
            <w:r w:rsidRPr="00DA6941">
              <w:rPr>
                <w:rFonts w:ascii="Calibri Light" w:hAnsi="Calibri Light"/>
                <w:lang w:val="en-US"/>
              </w:rPr>
              <w:t>Art. 4</w:t>
            </w:r>
            <w:r w:rsidR="00B50993">
              <w:rPr>
                <w:rFonts w:ascii="Calibri Light" w:hAnsi="Calibri Light"/>
                <w:lang w:val="en-US"/>
              </w:rPr>
              <w:t>, a</w:t>
            </w:r>
            <w:r w:rsidRPr="00DA6941">
              <w:rPr>
                <w:rFonts w:ascii="Calibri Light" w:hAnsi="Calibri Light"/>
                <w:lang w:val="en-US"/>
              </w:rPr>
              <w:t>rt. 5</w:t>
            </w:r>
            <w:r w:rsidR="00B50993">
              <w:rPr>
                <w:rFonts w:ascii="Calibri Light" w:hAnsi="Calibri Light"/>
                <w:lang w:val="en-US"/>
              </w:rPr>
              <w:t>, a</w:t>
            </w:r>
            <w:r w:rsidRPr="00DA6941">
              <w:rPr>
                <w:rFonts w:ascii="Calibri Light" w:hAnsi="Calibri Light"/>
                <w:lang w:val="en-US"/>
              </w:rPr>
              <w:t>rt. 7</w:t>
            </w:r>
            <w:r w:rsidR="00B50993">
              <w:rPr>
                <w:rFonts w:ascii="Calibri Light" w:hAnsi="Calibri Light"/>
                <w:lang w:val="en-US"/>
              </w:rPr>
              <w:t>, a</w:t>
            </w:r>
            <w:r w:rsidR="00D42BE5">
              <w:rPr>
                <w:rFonts w:ascii="Calibri Light" w:hAnsi="Calibri Light"/>
                <w:lang w:val="en-US"/>
              </w:rPr>
              <w:t>rt. 11</w:t>
            </w:r>
            <w:r w:rsidR="00B50993">
              <w:rPr>
                <w:rFonts w:ascii="Calibri Light" w:hAnsi="Calibri Light"/>
                <w:lang w:val="en-US"/>
              </w:rPr>
              <w:t xml:space="preserve">, </w:t>
            </w:r>
            <w:r w:rsidR="00B50993" w:rsidRPr="00DA095D">
              <w:rPr>
                <w:rFonts w:ascii="Calibri Light" w:hAnsi="Calibri Light"/>
                <w:lang w:val="en-US"/>
              </w:rPr>
              <w:t>a</w:t>
            </w:r>
            <w:r w:rsidR="00D42BE5" w:rsidRPr="00DA095D">
              <w:rPr>
                <w:rFonts w:ascii="Calibri Light" w:hAnsi="Calibri Light"/>
                <w:lang w:val="en-US"/>
              </w:rPr>
              <w:t>rt. 16</w:t>
            </w:r>
            <w:r w:rsidR="00B50993">
              <w:rPr>
                <w:rFonts w:ascii="Calibri Light" w:hAnsi="Calibri Light"/>
                <w:lang w:val="en-US"/>
              </w:rPr>
              <w:t xml:space="preserve">, </w:t>
            </w:r>
            <w:r w:rsidR="00B50993" w:rsidRPr="00DA095D">
              <w:rPr>
                <w:rFonts w:ascii="Calibri Light" w:hAnsi="Calibri Light"/>
                <w:lang w:val="en-US"/>
              </w:rPr>
              <w:t>a</w:t>
            </w:r>
            <w:r w:rsidRPr="00DA095D">
              <w:rPr>
                <w:rFonts w:ascii="Calibri Light" w:hAnsi="Calibri Light"/>
                <w:lang w:val="en-US"/>
              </w:rPr>
              <w:t>rt. 8</w:t>
            </w:r>
            <w:r w:rsidR="00B50993">
              <w:rPr>
                <w:rFonts w:ascii="Calibri Light" w:hAnsi="Calibri Light"/>
                <w:lang w:val="en-US"/>
              </w:rPr>
              <w:t xml:space="preserve">, </w:t>
            </w:r>
            <w:r w:rsidR="00B50993" w:rsidRPr="00DA095D">
              <w:rPr>
                <w:rFonts w:ascii="Calibri Light" w:hAnsi="Calibri Light"/>
                <w:lang w:val="en-US"/>
              </w:rPr>
              <w:t>a</w:t>
            </w:r>
            <w:r w:rsidRPr="00DA095D">
              <w:rPr>
                <w:rFonts w:ascii="Calibri Light" w:hAnsi="Calibri Light"/>
                <w:lang w:val="en-US"/>
              </w:rPr>
              <w:t>rt. 25</w:t>
            </w:r>
          </w:p>
        </w:tc>
        <w:tc>
          <w:tcPr>
            <w:tcW w:w="2568" w:type="dxa"/>
          </w:tcPr>
          <w:p w14:paraId="48572EF6" w14:textId="77777777" w:rsidR="00B15193" w:rsidRPr="00D42BE5" w:rsidRDefault="00B15193" w:rsidP="00A84D66">
            <w:pPr>
              <w:cnfStyle w:val="000000100000" w:firstRow="0" w:lastRow="0" w:firstColumn="0" w:lastColumn="0" w:oddVBand="0" w:evenVBand="0" w:oddHBand="1" w:evenHBand="0" w:firstRowFirstColumn="0" w:firstRowLastColumn="0" w:lastRowFirstColumn="0" w:lastRowLastColumn="0"/>
              <w:rPr>
                <w:rFonts w:ascii="Calibri Light" w:hAnsi="Calibri Light"/>
                <w:lang w:val="es-PE"/>
              </w:rPr>
            </w:pPr>
            <w:r w:rsidRPr="00D42BE5">
              <w:rPr>
                <w:rFonts w:ascii="Calibri Light" w:hAnsi="Calibri Light"/>
                <w:lang w:val="es-PE"/>
              </w:rPr>
              <w:t xml:space="preserve">-- </w:t>
            </w:r>
          </w:p>
        </w:tc>
      </w:tr>
      <w:tr w:rsidR="00B15193" w:rsidRPr="004533E5" w14:paraId="538F6EDC" w14:textId="77777777" w:rsidTr="00A84D66">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5B04B86A" w14:textId="77777777" w:rsidR="00B15193" w:rsidRPr="00D42BE5" w:rsidRDefault="00B15193" w:rsidP="00A84D66">
            <w:pPr>
              <w:pStyle w:val="ListParagraph"/>
              <w:rPr>
                <w:rFonts w:ascii="Calibri Light" w:hAnsi="Calibri Light"/>
                <w:lang w:val="es-PE"/>
              </w:rPr>
            </w:pPr>
          </w:p>
          <w:p w14:paraId="5F23B05E" w14:textId="77777777" w:rsidR="00B15193" w:rsidRDefault="00B15193" w:rsidP="00A84D66">
            <w:pPr>
              <w:pStyle w:val="ListParagraph"/>
              <w:numPr>
                <w:ilvl w:val="0"/>
                <w:numId w:val="1"/>
              </w:numPr>
              <w:jc w:val="center"/>
              <w:rPr>
                <w:rFonts w:ascii="Calibri Light" w:hAnsi="Calibri Light"/>
              </w:rPr>
            </w:pPr>
            <w:r w:rsidRPr="004533E5">
              <w:rPr>
                <w:rFonts w:ascii="Calibri Light" w:hAnsi="Calibri Light"/>
              </w:rPr>
              <w:t>Sumilla</w:t>
            </w:r>
          </w:p>
          <w:p w14:paraId="7731FBA2" w14:textId="77777777" w:rsidR="00B15193" w:rsidRPr="004533E5" w:rsidRDefault="00B15193" w:rsidP="00A84D66">
            <w:pPr>
              <w:pStyle w:val="ListParagraph"/>
              <w:rPr>
                <w:rFonts w:ascii="Calibri Light" w:hAnsi="Calibri Light"/>
              </w:rPr>
            </w:pPr>
          </w:p>
        </w:tc>
      </w:tr>
      <w:tr w:rsidR="00B15193" w:rsidRPr="004533E5" w14:paraId="30AEDEE8" w14:textId="77777777" w:rsidTr="00A84D66">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8721" w:type="dxa"/>
            <w:gridSpan w:val="3"/>
          </w:tcPr>
          <w:p w14:paraId="409CD540" w14:textId="77777777" w:rsidR="00B15193" w:rsidRDefault="00B15193" w:rsidP="00A84D66">
            <w:pPr>
              <w:jc w:val="both"/>
              <w:rPr>
                <w:rFonts w:ascii="Calibri Light" w:hAnsi="Calibri Light"/>
                <w:b w:val="0"/>
              </w:rPr>
            </w:pPr>
          </w:p>
          <w:p w14:paraId="5BADBE3B" w14:textId="77777777" w:rsidR="00B15193" w:rsidRDefault="00B15193" w:rsidP="00D42BE5">
            <w:pPr>
              <w:jc w:val="both"/>
              <w:rPr>
                <w:rFonts w:ascii="Calibri Light" w:hAnsi="Calibri Light"/>
                <w:b w:val="0"/>
              </w:rPr>
            </w:pPr>
            <w:r>
              <w:rPr>
                <w:rFonts w:ascii="Calibri Light" w:hAnsi="Calibri Light"/>
                <w:b w:val="0"/>
              </w:rPr>
              <w:t xml:space="preserve">El caso trata sobre </w:t>
            </w:r>
            <w:r w:rsidR="00D42BE5">
              <w:rPr>
                <w:rFonts w:ascii="Calibri Light" w:hAnsi="Calibri Light"/>
                <w:b w:val="0"/>
              </w:rPr>
              <w:t>una cadena de acciones criminales realizadas por miembros de la fuerza pública de Colombia</w:t>
            </w:r>
            <w:r w:rsidR="001D4E48">
              <w:rPr>
                <w:rFonts w:ascii="Calibri Light" w:hAnsi="Calibri Light"/>
                <w:b w:val="0"/>
              </w:rPr>
              <w:t xml:space="preserve"> y grupos paramilitares</w:t>
            </w:r>
            <w:r w:rsidR="00D42BE5">
              <w:rPr>
                <w:rFonts w:ascii="Calibri Light" w:hAnsi="Calibri Light"/>
                <w:b w:val="0"/>
              </w:rPr>
              <w:t>, entre el 29 de marzo y el 23 de abril de 1990 en el municipio de Trujillo. Estas acciones resultaron en la tortura, ejecución extrajudicial y/o desaparición forzada de 76 víctimas. Se precisa también que el caso fue llevado a nivel judicial en un estado de completa impunidad, sin que el Estado investigue y, de ser el caso, sancione a los responsables.</w:t>
            </w:r>
          </w:p>
          <w:p w14:paraId="3367D04D" w14:textId="77777777" w:rsidR="00B50993" w:rsidRPr="004533E5" w:rsidRDefault="00B50993" w:rsidP="00D42BE5">
            <w:pPr>
              <w:jc w:val="both"/>
              <w:rPr>
                <w:rFonts w:ascii="Calibri Light" w:hAnsi="Calibri Light"/>
                <w:b w:val="0"/>
              </w:rPr>
            </w:pPr>
          </w:p>
        </w:tc>
      </w:tr>
      <w:tr w:rsidR="00B15193" w:rsidRPr="004533E5" w14:paraId="6BF7538F" w14:textId="77777777" w:rsidTr="00A84D66">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3FAA4851" w14:textId="77777777" w:rsidR="00B15193" w:rsidRDefault="00B15193" w:rsidP="00A84D66">
            <w:pPr>
              <w:pStyle w:val="ListParagraph"/>
              <w:rPr>
                <w:rFonts w:ascii="Calibri Light" w:hAnsi="Calibri Light"/>
              </w:rPr>
            </w:pPr>
          </w:p>
          <w:p w14:paraId="02A523B2" w14:textId="77777777" w:rsidR="00B15193" w:rsidRDefault="00B15193" w:rsidP="00A84D66">
            <w:pPr>
              <w:pStyle w:val="ListParagraph"/>
              <w:numPr>
                <w:ilvl w:val="0"/>
                <w:numId w:val="1"/>
              </w:numPr>
              <w:jc w:val="center"/>
              <w:rPr>
                <w:rFonts w:ascii="Calibri Light" w:hAnsi="Calibri Light"/>
              </w:rPr>
            </w:pPr>
            <w:r w:rsidRPr="004533E5">
              <w:rPr>
                <w:rFonts w:ascii="Calibri Light" w:hAnsi="Calibri Light"/>
              </w:rPr>
              <w:t>Palabras clave</w:t>
            </w:r>
          </w:p>
          <w:p w14:paraId="14571618" w14:textId="77777777" w:rsidR="00B15193" w:rsidRPr="004533E5" w:rsidRDefault="00B15193" w:rsidP="00A84D66">
            <w:pPr>
              <w:pStyle w:val="ListParagraph"/>
              <w:rPr>
                <w:rFonts w:ascii="Calibri Light" w:hAnsi="Calibri Light"/>
              </w:rPr>
            </w:pPr>
          </w:p>
        </w:tc>
      </w:tr>
      <w:tr w:rsidR="00B15193" w:rsidRPr="004533E5" w14:paraId="60EC2AAC" w14:textId="77777777" w:rsidTr="00A84D66">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8721" w:type="dxa"/>
            <w:gridSpan w:val="3"/>
          </w:tcPr>
          <w:p w14:paraId="0A4D98AD" w14:textId="77777777" w:rsidR="00B15193" w:rsidRDefault="00B15193" w:rsidP="00A84D66">
            <w:pPr>
              <w:jc w:val="both"/>
              <w:rPr>
                <w:rFonts w:ascii="Calibri Light" w:hAnsi="Calibri Light"/>
                <w:b w:val="0"/>
              </w:rPr>
            </w:pPr>
          </w:p>
          <w:p w14:paraId="5DE6E4E9" w14:textId="77777777" w:rsidR="00B15193" w:rsidRDefault="00B15193" w:rsidP="00A84D66">
            <w:pPr>
              <w:jc w:val="both"/>
              <w:rPr>
                <w:rFonts w:ascii="Calibri Light" w:hAnsi="Calibri Light"/>
                <w:b w:val="0"/>
              </w:rPr>
            </w:pPr>
            <w:r>
              <w:rPr>
                <w:rFonts w:ascii="Calibri Light" w:hAnsi="Calibri Light"/>
                <w:b w:val="0"/>
              </w:rPr>
              <w:t xml:space="preserve">Vida, Integridad personal, Libertad personal, </w:t>
            </w:r>
            <w:r w:rsidR="00D42BE5">
              <w:rPr>
                <w:rFonts w:ascii="Calibri Light" w:hAnsi="Calibri Light"/>
                <w:b w:val="0"/>
              </w:rPr>
              <w:t>Honra y reputación</w:t>
            </w:r>
            <w:r>
              <w:rPr>
                <w:rFonts w:ascii="Calibri Light" w:hAnsi="Calibri Light"/>
                <w:b w:val="0"/>
              </w:rPr>
              <w:t>,</w:t>
            </w:r>
            <w:r w:rsidR="00D42BE5">
              <w:rPr>
                <w:rFonts w:ascii="Calibri Light" w:hAnsi="Calibri Light"/>
                <w:b w:val="0"/>
              </w:rPr>
              <w:t xml:space="preserve"> Libertad de asociación,</w:t>
            </w:r>
            <w:r>
              <w:rPr>
                <w:rFonts w:ascii="Calibri Light" w:hAnsi="Calibri Light"/>
                <w:b w:val="0"/>
              </w:rPr>
              <w:t xml:space="preserve"> </w:t>
            </w:r>
            <w:proofErr w:type="gramStart"/>
            <w:r>
              <w:rPr>
                <w:rFonts w:ascii="Calibri Light" w:hAnsi="Calibri Light"/>
                <w:b w:val="0"/>
              </w:rPr>
              <w:t>Protección judicial y garantías judiciales</w:t>
            </w:r>
            <w:proofErr w:type="gramEnd"/>
            <w:r w:rsidR="001D4E48">
              <w:rPr>
                <w:rFonts w:ascii="Calibri Light" w:hAnsi="Calibri Light"/>
                <w:b w:val="0"/>
              </w:rPr>
              <w:t>, Grupos paramilitares, Desaparición forzada, Ejecución extrajudicial, Tortura tratos crueles inhumanos y/o degradantes</w:t>
            </w:r>
          </w:p>
          <w:p w14:paraId="7DE8A418" w14:textId="77777777" w:rsidR="00B15193" w:rsidRPr="004533E5" w:rsidRDefault="00B15193" w:rsidP="00A84D66">
            <w:pPr>
              <w:jc w:val="both"/>
              <w:rPr>
                <w:rFonts w:ascii="Calibri Light" w:hAnsi="Calibri Light"/>
                <w:b w:val="0"/>
              </w:rPr>
            </w:pPr>
          </w:p>
        </w:tc>
      </w:tr>
      <w:tr w:rsidR="00B15193" w:rsidRPr="004533E5" w14:paraId="372B0281" w14:textId="77777777" w:rsidTr="00A84D66">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5F2DEF5C" w14:textId="77777777" w:rsidR="00B15193" w:rsidRDefault="00B15193" w:rsidP="00A84D66">
            <w:pPr>
              <w:pStyle w:val="ListParagraph"/>
              <w:rPr>
                <w:rFonts w:ascii="Calibri Light" w:hAnsi="Calibri Light"/>
              </w:rPr>
            </w:pPr>
          </w:p>
          <w:p w14:paraId="00448553" w14:textId="77777777" w:rsidR="00B15193" w:rsidRDefault="00B15193" w:rsidP="00A84D66">
            <w:pPr>
              <w:pStyle w:val="ListParagraph"/>
              <w:numPr>
                <w:ilvl w:val="0"/>
                <w:numId w:val="1"/>
              </w:numPr>
              <w:jc w:val="center"/>
              <w:rPr>
                <w:rFonts w:ascii="Calibri Light" w:hAnsi="Calibri Light"/>
              </w:rPr>
            </w:pPr>
            <w:r w:rsidRPr="004533E5">
              <w:rPr>
                <w:rFonts w:ascii="Calibri Light" w:hAnsi="Calibri Light"/>
              </w:rPr>
              <w:t>Hechos</w:t>
            </w:r>
          </w:p>
          <w:p w14:paraId="5FBB8004" w14:textId="77777777" w:rsidR="00B15193" w:rsidRPr="004533E5" w:rsidRDefault="00B15193" w:rsidP="00A84D66">
            <w:pPr>
              <w:pStyle w:val="ListParagraph"/>
              <w:rPr>
                <w:rFonts w:ascii="Calibri Light" w:hAnsi="Calibri Light"/>
              </w:rPr>
            </w:pPr>
          </w:p>
        </w:tc>
      </w:tr>
      <w:tr w:rsidR="00B15193" w:rsidRPr="004533E5" w14:paraId="1F08849B" w14:textId="77777777" w:rsidTr="00A84D66">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8721" w:type="dxa"/>
            <w:gridSpan w:val="3"/>
          </w:tcPr>
          <w:p w14:paraId="4C1ED0BC" w14:textId="77777777" w:rsidR="00B15193" w:rsidRDefault="000C6F4F" w:rsidP="00A84D66">
            <w:pPr>
              <w:spacing w:before="240"/>
              <w:jc w:val="both"/>
              <w:rPr>
                <w:rFonts w:ascii="Calibri Light" w:hAnsi="Calibri Light"/>
                <w:b w:val="0"/>
              </w:rPr>
            </w:pPr>
            <w:r>
              <w:rPr>
                <w:rFonts w:ascii="Calibri Light" w:hAnsi="Calibri Light"/>
                <w:b w:val="0"/>
              </w:rPr>
              <w:t xml:space="preserve">Los días 29 y 30 de marzo de 1990 miembros del ejército nacional de Colombia ingresaron al </w:t>
            </w:r>
            <w:r w:rsidR="001D4E48">
              <w:rPr>
                <w:rFonts w:ascii="Calibri Light" w:hAnsi="Calibri Light"/>
                <w:b w:val="0"/>
              </w:rPr>
              <w:t xml:space="preserve">corregimiento </w:t>
            </w:r>
            <w:r>
              <w:rPr>
                <w:rFonts w:ascii="Calibri Light" w:hAnsi="Calibri Light"/>
                <w:b w:val="0"/>
              </w:rPr>
              <w:t xml:space="preserve">La </w:t>
            </w:r>
            <w:r w:rsidR="00EC13EA">
              <w:rPr>
                <w:rFonts w:ascii="Calibri Light" w:hAnsi="Calibri Light"/>
                <w:b w:val="0"/>
              </w:rPr>
              <w:t xml:space="preserve">Sonora hiriendo a seis civiles pese a que se identificaron como obreros y </w:t>
            </w:r>
            <w:r w:rsidR="00EC13EA">
              <w:rPr>
                <w:rFonts w:ascii="Calibri Light" w:hAnsi="Calibri Light"/>
                <w:b w:val="0"/>
              </w:rPr>
              <w:lastRenderedPageBreak/>
              <w:t>campesinos</w:t>
            </w:r>
            <w:r w:rsidR="001D4E48">
              <w:rPr>
                <w:rFonts w:ascii="Calibri Light" w:hAnsi="Calibri Light"/>
                <w:b w:val="0"/>
              </w:rPr>
              <w:t>. Al día siguiente</w:t>
            </w:r>
            <w:r w:rsidR="00B87733">
              <w:rPr>
                <w:rFonts w:ascii="Calibri Light" w:hAnsi="Calibri Light"/>
                <w:b w:val="0"/>
              </w:rPr>
              <w:t>,</w:t>
            </w:r>
            <w:r w:rsidR="001D4E48">
              <w:rPr>
                <w:rFonts w:ascii="Calibri Light" w:hAnsi="Calibri Light"/>
                <w:b w:val="0"/>
              </w:rPr>
              <w:t xml:space="preserve"> fueron perpetrados actos de tortura y posterior desaparición forzada en perjuicio de ocho víctimas adicionales.</w:t>
            </w:r>
          </w:p>
          <w:p w14:paraId="553A983C" w14:textId="77777777" w:rsidR="001D4E48" w:rsidRDefault="001D4E48" w:rsidP="00A84D66">
            <w:pPr>
              <w:spacing w:before="240"/>
              <w:jc w:val="both"/>
              <w:rPr>
                <w:rFonts w:ascii="Calibri Light" w:hAnsi="Calibri Light"/>
                <w:b w:val="0"/>
              </w:rPr>
            </w:pPr>
            <w:r>
              <w:rPr>
                <w:rFonts w:ascii="Calibri Light" w:hAnsi="Calibri Light"/>
                <w:b w:val="0"/>
              </w:rPr>
              <w:t>El 02 de abril</w:t>
            </w:r>
            <w:r w:rsidR="00B87733">
              <w:rPr>
                <w:rFonts w:ascii="Calibri Light" w:hAnsi="Calibri Light"/>
                <w:b w:val="0"/>
              </w:rPr>
              <w:t>, un grupo de hombres que se transportaban en una camioneta, detuvieron de manera arbitraria a cinco ebanistas en la plaza principal de Trujillo, quienes fueron también torturados y posteriormente ejecutados.</w:t>
            </w:r>
            <w:r w:rsidR="000C5226">
              <w:rPr>
                <w:rFonts w:ascii="Calibri Light" w:hAnsi="Calibri Light"/>
                <w:b w:val="0"/>
              </w:rPr>
              <w:t xml:space="preserve"> El 17 de abril, desde una camioneta similar, un grupo de personas detuvo al sacerdote Tiberio Fernández y a las tres personas que lo acompañaban. Una semana más tarde, el cadáver del sacerdote fue hallado decapitado y mutilado, mientras que sus acompañantes se encuentran todavía desaparecidos.</w:t>
            </w:r>
          </w:p>
          <w:p w14:paraId="43EF0AC4" w14:textId="77777777" w:rsidR="002651A5" w:rsidRDefault="002651A5" w:rsidP="00A84D66">
            <w:pPr>
              <w:spacing w:before="240"/>
              <w:jc w:val="both"/>
              <w:rPr>
                <w:rFonts w:ascii="Calibri Light" w:hAnsi="Calibri Light"/>
                <w:b w:val="0"/>
              </w:rPr>
            </w:pPr>
            <w:r>
              <w:rPr>
                <w:rFonts w:ascii="Calibri Light" w:hAnsi="Calibri Light"/>
                <w:b w:val="0"/>
              </w:rPr>
              <w:t>Adicionalmente el caso precisa que entre el 30 de marzo y el 19 de abril se registraron asesinatos y ejecuciones en modalidades similares en perjuicio de 12 víctimas, dentro de las cuales al menos tres presentaban rasgos de haber padecido torturas.</w:t>
            </w:r>
            <w:r w:rsidR="000C5226">
              <w:rPr>
                <w:rFonts w:ascii="Calibri Light" w:hAnsi="Calibri Light"/>
                <w:b w:val="0"/>
              </w:rPr>
              <w:t xml:space="preserve"> De igual manera, a fin de contextualizar estas violaciones, se hace referencia a una serie de desapariciones forzadas y asesinatos que tuvieron lugar en Trujillo desde 1989, prolongándose incluso hasta junio de 1990.</w:t>
            </w:r>
          </w:p>
          <w:p w14:paraId="447CDA4B" w14:textId="77777777" w:rsidR="00D82A21" w:rsidRDefault="00D82A21" w:rsidP="00A84D66">
            <w:pPr>
              <w:spacing w:before="240"/>
              <w:jc w:val="both"/>
              <w:rPr>
                <w:rFonts w:ascii="Calibri Light" w:hAnsi="Calibri Light"/>
                <w:b w:val="0"/>
              </w:rPr>
            </w:pPr>
            <w:r>
              <w:rPr>
                <w:rFonts w:ascii="Calibri Light" w:hAnsi="Calibri Light"/>
                <w:b w:val="0"/>
              </w:rPr>
              <w:t xml:space="preserve">Frente a tales hechos, el 16 de marzo de 1992, la CIDH recibió una petición presentada por la Comisión </w:t>
            </w:r>
            <w:proofErr w:type="spellStart"/>
            <w:r>
              <w:rPr>
                <w:rFonts w:ascii="Calibri Light" w:hAnsi="Calibri Light"/>
                <w:b w:val="0"/>
              </w:rPr>
              <w:t>Intecongresional</w:t>
            </w:r>
            <w:proofErr w:type="spellEnd"/>
            <w:r>
              <w:rPr>
                <w:rFonts w:ascii="Calibri Light" w:hAnsi="Calibri Light"/>
                <w:b w:val="0"/>
              </w:rPr>
              <w:t xml:space="preserve"> de Justicia y Paz, en la cual se denunciaban no solo las violaciones anteriormente referidas, sino también </w:t>
            </w:r>
            <w:r w:rsidR="00447CCD">
              <w:rPr>
                <w:rFonts w:ascii="Calibri Light" w:hAnsi="Calibri Light"/>
                <w:b w:val="0"/>
              </w:rPr>
              <w:t>la impunidad de la que gozaron los perpetradores al emitirse en setiembre de 1991, una sentencia a su favor absolutoria.</w:t>
            </w:r>
          </w:p>
          <w:p w14:paraId="04CF47F7" w14:textId="77777777" w:rsidR="00B15193" w:rsidRPr="004533E5" w:rsidRDefault="00B15193" w:rsidP="00A84D66">
            <w:pPr>
              <w:jc w:val="both"/>
              <w:rPr>
                <w:rFonts w:ascii="Calibri Light" w:hAnsi="Calibri Light"/>
                <w:b w:val="0"/>
              </w:rPr>
            </w:pPr>
          </w:p>
        </w:tc>
      </w:tr>
      <w:tr w:rsidR="00B15193" w:rsidRPr="004533E5" w14:paraId="0FE4DAC7" w14:textId="77777777" w:rsidTr="00A84D66">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24D3F8CA" w14:textId="77777777" w:rsidR="00B15193" w:rsidRDefault="00B15193" w:rsidP="00A84D66">
            <w:pPr>
              <w:jc w:val="center"/>
              <w:rPr>
                <w:rFonts w:ascii="Calibri Light" w:hAnsi="Calibri Light"/>
              </w:rPr>
            </w:pPr>
          </w:p>
          <w:p w14:paraId="72FC25FC" w14:textId="68D80E10" w:rsidR="00B15193" w:rsidRDefault="00B15193" w:rsidP="00A84D66">
            <w:pPr>
              <w:jc w:val="center"/>
              <w:rPr>
                <w:rFonts w:ascii="Calibri Light" w:hAnsi="Calibri Light"/>
              </w:rPr>
            </w:pPr>
            <w:r>
              <w:rPr>
                <w:rFonts w:ascii="Calibri Light" w:hAnsi="Calibri Light"/>
              </w:rPr>
              <w:t xml:space="preserve">E. </w:t>
            </w:r>
            <w:r w:rsidRPr="004533E5">
              <w:rPr>
                <w:rFonts w:ascii="Calibri Light" w:hAnsi="Calibri Light"/>
              </w:rPr>
              <w:t>Acuerdo de Solución</w:t>
            </w:r>
            <w:r>
              <w:rPr>
                <w:rFonts w:ascii="Calibri Light" w:hAnsi="Calibri Light"/>
              </w:rPr>
              <w:t xml:space="preserve"> Amistosa</w:t>
            </w:r>
            <w:r w:rsidR="00D47FE9">
              <w:rPr>
                <w:rFonts w:ascii="Calibri Light" w:hAnsi="Calibri Light"/>
              </w:rPr>
              <w:t xml:space="preserve"> </w:t>
            </w:r>
            <w:r w:rsidR="00D47FE9" w:rsidRPr="0040199C">
              <w:rPr>
                <w:rFonts w:ascii="Calibri Light" w:hAnsi="Calibri Light"/>
              </w:rPr>
              <w:t>(ASA)</w:t>
            </w:r>
          </w:p>
          <w:p w14:paraId="4E4A3520" w14:textId="77777777" w:rsidR="00B15193" w:rsidRPr="004533E5" w:rsidRDefault="00B15193" w:rsidP="00A84D66">
            <w:pPr>
              <w:jc w:val="center"/>
              <w:rPr>
                <w:rFonts w:ascii="Calibri Light" w:hAnsi="Calibri Light"/>
              </w:rPr>
            </w:pPr>
          </w:p>
        </w:tc>
      </w:tr>
      <w:tr w:rsidR="00B15193" w:rsidRPr="004533E5" w14:paraId="6C3FB8FC" w14:textId="77777777" w:rsidTr="00A84D66">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8721" w:type="dxa"/>
            <w:gridSpan w:val="3"/>
          </w:tcPr>
          <w:p w14:paraId="59A9C913" w14:textId="77777777" w:rsidR="00B15193" w:rsidRDefault="00B15193" w:rsidP="00A84D66">
            <w:pPr>
              <w:jc w:val="both"/>
              <w:rPr>
                <w:rFonts w:ascii="Calibri Light" w:hAnsi="Calibri Light"/>
                <w:b w:val="0"/>
              </w:rPr>
            </w:pPr>
          </w:p>
          <w:p w14:paraId="6193D45D" w14:textId="77777777" w:rsidR="00B15193" w:rsidRDefault="00B15193" w:rsidP="00A84D66">
            <w:pPr>
              <w:jc w:val="both"/>
              <w:rPr>
                <w:rFonts w:ascii="Calibri Light" w:hAnsi="Calibri Light"/>
                <w:b w:val="0"/>
              </w:rPr>
            </w:pPr>
            <w:r>
              <w:rPr>
                <w:rFonts w:ascii="Calibri Light" w:hAnsi="Calibri Light"/>
                <w:b w:val="0"/>
              </w:rPr>
              <w:t>Mediante el acuerdo de solución amistosa</w:t>
            </w:r>
            <w:r w:rsidR="00B45D68">
              <w:rPr>
                <w:rFonts w:ascii="Calibri Light" w:hAnsi="Calibri Light"/>
                <w:b w:val="0"/>
              </w:rPr>
              <w:t xml:space="preserve"> suscrito por las partes el 06 de abril de 2016</w:t>
            </w:r>
            <w:r>
              <w:rPr>
                <w:rFonts w:ascii="Calibri Light" w:hAnsi="Calibri Light"/>
                <w:b w:val="0"/>
              </w:rPr>
              <w:t>, las partes manifestaron lo siguiente:</w:t>
            </w:r>
          </w:p>
          <w:p w14:paraId="7F46D44A" w14:textId="77777777" w:rsidR="00B15193" w:rsidRDefault="00B15193" w:rsidP="00A84D66">
            <w:pPr>
              <w:jc w:val="both"/>
              <w:rPr>
                <w:rFonts w:ascii="Calibri Light" w:hAnsi="Calibri Light"/>
                <w:b w:val="0"/>
              </w:rPr>
            </w:pPr>
          </w:p>
          <w:p w14:paraId="5B4B1949" w14:textId="2EA65A85" w:rsidR="00B15193" w:rsidRDefault="00B15193" w:rsidP="00A84D66">
            <w:pPr>
              <w:jc w:val="both"/>
              <w:rPr>
                <w:rFonts w:ascii="Calibri Light" w:hAnsi="Calibri Light"/>
                <w:b w:val="0"/>
              </w:rPr>
            </w:pPr>
            <w:r>
              <w:rPr>
                <w:rFonts w:ascii="Calibri Light" w:hAnsi="Calibri Light"/>
                <w:b w:val="0"/>
              </w:rPr>
              <w:t xml:space="preserve">1. El Estado colombiano reconoció </w:t>
            </w:r>
            <w:r w:rsidR="00CD3FC0">
              <w:rPr>
                <w:rFonts w:ascii="Calibri Light" w:hAnsi="Calibri Light"/>
                <w:b w:val="0"/>
              </w:rPr>
              <w:t xml:space="preserve">a 76 personas como víctimas de la masacre de Trujillo y se comprometió a que en caso la </w:t>
            </w:r>
            <w:r w:rsidR="0057788E">
              <w:rPr>
                <w:rFonts w:ascii="Calibri Light" w:hAnsi="Calibri Light"/>
                <w:b w:val="0"/>
              </w:rPr>
              <w:t>fiscalía nacional</w:t>
            </w:r>
            <w:r w:rsidR="00CD3FC0">
              <w:rPr>
                <w:rFonts w:ascii="Calibri Light" w:hAnsi="Calibri Light"/>
                <w:b w:val="0"/>
              </w:rPr>
              <w:t xml:space="preserve"> Especializada de Derechos Humanos y Derecho Internacional Humanitario identificara nuevas víctimas como parte de la investigación que venía realizando de los hechos, este le otorgaría también la calidad de víctimas a tales personas. </w:t>
            </w:r>
          </w:p>
          <w:p w14:paraId="6B15EFD7" w14:textId="666773FE" w:rsidR="00B15193" w:rsidRDefault="00B15193" w:rsidP="00A84D66">
            <w:pPr>
              <w:spacing w:before="240"/>
              <w:jc w:val="both"/>
              <w:rPr>
                <w:rFonts w:ascii="Calibri Light" w:hAnsi="Calibri Light"/>
                <w:b w:val="0"/>
              </w:rPr>
            </w:pPr>
            <w:r>
              <w:rPr>
                <w:rFonts w:ascii="Calibri Light" w:hAnsi="Calibri Light"/>
                <w:b w:val="0"/>
              </w:rPr>
              <w:t xml:space="preserve">2. El Estado colombiano </w:t>
            </w:r>
            <w:r w:rsidR="00CD3FC0">
              <w:rPr>
                <w:rFonts w:ascii="Calibri Light" w:hAnsi="Calibri Light"/>
                <w:b w:val="0"/>
              </w:rPr>
              <w:t xml:space="preserve">asumió la obligación de crear un Grupo de Trabajo a través de la </w:t>
            </w:r>
            <w:r w:rsidR="0057788E">
              <w:rPr>
                <w:rFonts w:ascii="Calibri Light" w:hAnsi="Calibri Light"/>
                <w:b w:val="0"/>
              </w:rPr>
              <w:t>fiscalía general</w:t>
            </w:r>
            <w:r w:rsidR="00CD3FC0">
              <w:rPr>
                <w:rFonts w:ascii="Calibri Light" w:hAnsi="Calibri Light"/>
                <w:b w:val="0"/>
              </w:rPr>
              <w:t xml:space="preserve"> de la Nación, con el objetivo de continuar con la obligación de investigar, juzgar y sancionar a los responsables d los hechos, así como buscar e identificar a los desaparecidos y entregar sus cuerpos a sus familiares</w:t>
            </w:r>
            <w:r>
              <w:rPr>
                <w:rFonts w:ascii="Calibri Light" w:hAnsi="Calibri Light"/>
                <w:b w:val="0"/>
              </w:rPr>
              <w:t>.</w:t>
            </w:r>
          </w:p>
          <w:p w14:paraId="439F01A4" w14:textId="77777777" w:rsidR="00B15193" w:rsidRDefault="00B15193" w:rsidP="00A84D66">
            <w:pPr>
              <w:spacing w:before="240"/>
              <w:jc w:val="both"/>
              <w:rPr>
                <w:rFonts w:ascii="Calibri Light" w:hAnsi="Calibri Light"/>
                <w:b w:val="0"/>
              </w:rPr>
            </w:pPr>
            <w:r>
              <w:rPr>
                <w:rFonts w:ascii="Calibri Light" w:hAnsi="Calibri Light"/>
                <w:b w:val="0"/>
              </w:rPr>
              <w:t xml:space="preserve">3. El Estado se comprometió a adoptar medidas </w:t>
            </w:r>
            <w:r w:rsidR="00F56B2C">
              <w:rPr>
                <w:rFonts w:ascii="Calibri Light" w:hAnsi="Calibri Light"/>
                <w:b w:val="0"/>
              </w:rPr>
              <w:t xml:space="preserve">relacionadas con el derecho a la verdad y la reconstrucción de la memoria </w:t>
            </w:r>
            <w:r>
              <w:rPr>
                <w:rFonts w:ascii="Calibri Light" w:hAnsi="Calibri Light"/>
                <w:b w:val="0"/>
              </w:rPr>
              <w:t>tales</w:t>
            </w:r>
            <w:r w:rsidR="00F56B2C">
              <w:rPr>
                <w:rFonts w:ascii="Calibri Light" w:hAnsi="Calibri Light"/>
                <w:b w:val="0"/>
              </w:rPr>
              <w:t xml:space="preserve"> como</w:t>
            </w:r>
            <w:r>
              <w:rPr>
                <w:rFonts w:ascii="Calibri Light" w:hAnsi="Calibri Light"/>
                <w:b w:val="0"/>
              </w:rPr>
              <w:t>:</w:t>
            </w:r>
          </w:p>
          <w:p w14:paraId="460ED834" w14:textId="77777777" w:rsidR="00B15193" w:rsidRDefault="00F56B2C" w:rsidP="00B15193">
            <w:pPr>
              <w:pStyle w:val="ListParagraph"/>
              <w:numPr>
                <w:ilvl w:val="0"/>
                <w:numId w:val="3"/>
              </w:numPr>
              <w:spacing w:before="240"/>
              <w:jc w:val="both"/>
              <w:rPr>
                <w:rFonts w:ascii="Calibri Light" w:hAnsi="Calibri Light"/>
                <w:b w:val="0"/>
              </w:rPr>
            </w:pPr>
            <w:r>
              <w:rPr>
                <w:rFonts w:ascii="Calibri Light" w:hAnsi="Calibri Light"/>
                <w:b w:val="0"/>
              </w:rPr>
              <w:t>Celebrar un acto de conmemoración encabezado por un alto funcionario del Estado.</w:t>
            </w:r>
          </w:p>
          <w:p w14:paraId="428924BF" w14:textId="77777777" w:rsidR="00B15193" w:rsidRDefault="00B15193" w:rsidP="00B15193">
            <w:pPr>
              <w:pStyle w:val="ListParagraph"/>
              <w:numPr>
                <w:ilvl w:val="0"/>
                <w:numId w:val="3"/>
              </w:numPr>
              <w:spacing w:before="240"/>
              <w:jc w:val="both"/>
              <w:rPr>
                <w:rFonts w:ascii="Calibri Light" w:hAnsi="Calibri Light"/>
                <w:b w:val="0"/>
              </w:rPr>
            </w:pPr>
            <w:r>
              <w:rPr>
                <w:rFonts w:ascii="Calibri Light" w:hAnsi="Calibri Light"/>
                <w:b w:val="0"/>
              </w:rPr>
              <w:t xml:space="preserve">Realizar un </w:t>
            </w:r>
            <w:r w:rsidR="00F56B2C">
              <w:rPr>
                <w:rFonts w:ascii="Calibri Light" w:hAnsi="Calibri Light"/>
                <w:b w:val="0"/>
              </w:rPr>
              <w:t>documental audiovisual sobre los esfuerzos de los familiares de las víctimas en la búsqueda de verdad y justicia.</w:t>
            </w:r>
          </w:p>
          <w:p w14:paraId="225395C5" w14:textId="77777777" w:rsidR="00B15193" w:rsidRDefault="00F56B2C" w:rsidP="00B15193">
            <w:pPr>
              <w:pStyle w:val="ListParagraph"/>
              <w:numPr>
                <w:ilvl w:val="0"/>
                <w:numId w:val="3"/>
              </w:numPr>
              <w:spacing w:before="240"/>
              <w:jc w:val="both"/>
              <w:rPr>
                <w:rFonts w:ascii="Calibri Light" w:hAnsi="Calibri Light"/>
                <w:b w:val="0"/>
              </w:rPr>
            </w:pPr>
            <w:r>
              <w:rPr>
                <w:rFonts w:ascii="Calibri Light" w:hAnsi="Calibri Light"/>
                <w:b w:val="0"/>
              </w:rPr>
              <w:t>Otorgar un apoyo económico a la Asociación Familiares Víctimas de Trujillo, para que sea invertido en el desarrollo de una agenda cultural vinculada al parque Monumento de Trujillo Valle del Cauca</w:t>
            </w:r>
            <w:r w:rsidR="001A6B53">
              <w:rPr>
                <w:rFonts w:ascii="Calibri Light" w:hAnsi="Calibri Light"/>
                <w:b w:val="0"/>
              </w:rPr>
              <w:t>, así como otras actividades de memoria</w:t>
            </w:r>
            <w:r>
              <w:rPr>
                <w:rFonts w:ascii="Calibri Light" w:hAnsi="Calibri Light"/>
                <w:b w:val="0"/>
              </w:rPr>
              <w:t>.</w:t>
            </w:r>
          </w:p>
          <w:p w14:paraId="7BA56CFF" w14:textId="21694052" w:rsidR="00B15193" w:rsidRDefault="00B15193" w:rsidP="00A84D66">
            <w:pPr>
              <w:spacing w:before="240"/>
              <w:jc w:val="both"/>
              <w:rPr>
                <w:rFonts w:ascii="Calibri Light" w:hAnsi="Calibri Light"/>
                <w:b w:val="0"/>
              </w:rPr>
            </w:pPr>
            <w:r>
              <w:rPr>
                <w:rFonts w:ascii="Calibri Light" w:hAnsi="Calibri Light"/>
                <w:b w:val="0"/>
              </w:rPr>
              <w:t xml:space="preserve">4. El Estado </w:t>
            </w:r>
            <w:r w:rsidR="00F56B2C">
              <w:rPr>
                <w:rFonts w:ascii="Calibri Light" w:hAnsi="Calibri Light"/>
                <w:b w:val="0"/>
              </w:rPr>
              <w:t xml:space="preserve">se comprometió a indemnizar los perjuicios inmateriales y materiales a favor de los familiares directos de las víctimas reconocidas en la investigación de la </w:t>
            </w:r>
            <w:r w:rsidR="0057788E">
              <w:rPr>
                <w:rFonts w:ascii="Calibri Light" w:hAnsi="Calibri Light"/>
                <w:b w:val="0"/>
              </w:rPr>
              <w:t>fiscalía nacional</w:t>
            </w:r>
            <w:r w:rsidR="00F56B2C">
              <w:rPr>
                <w:rFonts w:ascii="Calibri Light" w:hAnsi="Calibri Light"/>
                <w:b w:val="0"/>
              </w:rPr>
              <w:t xml:space="preserve"> Especializada de Derechos Humanos y Derecho Internacional Humanitario. De igual manera, el Estado colombiano se comprometió a acompañar a las víctimas a fin de garantizar su acceso a los </w:t>
            </w:r>
            <w:r w:rsidR="00F56B2C">
              <w:rPr>
                <w:rFonts w:ascii="Calibri Light" w:hAnsi="Calibri Light"/>
                <w:b w:val="0"/>
              </w:rPr>
              <w:lastRenderedPageBreak/>
              <w:t>planes, programas y proyectos en materia de asistencia y reparación. Finalmente, el Estado aseguró que se realizarían las gestiones necesarias para lograr la titulación de las viviendas construidas en Trujillo.</w:t>
            </w:r>
          </w:p>
          <w:p w14:paraId="145368F4" w14:textId="77777777" w:rsidR="00F56B2C" w:rsidRPr="00327907" w:rsidRDefault="00F56B2C" w:rsidP="00A84D66">
            <w:pPr>
              <w:spacing w:before="240"/>
              <w:jc w:val="both"/>
              <w:rPr>
                <w:rFonts w:ascii="Calibri Light" w:hAnsi="Calibri Light"/>
                <w:b w:val="0"/>
              </w:rPr>
            </w:pPr>
            <w:r>
              <w:rPr>
                <w:rFonts w:ascii="Calibri Light" w:hAnsi="Calibri Light"/>
                <w:b w:val="0"/>
              </w:rPr>
              <w:t>5. El Estado se comprometió a brindar acompañamiento y asistencia técnica al Municipio de Trujillo en la construcción, actualización y seguimiento del plan integral de prevención a violaciones de derechos humanos e infracciones al Derecho Internacional Humanitario.</w:t>
            </w:r>
          </w:p>
          <w:p w14:paraId="5EEE04EC" w14:textId="77777777" w:rsidR="00B15193" w:rsidRPr="004533E5" w:rsidRDefault="00B15193" w:rsidP="00A84D66">
            <w:pPr>
              <w:jc w:val="both"/>
              <w:rPr>
                <w:rFonts w:ascii="Calibri Light" w:hAnsi="Calibri Light"/>
                <w:b w:val="0"/>
              </w:rPr>
            </w:pPr>
          </w:p>
        </w:tc>
      </w:tr>
      <w:tr w:rsidR="00B15193" w:rsidRPr="004533E5" w14:paraId="32F487A7" w14:textId="77777777" w:rsidTr="00A84D66">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63A880EC" w14:textId="77777777" w:rsidR="00B15193" w:rsidRDefault="00B15193" w:rsidP="00A84D66">
            <w:pPr>
              <w:pStyle w:val="ListParagraph"/>
              <w:rPr>
                <w:rFonts w:ascii="Calibri Light" w:hAnsi="Calibri Light"/>
              </w:rPr>
            </w:pPr>
          </w:p>
          <w:p w14:paraId="5266D4CB" w14:textId="709D0B89" w:rsidR="00B15193" w:rsidRDefault="00B15193" w:rsidP="00D61D54">
            <w:pPr>
              <w:pStyle w:val="ListParagraph"/>
              <w:numPr>
                <w:ilvl w:val="0"/>
                <w:numId w:val="5"/>
              </w:numPr>
              <w:jc w:val="center"/>
              <w:rPr>
                <w:rFonts w:ascii="Calibri Light" w:hAnsi="Calibri Light"/>
              </w:rPr>
            </w:pPr>
            <w:r>
              <w:rPr>
                <w:rFonts w:ascii="Calibri Light" w:hAnsi="Calibri Light"/>
              </w:rPr>
              <w:t>Determinación de compatibilidad y cumplimiento</w:t>
            </w:r>
          </w:p>
          <w:p w14:paraId="4DFE61A3" w14:textId="77777777" w:rsidR="00B15193" w:rsidRPr="004533E5" w:rsidRDefault="00B15193" w:rsidP="00A84D66">
            <w:pPr>
              <w:pStyle w:val="ListParagraph"/>
              <w:rPr>
                <w:rFonts w:ascii="Calibri Light" w:hAnsi="Calibri Light"/>
              </w:rPr>
            </w:pPr>
          </w:p>
        </w:tc>
      </w:tr>
      <w:tr w:rsidR="00B15193" w:rsidRPr="004533E5" w14:paraId="6F365242" w14:textId="77777777" w:rsidTr="00A84D66">
        <w:trPr>
          <w:cnfStyle w:val="000000100000" w:firstRow="0" w:lastRow="0" w:firstColumn="0" w:lastColumn="0" w:oddVBand="0" w:evenVBand="0" w:oddHBand="1" w:evenHBand="0" w:firstRowFirstColumn="0" w:firstRowLastColumn="0" w:lastRowFirstColumn="0" w:lastRowLastColumn="0"/>
          <w:trHeight w:val="1147"/>
        </w:trPr>
        <w:tc>
          <w:tcPr>
            <w:cnfStyle w:val="001000000000" w:firstRow="0" w:lastRow="0" w:firstColumn="1" w:lastColumn="0" w:oddVBand="0" w:evenVBand="0" w:oddHBand="0" w:evenHBand="0" w:firstRowFirstColumn="0" w:firstRowLastColumn="0" w:lastRowFirstColumn="0" w:lastRowLastColumn="0"/>
            <w:tcW w:w="8721" w:type="dxa"/>
            <w:gridSpan w:val="3"/>
          </w:tcPr>
          <w:p w14:paraId="6A04D88C" w14:textId="77777777" w:rsidR="00B15193" w:rsidRDefault="00B15193" w:rsidP="00A84D66">
            <w:pPr>
              <w:jc w:val="both"/>
              <w:rPr>
                <w:rFonts w:ascii="Calibri Light" w:hAnsi="Calibri Light"/>
                <w:b w:val="0"/>
              </w:rPr>
            </w:pPr>
          </w:p>
          <w:p w14:paraId="56F46C9E" w14:textId="77777777" w:rsidR="00B15193" w:rsidRDefault="00B15193" w:rsidP="00A84D66">
            <w:pPr>
              <w:jc w:val="both"/>
              <w:rPr>
                <w:rFonts w:ascii="Calibri Light" w:hAnsi="Calibri Light"/>
                <w:b w:val="0"/>
              </w:rPr>
            </w:pPr>
            <w:r>
              <w:rPr>
                <w:rFonts w:ascii="Calibri Light" w:hAnsi="Calibri Light"/>
                <w:b w:val="0"/>
              </w:rPr>
              <w:t>La CIDH determinó, a partir de la información suministrada por las partes, que:</w:t>
            </w:r>
          </w:p>
          <w:p w14:paraId="79F7C99A" w14:textId="77777777" w:rsidR="00B15193" w:rsidRDefault="00B15193" w:rsidP="00A84D66">
            <w:pPr>
              <w:jc w:val="both"/>
              <w:rPr>
                <w:rFonts w:ascii="Calibri Light" w:hAnsi="Calibri Light"/>
                <w:b w:val="0"/>
              </w:rPr>
            </w:pPr>
          </w:p>
          <w:p w14:paraId="31FE21D7" w14:textId="77777777" w:rsidR="00B15193" w:rsidRDefault="00B15193" w:rsidP="00B15193">
            <w:pPr>
              <w:pStyle w:val="ListParagraph"/>
              <w:numPr>
                <w:ilvl w:val="0"/>
                <w:numId w:val="4"/>
              </w:numPr>
              <w:jc w:val="both"/>
              <w:rPr>
                <w:rFonts w:ascii="Calibri Light" w:hAnsi="Calibri Light"/>
                <w:b w:val="0"/>
              </w:rPr>
            </w:pPr>
            <w:r>
              <w:rPr>
                <w:rFonts w:ascii="Calibri Light" w:hAnsi="Calibri Light"/>
                <w:b w:val="0"/>
              </w:rPr>
              <w:t>Aprobar los términos del acuerdo de solución amistosa suscrito por las partes el 06 de abril de 2016,</w:t>
            </w:r>
          </w:p>
          <w:p w14:paraId="7D65098C" w14:textId="5876CD0E" w:rsidR="00B15193" w:rsidRDefault="00B15193" w:rsidP="00B15193">
            <w:pPr>
              <w:pStyle w:val="ListParagraph"/>
              <w:numPr>
                <w:ilvl w:val="0"/>
                <w:numId w:val="4"/>
              </w:numPr>
              <w:jc w:val="both"/>
              <w:rPr>
                <w:rFonts w:ascii="Calibri Light" w:hAnsi="Calibri Light"/>
                <w:b w:val="0"/>
              </w:rPr>
            </w:pPr>
            <w:proofErr w:type="gramStart"/>
            <w:r>
              <w:rPr>
                <w:rFonts w:ascii="Calibri Light" w:hAnsi="Calibri Light"/>
                <w:b w:val="0"/>
              </w:rPr>
              <w:t>Declarar</w:t>
            </w:r>
            <w:proofErr w:type="gramEnd"/>
            <w:r>
              <w:rPr>
                <w:rFonts w:ascii="Calibri Light" w:hAnsi="Calibri Light"/>
                <w:b w:val="0"/>
              </w:rPr>
              <w:t xml:space="preserve"> que e</w:t>
            </w:r>
            <w:r w:rsidRPr="00BB24EC">
              <w:rPr>
                <w:rFonts w:ascii="Calibri Light" w:hAnsi="Calibri Light"/>
                <w:b w:val="0"/>
              </w:rPr>
              <w:t xml:space="preserve">l Estado cumplió en su totalidad con </w:t>
            </w:r>
            <w:r w:rsidR="00927410">
              <w:rPr>
                <w:rFonts w:ascii="Calibri Light" w:hAnsi="Calibri Light"/>
                <w:b w:val="0"/>
              </w:rPr>
              <w:t xml:space="preserve">realizar un acto conmemorativo de los hechos el día del aniversario de la recuperación de los restos mortales del padre Tiberio Fernández, el cual fue encabezado por Yesid Reyes, en aquel entonces </w:t>
            </w:r>
            <w:r w:rsidR="0057788E">
              <w:rPr>
                <w:rFonts w:ascii="Calibri Light" w:hAnsi="Calibri Light"/>
                <w:b w:val="0"/>
              </w:rPr>
              <w:t>ministro</w:t>
            </w:r>
            <w:r w:rsidR="00927410">
              <w:rPr>
                <w:rFonts w:ascii="Calibri Light" w:hAnsi="Calibri Light"/>
                <w:b w:val="0"/>
              </w:rPr>
              <w:t xml:space="preserve"> de Justicia y Derecho</w:t>
            </w:r>
            <w:r w:rsidRPr="00BB24EC">
              <w:rPr>
                <w:rFonts w:ascii="Calibri Light" w:hAnsi="Calibri Light"/>
                <w:b w:val="0"/>
              </w:rPr>
              <w:t>.</w:t>
            </w:r>
          </w:p>
          <w:p w14:paraId="282C34E6" w14:textId="77777777" w:rsidR="00927410" w:rsidRDefault="00927410" w:rsidP="00B15193">
            <w:pPr>
              <w:pStyle w:val="ListParagraph"/>
              <w:numPr>
                <w:ilvl w:val="0"/>
                <w:numId w:val="4"/>
              </w:numPr>
              <w:jc w:val="both"/>
              <w:rPr>
                <w:rFonts w:ascii="Calibri Light" w:hAnsi="Calibri Light"/>
                <w:b w:val="0"/>
              </w:rPr>
            </w:pPr>
            <w:proofErr w:type="gramStart"/>
            <w:r>
              <w:rPr>
                <w:rFonts w:ascii="Calibri Light" w:hAnsi="Calibri Light"/>
                <w:b w:val="0"/>
              </w:rPr>
              <w:t>Declarar</w:t>
            </w:r>
            <w:proofErr w:type="gramEnd"/>
            <w:r>
              <w:rPr>
                <w:rFonts w:ascii="Calibri Light" w:hAnsi="Calibri Light"/>
                <w:b w:val="0"/>
              </w:rPr>
              <w:t xml:space="preserve"> que el Estado dio cumplimiento parcial a sus compromisos de: i)</w:t>
            </w:r>
            <w:r w:rsidR="001A6B53">
              <w:rPr>
                <w:rFonts w:ascii="Calibri Light" w:hAnsi="Calibri Light"/>
                <w:b w:val="0"/>
              </w:rPr>
              <w:t xml:space="preserve"> entregar un monto económico a la Asociación Familiares Víctimas de Trujillo para el desarrollo de la agenda cultural; </w:t>
            </w:r>
            <w:proofErr w:type="spellStart"/>
            <w:r w:rsidR="001A6B53">
              <w:rPr>
                <w:rFonts w:ascii="Calibri Light" w:hAnsi="Calibri Light"/>
                <w:b w:val="0"/>
              </w:rPr>
              <w:t>ii</w:t>
            </w:r>
            <w:proofErr w:type="spellEnd"/>
            <w:r w:rsidR="001A6B53">
              <w:rPr>
                <w:rFonts w:ascii="Calibri Light" w:hAnsi="Calibri Light"/>
                <w:b w:val="0"/>
              </w:rPr>
              <w:t xml:space="preserve">) </w:t>
            </w:r>
            <w:r w:rsidR="005A0514">
              <w:rPr>
                <w:rFonts w:ascii="Calibri Light" w:hAnsi="Calibri Light"/>
                <w:b w:val="0"/>
              </w:rPr>
              <w:t xml:space="preserve">continuar con las investigaciones para juzgar y sancionar a los responsables; </w:t>
            </w:r>
            <w:proofErr w:type="spellStart"/>
            <w:r w:rsidR="005A0514">
              <w:rPr>
                <w:rFonts w:ascii="Calibri Light" w:hAnsi="Calibri Light"/>
                <w:b w:val="0"/>
              </w:rPr>
              <w:t>iii</w:t>
            </w:r>
            <w:proofErr w:type="spellEnd"/>
            <w:r w:rsidR="005A0514">
              <w:rPr>
                <w:rFonts w:ascii="Calibri Light" w:hAnsi="Calibri Light"/>
                <w:b w:val="0"/>
              </w:rPr>
              <w:t>) indemnizar los perjuicios materiales e inmateriales a favor de los familiares directos de las víctimas</w:t>
            </w:r>
            <w:r w:rsidR="005C08C2">
              <w:rPr>
                <w:rFonts w:ascii="Calibri Light" w:hAnsi="Calibri Light"/>
                <w:b w:val="0"/>
              </w:rPr>
              <w:t xml:space="preserve">; y </w:t>
            </w:r>
            <w:proofErr w:type="spellStart"/>
            <w:r w:rsidR="005C08C2">
              <w:rPr>
                <w:rFonts w:ascii="Calibri Light" w:hAnsi="Calibri Light"/>
                <w:b w:val="0"/>
              </w:rPr>
              <w:t>iv</w:t>
            </w:r>
            <w:proofErr w:type="spellEnd"/>
            <w:r w:rsidR="005C08C2">
              <w:rPr>
                <w:rFonts w:ascii="Calibri Light" w:hAnsi="Calibri Light"/>
                <w:b w:val="0"/>
              </w:rPr>
              <w:t>) titular las viviendas construidas en Trujillo.</w:t>
            </w:r>
          </w:p>
          <w:p w14:paraId="42F62AE7" w14:textId="77777777" w:rsidR="005C08C2" w:rsidRPr="00BB24EC" w:rsidRDefault="005C08C2" w:rsidP="00B15193">
            <w:pPr>
              <w:pStyle w:val="ListParagraph"/>
              <w:numPr>
                <w:ilvl w:val="0"/>
                <w:numId w:val="4"/>
              </w:numPr>
              <w:jc w:val="both"/>
              <w:rPr>
                <w:rFonts w:ascii="Calibri Light" w:hAnsi="Calibri Light"/>
                <w:b w:val="0"/>
              </w:rPr>
            </w:pPr>
            <w:r>
              <w:rPr>
                <w:rFonts w:ascii="Calibri Light" w:hAnsi="Calibri Light"/>
                <w:b w:val="0"/>
              </w:rPr>
              <w:t xml:space="preserve">Declarar pendientes de cumplimiento los compromisos asumidos por el Estado relativos a i) realizar un documental audiovisual, y </w:t>
            </w:r>
            <w:proofErr w:type="spellStart"/>
            <w:r>
              <w:rPr>
                <w:rFonts w:ascii="Calibri Light" w:hAnsi="Calibri Light"/>
                <w:b w:val="0"/>
              </w:rPr>
              <w:t>ii</w:t>
            </w:r>
            <w:proofErr w:type="spellEnd"/>
            <w:r>
              <w:rPr>
                <w:rFonts w:ascii="Calibri Light" w:hAnsi="Calibri Light"/>
                <w:b w:val="0"/>
              </w:rPr>
              <w:t>) acompañar a los familiares directos de las víctimas para que puedan acceder a planes, programas y proyectos en materia de asistencia y reparación.</w:t>
            </w:r>
          </w:p>
          <w:p w14:paraId="78D8C777" w14:textId="77777777" w:rsidR="00B15193" w:rsidRPr="00B50993" w:rsidRDefault="00B15193" w:rsidP="00B15193">
            <w:pPr>
              <w:pStyle w:val="ListParagraph"/>
              <w:numPr>
                <w:ilvl w:val="0"/>
                <w:numId w:val="4"/>
              </w:numPr>
              <w:jc w:val="both"/>
              <w:rPr>
                <w:rFonts w:ascii="Calibri Light" w:hAnsi="Calibri Light"/>
              </w:rPr>
            </w:pPr>
            <w:r>
              <w:rPr>
                <w:rFonts w:ascii="Calibri Light" w:hAnsi="Calibri Light"/>
                <w:b w:val="0"/>
              </w:rPr>
              <w:t>Continuar con la supervisión de los compromisos pendientes de cumplimiento por parte del Estado, precisando que es deber de las partes informar periódicamente a la CIDH sobre el avance relativo a dichas medidas de reparación.</w:t>
            </w:r>
          </w:p>
          <w:p w14:paraId="2F69217C" w14:textId="77777777" w:rsidR="00B50993" w:rsidRPr="00BB24EC" w:rsidRDefault="00B50993" w:rsidP="00B50993">
            <w:pPr>
              <w:pStyle w:val="ListParagraph"/>
              <w:ind w:left="765"/>
              <w:jc w:val="both"/>
              <w:rPr>
                <w:rFonts w:ascii="Calibri Light" w:hAnsi="Calibri Light"/>
              </w:rPr>
            </w:pPr>
          </w:p>
        </w:tc>
      </w:tr>
      <w:tr w:rsidR="00412844" w:rsidRPr="004533E5" w14:paraId="6BE2A824" w14:textId="77777777" w:rsidTr="00D61D54">
        <w:trPr>
          <w:trHeight w:val="796"/>
        </w:trPr>
        <w:tc>
          <w:tcPr>
            <w:cnfStyle w:val="001000000000" w:firstRow="0" w:lastRow="0" w:firstColumn="1" w:lastColumn="0" w:oddVBand="0" w:evenVBand="0" w:oddHBand="0" w:evenHBand="0" w:firstRowFirstColumn="0" w:firstRowLastColumn="0" w:lastRowFirstColumn="0" w:lastRowLastColumn="0"/>
            <w:tcW w:w="8721" w:type="dxa"/>
            <w:gridSpan w:val="3"/>
          </w:tcPr>
          <w:p w14:paraId="10D27972" w14:textId="77777777" w:rsidR="00D61D54" w:rsidRPr="0057788E" w:rsidRDefault="00D61D54" w:rsidP="00D61D54">
            <w:pPr>
              <w:jc w:val="center"/>
              <w:rPr>
                <w:rFonts w:ascii="Calibri Light" w:hAnsi="Calibri Light"/>
                <w:b w:val="0"/>
                <w:bCs w:val="0"/>
              </w:rPr>
            </w:pPr>
          </w:p>
          <w:p w14:paraId="1B4FABE3" w14:textId="77777777" w:rsidR="0057788E" w:rsidRPr="0057788E" w:rsidRDefault="00D61D54" w:rsidP="0057788E">
            <w:pPr>
              <w:pStyle w:val="ListParagraph"/>
              <w:jc w:val="center"/>
              <w:rPr>
                <w:rFonts w:ascii="Calibri Light" w:hAnsi="Calibri Light"/>
                <w:bCs w:val="0"/>
              </w:rPr>
            </w:pPr>
            <w:r w:rsidRPr="0057788E">
              <w:rPr>
                <w:rFonts w:ascii="Calibri Light" w:hAnsi="Calibri Light"/>
              </w:rPr>
              <w:t xml:space="preserve">G. </w:t>
            </w:r>
            <w:r w:rsidR="0057788E" w:rsidRPr="0057788E">
              <w:rPr>
                <w:rFonts w:ascii="Calibri Light" w:hAnsi="Calibri Light"/>
                <w:bCs w:val="0"/>
              </w:rPr>
              <w:t>Impactos individuales y estructurales del ASA</w:t>
            </w:r>
          </w:p>
          <w:p w14:paraId="0C747CC1" w14:textId="5A81F5F6" w:rsidR="00412844" w:rsidRPr="0057788E" w:rsidRDefault="00412844" w:rsidP="00D61D54">
            <w:pPr>
              <w:jc w:val="center"/>
              <w:rPr>
                <w:rFonts w:ascii="Calibri Light" w:hAnsi="Calibri Light"/>
                <w:b w:val="0"/>
              </w:rPr>
            </w:pPr>
          </w:p>
        </w:tc>
      </w:tr>
      <w:tr w:rsidR="007C1412" w:rsidRPr="004533E5" w14:paraId="7A742770" w14:textId="77777777" w:rsidTr="00A84D66">
        <w:trPr>
          <w:cnfStyle w:val="000000100000" w:firstRow="0" w:lastRow="0" w:firstColumn="0" w:lastColumn="0" w:oddVBand="0" w:evenVBand="0" w:oddHBand="1" w:evenHBand="0" w:firstRowFirstColumn="0" w:firstRowLastColumn="0" w:lastRowFirstColumn="0" w:lastRowLastColumn="0"/>
          <w:trHeight w:val="1147"/>
        </w:trPr>
        <w:tc>
          <w:tcPr>
            <w:cnfStyle w:val="001000000000" w:firstRow="0" w:lastRow="0" w:firstColumn="1" w:lastColumn="0" w:oddVBand="0" w:evenVBand="0" w:oddHBand="0" w:evenHBand="0" w:firstRowFirstColumn="0" w:firstRowLastColumn="0" w:lastRowFirstColumn="0" w:lastRowLastColumn="0"/>
            <w:tcW w:w="8721" w:type="dxa"/>
            <w:gridSpan w:val="3"/>
          </w:tcPr>
          <w:p w14:paraId="37E7AAEC" w14:textId="77777777" w:rsidR="00DA61D7" w:rsidRDefault="00DA61D7" w:rsidP="009128A8">
            <w:pPr>
              <w:jc w:val="both"/>
              <w:rPr>
                <w:rFonts w:ascii="Calibri Light" w:hAnsi="Calibri Light" w:cs="Calibri Light"/>
                <w:lang w:val="es-CO"/>
              </w:rPr>
            </w:pPr>
          </w:p>
          <w:p w14:paraId="7EA91426" w14:textId="329276E3" w:rsidR="009128A8" w:rsidRPr="0057788E" w:rsidRDefault="009128A8" w:rsidP="009128A8">
            <w:pPr>
              <w:jc w:val="both"/>
              <w:rPr>
                <w:rFonts w:ascii="Calibri Light" w:hAnsi="Calibri Light" w:cs="Calibri Light"/>
                <w:lang w:val="es-CO"/>
              </w:rPr>
            </w:pPr>
            <w:r w:rsidRPr="0057788E">
              <w:rPr>
                <w:rFonts w:ascii="Calibri Light" w:hAnsi="Calibri Light" w:cs="Calibri Light"/>
                <w:b w:val="0"/>
                <w:bCs w:val="0"/>
                <w:lang w:val="es-CO"/>
              </w:rPr>
              <w:t>En el marco del seguimiento de la implementación del acuerdo de solución amistosa, a fecha 31 de diciembre de 2021, la Comisión ha identificado los siguientes impactos individuales y estructurales derivados del cumplimiento de este:</w:t>
            </w:r>
          </w:p>
          <w:p w14:paraId="7DC1BDC2" w14:textId="0C99AC79" w:rsidR="002A5D61" w:rsidRPr="0057788E" w:rsidRDefault="002A5D61" w:rsidP="009128A8">
            <w:pPr>
              <w:jc w:val="both"/>
              <w:rPr>
                <w:rFonts w:ascii="Calibri Light" w:hAnsi="Calibri Light" w:cs="Calibri Light"/>
                <w:bCs w:val="0"/>
                <w:lang w:val="es-CO"/>
              </w:rPr>
            </w:pPr>
          </w:p>
          <w:p w14:paraId="14F528F8" w14:textId="77777777" w:rsidR="00F873ED" w:rsidRPr="0057788E" w:rsidRDefault="00F873ED" w:rsidP="00F873ED">
            <w:pPr>
              <w:ind w:left="705" w:firstLine="720"/>
              <w:jc w:val="both"/>
              <w:rPr>
                <w:rFonts w:ascii="Calibri Light" w:hAnsi="Calibri Light" w:cs="Calibri Light"/>
                <w:lang w:val="es-CO"/>
              </w:rPr>
            </w:pPr>
            <w:r w:rsidRPr="0057788E">
              <w:rPr>
                <w:rFonts w:ascii="Calibri Light" w:hAnsi="Calibri Light" w:cs="Calibri Light"/>
                <w:lang w:val="es-CO"/>
              </w:rPr>
              <w:t>A.</w:t>
            </w:r>
            <w:r w:rsidRPr="0057788E">
              <w:rPr>
                <w:rFonts w:ascii="Calibri Light" w:hAnsi="Calibri Light" w:cs="Calibri Light"/>
                <w:lang w:val="es-CO"/>
              </w:rPr>
              <w:tab/>
              <w:t>Resultados individuales del caso</w:t>
            </w:r>
          </w:p>
          <w:p w14:paraId="1C317C33" w14:textId="77777777" w:rsidR="00F873ED" w:rsidRPr="0057788E" w:rsidRDefault="00F873ED" w:rsidP="00F873ED">
            <w:pPr>
              <w:ind w:left="705" w:firstLine="720"/>
              <w:jc w:val="both"/>
              <w:rPr>
                <w:rFonts w:ascii="Calibri Light" w:hAnsi="Calibri Light" w:cs="Calibri Light"/>
                <w:b w:val="0"/>
                <w:bCs w:val="0"/>
                <w:lang w:val="es-CO"/>
              </w:rPr>
            </w:pPr>
          </w:p>
          <w:p w14:paraId="31767CA8" w14:textId="77777777" w:rsidR="00F873ED" w:rsidRPr="0057788E" w:rsidRDefault="00F873ED" w:rsidP="00F873ED">
            <w:pPr>
              <w:ind w:left="705" w:firstLine="720"/>
              <w:jc w:val="both"/>
              <w:rPr>
                <w:rFonts w:ascii="Calibri Light" w:hAnsi="Calibri Light" w:cs="Calibri Light"/>
                <w:b w:val="0"/>
                <w:bCs w:val="0"/>
                <w:lang w:val="es-CO"/>
              </w:rPr>
            </w:pPr>
            <w:r w:rsidRPr="0057788E">
              <w:rPr>
                <w:rFonts w:ascii="Calibri Light" w:hAnsi="Calibri Light" w:cs="Calibri Light"/>
                <w:b w:val="0"/>
                <w:bCs w:val="0"/>
                <w:lang w:val="es-CO"/>
              </w:rPr>
              <w:t>•</w:t>
            </w:r>
            <w:r w:rsidRPr="0057788E">
              <w:rPr>
                <w:rFonts w:ascii="Calibri Light" w:hAnsi="Calibri Light" w:cs="Calibri Light"/>
                <w:b w:val="0"/>
                <w:bCs w:val="0"/>
                <w:lang w:val="es-CO"/>
              </w:rPr>
              <w:tab/>
              <w:t>El Estado indemnizó a los familiares de las víctimas declaradas en el informe final de la CISVT.</w:t>
            </w:r>
          </w:p>
          <w:p w14:paraId="2999017D" w14:textId="77777777" w:rsidR="00F873ED" w:rsidRPr="0057788E" w:rsidRDefault="00F873ED" w:rsidP="00F873ED">
            <w:pPr>
              <w:ind w:left="705" w:firstLine="720"/>
              <w:jc w:val="both"/>
              <w:rPr>
                <w:rFonts w:ascii="Calibri Light" w:hAnsi="Calibri Light" w:cs="Calibri Light"/>
                <w:b w:val="0"/>
                <w:bCs w:val="0"/>
                <w:lang w:val="es-CO"/>
              </w:rPr>
            </w:pPr>
            <w:r w:rsidRPr="0057788E">
              <w:rPr>
                <w:rFonts w:ascii="Calibri Light" w:hAnsi="Calibri Light" w:cs="Calibri Light"/>
                <w:b w:val="0"/>
                <w:bCs w:val="0"/>
                <w:lang w:val="es-CO"/>
              </w:rPr>
              <w:t>•</w:t>
            </w:r>
            <w:r w:rsidRPr="0057788E">
              <w:rPr>
                <w:rFonts w:ascii="Calibri Light" w:hAnsi="Calibri Light" w:cs="Calibri Light"/>
                <w:b w:val="0"/>
                <w:bCs w:val="0"/>
                <w:lang w:val="es-CO"/>
              </w:rPr>
              <w:tab/>
              <w:t>El Estado mejoró 105 viviendas y la construyó 36 viviendas en el marco del plan de inversión social que fueron entregadas a unos familiares de las víctimas.</w:t>
            </w:r>
          </w:p>
          <w:p w14:paraId="6DDAE4AF" w14:textId="77777777" w:rsidR="00F873ED" w:rsidRPr="0057788E" w:rsidRDefault="00F873ED" w:rsidP="00F873ED">
            <w:pPr>
              <w:ind w:left="705" w:firstLine="720"/>
              <w:jc w:val="both"/>
              <w:rPr>
                <w:rFonts w:ascii="Calibri Light" w:hAnsi="Calibri Light" w:cs="Calibri Light"/>
                <w:b w:val="0"/>
                <w:bCs w:val="0"/>
                <w:lang w:val="es-CO"/>
              </w:rPr>
            </w:pPr>
            <w:r w:rsidRPr="0057788E">
              <w:rPr>
                <w:rFonts w:ascii="Calibri Light" w:hAnsi="Calibri Light" w:cs="Calibri Light"/>
                <w:b w:val="0"/>
                <w:bCs w:val="0"/>
                <w:lang w:val="es-CO"/>
              </w:rPr>
              <w:t>•</w:t>
            </w:r>
            <w:r w:rsidRPr="0057788E">
              <w:rPr>
                <w:rFonts w:ascii="Calibri Light" w:hAnsi="Calibri Light" w:cs="Calibri Light"/>
                <w:b w:val="0"/>
                <w:bCs w:val="0"/>
                <w:lang w:val="es-CO"/>
              </w:rPr>
              <w:tab/>
              <w:t xml:space="preserve">El Estado realizó las gestiones administrativas necesarias con el objeto de lograr la titulación de las viviendas construidas. </w:t>
            </w:r>
          </w:p>
          <w:p w14:paraId="01840A55" w14:textId="77777777" w:rsidR="00F873ED" w:rsidRPr="0057788E" w:rsidRDefault="00F873ED" w:rsidP="00F873ED">
            <w:pPr>
              <w:ind w:left="705" w:firstLine="720"/>
              <w:jc w:val="both"/>
              <w:rPr>
                <w:rFonts w:ascii="Calibri Light" w:hAnsi="Calibri Light" w:cs="Calibri Light"/>
                <w:b w:val="0"/>
                <w:bCs w:val="0"/>
                <w:lang w:val="es-CO"/>
              </w:rPr>
            </w:pPr>
            <w:r w:rsidRPr="0057788E">
              <w:rPr>
                <w:rFonts w:ascii="Calibri Light" w:hAnsi="Calibri Light" w:cs="Calibri Light"/>
                <w:b w:val="0"/>
                <w:bCs w:val="0"/>
                <w:lang w:val="es-CO"/>
              </w:rPr>
              <w:t>•</w:t>
            </w:r>
            <w:r w:rsidRPr="0057788E">
              <w:rPr>
                <w:rFonts w:ascii="Calibri Light" w:hAnsi="Calibri Light" w:cs="Calibri Light"/>
                <w:b w:val="0"/>
                <w:bCs w:val="0"/>
                <w:lang w:val="es-CO"/>
              </w:rPr>
              <w:tab/>
              <w:t>El Estado inscribió en el Registro único de Víctimas a cuarenta y tres (43) víctimas y sus familias.</w:t>
            </w:r>
          </w:p>
          <w:p w14:paraId="418D22FD" w14:textId="77777777" w:rsidR="00F873ED" w:rsidRPr="0057788E" w:rsidRDefault="00F873ED" w:rsidP="00F873ED">
            <w:pPr>
              <w:ind w:left="705" w:firstLine="720"/>
              <w:jc w:val="both"/>
              <w:rPr>
                <w:rFonts w:ascii="Calibri Light" w:hAnsi="Calibri Light" w:cs="Calibri Light"/>
                <w:b w:val="0"/>
                <w:bCs w:val="0"/>
                <w:lang w:val="es-CO"/>
              </w:rPr>
            </w:pPr>
          </w:p>
          <w:p w14:paraId="5E842205" w14:textId="77777777" w:rsidR="00F873ED" w:rsidRPr="0057788E" w:rsidRDefault="00F873ED" w:rsidP="00F873ED">
            <w:pPr>
              <w:ind w:left="705" w:firstLine="720"/>
              <w:jc w:val="both"/>
              <w:rPr>
                <w:rFonts w:ascii="Calibri Light" w:hAnsi="Calibri Light" w:cs="Calibri Light"/>
                <w:lang w:val="es-CO"/>
              </w:rPr>
            </w:pPr>
            <w:r w:rsidRPr="0057788E">
              <w:rPr>
                <w:rFonts w:ascii="Calibri Light" w:hAnsi="Calibri Light" w:cs="Calibri Light"/>
                <w:lang w:val="es-CO"/>
              </w:rPr>
              <w:t>B.</w:t>
            </w:r>
            <w:r w:rsidRPr="0057788E">
              <w:rPr>
                <w:rFonts w:ascii="Calibri Light" w:hAnsi="Calibri Light" w:cs="Calibri Light"/>
                <w:lang w:val="es-CO"/>
              </w:rPr>
              <w:tab/>
              <w:t>Resultados estructurales del caso</w:t>
            </w:r>
          </w:p>
          <w:p w14:paraId="0E1A0485" w14:textId="77777777" w:rsidR="00F873ED" w:rsidRPr="0057788E" w:rsidRDefault="00F873ED" w:rsidP="00F873ED">
            <w:pPr>
              <w:ind w:left="705" w:firstLine="720"/>
              <w:jc w:val="both"/>
              <w:rPr>
                <w:rFonts w:ascii="Calibri Light" w:hAnsi="Calibri Light" w:cs="Calibri Light"/>
                <w:b w:val="0"/>
                <w:bCs w:val="0"/>
                <w:lang w:val="es-CO"/>
              </w:rPr>
            </w:pPr>
          </w:p>
          <w:p w14:paraId="172C089C" w14:textId="77777777" w:rsidR="00F873ED" w:rsidRPr="0057788E" w:rsidRDefault="00F873ED" w:rsidP="00F873ED">
            <w:pPr>
              <w:ind w:left="705" w:firstLine="720"/>
              <w:jc w:val="both"/>
              <w:rPr>
                <w:rFonts w:ascii="Calibri Light" w:hAnsi="Calibri Light" w:cs="Calibri Light"/>
                <w:b w:val="0"/>
                <w:bCs w:val="0"/>
                <w:lang w:val="es-CO"/>
              </w:rPr>
            </w:pPr>
            <w:r w:rsidRPr="0057788E">
              <w:rPr>
                <w:rFonts w:ascii="Calibri Light" w:hAnsi="Calibri Light" w:cs="Calibri Light"/>
                <w:b w:val="0"/>
                <w:bCs w:val="0"/>
                <w:lang w:val="es-CO"/>
              </w:rPr>
              <w:t>•</w:t>
            </w:r>
            <w:r w:rsidRPr="0057788E">
              <w:rPr>
                <w:rFonts w:ascii="Calibri Light" w:hAnsi="Calibri Light" w:cs="Calibri Light"/>
                <w:b w:val="0"/>
                <w:bCs w:val="0"/>
                <w:lang w:val="es-CO"/>
              </w:rPr>
              <w:tab/>
              <w:t>El Estado expidió la Ley 288 de 1996 en cumplimiento de la recomendación No. 8 del Informe final.</w:t>
            </w:r>
          </w:p>
          <w:p w14:paraId="0F52F52F" w14:textId="3A1D4B02" w:rsidR="00F873ED" w:rsidRPr="0057788E" w:rsidRDefault="00F873ED" w:rsidP="00F873ED">
            <w:pPr>
              <w:ind w:left="705" w:firstLine="720"/>
              <w:jc w:val="both"/>
              <w:rPr>
                <w:rFonts w:ascii="Calibri Light" w:hAnsi="Calibri Light" w:cs="Calibri Light"/>
                <w:b w:val="0"/>
                <w:bCs w:val="0"/>
                <w:lang w:val="es-CO"/>
              </w:rPr>
            </w:pPr>
            <w:r w:rsidRPr="0057788E">
              <w:rPr>
                <w:rFonts w:ascii="Calibri Light" w:hAnsi="Calibri Light" w:cs="Calibri Light"/>
                <w:b w:val="0"/>
                <w:bCs w:val="0"/>
                <w:lang w:val="es-CO"/>
              </w:rPr>
              <w:t>•</w:t>
            </w:r>
            <w:r w:rsidRPr="0057788E">
              <w:rPr>
                <w:rFonts w:ascii="Calibri Light" w:hAnsi="Calibri Light" w:cs="Calibri Light"/>
                <w:b w:val="0"/>
                <w:bCs w:val="0"/>
                <w:lang w:val="es-CO"/>
              </w:rPr>
              <w:tab/>
              <w:t xml:space="preserve">El Estado reconoció su responsabilidad internacional, el 31 de enero de 1995, por los hechos del caso en un acto encabezado por el entonces </w:t>
            </w:r>
            <w:r w:rsidR="00705CD5" w:rsidRPr="0057788E">
              <w:rPr>
                <w:rFonts w:ascii="Calibri Light" w:hAnsi="Calibri Light" w:cs="Calibri Light"/>
                <w:b w:val="0"/>
                <w:bCs w:val="0"/>
                <w:lang w:val="es-CO"/>
              </w:rPr>
              <w:t>presidente</w:t>
            </w:r>
            <w:r w:rsidRPr="0057788E">
              <w:rPr>
                <w:rFonts w:ascii="Calibri Light" w:hAnsi="Calibri Light" w:cs="Calibri Light"/>
                <w:b w:val="0"/>
                <w:bCs w:val="0"/>
                <w:lang w:val="es-CO"/>
              </w:rPr>
              <w:t xml:space="preserve"> de la República, Ernesto Samper Pizano.</w:t>
            </w:r>
          </w:p>
          <w:p w14:paraId="7C94BB80" w14:textId="7CB2B8A3" w:rsidR="00F873ED" w:rsidRPr="0057788E" w:rsidRDefault="00F873ED" w:rsidP="00F873ED">
            <w:pPr>
              <w:ind w:left="705" w:firstLine="720"/>
              <w:jc w:val="both"/>
              <w:rPr>
                <w:rFonts w:ascii="Calibri Light" w:hAnsi="Calibri Light" w:cs="Calibri Light"/>
                <w:b w:val="0"/>
                <w:bCs w:val="0"/>
                <w:lang w:val="es-CO"/>
              </w:rPr>
            </w:pPr>
            <w:r w:rsidRPr="0057788E">
              <w:rPr>
                <w:rFonts w:ascii="Calibri Light" w:hAnsi="Calibri Light" w:cs="Calibri Light"/>
                <w:b w:val="0"/>
                <w:bCs w:val="0"/>
                <w:lang w:val="es-CO"/>
              </w:rPr>
              <w:t>•</w:t>
            </w:r>
            <w:r w:rsidRPr="0057788E">
              <w:rPr>
                <w:rFonts w:ascii="Calibri Light" w:hAnsi="Calibri Light" w:cs="Calibri Light"/>
                <w:b w:val="0"/>
                <w:bCs w:val="0"/>
                <w:lang w:val="es-CO"/>
              </w:rPr>
              <w:tab/>
              <w:t>El Estado reconoció su responsabilidad internacional, el 14 de julio de 2</w:t>
            </w:r>
            <w:r w:rsidR="00A00FE4" w:rsidRPr="0057788E">
              <w:rPr>
                <w:rFonts w:ascii="Calibri Light" w:hAnsi="Calibri Light" w:cs="Calibri Light"/>
                <w:b w:val="0"/>
                <w:bCs w:val="0"/>
                <w:lang w:val="es-CO"/>
              </w:rPr>
              <w:t>0</w:t>
            </w:r>
            <w:r w:rsidR="002E7809" w:rsidRPr="0057788E">
              <w:rPr>
                <w:rFonts w:ascii="Calibri Light" w:hAnsi="Calibri Light" w:cs="Calibri Light"/>
                <w:b w:val="0"/>
                <w:bCs w:val="0"/>
                <w:lang w:val="es-CO"/>
              </w:rPr>
              <w:t>1</w:t>
            </w:r>
            <w:r w:rsidRPr="0057788E">
              <w:rPr>
                <w:rFonts w:ascii="Calibri Light" w:hAnsi="Calibri Light" w:cs="Calibri Light"/>
                <w:b w:val="0"/>
                <w:bCs w:val="0"/>
                <w:lang w:val="es-CO"/>
              </w:rPr>
              <w:t xml:space="preserve">6, por los hechos del caso en un acto encabezado por el entonces </w:t>
            </w:r>
            <w:r w:rsidR="00705CD5" w:rsidRPr="0057788E">
              <w:rPr>
                <w:rFonts w:ascii="Calibri Light" w:hAnsi="Calibri Light" w:cs="Calibri Light"/>
                <w:b w:val="0"/>
                <w:bCs w:val="0"/>
                <w:lang w:val="es-CO"/>
              </w:rPr>
              <w:t>ministro</w:t>
            </w:r>
            <w:r w:rsidRPr="0057788E">
              <w:rPr>
                <w:rFonts w:ascii="Calibri Light" w:hAnsi="Calibri Light" w:cs="Calibri Light"/>
                <w:b w:val="0"/>
                <w:bCs w:val="0"/>
                <w:lang w:val="es-CO"/>
              </w:rPr>
              <w:t xml:space="preserve"> de Justicia y Derecho, Yesid Reyes.</w:t>
            </w:r>
          </w:p>
          <w:p w14:paraId="70EA1CE0" w14:textId="77777777" w:rsidR="00F873ED" w:rsidRPr="0057788E" w:rsidRDefault="00F873ED" w:rsidP="00F873ED">
            <w:pPr>
              <w:ind w:left="705" w:firstLine="720"/>
              <w:jc w:val="both"/>
              <w:rPr>
                <w:rFonts w:ascii="Calibri Light" w:hAnsi="Calibri Light" w:cs="Calibri Light"/>
                <w:b w:val="0"/>
                <w:bCs w:val="0"/>
                <w:lang w:val="es-CO"/>
              </w:rPr>
            </w:pPr>
            <w:r w:rsidRPr="0057788E">
              <w:rPr>
                <w:rFonts w:ascii="Calibri Light" w:hAnsi="Calibri Light" w:cs="Calibri Light"/>
                <w:b w:val="0"/>
                <w:bCs w:val="0"/>
                <w:lang w:val="es-CO"/>
              </w:rPr>
              <w:t>•</w:t>
            </w:r>
            <w:r w:rsidRPr="0057788E">
              <w:rPr>
                <w:rFonts w:ascii="Calibri Light" w:hAnsi="Calibri Light" w:cs="Calibri Light"/>
                <w:b w:val="0"/>
                <w:bCs w:val="0"/>
                <w:lang w:val="es-CO"/>
              </w:rPr>
              <w:tab/>
              <w:t>El estado aportó recursos para la compra del terreno del Parque Monumento de Trujillo Valle.</w:t>
            </w:r>
          </w:p>
          <w:p w14:paraId="6062B57C" w14:textId="77777777" w:rsidR="00F873ED" w:rsidRPr="0057788E" w:rsidRDefault="00F873ED" w:rsidP="00F873ED">
            <w:pPr>
              <w:ind w:left="705" w:firstLine="720"/>
              <w:jc w:val="both"/>
              <w:rPr>
                <w:rFonts w:ascii="Calibri Light" w:hAnsi="Calibri Light" w:cs="Calibri Light"/>
                <w:b w:val="0"/>
                <w:bCs w:val="0"/>
                <w:lang w:val="es-CO"/>
              </w:rPr>
            </w:pPr>
            <w:r w:rsidRPr="0057788E">
              <w:rPr>
                <w:rFonts w:ascii="Calibri Light" w:hAnsi="Calibri Light" w:cs="Calibri Light"/>
                <w:b w:val="0"/>
                <w:bCs w:val="0"/>
                <w:lang w:val="es-CO"/>
              </w:rPr>
              <w:t>•</w:t>
            </w:r>
            <w:r w:rsidRPr="0057788E">
              <w:rPr>
                <w:rFonts w:ascii="Calibri Light" w:hAnsi="Calibri Light" w:cs="Calibri Light"/>
                <w:b w:val="0"/>
                <w:bCs w:val="0"/>
                <w:lang w:val="es-CO"/>
              </w:rPr>
              <w:tab/>
              <w:t>El Estado profirió la sentencia de 22 de septiembre de 2010 de la Sala de Casación Penal de la Corte Suprema de Justicia mediante la cual se resolvió el recurso de revisión interpuesto por la Fiscalía 17 de la Unidad Nacional de Derechos Humanos y Derecho Internacional Humanitario y declaró sin valor los fallos absolutorios del 4 de enero de 1991 y del 20 de septiembre del mismo año, del Tribunal Superior de Orden Púbico.</w:t>
            </w:r>
          </w:p>
          <w:p w14:paraId="45D9367B" w14:textId="4C7CA7E0" w:rsidR="00F873ED" w:rsidRPr="0057788E" w:rsidRDefault="00F873ED" w:rsidP="00F873ED">
            <w:pPr>
              <w:ind w:left="705" w:firstLine="720"/>
              <w:jc w:val="both"/>
              <w:rPr>
                <w:rFonts w:ascii="Calibri Light" w:hAnsi="Calibri Light" w:cs="Calibri Light"/>
                <w:b w:val="0"/>
                <w:bCs w:val="0"/>
                <w:lang w:val="es-CO"/>
              </w:rPr>
            </w:pPr>
            <w:r w:rsidRPr="0057788E">
              <w:rPr>
                <w:rFonts w:ascii="Calibri Light" w:hAnsi="Calibri Light" w:cs="Calibri Light"/>
                <w:b w:val="0"/>
                <w:bCs w:val="0"/>
                <w:lang w:val="es-CO"/>
              </w:rPr>
              <w:t>•</w:t>
            </w:r>
            <w:r w:rsidRPr="0057788E">
              <w:rPr>
                <w:rFonts w:ascii="Calibri Light" w:hAnsi="Calibri Light" w:cs="Calibri Light"/>
                <w:b w:val="0"/>
                <w:bCs w:val="0"/>
                <w:lang w:val="es-CO"/>
              </w:rPr>
              <w:tab/>
              <w:t xml:space="preserve">El Estado profirió las sentencias penales emitidas por los hechos contra el paramilitar Henry Loaiza Ceballos alias el "Alacrán", el Mayor (r) del Ejército Nacional Alirio Antonio Urueña y el </w:t>
            </w:r>
            <w:r w:rsidR="00705CD5" w:rsidRPr="0057788E">
              <w:rPr>
                <w:rFonts w:ascii="Calibri Light" w:hAnsi="Calibri Light" w:cs="Calibri Light"/>
                <w:b w:val="0"/>
                <w:bCs w:val="0"/>
                <w:lang w:val="es-CO"/>
              </w:rPr>
              <w:t>teniente</w:t>
            </w:r>
            <w:r w:rsidRPr="0057788E">
              <w:rPr>
                <w:rFonts w:ascii="Calibri Light" w:hAnsi="Calibri Light" w:cs="Calibri Light"/>
                <w:b w:val="0"/>
                <w:bCs w:val="0"/>
                <w:lang w:val="es-CO"/>
              </w:rPr>
              <w:t xml:space="preserve"> de la Policía Nacional José Fernando Berrio Velásquez.</w:t>
            </w:r>
          </w:p>
          <w:p w14:paraId="390BDDC2" w14:textId="77777777" w:rsidR="00F873ED" w:rsidRPr="0057788E" w:rsidRDefault="00F873ED" w:rsidP="00F873ED">
            <w:pPr>
              <w:ind w:left="705" w:firstLine="720"/>
              <w:jc w:val="both"/>
              <w:rPr>
                <w:rFonts w:ascii="Calibri Light" w:hAnsi="Calibri Light" w:cs="Calibri Light"/>
                <w:b w:val="0"/>
                <w:bCs w:val="0"/>
                <w:lang w:val="es-CO"/>
              </w:rPr>
            </w:pPr>
            <w:r w:rsidRPr="0057788E">
              <w:rPr>
                <w:rFonts w:ascii="Calibri Light" w:hAnsi="Calibri Light" w:cs="Calibri Light"/>
                <w:b w:val="0"/>
                <w:bCs w:val="0"/>
                <w:lang w:val="es-CO"/>
              </w:rPr>
              <w:t>•</w:t>
            </w:r>
            <w:r w:rsidRPr="0057788E">
              <w:rPr>
                <w:rFonts w:ascii="Calibri Light" w:hAnsi="Calibri Light" w:cs="Calibri Light"/>
                <w:b w:val="0"/>
                <w:bCs w:val="0"/>
                <w:lang w:val="es-CO"/>
              </w:rPr>
              <w:tab/>
              <w:t xml:space="preserve">El Estado realizó un documental audiovisual sobre los esfuerzos realizados por los familiares de las víctimas en la búsqueda de verdad y justicia a lo largo de los años. </w:t>
            </w:r>
          </w:p>
          <w:p w14:paraId="1747237C" w14:textId="3BDE11D3" w:rsidR="00F873ED" w:rsidRPr="0057788E" w:rsidRDefault="00F873ED" w:rsidP="00F873ED">
            <w:pPr>
              <w:ind w:left="705" w:firstLine="720"/>
              <w:jc w:val="both"/>
              <w:rPr>
                <w:rFonts w:ascii="Calibri Light" w:hAnsi="Calibri Light" w:cs="Calibri Light"/>
                <w:b w:val="0"/>
                <w:bCs w:val="0"/>
                <w:lang w:val="es-CO"/>
              </w:rPr>
            </w:pPr>
            <w:r w:rsidRPr="0057788E">
              <w:rPr>
                <w:rFonts w:ascii="Calibri Light" w:hAnsi="Calibri Light" w:cs="Calibri Light"/>
                <w:b w:val="0"/>
                <w:bCs w:val="0"/>
                <w:lang w:val="es-CO"/>
              </w:rPr>
              <w:t>•</w:t>
            </w:r>
            <w:r w:rsidRPr="0057788E">
              <w:rPr>
                <w:rFonts w:ascii="Calibri Light" w:hAnsi="Calibri Light" w:cs="Calibri Light"/>
                <w:b w:val="0"/>
                <w:bCs w:val="0"/>
                <w:lang w:val="es-CO"/>
              </w:rPr>
              <w:tab/>
              <w:t>El Estado otorgó un apoyo económico por sesenta y cinco millones de pesos ($65.000.000) a la Asociación Familiares Víctimas de Trujillo (AFAVIT) para ser invertido en el desarrollo de una agenda cultural que aporte al mejoramiento del parque Monumento de Trujillo Valle del Cauca, como medida de reparación simbólica que reivindique y dignifique la memoria de las víctimas y sus familiares.</w:t>
            </w:r>
          </w:p>
          <w:p w14:paraId="7E7A4E22" w14:textId="1F2914E1" w:rsidR="002A5D61" w:rsidRPr="0057788E" w:rsidRDefault="00F873ED" w:rsidP="00F873ED">
            <w:pPr>
              <w:ind w:left="705" w:firstLine="720"/>
              <w:jc w:val="both"/>
              <w:rPr>
                <w:rFonts w:ascii="Calibri Light" w:hAnsi="Calibri Light" w:cs="Calibri Light"/>
                <w:b w:val="0"/>
                <w:bCs w:val="0"/>
                <w:lang w:val="es-CO"/>
              </w:rPr>
            </w:pPr>
            <w:r w:rsidRPr="0057788E">
              <w:rPr>
                <w:rFonts w:ascii="Calibri Light" w:hAnsi="Calibri Light" w:cs="Calibri Light"/>
                <w:b w:val="0"/>
                <w:bCs w:val="0"/>
                <w:lang w:val="es-CO"/>
              </w:rPr>
              <w:t>•</w:t>
            </w:r>
            <w:r w:rsidRPr="0057788E">
              <w:rPr>
                <w:rFonts w:ascii="Calibri Light" w:hAnsi="Calibri Light" w:cs="Calibri Light"/>
                <w:b w:val="0"/>
                <w:bCs w:val="0"/>
                <w:lang w:val="es-CO"/>
              </w:rPr>
              <w:tab/>
              <w:t>Se diseñó el Plan Integral de Prevención para el municipio de Trujillo 2020-2023.</w:t>
            </w:r>
          </w:p>
          <w:p w14:paraId="01B98C90" w14:textId="77777777" w:rsidR="007C1412" w:rsidRPr="0057788E" w:rsidRDefault="007C1412" w:rsidP="00A84D66">
            <w:pPr>
              <w:jc w:val="both"/>
              <w:rPr>
                <w:rFonts w:ascii="Calibri Light" w:hAnsi="Calibri Light"/>
                <w:bCs w:val="0"/>
                <w:lang w:val="es-CO"/>
              </w:rPr>
            </w:pPr>
          </w:p>
          <w:p w14:paraId="47607B4B" w14:textId="77777777" w:rsidR="009128A8" w:rsidRDefault="00853821" w:rsidP="00A84D66">
            <w:pPr>
              <w:jc w:val="both"/>
              <w:rPr>
                <w:rFonts w:ascii="Calibri Light" w:hAnsi="Calibri Light"/>
                <w:bCs w:val="0"/>
                <w:lang w:val="es-CO"/>
              </w:rPr>
            </w:pPr>
            <w:r w:rsidRPr="0057788E">
              <w:rPr>
                <w:rFonts w:ascii="Calibri Light" w:hAnsi="Calibri Light"/>
                <w:b w:val="0"/>
                <w:lang w:val="es-CO"/>
              </w:rPr>
              <w:t>La Comisión concluye que el acuerdo de solución amistosa continúa parcialmente cumplido, y que su nivel de ejecución es sustancial, por lo que continuará supervisando su implem</w:t>
            </w:r>
            <w:r w:rsidR="002A5D61" w:rsidRPr="0057788E">
              <w:rPr>
                <w:rFonts w:ascii="Calibri Light" w:hAnsi="Calibri Light"/>
                <w:b w:val="0"/>
                <w:lang w:val="es-CO"/>
              </w:rPr>
              <w:t xml:space="preserve">entación hasta lograr el cumplimiento total de todos los extremos del acuerdo. </w:t>
            </w:r>
          </w:p>
          <w:p w14:paraId="564043C1" w14:textId="60A57AAF" w:rsidR="0057788E" w:rsidRPr="0057788E" w:rsidRDefault="0057788E" w:rsidP="00A84D66">
            <w:pPr>
              <w:jc w:val="both"/>
              <w:rPr>
                <w:rFonts w:ascii="Calibri Light" w:hAnsi="Calibri Light"/>
                <w:b w:val="0"/>
                <w:lang w:val="es-CO"/>
              </w:rPr>
            </w:pPr>
          </w:p>
        </w:tc>
      </w:tr>
    </w:tbl>
    <w:p w14:paraId="11FEA15F" w14:textId="77777777" w:rsidR="00B15193" w:rsidRDefault="00B15193" w:rsidP="00B15193"/>
    <w:p w14:paraId="7081627F" w14:textId="77777777" w:rsidR="00B15193" w:rsidRDefault="00B15193" w:rsidP="00B15193"/>
    <w:p w14:paraId="2EAC89B0" w14:textId="77777777" w:rsidR="000A36F3" w:rsidRDefault="000A36F3"/>
    <w:sectPr w:rsidR="000A36F3" w:rsidSect="00A65231">
      <w:footerReference w:type="default" r:id="rId13"/>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9F334" w14:textId="77777777" w:rsidR="00BA392B" w:rsidRDefault="00BA392B">
      <w:pPr>
        <w:spacing w:after="0" w:line="240" w:lineRule="auto"/>
      </w:pPr>
      <w:r>
        <w:separator/>
      </w:r>
    </w:p>
  </w:endnote>
  <w:endnote w:type="continuationSeparator" w:id="0">
    <w:p w14:paraId="56E0BA2B" w14:textId="77777777" w:rsidR="00BA392B" w:rsidRDefault="00BA3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71937"/>
      <w:docPartObj>
        <w:docPartGallery w:val="Page Numbers (Bottom of Page)"/>
        <w:docPartUnique/>
      </w:docPartObj>
    </w:sdtPr>
    <w:sdtEndPr/>
    <w:sdtContent>
      <w:p w14:paraId="447A3F8E" w14:textId="77777777" w:rsidR="00A65231" w:rsidRDefault="00EC277A">
        <w:pPr>
          <w:pStyle w:val="Footer"/>
          <w:jc w:val="right"/>
        </w:pPr>
        <w:r>
          <w:fldChar w:fldCharType="begin"/>
        </w:r>
        <w:r>
          <w:instrText>PAGE   \* MERGEFORMAT</w:instrText>
        </w:r>
        <w:r>
          <w:fldChar w:fldCharType="separate"/>
        </w:r>
        <w:r w:rsidR="00D45BAB" w:rsidRPr="00D45BAB">
          <w:rPr>
            <w:noProof/>
            <w:lang w:val="es-ES"/>
          </w:rPr>
          <w:t>3</w:t>
        </w:r>
        <w:r>
          <w:fldChar w:fldCharType="end"/>
        </w:r>
      </w:p>
    </w:sdtContent>
  </w:sdt>
  <w:p w14:paraId="20E51031" w14:textId="77777777" w:rsidR="00A65231" w:rsidRDefault="00DA6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6B86B" w14:textId="77777777" w:rsidR="00BA392B" w:rsidRDefault="00BA392B">
      <w:pPr>
        <w:spacing w:after="0" w:line="240" w:lineRule="auto"/>
      </w:pPr>
      <w:r>
        <w:separator/>
      </w:r>
    </w:p>
  </w:footnote>
  <w:footnote w:type="continuationSeparator" w:id="0">
    <w:p w14:paraId="5E307E47" w14:textId="77777777" w:rsidR="00BA392B" w:rsidRDefault="00BA39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588"/>
    <w:multiLevelType w:val="hybridMultilevel"/>
    <w:tmpl w:val="0D2CD2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D1A5EBA"/>
    <w:multiLevelType w:val="hybridMultilevel"/>
    <w:tmpl w:val="C136B160"/>
    <w:lvl w:ilvl="0" w:tplc="47C6E76C">
      <w:start w:val="1"/>
      <w:numFmt w:val="decimal"/>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11DB41CA"/>
    <w:multiLevelType w:val="hybridMultilevel"/>
    <w:tmpl w:val="22EC44FC"/>
    <w:lvl w:ilvl="0" w:tplc="7ED6801C">
      <w:start w:val="6"/>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2F162C00"/>
    <w:multiLevelType w:val="hybridMultilevel"/>
    <w:tmpl w:val="7C2C2EAA"/>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4" w15:restartNumberingAfterBreak="0">
    <w:nsid w:val="3D81334F"/>
    <w:multiLevelType w:val="hybridMultilevel"/>
    <w:tmpl w:val="66322A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710717229">
    <w:abstractNumId w:val="4"/>
  </w:num>
  <w:num w:numId="2" w16cid:durableId="1924558910">
    <w:abstractNumId w:val="1"/>
  </w:num>
  <w:num w:numId="3" w16cid:durableId="1871453792">
    <w:abstractNumId w:val="0"/>
  </w:num>
  <w:num w:numId="4" w16cid:durableId="1211308552">
    <w:abstractNumId w:val="3"/>
  </w:num>
  <w:num w:numId="5" w16cid:durableId="1425296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193"/>
    <w:rsid w:val="000A36F3"/>
    <w:rsid w:val="000C5226"/>
    <w:rsid w:val="000C6F4F"/>
    <w:rsid w:val="001434B1"/>
    <w:rsid w:val="001A6B53"/>
    <w:rsid w:val="001D4E48"/>
    <w:rsid w:val="002651A5"/>
    <w:rsid w:val="0027472A"/>
    <w:rsid w:val="002A5D61"/>
    <w:rsid w:val="002E7809"/>
    <w:rsid w:val="00412844"/>
    <w:rsid w:val="00447CCD"/>
    <w:rsid w:val="004A4C24"/>
    <w:rsid w:val="00565AB2"/>
    <w:rsid w:val="0057788E"/>
    <w:rsid w:val="005A0514"/>
    <w:rsid w:val="005B2A78"/>
    <w:rsid w:val="005C08C2"/>
    <w:rsid w:val="00705CD5"/>
    <w:rsid w:val="007C1412"/>
    <w:rsid w:val="007C4319"/>
    <w:rsid w:val="00853821"/>
    <w:rsid w:val="008D4142"/>
    <w:rsid w:val="009128A8"/>
    <w:rsid w:val="00927410"/>
    <w:rsid w:val="00A00FE4"/>
    <w:rsid w:val="00B15193"/>
    <w:rsid w:val="00B45D68"/>
    <w:rsid w:val="00B479F3"/>
    <w:rsid w:val="00B50993"/>
    <w:rsid w:val="00B87733"/>
    <w:rsid w:val="00BA392B"/>
    <w:rsid w:val="00BD7F32"/>
    <w:rsid w:val="00CD3FC0"/>
    <w:rsid w:val="00D137D7"/>
    <w:rsid w:val="00D42BE5"/>
    <w:rsid w:val="00D45BAB"/>
    <w:rsid w:val="00D47FE9"/>
    <w:rsid w:val="00D61D54"/>
    <w:rsid w:val="00D82A21"/>
    <w:rsid w:val="00DA095D"/>
    <w:rsid w:val="00DA61D7"/>
    <w:rsid w:val="00EC13EA"/>
    <w:rsid w:val="00EC277A"/>
    <w:rsid w:val="00F56B2C"/>
    <w:rsid w:val="00F873ED"/>
    <w:rsid w:val="00F97F70"/>
    <w:rsid w:val="00FA7F6A"/>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D8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193"/>
    <w:rPr>
      <w:rFonts w:ascii="Calibri" w:eastAsia="Calibri" w:hAnsi="Calibri" w:cs="Times New Roman"/>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193"/>
    <w:pPr>
      <w:tabs>
        <w:tab w:val="center" w:pos="4419"/>
        <w:tab w:val="right" w:pos="8838"/>
      </w:tabs>
      <w:spacing w:after="0" w:line="240" w:lineRule="auto"/>
    </w:pPr>
  </w:style>
  <w:style w:type="character" w:customStyle="1" w:styleId="HeaderChar">
    <w:name w:val="Header Char"/>
    <w:basedOn w:val="DefaultParagraphFont"/>
    <w:link w:val="Header"/>
    <w:uiPriority w:val="99"/>
    <w:rsid w:val="00B15193"/>
    <w:rPr>
      <w:rFonts w:ascii="Calibri" w:eastAsia="Calibri" w:hAnsi="Calibri" w:cs="Times New Roman"/>
      <w:lang w:val="es-MX"/>
    </w:rPr>
  </w:style>
  <w:style w:type="paragraph" w:styleId="ListParagraph">
    <w:name w:val="List Paragraph"/>
    <w:basedOn w:val="Normal"/>
    <w:uiPriority w:val="34"/>
    <w:qFormat/>
    <w:rsid w:val="00B15193"/>
    <w:pPr>
      <w:ind w:left="720"/>
      <w:contextualSpacing/>
    </w:pPr>
  </w:style>
  <w:style w:type="paragraph" w:styleId="Footer">
    <w:name w:val="footer"/>
    <w:basedOn w:val="Normal"/>
    <w:link w:val="FooterChar"/>
    <w:uiPriority w:val="99"/>
    <w:unhideWhenUsed/>
    <w:rsid w:val="00B15193"/>
    <w:pPr>
      <w:tabs>
        <w:tab w:val="center" w:pos="4419"/>
        <w:tab w:val="right" w:pos="8838"/>
      </w:tabs>
      <w:spacing w:after="0" w:line="240" w:lineRule="auto"/>
    </w:pPr>
  </w:style>
  <w:style w:type="character" w:customStyle="1" w:styleId="FooterChar">
    <w:name w:val="Footer Char"/>
    <w:basedOn w:val="DefaultParagraphFont"/>
    <w:link w:val="Footer"/>
    <w:uiPriority w:val="99"/>
    <w:rsid w:val="00B15193"/>
    <w:rPr>
      <w:rFonts w:ascii="Calibri" w:eastAsia="Calibri" w:hAnsi="Calibri" w:cs="Times New Roman"/>
      <w:lang w:val="es-MX"/>
    </w:rPr>
  </w:style>
  <w:style w:type="table" w:customStyle="1" w:styleId="Tabladelista2-nfasis11">
    <w:name w:val="Tabla de lista 2 - Énfasis 11"/>
    <w:basedOn w:val="TableNormal"/>
    <w:uiPriority w:val="47"/>
    <w:rsid w:val="00B15193"/>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unhideWhenUsed/>
    <w:rsid w:val="00B15193"/>
    <w:rPr>
      <w:color w:val="0000FF" w:themeColor="hyperlink"/>
      <w:u w:val="single"/>
    </w:rPr>
  </w:style>
  <w:style w:type="character" w:styleId="FollowedHyperlink">
    <w:name w:val="FollowedHyperlink"/>
    <w:basedOn w:val="DefaultParagraphFont"/>
    <w:uiPriority w:val="99"/>
    <w:semiHidden/>
    <w:unhideWhenUsed/>
    <w:rsid w:val="00EC277A"/>
    <w:rPr>
      <w:color w:val="800080" w:themeColor="followedHyperlink"/>
      <w:u w:val="single"/>
    </w:rPr>
  </w:style>
  <w:style w:type="paragraph" w:styleId="BalloonText">
    <w:name w:val="Balloon Text"/>
    <w:basedOn w:val="Normal"/>
    <w:link w:val="BalloonTextChar"/>
    <w:uiPriority w:val="99"/>
    <w:semiHidden/>
    <w:unhideWhenUsed/>
    <w:rsid w:val="00D42B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BE5"/>
    <w:rPr>
      <w:rFonts w:ascii="Tahoma" w:eastAsia="Calibri"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dpp.graduateinstitute.ch/files/live/sites/dpp/files/shared/images/IDEHPUCP%20%20color.jp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idh.org/medidas/1999.sp.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as.org/es/cidh/decisiones/2016/COSA11007ES.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1562</Words>
  <Characters>8593</Characters>
  <Application>Microsoft Office Word</Application>
  <DocSecurity>0</DocSecurity>
  <Lines>71</Lines>
  <Paragraphs>20</Paragraphs>
  <ScaleCrop>false</ScaleCrop>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2022-06-01T20:24:00Z</dcterms:created>
  <dcterms:modified xsi:type="dcterms:W3CDTF">2022-06-02T21:06:00Z</dcterms:modified>
</cp:coreProperties>
</file>