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E5DC" w14:textId="77777777" w:rsidR="00412649" w:rsidRDefault="00412649" w:rsidP="00412649">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185B3BAC" wp14:editId="7F0CECDA">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DE77051" wp14:editId="22CC967D">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1DB602B1" wp14:editId="6A920C80">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D31B39" w14:textId="77777777" w:rsidR="005410FC" w:rsidRDefault="005410FC" w:rsidP="00412649">
      <w:pPr>
        <w:pStyle w:val="Header"/>
        <w:jc w:val="center"/>
        <w:rPr>
          <w:rFonts w:ascii="Calibri Light" w:hAnsi="Calibri Light"/>
          <w:lang w:val="es-PE"/>
        </w:rPr>
      </w:pPr>
    </w:p>
    <w:p w14:paraId="14D2EF02" w14:textId="77777777" w:rsidR="005410FC" w:rsidRDefault="005410FC" w:rsidP="00412649">
      <w:pPr>
        <w:pStyle w:val="Header"/>
        <w:jc w:val="center"/>
        <w:rPr>
          <w:rFonts w:ascii="Calibri Light" w:hAnsi="Calibri Light"/>
          <w:lang w:val="es-PE"/>
        </w:rPr>
      </w:pPr>
    </w:p>
    <w:p w14:paraId="60E9248D" w14:textId="4DC8362B" w:rsidR="00412649" w:rsidRPr="00411A74" w:rsidRDefault="00412649" w:rsidP="00412649">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3AF6FA7" w14:textId="6A49E4CD" w:rsidR="00F725A5" w:rsidRDefault="00412649" w:rsidP="00412649">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FDB7167" w14:textId="77777777" w:rsidR="00412649" w:rsidRPr="00412649" w:rsidRDefault="00412649" w:rsidP="00412649">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593"/>
        <w:gridCol w:w="2469"/>
        <w:gridCol w:w="2443"/>
      </w:tblGrid>
      <w:tr w:rsidR="005173CF" w:rsidRPr="004533E5" w14:paraId="01A2F61A" w14:textId="77777777" w:rsidTr="008B63AB">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7609204" w14:textId="77777777" w:rsidR="00AC6F31" w:rsidRDefault="00AC6F31" w:rsidP="008B63AB">
            <w:pPr>
              <w:pStyle w:val="ListParagraph"/>
              <w:jc w:val="both"/>
              <w:rPr>
                <w:rFonts w:ascii="Calibri Light" w:hAnsi="Calibri Light"/>
              </w:rPr>
            </w:pPr>
          </w:p>
          <w:p w14:paraId="160CE2AC" w14:textId="77777777" w:rsidR="00212F62" w:rsidRDefault="007A6C56" w:rsidP="008B63AB">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8B63AB">
            <w:pPr>
              <w:pStyle w:val="ListParagraph"/>
              <w:jc w:val="both"/>
              <w:rPr>
                <w:rFonts w:ascii="Calibri Light" w:hAnsi="Calibri Light"/>
              </w:rPr>
            </w:pPr>
          </w:p>
        </w:tc>
      </w:tr>
      <w:tr w:rsidR="004533E5" w:rsidRPr="004533E5" w14:paraId="275AD1EA" w14:textId="77777777" w:rsidTr="008B63AB">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3C7EFE0" w14:textId="77777777" w:rsidR="005173CF" w:rsidRPr="004533E5" w:rsidRDefault="007A6C56" w:rsidP="008B63AB">
            <w:pPr>
              <w:pStyle w:val="ListParagraph"/>
              <w:numPr>
                <w:ilvl w:val="0"/>
                <w:numId w:val="3"/>
              </w:numPr>
              <w:jc w:val="both"/>
              <w:rPr>
                <w:rFonts w:ascii="Calibri Light" w:hAnsi="Calibri Light"/>
              </w:rPr>
            </w:pPr>
            <w:r w:rsidRPr="004533E5">
              <w:rPr>
                <w:rFonts w:ascii="Calibri Light" w:hAnsi="Calibri Light"/>
              </w:rPr>
              <w:t>Nombre del caso</w:t>
            </w:r>
          </w:p>
        </w:tc>
        <w:tc>
          <w:tcPr>
            <w:tcW w:w="5043" w:type="dxa"/>
            <w:gridSpan w:val="2"/>
            <w:vAlign w:val="center"/>
          </w:tcPr>
          <w:p w14:paraId="084A5991" w14:textId="5A2F645E" w:rsidR="005173CF" w:rsidRPr="004533E5" w:rsidRDefault="00163636"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Jesú</w:t>
            </w:r>
            <w:r w:rsidR="005F1D65">
              <w:rPr>
                <w:rFonts w:ascii="Calibri Light" w:hAnsi="Calibri Light"/>
              </w:rPr>
              <w:t xml:space="preserve">s Salvador Ferreyra Gonzáles, </w:t>
            </w:r>
            <w:r>
              <w:rPr>
                <w:rFonts w:ascii="Calibri Light" w:hAnsi="Calibri Light"/>
              </w:rPr>
              <w:t>Perú</w:t>
            </w:r>
          </w:p>
        </w:tc>
      </w:tr>
      <w:tr w:rsidR="00F464EC" w:rsidRPr="004533E5" w14:paraId="59A6A8A1" w14:textId="77777777" w:rsidTr="008B63AB">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7FA9FC90" w14:textId="12CA6C8D" w:rsidR="00F464EC" w:rsidRPr="004533E5" w:rsidRDefault="005F1D65" w:rsidP="008B63AB">
            <w:pPr>
              <w:pStyle w:val="ListParagraph"/>
              <w:numPr>
                <w:ilvl w:val="0"/>
                <w:numId w:val="3"/>
              </w:numPr>
              <w:jc w:val="both"/>
              <w:rPr>
                <w:rFonts w:ascii="Calibri Light" w:hAnsi="Calibri Light"/>
              </w:rPr>
            </w:pPr>
            <w:r>
              <w:rPr>
                <w:rFonts w:ascii="Calibri Light" w:hAnsi="Calibri Light"/>
              </w:rPr>
              <w:t>Parte peticionaria</w:t>
            </w:r>
          </w:p>
        </w:tc>
        <w:tc>
          <w:tcPr>
            <w:tcW w:w="5043" w:type="dxa"/>
            <w:gridSpan w:val="2"/>
            <w:vAlign w:val="center"/>
          </w:tcPr>
          <w:p w14:paraId="374B2A68" w14:textId="7F7635D6" w:rsidR="00F464EC"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Jesús Salvador Ferreyra Gonzáles</w:t>
            </w:r>
          </w:p>
        </w:tc>
      </w:tr>
      <w:tr w:rsidR="005173CF" w:rsidRPr="004533E5" w14:paraId="3A483B4F" w14:textId="77777777" w:rsidTr="008B63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233C75C" w14:textId="43CC3BDA" w:rsidR="005173CF" w:rsidRPr="004533E5" w:rsidRDefault="007A6C56" w:rsidP="008B63AB">
            <w:pPr>
              <w:pStyle w:val="ListParagraph"/>
              <w:numPr>
                <w:ilvl w:val="0"/>
                <w:numId w:val="3"/>
              </w:numPr>
              <w:jc w:val="both"/>
              <w:rPr>
                <w:rFonts w:ascii="Calibri Light" w:hAnsi="Calibri Light"/>
              </w:rPr>
            </w:pPr>
            <w:r w:rsidRPr="004533E5">
              <w:rPr>
                <w:rFonts w:ascii="Calibri Light" w:hAnsi="Calibri Light"/>
              </w:rPr>
              <w:t>Número de Informe</w:t>
            </w:r>
          </w:p>
        </w:tc>
        <w:tc>
          <w:tcPr>
            <w:tcW w:w="5043" w:type="dxa"/>
            <w:gridSpan w:val="2"/>
            <w:vAlign w:val="center"/>
          </w:tcPr>
          <w:p w14:paraId="77740DF4" w14:textId="6A96719A" w:rsidR="005173CF" w:rsidRPr="004533E5" w:rsidRDefault="000751B7"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163636" w:rsidRPr="00163636">
                <w:rPr>
                  <w:rStyle w:val="Hyperlink"/>
                  <w:rFonts w:ascii="Calibri Light" w:hAnsi="Calibri Light"/>
                </w:rPr>
                <w:t>Informe No. 69/16</w:t>
              </w:r>
            </w:hyperlink>
          </w:p>
        </w:tc>
      </w:tr>
      <w:tr w:rsidR="004533E5" w:rsidRPr="004533E5" w14:paraId="5EC10F5F" w14:textId="77777777" w:rsidTr="008B63AB">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0180E4F" w14:textId="0D20E055" w:rsidR="005173CF" w:rsidRPr="00F725A5" w:rsidRDefault="00954E20" w:rsidP="008B63AB">
            <w:pPr>
              <w:pStyle w:val="ListParagraph"/>
              <w:numPr>
                <w:ilvl w:val="0"/>
                <w:numId w:val="3"/>
              </w:numPr>
              <w:jc w:val="both"/>
            </w:pPr>
            <w:r w:rsidRPr="004533E5">
              <w:rPr>
                <w:rFonts w:ascii="Calibri Light" w:hAnsi="Calibri Light"/>
              </w:rPr>
              <w:t>Tipo de informe</w:t>
            </w:r>
          </w:p>
        </w:tc>
        <w:tc>
          <w:tcPr>
            <w:tcW w:w="5043" w:type="dxa"/>
            <w:gridSpan w:val="2"/>
            <w:vAlign w:val="center"/>
          </w:tcPr>
          <w:p w14:paraId="35E9A08D" w14:textId="661FE721" w:rsidR="005173CF" w:rsidRPr="004533E5" w:rsidRDefault="00163636"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de Solución Amistosa</w:t>
            </w:r>
          </w:p>
        </w:tc>
      </w:tr>
      <w:tr w:rsidR="005173CF" w:rsidRPr="004533E5" w14:paraId="7ED5AB61" w14:textId="77777777" w:rsidTr="008B63AB">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F77A84C" w14:textId="414AD0F4" w:rsidR="005173CF" w:rsidRPr="004533E5" w:rsidRDefault="00954E20" w:rsidP="008B63AB">
            <w:pPr>
              <w:pStyle w:val="ListParagraph"/>
              <w:numPr>
                <w:ilvl w:val="0"/>
                <w:numId w:val="3"/>
              </w:numPr>
              <w:jc w:val="both"/>
              <w:rPr>
                <w:rFonts w:ascii="Calibri Light" w:hAnsi="Calibri Light"/>
              </w:rPr>
            </w:pPr>
            <w:r>
              <w:rPr>
                <w:rFonts w:ascii="Calibri Light" w:hAnsi="Calibri Light"/>
              </w:rPr>
              <w:t>Fecha</w:t>
            </w:r>
          </w:p>
        </w:tc>
        <w:tc>
          <w:tcPr>
            <w:tcW w:w="5043" w:type="dxa"/>
            <w:gridSpan w:val="2"/>
            <w:vAlign w:val="center"/>
          </w:tcPr>
          <w:p w14:paraId="1C803DF5" w14:textId="16016C6E" w:rsidR="005173CF" w:rsidRPr="004533E5" w:rsidRDefault="00163636"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30 de noviembre de 2016</w:t>
            </w:r>
          </w:p>
        </w:tc>
      </w:tr>
      <w:tr w:rsidR="004533E5" w:rsidRPr="004533E5" w14:paraId="1A0D058F" w14:textId="77777777" w:rsidTr="008B63AB">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661C9E19" w14:textId="1119002C" w:rsidR="005173CF" w:rsidRPr="004533E5" w:rsidRDefault="00BB61C6" w:rsidP="008B63AB">
            <w:pPr>
              <w:pStyle w:val="ListParagraph"/>
              <w:numPr>
                <w:ilvl w:val="0"/>
                <w:numId w:val="3"/>
              </w:numPr>
              <w:jc w:val="both"/>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72EA1AA4" w14:textId="0E23C9CE" w:rsidR="00AC6F31" w:rsidRPr="004533E5"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462AEA" w:rsidRPr="004533E5" w14:paraId="570485B4" w14:textId="77777777" w:rsidTr="008B63A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3FCF8D6E" w14:textId="568477D0" w:rsidR="00462AEA" w:rsidRDefault="00462AEA" w:rsidP="008B63AB">
            <w:pPr>
              <w:pStyle w:val="ListParagraph"/>
              <w:numPr>
                <w:ilvl w:val="0"/>
                <w:numId w:val="3"/>
              </w:numPr>
              <w:jc w:val="both"/>
              <w:rPr>
                <w:rFonts w:ascii="Calibri Light" w:hAnsi="Calibri Light"/>
              </w:rPr>
            </w:pPr>
            <w:r>
              <w:rPr>
                <w:rFonts w:ascii="Calibri Light" w:hAnsi="Calibri Light"/>
              </w:rPr>
              <w:t>Artículos analizados</w:t>
            </w:r>
          </w:p>
        </w:tc>
        <w:tc>
          <w:tcPr>
            <w:tcW w:w="5043" w:type="dxa"/>
            <w:gridSpan w:val="2"/>
            <w:vAlign w:val="center"/>
          </w:tcPr>
          <w:p w14:paraId="18718B95" w14:textId="6E3F03B1" w:rsidR="00462AEA" w:rsidRPr="004533E5" w:rsidRDefault="00462AEA"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Convención Americana sobre Derechos Humanos</w:t>
            </w:r>
          </w:p>
        </w:tc>
      </w:tr>
      <w:tr w:rsidR="00462AEA" w:rsidRPr="004533E5" w14:paraId="3BA70920" w14:textId="7898BD3B" w:rsidTr="008B63AB">
        <w:trPr>
          <w:trHeight w:val="360"/>
        </w:trPr>
        <w:tc>
          <w:tcPr>
            <w:cnfStyle w:val="001000000000" w:firstRow="0" w:lastRow="0" w:firstColumn="1" w:lastColumn="0" w:oddVBand="0" w:evenVBand="0" w:oddHBand="0" w:evenHBand="0" w:firstRowFirstColumn="0" w:firstRowLastColumn="0" w:lastRowFirstColumn="0" w:lastRowLastColumn="0"/>
            <w:tcW w:w="3678" w:type="dxa"/>
            <w:vMerge/>
            <w:vAlign w:val="center"/>
          </w:tcPr>
          <w:p w14:paraId="6BC05AE4" w14:textId="77777777" w:rsidR="00462AEA" w:rsidRDefault="00462AEA" w:rsidP="008B63AB">
            <w:pPr>
              <w:pStyle w:val="ListParagraph"/>
              <w:numPr>
                <w:ilvl w:val="0"/>
                <w:numId w:val="3"/>
              </w:numPr>
              <w:jc w:val="both"/>
              <w:rPr>
                <w:rFonts w:ascii="Calibri Light" w:hAnsi="Calibri Light"/>
              </w:rPr>
            </w:pPr>
          </w:p>
        </w:tc>
        <w:tc>
          <w:tcPr>
            <w:tcW w:w="2535" w:type="dxa"/>
            <w:vAlign w:val="center"/>
          </w:tcPr>
          <w:p w14:paraId="4D6BCD12" w14:textId="7DBA02F5" w:rsidR="00462AEA"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se alcanzó un acuerdo</w:t>
            </w:r>
          </w:p>
        </w:tc>
        <w:tc>
          <w:tcPr>
            <w:tcW w:w="2508" w:type="dxa"/>
            <w:vAlign w:val="center"/>
          </w:tcPr>
          <w:p w14:paraId="16A08403" w14:textId="6F542A10" w:rsidR="00462AEA" w:rsidRDefault="00462AEA" w:rsidP="008B63A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sobre los que no se alcanzó un acuerdo</w:t>
            </w:r>
          </w:p>
        </w:tc>
      </w:tr>
      <w:tr w:rsidR="00462AEA" w:rsidRPr="004533E5" w14:paraId="4F10A34D" w14:textId="2558CF1E" w:rsidTr="008B63A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78" w:type="dxa"/>
            <w:vMerge/>
            <w:vAlign w:val="center"/>
          </w:tcPr>
          <w:p w14:paraId="75DD7069" w14:textId="77777777" w:rsidR="00462AEA" w:rsidRDefault="00462AEA" w:rsidP="008B63AB">
            <w:pPr>
              <w:pStyle w:val="ListParagraph"/>
              <w:numPr>
                <w:ilvl w:val="0"/>
                <w:numId w:val="3"/>
              </w:numPr>
              <w:jc w:val="both"/>
              <w:rPr>
                <w:rFonts w:ascii="Calibri Light" w:hAnsi="Calibri Light"/>
              </w:rPr>
            </w:pPr>
          </w:p>
        </w:tc>
        <w:tc>
          <w:tcPr>
            <w:tcW w:w="2535" w:type="dxa"/>
            <w:vAlign w:val="center"/>
          </w:tcPr>
          <w:p w14:paraId="4B2E6CCC" w14:textId="156BF8EF" w:rsidR="0065363F" w:rsidRDefault="0065363F" w:rsidP="006536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 8</w:t>
            </w:r>
            <w:r w:rsidR="00AB610C">
              <w:rPr>
                <w:rFonts w:ascii="Calibri Light" w:hAnsi="Calibri Light"/>
              </w:rPr>
              <w:t>, a</w:t>
            </w:r>
            <w:r>
              <w:rPr>
                <w:rFonts w:ascii="Calibri Light" w:hAnsi="Calibri Light"/>
              </w:rPr>
              <w:t>rt. 25</w:t>
            </w:r>
          </w:p>
        </w:tc>
        <w:tc>
          <w:tcPr>
            <w:tcW w:w="2508" w:type="dxa"/>
            <w:vAlign w:val="center"/>
          </w:tcPr>
          <w:p w14:paraId="5B0E6D51" w14:textId="77777777" w:rsidR="00462AEA" w:rsidRDefault="00462AEA" w:rsidP="008B63A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173CF" w:rsidRPr="004533E5" w14:paraId="54B7813B"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5D10ADD2"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462AEA">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025B1401" w:rsidR="00AC6F31" w:rsidRDefault="00AC6F31" w:rsidP="00931244">
            <w:pPr>
              <w:jc w:val="both"/>
              <w:rPr>
                <w:rFonts w:ascii="Calibri Light" w:hAnsi="Calibri Light"/>
                <w:b w:val="0"/>
              </w:rPr>
            </w:pPr>
          </w:p>
          <w:p w14:paraId="32B91B5A" w14:textId="77777777" w:rsidR="00AC6F31" w:rsidRDefault="00240AF9" w:rsidP="00240AF9">
            <w:pPr>
              <w:jc w:val="both"/>
              <w:rPr>
                <w:rFonts w:ascii="Calibri Light" w:hAnsi="Calibri Light"/>
                <w:b w:val="0"/>
              </w:rPr>
            </w:pPr>
            <w:r>
              <w:rPr>
                <w:rFonts w:ascii="Calibri Light" w:hAnsi="Calibri Light"/>
                <w:b w:val="0"/>
              </w:rPr>
              <w:t>El caso trata sobre la separación del señor Ferreyra de su cargo como Vocal Titular de la Corte Superior de Justicia de Ica, como consecuencia de un proceso de evaluación y ratificación llevado a cabo por el Consejo Nacional de la Magistratura sin las debidas garantías. La decisión fue cuestionada mediante una demanda de amparo, que fue resuelta por el Tribunal Constitucional de manera desfavorable al peticionario.</w:t>
            </w:r>
          </w:p>
          <w:p w14:paraId="1EE5A7E7" w14:textId="3E1124AF" w:rsidR="00240AF9" w:rsidRPr="004533E5" w:rsidRDefault="00240AF9" w:rsidP="00240AF9">
            <w:pPr>
              <w:jc w:val="both"/>
              <w:rPr>
                <w:rFonts w:ascii="Calibri Light" w:hAnsi="Calibri Light"/>
                <w:b w:val="0"/>
              </w:rPr>
            </w:pPr>
          </w:p>
        </w:tc>
      </w:tr>
      <w:tr w:rsidR="007A6C56" w:rsidRPr="004533E5" w14:paraId="238A2196"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F9202F">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5374712" w14:textId="4F467E5A" w:rsidR="00AC6F31" w:rsidRPr="004533E5" w:rsidRDefault="008B63AB" w:rsidP="00F9202F">
            <w:pPr>
              <w:jc w:val="both"/>
              <w:rPr>
                <w:rFonts w:ascii="Calibri Light" w:hAnsi="Calibri Light"/>
                <w:b w:val="0"/>
              </w:rPr>
            </w:pPr>
            <w:proofErr w:type="gramStart"/>
            <w:r>
              <w:rPr>
                <w:rFonts w:ascii="Calibri Light" w:hAnsi="Calibri Light"/>
                <w:b w:val="0"/>
              </w:rPr>
              <w:t>Garantías judiciales y protección judicial</w:t>
            </w:r>
            <w:proofErr w:type="gramEnd"/>
          </w:p>
        </w:tc>
      </w:tr>
      <w:tr w:rsidR="005173CF" w:rsidRPr="004533E5" w14:paraId="69044E7B" w14:textId="77777777" w:rsidTr="00462AEA">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1C26CA">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8721" w:type="dxa"/>
            <w:gridSpan w:val="3"/>
          </w:tcPr>
          <w:p w14:paraId="1D0A3B8F" w14:textId="77777777" w:rsidR="00F9202F" w:rsidRDefault="00F9202F" w:rsidP="008036E7">
            <w:pPr>
              <w:jc w:val="both"/>
              <w:rPr>
                <w:rFonts w:ascii="Calibri Light" w:hAnsi="Calibri Light"/>
                <w:b w:val="0"/>
              </w:rPr>
            </w:pPr>
          </w:p>
          <w:p w14:paraId="470EC13D" w14:textId="20949508" w:rsidR="00AC6F31" w:rsidRDefault="00F9202F" w:rsidP="008036E7">
            <w:pPr>
              <w:jc w:val="both"/>
              <w:rPr>
                <w:rFonts w:ascii="Calibri Light" w:hAnsi="Calibri Light"/>
                <w:b w:val="0"/>
              </w:rPr>
            </w:pPr>
            <w:r>
              <w:rPr>
                <w:rFonts w:ascii="Calibri Light" w:hAnsi="Calibri Light"/>
                <w:b w:val="0"/>
              </w:rPr>
              <w:t>El señor Ferreyra fue nombrado Vocal Titular de la Corte Superior de Justicia de Ica el 15 de febrero de 1996. Ejerció este cargo hasta el 28 de agosto de 2002, cuando fue separado del Poder Judicial a través de un proceso de evaluación y ratificación realizado por el Consejo Nacional de la Magistratura</w:t>
            </w:r>
            <w:r w:rsidR="009A3289">
              <w:rPr>
                <w:rFonts w:ascii="Calibri Light" w:hAnsi="Calibri Light"/>
                <w:b w:val="0"/>
              </w:rPr>
              <w:t xml:space="preserve"> (CNM)</w:t>
            </w:r>
            <w:r>
              <w:rPr>
                <w:rFonts w:ascii="Calibri Light" w:hAnsi="Calibri Light"/>
                <w:b w:val="0"/>
              </w:rPr>
              <w:t xml:space="preserve">, en el que </w:t>
            </w:r>
            <w:r w:rsidR="00344C45">
              <w:rPr>
                <w:rFonts w:ascii="Calibri Light" w:hAnsi="Calibri Light"/>
                <w:b w:val="0"/>
              </w:rPr>
              <w:t xml:space="preserve">i) </w:t>
            </w:r>
            <w:r>
              <w:rPr>
                <w:rFonts w:ascii="Calibri Light" w:hAnsi="Calibri Light"/>
                <w:b w:val="0"/>
              </w:rPr>
              <w:t>no se le informaron las razones por las cuales se adoptó la decisión no ratificación</w:t>
            </w:r>
            <w:r w:rsidR="00344C45">
              <w:rPr>
                <w:rFonts w:ascii="Calibri Light" w:hAnsi="Calibri Light"/>
                <w:b w:val="0"/>
              </w:rPr>
              <w:t>;</w:t>
            </w:r>
            <w:r>
              <w:rPr>
                <w:rFonts w:ascii="Calibri Light" w:hAnsi="Calibri Light"/>
                <w:b w:val="0"/>
              </w:rPr>
              <w:t xml:space="preserve"> </w:t>
            </w:r>
            <w:proofErr w:type="spellStart"/>
            <w:r w:rsidR="00344C45">
              <w:rPr>
                <w:rFonts w:ascii="Calibri Light" w:hAnsi="Calibri Light"/>
                <w:b w:val="0"/>
              </w:rPr>
              <w:t>ii</w:t>
            </w:r>
            <w:proofErr w:type="spellEnd"/>
            <w:r w:rsidR="00344C45">
              <w:rPr>
                <w:rFonts w:ascii="Calibri Light" w:hAnsi="Calibri Light"/>
                <w:b w:val="0"/>
              </w:rPr>
              <w:t xml:space="preserve">) </w:t>
            </w:r>
            <w:r>
              <w:rPr>
                <w:rFonts w:ascii="Calibri Light" w:hAnsi="Calibri Light"/>
                <w:b w:val="0"/>
              </w:rPr>
              <w:t>se le convocó fuera de los plazos legales y</w:t>
            </w:r>
            <w:r w:rsidR="00344C45">
              <w:rPr>
                <w:rFonts w:ascii="Calibri Light" w:hAnsi="Calibri Light"/>
                <w:b w:val="0"/>
              </w:rPr>
              <w:t xml:space="preserve">, </w:t>
            </w:r>
            <w:proofErr w:type="spellStart"/>
            <w:r w:rsidR="00344C45">
              <w:rPr>
                <w:rFonts w:ascii="Calibri Light" w:hAnsi="Calibri Light"/>
                <w:b w:val="0"/>
              </w:rPr>
              <w:t>iii</w:t>
            </w:r>
            <w:proofErr w:type="spellEnd"/>
            <w:r w:rsidR="00344C45">
              <w:rPr>
                <w:rFonts w:ascii="Calibri Light" w:hAnsi="Calibri Light"/>
                <w:b w:val="0"/>
              </w:rPr>
              <w:t>)</w:t>
            </w:r>
            <w:r>
              <w:rPr>
                <w:rFonts w:ascii="Calibri Light" w:hAnsi="Calibri Light"/>
                <w:b w:val="0"/>
              </w:rPr>
              <w:t xml:space="preserve"> se le sometió dos veces al proceso de evaluación y ratificación. </w:t>
            </w:r>
          </w:p>
          <w:p w14:paraId="54BD476D" w14:textId="77777777" w:rsidR="008B63AB" w:rsidRDefault="008B63AB" w:rsidP="008036E7">
            <w:pPr>
              <w:jc w:val="both"/>
              <w:rPr>
                <w:rFonts w:ascii="Calibri Light" w:hAnsi="Calibri Light"/>
                <w:b w:val="0"/>
              </w:rPr>
            </w:pPr>
          </w:p>
          <w:p w14:paraId="500C2391" w14:textId="5F4FA5BD" w:rsidR="00F9202F" w:rsidRDefault="00F9202F" w:rsidP="008036E7">
            <w:pPr>
              <w:jc w:val="both"/>
              <w:rPr>
                <w:rFonts w:ascii="Calibri Light" w:hAnsi="Calibri Light"/>
                <w:b w:val="0"/>
              </w:rPr>
            </w:pPr>
            <w:r>
              <w:rPr>
                <w:rFonts w:ascii="Calibri Light" w:hAnsi="Calibri Light"/>
                <w:b w:val="0"/>
              </w:rPr>
              <w:lastRenderedPageBreak/>
              <w:t xml:space="preserve">Ante esta situación, el señor Ferreyra presentó una demanda de amparo el 26 de noviembre de 2002, la cual fue resuelta por el Tribunal Constitucional el 15 de noviembre de 2007, declarándola infundada. </w:t>
            </w:r>
          </w:p>
          <w:p w14:paraId="4031A2AB" w14:textId="77777777" w:rsidR="00F9202F" w:rsidRDefault="008B63AB" w:rsidP="00F9202F">
            <w:pPr>
              <w:spacing w:before="240"/>
              <w:jc w:val="both"/>
              <w:rPr>
                <w:rFonts w:ascii="Calibri Light" w:hAnsi="Calibri Light"/>
                <w:b w:val="0"/>
              </w:rPr>
            </w:pPr>
            <w:r>
              <w:rPr>
                <w:rFonts w:ascii="Calibri Light" w:hAnsi="Calibri Light"/>
                <w:b w:val="0"/>
              </w:rPr>
              <w:t>Frente a tales hechos, el 18 de marzo de 2008, la CIDH recibió una petición presentada por Jesús Salvador Ferreyra Gonzáles en contra del Estado de Perú.</w:t>
            </w:r>
          </w:p>
          <w:p w14:paraId="6543A68A" w14:textId="59388B7C" w:rsidR="00F9202F" w:rsidRPr="004533E5" w:rsidRDefault="00F9202F" w:rsidP="00F9202F">
            <w:pPr>
              <w:jc w:val="both"/>
              <w:rPr>
                <w:rFonts w:ascii="Calibri Light" w:hAnsi="Calibri Light"/>
                <w:b w:val="0"/>
              </w:rPr>
            </w:pPr>
          </w:p>
        </w:tc>
      </w:tr>
      <w:tr w:rsidR="005173CF" w:rsidRPr="004533E5" w14:paraId="7B81A2F3" w14:textId="77777777" w:rsidTr="005410FC">
        <w:trPr>
          <w:trHeight w:val="80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2ABC3DA4" w:rsidR="005173CF" w:rsidRDefault="00C44C6E" w:rsidP="003E6AB8">
            <w:pPr>
              <w:pStyle w:val="ListParagraph"/>
              <w:numPr>
                <w:ilvl w:val="0"/>
                <w:numId w:val="2"/>
              </w:numPr>
              <w:jc w:val="center"/>
              <w:rPr>
                <w:rFonts w:ascii="Calibri Light" w:hAnsi="Calibri Light"/>
              </w:rPr>
            </w:pPr>
            <w:r w:rsidRPr="004533E5">
              <w:rPr>
                <w:rFonts w:ascii="Calibri Light" w:hAnsi="Calibri Light"/>
              </w:rPr>
              <w:t>Acuerdo de Sol</w:t>
            </w:r>
            <w:r w:rsidRPr="005410FC">
              <w:rPr>
                <w:rFonts w:ascii="Calibri Light" w:hAnsi="Calibri Light"/>
              </w:rPr>
              <w:t>ución Amistosa</w:t>
            </w:r>
            <w:r w:rsidR="003F17E6" w:rsidRPr="005410FC">
              <w:rPr>
                <w:rFonts w:ascii="Calibri Light" w:hAnsi="Calibri Light"/>
              </w:rPr>
              <w:t xml:space="preserve"> (ASA)</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462AEA">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043C186A" w14:textId="2FEB5FB8" w:rsidR="0095365B" w:rsidRDefault="0095365B" w:rsidP="0095365B">
            <w:pPr>
              <w:jc w:val="both"/>
              <w:rPr>
                <w:rFonts w:ascii="Calibri Light" w:hAnsi="Calibri Light"/>
                <w:b w:val="0"/>
              </w:rPr>
            </w:pPr>
          </w:p>
          <w:p w14:paraId="125C45C9" w14:textId="56FED240" w:rsidR="0095365B" w:rsidRDefault="0095365B" w:rsidP="0095365B">
            <w:pPr>
              <w:jc w:val="both"/>
              <w:rPr>
                <w:rFonts w:ascii="Calibri Light" w:hAnsi="Calibri Light"/>
                <w:b w:val="0"/>
              </w:rPr>
            </w:pPr>
            <w:r>
              <w:rPr>
                <w:rFonts w:ascii="Calibri Light" w:hAnsi="Calibri Light"/>
                <w:b w:val="0"/>
              </w:rPr>
              <w:t xml:space="preserve">Mediante el acuerdo de solución amistosa suscrito por las partes el 31 de octubre de 2016, </w:t>
            </w:r>
            <w:r w:rsidR="00344C45">
              <w:rPr>
                <w:rFonts w:ascii="Calibri Light" w:hAnsi="Calibri Light"/>
                <w:b w:val="0"/>
              </w:rPr>
              <w:t>estas</w:t>
            </w:r>
            <w:r>
              <w:rPr>
                <w:rFonts w:ascii="Calibri Light" w:hAnsi="Calibri Light"/>
                <w:b w:val="0"/>
              </w:rPr>
              <w:t xml:space="preserve"> manifestaron lo siguiente:</w:t>
            </w:r>
          </w:p>
          <w:p w14:paraId="78EDF82C" w14:textId="77777777" w:rsidR="0095365B" w:rsidRDefault="0095365B" w:rsidP="0095365B">
            <w:pPr>
              <w:jc w:val="both"/>
              <w:rPr>
                <w:rFonts w:ascii="Calibri Light" w:hAnsi="Calibri Light"/>
                <w:b w:val="0"/>
              </w:rPr>
            </w:pPr>
          </w:p>
          <w:p w14:paraId="08502CEC" w14:textId="22540DD8" w:rsidR="00AC6F31" w:rsidRDefault="009A3289" w:rsidP="009A3289">
            <w:pPr>
              <w:pStyle w:val="ListParagraph"/>
              <w:numPr>
                <w:ilvl w:val="0"/>
                <w:numId w:val="8"/>
              </w:numPr>
              <w:jc w:val="both"/>
              <w:rPr>
                <w:rFonts w:ascii="Calibri Light" w:hAnsi="Calibri Light"/>
                <w:b w:val="0"/>
              </w:rPr>
            </w:pPr>
            <w:r w:rsidRPr="009A3289">
              <w:rPr>
                <w:rFonts w:ascii="Calibri Light" w:hAnsi="Calibri Light"/>
                <w:b w:val="0"/>
              </w:rPr>
              <w:t>El</w:t>
            </w:r>
            <w:r>
              <w:rPr>
                <w:rFonts w:ascii="Calibri Light" w:hAnsi="Calibri Light"/>
                <w:b w:val="0"/>
              </w:rPr>
              <w:t xml:space="preserve"> Estado peruano reconoció que los procesos de ratificación previos a la entrada en vigor del Código Procesal Constitucional, el </w:t>
            </w:r>
            <w:r w:rsidR="00344C45">
              <w:rPr>
                <w:rFonts w:ascii="Calibri Light" w:hAnsi="Calibri Light"/>
                <w:b w:val="0"/>
              </w:rPr>
              <w:t>0</w:t>
            </w:r>
            <w:r>
              <w:rPr>
                <w:rFonts w:ascii="Calibri Light" w:hAnsi="Calibri Light"/>
                <w:b w:val="0"/>
              </w:rPr>
              <w:t xml:space="preserve">1 de diciembre de 2004, no incorporaron algunas garantías de la tutela procesal efectivamente, particularmente, la debida motivación. </w:t>
            </w:r>
          </w:p>
          <w:p w14:paraId="06D81D8C" w14:textId="77777777" w:rsidR="009A3289" w:rsidRDefault="009A3289" w:rsidP="009A3289">
            <w:pPr>
              <w:pStyle w:val="ListParagraph"/>
              <w:ind w:left="360"/>
              <w:jc w:val="both"/>
              <w:rPr>
                <w:rFonts w:ascii="Calibri Light" w:hAnsi="Calibri Light"/>
                <w:b w:val="0"/>
              </w:rPr>
            </w:pPr>
          </w:p>
          <w:p w14:paraId="1A954C7F" w14:textId="607E73FA" w:rsidR="009A3289" w:rsidRDefault="009A3289" w:rsidP="009A3289">
            <w:pPr>
              <w:pStyle w:val="ListParagraph"/>
              <w:numPr>
                <w:ilvl w:val="0"/>
                <w:numId w:val="8"/>
              </w:numPr>
              <w:jc w:val="both"/>
              <w:rPr>
                <w:rFonts w:ascii="Calibri Light" w:hAnsi="Calibri Light"/>
                <w:b w:val="0"/>
              </w:rPr>
            </w:pPr>
            <w:r>
              <w:rPr>
                <w:rFonts w:ascii="Calibri Light" w:hAnsi="Calibri Light"/>
                <w:b w:val="0"/>
              </w:rPr>
              <w:t>Como consecuencia de este reconocimiento, se dispuso:</w:t>
            </w:r>
          </w:p>
          <w:p w14:paraId="7C81DD00" w14:textId="77777777" w:rsidR="009A3289" w:rsidRPr="009A3289" w:rsidRDefault="009A3289" w:rsidP="00201522">
            <w:pPr>
              <w:pStyle w:val="ListParagraph"/>
              <w:spacing w:before="240"/>
              <w:rPr>
                <w:rFonts w:ascii="Calibri Light" w:hAnsi="Calibri Light"/>
              </w:rPr>
            </w:pPr>
          </w:p>
          <w:p w14:paraId="56949021" w14:textId="08BE44B8" w:rsidR="009A3289" w:rsidRDefault="009A3289" w:rsidP="009A3289">
            <w:pPr>
              <w:pStyle w:val="ListParagraph"/>
              <w:numPr>
                <w:ilvl w:val="1"/>
                <w:numId w:val="8"/>
              </w:numPr>
              <w:jc w:val="both"/>
              <w:rPr>
                <w:rFonts w:ascii="Calibri Light" w:hAnsi="Calibri Light"/>
                <w:b w:val="0"/>
              </w:rPr>
            </w:pPr>
            <w:r>
              <w:rPr>
                <w:rFonts w:ascii="Calibri Light" w:hAnsi="Calibri Light"/>
                <w:b w:val="0"/>
              </w:rPr>
              <w:t xml:space="preserve">La rehabilitación </w:t>
            </w:r>
            <w:r w:rsidR="00201522">
              <w:rPr>
                <w:rFonts w:ascii="Calibri Light" w:hAnsi="Calibri Light"/>
                <w:b w:val="0"/>
              </w:rPr>
              <w:t xml:space="preserve">del título correspondiente por el CNM. </w:t>
            </w:r>
          </w:p>
          <w:p w14:paraId="6D2141EF" w14:textId="55BFB523"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La reincorporación del señor Ferreyra en el Poder Judicial en su plaza original o en una plaza vacante de igual nivel.</w:t>
            </w:r>
          </w:p>
          <w:p w14:paraId="52CFF663" w14:textId="43858E7A"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 xml:space="preserve">El reconocimiento del tiempo de servicios no laborados desde la fecha de la resolución de no ratificación, a efectos del cómputo del tiempo de servicios y de jubilación.  </w:t>
            </w:r>
          </w:p>
          <w:p w14:paraId="524A16EF" w14:textId="77777777"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El pago de aportes previsionales por los años reconocidos a cargo del señor Ferreyra.</w:t>
            </w:r>
          </w:p>
          <w:p w14:paraId="37BD005A" w14:textId="77777777" w:rsidR="00201522" w:rsidRDefault="00201522" w:rsidP="009A3289">
            <w:pPr>
              <w:pStyle w:val="ListParagraph"/>
              <w:numPr>
                <w:ilvl w:val="1"/>
                <w:numId w:val="8"/>
              </w:numPr>
              <w:jc w:val="both"/>
              <w:rPr>
                <w:rFonts w:ascii="Calibri Light" w:hAnsi="Calibri Light"/>
                <w:b w:val="0"/>
              </w:rPr>
            </w:pPr>
            <w:r>
              <w:rPr>
                <w:rFonts w:ascii="Calibri Light" w:hAnsi="Calibri Light"/>
                <w:b w:val="0"/>
              </w:rPr>
              <w:t xml:space="preserve">La realización de un nuevo proceso de evaluación y ratificación, respetando las garantías del debido proceso. </w:t>
            </w:r>
          </w:p>
          <w:p w14:paraId="570BF1EF" w14:textId="77777777" w:rsidR="0065363F" w:rsidRDefault="0065363F" w:rsidP="0065363F">
            <w:pPr>
              <w:jc w:val="both"/>
              <w:rPr>
                <w:rFonts w:ascii="Calibri Light" w:hAnsi="Calibri Light"/>
              </w:rPr>
            </w:pPr>
          </w:p>
          <w:p w14:paraId="4CC971F3" w14:textId="54B4CB86" w:rsidR="0065363F" w:rsidRPr="001C26CA" w:rsidRDefault="0065363F" w:rsidP="0065363F">
            <w:pPr>
              <w:pStyle w:val="ListParagraph"/>
              <w:numPr>
                <w:ilvl w:val="0"/>
                <w:numId w:val="8"/>
              </w:numPr>
              <w:jc w:val="both"/>
              <w:rPr>
                <w:rFonts w:ascii="Calibri Light" w:hAnsi="Calibri Light"/>
                <w:b w:val="0"/>
              </w:rPr>
            </w:pPr>
            <w:r w:rsidRPr="0065363F">
              <w:rPr>
                <w:rFonts w:ascii="Calibri Light" w:hAnsi="Calibri Light"/>
                <w:b w:val="0"/>
              </w:rPr>
              <w:t>El acuerdo de solución amistosa finaliza</w:t>
            </w:r>
            <w:r w:rsidR="00344C45">
              <w:rPr>
                <w:rFonts w:ascii="Calibri Light" w:hAnsi="Calibri Light"/>
                <w:b w:val="0"/>
              </w:rPr>
              <w:t>ba</w:t>
            </w:r>
            <w:r w:rsidRPr="0065363F">
              <w:rPr>
                <w:rFonts w:ascii="Calibri Light" w:hAnsi="Calibri Light"/>
                <w:b w:val="0"/>
              </w:rPr>
              <w:t xml:space="preserve"> cualquier pretensión de indemnización o responsabilidad contra el Estado peruano. </w:t>
            </w:r>
          </w:p>
          <w:p w14:paraId="36F0AF65" w14:textId="77777777" w:rsidR="001C26CA" w:rsidRDefault="001C26CA" w:rsidP="001C26CA">
            <w:pPr>
              <w:pStyle w:val="ListParagraph"/>
              <w:ind w:left="360"/>
              <w:jc w:val="both"/>
              <w:rPr>
                <w:rFonts w:ascii="Calibri Light" w:hAnsi="Calibri Light"/>
                <w:b w:val="0"/>
              </w:rPr>
            </w:pPr>
          </w:p>
          <w:p w14:paraId="5AA471B6" w14:textId="7F0A64C9" w:rsidR="0065363F" w:rsidRPr="0065363F" w:rsidRDefault="0065363F" w:rsidP="0065363F">
            <w:pPr>
              <w:pStyle w:val="ListParagraph"/>
              <w:ind w:left="360"/>
              <w:jc w:val="both"/>
              <w:rPr>
                <w:rFonts w:ascii="Calibri Light" w:hAnsi="Calibri Light"/>
                <w:b w:val="0"/>
              </w:rPr>
            </w:pPr>
          </w:p>
        </w:tc>
      </w:tr>
      <w:tr w:rsidR="005173CF" w:rsidRPr="004533E5" w14:paraId="0FBFBB6F" w14:textId="77777777" w:rsidTr="005410FC">
        <w:trPr>
          <w:trHeight w:val="760"/>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7BC3C0AC" w:rsidR="005173CF" w:rsidRDefault="00C44C6E" w:rsidP="0029671B">
            <w:pPr>
              <w:pStyle w:val="ListParagraph"/>
              <w:numPr>
                <w:ilvl w:val="0"/>
                <w:numId w:val="2"/>
              </w:numPr>
              <w:jc w:val="center"/>
              <w:rPr>
                <w:rFonts w:ascii="Calibri Light" w:hAnsi="Calibri Light"/>
              </w:rPr>
            </w:pPr>
            <w:r>
              <w:rPr>
                <w:rFonts w:ascii="Calibri Light" w:hAnsi="Calibri Light"/>
              </w:rPr>
              <w:t>Determinación de compatibilidad y cumplimiento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462AE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4FF1C4E3" w:rsidR="00AC6F31" w:rsidRDefault="00AC6F31" w:rsidP="004B1311">
            <w:pPr>
              <w:pStyle w:val="ListParagraph"/>
              <w:ind w:left="0"/>
              <w:jc w:val="both"/>
              <w:rPr>
                <w:rFonts w:ascii="Calibri Light" w:hAnsi="Calibri Light"/>
                <w:b w:val="0"/>
              </w:rPr>
            </w:pPr>
          </w:p>
          <w:p w14:paraId="59200009" w14:textId="29553805" w:rsidR="0065363F" w:rsidRDefault="0065363F" w:rsidP="0065363F">
            <w:pPr>
              <w:jc w:val="both"/>
              <w:rPr>
                <w:rFonts w:ascii="Calibri Light" w:hAnsi="Calibri Light"/>
                <w:b w:val="0"/>
              </w:rPr>
            </w:pPr>
            <w:r>
              <w:rPr>
                <w:rFonts w:ascii="Calibri Light" w:hAnsi="Calibri Light"/>
                <w:b w:val="0"/>
              </w:rPr>
              <w:t>La CIDH determinó, a partir de la información suministrada por las partes:</w:t>
            </w:r>
          </w:p>
          <w:p w14:paraId="3BAE508E" w14:textId="77777777" w:rsidR="00676230" w:rsidRDefault="00676230" w:rsidP="004B1311">
            <w:pPr>
              <w:pStyle w:val="ListParagraph"/>
              <w:ind w:left="0"/>
              <w:jc w:val="both"/>
              <w:rPr>
                <w:rFonts w:ascii="Calibri Light" w:hAnsi="Calibri Light"/>
                <w:b w:val="0"/>
              </w:rPr>
            </w:pPr>
          </w:p>
          <w:p w14:paraId="4552E8E4" w14:textId="28AAF367" w:rsidR="0065363F" w:rsidRDefault="0065363F" w:rsidP="0065363F">
            <w:pPr>
              <w:pStyle w:val="ListParagraph"/>
              <w:numPr>
                <w:ilvl w:val="0"/>
                <w:numId w:val="9"/>
              </w:numPr>
              <w:jc w:val="both"/>
              <w:rPr>
                <w:rFonts w:ascii="Calibri Light" w:hAnsi="Calibri Light"/>
                <w:b w:val="0"/>
              </w:rPr>
            </w:pPr>
            <w:r>
              <w:rPr>
                <w:rFonts w:ascii="Calibri Light" w:hAnsi="Calibri Light"/>
                <w:b w:val="0"/>
              </w:rPr>
              <w:t xml:space="preserve">Aprobar los términos del </w:t>
            </w:r>
            <w:r w:rsidR="003F17E6">
              <w:rPr>
                <w:rFonts w:ascii="Calibri Light" w:hAnsi="Calibri Light"/>
                <w:b w:val="0"/>
              </w:rPr>
              <w:t>acuerdo de</w:t>
            </w:r>
            <w:r>
              <w:rPr>
                <w:rFonts w:ascii="Calibri Light" w:hAnsi="Calibri Light"/>
                <w:b w:val="0"/>
              </w:rPr>
              <w:t xml:space="preserve"> solución amistosa suscrito por las partes el 31 de agosto de 2016. </w:t>
            </w:r>
          </w:p>
          <w:p w14:paraId="0253C54B" w14:textId="59FF4EA7" w:rsidR="0065363F" w:rsidRDefault="0065363F" w:rsidP="0065363F">
            <w:pPr>
              <w:pStyle w:val="ListParagraph"/>
              <w:numPr>
                <w:ilvl w:val="0"/>
                <w:numId w:val="9"/>
              </w:numPr>
              <w:jc w:val="both"/>
              <w:rPr>
                <w:rFonts w:ascii="Calibri Light" w:hAnsi="Calibri Light"/>
                <w:b w:val="0"/>
              </w:rPr>
            </w:pPr>
            <w:r>
              <w:rPr>
                <w:rFonts w:ascii="Calibri Light" w:hAnsi="Calibri Light"/>
                <w:b w:val="0"/>
              </w:rPr>
              <w:t xml:space="preserve">Declarar pendiente de cumplimiento las medidas establecidas en el </w:t>
            </w:r>
            <w:r w:rsidR="00344C45">
              <w:rPr>
                <w:rFonts w:ascii="Calibri Light" w:hAnsi="Calibri Light"/>
                <w:b w:val="0"/>
              </w:rPr>
              <w:t xml:space="preserve">punto No. </w:t>
            </w:r>
            <w:r>
              <w:rPr>
                <w:rFonts w:ascii="Calibri Light" w:hAnsi="Calibri Light"/>
                <w:b w:val="0"/>
              </w:rPr>
              <w:t xml:space="preserve">2 de la anterior sección. </w:t>
            </w:r>
          </w:p>
          <w:p w14:paraId="4A8DD81F" w14:textId="598EAFF3" w:rsidR="0065363F" w:rsidRPr="001C26CA" w:rsidRDefault="0065363F" w:rsidP="0065363F">
            <w:pPr>
              <w:pStyle w:val="ListParagraph"/>
              <w:numPr>
                <w:ilvl w:val="0"/>
                <w:numId w:val="9"/>
              </w:numPr>
              <w:jc w:val="both"/>
              <w:rPr>
                <w:rFonts w:ascii="Calibri Light" w:hAnsi="Calibri Light"/>
                <w:b w:val="0"/>
              </w:rPr>
            </w:pPr>
            <w:r>
              <w:rPr>
                <w:rFonts w:ascii="Calibri Light" w:hAnsi="Calibri Light"/>
                <w:b w:val="0"/>
              </w:rPr>
              <w:t>Continuar con la supervisión de los compromisos pendientes de cumplimiento por parte del Estado, precisando que es deber de las partes informar periódicamente a la CIDH sobre el avance relativo a dichas medidas de reparación.</w:t>
            </w:r>
          </w:p>
          <w:p w14:paraId="5200E9B3" w14:textId="77777777" w:rsidR="001C26CA" w:rsidRDefault="001C26CA" w:rsidP="001C26CA">
            <w:pPr>
              <w:pStyle w:val="ListParagraph"/>
              <w:ind w:left="786"/>
              <w:jc w:val="both"/>
              <w:rPr>
                <w:rFonts w:ascii="Calibri Light" w:hAnsi="Calibri Light"/>
                <w:b w:val="0"/>
              </w:rPr>
            </w:pPr>
          </w:p>
          <w:p w14:paraId="49863AFC" w14:textId="2C7D2C7A" w:rsidR="0065363F" w:rsidRPr="004533E5" w:rsidRDefault="0065363F" w:rsidP="004B1311">
            <w:pPr>
              <w:pStyle w:val="ListParagraph"/>
              <w:ind w:left="0"/>
              <w:jc w:val="both"/>
              <w:rPr>
                <w:rFonts w:ascii="Calibri Light" w:hAnsi="Calibri Light"/>
                <w:b w:val="0"/>
              </w:rPr>
            </w:pPr>
          </w:p>
        </w:tc>
      </w:tr>
      <w:tr w:rsidR="00153BDC" w:rsidRPr="004533E5" w14:paraId="07E3491A" w14:textId="77777777" w:rsidTr="00462AEA">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0FFC66BD" w14:textId="77777777" w:rsidR="00153BDC" w:rsidRPr="000751B7" w:rsidRDefault="00153BDC" w:rsidP="00153BDC">
            <w:pPr>
              <w:pStyle w:val="ListParagraph"/>
              <w:rPr>
                <w:rFonts w:ascii="Calibri Light" w:hAnsi="Calibri Light"/>
                <w:bCs w:val="0"/>
              </w:rPr>
            </w:pPr>
          </w:p>
          <w:p w14:paraId="11A46E5E" w14:textId="33588D99" w:rsidR="00153BDC" w:rsidRPr="000751B7" w:rsidRDefault="00E94C71" w:rsidP="00153BDC">
            <w:pPr>
              <w:pStyle w:val="ListParagraph"/>
              <w:numPr>
                <w:ilvl w:val="0"/>
                <w:numId w:val="2"/>
              </w:numPr>
              <w:jc w:val="center"/>
              <w:rPr>
                <w:rFonts w:ascii="Calibri Light" w:hAnsi="Calibri Light"/>
                <w:bCs w:val="0"/>
              </w:rPr>
            </w:pPr>
            <w:r w:rsidRPr="000751B7">
              <w:rPr>
                <w:rFonts w:ascii="Calibri Light" w:hAnsi="Calibri Light"/>
                <w:bCs w:val="0"/>
              </w:rPr>
              <w:t xml:space="preserve">Impactos </w:t>
            </w:r>
            <w:r w:rsidR="003F17E6" w:rsidRPr="000751B7">
              <w:rPr>
                <w:rFonts w:ascii="Calibri Light" w:hAnsi="Calibri Light"/>
                <w:bCs w:val="0"/>
              </w:rPr>
              <w:t>individuales y estructurales del ASA</w:t>
            </w:r>
          </w:p>
          <w:p w14:paraId="0020DDA2" w14:textId="60FE2A2A" w:rsidR="00153BDC" w:rsidRPr="000751B7" w:rsidRDefault="00153BDC" w:rsidP="00153BDC">
            <w:pPr>
              <w:pStyle w:val="ListParagraph"/>
              <w:rPr>
                <w:rFonts w:ascii="Calibri Light" w:hAnsi="Calibri Light"/>
                <w:bCs w:val="0"/>
              </w:rPr>
            </w:pPr>
          </w:p>
        </w:tc>
      </w:tr>
      <w:tr w:rsidR="00153BDC" w:rsidRPr="004533E5" w14:paraId="788ED702" w14:textId="77777777" w:rsidTr="00462AE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4B0698F4" w14:textId="77777777" w:rsidR="00153BDC" w:rsidRPr="000751B7" w:rsidRDefault="008A78D5" w:rsidP="004B1311">
            <w:pPr>
              <w:pStyle w:val="ListParagraph"/>
              <w:ind w:left="0"/>
              <w:jc w:val="both"/>
              <w:rPr>
                <w:rFonts w:ascii="Calibri Light" w:hAnsi="Calibri Light"/>
                <w:bCs w:val="0"/>
              </w:rPr>
            </w:pPr>
            <w:r w:rsidRPr="000751B7">
              <w:rPr>
                <w:rFonts w:ascii="Calibri Light" w:hAnsi="Calibri Light"/>
                <w:b w:val="0"/>
              </w:rPr>
              <w:t>En el marco del seguimiento de la implementación del acuerdo de solución amistosa, a fecha 31 de diciembre de 2021, la Comisión ha identificado los siguientes impactos individuales y estructurales derivados del cumplimiento de este:</w:t>
            </w:r>
          </w:p>
          <w:p w14:paraId="7F5F63EC" w14:textId="77777777" w:rsidR="008A78D5" w:rsidRPr="000751B7" w:rsidRDefault="008A78D5" w:rsidP="004B1311">
            <w:pPr>
              <w:pStyle w:val="ListParagraph"/>
              <w:ind w:left="0"/>
              <w:jc w:val="both"/>
              <w:rPr>
                <w:rFonts w:ascii="Calibri Light" w:hAnsi="Calibri Light"/>
                <w:bCs w:val="0"/>
              </w:rPr>
            </w:pPr>
          </w:p>
          <w:p w14:paraId="2DC27673" w14:textId="77777777" w:rsidR="00D26481" w:rsidRPr="000751B7" w:rsidRDefault="00D26481" w:rsidP="00D26481">
            <w:pPr>
              <w:pStyle w:val="ListParagraph"/>
              <w:jc w:val="both"/>
              <w:rPr>
                <w:rFonts w:ascii="Calibri Light" w:hAnsi="Calibri Light"/>
                <w:bCs w:val="0"/>
              </w:rPr>
            </w:pPr>
            <w:r w:rsidRPr="000751B7">
              <w:rPr>
                <w:rFonts w:ascii="Calibri Light" w:hAnsi="Calibri Light"/>
                <w:bCs w:val="0"/>
              </w:rPr>
              <w:t>A.</w:t>
            </w:r>
            <w:r w:rsidRPr="000751B7">
              <w:rPr>
                <w:rFonts w:ascii="Calibri Light" w:hAnsi="Calibri Light"/>
                <w:bCs w:val="0"/>
              </w:rPr>
              <w:tab/>
              <w:t>Resultados individuales del caso</w:t>
            </w:r>
          </w:p>
          <w:p w14:paraId="1846EE26" w14:textId="77777777" w:rsidR="00D26481" w:rsidRPr="000751B7" w:rsidRDefault="00D26481" w:rsidP="00D26481">
            <w:pPr>
              <w:pStyle w:val="ListParagraph"/>
              <w:jc w:val="both"/>
              <w:rPr>
                <w:rFonts w:ascii="Calibri Light" w:hAnsi="Calibri Light"/>
                <w:b w:val="0"/>
              </w:rPr>
            </w:pPr>
          </w:p>
          <w:p w14:paraId="742AEF82" w14:textId="77777777" w:rsidR="00D26481" w:rsidRPr="000751B7" w:rsidRDefault="00D26481" w:rsidP="00D26481">
            <w:pPr>
              <w:pStyle w:val="ListParagraph"/>
              <w:jc w:val="both"/>
              <w:rPr>
                <w:rFonts w:ascii="Calibri Light" w:hAnsi="Calibri Light"/>
                <w:b w:val="0"/>
              </w:rPr>
            </w:pPr>
            <w:r w:rsidRPr="000751B7">
              <w:rPr>
                <w:rFonts w:ascii="Calibri Light" w:hAnsi="Calibri Light"/>
                <w:b w:val="0"/>
              </w:rPr>
              <w:t>•</w:t>
            </w:r>
            <w:r w:rsidRPr="000751B7">
              <w:rPr>
                <w:rFonts w:ascii="Calibri Light" w:hAnsi="Calibri Light"/>
                <w:b w:val="0"/>
              </w:rPr>
              <w:tab/>
              <w:t>El Estado rehabilitó el título del magistrado;</w:t>
            </w:r>
          </w:p>
          <w:p w14:paraId="2E3347E9" w14:textId="77777777" w:rsidR="00D26481" w:rsidRPr="000751B7" w:rsidRDefault="00D26481" w:rsidP="00D26481">
            <w:pPr>
              <w:pStyle w:val="ListParagraph"/>
              <w:jc w:val="both"/>
              <w:rPr>
                <w:rFonts w:ascii="Calibri Light" w:hAnsi="Calibri Light"/>
                <w:b w:val="0"/>
              </w:rPr>
            </w:pPr>
            <w:r w:rsidRPr="000751B7">
              <w:rPr>
                <w:rFonts w:ascii="Calibri Light" w:hAnsi="Calibri Light"/>
                <w:b w:val="0"/>
              </w:rPr>
              <w:t>•</w:t>
            </w:r>
            <w:r w:rsidRPr="000751B7">
              <w:rPr>
                <w:rFonts w:ascii="Calibri Light" w:hAnsi="Calibri Light"/>
                <w:b w:val="0"/>
              </w:rPr>
              <w:tab/>
              <w:t>El Estado reincorporó al Magistrado en su cargo;</w:t>
            </w:r>
          </w:p>
          <w:p w14:paraId="005A8EE3" w14:textId="77777777" w:rsidR="00D26481" w:rsidRPr="000751B7" w:rsidRDefault="00D26481" w:rsidP="00D26481">
            <w:pPr>
              <w:pStyle w:val="ListParagraph"/>
              <w:jc w:val="both"/>
              <w:rPr>
                <w:rFonts w:ascii="Calibri Light" w:hAnsi="Calibri Light"/>
                <w:b w:val="0"/>
              </w:rPr>
            </w:pPr>
            <w:r w:rsidRPr="000751B7">
              <w:rPr>
                <w:rFonts w:ascii="Calibri Light" w:hAnsi="Calibri Light"/>
                <w:b w:val="0"/>
              </w:rPr>
              <w:t>•</w:t>
            </w:r>
            <w:r w:rsidRPr="000751B7">
              <w:rPr>
                <w:rFonts w:ascii="Calibri Light" w:hAnsi="Calibri Light"/>
                <w:b w:val="0"/>
              </w:rPr>
              <w:tab/>
              <w:t xml:space="preserve">El Estado reconoció el tiempo de servicios no laborados; </w:t>
            </w:r>
          </w:p>
          <w:p w14:paraId="2D285AC1" w14:textId="77777777" w:rsidR="00D26481" w:rsidRPr="000751B7" w:rsidRDefault="00D26481" w:rsidP="00D26481">
            <w:pPr>
              <w:pStyle w:val="ListParagraph"/>
              <w:jc w:val="both"/>
              <w:rPr>
                <w:rFonts w:ascii="Calibri Light" w:hAnsi="Calibri Light"/>
                <w:b w:val="0"/>
              </w:rPr>
            </w:pPr>
            <w:r w:rsidRPr="000751B7">
              <w:rPr>
                <w:rFonts w:ascii="Calibri Light" w:hAnsi="Calibri Light"/>
                <w:b w:val="0"/>
              </w:rPr>
              <w:t>•</w:t>
            </w:r>
            <w:r w:rsidRPr="000751B7">
              <w:rPr>
                <w:rFonts w:ascii="Calibri Light" w:hAnsi="Calibri Light"/>
                <w:b w:val="0"/>
              </w:rPr>
              <w:tab/>
              <w:t>El Estado sometió al Magistrado a un nuevo procedimiento en el cual fue ratificado.</w:t>
            </w:r>
          </w:p>
          <w:p w14:paraId="56D8CBBE" w14:textId="77777777" w:rsidR="001C26CA" w:rsidRPr="000751B7" w:rsidRDefault="001C26CA" w:rsidP="004B1311">
            <w:pPr>
              <w:pStyle w:val="ListParagraph"/>
              <w:ind w:left="0"/>
              <w:jc w:val="both"/>
              <w:rPr>
                <w:rFonts w:ascii="Calibri Light" w:hAnsi="Calibri Light"/>
                <w:bCs w:val="0"/>
              </w:rPr>
            </w:pPr>
          </w:p>
          <w:p w14:paraId="524750DB" w14:textId="77777777" w:rsidR="008A78D5" w:rsidRPr="000751B7" w:rsidRDefault="001C26CA" w:rsidP="004B1311">
            <w:pPr>
              <w:pStyle w:val="ListParagraph"/>
              <w:ind w:left="0"/>
              <w:jc w:val="both"/>
              <w:rPr>
                <w:rFonts w:ascii="Calibri Light" w:hAnsi="Calibri Light"/>
                <w:bCs w:val="0"/>
              </w:rPr>
            </w:pPr>
            <w:r w:rsidRPr="000751B7">
              <w:rPr>
                <w:rFonts w:ascii="Calibri Light" w:hAnsi="Calibri Light"/>
                <w:b w:val="0"/>
              </w:rPr>
              <w:t>La Comisión declaró el cumplimiento total del asunto y el cese del seguimiento del acuerdo de solución amistosa en el Informe Anual de 2018.</w:t>
            </w:r>
          </w:p>
          <w:p w14:paraId="5AD355C9" w14:textId="560D2B69" w:rsidR="001C26CA" w:rsidRPr="000751B7" w:rsidRDefault="001C26CA" w:rsidP="004B1311">
            <w:pPr>
              <w:pStyle w:val="ListParagraph"/>
              <w:ind w:left="0"/>
              <w:jc w:val="both"/>
              <w:rPr>
                <w:rFonts w:ascii="Calibri Light" w:hAnsi="Calibri Light"/>
                <w:b w:val="0"/>
              </w:rPr>
            </w:pPr>
          </w:p>
        </w:tc>
      </w:tr>
    </w:tbl>
    <w:p w14:paraId="23A9A3C3" w14:textId="77777777" w:rsidR="00714E42" w:rsidRDefault="00714E42" w:rsidP="00A65231"/>
    <w:sectPr w:rsidR="00714E4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15B9" w14:textId="77777777" w:rsidR="00365E82" w:rsidRDefault="00365E82" w:rsidP="00A65231">
      <w:pPr>
        <w:spacing w:after="0" w:line="240" w:lineRule="auto"/>
      </w:pPr>
      <w:r>
        <w:separator/>
      </w:r>
    </w:p>
  </w:endnote>
  <w:endnote w:type="continuationSeparator" w:id="0">
    <w:p w14:paraId="37D3C133" w14:textId="77777777" w:rsidR="00365E82" w:rsidRDefault="00365E82"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EA7AE5" w:rsidRPr="00EA7AE5">
          <w:rPr>
            <w:noProof/>
            <w:lang w:val="es-ES"/>
          </w:rPr>
          <w:t>2</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F9F5" w14:textId="77777777" w:rsidR="00365E82" w:rsidRDefault="00365E82" w:rsidP="00A65231">
      <w:pPr>
        <w:spacing w:after="0" w:line="240" w:lineRule="auto"/>
      </w:pPr>
      <w:r>
        <w:separator/>
      </w:r>
    </w:p>
  </w:footnote>
  <w:footnote w:type="continuationSeparator" w:id="0">
    <w:p w14:paraId="5B4C3604" w14:textId="77777777" w:rsidR="00365E82" w:rsidRDefault="00365E82"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EBA"/>
    <w:multiLevelType w:val="hybridMultilevel"/>
    <w:tmpl w:val="CE52B672"/>
    <w:lvl w:ilvl="0" w:tplc="BCBCEAF8">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0263C0D"/>
    <w:multiLevelType w:val="hybridMultilevel"/>
    <w:tmpl w:val="D7B8641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15:restartNumberingAfterBreak="0">
    <w:nsid w:val="21BF5C1D"/>
    <w:multiLevelType w:val="hybridMultilevel"/>
    <w:tmpl w:val="AB182CB8"/>
    <w:lvl w:ilvl="0" w:tplc="F42AB062">
      <w:start w:val="1"/>
      <w:numFmt w:val="decimal"/>
      <w:lvlText w:val="%1."/>
      <w:lvlJc w:val="left"/>
      <w:pPr>
        <w:ind w:left="360" w:hanging="36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8D1013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B96325"/>
    <w:multiLevelType w:val="hybridMultilevel"/>
    <w:tmpl w:val="87C4D1C2"/>
    <w:lvl w:ilvl="0" w:tplc="280A000F">
      <w:start w:val="1"/>
      <w:numFmt w:val="decimal"/>
      <w:lvlText w:val="%1."/>
      <w:lvlJc w:val="left"/>
      <w:pPr>
        <w:ind w:left="360" w:hanging="360"/>
      </w:pPr>
      <w:rPr>
        <w:rFonts w:hint="default"/>
      </w:rPr>
    </w:lvl>
    <w:lvl w:ilvl="1" w:tplc="280A0001">
      <w:start w:val="1"/>
      <w:numFmt w:val="bullet"/>
      <w:lvlText w:val=""/>
      <w:lvlJc w:val="left"/>
      <w:pPr>
        <w:ind w:left="786" w:hanging="360"/>
      </w:pPr>
      <w:rPr>
        <w:rFonts w:ascii="Symbol" w:hAnsi="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651132124">
    <w:abstractNumId w:val="6"/>
  </w:num>
  <w:num w:numId="2" w16cid:durableId="1039357911">
    <w:abstractNumId w:val="3"/>
  </w:num>
  <w:num w:numId="3" w16cid:durableId="1193611775">
    <w:abstractNumId w:val="0"/>
  </w:num>
  <w:num w:numId="4" w16cid:durableId="1317684491">
    <w:abstractNumId w:val="4"/>
  </w:num>
  <w:num w:numId="5" w16cid:durableId="762846477">
    <w:abstractNumId w:val="5"/>
  </w:num>
  <w:num w:numId="6" w16cid:durableId="728574363">
    <w:abstractNumId w:val="8"/>
  </w:num>
  <w:num w:numId="7" w16cid:durableId="210965101">
    <w:abstractNumId w:val="2"/>
  </w:num>
  <w:num w:numId="8" w16cid:durableId="837647896">
    <w:abstractNumId w:val="7"/>
  </w:num>
  <w:num w:numId="9" w16cid:durableId="197093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59"/>
    <w:rsid w:val="000751B7"/>
    <w:rsid w:val="000C2ED1"/>
    <w:rsid w:val="000C5A72"/>
    <w:rsid w:val="000D3CF2"/>
    <w:rsid w:val="000E7A10"/>
    <w:rsid w:val="000F2C70"/>
    <w:rsid w:val="00130276"/>
    <w:rsid w:val="00153BDC"/>
    <w:rsid w:val="00163636"/>
    <w:rsid w:val="001A14F7"/>
    <w:rsid w:val="001A7B1B"/>
    <w:rsid w:val="001B2AEF"/>
    <w:rsid w:val="001C26CA"/>
    <w:rsid w:val="001C28EC"/>
    <w:rsid w:val="00201522"/>
    <w:rsid w:val="00212F62"/>
    <w:rsid w:val="00213757"/>
    <w:rsid w:val="00220B75"/>
    <w:rsid w:val="00240AF9"/>
    <w:rsid w:val="0029671B"/>
    <w:rsid w:val="00317EE5"/>
    <w:rsid w:val="00344C45"/>
    <w:rsid w:val="00365E82"/>
    <w:rsid w:val="003E6AB8"/>
    <w:rsid w:val="003F17E6"/>
    <w:rsid w:val="00411A74"/>
    <w:rsid w:val="00412649"/>
    <w:rsid w:val="00421D6C"/>
    <w:rsid w:val="00451809"/>
    <w:rsid w:val="00452AA6"/>
    <w:rsid w:val="004533E5"/>
    <w:rsid w:val="00460AD3"/>
    <w:rsid w:val="00462AEA"/>
    <w:rsid w:val="00464CAC"/>
    <w:rsid w:val="004858A8"/>
    <w:rsid w:val="004861D8"/>
    <w:rsid w:val="004B1311"/>
    <w:rsid w:val="004E678F"/>
    <w:rsid w:val="004F061A"/>
    <w:rsid w:val="005173CF"/>
    <w:rsid w:val="005410FC"/>
    <w:rsid w:val="00557C90"/>
    <w:rsid w:val="00561359"/>
    <w:rsid w:val="005C3229"/>
    <w:rsid w:val="005D4FDF"/>
    <w:rsid w:val="005F1D65"/>
    <w:rsid w:val="006407DD"/>
    <w:rsid w:val="0065363F"/>
    <w:rsid w:val="00676230"/>
    <w:rsid w:val="00685F04"/>
    <w:rsid w:val="006C7558"/>
    <w:rsid w:val="006D488A"/>
    <w:rsid w:val="00714E42"/>
    <w:rsid w:val="00747E22"/>
    <w:rsid w:val="0079477F"/>
    <w:rsid w:val="007A6C56"/>
    <w:rsid w:val="007B7ED8"/>
    <w:rsid w:val="007E382B"/>
    <w:rsid w:val="008036E7"/>
    <w:rsid w:val="0083689F"/>
    <w:rsid w:val="00841B0E"/>
    <w:rsid w:val="00866A4D"/>
    <w:rsid w:val="008A78D5"/>
    <w:rsid w:val="008B63AB"/>
    <w:rsid w:val="0090367F"/>
    <w:rsid w:val="00931244"/>
    <w:rsid w:val="0095365B"/>
    <w:rsid w:val="00954E20"/>
    <w:rsid w:val="009A3289"/>
    <w:rsid w:val="00A133CC"/>
    <w:rsid w:val="00A271BF"/>
    <w:rsid w:val="00A4435A"/>
    <w:rsid w:val="00A560C1"/>
    <w:rsid w:val="00A65231"/>
    <w:rsid w:val="00A91B24"/>
    <w:rsid w:val="00AB610C"/>
    <w:rsid w:val="00AC6F31"/>
    <w:rsid w:val="00B07E72"/>
    <w:rsid w:val="00B71B8C"/>
    <w:rsid w:val="00B771B5"/>
    <w:rsid w:val="00B93CB9"/>
    <w:rsid w:val="00BB61C6"/>
    <w:rsid w:val="00BD48E5"/>
    <w:rsid w:val="00BE6FA1"/>
    <w:rsid w:val="00C31DFF"/>
    <w:rsid w:val="00C44C6E"/>
    <w:rsid w:val="00C63B25"/>
    <w:rsid w:val="00CA6515"/>
    <w:rsid w:val="00D0696E"/>
    <w:rsid w:val="00D26481"/>
    <w:rsid w:val="00D40284"/>
    <w:rsid w:val="00D67B22"/>
    <w:rsid w:val="00D945C3"/>
    <w:rsid w:val="00DD3C7C"/>
    <w:rsid w:val="00DF2AFB"/>
    <w:rsid w:val="00E35FF7"/>
    <w:rsid w:val="00E94C71"/>
    <w:rsid w:val="00EA7AE5"/>
    <w:rsid w:val="00F06184"/>
    <w:rsid w:val="00F35633"/>
    <w:rsid w:val="00F464EC"/>
    <w:rsid w:val="00F53444"/>
    <w:rsid w:val="00F55CD0"/>
    <w:rsid w:val="00F725A5"/>
    <w:rsid w:val="00F83405"/>
    <w:rsid w:val="00F9202F"/>
    <w:rsid w:val="00FB0F60"/>
    <w:rsid w:val="00FB1D1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1636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MXSA12847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CCF6-3EE0-4627-A6C1-F8471EF1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3793</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2022-06-01T20:27:00Z</dcterms:created>
  <dcterms:modified xsi:type="dcterms:W3CDTF">2022-06-02T20:53:00Z</dcterms:modified>
</cp:coreProperties>
</file>