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17D7B" w14:textId="77777777" w:rsidR="00BA7B98" w:rsidRDefault="00BA7B98" w:rsidP="00BA7B98">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D6B9737" wp14:editId="53950BC5">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17F168E6" wp14:editId="2351FB59">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B245D3A" wp14:editId="5D193004">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C083" w14:textId="77777777" w:rsidR="00BA7B98" w:rsidRPr="00411A74" w:rsidRDefault="00BA7B98" w:rsidP="00BA7B98">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65F1197C" w14:textId="77777777" w:rsidR="00BA7B98" w:rsidRDefault="00BA7B98" w:rsidP="00BA7B98">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33AF6FA7" w14:textId="52A5E79B" w:rsidR="00F725A5" w:rsidRPr="004533E5" w:rsidRDefault="00F725A5" w:rsidP="00B56E3A">
      <w:pPr>
        <w:pStyle w:val="Header"/>
        <w:jc w:val="center"/>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D95C84"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D95C84" w:rsidRPr="004533E5" w:rsidRDefault="00D95C84" w:rsidP="00D95C84">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22EFC4B5" w:rsidR="00D95C84" w:rsidRPr="005A1DB6" w:rsidRDefault="00D95C84" w:rsidP="00D95C84">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Miguel Ángel Rodríguez Revolorio, Miguel Ángel López Calo y Aníbal Archila Pérez, Guatemala</w:t>
            </w:r>
          </w:p>
        </w:tc>
      </w:tr>
      <w:tr w:rsidR="00D95C84"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35CCDACA" w:rsidR="00D95C84" w:rsidRPr="00295E72" w:rsidRDefault="00D95C84" w:rsidP="00D95C84">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7E60F7F7"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Centr</w:t>
            </w:r>
            <w:r w:rsidR="00E23FD9">
              <w:rPr>
                <w:rFonts w:ascii="Calibri Light" w:hAnsi="Calibri Light"/>
              </w:rPr>
              <w:t>o</w:t>
            </w:r>
            <w:r>
              <w:rPr>
                <w:rFonts w:ascii="Calibri Light" w:hAnsi="Calibri Light"/>
              </w:rPr>
              <w:t xml:space="preserve"> para la Acción Legal en Derechos Humanos</w:t>
            </w:r>
          </w:p>
        </w:tc>
      </w:tr>
      <w:tr w:rsidR="00D95C84"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D95C84" w:rsidRPr="004533E5" w:rsidRDefault="00D95C84" w:rsidP="00D95C84">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13498C47" w:rsidR="00D95C84" w:rsidRPr="00295E72" w:rsidRDefault="009D7E5A"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95C84" w:rsidRPr="00061E2D">
                <w:rPr>
                  <w:rStyle w:val="Hyperlink"/>
                  <w:rFonts w:ascii="Calibri Light" w:hAnsi="Calibri Light"/>
                </w:rPr>
                <w:t xml:space="preserve">Informe No. </w:t>
              </w:r>
              <w:r w:rsidR="00D95C84">
                <w:rPr>
                  <w:rStyle w:val="Hyperlink"/>
                  <w:rFonts w:ascii="Calibri Light" w:hAnsi="Calibri Light"/>
                </w:rPr>
                <w:t>99</w:t>
              </w:r>
              <w:r w:rsidR="00D95C84" w:rsidRPr="00061E2D">
                <w:rPr>
                  <w:rStyle w:val="Hyperlink"/>
                  <w:rFonts w:ascii="Calibri Light" w:hAnsi="Calibri Light"/>
                </w:rPr>
                <w:t>/</w:t>
              </w:r>
              <w:r w:rsidR="00D95C84">
                <w:rPr>
                  <w:rStyle w:val="Hyperlink"/>
                  <w:rFonts w:ascii="Calibri Light" w:hAnsi="Calibri Light"/>
                </w:rPr>
                <w:t>17</w:t>
              </w:r>
            </w:hyperlink>
          </w:p>
        </w:tc>
      </w:tr>
      <w:tr w:rsidR="00D95C84"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D95C84" w:rsidRPr="00F725A5" w:rsidRDefault="00D95C84" w:rsidP="00D95C84">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07972F87"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Informe de Fondo (Caso en la Corte IDH)</w:t>
            </w:r>
          </w:p>
        </w:tc>
      </w:tr>
      <w:tr w:rsidR="00D95C84" w:rsidRPr="004533E5" w14:paraId="7ED5AB61" w14:textId="77777777" w:rsidTr="00CE3E9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D95C84" w:rsidRPr="004533E5" w:rsidRDefault="00D95C84" w:rsidP="00D95C84">
            <w:pPr>
              <w:pStyle w:val="ListParagraph"/>
              <w:numPr>
                <w:ilvl w:val="0"/>
                <w:numId w:val="3"/>
              </w:numPr>
              <w:rPr>
                <w:rFonts w:ascii="Calibri Light" w:hAnsi="Calibri Light"/>
              </w:rPr>
            </w:pPr>
            <w:r>
              <w:rPr>
                <w:rFonts w:ascii="Calibri Light" w:hAnsi="Calibri Light"/>
              </w:rPr>
              <w:t>Fecha</w:t>
            </w:r>
            <w:r w:rsidRPr="004533E5">
              <w:rPr>
                <w:rFonts w:ascii="Calibri Light" w:hAnsi="Calibri Light"/>
              </w:rPr>
              <w:t xml:space="preserve"> </w:t>
            </w:r>
          </w:p>
        </w:tc>
        <w:tc>
          <w:tcPr>
            <w:tcW w:w="5043" w:type="dxa"/>
            <w:gridSpan w:val="2"/>
          </w:tcPr>
          <w:p w14:paraId="1C803DF5" w14:textId="4E06F634" w:rsidR="00D95C84" w:rsidRPr="005A1DB6" w:rsidRDefault="00D95C84"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5</w:t>
            </w:r>
            <w:r w:rsidRPr="00295E72">
              <w:rPr>
                <w:rFonts w:ascii="Calibri Light" w:hAnsi="Calibri Light"/>
              </w:rPr>
              <w:t xml:space="preserve"> de </w:t>
            </w:r>
            <w:r>
              <w:rPr>
                <w:rFonts w:ascii="Calibri Light" w:hAnsi="Calibri Light"/>
              </w:rPr>
              <w:t>setiembre</w:t>
            </w:r>
            <w:r w:rsidRPr="00295E72">
              <w:rPr>
                <w:rFonts w:ascii="Calibri Light" w:hAnsi="Calibri Light"/>
              </w:rPr>
              <w:t xml:space="preserve"> de </w:t>
            </w:r>
            <w:r>
              <w:rPr>
                <w:rFonts w:ascii="Calibri Light" w:hAnsi="Calibri Light"/>
              </w:rPr>
              <w:t>2017</w:t>
            </w:r>
          </w:p>
        </w:tc>
      </w:tr>
      <w:tr w:rsidR="00D95C84" w:rsidRPr="004533E5" w14:paraId="1A0D058F" w14:textId="77777777" w:rsidTr="00CE3E91">
        <w:trPr>
          <w:trHeight w:val="410"/>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D95C84" w:rsidRPr="004533E5" w:rsidRDefault="00D95C84" w:rsidP="00D95C84">
            <w:pPr>
              <w:pStyle w:val="ListParagraph"/>
              <w:numPr>
                <w:ilvl w:val="0"/>
                <w:numId w:val="3"/>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3571953F" w14:textId="77777777" w:rsidR="00D95C84" w:rsidRDefault="00D95C84" w:rsidP="00D95C84">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No. </w:t>
            </w:r>
            <w:r>
              <w:rPr>
                <w:rFonts w:ascii="Calibri Light" w:hAnsi="Calibri Light"/>
              </w:rPr>
              <w:t>99/17</w:t>
            </w:r>
            <w:r w:rsidRPr="00295E72">
              <w:rPr>
                <w:rFonts w:ascii="Calibri Light" w:hAnsi="Calibri Light"/>
              </w:rPr>
              <w:t xml:space="preserve"> (</w:t>
            </w:r>
            <w:hyperlink r:id="rId13" w:history="1">
              <w:r w:rsidRPr="00295E72">
                <w:rPr>
                  <w:rStyle w:val="Hyperlink"/>
                  <w:rFonts w:ascii="Calibri Light" w:hAnsi="Calibri Light"/>
                </w:rPr>
                <w:t>Admisibilidad</w:t>
              </w:r>
            </w:hyperlink>
            <w:r w:rsidRPr="00295E72">
              <w:rPr>
                <w:rFonts w:ascii="Calibri Light" w:hAnsi="Calibri Light"/>
              </w:rPr>
              <w:t>)</w:t>
            </w:r>
          </w:p>
          <w:p w14:paraId="72EA1AA4" w14:textId="43084F22" w:rsidR="00BA7B98" w:rsidRPr="00295E72" w:rsidRDefault="00BA7B98" w:rsidP="00BA7B9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Rodríguez Revolorio y otros vs. Guatemala (</w:t>
            </w:r>
            <w:hyperlink r:id="rId14" w:history="1">
              <w:r w:rsidRPr="00BA7B98">
                <w:rPr>
                  <w:rStyle w:val="Hyperlink"/>
                  <w:rFonts w:ascii="Calibri Light" w:hAnsi="Calibri Light"/>
                </w:rPr>
                <w:t>Sentencia de 14 de octubre de 2019</w:t>
              </w:r>
            </w:hyperlink>
            <w:r>
              <w:rPr>
                <w:rFonts w:ascii="Calibri Light" w:hAnsi="Calibri Light"/>
              </w:rPr>
              <w:t>)</w:t>
            </w:r>
          </w:p>
        </w:tc>
      </w:tr>
      <w:tr w:rsidR="00D95C84"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D95C84" w:rsidRDefault="00D95C84" w:rsidP="00D95C84">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44612EDF" w:rsidR="00D95C84" w:rsidRPr="00295E72" w:rsidRDefault="00D95C84" w:rsidP="00D95C84">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295E72">
              <w:rPr>
                <w:rFonts w:ascii="Calibri Light" w:hAnsi="Calibri Light"/>
              </w:rPr>
              <w:t>Convención Americana sobre Derechos Humanos</w:t>
            </w:r>
          </w:p>
        </w:tc>
      </w:tr>
      <w:tr w:rsidR="00D95C84"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D95C84" w:rsidRDefault="00D95C84" w:rsidP="00D95C84">
            <w:pPr>
              <w:pStyle w:val="ListParagraph"/>
              <w:numPr>
                <w:ilvl w:val="0"/>
                <w:numId w:val="3"/>
              </w:numPr>
              <w:rPr>
                <w:rFonts w:ascii="Calibri Light" w:hAnsi="Calibri Light"/>
              </w:rPr>
            </w:pPr>
          </w:p>
        </w:tc>
        <w:tc>
          <w:tcPr>
            <w:tcW w:w="2490" w:type="dxa"/>
          </w:tcPr>
          <w:p w14:paraId="04C377A5" w14:textId="03DDDCE4"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declarados violados</w:t>
            </w:r>
          </w:p>
        </w:tc>
        <w:tc>
          <w:tcPr>
            <w:tcW w:w="2553" w:type="dxa"/>
          </w:tcPr>
          <w:p w14:paraId="277975FB" w14:textId="56CF35CB"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no declarados violados</w:t>
            </w:r>
          </w:p>
        </w:tc>
      </w:tr>
      <w:tr w:rsidR="00D95C84" w:rsidRPr="00672538" w14:paraId="30E833B4" w14:textId="77777777" w:rsidTr="0067253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5B135955" w14:textId="77777777" w:rsidR="00D95C84" w:rsidRDefault="00D95C84" w:rsidP="00D95C84">
            <w:pPr>
              <w:pStyle w:val="ListParagraph"/>
              <w:numPr>
                <w:ilvl w:val="0"/>
                <w:numId w:val="3"/>
              </w:numPr>
              <w:rPr>
                <w:rFonts w:ascii="Calibri Light" w:hAnsi="Calibri Light"/>
              </w:rPr>
            </w:pPr>
          </w:p>
        </w:tc>
        <w:tc>
          <w:tcPr>
            <w:tcW w:w="2490" w:type="dxa"/>
          </w:tcPr>
          <w:p w14:paraId="1056E80D" w14:textId="45204758" w:rsidR="00D95C84" w:rsidRPr="00672538" w:rsidRDefault="00D95C84" w:rsidP="0094045D">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672538">
              <w:rPr>
                <w:rFonts w:ascii="Calibri Light" w:hAnsi="Calibri Light"/>
                <w:lang w:val="en-US"/>
              </w:rPr>
              <w:t xml:space="preserve">Art.1, art. 2, art. 4, </w:t>
            </w:r>
            <w:r w:rsidR="00D3271F">
              <w:rPr>
                <w:rFonts w:ascii="Calibri Light" w:hAnsi="Calibri Light"/>
                <w:lang w:val="en-US"/>
              </w:rPr>
              <w:t xml:space="preserve">art. 5, </w:t>
            </w:r>
            <w:r w:rsidRPr="00672538">
              <w:rPr>
                <w:rFonts w:ascii="Calibri Light" w:hAnsi="Calibri Light"/>
                <w:lang w:val="en-US"/>
              </w:rPr>
              <w:t xml:space="preserve">art. </w:t>
            </w:r>
            <w:r w:rsidR="0094045D">
              <w:rPr>
                <w:rFonts w:ascii="Calibri Light" w:hAnsi="Calibri Light"/>
                <w:lang w:val="en-US"/>
              </w:rPr>
              <w:t>8</w:t>
            </w:r>
            <w:r w:rsidRPr="00672538">
              <w:rPr>
                <w:rFonts w:ascii="Calibri Light" w:hAnsi="Calibri Light"/>
                <w:lang w:val="en-US"/>
              </w:rPr>
              <w:t>, art.</w:t>
            </w:r>
            <w:r>
              <w:rPr>
                <w:rFonts w:ascii="Calibri Light" w:hAnsi="Calibri Light"/>
                <w:lang w:val="en-US"/>
              </w:rPr>
              <w:t xml:space="preserve"> </w:t>
            </w:r>
            <w:r w:rsidR="0094045D">
              <w:rPr>
                <w:rFonts w:ascii="Calibri Light" w:hAnsi="Calibri Light"/>
                <w:lang w:val="en-US"/>
              </w:rPr>
              <w:t>9</w:t>
            </w:r>
            <w:r>
              <w:rPr>
                <w:rFonts w:ascii="Calibri Light" w:hAnsi="Calibri Light"/>
                <w:lang w:val="en-US"/>
              </w:rPr>
              <w:t>, art. 25</w:t>
            </w:r>
          </w:p>
        </w:tc>
        <w:tc>
          <w:tcPr>
            <w:tcW w:w="2553" w:type="dxa"/>
            <w:vAlign w:val="center"/>
          </w:tcPr>
          <w:p w14:paraId="7110E9DA" w14:textId="41E7F67E" w:rsidR="00D95C84" w:rsidRPr="00672538" w:rsidRDefault="00D95C84" w:rsidP="00D95C8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4E58DE">
              <w:rPr>
                <w:rFonts w:ascii="Calibri Light" w:hAnsi="Calibri Light"/>
                <w:lang w:val="es-PE"/>
              </w:rPr>
              <w:t>-</w:t>
            </w:r>
          </w:p>
        </w:tc>
      </w:tr>
      <w:tr w:rsidR="00D95C84" w:rsidRPr="00672538" w14:paraId="17192C94" w14:textId="77777777" w:rsidTr="00A438B0">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894C856" w14:textId="77777777" w:rsidR="00D95C84" w:rsidRPr="00672538" w:rsidRDefault="00D95C84" w:rsidP="00D95C84">
            <w:pPr>
              <w:pStyle w:val="ListParagraph"/>
              <w:numPr>
                <w:ilvl w:val="0"/>
                <w:numId w:val="3"/>
              </w:numPr>
              <w:rPr>
                <w:rFonts w:ascii="Calibri Light" w:hAnsi="Calibri Light"/>
                <w:lang w:val="en-US"/>
              </w:rPr>
            </w:pPr>
          </w:p>
        </w:tc>
        <w:tc>
          <w:tcPr>
            <w:tcW w:w="5043" w:type="dxa"/>
            <w:gridSpan w:val="2"/>
          </w:tcPr>
          <w:p w14:paraId="1FC30164" w14:textId="4AC22F72" w:rsidR="00D95C84" w:rsidRPr="00672538"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rPr>
              <w:t>Convención Interamericana para Prevenir y Sancionar la Tortura</w:t>
            </w:r>
          </w:p>
        </w:tc>
      </w:tr>
      <w:tr w:rsidR="00D95C84" w:rsidRPr="00672538" w14:paraId="07EE44DB" w14:textId="77777777" w:rsidTr="00A9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5495D90D" w14:textId="77777777" w:rsidR="00D95C84" w:rsidRPr="00672538" w:rsidRDefault="00D95C84" w:rsidP="00D95C84">
            <w:pPr>
              <w:pStyle w:val="ListParagraph"/>
              <w:numPr>
                <w:ilvl w:val="0"/>
                <w:numId w:val="3"/>
              </w:numPr>
              <w:rPr>
                <w:rFonts w:ascii="Calibri Light" w:hAnsi="Calibri Light"/>
                <w:lang w:val="es-PE"/>
              </w:rPr>
            </w:pPr>
          </w:p>
        </w:tc>
        <w:tc>
          <w:tcPr>
            <w:tcW w:w="2490" w:type="dxa"/>
          </w:tcPr>
          <w:p w14:paraId="13B4B0B3" w14:textId="309F656B" w:rsidR="00D95C84" w:rsidRPr="00672538" w:rsidRDefault="00D95C84"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declarados violados</w:t>
            </w:r>
          </w:p>
        </w:tc>
        <w:tc>
          <w:tcPr>
            <w:tcW w:w="2553" w:type="dxa"/>
          </w:tcPr>
          <w:p w14:paraId="15EB88DD" w14:textId="6E02889E" w:rsidR="00D95C84" w:rsidRPr="00672538" w:rsidRDefault="00D95C84"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no declarados violados</w:t>
            </w:r>
          </w:p>
        </w:tc>
      </w:tr>
      <w:tr w:rsidR="00D95C84" w:rsidRPr="00672538" w14:paraId="2B7909E5" w14:textId="77777777" w:rsidTr="00672538">
        <w:trPr>
          <w:trHeight w:val="254"/>
        </w:trPr>
        <w:tc>
          <w:tcPr>
            <w:cnfStyle w:val="001000000000" w:firstRow="0" w:lastRow="0" w:firstColumn="1" w:lastColumn="0" w:oddVBand="0" w:evenVBand="0" w:oddHBand="0" w:evenHBand="0" w:firstRowFirstColumn="0" w:firstRowLastColumn="0" w:lastRowFirstColumn="0" w:lastRowLastColumn="0"/>
            <w:tcW w:w="3678" w:type="dxa"/>
            <w:vMerge/>
          </w:tcPr>
          <w:p w14:paraId="1851F013" w14:textId="77777777" w:rsidR="00D95C84" w:rsidRPr="00672538" w:rsidRDefault="00D95C84" w:rsidP="00D95C84">
            <w:pPr>
              <w:rPr>
                <w:rFonts w:ascii="Calibri Light" w:hAnsi="Calibri Light"/>
                <w:lang w:val="es-PE"/>
              </w:rPr>
            </w:pPr>
          </w:p>
        </w:tc>
        <w:tc>
          <w:tcPr>
            <w:tcW w:w="2490" w:type="dxa"/>
          </w:tcPr>
          <w:p w14:paraId="1A73BB1B" w14:textId="2D8DD39E"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72538">
              <w:rPr>
                <w:rFonts w:ascii="Calibri Light" w:hAnsi="Calibri Light"/>
                <w:lang w:val="es-PE"/>
              </w:rPr>
              <w:t>Art. 1, art. 6, art. 8</w:t>
            </w:r>
          </w:p>
        </w:tc>
        <w:tc>
          <w:tcPr>
            <w:tcW w:w="2553" w:type="dxa"/>
            <w:vAlign w:val="center"/>
          </w:tcPr>
          <w:p w14:paraId="64DDC91B" w14:textId="34FC2566" w:rsidR="00D95C84" w:rsidRPr="00295E72" w:rsidRDefault="00D95C84" w:rsidP="00D95C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D95C84" w:rsidRPr="004533E5" w14:paraId="54B7813B"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04FCC5F0" w14:textId="77777777" w:rsidR="00D95C84" w:rsidRDefault="00D95C84" w:rsidP="00D95C84">
            <w:pPr>
              <w:pStyle w:val="ListParagraph"/>
              <w:rPr>
                <w:rFonts w:ascii="Calibri Light" w:hAnsi="Calibri Light"/>
              </w:rPr>
            </w:pPr>
          </w:p>
          <w:p w14:paraId="1ECE5967"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D95C84" w:rsidRPr="004533E5" w:rsidRDefault="00D95C84" w:rsidP="00D95C84">
            <w:pPr>
              <w:pStyle w:val="ListParagraph"/>
              <w:rPr>
                <w:rFonts w:ascii="Calibri Light" w:hAnsi="Calibri Light"/>
              </w:rPr>
            </w:pPr>
          </w:p>
        </w:tc>
      </w:tr>
      <w:tr w:rsidR="00D95C84" w:rsidRPr="004533E5" w14:paraId="6B670455" w14:textId="77777777" w:rsidTr="00672538">
        <w:trPr>
          <w:trHeight w:val="220"/>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5C62C63C" w14:textId="7FC43BEB" w:rsidR="00D95C84" w:rsidRDefault="00D95C84" w:rsidP="00D95C84">
            <w:pPr>
              <w:jc w:val="both"/>
              <w:rPr>
                <w:rFonts w:ascii="Calibri Light" w:hAnsi="Calibri Light"/>
                <w:b w:val="0"/>
              </w:rPr>
            </w:pPr>
          </w:p>
          <w:p w14:paraId="33DCC738" w14:textId="33B4E4C9" w:rsidR="00E97194" w:rsidRPr="007B2A0D" w:rsidRDefault="00E97194" w:rsidP="00D95C84">
            <w:pPr>
              <w:jc w:val="both"/>
              <w:rPr>
                <w:rFonts w:ascii="Calibri Light" w:hAnsi="Calibri Light"/>
                <w:b w:val="0"/>
              </w:rPr>
            </w:pPr>
            <w:r>
              <w:rPr>
                <w:rFonts w:ascii="Calibri Light" w:hAnsi="Calibri Light"/>
                <w:b w:val="0"/>
              </w:rPr>
              <w:t xml:space="preserve">El caso trata sobre la condena a pena de muerte de </w:t>
            </w:r>
            <w:r w:rsidRPr="00E97194">
              <w:rPr>
                <w:rFonts w:ascii="Calibri Light" w:hAnsi="Calibri Light"/>
                <w:b w:val="0"/>
              </w:rPr>
              <w:t>Miguel Ángel Rodríguez Revolorio, Miguel Ángel Ló</w:t>
            </w:r>
            <w:r>
              <w:rPr>
                <w:rFonts w:ascii="Calibri Light" w:hAnsi="Calibri Light"/>
                <w:b w:val="0"/>
              </w:rPr>
              <w:t xml:space="preserve">pez Calo y Aníbal Archila Pérez por el delito de asesinato en Guatemala. Las presuntas víctimas indicaron que en los procesos penales en su contra se cometieron diversas violaciones al debido proceso. </w:t>
            </w:r>
            <w:r w:rsidR="004F5999">
              <w:rPr>
                <w:rFonts w:ascii="Calibri Light" w:hAnsi="Calibri Light"/>
                <w:b w:val="0"/>
              </w:rPr>
              <w:t>U</w:t>
            </w:r>
            <w:r>
              <w:rPr>
                <w:rFonts w:ascii="Calibri Light" w:hAnsi="Calibri Light"/>
                <w:b w:val="0"/>
              </w:rPr>
              <w:t xml:space="preserve">na de ellas falleció </w:t>
            </w:r>
            <w:r w:rsidR="009E154E">
              <w:rPr>
                <w:rFonts w:ascii="Calibri Light" w:hAnsi="Calibri Light"/>
                <w:b w:val="0"/>
              </w:rPr>
              <w:t xml:space="preserve">por complicaciones con la diabetes que padecía, </w:t>
            </w:r>
            <w:r>
              <w:rPr>
                <w:rFonts w:ascii="Calibri Light" w:hAnsi="Calibri Light"/>
                <w:b w:val="0"/>
              </w:rPr>
              <w:t>luego de más de tres años de ser dictada su condena</w:t>
            </w:r>
            <w:r w:rsidR="00E26E61">
              <w:rPr>
                <w:rFonts w:ascii="Calibri Light" w:hAnsi="Calibri Light"/>
                <w:b w:val="0"/>
              </w:rPr>
              <w:t>. Mientras tanto</w:t>
            </w:r>
            <w:r>
              <w:rPr>
                <w:rFonts w:ascii="Calibri Light" w:hAnsi="Calibri Light"/>
                <w:b w:val="0"/>
              </w:rPr>
              <w:t>, las otras dos</w:t>
            </w:r>
            <w:r w:rsidR="009E154E">
              <w:rPr>
                <w:rFonts w:ascii="Calibri Light" w:hAnsi="Calibri Light"/>
                <w:b w:val="0"/>
              </w:rPr>
              <w:t xml:space="preserve"> </w:t>
            </w:r>
            <w:r>
              <w:rPr>
                <w:rFonts w:ascii="Calibri Light" w:hAnsi="Calibri Light"/>
                <w:b w:val="0"/>
              </w:rPr>
              <w:t xml:space="preserve">estuvieron </w:t>
            </w:r>
            <w:r w:rsidR="00621FC9">
              <w:rPr>
                <w:rFonts w:ascii="Calibri Light" w:hAnsi="Calibri Light"/>
                <w:b w:val="0"/>
              </w:rPr>
              <w:t>más de 14</w:t>
            </w:r>
            <w:r>
              <w:rPr>
                <w:rFonts w:ascii="Calibri Light" w:hAnsi="Calibri Light"/>
                <w:b w:val="0"/>
              </w:rPr>
              <w:t xml:space="preserve"> años a la espera de </w:t>
            </w:r>
            <w:r w:rsidR="00E26E61">
              <w:rPr>
                <w:rFonts w:ascii="Calibri Light" w:hAnsi="Calibri Light"/>
                <w:b w:val="0"/>
              </w:rPr>
              <w:t xml:space="preserve">su </w:t>
            </w:r>
            <w:r>
              <w:rPr>
                <w:rFonts w:ascii="Calibri Light" w:hAnsi="Calibri Light"/>
                <w:b w:val="0"/>
              </w:rPr>
              <w:t>ejecución</w:t>
            </w:r>
            <w:r w:rsidR="00E26E61">
              <w:rPr>
                <w:rFonts w:ascii="Calibri Light" w:hAnsi="Calibri Light"/>
                <w:b w:val="0"/>
              </w:rPr>
              <w:t>,</w:t>
            </w:r>
            <w:r>
              <w:rPr>
                <w:rFonts w:ascii="Calibri Light" w:hAnsi="Calibri Light"/>
                <w:b w:val="0"/>
              </w:rPr>
              <w:t xml:space="preserve"> hasta que </w:t>
            </w:r>
            <w:r w:rsidR="00E26E61">
              <w:rPr>
                <w:rFonts w:ascii="Calibri Light" w:hAnsi="Calibri Light"/>
                <w:b w:val="0"/>
              </w:rPr>
              <w:t xml:space="preserve">finalmente su pena </w:t>
            </w:r>
            <w:r>
              <w:rPr>
                <w:rFonts w:ascii="Calibri Light" w:hAnsi="Calibri Light"/>
                <w:b w:val="0"/>
              </w:rPr>
              <w:t>fue conmutada.</w:t>
            </w:r>
          </w:p>
          <w:p w14:paraId="1EE5A7E7" w14:textId="69048BF9" w:rsidR="00D95C84" w:rsidRPr="004533E5" w:rsidRDefault="00D95C84" w:rsidP="00D95C84">
            <w:pPr>
              <w:jc w:val="both"/>
              <w:rPr>
                <w:rFonts w:ascii="Calibri Light" w:hAnsi="Calibri Light"/>
                <w:b w:val="0"/>
              </w:rPr>
            </w:pPr>
          </w:p>
        </w:tc>
      </w:tr>
      <w:tr w:rsidR="00D95C84" w:rsidRPr="004533E5" w14:paraId="238A2196"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76D9AAF2" w14:textId="77777777" w:rsidR="00D95C84" w:rsidRDefault="00D95C84" w:rsidP="00D95C84">
            <w:pPr>
              <w:pStyle w:val="ListParagraph"/>
              <w:rPr>
                <w:rFonts w:ascii="Calibri Light" w:hAnsi="Calibri Light"/>
              </w:rPr>
            </w:pPr>
          </w:p>
          <w:p w14:paraId="6E7AC4B8"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D95C84" w:rsidRPr="004533E5" w:rsidRDefault="00D95C84" w:rsidP="00D95C84">
            <w:pPr>
              <w:pStyle w:val="ListParagraph"/>
              <w:rPr>
                <w:rFonts w:ascii="Calibri Light" w:hAnsi="Calibri Light"/>
              </w:rPr>
            </w:pPr>
          </w:p>
        </w:tc>
      </w:tr>
      <w:tr w:rsidR="00D95C84" w:rsidRPr="004533E5" w14:paraId="34AE2D45" w14:textId="77777777" w:rsidTr="00672538">
        <w:trPr>
          <w:trHeight w:val="283"/>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vAlign w:val="center"/>
          </w:tcPr>
          <w:p w14:paraId="22670832" w14:textId="77777777" w:rsidR="00D95C84" w:rsidRDefault="00D95C84" w:rsidP="00D95C84">
            <w:pPr>
              <w:jc w:val="both"/>
              <w:rPr>
                <w:rFonts w:ascii="Calibri Light" w:hAnsi="Calibri Light"/>
                <w:b w:val="0"/>
              </w:rPr>
            </w:pPr>
          </w:p>
          <w:p w14:paraId="5E82A1AD" w14:textId="6B25B076" w:rsidR="00D95C84" w:rsidRDefault="0094045D" w:rsidP="00D95C84">
            <w:pPr>
              <w:jc w:val="both"/>
              <w:rPr>
                <w:rFonts w:ascii="Calibri Light" w:hAnsi="Calibri Light"/>
                <w:b w:val="0"/>
              </w:rPr>
            </w:pPr>
            <w:r w:rsidRPr="0094045D">
              <w:rPr>
                <w:rFonts w:ascii="Calibri Light" w:hAnsi="Calibri Light"/>
                <w:b w:val="0"/>
              </w:rPr>
              <w:t>Condiciones de detención</w:t>
            </w:r>
            <w:r>
              <w:rPr>
                <w:rFonts w:ascii="Calibri Light" w:hAnsi="Calibri Light"/>
                <w:b w:val="0"/>
              </w:rPr>
              <w:t>,</w:t>
            </w:r>
            <w:r w:rsidRPr="0094045D">
              <w:rPr>
                <w:rFonts w:ascii="Calibri Light" w:hAnsi="Calibri Light"/>
                <w:b w:val="0"/>
              </w:rPr>
              <w:t xml:space="preserve"> Integridad personal</w:t>
            </w:r>
            <w:r>
              <w:rPr>
                <w:rFonts w:ascii="Calibri Light" w:hAnsi="Calibri Light"/>
                <w:b w:val="0"/>
              </w:rPr>
              <w:t>,</w:t>
            </w:r>
            <w:r w:rsidRPr="0094045D">
              <w:rPr>
                <w:rFonts w:ascii="Calibri Light" w:hAnsi="Calibri Light"/>
                <w:b w:val="0"/>
              </w:rPr>
              <w:t xml:space="preserve"> Pena de muerte, Principio de legalidad e irretroactividad</w:t>
            </w:r>
            <w:r>
              <w:rPr>
                <w:rFonts w:ascii="Calibri Light" w:hAnsi="Calibri Light"/>
                <w:b w:val="0"/>
              </w:rPr>
              <w:t>,</w:t>
            </w:r>
            <w:r w:rsidRPr="0094045D">
              <w:rPr>
                <w:rFonts w:ascii="Calibri Light" w:hAnsi="Calibri Light"/>
                <w:b w:val="0"/>
              </w:rPr>
              <w:t xml:space="preserve"> Protección </w:t>
            </w:r>
            <w:r>
              <w:rPr>
                <w:rFonts w:ascii="Calibri Light" w:hAnsi="Calibri Light"/>
                <w:b w:val="0"/>
              </w:rPr>
              <w:t>judicial y garantías judiciales, Vida</w:t>
            </w:r>
          </w:p>
          <w:p w14:paraId="05374712" w14:textId="14F03735" w:rsidR="0094045D" w:rsidRPr="004533E5" w:rsidRDefault="0094045D" w:rsidP="00D95C84">
            <w:pPr>
              <w:jc w:val="both"/>
              <w:rPr>
                <w:rFonts w:ascii="Calibri Light" w:hAnsi="Calibri Light"/>
                <w:b w:val="0"/>
              </w:rPr>
            </w:pPr>
          </w:p>
        </w:tc>
      </w:tr>
      <w:tr w:rsidR="00D95C84" w:rsidRPr="004533E5" w14:paraId="69044E7B"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23949460" w14:textId="77777777" w:rsidR="00D95C84" w:rsidRDefault="00D95C84" w:rsidP="00D95C84">
            <w:pPr>
              <w:pStyle w:val="ListParagraph"/>
              <w:rPr>
                <w:rFonts w:ascii="Calibri Light" w:hAnsi="Calibri Light"/>
              </w:rPr>
            </w:pPr>
          </w:p>
          <w:p w14:paraId="177FF988"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D95C84" w:rsidRPr="004533E5" w:rsidRDefault="00D95C84" w:rsidP="00D95C84">
            <w:pPr>
              <w:pStyle w:val="ListParagraph"/>
              <w:rPr>
                <w:rFonts w:ascii="Calibri Light" w:hAnsi="Calibri Light"/>
              </w:rPr>
            </w:pPr>
          </w:p>
        </w:tc>
      </w:tr>
      <w:tr w:rsidR="00D95C84" w:rsidRPr="004533E5" w14:paraId="6F58DE83" w14:textId="77777777" w:rsidTr="00672538">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470EC13D" w14:textId="4A7CA1F8" w:rsidR="00D95C84" w:rsidRPr="0094045D" w:rsidRDefault="00D95C84" w:rsidP="00D95C84">
            <w:pPr>
              <w:jc w:val="both"/>
              <w:rPr>
                <w:rFonts w:ascii="Calibri Light" w:hAnsi="Calibri Light"/>
                <w:b w:val="0"/>
                <w:highlight w:val="yellow"/>
              </w:rPr>
            </w:pPr>
          </w:p>
          <w:p w14:paraId="7592C900" w14:textId="36BEF7A4" w:rsidR="00CF16F9" w:rsidRDefault="005D2FB8" w:rsidP="005D2FB8">
            <w:pPr>
              <w:jc w:val="both"/>
              <w:rPr>
                <w:rFonts w:ascii="Calibri Light" w:hAnsi="Calibri Light"/>
                <w:b w:val="0"/>
              </w:rPr>
            </w:pPr>
            <w:r w:rsidRPr="005D2FB8">
              <w:rPr>
                <w:rFonts w:ascii="Calibri Light" w:hAnsi="Calibri Light"/>
                <w:b w:val="0"/>
              </w:rPr>
              <w:t>El 10 de marzo de 1995, el Ministerio Público formuló acusación en contra de Miguel Ángel Rodríguez Revolorio, Miguel Ángel López Calo y Aníbal Archila Pérez por el delito de asesinato</w:t>
            </w:r>
            <w:r>
              <w:rPr>
                <w:rFonts w:ascii="Calibri Light" w:hAnsi="Calibri Light"/>
                <w:b w:val="0"/>
              </w:rPr>
              <w:t xml:space="preserve">. Durante el período de investigación, el caso fue </w:t>
            </w:r>
            <w:r w:rsidR="00E23FD9">
              <w:rPr>
                <w:rFonts w:ascii="Calibri Light" w:hAnsi="Calibri Light"/>
                <w:b w:val="0"/>
              </w:rPr>
              <w:t xml:space="preserve">seguido </w:t>
            </w:r>
            <w:r>
              <w:rPr>
                <w:rFonts w:ascii="Calibri Light" w:hAnsi="Calibri Light"/>
                <w:b w:val="0"/>
              </w:rPr>
              <w:t xml:space="preserve">por el juez Harry Samayoa Hardy, quien </w:t>
            </w:r>
            <w:r w:rsidR="00E26E61">
              <w:rPr>
                <w:rFonts w:ascii="Calibri Light" w:hAnsi="Calibri Light"/>
                <w:b w:val="0"/>
              </w:rPr>
              <w:t xml:space="preserve">posteriormente </w:t>
            </w:r>
            <w:r>
              <w:rPr>
                <w:rFonts w:ascii="Calibri Light" w:hAnsi="Calibri Light"/>
                <w:b w:val="0"/>
              </w:rPr>
              <w:t xml:space="preserve">actuó como Presidente del </w:t>
            </w:r>
            <w:r w:rsidRPr="005D2FB8">
              <w:rPr>
                <w:rFonts w:ascii="Calibri Light" w:hAnsi="Calibri Light"/>
                <w:b w:val="0"/>
              </w:rPr>
              <w:t>Tribunal Cuarto de Sentencia Penal,</w:t>
            </w:r>
            <w:r>
              <w:rPr>
                <w:rFonts w:ascii="Calibri Light" w:hAnsi="Calibri Light"/>
                <w:b w:val="0"/>
              </w:rPr>
              <w:t xml:space="preserve"> </w:t>
            </w:r>
            <w:r w:rsidRPr="005D2FB8">
              <w:rPr>
                <w:rFonts w:ascii="Calibri Light" w:hAnsi="Calibri Light"/>
                <w:b w:val="0"/>
              </w:rPr>
              <w:t>Narcoactividad y Delitos contra el Ambiente</w:t>
            </w:r>
            <w:r w:rsidR="00E23FD9">
              <w:rPr>
                <w:rFonts w:ascii="Calibri Light" w:hAnsi="Calibri Light"/>
                <w:b w:val="0"/>
              </w:rPr>
              <w:t xml:space="preserve"> (Tribunal de Sentencia)</w:t>
            </w:r>
            <w:r w:rsidRPr="005D2FB8">
              <w:rPr>
                <w:rFonts w:ascii="Calibri Light" w:hAnsi="Calibri Light"/>
                <w:b w:val="0"/>
              </w:rPr>
              <w:t>,</w:t>
            </w:r>
            <w:r>
              <w:rPr>
                <w:rFonts w:ascii="Calibri Light" w:hAnsi="Calibri Light"/>
                <w:b w:val="0"/>
              </w:rPr>
              <w:t xml:space="preserve"> el cual resolvería la controversia. En la etapa del juicio, llevad</w:t>
            </w:r>
            <w:r w:rsidR="00E26E61">
              <w:rPr>
                <w:rFonts w:ascii="Calibri Light" w:hAnsi="Calibri Light"/>
                <w:b w:val="0"/>
              </w:rPr>
              <w:t>a a cabo</w:t>
            </w:r>
            <w:r>
              <w:rPr>
                <w:rFonts w:ascii="Calibri Light" w:hAnsi="Calibri Light"/>
                <w:b w:val="0"/>
              </w:rPr>
              <w:t xml:space="preserve"> </w:t>
            </w:r>
            <w:r w:rsidRPr="005D2FB8">
              <w:rPr>
                <w:rFonts w:ascii="Calibri Light" w:hAnsi="Calibri Light"/>
                <w:b w:val="0"/>
              </w:rPr>
              <w:t>desde el 22 de abril de 1996</w:t>
            </w:r>
            <w:r>
              <w:rPr>
                <w:rFonts w:ascii="Calibri Light" w:hAnsi="Calibri Light"/>
                <w:b w:val="0"/>
              </w:rPr>
              <w:t xml:space="preserve">, el Presidente del Tribunal de Sentencia </w:t>
            </w:r>
            <w:r w:rsidR="00E26E61">
              <w:rPr>
                <w:rFonts w:ascii="Calibri Light" w:hAnsi="Calibri Light"/>
                <w:b w:val="0"/>
              </w:rPr>
              <w:t>comentó</w:t>
            </w:r>
            <w:r>
              <w:rPr>
                <w:rFonts w:ascii="Calibri Light" w:hAnsi="Calibri Light"/>
                <w:b w:val="0"/>
              </w:rPr>
              <w:t xml:space="preserve"> a un experto forense y un abogado de la defensa</w:t>
            </w:r>
            <w:r w:rsidR="00980C36">
              <w:rPr>
                <w:rFonts w:ascii="Calibri Light" w:hAnsi="Calibri Light"/>
                <w:b w:val="0"/>
              </w:rPr>
              <w:t xml:space="preserve"> </w:t>
            </w:r>
            <w:r w:rsidR="00E26E61">
              <w:rPr>
                <w:rFonts w:ascii="Calibri Light" w:hAnsi="Calibri Light"/>
                <w:b w:val="0"/>
              </w:rPr>
              <w:t>que</w:t>
            </w:r>
            <w:r>
              <w:rPr>
                <w:rFonts w:ascii="Calibri Light" w:hAnsi="Calibri Light"/>
                <w:b w:val="0"/>
              </w:rPr>
              <w:t xml:space="preserve"> las presuntas víctimas</w:t>
            </w:r>
            <w:r w:rsidR="00E26E61">
              <w:rPr>
                <w:rFonts w:ascii="Calibri Light" w:hAnsi="Calibri Light"/>
                <w:b w:val="0"/>
              </w:rPr>
              <w:t xml:space="preserve"> serían condenadas </w:t>
            </w:r>
            <w:r>
              <w:rPr>
                <w:rFonts w:ascii="Calibri Light" w:hAnsi="Calibri Light"/>
                <w:b w:val="0"/>
              </w:rPr>
              <w:t>“con o sin un experto”.</w:t>
            </w:r>
            <w:r w:rsidR="00CF16F9">
              <w:rPr>
                <w:rFonts w:ascii="Calibri Light" w:hAnsi="Calibri Light"/>
                <w:b w:val="0"/>
              </w:rPr>
              <w:t xml:space="preserve"> </w:t>
            </w:r>
          </w:p>
          <w:p w14:paraId="013659E3" w14:textId="77777777" w:rsidR="00CF16F9" w:rsidRDefault="00CF16F9" w:rsidP="005D2FB8">
            <w:pPr>
              <w:jc w:val="both"/>
              <w:rPr>
                <w:rFonts w:ascii="Calibri Light" w:hAnsi="Calibri Light"/>
                <w:b w:val="0"/>
              </w:rPr>
            </w:pPr>
          </w:p>
          <w:p w14:paraId="7661517D" w14:textId="0A265788" w:rsidR="00CF16F9" w:rsidRDefault="005D2FB8" w:rsidP="005D2FB8">
            <w:pPr>
              <w:jc w:val="both"/>
              <w:rPr>
                <w:rFonts w:ascii="Calibri Light" w:hAnsi="Calibri Light"/>
                <w:b w:val="0"/>
              </w:rPr>
            </w:pPr>
            <w:r>
              <w:rPr>
                <w:rFonts w:ascii="Calibri Light" w:hAnsi="Calibri Light"/>
                <w:b w:val="0"/>
              </w:rPr>
              <w:t>El 23 de mayo de 1996, el Tribunal de Sentencia dictó sentencia condenatoria contra las presuntas víctimas por los delitos de asesinato y asesinato en grado de tentativo</w:t>
            </w:r>
            <w:r w:rsidR="009940BA">
              <w:rPr>
                <w:rFonts w:ascii="Calibri Light" w:hAnsi="Calibri Light"/>
                <w:b w:val="0"/>
              </w:rPr>
              <w:t>,</w:t>
            </w:r>
            <w:r>
              <w:rPr>
                <w:rFonts w:ascii="Calibri Light" w:hAnsi="Calibri Light"/>
                <w:b w:val="0"/>
              </w:rPr>
              <w:t xml:space="preserve"> y ordenó imponerles la pena de muerte. </w:t>
            </w:r>
            <w:r w:rsidR="000074D8">
              <w:rPr>
                <w:rFonts w:ascii="Calibri Light" w:hAnsi="Calibri Light"/>
                <w:b w:val="0"/>
              </w:rPr>
              <w:t>L</w:t>
            </w:r>
            <w:r w:rsidR="00D119FA">
              <w:rPr>
                <w:rFonts w:ascii="Calibri Light" w:hAnsi="Calibri Light"/>
                <w:b w:val="0"/>
              </w:rPr>
              <w:t>a sentencia otorgó eficacia probatoria a las declaraciones prestadas por el Director y ex Sub</w:t>
            </w:r>
            <w:r w:rsidR="009940BA">
              <w:rPr>
                <w:rFonts w:ascii="Calibri Light" w:hAnsi="Calibri Light"/>
                <w:b w:val="0"/>
              </w:rPr>
              <w:t>director de la Policía Nacional,</w:t>
            </w:r>
            <w:r w:rsidR="00D119FA">
              <w:rPr>
                <w:rFonts w:ascii="Calibri Light" w:hAnsi="Calibri Light"/>
                <w:b w:val="0"/>
              </w:rPr>
              <w:t xml:space="preserve"> referidas al reconocimiento de las personas </w:t>
            </w:r>
            <w:r w:rsidR="007920A0">
              <w:rPr>
                <w:rFonts w:ascii="Calibri Light" w:hAnsi="Calibri Light"/>
                <w:b w:val="0"/>
              </w:rPr>
              <w:t>involucradas</w:t>
            </w:r>
            <w:r w:rsidR="00D119FA">
              <w:rPr>
                <w:rFonts w:ascii="Calibri Light" w:hAnsi="Calibri Light"/>
                <w:b w:val="0"/>
              </w:rPr>
              <w:t xml:space="preserve"> en el caso. </w:t>
            </w:r>
            <w:r w:rsidR="009940BA">
              <w:rPr>
                <w:rFonts w:ascii="Calibri Light" w:hAnsi="Calibri Light"/>
                <w:b w:val="0"/>
              </w:rPr>
              <w:t>A</w:t>
            </w:r>
            <w:r w:rsidR="000074D8">
              <w:rPr>
                <w:rFonts w:ascii="Calibri Light" w:hAnsi="Calibri Light"/>
                <w:b w:val="0"/>
              </w:rPr>
              <w:t xml:space="preserve"> pesar de que</w:t>
            </w:r>
            <w:r w:rsidR="00D119FA">
              <w:rPr>
                <w:rFonts w:ascii="Calibri Light" w:hAnsi="Calibri Light"/>
                <w:b w:val="0"/>
              </w:rPr>
              <w:t xml:space="preserve"> el Código Procesal Penal establecía un procedimiento de identificación para individualizar </w:t>
            </w:r>
            <w:r w:rsidR="007920A0">
              <w:rPr>
                <w:rFonts w:ascii="Calibri Light" w:hAnsi="Calibri Light"/>
                <w:b w:val="0"/>
              </w:rPr>
              <w:t xml:space="preserve">a los imputados, </w:t>
            </w:r>
            <w:r w:rsidR="000074D8">
              <w:rPr>
                <w:rFonts w:ascii="Calibri Light" w:hAnsi="Calibri Light"/>
                <w:b w:val="0"/>
              </w:rPr>
              <w:t xml:space="preserve">este – al igual que nombre de las personas involucradas - </w:t>
            </w:r>
            <w:r w:rsidR="007920A0">
              <w:rPr>
                <w:rFonts w:ascii="Calibri Light" w:hAnsi="Calibri Light"/>
                <w:b w:val="0"/>
              </w:rPr>
              <w:t xml:space="preserve"> no </w:t>
            </w:r>
            <w:r w:rsidR="000074D8">
              <w:rPr>
                <w:rFonts w:ascii="Calibri Light" w:hAnsi="Calibri Light"/>
                <w:b w:val="0"/>
              </w:rPr>
              <w:t xml:space="preserve">fue </w:t>
            </w:r>
            <w:r w:rsidR="000A624C">
              <w:rPr>
                <w:rFonts w:ascii="Calibri Light" w:hAnsi="Calibri Light"/>
                <w:b w:val="0"/>
              </w:rPr>
              <w:t>registrad</w:t>
            </w:r>
            <w:r w:rsidR="000074D8">
              <w:rPr>
                <w:rFonts w:ascii="Calibri Light" w:hAnsi="Calibri Light"/>
                <w:b w:val="0"/>
              </w:rPr>
              <w:t>o en</w:t>
            </w:r>
            <w:r w:rsidR="007920A0">
              <w:rPr>
                <w:rFonts w:ascii="Calibri Light" w:hAnsi="Calibri Light"/>
                <w:b w:val="0"/>
              </w:rPr>
              <w:t xml:space="preserve"> la sentencia.</w:t>
            </w:r>
          </w:p>
          <w:p w14:paraId="323D99FD" w14:textId="77777777" w:rsidR="00CF16F9" w:rsidRDefault="00CF16F9" w:rsidP="005D2FB8">
            <w:pPr>
              <w:jc w:val="both"/>
              <w:rPr>
                <w:rFonts w:ascii="Calibri Light" w:hAnsi="Calibri Light"/>
                <w:b w:val="0"/>
              </w:rPr>
            </w:pPr>
          </w:p>
          <w:p w14:paraId="0D412F95" w14:textId="3BF97F33" w:rsidR="005D2FB8" w:rsidRDefault="007E063D" w:rsidP="005D2FB8">
            <w:pPr>
              <w:jc w:val="both"/>
              <w:rPr>
                <w:rFonts w:ascii="Calibri Light" w:hAnsi="Calibri Light"/>
                <w:b w:val="0"/>
              </w:rPr>
            </w:pPr>
            <w:r>
              <w:rPr>
                <w:rFonts w:ascii="Calibri Light" w:hAnsi="Calibri Light"/>
                <w:b w:val="0"/>
              </w:rPr>
              <w:t>Además</w:t>
            </w:r>
            <w:r w:rsidR="00CF16F9">
              <w:rPr>
                <w:rFonts w:ascii="Calibri Light" w:hAnsi="Calibri Light"/>
                <w:b w:val="0"/>
              </w:rPr>
              <w:t xml:space="preserve">, </w:t>
            </w:r>
            <w:r w:rsidR="00CE3E91">
              <w:rPr>
                <w:rFonts w:ascii="Calibri Light" w:hAnsi="Calibri Light"/>
                <w:b w:val="0"/>
              </w:rPr>
              <w:t xml:space="preserve">la sentencia </w:t>
            </w:r>
            <w:r w:rsidR="00CF16F9">
              <w:rPr>
                <w:rFonts w:ascii="Calibri Light" w:hAnsi="Calibri Light"/>
                <w:b w:val="0"/>
              </w:rPr>
              <w:t xml:space="preserve">indicó que </w:t>
            </w:r>
            <w:r w:rsidR="007920A0">
              <w:rPr>
                <w:rFonts w:ascii="Calibri Light" w:hAnsi="Calibri Light"/>
                <w:b w:val="0"/>
              </w:rPr>
              <w:t xml:space="preserve">si bien </w:t>
            </w:r>
            <w:r w:rsidR="00CF16F9">
              <w:rPr>
                <w:rFonts w:ascii="Calibri Light" w:hAnsi="Calibri Light"/>
                <w:b w:val="0"/>
              </w:rPr>
              <w:t>los peritajes realizados no cumplieron con los requisitos exigidos por la ley,</w:t>
            </w:r>
            <w:r w:rsidR="000074D8">
              <w:rPr>
                <w:rFonts w:ascii="Calibri Light" w:hAnsi="Calibri Light"/>
                <w:b w:val="0"/>
              </w:rPr>
              <w:t xml:space="preserve"> </w:t>
            </w:r>
            <w:r w:rsidR="00CF16F9">
              <w:rPr>
                <w:rFonts w:ascii="Calibri Light" w:hAnsi="Calibri Light"/>
                <w:b w:val="0"/>
              </w:rPr>
              <w:t>los peritos declararon en el debate como lo exige la norma. Asimismo, desestimó varios medios de prueba sin indicar con precisión las razones por las que no los tomaba en cuenta; mientras que otros medios de prueba, como</w:t>
            </w:r>
            <w:r w:rsidR="00CF16F9" w:rsidRPr="00CF16F9">
              <w:rPr>
                <w:rFonts w:ascii="Calibri Light" w:hAnsi="Calibri Light"/>
                <w:b w:val="0"/>
              </w:rPr>
              <w:t xml:space="preserve"> las declaraciones de las presuntas víctimas</w:t>
            </w:r>
            <w:r w:rsidR="00CF16F9">
              <w:rPr>
                <w:rFonts w:ascii="Calibri Light" w:hAnsi="Calibri Light"/>
                <w:b w:val="0"/>
              </w:rPr>
              <w:t>,</w:t>
            </w:r>
            <w:r w:rsidR="00CF16F9" w:rsidRPr="00CF16F9">
              <w:rPr>
                <w:rFonts w:ascii="Calibri Light" w:hAnsi="Calibri Light"/>
                <w:b w:val="0"/>
              </w:rPr>
              <w:t xml:space="preserve"> </w:t>
            </w:r>
            <w:r w:rsidR="007920A0">
              <w:rPr>
                <w:rFonts w:ascii="Calibri Light" w:hAnsi="Calibri Light"/>
                <w:b w:val="0"/>
              </w:rPr>
              <w:t xml:space="preserve">no fueron tomados en cuenta </w:t>
            </w:r>
            <w:r w:rsidR="00CF16F9" w:rsidRPr="00CF16F9">
              <w:rPr>
                <w:rFonts w:ascii="Calibri Light" w:hAnsi="Calibri Light"/>
                <w:b w:val="0"/>
              </w:rPr>
              <w:t>por considerar que adolec</w:t>
            </w:r>
            <w:r w:rsidR="00CF16F9">
              <w:rPr>
                <w:rFonts w:ascii="Calibri Light" w:hAnsi="Calibri Light"/>
                <w:b w:val="0"/>
              </w:rPr>
              <w:t>ían</w:t>
            </w:r>
            <w:r w:rsidR="00CF16F9" w:rsidRPr="00CF16F9">
              <w:rPr>
                <w:rFonts w:ascii="Calibri Light" w:hAnsi="Calibri Light"/>
                <w:b w:val="0"/>
              </w:rPr>
              <w:t xml:space="preserve"> de verdad</w:t>
            </w:r>
            <w:r w:rsidR="00CF16F9">
              <w:rPr>
                <w:rFonts w:ascii="Calibri Light" w:hAnsi="Calibri Light"/>
                <w:b w:val="0"/>
              </w:rPr>
              <w:t xml:space="preserve"> y eran ineficaces para enervar las pruebas producidas en su contra.</w:t>
            </w:r>
            <w:r w:rsidR="005C6B25">
              <w:rPr>
                <w:rFonts w:ascii="Calibri Light" w:hAnsi="Calibri Light"/>
                <w:b w:val="0"/>
              </w:rPr>
              <w:t xml:space="preserve"> </w:t>
            </w:r>
            <w:r w:rsidR="00CE3E91">
              <w:rPr>
                <w:rFonts w:ascii="Calibri Light" w:hAnsi="Calibri Light"/>
                <w:b w:val="0"/>
              </w:rPr>
              <w:t>El Tribunal de Sentencia</w:t>
            </w:r>
            <w:r w:rsidR="005C6B25">
              <w:rPr>
                <w:rFonts w:ascii="Calibri Light" w:hAnsi="Calibri Light"/>
                <w:b w:val="0"/>
              </w:rPr>
              <w:t xml:space="preserve"> consideró </w:t>
            </w:r>
            <w:r>
              <w:rPr>
                <w:rFonts w:ascii="Calibri Light" w:hAnsi="Calibri Light"/>
                <w:b w:val="0"/>
              </w:rPr>
              <w:t xml:space="preserve">que </w:t>
            </w:r>
            <w:r w:rsidR="005C6B25">
              <w:rPr>
                <w:rFonts w:ascii="Calibri Light" w:hAnsi="Calibri Light"/>
                <w:b w:val="0"/>
              </w:rPr>
              <w:t xml:space="preserve">se trataba de </w:t>
            </w:r>
            <w:r w:rsidR="00CE3E91">
              <w:rPr>
                <w:rFonts w:ascii="Calibri Light" w:hAnsi="Calibri Light"/>
                <w:b w:val="0"/>
              </w:rPr>
              <w:t xml:space="preserve">un caso de </w:t>
            </w:r>
            <w:r w:rsidR="005C6B25">
              <w:rPr>
                <w:rFonts w:ascii="Calibri Light" w:hAnsi="Calibri Light"/>
                <w:b w:val="0"/>
              </w:rPr>
              <w:t>asesinato por alevos</w:t>
            </w:r>
            <w:r w:rsidR="000B5D58">
              <w:rPr>
                <w:rFonts w:ascii="Calibri Light" w:hAnsi="Calibri Light"/>
                <w:b w:val="0"/>
              </w:rPr>
              <w:t>ía y, en particular, por</w:t>
            </w:r>
            <w:r w:rsidR="005C6B25">
              <w:rPr>
                <w:rFonts w:ascii="Calibri Light" w:hAnsi="Calibri Light"/>
                <w:b w:val="0"/>
              </w:rPr>
              <w:t xml:space="preserve"> impulso de perversidad brutal</w:t>
            </w:r>
            <w:r w:rsidR="00CE3E91">
              <w:rPr>
                <w:rFonts w:ascii="Calibri Light" w:hAnsi="Calibri Light"/>
                <w:b w:val="0"/>
              </w:rPr>
              <w:t>, lo cual</w:t>
            </w:r>
            <w:r w:rsidR="000B5D58">
              <w:rPr>
                <w:rFonts w:ascii="Calibri Light" w:hAnsi="Calibri Light"/>
                <w:b w:val="0"/>
              </w:rPr>
              <w:t xml:space="preserve"> implica una forma de obrar carente de </w:t>
            </w:r>
            <w:r w:rsidR="00E23FD9">
              <w:rPr>
                <w:rFonts w:ascii="Calibri Light" w:hAnsi="Calibri Light"/>
                <w:b w:val="0"/>
              </w:rPr>
              <w:t xml:space="preserve">motivos, que </w:t>
            </w:r>
            <w:r w:rsidR="000B5D58">
              <w:rPr>
                <w:rFonts w:ascii="Calibri Light" w:hAnsi="Calibri Light"/>
                <w:b w:val="0"/>
              </w:rPr>
              <w:t>coloca en alarma a todos</w:t>
            </w:r>
            <w:r w:rsidR="009E154E">
              <w:rPr>
                <w:rFonts w:ascii="Calibri Light" w:hAnsi="Calibri Light"/>
                <w:b w:val="0"/>
              </w:rPr>
              <w:t xml:space="preserve">. </w:t>
            </w:r>
            <w:r>
              <w:rPr>
                <w:rFonts w:ascii="Calibri Light" w:hAnsi="Calibri Light"/>
                <w:b w:val="0"/>
              </w:rPr>
              <w:t xml:space="preserve">Por último, </w:t>
            </w:r>
            <w:r w:rsidR="009940BA">
              <w:rPr>
                <w:rFonts w:ascii="Calibri Light" w:hAnsi="Calibri Light"/>
                <w:b w:val="0"/>
              </w:rPr>
              <w:t xml:space="preserve">cabe señalar que en la sentencia se </w:t>
            </w:r>
            <w:r>
              <w:rPr>
                <w:rFonts w:ascii="Calibri Light" w:hAnsi="Calibri Light"/>
                <w:b w:val="0"/>
              </w:rPr>
              <w:t>invocó e</w:t>
            </w:r>
            <w:r w:rsidR="000B5D58">
              <w:rPr>
                <w:rFonts w:ascii="Calibri Light" w:hAnsi="Calibri Light"/>
                <w:b w:val="0"/>
              </w:rPr>
              <w:t xml:space="preserve">l artículo 132 del Código Penal, </w:t>
            </w:r>
            <w:r>
              <w:rPr>
                <w:rFonts w:ascii="Calibri Light" w:hAnsi="Calibri Light"/>
                <w:b w:val="0"/>
              </w:rPr>
              <w:t xml:space="preserve">que establece la aplicación de la pena de muerte en base a la </w:t>
            </w:r>
            <w:r w:rsidR="000B5D58">
              <w:rPr>
                <w:rFonts w:ascii="Calibri Light" w:hAnsi="Calibri Light"/>
                <w:b w:val="0"/>
              </w:rPr>
              <w:t>peligrosidad del agente.</w:t>
            </w:r>
          </w:p>
          <w:p w14:paraId="3EE3A404" w14:textId="63592B9C" w:rsidR="000B5D58" w:rsidRDefault="000B5D58" w:rsidP="005D2FB8">
            <w:pPr>
              <w:jc w:val="both"/>
              <w:rPr>
                <w:rFonts w:ascii="Calibri Light" w:hAnsi="Calibri Light"/>
                <w:b w:val="0"/>
              </w:rPr>
            </w:pPr>
          </w:p>
          <w:p w14:paraId="06D985C2" w14:textId="6DB33E42" w:rsidR="007E063D" w:rsidRDefault="00CE3E91" w:rsidP="005D2FB8">
            <w:pPr>
              <w:jc w:val="both"/>
              <w:rPr>
                <w:rFonts w:ascii="Calibri Light" w:hAnsi="Calibri Light"/>
                <w:b w:val="0"/>
              </w:rPr>
            </w:pPr>
            <w:r>
              <w:rPr>
                <w:rFonts w:ascii="Calibri Light" w:hAnsi="Calibri Light"/>
                <w:b w:val="0"/>
              </w:rPr>
              <w:t>Frente a esta decisión, l</w:t>
            </w:r>
            <w:r w:rsidR="000B5D58">
              <w:rPr>
                <w:rFonts w:ascii="Calibri Light" w:hAnsi="Calibri Light"/>
                <w:b w:val="0"/>
              </w:rPr>
              <w:t>as presuntas víctimas presentaron recursos de apelación, alegando vicios de forma y fondo</w:t>
            </w:r>
            <w:r w:rsidR="007920A0">
              <w:rPr>
                <w:rFonts w:ascii="Calibri Light" w:hAnsi="Calibri Light"/>
                <w:b w:val="0"/>
              </w:rPr>
              <w:t xml:space="preserve">, </w:t>
            </w:r>
            <w:r>
              <w:rPr>
                <w:rFonts w:ascii="Calibri Light" w:hAnsi="Calibri Light"/>
                <w:b w:val="0"/>
              </w:rPr>
              <w:t xml:space="preserve">tales </w:t>
            </w:r>
            <w:r w:rsidR="007920A0">
              <w:rPr>
                <w:rFonts w:ascii="Calibri Light" w:hAnsi="Calibri Light"/>
                <w:b w:val="0"/>
              </w:rPr>
              <w:t>como la omisión de individualización de imputados,</w:t>
            </w:r>
            <w:r w:rsidR="000942BA">
              <w:rPr>
                <w:rFonts w:ascii="Calibri Light" w:hAnsi="Calibri Light"/>
                <w:b w:val="0"/>
              </w:rPr>
              <w:t xml:space="preserve"> la valoración indebida de la prueba,</w:t>
            </w:r>
            <w:r w:rsidR="007920A0">
              <w:rPr>
                <w:rFonts w:ascii="Calibri Light" w:hAnsi="Calibri Light"/>
                <w:b w:val="0"/>
              </w:rPr>
              <w:t xml:space="preserve"> la falta de motivación en la sentencia o</w:t>
            </w:r>
            <w:r w:rsidR="000942BA">
              <w:rPr>
                <w:rFonts w:ascii="Calibri Light" w:hAnsi="Calibri Light"/>
                <w:b w:val="0"/>
              </w:rPr>
              <w:t xml:space="preserve"> la indebida fijación de la pena</w:t>
            </w:r>
            <w:r w:rsidR="000B5D58">
              <w:rPr>
                <w:rFonts w:ascii="Calibri Light" w:hAnsi="Calibri Light"/>
                <w:b w:val="0"/>
              </w:rPr>
              <w:t>. Estos recursos fueron acumulados en un solo expediente y</w:t>
            </w:r>
            <w:r w:rsidR="000942BA">
              <w:rPr>
                <w:rFonts w:ascii="Calibri Light" w:hAnsi="Calibri Light"/>
                <w:b w:val="0"/>
              </w:rPr>
              <w:t>, el 2 de setiembre de 1996</w:t>
            </w:r>
            <w:r w:rsidR="000B5D58">
              <w:rPr>
                <w:rFonts w:ascii="Calibri Light" w:hAnsi="Calibri Light"/>
                <w:b w:val="0"/>
              </w:rPr>
              <w:t xml:space="preserve">, </w:t>
            </w:r>
            <w:r w:rsidR="007E063D">
              <w:rPr>
                <w:rFonts w:ascii="Calibri Light" w:hAnsi="Calibri Light"/>
                <w:b w:val="0"/>
              </w:rPr>
              <w:t xml:space="preserve">fueron rechazos por </w:t>
            </w:r>
            <w:r w:rsidR="000942BA">
              <w:rPr>
                <w:rFonts w:ascii="Calibri Light" w:hAnsi="Calibri Light"/>
                <w:b w:val="0"/>
              </w:rPr>
              <w:t xml:space="preserve">la Sala Décima de la Corte de </w:t>
            </w:r>
            <w:r w:rsidR="000942BA" w:rsidRPr="00E00A30">
              <w:rPr>
                <w:rFonts w:ascii="Calibri Light" w:hAnsi="Calibri Light" w:cs="Calibri Light"/>
                <w:b w:val="0"/>
              </w:rPr>
              <w:t>Apelaciones Penal, Narcoactivid</w:t>
            </w:r>
            <w:r w:rsidR="007E063D">
              <w:rPr>
                <w:rFonts w:ascii="Calibri Light" w:hAnsi="Calibri Light" w:cs="Calibri Light"/>
                <w:b w:val="0"/>
              </w:rPr>
              <w:t xml:space="preserve">ad y Delitos, la cual </w:t>
            </w:r>
            <w:r w:rsidR="000942BA">
              <w:rPr>
                <w:rFonts w:ascii="Calibri Light" w:hAnsi="Calibri Light" w:cs="Calibri Light"/>
                <w:b w:val="0"/>
              </w:rPr>
              <w:t>indic</w:t>
            </w:r>
            <w:r w:rsidR="007E063D">
              <w:rPr>
                <w:rFonts w:ascii="Calibri Light" w:hAnsi="Calibri Light" w:cs="Calibri Light"/>
                <w:b w:val="0"/>
              </w:rPr>
              <w:t xml:space="preserve">ó </w:t>
            </w:r>
            <w:r w:rsidR="000942BA">
              <w:rPr>
                <w:rFonts w:ascii="Calibri Light" w:hAnsi="Calibri Light" w:cs="Calibri Light"/>
                <w:b w:val="0"/>
              </w:rPr>
              <w:t xml:space="preserve">que no </w:t>
            </w:r>
            <w:r w:rsidR="009940BA">
              <w:rPr>
                <w:rFonts w:ascii="Calibri Light" w:hAnsi="Calibri Light" w:cs="Calibri Light"/>
                <w:b w:val="0"/>
              </w:rPr>
              <w:t xml:space="preserve">le </w:t>
            </w:r>
            <w:r w:rsidR="000942BA">
              <w:rPr>
                <w:rFonts w:ascii="Calibri Light" w:hAnsi="Calibri Light" w:cs="Calibri Light"/>
                <w:b w:val="0"/>
              </w:rPr>
              <w:t>correspondía analizar cuestiones fácticas. Ante ello, interpusieron un recurso de casación</w:t>
            </w:r>
            <w:r w:rsidR="007E063D">
              <w:rPr>
                <w:rFonts w:ascii="Calibri Light" w:hAnsi="Calibri Light" w:cs="Calibri Light"/>
                <w:b w:val="0"/>
              </w:rPr>
              <w:t>. El 10 de febrero de 1997, este fue desestimado por la</w:t>
            </w:r>
            <w:r w:rsidR="007E063D" w:rsidRPr="000942BA">
              <w:rPr>
                <w:rFonts w:ascii="Calibri Light" w:hAnsi="Calibri Light" w:cs="Calibri Light"/>
                <w:b w:val="0"/>
              </w:rPr>
              <w:t xml:space="preserve"> Cámara Penal de la Corte Suprema de Justicia</w:t>
            </w:r>
            <w:r w:rsidR="007E063D">
              <w:rPr>
                <w:rFonts w:ascii="Calibri Light" w:hAnsi="Calibri Light" w:cs="Calibri Light"/>
                <w:b w:val="0"/>
              </w:rPr>
              <w:t xml:space="preserve"> por similares argumentos</w:t>
            </w:r>
            <w:r w:rsidR="000942BA">
              <w:rPr>
                <w:rFonts w:ascii="Calibri Light" w:hAnsi="Calibri Light" w:cs="Calibri Light"/>
                <w:b w:val="0"/>
              </w:rPr>
              <w:t>.</w:t>
            </w:r>
            <w:r w:rsidR="007E063D">
              <w:rPr>
                <w:rFonts w:ascii="Calibri Light" w:hAnsi="Calibri Light" w:cs="Calibri Light"/>
                <w:b w:val="0"/>
              </w:rPr>
              <w:t xml:space="preserve"> </w:t>
            </w:r>
            <w:r w:rsidR="00F37ED4">
              <w:rPr>
                <w:rFonts w:ascii="Calibri Light" w:hAnsi="Calibri Light" w:cs="Calibri Light"/>
                <w:b w:val="0"/>
              </w:rPr>
              <w:t xml:space="preserve">Finalmente, interpusieron un recurso de amparo, </w:t>
            </w:r>
            <w:r>
              <w:rPr>
                <w:rFonts w:ascii="Calibri Light" w:hAnsi="Calibri Light" w:cs="Calibri Light"/>
                <w:b w:val="0"/>
              </w:rPr>
              <w:t>que</w:t>
            </w:r>
            <w:r w:rsidR="00F37ED4">
              <w:rPr>
                <w:rFonts w:ascii="Calibri Light" w:hAnsi="Calibri Light" w:cs="Calibri Light"/>
                <w:b w:val="0"/>
              </w:rPr>
              <w:t xml:space="preserve"> fue rechazado en última instancia por la Corte de Constitucionalidad</w:t>
            </w:r>
            <w:r w:rsidR="000942BA" w:rsidRPr="00E00A30">
              <w:rPr>
                <w:rFonts w:ascii="Calibri Light" w:hAnsi="Calibri Light" w:cs="Calibri Light"/>
                <w:b w:val="0"/>
              </w:rPr>
              <w:t xml:space="preserve"> </w:t>
            </w:r>
            <w:r w:rsidR="000B5D58">
              <w:rPr>
                <w:rFonts w:ascii="Calibri Light" w:hAnsi="Calibri Light"/>
                <w:b w:val="0"/>
              </w:rPr>
              <w:t xml:space="preserve">el 10 de junio de 1998. </w:t>
            </w:r>
          </w:p>
          <w:p w14:paraId="61CF86B4" w14:textId="77777777" w:rsidR="007E063D" w:rsidRDefault="007E063D" w:rsidP="005D2FB8">
            <w:pPr>
              <w:jc w:val="both"/>
              <w:rPr>
                <w:rFonts w:ascii="Calibri Light" w:hAnsi="Calibri Light"/>
                <w:b w:val="0"/>
              </w:rPr>
            </w:pPr>
          </w:p>
          <w:p w14:paraId="6EEAE4D3" w14:textId="72422821" w:rsidR="000B5D58" w:rsidRDefault="007E063D" w:rsidP="005D2FB8">
            <w:pPr>
              <w:jc w:val="both"/>
              <w:rPr>
                <w:rFonts w:ascii="Calibri Light" w:hAnsi="Calibri Light"/>
                <w:b w:val="0"/>
              </w:rPr>
            </w:pPr>
            <w:r>
              <w:rPr>
                <w:rFonts w:ascii="Calibri Light" w:hAnsi="Calibri Light"/>
                <w:b w:val="0"/>
              </w:rPr>
              <w:t>E</w:t>
            </w:r>
            <w:r w:rsidR="000B5D58">
              <w:rPr>
                <w:rFonts w:ascii="Calibri Light" w:hAnsi="Calibri Light"/>
                <w:b w:val="0"/>
              </w:rPr>
              <w:t xml:space="preserve">l 16 de julio de 1999, el señor Archila Pérez falleció a causa de complicaciones relacionadas con la diabetes que padecía. Por otra parte, las condiciones de detención de los señores </w:t>
            </w:r>
            <w:r w:rsidR="000B5D58" w:rsidRPr="00B22535">
              <w:rPr>
                <w:rFonts w:ascii="Calibri Light" w:hAnsi="Calibri Light"/>
                <w:b w:val="0"/>
              </w:rPr>
              <w:t>Rodríguez Revolorio</w:t>
            </w:r>
            <w:r w:rsidR="000B5D58">
              <w:rPr>
                <w:rFonts w:ascii="Calibri Light" w:hAnsi="Calibri Light"/>
                <w:b w:val="0"/>
              </w:rPr>
              <w:t xml:space="preserve"> y </w:t>
            </w:r>
            <w:r w:rsidR="000B5D58" w:rsidRPr="00B22535">
              <w:rPr>
                <w:rFonts w:ascii="Calibri Light" w:hAnsi="Calibri Light"/>
                <w:b w:val="0"/>
              </w:rPr>
              <w:t>López</w:t>
            </w:r>
            <w:r w:rsidR="000B5D58">
              <w:rPr>
                <w:rFonts w:ascii="Calibri Light" w:hAnsi="Calibri Light"/>
                <w:b w:val="0"/>
              </w:rPr>
              <w:t xml:space="preserve"> </w:t>
            </w:r>
            <w:r w:rsidR="000B5D58" w:rsidRPr="00B22535">
              <w:rPr>
                <w:rFonts w:ascii="Calibri Light" w:hAnsi="Calibri Light"/>
                <w:b w:val="0"/>
              </w:rPr>
              <w:t>Calo</w:t>
            </w:r>
            <w:r w:rsidR="000B5D58">
              <w:rPr>
                <w:rFonts w:ascii="Calibri Light" w:hAnsi="Calibri Light"/>
                <w:b w:val="0"/>
              </w:rPr>
              <w:t xml:space="preserve"> eran </w:t>
            </w:r>
            <w:r w:rsidR="00CB3E90">
              <w:rPr>
                <w:rFonts w:ascii="Calibri Light" w:hAnsi="Calibri Light"/>
                <w:b w:val="0"/>
              </w:rPr>
              <w:t>inadecuadas,</w:t>
            </w:r>
            <w:r w:rsidR="000B5D58">
              <w:rPr>
                <w:rFonts w:ascii="Calibri Light" w:hAnsi="Calibri Light"/>
                <w:b w:val="0"/>
              </w:rPr>
              <w:t xml:space="preserve"> </w:t>
            </w:r>
            <w:r w:rsidR="00CB3E90" w:rsidRPr="00CB3E90">
              <w:rPr>
                <w:rFonts w:ascii="Calibri Light" w:hAnsi="Calibri Light"/>
                <w:b w:val="0"/>
              </w:rPr>
              <w:t xml:space="preserve">debido a la ausencia casi total de artículos médicos y del acceso limitado </w:t>
            </w:r>
            <w:r>
              <w:rPr>
                <w:rFonts w:ascii="Calibri Light" w:hAnsi="Calibri Light"/>
                <w:b w:val="0"/>
              </w:rPr>
              <w:t xml:space="preserve">que tenían </w:t>
            </w:r>
            <w:r w:rsidR="00CB3E90" w:rsidRPr="00CB3E90">
              <w:rPr>
                <w:rFonts w:ascii="Calibri Light" w:hAnsi="Calibri Light"/>
                <w:b w:val="0"/>
              </w:rPr>
              <w:t>a visitas, contacto físico y agua.</w:t>
            </w:r>
            <w:r w:rsidR="00CB3E90">
              <w:rPr>
                <w:rFonts w:ascii="Calibri Light" w:hAnsi="Calibri Light"/>
                <w:b w:val="0"/>
              </w:rPr>
              <w:t xml:space="preserve"> </w:t>
            </w:r>
            <w:r>
              <w:rPr>
                <w:rFonts w:ascii="Calibri Light" w:hAnsi="Calibri Light"/>
                <w:b w:val="0"/>
              </w:rPr>
              <w:t>L</w:t>
            </w:r>
            <w:r w:rsidR="00CB3E90">
              <w:rPr>
                <w:rFonts w:ascii="Calibri Light" w:hAnsi="Calibri Light"/>
                <w:b w:val="0"/>
              </w:rPr>
              <w:t>as presuntas víctimas interpusieron un recurso de revisión, el cual fue aceptado por la Corte Suprema de Justicia el 23 de agosto de 2011</w:t>
            </w:r>
            <w:r>
              <w:rPr>
                <w:rFonts w:ascii="Calibri Light" w:hAnsi="Calibri Light"/>
                <w:b w:val="0"/>
              </w:rPr>
              <w:t>,</w:t>
            </w:r>
            <w:r w:rsidR="00CB3E90">
              <w:rPr>
                <w:rFonts w:ascii="Calibri Light" w:hAnsi="Calibri Light"/>
                <w:b w:val="0"/>
              </w:rPr>
              <w:t xml:space="preserve"> </w:t>
            </w:r>
            <w:r>
              <w:rPr>
                <w:rFonts w:ascii="Calibri Light" w:hAnsi="Calibri Light"/>
                <w:b w:val="0"/>
              </w:rPr>
              <w:t>anulando</w:t>
            </w:r>
            <w:r w:rsidR="00CB3E90">
              <w:rPr>
                <w:rFonts w:ascii="Calibri Light" w:hAnsi="Calibri Light"/>
                <w:b w:val="0"/>
              </w:rPr>
              <w:t xml:space="preserve"> parcialmente la sentencia condenatoria en lo relativo a la pena de muerte impuesta.</w:t>
            </w:r>
          </w:p>
          <w:p w14:paraId="64A90956" w14:textId="77777777" w:rsidR="005D2FB8" w:rsidRDefault="005D2FB8" w:rsidP="00D95C84">
            <w:pPr>
              <w:jc w:val="both"/>
              <w:rPr>
                <w:rFonts w:ascii="Calibri Light" w:hAnsi="Calibri Light"/>
                <w:b w:val="0"/>
                <w:highlight w:val="yellow"/>
              </w:rPr>
            </w:pPr>
          </w:p>
          <w:p w14:paraId="76C5DFDC" w14:textId="28E248C4" w:rsidR="00621FC9" w:rsidRPr="0094045D" w:rsidRDefault="00621FC9" w:rsidP="00621FC9">
            <w:pPr>
              <w:jc w:val="both"/>
              <w:rPr>
                <w:rFonts w:ascii="Calibri Light" w:hAnsi="Calibri Light"/>
                <w:highlight w:val="yellow"/>
              </w:rPr>
            </w:pPr>
            <w:r w:rsidRPr="00621FC9">
              <w:rPr>
                <w:rFonts w:ascii="Calibri Light" w:hAnsi="Calibri Light"/>
                <w:b w:val="0"/>
              </w:rPr>
              <w:t xml:space="preserve">Frente a tales hechos, </w:t>
            </w:r>
            <w:r w:rsidR="009A31D9">
              <w:rPr>
                <w:rFonts w:ascii="Calibri Light" w:hAnsi="Calibri Light"/>
                <w:b w:val="0"/>
              </w:rPr>
              <w:t xml:space="preserve">el </w:t>
            </w:r>
            <w:r w:rsidR="009A31D9" w:rsidRPr="009A31D9">
              <w:rPr>
                <w:rFonts w:ascii="Calibri Light" w:hAnsi="Calibri Light"/>
                <w:b w:val="0"/>
              </w:rPr>
              <w:t xml:space="preserve">Centro para la Acción Legal en Derechos Humanos </w:t>
            </w:r>
            <w:r w:rsidR="009A31D9" w:rsidRPr="00621FC9">
              <w:rPr>
                <w:rFonts w:ascii="Calibri Light" w:hAnsi="Calibri Light"/>
                <w:b w:val="0"/>
              </w:rPr>
              <w:t>present</w:t>
            </w:r>
            <w:r w:rsidR="009A31D9">
              <w:rPr>
                <w:rFonts w:ascii="Calibri Light" w:hAnsi="Calibri Light"/>
                <w:b w:val="0"/>
              </w:rPr>
              <w:t>ó</w:t>
            </w:r>
            <w:r w:rsidR="009A31D9" w:rsidRPr="00621FC9">
              <w:rPr>
                <w:rFonts w:ascii="Calibri Light" w:hAnsi="Calibri Light"/>
                <w:b w:val="0"/>
              </w:rPr>
              <w:t xml:space="preserve"> </w:t>
            </w:r>
            <w:r w:rsidRPr="00621FC9">
              <w:rPr>
                <w:rFonts w:ascii="Calibri Light" w:hAnsi="Calibri Light"/>
                <w:b w:val="0"/>
              </w:rPr>
              <w:t>una petición ante la CIDH, denunciando que el Estado de Guatemala había vulnerado los derechos a la vida, a la integridad personal, a las garantías judiciales y a la protección judicial, reconocidos en la</w:t>
            </w:r>
            <w:r w:rsidR="00F537D8">
              <w:rPr>
                <w:rFonts w:ascii="Calibri Light" w:hAnsi="Calibri Light"/>
                <w:b w:val="0"/>
              </w:rPr>
              <w:t xml:space="preserve"> Convención Americana sobre Derechos Humanos</w:t>
            </w:r>
            <w:r w:rsidRPr="00621FC9">
              <w:rPr>
                <w:rFonts w:ascii="Calibri Light" w:hAnsi="Calibri Light"/>
                <w:b w:val="0"/>
              </w:rPr>
              <w:t xml:space="preserve"> </w:t>
            </w:r>
            <w:r w:rsidR="00F537D8">
              <w:rPr>
                <w:rFonts w:ascii="Calibri Light" w:hAnsi="Calibri Light"/>
                <w:b w:val="0"/>
              </w:rPr>
              <w:t>(</w:t>
            </w:r>
            <w:r w:rsidR="009A31D9">
              <w:rPr>
                <w:rFonts w:ascii="Calibri Light" w:hAnsi="Calibri Light"/>
                <w:b w:val="0"/>
              </w:rPr>
              <w:t xml:space="preserve">en adelante, </w:t>
            </w:r>
            <w:r w:rsidRPr="00621FC9">
              <w:rPr>
                <w:rFonts w:ascii="Calibri Light" w:hAnsi="Calibri Light"/>
                <w:b w:val="0"/>
              </w:rPr>
              <w:t>CADH</w:t>
            </w:r>
            <w:r w:rsidR="00F537D8">
              <w:rPr>
                <w:rFonts w:ascii="Calibri Light" w:hAnsi="Calibri Light"/>
                <w:b w:val="0"/>
              </w:rPr>
              <w:t>)</w:t>
            </w:r>
            <w:r w:rsidR="009A31D9">
              <w:rPr>
                <w:rFonts w:ascii="Calibri Light" w:hAnsi="Calibri Light"/>
                <w:b w:val="0"/>
              </w:rPr>
              <w:t xml:space="preserve">. La CIDH también consideró pertinente analizar los deberes de prevenir, investigar y sancionar la tortura, </w:t>
            </w:r>
            <w:r w:rsidR="009A31D9">
              <w:rPr>
                <w:rFonts w:ascii="Calibri Light" w:hAnsi="Calibri Light"/>
                <w:b w:val="0"/>
              </w:rPr>
              <w:lastRenderedPageBreak/>
              <w:t>reconocidos</w:t>
            </w:r>
            <w:r w:rsidRPr="00621FC9">
              <w:rPr>
                <w:rFonts w:ascii="Calibri Light" w:hAnsi="Calibri Light"/>
                <w:b w:val="0"/>
              </w:rPr>
              <w:t xml:space="preserve"> en la Convención Interamericana para Prevenir y Sancionar la Tortura (en adelante, CIPST).</w:t>
            </w:r>
          </w:p>
          <w:p w14:paraId="6543A68A" w14:textId="43599A9E" w:rsidR="00CA37A7" w:rsidRPr="0094045D" w:rsidRDefault="00CA37A7" w:rsidP="00D95C84">
            <w:pPr>
              <w:jc w:val="both"/>
              <w:rPr>
                <w:rFonts w:ascii="Calibri Light" w:hAnsi="Calibri Light"/>
                <w:b w:val="0"/>
                <w:highlight w:val="yellow"/>
              </w:rPr>
            </w:pPr>
          </w:p>
        </w:tc>
      </w:tr>
      <w:tr w:rsidR="00D95C84" w:rsidRPr="004533E5" w14:paraId="7B81A2F3"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4B448BEC" w14:textId="77777777" w:rsidR="00D95C84" w:rsidRDefault="00D95C84" w:rsidP="00D95C84">
            <w:pPr>
              <w:pStyle w:val="ListParagraph"/>
              <w:rPr>
                <w:rFonts w:ascii="Calibri Light" w:hAnsi="Calibri Light"/>
              </w:rPr>
            </w:pPr>
          </w:p>
          <w:p w14:paraId="1FB8AB09" w14:textId="77777777" w:rsidR="00D95C84" w:rsidRDefault="00D95C84" w:rsidP="00D95C84">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D95C84" w:rsidRPr="004533E5" w:rsidRDefault="00D95C84" w:rsidP="00D95C84">
            <w:pPr>
              <w:pStyle w:val="ListParagraph"/>
              <w:rPr>
                <w:rFonts w:ascii="Calibri Light" w:hAnsi="Calibri Light"/>
              </w:rPr>
            </w:pPr>
          </w:p>
        </w:tc>
      </w:tr>
      <w:tr w:rsidR="00D95C84" w:rsidRPr="004533E5" w14:paraId="71AB3B44" w14:textId="77777777" w:rsidTr="00672538">
        <w:trPr>
          <w:trHeight w:val="708"/>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4C3AFF68" w14:textId="60AEE87F" w:rsidR="00D95C84" w:rsidRDefault="00D95C84" w:rsidP="00D95C84">
            <w:pPr>
              <w:jc w:val="both"/>
              <w:rPr>
                <w:rFonts w:ascii="Calibri Light" w:hAnsi="Calibri Light"/>
                <w:b w:val="0"/>
              </w:rPr>
            </w:pPr>
          </w:p>
          <w:p w14:paraId="08331F27" w14:textId="511F1A7A" w:rsidR="00D95C84" w:rsidRPr="00CC76A5" w:rsidRDefault="0094045D" w:rsidP="00D95C84">
            <w:pPr>
              <w:jc w:val="both"/>
              <w:rPr>
                <w:rFonts w:ascii="Calibri Light" w:hAnsi="Calibri Light"/>
              </w:rPr>
            </w:pPr>
            <w:r>
              <w:rPr>
                <w:rFonts w:ascii="Calibri Light" w:hAnsi="Calibri Light"/>
              </w:rPr>
              <w:t>Derechos a las garantías judiciales, protección judicial y principio de legalidad</w:t>
            </w:r>
            <w:r w:rsidR="00D95C84" w:rsidRPr="00CC76A5">
              <w:rPr>
                <w:rFonts w:ascii="Calibri Light" w:hAnsi="Calibri Light"/>
              </w:rPr>
              <w:t xml:space="preserve"> (artículo</w:t>
            </w:r>
            <w:r>
              <w:rPr>
                <w:rFonts w:ascii="Calibri Light" w:hAnsi="Calibri Light"/>
              </w:rPr>
              <w:t>s 8, 9</w:t>
            </w:r>
            <w:r w:rsidR="00D95C84" w:rsidRPr="00CC76A5">
              <w:rPr>
                <w:rFonts w:ascii="Calibri Light" w:hAnsi="Calibri Light"/>
              </w:rPr>
              <w:t xml:space="preserve"> </w:t>
            </w:r>
            <w:r w:rsidR="00E23FD9">
              <w:rPr>
                <w:rFonts w:ascii="Calibri Light" w:hAnsi="Calibri Light"/>
              </w:rPr>
              <w:t xml:space="preserve">y 25 </w:t>
            </w:r>
            <w:r w:rsidR="00D95C84" w:rsidRPr="00CC76A5">
              <w:rPr>
                <w:rFonts w:ascii="Calibri Light" w:hAnsi="Calibri Light"/>
              </w:rPr>
              <w:t>de la CADH)</w:t>
            </w:r>
          </w:p>
          <w:p w14:paraId="2C3EDC5B" w14:textId="2B660216" w:rsidR="00D95C84" w:rsidRDefault="00D95C84" w:rsidP="00D95C84">
            <w:pPr>
              <w:jc w:val="both"/>
              <w:rPr>
                <w:rFonts w:ascii="Calibri Light" w:hAnsi="Calibri Light"/>
                <w:b w:val="0"/>
              </w:rPr>
            </w:pPr>
          </w:p>
          <w:p w14:paraId="036ACFF3" w14:textId="6BBA5260" w:rsidR="0094045D" w:rsidRPr="007E063D" w:rsidRDefault="0094045D" w:rsidP="007E063D">
            <w:pPr>
              <w:pStyle w:val="ListParagraph"/>
              <w:numPr>
                <w:ilvl w:val="0"/>
                <w:numId w:val="13"/>
              </w:numPr>
              <w:jc w:val="both"/>
              <w:rPr>
                <w:rFonts w:ascii="Calibri Light" w:hAnsi="Calibri Light"/>
              </w:rPr>
            </w:pPr>
            <w:r w:rsidRPr="007E063D">
              <w:rPr>
                <w:rFonts w:ascii="Calibri Light" w:hAnsi="Calibri Light"/>
              </w:rPr>
              <w:t>Sobre la aplicación del concepto de peligrosidad para imponer la pena de muerte</w:t>
            </w:r>
          </w:p>
          <w:p w14:paraId="60284FD5" w14:textId="61974691" w:rsidR="0094045D" w:rsidRDefault="0094045D" w:rsidP="00D95C84">
            <w:pPr>
              <w:jc w:val="both"/>
              <w:rPr>
                <w:rFonts w:ascii="Calibri Light" w:hAnsi="Calibri Light"/>
                <w:b w:val="0"/>
              </w:rPr>
            </w:pPr>
          </w:p>
          <w:p w14:paraId="0600B110" w14:textId="314788D9" w:rsidR="00084893" w:rsidRPr="00084893" w:rsidRDefault="00084893" w:rsidP="00084893">
            <w:pPr>
              <w:jc w:val="both"/>
              <w:rPr>
                <w:rFonts w:ascii="Calibri Light" w:hAnsi="Calibri Light"/>
                <w:b w:val="0"/>
              </w:rPr>
            </w:pPr>
            <w:r>
              <w:rPr>
                <w:rFonts w:ascii="Calibri Light" w:hAnsi="Calibri Light"/>
                <w:b w:val="0"/>
              </w:rPr>
              <w:t xml:space="preserve">La CIDH y la Corte IDH han señalado que el elemento de </w:t>
            </w:r>
            <w:r w:rsidRPr="00084893">
              <w:rPr>
                <w:rFonts w:ascii="Calibri Light" w:hAnsi="Calibri Light"/>
                <w:b w:val="0"/>
              </w:rPr>
              <w:t>peligrosidad futura otorga un alto grado de discrecionalidad al jurado</w:t>
            </w:r>
            <w:r>
              <w:rPr>
                <w:rFonts w:ascii="Calibri Light" w:hAnsi="Calibri Light"/>
                <w:b w:val="0"/>
              </w:rPr>
              <w:t xml:space="preserve"> </w:t>
            </w:r>
            <w:r w:rsidRPr="00084893">
              <w:rPr>
                <w:rFonts w:ascii="Calibri Light" w:hAnsi="Calibri Light"/>
                <w:b w:val="0"/>
              </w:rPr>
              <w:t>para establecer la pena más grave posible, lo que puede resultar problemático al tratarse de la</w:t>
            </w:r>
            <w:r>
              <w:rPr>
                <w:rFonts w:ascii="Calibri Light" w:hAnsi="Calibri Light"/>
                <w:b w:val="0"/>
              </w:rPr>
              <w:t xml:space="preserve"> </w:t>
            </w:r>
            <w:r w:rsidRPr="00084893">
              <w:rPr>
                <w:rFonts w:ascii="Calibri Light" w:hAnsi="Calibri Light"/>
                <w:b w:val="0"/>
              </w:rPr>
              <w:t>probabilidad de que un hecho futuro llegue a ocurrir, excediendo al delito efectivamente</w:t>
            </w:r>
            <w:r>
              <w:rPr>
                <w:rFonts w:ascii="Calibri Light" w:hAnsi="Calibri Light"/>
                <w:b w:val="0"/>
              </w:rPr>
              <w:t xml:space="preserve"> </w:t>
            </w:r>
            <w:r w:rsidRPr="00084893">
              <w:rPr>
                <w:rFonts w:ascii="Calibri Light" w:hAnsi="Calibri Light"/>
                <w:b w:val="0"/>
              </w:rPr>
              <w:t>cometido por la persona en cuestión.</w:t>
            </w:r>
            <w:r>
              <w:rPr>
                <w:rFonts w:ascii="Calibri Light" w:hAnsi="Calibri Light"/>
                <w:b w:val="0"/>
              </w:rPr>
              <w:t xml:space="preserve"> Además, la invocación de la peligrosidad futura a la luz del principio de legalidad es grave y constituye una expresión del ejercicio del </w:t>
            </w:r>
            <w:r>
              <w:rPr>
                <w:rFonts w:ascii="Calibri Light" w:hAnsi="Calibri Light"/>
                <w:b w:val="0"/>
                <w:i/>
              </w:rPr>
              <w:t>ius puniendi</w:t>
            </w:r>
            <w:r>
              <w:rPr>
                <w:rFonts w:ascii="Calibri Light" w:hAnsi="Calibri Light"/>
                <w:b w:val="0"/>
              </w:rPr>
              <w:t xml:space="preserve"> estatal sobre la base de características personales del agente y no del hecho cometido. De este modo</w:t>
            </w:r>
            <w:r w:rsidR="00731711">
              <w:rPr>
                <w:rFonts w:ascii="Calibri Light" w:hAnsi="Calibri Light"/>
                <w:b w:val="0"/>
              </w:rPr>
              <w:t>, sustituye el “derecho penal de</w:t>
            </w:r>
            <w:r>
              <w:rPr>
                <w:rFonts w:ascii="Calibri Light" w:hAnsi="Calibri Light"/>
                <w:b w:val="0"/>
              </w:rPr>
              <w:t xml:space="preserve"> hecho</w:t>
            </w:r>
            <w:r w:rsidR="00731711">
              <w:rPr>
                <w:rFonts w:ascii="Calibri Light" w:hAnsi="Calibri Light"/>
                <w:b w:val="0"/>
              </w:rPr>
              <w:t>”</w:t>
            </w:r>
            <w:r>
              <w:rPr>
                <w:rFonts w:ascii="Calibri Light" w:hAnsi="Calibri Light"/>
                <w:b w:val="0"/>
              </w:rPr>
              <w:t xml:space="preserve"> por el </w:t>
            </w:r>
            <w:r w:rsidR="00731711">
              <w:rPr>
                <w:rFonts w:ascii="Calibri Light" w:hAnsi="Calibri Light"/>
                <w:b w:val="0"/>
              </w:rPr>
              <w:t>“</w:t>
            </w:r>
            <w:r>
              <w:rPr>
                <w:rFonts w:ascii="Calibri Light" w:hAnsi="Calibri Light"/>
                <w:b w:val="0"/>
              </w:rPr>
              <w:t>derecho penal de autor</w:t>
            </w:r>
            <w:r w:rsidR="00731711">
              <w:rPr>
                <w:rFonts w:ascii="Calibri Light" w:hAnsi="Calibri Light"/>
                <w:b w:val="0"/>
              </w:rPr>
              <w:t>”</w:t>
            </w:r>
            <w:r>
              <w:rPr>
                <w:rFonts w:ascii="Calibri Light" w:hAnsi="Calibri Light"/>
                <w:b w:val="0"/>
              </w:rPr>
              <w:t>, abriendo la puerta al autoritarismo</w:t>
            </w:r>
            <w:r w:rsidR="00670AC4">
              <w:rPr>
                <w:rFonts w:ascii="Calibri Light" w:hAnsi="Calibri Light"/>
                <w:b w:val="0"/>
              </w:rPr>
              <w:t>,</w:t>
            </w:r>
            <w:r>
              <w:rPr>
                <w:rFonts w:ascii="Calibri Light" w:hAnsi="Calibri Light"/>
                <w:b w:val="0"/>
              </w:rPr>
              <w:t xml:space="preserve"> que es contrario a los derechos humanos.</w:t>
            </w:r>
          </w:p>
          <w:p w14:paraId="63955401" w14:textId="77777777" w:rsidR="00084893" w:rsidRDefault="00084893" w:rsidP="00D95C84">
            <w:pPr>
              <w:jc w:val="both"/>
              <w:rPr>
                <w:rFonts w:ascii="Calibri Light" w:hAnsi="Calibri Light"/>
                <w:b w:val="0"/>
              </w:rPr>
            </w:pPr>
          </w:p>
          <w:p w14:paraId="0DD36E2A" w14:textId="7E6ABF98" w:rsidR="006325AC" w:rsidRDefault="006325AC" w:rsidP="006325AC">
            <w:pPr>
              <w:jc w:val="both"/>
              <w:rPr>
                <w:rFonts w:ascii="Calibri Light" w:hAnsi="Calibri Light"/>
                <w:b w:val="0"/>
              </w:rPr>
            </w:pPr>
            <w:r>
              <w:rPr>
                <w:rFonts w:ascii="Calibri Light" w:hAnsi="Calibri Light"/>
                <w:b w:val="0"/>
              </w:rPr>
              <w:t xml:space="preserve">En el presente caso, la CIDH </w:t>
            </w:r>
            <w:r w:rsidR="000B5D58">
              <w:rPr>
                <w:rFonts w:ascii="Calibri Light" w:hAnsi="Calibri Light"/>
                <w:b w:val="0"/>
              </w:rPr>
              <w:t>reconoció</w:t>
            </w:r>
            <w:r>
              <w:rPr>
                <w:rFonts w:ascii="Calibri Light" w:hAnsi="Calibri Light"/>
                <w:b w:val="0"/>
              </w:rPr>
              <w:t xml:space="preserve"> que el artículo 132 del Código Penal guatemalteco establecía textualmente el elemento de peligrosidad como criterio para la imposición de pena de muerte. </w:t>
            </w:r>
            <w:r w:rsidR="00731711">
              <w:rPr>
                <w:rFonts w:ascii="Calibri Light" w:hAnsi="Calibri Light"/>
                <w:b w:val="0"/>
              </w:rPr>
              <w:t>Además, l</w:t>
            </w:r>
            <w:r w:rsidRPr="006325AC">
              <w:rPr>
                <w:rFonts w:ascii="Calibri Light" w:hAnsi="Calibri Light"/>
                <w:b w:val="0"/>
              </w:rPr>
              <w:t xml:space="preserve">a sentencia condenatoria </w:t>
            </w:r>
            <w:r>
              <w:rPr>
                <w:rFonts w:ascii="Calibri Light" w:hAnsi="Calibri Light"/>
                <w:b w:val="0"/>
              </w:rPr>
              <w:t>se refirió</w:t>
            </w:r>
            <w:r w:rsidRPr="006325AC">
              <w:rPr>
                <w:rFonts w:ascii="Calibri Light" w:hAnsi="Calibri Light"/>
                <w:b w:val="0"/>
              </w:rPr>
              <w:t xml:space="preserve"> a la peligrosidad de las presuntas víctimas</w:t>
            </w:r>
            <w:r w:rsidR="00AE7394">
              <w:rPr>
                <w:rFonts w:ascii="Calibri Light" w:hAnsi="Calibri Light"/>
                <w:b w:val="0"/>
              </w:rPr>
              <w:t xml:space="preserve"> al referirse a</w:t>
            </w:r>
            <w:r w:rsidR="00084893">
              <w:rPr>
                <w:rFonts w:ascii="Calibri Light" w:hAnsi="Calibri Light"/>
                <w:b w:val="0"/>
              </w:rPr>
              <w:t xml:space="preserve">l </w:t>
            </w:r>
            <w:r>
              <w:rPr>
                <w:rFonts w:ascii="Calibri Light" w:hAnsi="Calibri Light"/>
                <w:b w:val="0"/>
              </w:rPr>
              <w:t xml:space="preserve">impulso de perversidad brutal y </w:t>
            </w:r>
            <w:r w:rsidR="00AE7394">
              <w:rPr>
                <w:rFonts w:ascii="Calibri Light" w:hAnsi="Calibri Light"/>
                <w:b w:val="0"/>
              </w:rPr>
              <w:t xml:space="preserve">a </w:t>
            </w:r>
            <w:r w:rsidRPr="006325AC">
              <w:rPr>
                <w:rFonts w:ascii="Calibri Light" w:hAnsi="Calibri Light"/>
                <w:b w:val="0"/>
              </w:rPr>
              <w:t>especulaciones sobre eventuales comportamientos</w:t>
            </w:r>
            <w:r>
              <w:rPr>
                <w:rFonts w:ascii="Calibri Light" w:hAnsi="Calibri Light"/>
                <w:b w:val="0"/>
              </w:rPr>
              <w:t xml:space="preserve"> </w:t>
            </w:r>
            <w:r w:rsidRPr="006325AC">
              <w:rPr>
                <w:rFonts w:ascii="Calibri Light" w:hAnsi="Calibri Light"/>
                <w:b w:val="0"/>
              </w:rPr>
              <w:t>futuros</w:t>
            </w:r>
            <w:r>
              <w:rPr>
                <w:rFonts w:ascii="Calibri Light" w:hAnsi="Calibri Light"/>
                <w:b w:val="0"/>
              </w:rPr>
              <w:t xml:space="preserve">. </w:t>
            </w:r>
            <w:r w:rsidRPr="006325AC">
              <w:rPr>
                <w:rFonts w:ascii="Calibri Light" w:hAnsi="Calibri Light"/>
                <w:b w:val="0"/>
              </w:rPr>
              <w:t>De esta manera,</w:t>
            </w:r>
            <w:r>
              <w:rPr>
                <w:rFonts w:ascii="Calibri Light" w:hAnsi="Calibri Light"/>
                <w:b w:val="0"/>
              </w:rPr>
              <w:t xml:space="preserve"> la CIDH consideró que</w:t>
            </w:r>
            <w:r w:rsidRPr="006325AC">
              <w:rPr>
                <w:rFonts w:ascii="Calibri Light" w:hAnsi="Calibri Light"/>
                <w:b w:val="0"/>
              </w:rPr>
              <w:t xml:space="preserve"> la motivación de la sentencia condenatoria confirmó que la noción de</w:t>
            </w:r>
            <w:r>
              <w:rPr>
                <w:rFonts w:ascii="Calibri Light" w:hAnsi="Calibri Light"/>
                <w:b w:val="0"/>
              </w:rPr>
              <w:t xml:space="preserve"> </w:t>
            </w:r>
            <w:r w:rsidRPr="006325AC">
              <w:rPr>
                <w:rFonts w:ascii="Calibri Light" w:hAnsi="Calibri Light"/>
                <w:b w:val="0"/>
              </w:rPr>
              <w:t>peligrosidad</w:t>
            </w:r>
            <w:r w:rsidR="00F055E4">
              <w:rPr>
                <w:rFonts w:ascii="Calibri Light" w:hAnsi="Calibri Light"/>
                <w:b w:val="0"/>
              </w:rPr>
              <w:t>, incompatible con el principio de legalidad, fue utilizada</w:t>
            </w:r>
            <w:r w:rsidRPr="006325AC">
              <w:rPr>
                <w:rFonts w:ascii="Calibri Light" w:hAnsi="Calibri Light"/>
                <w:b w:val="0"/>
              </w:rPr>
              <w:t>.</w:t>
            </w:r>
            <w:r w:rsidR="00670AC4">
              <w:rPr>
                <w:rFonts w:ascii="Calibri Light" w:hAnsi="Calibri Light"/>
                <w:b w:val="0"/>
              </w:rPr>
              <w:t xml:space="preserve"> </w:t>
            </w:r>
            <w:r>
              <w:rPr>
                <w:rFonts w:ascii="Calibri Light" w:hAnsi="Calibri Light"/>
                <w:b w:val="0"/>
              </w:rPr>
              <w:t xml:space="preserve">Por ello, la CIDH concluyó que el Estado de Guatemala había violado el artículo 9 de la CADH, en relación con los artículos 1.1 y 2 del mismo instrumento, en perjuicio de </w:t>
            </w:r>
            <w:r w:rsidR="009410ED">
              <w:rPr>
                <w:rFonts w:ascii="Calibri Light" w:hAnsi="Calibri Light"/>
                <w:b w:val="0"/>
              </w:rPr>
              <w:t>los señores Rodríguez, López y Archila</w:t>
            </w:r>
            <w:r>
              <w:rPr>
                <w:rFonts w:ascii="Calibri Light" w:hAnsi="Calibri Light"/>
                <w:b w:val="0"/>
              </w:rPr>
              <w:t>.</w:t>
            </w:r>
          </w:p>
          <w:p w14:paraId="04FE6B98" w14:textId="77777777" w:rsidR="006325AC" w:rsidRPr="006325AC" w:rsidRDefault="006325AC" w:rsidP="006325AC">
            <w:pPr>
              <w:jc w:val="both"/>
              <w:rPr>
                <w:rFonts w:ascii="Calibri Light" w:hAnsi="Calibri Light"/>
                <w:b w:val="0"/>
              </w:rPr>
            </w:pPr>
          </w:p>
          <w:p w14:paraId="037B0883" w14:textId="1D16019D" w:rsidR="0094045D" w:rsidRPr="007E063D" w:rsidRDefault="0094045D" w:rsidP="007E063D">
            <w:pPr>
              <w:pStyle w:val="ListParagraph"/>
              <w:numPr>
                <w:ilvl w:val="0"/>
                <w:numId w:val="13"/>
              </w:numPr>
              <w:jc w:val="both"/>
              <w:rPr>
                <w:rFonts w:ascii="Calibri Light" w:hAnsi="Calibri Light"/>
              </w:rPr>
            </w:pPr>
            <w:r w:rsidRPr="007E063D">
              <w:rPr>
                <w:rFonts w:ascii="Calibri Light" w:hAnsi="Calibri Light"/>
              </w:rPr>
              <w:t>Sobre el derecho a contar con juez imparcial</w:t>
            </w:r>
          </w:p>
          <w:p w14:paraId="45E9A0E5" w14:textId="3B115890" w:rsidR="0094045D" w:rsidRPr="007E063D" w:rsidRDefault="0094045D" w:rsidP="00D95C84">
            <w:pPr>
              <w:jc w:val="both"/>
              <w:rPr>
                <w:rFonts w:ascii="Calibri Light" w:hAnsi="Calibri Light"/>
              </w:rPr>
            </w:pPr>
          </w:p>
          <w:p w14:paraId="08FFCB10" w14:textId="0BBB9593" w:rsidR="006D4CCE" w:rsidRDefault="006D4CCE" w:rsidP="006D4CCE">
            <w:pPr>
              <w:jc w:val="both"/>
              <w:rPr>
                <w:rFonts w:ascii="Calibri Light" w:hAnsi="Calibri Light"/>
                <w:b w:val="0"/>
              </w:rPr>
            </w:pPr>
            <w:r w:rsidRPr="006D4CCE">
              <w:rPr>
                <w:rFonts w:ascii="Calibri Light" w:hAnsi="Calibri Light"/>
                <w:b w:val="0"/>
              </w:rPr>
              <w:t>L</w:t>
            </w:r>
            <w:r>
              <w:rPr>
                <w:rFonts w:ascii="Calibri Light" w:hAnsi="Calibri Light"/>
                <w:b w:val="0"/>
              </w:rPr>
              <w:t>a CIDH ha indicado que l</w:t>
            </w:r>
            <w:r w:rsidRPr="006D4CCE">
              <w:rPr>
                <w:rFonts w:ascii="Calibri Light" w:hAnsi="Calibri Light"/>
                <w:b w:val="0"/>
              </w:rPr>
              <w:t>a garantía de imparcialidad implica que las autoridades judiciales no tengan un inter</w:t>
            </w:r>
            <w:r w:rsidR="00531684">
              <w:rPr>
                <w:rFonts w:ascii="Calibri Light" w:hAnsi="Calibri Light"/>
                <w:b w:val="0"/>
              </w:rPr>
              <w:t>és directo, una posición tomada o</w:t>
            </w:r>
            <w:r w:rsidRPr="006D4CCE">
              <w:rPr>
                <w:rFonts w:ascii="Calibri Light" w:hAnsi="Calibri Light"/>
                <w:b w:val="0"/>
              </w:rPr>
              <w:t xml:space="preserve"> una</w:t>
            </w:r>
            <w:r>
              <w:rPr>
                <w:rFonts w:ascii="Calibri Light" w:hAnsi="Calibri Light"/>
                <w:b w:val="0"/>
              </w:rPr>
              <w:t xml:space="preserve"> </w:t>
            </w:r>
            <w:r w:rsidRPr="006D4CCE">
              <w:rPr>
                <w:rFonts w:ascii="Calibri Light" w:hAnsi="Calibri Light"/>
                <w:b w:val="0"/>
              </w:rPr>
              <w:t>preferencia por alguna de las partes</w:t>
            </w:r>
            <w:r w:rsidR="00531684">
              <w:rPr>
                <w:rFonts w:ascii="Calibri Light" w:hAnsi="Calibri Light"/>
                <w:b w:val="0"/>
              </w:rPr>
              <w:t>,</w:t>
            </w:r>
            <w:r w:rsidRPr="006D4CCE">
              <w:rPr>
                <w:rFonts w:ascii="Calibri Light" w:hAnsi="Calibri Light"/>
                <w:b w:val="0"/>
              </w:rPr>
              <w:t xml:space="preserve"> y que no se encuentren i</w:t>
            </w:r>
            <w:r w:rsidR="00AE7394">
              <w:rPr>
                <w:rFonts w:ascii="Calibri Light" w:hAnsi="Calibri Light"/>
                <w:b w:val="0"/>
              </w:rPr>
              <w:t>nvolucradas en la controversia.</w:t>
            </w:r>
            <w:r w:rsidR="00FC62BE">
              <w:rPr>
                <w:rFonts w:ascii="Calibri Light" w:hAnsi="Calibri Light"/>
                <w:b w:val="0"/>
              </w:rPr>
              <w:t xml:space="preserve"> Esta imparcialidad tiene dos dimensiones: (i) la personal o subjetiva,</w:t>
            </w:r>
            <w:r w:rsidR="007920A0">
              <w:rPr>
                <w:rFonts w:ascii="Calibri Light" w:hAnsi="Calibri Light"/>
                <w:b w:val="0"/>
              </w:rPr>
              <w:t xml:space="preserve"> esto es, la convicción personal y conducta de un juez,</w:t>
            </w:r>
            <w:r w:rsidR="00FC62BE">
              <w:rPr>
                <w:rFonts w:ascii="Calibri Light" w:hAnsi="Calibri Light"/>
                <w:b w:val="0"/>
              </w:rPr>
              <w:t xml:space="preserve"> que se presume a menos que exista prueba en contrario; y (ii) la objetiva, que consiste en determinar si la autoridad judicial proporcionó elementos convincentes que permitan eliminar temores legítimos o fundadas sospechas de parcialidad sobre su persona. </w:t>
            </w:r>
            <w:r w:rsidR="00F70D4D">
              <w:rPr>
                <w:rFonts w:ascii="Calibri Light" w:hAnsi="Calibri Light"/>
                <w:b w:val="0"/>
              </w:rPr>
              <w:t>Respecto a la segunda dimensión</w:t>
            </w:r>
            <w:r w:rsidR="00F37ED4">
              <w:rPr>
                <w:rFonts w:ascii="Calibri Light" w:hAnsi="Calibri Light"/>
                <w:b w:val="0"/>
              </w:rPr>
              <w:t xml:space="preserve">, la CIDH ha considerado problemático que la misma autoridad judicial que intervino en la etapa de investigación en un proceso </w:t>
            </w:r>
            <w:r w:rsidR="00F37ED4" w:rsidRPr="00F37ED4">
              <w:rPr>
                <w:rFonts w:ascii="Calibri Light" w:hAnsi="Calibri Light"/>
                <w:b w:val="0"/>
              </w:rPr>
              <w:t>—sea en calidad de juez instructor o de juez de control—</w:t>
            </w:r>
            <w:r w:rsidR="00F37ED4">
              <w:rPr>
                <w:rFonts w:ascii="Calibri Light" w:hAnsi="Calibri Light"/>
                <w:b w:val="0"/>
              </w:rPr>
              <w:t xml:space="preserve"> inter</w:t>
            </w:r>
            <w:r w:rsidR="00F70D4D">
              <w:rPr>
                <w:rFonts w:ascii="Calibri Light" w:hAnsi="Calibri Light"/>
                <w:b w:val="0"/>
              </w:rPr>
              <w:t>venga también en la resolución</w:t>
            </w:r>
            <w:r w:rsidR="00F37ED4">
              <w:rPr>
                <w:rFonts w:ascii="Calibri Light" w:hAnsi="Calibri Light"/>
                <w:b w:val="0"/>
              </w:rPr>
              <w:t xml:space="preserve">. </w:t>
            </w:r>
            <w:r w:rsidRPr="006D4CCE">
              <w:rPr>
                <w:rFonts w:ascii="Calibri Light" w:hAnsi="Calibri Light"/>
                <w:b w:val="0"/>
              </w:rPr>
              <w:t xml:space="preserve">Esto resulta aún más cuestionable </w:t>
            </w:r>
            <w:r w:rsidR="00DB706B">
              <w:rPr>
                <w:rFonts w:ascii="Calibri Light" w:hAnsi="Calibri Light"/>
                <w:b w:val="0"/>
              </w:rPr>
              <w:t>en</w:t>
            </w:r>
            <w:r w:rsidRPr="006D4CCE">
              <w:rPr>
                <w:rFonts w:ascii="Calibri Light" w:hAnsi="Calibri Light"/>
                <w:b w:val="0"/>
              </w:rPr>
              <w:t xml:space="preserve"> un proceso penal que puede culminar con la imposición de la pena de muerte.</w:t>
            </w:r>
          </w:p>
          <w:p w14:paraId="0A75B3F9" w14:textId="6746C885" w:rsidR="006D4CCE" w:rsidRDefault="006D4CCE" w:rsidP="006D4CCE">
            <w:pPr>
              <w:jc w:val="both"/>
              <w:rPr>
                <w:rFonts w:ascii="Calibri Light" w:hAnsi="Calibri Light"/>
                <w:b w:val="0"/>
              </w:rPr>
            </w:pPr>
          </w:p>
          <w:p w14:paraId="7A812922" w14:textId="10CC24C8" w:rsidR="00531684" w:rsidRDefault="00DB706B" w:rsidP="00531684">
            <w:pPr>
              <w:jc w:val="both"/>
              <w:rPr>
                <w:rFonts w:ascii="Calibri Light" w:hAnsi="Calibri Light"/>
                <w:b w:val="0"/>
              </w:rPr>
            </w:pPr>
            <w:r>
              <w:rPr>
                <w:rFonts w:ascii="Calibri Light" w:hAnsi="Calibri Light"/>
                <w:b w:val="0"/>
              </w:rPr>
              <w:t xml:space="preserve">En el presente caso, </w:t>
            </w:r>
            <w:r w:rsidR="00691AC0">
              <w:rPr>
                <w:rFonts w:ascii="Calibri Light" w:hAnsi="Calibri Light"/>
                <w:b w:val="0"/>
              </w:rPr>
              <w:t xml:space="preserve">la CIDH observó dos cuestionamientos a la imparcialidad de la persona que </w:t>
            </w:r>
            <w:r w:rsidR="006D4CCE" w:rsidRPr="006D4CCE">
              <w:rPr>
                <w:rFonts w:ascii="Calibri Light" w:hAnsi="Calibri Light"/>
                <w:b w:val="0"/>
              </w:rPr>
              <w:t>fungió como Presidente del Tribunal de Sentencia que condenó a las presuntas víctimas</w:t>
            </w:r>
            <w:r w:rsidR="00670AC4">
              <w:rPr>
                <w:rFonts w:ascii="Calibri Light" w:hAnsi="Calibri Light"/>
                <w:b w:val="0"/>
              </w:rPr>
              <w:t>. Por un lado,</w:t>
            </w:r>
            <w:r w:rsidR="00691AC0">
              <w:rPr>
                <w:rFonts w:ascii="Calibri Light" w:hAnsi="Calibri Light"/>
                <w:b w:val="0"/>
              </w:rPr>
              <w:t xml:space="preserve"> </w:t>
            </w:r>
            <w:r w:rsidR="000D680F">
              <w:rPr>
                <w:rFonts w:ascii="Calibri Light" w:hAnsi="Calibri Light"/>
                <w:b w:val="0"/>
              </w:rPr>
              <w:t xml:space="preserve">desde la </w:t>
            </w:r>
            <w:r w:rsidR="00670AC4">
              <w:rPr>
                <w:rFonts w:ascii="Calibri Light" w:hAnsi="Calibri Light"/>
                <w:b w:val="0"/>
              </w:rPr>
              <w:t>dimensión</w:t>
            </w:r>
            <w:r w:rsidR="000D680F">
              <w:rPr>
                <w:rFonts w:ascii="Calibri Light" w:hAnsi="Calibri Light"/>
                <w:b w:val="0"/>
              </w:rPr>
              <w:t xml:space="preserve"> objetiva</w:t>
            </w:r>
            <w:r w:rsidR="00691AC0">
              <w:rPr>
                <w:rFonts w:ascii="Calibri Light" w:hAnsi="Calibri Light"/>
                <w:b w:val="0"/>
              </w:rPr>
              <w:t>, dic</w:t>
            </w:r>
            <w:r w:rsidR="006D4CCE" w:rsidRPr="006D4CCE">
              <w:rPr>
                <w:rFonts w:ascii="Calibri Light" w:hAnsi="Calibri Light"/>
                <w:b w:val="0"/>
              </w:rPr>
              <w:t>ha persona fue la misma que actuó como juez de control en</w:t>
            </w:r>
            <w:r w:rsidR="006D4CCE">
              <w:rPr>
                <w:rFonts w:ascii="Calibri Light" w:hAnsi="Calibri Light"/>
                <w:b w:val="0"/>
              </w:rPr>
              <w:t xml:space="preserve"> </w:t>
            </w:r>
            <w:r w:rsidR="006D4CCE" w:rsidRPr="006D4CCE">
              <w:rPr>
                <w:rFonts w:ascii="Calibri Light" w:hAnsi="Calibri Light"/>
                <w:b w:val="0"/>
              </w:rPr>
              <w:t>la etapa de investigación</w:t>
            </w:r>
            <w:r w:rsidR="00670AC4">
              <w:rPr>
                <w:rFonts w:ascii="Calibri Light" w:hAnsi="Calibri Light"/>
                <w:b w:val="0"/>
              </w:rPr>
              <w:t>. Por otro, desde</w:t>
            </w:r>
            <w:r w:rsidR="000D680F">
              <w:rPr>
                <w:rFonts w:ascii="Calibri Light" w:hAnsi="Calibri Light"/>
                <w:b w:val="0"/>
              </w:rPr>
              <w:t xml:space="preserve"> la </w:t>
            </w:r>
            <w:r w:rsidR="00670AC4">
              <w:rPr>
                <w:rFonts w:ascii="Calibri Light" w:hAnsi="Calibri Light"/>
                <w:b w:val="0"/>
              </w:rPr>
              <w:t>dimensión</w:t>
            </w:r>
            <w:r w:rsidR="000D680F">
              <w:rPr>
                <w:rFonts w:ascii="Calibri Light" w:hAnsi="Calibri Light"/>
                <w:b w:val="0"/>
              </w:rPr>
              <w:t xml:space="preserve"> subjetiva</w:t>
            </w:r>
            <w:r w:rsidR="00691AC0">
              <w:rPr>
                <w:rFonts w:ascii="Calibri Light" w:hAnsi="Calibri Light"/>
                <w:b w:val="0"/>
              </w:rPr>
              <w:t xml:space="preserve">, </w:t>
            </w:r>
            <w:r w:rsidR="00531684">
              <w:rPr>
                <w:rFonts w:ascii="Calibri Light" w:hAnsi="Calibri Light"/>
                <w:b w:val="0"/>
              </w:rPr>
              <w:t>el comentario que realizó durante el juicio</w:t>
            </w:r>
            <w:r w:rsidR="006D4CCE" w:rsidRPr="006D4CCE">
              <w:rPr>
                <w:rFonts w:ascii="Calibri Light" w:hAnsi="Calibri Light"/>
                <w:b w:val="0"/>
              </w:rPr>
              <w:t xml:space="preserve"> </w:t>
            </w:r>
            <w:r w:rsidR="00691AC0">
              <w:rPr>
                <w:rFonts w:ascii="Calibri Light" w:hAnsi="Calibri Light"/>
                <w:b w:val="0"/>
              </w:rPr>
              <w:t>a</w:t>
            </w:r>
            <w:r w:rsidR="00F70D4D">
              <w:rPr>
                <w:rFonts w:ascii="Calibri Light" w:hAnsi="Calibri Light"/>
                <w:b w:val="0"/>
              </w:rPr>
              <w:t xml:space="preserve">l </w:t>
            </w:r>
            <w:r w:rsidR="00691AC0">
              <w:rPr>
                <w:rFonts w:ascii="Calibri Light" w:hAnsi="Calibri Light"/>
                <w:b w:val="0"/>
              </w:rPr>
              <w:t>experto forense</w:t>
            </w:r>
            <w:r w:rsidR="00F70D4D">
              <w:rPr>
                <w:rFonts w:ascii="Calibri Light" w:hAnsi="Calibri Light"/>
                <w:b w:val="0"/>
              </w:rPr>
              <w:t xml:space="preserve"> y</w:t>
            </w:r>
            <w:r w:rsidR="00F70D4D" w:rsidRPr="006D4CCE">
              <w:rPr>
                <w:rFonts w:ascii="Calibri Light" w:hAnsi="Calibri Light"/>
                <w:b w:val="0"/>
              </w:rPr>
              <w:t xml:space="preserve"> a</w:t>
            </w:r>
            <w:r w:rsidR="00F70D4D">
              <w:rPr>
                <w:rFonts w:ascii="Calibri Light" w:hAnsi="Calibri Light"/>
                <w:b w:val="0"/>
              </w:rPr>
              <w:t>l abogado defensor</w:t>
            </w:r>
            <w:r w:rsidR="000D680F">
              <w:rPr>
                <w:rFonts w:ascii="Calibri Light" w:hAnsi="Calibri Light"/>
                <w:b w:val="0"/>
              </w:rPr>
              <w:t>.</w:t>
            </w:r>
            <w:r w:rsidR="00350E46">
              <w:rPr>
                <w:rFonts w:ascii="Calibri Light" w:hAnsi="Calibri Light"/>
                <w:b w:val="0"/>
              </w:rPr>
              <w:t xml:space="preserve"> </w:t>
            </w:r>
            <w:r w:rsidR="00531684">
              <w:rPr>
                <w:rFonts w:ascii="Calibri Light" w:hAnsi="Calibri Light"/>
                <w:b w:val="0"/>
              </w:rPr>
              <w:t>Respecto al primer punto</w:t>
            </w:r>
            <w:r w:rsidR="00350E46">
              <w:rPr>
                <w:rFonts w:ascii="Calibri Light" w:hAnsi="Calibri Light"/>
                <w:b w:val="0"/>
              </w:rPr>
              <w:t xml:space="preserve">, la CIDH resaltó que el </w:t>
            </w:r>
            <w:r w:rsidR="006D4CCE" w:rsidRPr="006D4CCE">
              <w:rPr>
                <w:rFonts w:ascii="Calibri Light" w:hAnsi="Calibri Light"/>
                <w:b w:val="0"/>
              </w:rPr>
              <w:t xml:space="preserve">Estado </w:t>
            </w:r>
            <w:r w:rsidR="000D680F">
              <w:rPr>
                <w:rFonts w:ascii="Calibri Light" w:hAnsi="Calibri Light"/>
                <w:b w:val="0"/>
              </w:rPr>
              <w:t xml:space="preserve">no </w:t>
            </w:r>
            <w:r w:rsidR="00531684">
              <w:rPr>
                <w:rFonts w:ascii="Calibri Light" w:hAnsi="Calibri Light"/>
                <w:b w:val="0"/>
              </w:rPr>
              <w:t>había aportado</w:t>
            </w:r>
            <w:r w:rsidR="006D4CCE" w:rsidRPr="006D4CCE">
              <w:rPr>
                <w:rFonts w:ascii="Calibri Light" w:hAnsi="Calibri Light"/>
                <w:b w:val="0"/>
              </w:rPr>
              <w:t xml:space="preserve"> elementos para superar el</w:t>
            </w:r>
            <w:r w:rsidR="006D4CCE">
              <w:rPr>
                <w:rFonts w:ascii="Calibri Light" w:hAnsi="Calibri Light"/>
                <w:b w:val="0"/>
              </w:rPr>
              <w:t xml:space="preserve"> </w:t>
            </w:r>
            <w:r w:rsidR="006D4CCE" w:rsidRPr="006D4CCE">
              <w:rPr>
                <w:rFonts w:ascii="Calibri Light" w:hAnsi="Calibri Light"/>
                <w:b w:val="0"/>
              </w:rPr>
              <w:t>cuestionamiento de la imparcialidad objetiva del referido juez por su participación en ambas etapas del</w:t>
            </w:r>
            <w:r w:rsidR="006D4CCE">
              <w:rPr>
                <w:rFonts w:ascii="Calibri Light" w:hAnsi="Calibri Light"/>
                <w:b w:val="0"/>
              </w:rPr>
              <w:t xml:space="preserve"> </w:t>
            </w:r>
            <w:r w:rsidR="006D4CCE" w:rsidRPr="006D4CCE">
              <w:rPr>
                <w:rFonts w:ascii="Calibri Light" w:hAnsi="Calibri Light"/>
                <w:b w:val="0"/>
              </w:rPr>
              <w:t xml:space="preserve">proceso penal, </w:t>
            </w:r>
            <w:r w:rsidR="006D4CCE" w:rsidRPr="006D4CCE">
              <w:rPr>
                <w:rFonts w:ascii="Calibri Light" w:hAnsi="Calibri Light"/>
                <w:b w:val="0"/>
              </w:rPr>
              <w:lastRenderedPageBreak/>
              <w:t xml:space="preserve">limitándose a indicar que </w:t>
            </w:r>
            <w:r w:rsidR="00F70D4D">
              <w:rPr>
                <w:rFonts w:ascii="Calibri Light" w:hAnsi="Calibri Light"/>
                <w:b w:val="0"/>
              </w:rPr>
              <w:t>esto estaba permitido</w:t>
            </w:r>
            <w:r w:rsidR="006D4CCE">
              <w:rPr>
                <w:rFonts w:ascii="Calibri Light" w:hAnsi="Calibri Light"/>
                <w:b w:val="0"/>
              </w:rPr>
              <w:t xml:space="preserve"> </w:t>
            </w:r>
            <w:r w:rsidR="006D4CCE" w:rsidRPr="006D4CCE">
              <w:rPr>
                <w:rFonts w:ascii="Calibri Light" w:hAnsi="Calibri Light"/>
                <w:b w:val="0"/>
              </w:rPr>
              <w:t>por el ordenamiento jurídico guatemalteco.</w:t>
            </w:r>
            <w:r w:rsidR="00856D72">
              <w:rPr>
                <w:rFonts w:ascii="Calibri Light" w:hAnsi="Calibri Light"/>
                <w:b w:val="0"/>
              </w:rPr>
              <w:t xml:space="preserve"> </w:t>
            </w:r>
            <w:r w:rsidR="000D680F">
              <w:rPr>
                <w:rFonts w:ascii="Calibri Light" w:hAnsi="Calibri Light"/>
                <w:b w:val="0"/>
              </w:rPr>
              <w:t>Con ello, e</w:t>
            </w:r>
            <w:r w:rsidR="00856D72">
              <w:rPr>
                <w:rFonts w:ascii="Calibri Light" w:hAnsi="Calibri Light"/>
                <w:b w:val="0"/>
              </w:rPr>
              <w:t xml:space="preserve">stimó que no era necesario pronunciarse sobre la </w:t>
            </w:r>
            <w:r w:rsidR="00531684">
              <w:rPr>
                <w:rFonts w:ascii="Calibri Light" w:hAnsi="Calibri Light"/>
                <w:b w:val="0"/>
              </w:rPr>
              <w:t>dimensión subjetiva de la imparcialidad</w:t>
            </w:r>
            <w:r w:rsidR="00856D72">
              <w:rPr>
                <w:rFonts w:ascii="Calibri Light" w:hAnsi="Calibri Light"/>
                <w:b w:val="0"/>
              </w:rPr>
              <w:t>.</w:t>
            </w:r>
            <w:r w:rsidR="00670AC4">
              <w:rPr>
                <w:rFonts w:ascii="Calibri Light" w:hAnsi="Calibri Light"/>
                <w:b w:val="0"/>
              </w:rPr>
              <w:t xml:space="preserve"> </w:t>
            </w:r>
            <w:r w:rsidR="006D4CCE">
              <w:rPr>
                <w:rFonts w:ascii="Calibri Light" w:hAnsi="Calibri Light"/>
                <w:b w:val="0"/>
              </w:rPr>
              <w:t xml:space="preserve">En virtud de </w:t>
            </w:r>
            <w:r w:rsidR="00856D72">
              <w:rPr>
                <w:rFonts w:ascii="Calibri Light" w:hAnsi="Calibri Light"/>
                <w:b w:val="0"/>
              </w:rPr>
              <w:t>lo anterior</w:t>
            </w:r>
            <w:r w:rsidR="006D4CCE">
              <w:rPr>
                <w:rFonts w:ascii="Calibri Light" w:hAnsi="Calibri Light"/>
                <w:b w:val="0"/>
              </w:rPr>
              <w:t xml:space="preserve">, concluyó que el Estado de Guatemala </w:t>
            </w:r>
            <w:r w:rsidR="006D4CCE" w:rsidRPr="006D4CCE">
              <w:rPr>
                <w:rFonts w:ascii="Calibri Light" w:hAnsi="Calibri Light"/>
                <w:b w:val="0"/>
              </w:rPr>
              <w:t xml:space="preserve">había violado el artículo </w:t>
            </w:r>
            <w:r w:rsidR="006D4CCE">
              <w:rPr>
                <w:rFonts w:ascii="Calibri Light" w:hAnsi="Calibri Light"/>
                <w:b w:val="0"/>
              </w:rPr>
              <w:t>8.1</w:t>
            </w:r>
            <w:r w:rsidR="006D4CCE" w:rsidRPr="006D4CCE">
              <w:rPr>
                <w:rFonts w:ascii="Calibri Light" w:hAnsi="Calibri Light"/>
                <w:b w:val="0"/>
              </w:rPr>
              <w:t xml:space="preserve"> de la CADH, en </w:t>
            </w:r>
            <w:r w:rsidR="00531684">
              <w:rPr>
                <w:rFonts w:ascii="Calibri Light" w:hAnsi="Calibri Light"/>
                <w:b w:val="0"/>
              </w:rPr>
              <w:t>relación con los artículos 1.1</w:t>
            </w:r>
            <w:r w:rsidR="006D4CCE" w:rsidRPr="006D4CCE">
              <w:rPr>
                <w:rFonts w:ascii="Calibri Light" w:hAnsi="Calibri Light"/>
                <w:b w:val="0"/>
              </w:rPr>
              <w:t xml:space="preserve">, en perjuicio de </w:t>
            </w:r>
            <w:r w:rsidR="00531684">
              <w:rPr>
                <w:rFonts w:ascii="Calibri Light" w:hAnsi="Calibri Light"/>
                <w:b w:val="0"/>
              </w:rPr>
              <w:t>los señores Rodríguez, López y Archila.</w:t>
            </w:r>
          </w:p>
          <w:p w14:paraId="0BC8A96E" w14:textId="77777777" w:rsidR="006D4CCE" w:rsidRPr="00084893" w:rsidRDefault="006D4CCE" w:rsidP="006D4CCE">
            <w:pPr>
              <w:jc w:val="both"/>
              <w:rPr>
                <w:rFonts w:ascii="Calibri Light" w:hAnsi="Calibri Light"/>
                <w:b w:val="0"/>
              </w:rPr>
            </w:pPr>
          </w:p>
          <w:p w14:paraId="237F5525" w14:textId="4171A814" w:rsidR="0094045D" w:rsidRPr="00531684" w:rsidRDefault="0094045D" w:rsidP="00531684">
            <w:pPr>
              <w:pStyle w:val="ListParagraph"/>
              <w:numPr>
                <w:ilvl w:val="0"/>
                <w:numId w:val="13"/>
              </w:numPr>
              <w:jc w:val="both"/>
              <w:rPr>
                <w:rFonts w:ascii="Calibri Light" w:hAnsi="Calibri Light"/>
              </w:rPr>
            </w:pPr>
            <w:r w:rsidRPr="00531684">
              <w:rPr>
                <w:rFonts w:ascii="Calibri Light" w:hAnsi="Calibri Light"/>
              </w:rPr>
              <w:t>Sobre el derecho de defensa, el deber de motivación y el principio de presunción de inocencia</w:t>
            </w:r>
          </w:p>
          <w:p w14:paraId="7C3E1009" w14:textId="291811E9" w:rsidR="0094045D" w:rsidRDefault="0094045D" w:rsidP="00D95C84">
            <w:pPr>
              <w:jc w:val="both"/>
              <w:rPr>
                <w:rFonts w:ascii="Calibri Light" w:hAnsi="Calibri Light"/>
                <w:i/>
              </w:rPr>
            </w:pPr>
          </w:p>
          <w:p w14:paraId="6FD8EA07" w14:textId="502B303B" w:rsidR="00324080" w:rsidRDefault="00324080" w:rsidP="00B1597A">
            <w:pPr>
              <w:jc w:val="both"/>
              <w:rPr>
                <w:rFonts w:ascii="Calibri Light" w:hAnsi="Calibri Light"/>
                <w:b w:val="0"/>
              </w:rPr>
            </w:pPr>
            <w:r>
              <w:rPr>
                <w:rFonts w:ascii="Calibri Light" w:hAnsi="Calibri Light"/>
                <w:b w:val="0"/>
              </w:rPr>
              <w:t>La CIDH ha reiterado que el derecho de defensa implica que la persona sometida a un proceso pueda defender sus intereses o derecho</w:t>
            </w:r>
            <w:r w:rsidR="00990249">
              <w:rPr>
                <w:rFonts w:ascii="Calibri Light" w:hAnsi="Calibri Light"/>
                <w:b w:val="0"/>
              </w:rPr>
              <w:t>s</w:t>
            </w:r>
            <w:r>
              <w:rPr>
                <w:rFonts w:ascii="Calibri Light" w:hAnsi="Calibri Light"/>
                <w:b w:val="0"/>
              </w:rPr>
              <w:t xml:space="preserve"> en forma efectiva y en condiciones de igualdad pr</w:t>
            </w:r>
            <w:r w:rsidR="00CA37A7">
              <w:rPr>
                <w:rFonts w:ascii="Calibri Light" w:hAnsi="Calibri Light"/>
                <w:b w:val="0"/>
              </w:rPr>
              <w:t>ocesal</w:t>
            </w:r>
            <w:r>
              <w:rPr>
                <w:rFonts w:ascii="Calibri Light" w:hAnsi="Calibri Light"/>
                <w:b w:val="0"/>
              </w:rPr>
              <w:t>.</w:t>
            </w:r>
            <w:r w:rsidR="00990249">
              <w:rPr>
                <w:rFonts w:ascii="Calibri Light" w:hAnsi="Calibri Light"/>
                <w:b w:val="0"/>
              </w:rPr>
              <w:t xml:space="preserve"> </w:t>
            </w:r>
            <w:r>
              <w:rPr>
                <w:rFonts w:ascii="Calibri Light" w:hAnsi="Calibri Light"/>
                <w:b w:val="0"/>
              </w:rPr>
              <w:t xml:space="preserve">Por otro lado, la Corte IDH ha indicado que la motivación es la exteriorización de la justificación razonada que </w:t>
            </w:r>
            <w:r w:rsidR="002A521C">
              <w:rPr>
                <w:rFonts w:ascii="Calibri Light" w:hAnsi="Calibri Light"/>
                <w:b w:val="0"/>
              </w:rPr>
              <w:t>permite llegar a una conclusión</w:t>
            </w:r>
            <w:r>
              <w:rPr>
                <w:rFonts w:ascii="Calibri Light" w:hAnsi="Calibri Light"/>
                <w:b w:val="0"/>
              </w:rPr>
              <w:t xml:space="preserve">. </w:t>
            </w:r>
            <w:r w:rsidR="000D680F">
              <w:rPr>
                <w:rFonts w:ascii="Calibri Light" w:hAnsi="Calibri Light"/>
                <w:b w:val="0"/>
              </w:rPr>
              <w:t>Así</w:t>
            </w:r>
            <w:r>
              <w:rPr>
                <w:rFonts w:ascii="Calibri Light" w:hAnsi="Calibri Light"/>
                <w:b w:val="0"/>
              </w:rPr>
              <w:t>, la argumentación de un fallo debe mostrar que</w:t>
            </w:r>
            <w:r w:rsidR="00990249">
              <w:rPr>
                <w:rFonts w:ascii="Calibri Light" w:hAnsi="Calibri Light"/>
                <w:b w:val="0"/>
              </w:rPr>
              <w:t xml:space="preserve"> los alegatos de las partes</w:t>
            </w:r>
            <w:r>
              <w:rPr>
                <w:rFonts w:ascii="Calibri Light" w:hAnsi="Calibri Light"/>
                <w:b w:val="0"/>
              </w:rPr>
              <w:t xml:space="preserve"> han sido debidamente </w:t>
            </w:r>
            <w:r w:rsidR="00990249">
              <w:rPr>
                <w:rFonts w:ascii="Calibri Light" w:hAnsi="Calibri Light"/>
                <w:b w:val="0"/>
              </w:rPr>
              <w:t>considerados</w:t>
            </w:r>
            <w:r>
              <w:rPr>
                <w:rFonts w:ascii="Calibri Light" w:hAnsi="Calibri Light"/>
                <w:b w:val="0"/>
              </w:rPr>
              <w:t xml:space="preserve"> y que el conjunto de pruebas ha sido analizado. Además, la motivación demuestra a las partes que han sido oídas y, en aquellos casos en que las decisiones son recurribles, les proporciona la posibilidad de criticar la resolución y lograr un nuevo examen ante las instancias superiores.</w:t>
            </w:r>
          </w:p>
          <w:p w14:paraId="4C5B2BDF" w14:textId="77777777" w:rsidR="004072C4" w:rsidRDefault="004072C4" w:rsidP="00B1597A">
            <w:pPr>
              <w:jc w:val="both"/>
              <w:rPr>
                <w:rFonts w:ascii="Calibri Light" w:hAnsi="Calibri Light"/>
                <w:b w:val="0"/>
              </w:rPr>
            </w:pPr>
          </w:p>
          <w:p w14:paraId="143756C1" w14:textId="5F1ECB77" w:rsidR="00B1597A" w:rsidRDefault="00590203" w:rsidP="00B1597A">
            <w:pPr>
              <w:jc w:val="both"/>
              <w:rPr>
                <w:rFonts w:ascii="Calibri Light" w:hAnsi="Calibri Light"/>
                <w:b w:val="0"/>
              </w:rPr>
            </w:pPr>
            <w:r>
              <w:rPr>
                <w:rFonts w:ascii="Calibri Light" w:hAnsi="Calibri Light"/>
                <w:b w:val="0"/>
              </w:rPr>
              <w:t>Asimismo</w:t>
            </w:r>
            <w:r w:rsidR="001679C5">
              <w:rPr>
                <w:rFonts w:ascii="Calibri Light" w:hAnsi="Calibri Light"/>
                <w:b w:val="0"/>
              </w:rPr>
              <w:t xml:space="preserve">, la CIDH ha considerado que una autoridad judicial, que determina la responsabilidad penal de una persona, no puede limitarse a indicar que se incumplieron los requisitos legales para la práctica de una prueba </w:t>
            </w:r>
            <w:r w:rsidR="001679C5" w:rsidRPr="001679C5">
              <w:rPr>
                <w:rFonts w:ascii="Calibri Light" w:hAnsi="Calibri Light"/>
                <w:b w:val="0"/>
              </w:rPr>
              <w:t>—</w:t>
            </w:r>
            <w:r w:rsidR="001679C5" w:rsidRPr="004072C4">
              <w:rPr>
                <w:rFonts w:ascii="Calibri Light" w:hAnsi="Calibri Light"/>
                <w:b w:val="0"/>
              </w:rPr>
              <w:t>particularmente</w:t>
            </w:r>
            <w:r w:rsidR="001679C5">
              <w:rPr>
                <w:rFonts w:ascii="Calibri Light" w:hAnsi="Calibri Light"/>
                <w:b w:val="0"/>
              </w:rPr>
              <w:t>,</w:t>
            </w:r>
            <w:r w:rsidR="001679C5" w:rsidRPr="004072C4">
              <w:rPr>
                <w:rFonts w:ascii="Calibri Light" w:hAnsi="Calibri Light"/>
                <w:b w:val="0"/>
              </w:rPr>
              <w:t xml:space="preserve"> tratándose de pruebas de cargo determinantes para la condena</w:t>
            </w:r>
            <w:r w:rsidR="001679C5" w:rsidRPr="001679C5">
              <w:rPr>
                <w:rFonts w:ascii="Calibri Light" w:hAnsi="Calibri Light"/>
                <w:b w:val="0"/>
              </w:rPr>
              <w:t>—</w:t>
            </w:r>
            <w:r w:rsidR="001679C5" w:rsidRPr="004072C4">
              <w:rPr>
                <w:rFonts w:ascii="Calibri Light" w:hAnsi="Calibri Light"/>
                <w:b w:val="0"/>
              </w:rPr>
              <w:t xml:space="preserve"> sin explicar de</w:t>
            </w:r>
            <w:r w:rsidR="001679C5">
              <w:rPr>
                <w:rFonts w:ascii="Calibri Light" w:hAnsi="Calibri Light"/>
                <w:b w:val="0"/>
              </w:rPr>
              <w:t xml:space="preserve"> </w:t>
            </w:r>
            <w:r w:rsidR="00242E6E">
              <w:rPr>
                <w:rFonts w:ascii="Calibri Light" w:hAnsi="Calibri Light"/>
                <w:b w:val="0"/>
              </w:rPr>
              <w:t>manera suficiente y clara</w:t>
            </w:r>
            <w:r w:rsidR="001679C5" w:rsidRPr="004072C4">
              <w:rPr>
                <w:rFonts w:ascii="Calibri Light" w:hAnsi="Calibri Light"/>
                <w:b w:val="0"/>
              </w:rPr>
              <w:t xml:space="preserve"> las razones por las cuales dicha situación no perjudicó las posibilidades de defensa e</w:t>
            </w:r>
            <w:r w:rsidR="001679C5">
              <w:rPr>
                <w:rFonts w:ascii="Calibri Light" w:hAnsi="Calibri Light"/>
                <w:b w:val="0"/>
              </w:rPr>
              <w:t xml:space="preserve"> </w:t>
            </w:r>
            <w:r w:rsidR="001679C5" w:rsidRPr="004072C4">
              <w:rPr>
                <w:rFonts w:ascii="Calibri Light" w:hAnsi="Calibri Light"/>
                <w:b w:val="0"/>
              </w:rPr>
              <w:t>incluso la presunción de inocencia de la persona juzgada. Esto resulta aún más evidente bajo el</w:t>
            </w:r>
            <w:r w:rsidR="001679C5">
              <w:rPr>
                <w:rFonts w:ascii="Calibri Light" w:hAnsi="Calibri Light"/>
                <w:b w:val="0"/>
              </w:rPr>
              <w:t xml:space="preserve"> </w:t>
            </w:r>
            <w:r w:rsidR="001679C5" w:rsidRPr="004072C4">
              <w:rPr>
                <w:rFonts w:ascii="Calibri Light" w:hAnsi="Calibri Light"/>
                <w:b w:val="0"/>
              </w:rPr>
              <w:t>escrutinio estricto que debe operar</w:t>
            </w:r>
            <w:r w:rsidR="001679C5">
              <w:rPr>
                <w:rFonts w:ascii="Calibri Light" w:hAnsi="Calibri Light"/>
                <w:b w:val="0"/>
              </w:rPr>
              <w:t xml:space="preserve"> </w:t>
            </w:r>
            <w:r w:rsidR="001679C5" w:rsidRPr="004072C4">
              <w:rPr>
                <w:rFonts w:ascii="Calibri Light" w:hAnsi="Calibri Light"/>
                <w:b w:val="0"/>
              </w:rPr>
              <w:t>en casos que pueden terminar con la imposición de la pena de muerte.</w:t>
            </w:r>
          </w:p>
          <w:p w14:paraId="336D247C" w14:textId="77777777" w:rsidR="004072C4" w:rsidRDefault="004072C4" w:rsidP="004072C4">
            <w:pPr>
              <w:jc w:val="both"/>
              <w:rPr>
                <w:rFonts w:ascii="Calibri Light" w:hAnsi="Calibri Light"/>
                <w:b w:val="0"/>
              </w:rPr>
            </w:pPr>
          </w:p>
          <w:p w14:paraId="53104BDE" w14:textId="1E64819F" w:rsidR="00242E6E" w:rsidRDefault="004072C4" w:rsidP="004072C4">
            <w:pPr>
              <w:jc w:val="both"/>
              <w:rPr>
                <w:rFonts w:ascii="Calibri Light" w:hAnsi="Calibri Light"/>
                <w:b w:val="0"/>
              </w:rPr>
            </w:pPr>
            <w:r>
              <w:rPr>
                <w:rFonts w:ascii="Calibri Light" w:hAnsi="Calibri Light"/>
                <w:b w:val="0"/>
              </w:rPr>
              <w:t xml:space="preserve">En el presente caso, </w:t>
            </w:r>
            <w:r w:rsidR="00242E6E">
              <w:rPr>
                <w:rFonts w:ascii="Calibri Light" w:hAnsi="Calibri Light"/>
                <w:b w:val="0"/>
              </w:rPr>
              <w:t xml:space="preserve">la CIDH identificó que </w:t>
            </w:r>
            <w:r w:rsidRPr="004072C4">
              <w:rPr>
                <w:rFonts w:ascii="Calibri Light" w:hAnsi="Calibri Light"/>
                <w:b w:val="0"/>
              </w:rPr>
              <w:t>el Tribunal de Sentencia descartó</w:t>
            </w:r>
            <w:r>
              <w:rPr>
                <w:rFonts w:ascii="Calibri Light" w:hAnsi="Calibri Light"/>
                <w:b w:val="0"/>
              </w:rPr>
              <w:t xml:space="preserve"> </w:t>
            </w:r>
            <w:r w:rsidRPr="004072C4">
              <w:rPr>
                <w:rFonts w:ascii="Calibri Light" w:hAnsi="Calibri Light"/>
                <w:b w:val="0"/>
              </w:rPr>
              <w:t>una serie de elementos de prueba propuestos por la defensa de las presuntas víctimas, limitándose a justificar</w:t>
            </w:r>
            <w:r>
              <w:rPr>
                <w:rFonts w:ascii="Calibri Light" w:hAnsi="Calibri Light"/>
                <w:b w:val="0"/>
              </w:rPr>
              <w:t xml:space="preserve"> </w:t>
            </w:r>
            <w:r w:rsidRPr="004072C4">
              <w:rPr>
                <w:rFonts w:ascii="Calibri Light" w:hAnsi="Calibri Light"/>
                <w:b w:val="0"/>
              </w:rPr>
              <w:t xml:space="preserve">su rechazo en que </w:t>
            </w:r>
            <w:r w:rsidR="00242E6E">
              <w:rPr>
                <w:rFonts w:ascii="Calibri Light" w:hAnsi="Calibri Light"/>
                <w:b w:val="0"/>
              </w:rPr>
              <w:t>estos medios faltaban a la verdad y</w:t>
            </w:r>
            <w:r w:rsidRPr="004072C4">
              <w:rPr>
                <w:rFonts w:ascii="Calibri Light" w:hAnsi="Calibri Light"/>
                <w:b w:val="0"/>
              </w:rPr>
              <w:t xml:space="preserve"> sin indicar las razones en las que se sustentó</w:t>
            </w:r>
            <w:r>
              <w:rPr>
                <w:rFonts w:ascii="Calibri Light" w:hAnsi="Calibri Light"/>
                <w:b w:val="0"/>
              </w:rPr>
              <w:t xml:space="preserve"> </w:t>
            </w:r>
            <w:r w:rsidRPr="004072C4">
              <w:rPr>
                <w:rFonts w:ascii="Calibri Light" w:hAnsi="Calibri Light"/>
                <w:b w:val="0"/>
              </w:rPr>
              <w:t>dicha afirmación. Esto constituyó un incumplimiento del deber de motivación en relación con el</w:t>
            </w:r>
            <w:r>
              <w:rPr>
                <w:rFonts w:ascii="Calibri Light" w:hAnsi="Calibri Light"/>
                <w:b w:val="0"/>
              </w:rPr>
              <w:t xml:space="preserve"> </w:t>
            </w:r>
            <w:r w:rsidRPr="004072C4">
              <w:rPr>
                <w:rFonts w:ascii="Calibri Light" w:hAnsi="Calibri Light"/>
                <w:b w:val="0"/>
              </w:rPr>
              <w:t>principio de presunción de inocencia.</w:t>
            </w:r>
            <w:r w:rsidR="00242E6E">
              <w:rPr>
                <w:rFonts w:ascii="Calibri Light" w:hAnsi="Calibri Light"/>
                <w:b w:val="0"/>
              </w:rPr>
              <w:t xml:space="preserve"> Además, la CIDH consideró que estas deficiencias en la fundamentación de la sentencia condenatoria impactaron las posibilidades reales de impugnar la decisión y lograr un nuevo examen de la cuestión en etapas posteriores.</w:t>
            </w:r>
          </w:p>
          <w:p w14:paraId="3ECE3A3F" w14:textId="77777777" w:rsidR="004072C4" w:rsidRDefault="004072C4" w:rsidP="004072C4">
            <w:pPr>
              <w:jc w:val="both"/>
              <w:rPr>
                <w:rFonts w:ascii="Calibri Light" w:hAnsi="Calibri Light"/>
                <w:b w:val="0"/>
              </w:rPr>
            </w:pPr>
          </w:p>
          <w:p w14:paraId="28C631FA" w14:textId="66F0DFF7" w:rsidR="004072C4" w:rsidRDefault="004072C4" w:rsidP="00B1597A">
            <w:pPr>
              <w:jc w:val="both"/>
              <w:rPr>
                <w:rFonts w:ascii="Calibri Light" w:hAnsi="Calibri Light"/>
                <w:b w:val="0"/>
              </w:rPr>
            </w:pPr>
            <w:r w:rsidRPr="00990249">
              <w:rPr>
                <w:rFonts w:ascii="Calibri Light" w:hAnsi="Calibri Light"/>
                <w:b w:val="0"/>
              </w:rPr>
              <w:t xml:space="preserve">Por </w:t>
            </w:r>
            <w:r w:rsidR="00242E6E" w:rsidRPr="00990249">
              <w:rPr>
                <w:rFonts w:ascii="Calibri Light" w:hAnsi="Calibri Light"/>
                <w:b w:val="0"/>
              </w:rPr>
              <w:t>otra parte</w:t>
            </w:r>
            <w:r w:rsidRPr="00990249">
              <w:rPr>
                <w:rFonts w:ascii="Calibri Light" w:hAnsi="Calibri Light"/>
                <w:b w:val="0"/>
              </w:rPr>
              <w:t xml:space="preserve">, </w:t>
            </w:r>
            <w:r w:rsidR="00990249" w:rsidRPr="00990249">
              <w:rPr>
                <w:rFonts w:ascii="Calibri Light" w:hAnsi="Calibri Light"/>
                <w:b w:val="0"/>
              </w:rPr>
              <w:t>la CIDH observó que en la sentencia condenatoria se hizo referencia a dos tipos de pruebas</w:t>
            </w:r>
            <w:r w:rsidR="00670AC4">
              <w:rPr>
                <w:rFonts w:ascii="Calibri Light" w:hAnsi="Calibri Light"/>
                <w:b w:val="0"/>
              </w:rPr>
              <w:t>,</w:t>
            </w:r>
            <w:r w:rsidR="00990249" w:rsidRPr="00990249">
              <w:rPr>
                <w:rFonts w:ascii="Calibri Light" w:hAnsi="Calibri Light"/>
                <w:b w:val="0"/>
              </w:rPr>
              <w:t xml:space="preserve"> en cuya práctica no se siguieron las formalidades legales: </w:t>
            </w:r>
            <w:r w:rsidR="00670AC4">
              <w:rPr>
                <w:rFonts w:ascii="Calibri Light" w:hAnsi="Calibri Light"/>
                <w:b w:val="0"/>
              </w:rPr>
              <w:t xml:space="preserve">i) </w:t>
            </w:r>
            <w:r w:rsidR="00990249" w:rsidRPr="00990249">
              <w:rPr>
                <w:rFonts w:ascii="Calibri Light" w:hAnsi="Calibri Light"/>
                <w:b w:val="0"/>
              </w:rPr>
              <w:t xml:space="preserve">la diligencia de reconocimiento de personas referida </w:t>
            </w:r>
            <w:r w:rsidR="00F574C8">
              <w:rPr>
                <w:rFonts w:ascii="Calibri Light" w:hAnsi="Calibri Light"/>
                <w:b w:val="0"/>
              </w:rPr>
              <w:t>en las declaraciones de los</w:t>
            </w:r>
            <w:r w:rsidR="00990249" w:rsidRPr="00990249">
              <w:rPr>
                <w:rFonts w:ascii="Calibri Light" w:hAnsi="Calibri Light"/>
                <w:b w:val="0"/>
              </w:rPr>
              <w:t xml:space="preserve"> miembros de la policía y </w:t>
            </w:r>
            <w:r w:rsidR="00670AC4">
              <w:rPr>
                <w:rFonts w:ascii="Calibri Light" w:hAnsi="Calibri Light"/>
                <w:b w:val="0"/>
              </w:rPr>
              <w:t xml:space="preserve">ii) </w:t>
            </w:r>
            <w:r w:rsidR="00990249" w:rsidRPr="00990249">
              <w:rPr>
                <w:rFonts w:ascii="Calibri Light" w:hAnsi="Calibri Light"/>
                <w:b w:val="0"/>
              </w:rPr>
              <w:t>la práctica de peritajes que constituyeron pruebas de cargo en contra de las presuntas víctimas.</w:t>
            </w:r>
            <w:r w:rsidR="00990249">
              <w:rPr>
                <w:rFonts w:ascii="Calibri Light" w:hAnsi="Calibri Light"/>
                <w:b w:val="0"/>
              </w:rPr>
              <w:t xml:space="preserve"> Respecto </w:t>
            </w:r>
            <w:r w:rsidR="000D680F">
              <w:rPr>
                <w:rFonts w:ascii="Calibri Light" w:hAnsi="Calibri Light"/>
                <w:b w:val="0"/>
              </w:rPr>
              <w:t>a la primera</w:t>
            </w:r>
            <w:r w:rsidR="00990249">
              <w:rPr>
                <w:rFonts w:ascii="Calibri Light" w:hAnsi="Calibri Light"/>
                <w:b w:val="0"/>
              </w:rPr>
              <w:t xml:space="preserve">, </w:t>
            </w:r>
            <w:r w:rsidR="00590203">
              <w:rPr>
                <w:rFonts w:ascii="Calibri Light" w:hAnsi="Calibri Light"/>
                <w:b w:val="0"/>
              </w:rPr>
              <w:t xml:space="preserve">la CIDH </w:t>
            </w:r>
            <w:r w:rsidR="00990249">
              <w:rPr>
                <w:rFonts w:ascii="Calibri Light" w:hAnsi="Calibri Light"/>
                <w:b w:val="0"/>
              </w:rPr>
              <w:t xml:space="preserve">señaló que el Tribunal de Sentencia </w:t>
            </w:r>
            <w:r w:rsidR="00990249" w:rsidRPr="007B3815">
              <w:rPr>
                <w:rFonts w:ascii="Calibri Light" w:hAnsi="Calibri Light"/>
                <w:b w:val="0"/>
              </w:rPr>
              <w:t xml:space="preserve">no individualizó las formalidades legales incumplidas en dicha diligencia y </w:t>
            </w:r>
            <w:r w:rsidR="00590203" w:rsidRPr="007B3815">
              <w:rPr>
                <w:rFonts w:ascii="Calibri Light" w:hAnsi="Calibri Light"/>
                <w:b w:val="0"/>
              </w:rPr>
              <w:t>cuyo</w:t>
            </w:r>
            <w:r w:rsidR="00990249" w:rsidRPr="007B3815">
              <w:rPr>
                <w:rFonts w:ascii="Calibri Light" w:hAnsi="Calibri Light"/>
                <w:b w:val="0"/>
              </w:rPr>
              <w:t xml:space="preserve"> contenido fue determinante para considerar a las presuntas víctimas como autores de los delitos imputados</w:t>
            </w:r>
            <w:r w:rsidR="000942BA" w:rsidRPr="007B3815">
              <w:rPr>
                <w:rFonts w:ascii="Calibri Light" w:hAnsi="Calibri Light"/>
                <w:b w:val="0"/>
              </w:rPr>
              <w:t>, ya que debían existir registros de todo el procedimiento</w:t>
            </w:r>
            <w:r w:rsidR="00990249" w:rsidRPr="007B3815">
              <w:rPr>
                <w:rFonts w:ascii="Calibri Light" w:hAnsi="Calibri Light"/>
                <w:b w:val="0"/>
              </w:rPr>
              <w:t>.</w:t>
            </w:r>
            <w:r w:rsidR="00990249">
              <w:rPr>
                <w:rFonts w:ascii="Calibri Light" w:hAnsi="Calibri Light"/>
                <w:b w:val="0"/>
              </w:rPr>
              <w:t xml:space="preserve"> En cuanto a los peritajes, indicó que </w:t>
            </w:r>
            <w:r w:rsidR="00CA37A7">
              <w:rPr>
                <w:rFonts w:ascii="Calibri Light" w:hAnsi="Calibri Light"/>
                <w:b w:val="0"/>
              </w:rPr>
              <w:t>dicho</w:t>
            </w:r>
            <w:r w:rsidR="00990249">
              <w:rPr>
                <w:rFonts w:ascii="Calibri Light" w:hAnsi="Calibri Light"/>
                <w:b w:val="0"/>
              </w:rPr>
              <w:t xml:space="preserve"> Tribunal tampoco explicó cuáles fueron los requisitos exigidos por la ley</w:t>
            </w:r>
            <w:r w:rsidR="000942BA">
              <w:rPr>
                <w:rFonts w:ascii="Calibri Light" w:hAnsi="Calibri Light"/>
                <w:b w:val="0"/>
              </w:rPr>
              <w:t xml:space="preserve"> habían </w:t>
            </w:r>
            <w:r w:rsidR="00590203">
              <w:rPr>
                <w:rFonts w:ascii="Calibri Light" w:hAnsi="Calibri Light"/>
                <w:b w:val="0"/>
              </w:rPr>
              <w:t xml:space="preserve">sido </w:t>
            </w:r>
            <w:r w:rsidR="000942BA">
              <w:rPr>
                <w:rFonts w:ascii="Calibri Light" w:hAnsi="Calibri Light"/>
                <w:b w:val="0"/>
              </w:rPr>
              <w:t>incumplido</w:t>
            </w:r>
            <w:r w:rsidR="00590203">
              <w:rPr>
                <w:rFonts w:ascii="Calibri Light" w:hAnsi="Calibri Light"/>
                <w:b w:val="0"/>
              </w:rPr>
              <w:t>s</w:t>
            </w:r>
            <w:r w:rsidR="00990249">
              <w:rPr>
                <w:rFonts w:ascii="Calibri Light" w:hAnsi="Calibri Light"/>
                <w:b w:val="0"/>
              </w:rPr>
              <w:t xml:space="preserve">, lo cual era necesario para determinar </w:t>
            </w:r>
            <w:r w:rsidR="00990249" w:rsidRPr="00990249">
              <w:rPr>
                <w:rFonts w:ascii="Calibri Light" w:hAnsi="Calibri Light"/>
                <w:b w:val="0"/>
              </w:rPr>
              <w:t>si la declaración de los peritos en el juicio subsanó el perjuicio que el incumplimiento de</w:t>
            </w:r>
            <w:r w:rsidR="00990249">
              <w:rPr>
                <w:rFonts w:ascii="Calibri Light" w:hAnsi="Calibri Light"/>
                <w:b w:val="0"/>
              </w:rPr>
              <w:t xml:space="preserve"> tales requisitos</w:t>
            </w:r>
            <w:r w:rsidR="00990249" w:rsidRPr="00990249">
              <w:rPr>
                <w:rFonts w:ascii="Calibri Light" w:hAnsi="Calibri Light"/>
                <w:b w:val="0"/>
              </w:rPr>
              <w:t xml:space="preserve"> pudo causar en el proceso y en el derecho de defensa</w:t>
            </w:r>
            <w:r w:rsidR="00990249">
              <w:rPr>
                <w:rFonts w:ascii="Calibri Light" w:hAnsi="Calibri Light"/>
                <w:b w:val="0"/>
              </w:rPr>
              <w:t>.</w:t>
            </w:r>
            <w:r w:rsidR="00670AC4">
              <w:rPr>
                <w:rFonts w:ascii="Calibri Light" w:hAnsi="Calibri Light"/>
                <w:b w:val="0"/>
              </w:rPr>
              <w:t xml:space="preserve"> </w:t>
            </w:r>
            <w:r>
              <w:rPr>
                <w:rFonts w:ascii="Calibri Light" w:hAnsi="Calibri Light"/>
                <w:b w:val="0"/>
              </w:rPr>
              <w:t>Por todo ello, la CIDH concluyó que el Estado de Guatemala había violado los artículos 8.1, 8.2 y 8.2.c) de la CADH, en relación con el artículo 1.1, en perjuicio de l</w:t>
            </w:r>
            <w:r w:rsidR="00811F4F">
              <w:rPr>
                <w:rFonts w:ascii="Calibri Light" w:hAnsi="Calibri Light"/>
                <w:b w:val="0"/>
              </w:rPr>
              <w:t>o</w:t>
            </w:r>
            <w:r>
              <w:rPr>
                <w:rFonts w:ascii="Calibri Light" w:hAnsi="Calibri Light"/>
                <w:b w:val="0"/>
              </w:rPr>
              <w:t xml:space="preserve">s </w:t>
            </w:r>
            <w:r w:rsidR="00811F4F">
              <w:rPr>
                <w:rFonts w:ascii="Calibri Light" w:hAnsi="Calibri Light"/>
                <w:b w:val="0"/>
              </w:rPr>
              <w:t>señores Rodríguez, López y Archila</w:t>
            </w:r>
            <w:r>
              <w:rPr>
                <w:rFonts w:ascii="Calibri Light" w:hAnsi="Calibri Light"/>
                <w:b w:val="0"/>
              </w:rPr>
              <w:t>.</w:t>
            </w:r>
          </w:p>
          <w:p w14:paraId="2B7D23C0" w14:textId="77777777" w:rsidR="004072C4" w:rsidRPr="00B1597A" w:rsidRDefault="004072C4" w:rsidP="00B1597A">
            <w:pPr>
              <w:jc w:val="both"/>
              <w:rPr>
                <w:rFonts w:ascii="Calibri Light" w:hAnsi="Calibri Light"/>
                <w:b w:val="0"/>
              </w:rPr>
            </w:pPr>
          </w:p>
          <w:p w14:paraId="505CDD42" w14:textId="222786F0" w:rsidR="0094045D" w:rsidRPr="00590203" w:rsidRDefault="0094045D" w:rsidP="00F70D4D">
            <w:pPr>
              <w:pStyle w:val="ListParagraph"/>
              <w:numPr>
                <w:ilvl w:val="0"/>
                <w:numId w:val="13"/>
              </w:numPr>
              <w:jc w:val="both"/>
              <w:rPr>
                <w:rFonts w:ascii="Calibri Light" w:hAnsi="Calibri Light"/>
              </w:rPr>
            </w:pPr>
            <w:r w:rsidRPr="00590203">
              <w:rPr>
                <w:rFonts w:ascii="Calibri Light" w:hAnsi="Calibri Light"/>
              </w:rPr>
              <w:t>Sobre el derecho a recurrir el fallo y a la protección judicial</w:t>
            </w:r>
          </w:p>
          <w:p w14:paraId="39C58C0F" w14:textId="088D044F" w:rsidR="00D95C84" w:rsidRDefault="00D95C84" w:rsidP="00D95C84">
            <w:pPr>
              <w:jc w:val="both"/>
              <w:rPr>
                <w:rFonts w:ascii="Calibri Light" w:hAnsi="Calibri Light" w:cs="Calibri Light"/>
                <w:b w:val="0"/>
              </w:rPr>
            </w:pPr>
          </w:p>
          <w:p w14:paraId="76815658" w14:textId="06952999" w:rsidR="00E00A30" w:rsidRDefault="00F574C8" w:rsidP="00E00A30">
            <w:pPr>
              <w:jc w:val="both"/>
              <w:rPr>
                <w:rFonts w:ascii="Calibri Light" w:hAnsi="Calibri Light" w:cs="Calibri Light"/>
                <w:b w:val="0"/>
              </w:rPr>
            </w:pPr>
            <w:r>
              <w:rPr>
                <w:rFonts w:ascii="Calibri Light" w:hAnsi="Calibri Light" w:cs="Calibri Light"/>
                <w:b w:val="0"/>
              </w:rPr>
              <w:t>La CIDH ha indicado que o</w:t>
            </w:r>
            <w:r w:rsidR="00D13126" w:rsidRPr="00D13126">
              <w:rPr>
                <w:rFonts w:ascii="Calibri Light" w:hAnsi="Calibri Light" w:cs="Calibri Light"/>
                <w:b w:val="0"/>
              </w:rPr>
              <w:t xml:space="preserve">tro aspecto fundamental del derecho de defensa es la posibilidad de </w:t>
            </w:r>
            <w:r w:rsidR="00D13126" w:rsidRPr="00D13126">
              <w:rPr>
                <w:rFonts w:ascii="Calibri Light" w:hAnsi="Calibri Light" w:cs="Calibri Light"/>
                <w:b w:val="0"/>
              </w:rPr>
              <w:lastRenderedPageBreak/>
              <w:t>recurrir el fallo</w:t>
            </w:r>
            <w:r w:rsidR="00D13126">
              <w:rPr>
                <w:rFonts w:ascii="Calibri Light" w:hAnsi="Calibri Light" w:cs="Calibri Light"/>
                <w:b w:val="0"/>
              </w:rPr>
              <w:t xml:space="preserve"> </w:t>
            </w:r>
            <w:r w:rsidR="00D13126" w:rsidRPr="00D13126">
              <w:rPr>
                <w:rFonts w:ascii="Calibri Light" w:hAnsi="Calibri Light" w:cs="Calibri Light"/>
                <w:b w:val="0"/>
              </w:rPr>
              <w:t>condenatorio</w:t>
            </w:r>
            <w:r>
              <w:rPr>
                <w:rFonts w:ascii="Calibri Light" w:hAnsi="Calibri Light" w:cs="Calibri Light"/>
                <w:b w:val="0"/>
              </w:rPr>
              <w:t xml:space="preserve"> ante juez o tribunal superior. </w:t>
            </w:r>
            <w:r w:rsidR="00D13126" w:rsidRPr="00D13126">
              <w:rPr>
                <w:rFonts w:ascii="Calibri Light" w:hAnsi="Calibri Light" w:cs="Calibri Light"/>
                <w:b w:val="0"/>
              </w:rPr>
              <w:t>A fin</w:t>
            </w:r>
            <w:r w:rsidR="00D13126">
              <w:rPr>
                <w:rFonts w:ascii="Calibri Light" w:hAnsi="Calibri Light" w:cs="Calibri Light"/>
                <w:b w:val="0"/>
              </w:rPr>
              <w:t xml:space="preserve"> </w:t>
            </w:r>
            <w:r w:rsidR="00D13126" w:rsidRPr="00D13126">
              <w:rPr>
                <w:rFonts w:ascii="Calibri Light" w:hAnsi="Calibri Light" w:cs="Calibri Light"/>
                <w:b w:val="0"/>
              </w:rPr>
              <w:t xml:space="preserve">de que el recurso previsto en la legislación interna cumpla con esta garantía, </w:t>
            </w:r>
            <w:r>
              <w:rPr>
                <w:rFonts w:ascii="Calibri Light" w:hAnsi="Calibri Light" w:cs="Calibri Light"/>
                <w:b w:val="0"/>
              </w:rPr>
              <w:t>este debe constituir</w:t>
            </w:r>
            <w:r w:rsidR="00D13126" w:rsidRPr="00D13126">
              <w:rPr>
                <w:rFonts w:ascii="Calibri Light" w:hAnsi="Calibri Light" w:cs="Calibri Light"/>
                <w:b w:val="0"/>
              </w:rPr>
              <w:t xml:space="preserve"> un medio adecuado para procurar la corrección de una condena errónea.</w:t>
            </w:r>
            <w:r w:rsidR="00D13126">
              <w:rPr>
                <w:rFonts w:ascii="Calibri Light" w:hAnsi="Calibri Light" w:cs="Calibri Light"/>
                <w:b w:val="0"/>
              </w:rPr>
              <w:t xml:space="preserve"> </w:t>
            </w:r>
            <w:r w:rsidR="00D13126" w:rsidRPr="00D13126">
              <w:rPr>
                <w:rFonts w:ascii="Calibri Light" w:hAnsi="Calibri Light" w:cs="Calibri Light"/>
                <w:b w:val="0"/>
              </w:rPr>
              <w:t xml:space="preserve">Ello requiere que </w:t>
            </w:r>
            <w:r w:rsidR="00962CF9">
              <w:rPr>
                <w:rFonts w:ascii="Calibri Light" w:hAnsi="Calibri Light" w:cs="Calibri Light"/>
                <w:b w:val="0"/>
              </w:rPr>
              <w:t xml:space="preserve">se </w:t>
            </w:r>
            <w:r w:rsidR="00D13126" w:rsidRPr="00D13126">
              <w:rPr>
                <w:rFonts w:ascii="Calibri Light" w:hAnsi="Calibri Light" w:cs="Calibri Light"/>
                <w:b w:val="0"/>
              </w:rPr>
              <w:t>pueda analizar las cuestiones fácticas, probatorias y jurídicas en que se basa</w:t>
            </w:r>
            <w:r w:rsidR="00D13126">
              <w:rPr>
                <w:rFonts w:ascii="Calibri Light" w:hAnsi="Calibri Light" w:cs="Calibri Light"/>
                <w:b w:val="0"/>
              </w:rPr>
              <w:t xml:space="preserve"> </w:t>
            </w:r>
            <w:r w:rsidR="00D13126" w:rsidRPr="00D13126">
              <w:rPr>
                <w:rFonts w:ascii="Calibri Light" w:hAnsi="Calibri Light" w:cs="Calibri Light"/>
                <w:b w:val="0"/>
              </w:rPr>
              <w:t>la sentencia impugnada, puesto que en la actividad jurisdiccional existe una interdependencia</w:t>
            </w:r>
            <w:r w:rsidR="00D13126">
              <w:rPr>
                <w:rFonts w:ascii="Calibri Light" w:hAnsi="Calibri Light" w:cs="Calibri Light"/>
                <w:b w:val="0"/>
              </w:rPr>
              <w:t xml:space="preserve"> </w:t>
            </w:r>
            <w:r w:rsidR="00D13126" w:rsidRPr="00D13126">
              <w:rPr>
                <w:rFonts w:ascii="Calibri Light" w:hAnsi="Calibri Light" w:cs="Calibri Light"/>
                <w:b w:val="0"/>
              </w:rPr>
              <w:t>entre las determinaciones fácticas y la aplicación del derecho de forma tal que una errónea</w:t>
            </w:r>
            <w:r w:rsidR="00D13126">
              <w:rPr>
                <w:rFonts w:ascii="Calibri Light" w:hAnsi="Calibri Light" w:cs="Calibri Light"/>
                <w:b w:val="0"/>
              </w:rPr>
              <w:t xml:space="preserve"> </w:t>
            </w:r>
            <w:r w:rsidR="00D13126" w:rsidRPr="00D13126">
              <w:rPr>
                <w:rFonts w:ascii="Calibri Light" w:hAnsi="Calibri Light" w:cs="Calibri Light"/>
                <w:b w:val="0"/>
              </w:rPr>
              <w:t>determinación de los hechos implica una errada o indebida aplicación del derecho.</w:t>
            </w:r>
            <w:r w:rsidR="00CB3E90">
              <w:rPr>
                <w:rFonts w:ascii="Calibri Light" w:hAnsi="Calibri Light" w:cs="Calibri Light"/>
                <w:b w:val="0"/>
              </w:rPr>
              <w:t xml:space="preserve"> </w:t>
            </w:r>
            <w:r w:rsidR="00962CF9">
              <w:rPr>
                <w:rFonts w:ascii="Calibri Light" w:hAnsi="Calibri Light" w:cs="Calibri Light"/>
                <w:b w:val="0"/>
              </w:rPr>
              <w:t xml:space="preserve">Adicionalmente, la CIDH ha señalado que </w:t>
            </w:r>
            <w:r w:rsidR="00E00A30" w:rsidRPr="00E00A30">
              <w:rPr>
                <w:rFonts w:ascii="Calibri Light" w:hAnsi="Calibri Light" w:cs="Calibri Light"/>
                <w:b w:val="0"/>
              </w:rPr>
              <w:t>el derecho a recurrir no implica necesariamente un</w:t>
            </w:r>
            <w:r w:rsidR="00E00A30">
              <w:rPr>
                <w:rFonts w:ascii="Calibri Light" w:hAnsi="Calibri Light" w:cs="Calibri Light"/>
                <w:b w:val="0"/>
              </w:rPr>
              <w:t xml:space="preserve"> </w:t>
            </w:r>
            <w:r w:rsidR="00962CF9">
              <w:rPr>
                <w:rFonts w:ascii="Calibri Light" w:hAnsi="Calibri Light" w:cs="Calibri Light"/>
                <w:b w:val="0"/>
              </w:rPr>
              <w:t xml:space="preserve">nuevo juicio o </w:t>
            </w:r>
            <w:r w:rsidR="00E00A30" w:rsidRPr="00E00A30">
              <w:rPr>
                <w:rFonts w:ascii="Calibri Light" w:hAnsi="Calibri Light" w:cs="Calibri Light"/>
                <w:b w:val="0"/>
              </w:rPr>
              <w:t>audiencia</w:t>
            </w:r>
            <w:r w:rsidR="00962CF9">
              <w:rPr>
                <w:rFonts w:ascii="Calibri Light" w:hAnsi="Calibri Light" w:cs="Calibri Light"/>
                <w:b w:val="0"/>
              </w:rPr>
              <w:t xml:space="preserve">, sino que </w:t>
            </w:r>
            <w:r w:rsidR="000942BA">
              <w:rPr>
                <w:rFonts w:ascii="Calibri Light" w:hAnsi="Calibri Light" w:cs="Calibri Light"/>
                <w:b w:val="0"/>
              </w:rPr>
              <w:t>mediante una norma</w:t>
            </w:r>
            <w:r w:rsidR="00C15A6E">
              <w:rPr>
                <w:rFonts w:ascii="Calibri Light" w:hAnsi="Calibri Light" w:cs="Calibri Light"/>
                <w:b w:val="0"/>
              </w:rPr>
              <w:t>, exista</w:t>
            </w:r>
            <w:r w:rsidR="00962CF9">
              <w:rPr>
                <w:rFonts w:ascii="Calibri Light" w:hAnsi="Calibri Light" w:cs="Calibri Light"/>
                <w:b w:val="0"/>
              </w:rPr>
              <w:t xml:space="preserve"> </w:t>
            </w:r>
            <w:r w:rsidR="00E00A30" w:rsidRPr="00E00A30">
              <w:rPr>
                <w:rFonts w:ascii="Calibri Light" w:hAnsi="Calibri Light" w:cs="Calibri Light"/>
                <w:b w:val="0"/>
              </w:rPr>
              <w:t>la posibilidad de señalar y obtener respuesta sobre</w:t>
            </w:r>
            <w:r w:rsidR="00E00A30">
              <w:rPr>
                <w:rFonts w:ascii="Calibri Light" w:hAnsi="Calibri Light" w:cs="Calibri Light"/>
                <w:b w:val="0"/>
              </w:rPr>
              <w:t xml:space="preserve"> </w:t>
            </w:r>
            <w:r w:rsidR="00E00A30" w:rsidRPr="00E00A30">
              <w:rPr>
                <w:rFonts w:ascii="Calibri Light" w:hAnsi="Calibri Light" w:cs="Calibri Light"/>
                <w:b w:val="0"/>
              </w:rPr>
              <w:t xml:space="preserve">errores que hubiera podido cometer el juez o tribunal, sin excluir </w:t>
            </w:r>
            <w:r w:rsidR="00E00A30" w:rsidRPr="00C15A6E">
              <w:rPr>
                <w:rFonts w:ascii="Calibri Light" w:hAnsi="Calibri Light" w:cs="Calibri Light"/>
                <w:b w:val="0"/>
                <w:i/>
              </w:rPr>
              <w:t>a priori</w:t>
            </w:r>
            <w:r w:rsidR="00E00A30" w:rsidRPr="00E00A30">
              <w:rPr>
                <w:rFonts w:ascii="Calibri Light" w:hAnsi="Calibri Light" w:cs="Calibri Light"/>
                <w:b w:val="0"/>
              </w:rPr>
              <w:t xml:space="preserve"> ciertas categorías como los hechos</w:t>
            </w:r>
            <w:r w:rsidR="00C15A6E">
              <w:rPr>
                <w:rFonts w:ascii="Calibri Light" w:hAnsi="Calibri Light" w:cs="Calibri Light"/>
                <w:b w:val="0"/>
              </w:rPr>
              <w:t>,</w:t>
            </w:r>
            <w:r w:rsidR="00E00A30" w:rsidRPr="00E00A30">
              <w:rPr>
                <w:rFonts w:ascii="Calibri Light" w:hAnsi="Calibri Light" w:cs="Calibri Light"/>
                <w:b w:val="0"/>
              </w:rPr>
              <w:t xml:space="preserve"> y</w:t>
            </w:r>
            <w:r w:rsidR="00E00A30">
              <w:rPr>
                <w:rFonts w:ascii="Calibri Light" w:hAnsi="Calibri Light" w:cs="Calibri Light"/>
                <w:b w:val="0"/>
              </w:rPr>
              <w:t xml:space="preserve"> </w:t>
            </w:r>
            <w:r w:rsidR="00E00A30" w:rsidRPr="00E00A30">
              <w:rPr>
                <w:rFonts w:ascii="Calibri Light" w:hAnsi="Calibri Light" w:cs="Calibri Light"/>
                <w:b w:val="0"/>
              </w:rPr>
              <w:t>la valoración y recepción de la prueba</w:t>
            </w:r>
            <w:r w:rsidR="00E00A30">
              <w:rPr>
                <w:rFonts w:ascii="Calibri Light" w:hAnsi="Calibri Light" w:cs="Calibri Light"/>
                <w:b w:val="0"/>
              </w:rPr>
              <w:t>.</w:t>
            </w:r>
            <w:r w:rsidR="00962CF9">
              <w:rPr>
                <w:rFonts w:ascii="Calibri Light" w:hAnsi="Calibri Light" w:cs="Calibri Light"/>
                <w:b w:val="0"/>
              </w:rPr>
              <w:t xml:space="preserve"> El excluir la verificación de estas categorías no satisface entonces el derecho a recurrir el fallo.</w:t>
            </w:r>
          </w:p>
          <w:p w14:paraId="310984BD" w14:textId="1383B9C2" w:rsidR="00E00A30" w:rsidRDefault="00E00A30" w:rsidP="00E00A30">
            <w:pPr>
              <w:jc w:val="both"/>
              <w:rPr>
                <w:rFonts w:ascii="Calibri Light" w:hAnsi="Calibri Light" w:cs="Calibri Light"/>
                <w:b w:val="0"/>
              </w:rPr>
            </w:pPr>
          </w:p>
          <w:p w14:paraId="003D7ABC" w14:textId="77777777" w:rsidR="007B3815" w:rsidRDefault="00E00A30" w:rsidP="00D95C84">
            <w:pPr>
              <w:jc w:val="both"/>
              <w:rPr>
                <w:rFonts w:ascii="Calibri Light" w:hAnsi="Calibri Light" w:cs="Calibri Light"/>
                <w:b w:val="0"/>
              </w:rPr>
            </w:pPr>
            <w:r w:rsidRPr="00E00A30">
              <w:rPr>
                <w:rFonts w:ascii="Calibri Light" w:hAnsi="Calibri Light" w:cs="Calibri Light"/>
                <w:b w:val="0"/>
              </w:rPr>
              <w:t xml:space="preserve">En el presente caso, </w:t>
            </w:r>
            <w:r w:rsidR="00F574C8">
              <w:rPr>
                <w:rFonts w:ascii="Calibri Light" w:hAnsi="Calibri Light" w:cs="Calibri Light"/>
                <w:b w:val="0"/>
              </w:rPr>
              <w:t xml:space="preserve">la CIDH </w:t>
            </w:r>
            <w:r w:rsidR="00E97194">
              <w:rPr>
                <w:rFonts w:ascii="Calibri Light" w:hAnsi="Calibri Light" w:cs="Calibri Light"/>
                <w:b w:val="0"/>
              </w:rPr>
              <w:t>notó</w:t>
            </w:r>
            <w:r w:rsidR="00F574C8">
              <w:rPr>
                <w:rFonts w:ascii="Calibri Light" w:hAnsi="Calibri Light" w:cs="Calibri Light"/>
                <w:b w:val="0"/>
              </w:rPr>
              <w:t xml:space="preserve"> que</w:t>
            </w:r>
            <w:r w:rsidR="00E97194">
              <w:rPr>
                <w:rFonts w:ascii="Calibri Light" w:hAnsi="Calibri Light" w:cs="Calibri Light"/>
                <w:b w:val="0"/>
              </w:rPr>
              <w:t xml:space="preserve"> </w:t>
            </w:r>
            <w:r w:rsidRPr="00E00A30">
              <w:rPr>
                <w:rFonts w:ascii="Calibri Light" w:hAnsi="Calibri Light" w:cs="Calibri Light"/>
                <w:b w:val="0"/>
              </w:rPr>
              <w:t>la Sala Décima de la Corte de</w:t>
            </w:r>
            <w:r>
              <w:rPr>
                <w:rFonts w:ascii="Calibri Light" w:hAnsi="Calibri Light" w:cs="Calibri Light"/>
                <w:b w:val="0"/>
              </w:rPr>
              <w:t xml:space="preserve"> </w:t>
            </w:r>
            <w:r w:rsidRPr="00E00A30">
              <w:rPr>
                <w:rFonts w:ascii="Calibri Light" w:hAnsi="Calibri Light" w:cs="Calibri Light"/>
                <w:b w:val="0"/>
              </w:rPr>
              <w:t>Apelaciones Penal, Narcoactivid</w:t>
            </w:r>
            <w:r w:rsidR="00F574C8">
              <w:rPr>
                <w:rFonts w:ascii="Calibri Light" w:hAnsi="Calibri Light" w:cs="Calibri Light"/>
                <w:b w:val="0"/>
              </w:rPr>
              <w:t>ad y Delitos contra el Ambiente</w:t>
            </w:r>
            <w:r w:rsidRPr="00E00A30">
              <w:rPr>
                <w:rFonts w:ascii="Calibri Light" w:hAnsi="Calibri Light" w:cs="Calibri Light"/>
                <w:b w:val="0"/>
              </w:rPr>
              <w:t xml:space="preserve"> </w:t>
            </w:r>
            <w:r w:rsidR="00670AC4">
              <w:rPr>
                <w:rFonts w:ascii="Calibri Light" w:hAnsi="Calibri Light" w:cs="Calibri Light"/>
                <w:b w:val="0"/>
              </w:rPr>
              <w:t>indicó</w:t>
            </w:r>
            <w:r w:rsidRPr="00E00A30">
              <w:rPr>
                <w:rFonts w:ascii="Calibri Light" w:hAnsi="Calibri Light" w:cs="Calibri Light"/>
                <w:b w:val="0"/>
              </w:rPr>
              <w:t xml:space="preserve"> que </w:t>
            </w:r>
            <w:r w:rsidR="00E97194">
              <w:rPr>
                <w:rFonts w:ascii="Calibri Light" w:hAnsi="Calibri Light" w:cs="Calibri Light"/>
                <w:b w:val="0"/>
              </w:rPr>
              <w:t>el</w:t>
            </w:r>
            <w:r w:rsidRPr="00E00A30">
              <w:rPr>
                <w:rFonts w:ascii="Calibri Light" w:hAnsi="Calibri Light" w:cs="Calibri Light"/>
                <w:b w:val="0"/>
              </w:rPr>
              <w:t xml:space="preserve"> recurso </w:t>
            </w:r>
            <w:r w:rsidR="00E97194">
              <w:rPr>
                <w:rFonts w:ascii="Calibri Light" w:hAnsi="Calibri Light" w:cs="Calibri Light"/>
                <w:b w:val="0"/>
              </w:rPr>
              <w:t xml:space="preserve">de apelación especial </w:t>
            </w:r>
            <w:r w:rsidRPr="00E00A30">
              <w:rPr>
                <w:rFonts w:ascii="Calibri Light" w:hAnsi="Calibri Light" w:cs="Calibri Light"/>
                <w:b w:val="0"/>
              </w:rPr>
              <w:t>tiene una naturaleza</w:t>
            </w:r>
            <w:r>
              <w:rPr>
                <w:rFonts w:ascii="Calibri Light" w:hAnsi="Calibri Light" w:cs="Calibri Light"/>
                <w:b w:val="0"/>
              </w:rPr>
              <w:t xml:space="preserve"> </w:t>
            </w:r>
            <w:r w:rsidRPr="00E00A30">
              <w:rPr>
                <w:rFonts w:ascii="Calibri Light" w:hAnsi="Calibri Light" w:cs="Calibri Light"/>
                <w:b w:val="0"/>
              </w:rPr>
              <w:t>exclusivamente revisora del campo jurídico</w:t>
            </w:r>
            <w:r w:rsidR="00E97194">
              <w:rPr>
                <w:rFonts w:ascii="Calibri Light" w:hAnsi="Calibri Light" w:cs="Calibri Light"/>
                <w:b w:val="0"/>
              </w:rPr>
              <w:t xml:space="preserve">, </w:t>
            </w:r>
            <w:r w:rsidR="00670AC4">
              <w:rPr>
                <w:rFonts w:ascii="Calibri Light" w:hAnsi="Calibri Light" w:cs="Calibri Light"/>
                <w:b w:val="0"/>
              </w:rPr>
              <w:t xml:space="preserve">y </w:t>
            </w:r>
            <w:r w:rsidR="00E97194">
              <w:rPr>
                <w:rFonts w:ascii="Calibri Light" w:hAnsi="Calibri Light" w:cs="Calibri Light"/>
                <w:b w:val="0"/>
              </w:rPr>
              <w:t xml:space="preserve">no </w:t>
            </w:r>
            <w:r w:rsidR="00670AC4">
              <w:rPr>
                <w:rFonts w:ascii="Calibri Light" w:hAnsi="Calibri Light" w:cs="Calibri Light"/>
                <w:b w:val="0"/>
              </w:rPr>
              <w:t xml:space="preserve">hace </w:t>
            </w:r>
            <w:r w:rsidR="00E97194">
              <w:rPr>
                <w:rFonts w:ascii="Calibri Light" w:hAnsi="Calibri Light" w:cs="Calibri Light"/>
                <w:b w:val="0"/>
              </w:rPr>
              <w:t>susceptible la revisión de</w:t>
            </w:r>
            <w:r w:rsidRPr="00E00A30">
              <w:rPr>
                <w:rFonts w:ascii="Calibri Light" w:hAnsi="Calibri Light" w:cs="Calibri Light"/>
                <w:b w:val="0"/>
              </w:rPr>
              <w:t xml:space="preserve"> lo relativo a la fijación de la pena pues se trata de una facultad discrecional de los jueces</w:t>
            </w:r>
            <w:r w:rsidR="00E97194">
              <w:rPr>
                <w:rFonts w:ascii="Calibri Light" w:hAnsi="Calibri Light" w:cs="Calibri Light"/>
                <w:b w:val="0"/>
              </w:rPr>
              <w:t>. E</w:t>
            </w:r>
            <w:r w:rsidRPr="00E00A30">
              <w:rPr>
                <w:rFonts w:ascii="Calibri Light" w:hAnsi="Calibri Light" w:cs="Calibri Light"/>
                <w:b w:val="0"/>
              </w:rPr>
              <w:t>n el marco del recurso de casación</w:t>
            </w:r>
            <w:r w:rsidR="00E97194">
              <w:rPr>
                <w:rFonts w:ascii="Calibri Light" w:hAnsi="Calibri Light" w:cs="Calibri Light"/>
                <w:b w:val="0"/>
              </w:rPr>
              <w:t>,</w:t>
            </w:r>
            <w:r w:rsidRPr="00E00A30">
              <w:rPr>
                <w:rFonts w:ascii="Calibri Light" w:hAnsi="Calibri Light" w:cs="Calibri Light"/>
                <w:b w:val="0"/>
              </w:rPr>
              <w:t xml:space="preserve"> tampoco se realizó una</w:t>
            </w:r>
            <w:r>
              <w:rPr>
                <w:rFonts w:ascii="Calibri Light" w:hAnsi="Calibri Light" w:cs="Calibri Light"/>
                <w:b w:val="0"/>
              </w:rPr>
              <w:t xml:space="preserve"> </w:t>
            </w:r>
            <w:r w:rsidRPr="00E00A30">
              <w:rPr>
                <w:rFonts w:ascii="Calibri Light" w:hAnsi="Calibri Light" w:cs="Calibri Light"/>
                <w:b w:val="0"/>
              </w:rPr>
              <w:t>revisión sobre las cuestiones fácticas acreditadas.</w:t>
            </w:r>
            <w:r w:rsidR="00962CF9">
              <w:rPr>
                <w:rFonts w:ascii="Calibri Light" w:hAnsi="Calibri Light" w:cs="Calibri Light"/>
                <w:b w:val="0"/>
              </w:rPr>
              <w:t xml:space="preserve"> Por otra </w:t>
            </w:r>
            <w:r w:rsidR="00962CF9" w:rsidRPr="00962CF9">
              <w:rPr>
                <w:rFonts w:ascii="Calibri Light" w:hAnsi="Calibri Light" w:cs="Calibri Light"/>
                <w:b w:val="0"/>
              </w:rPr>
              <w:t>parte, observó que la manera en que fueron decididos los recursos resulta de la propia forma en que están regulados, con motivos limitados a errores de derecho o de procedimiento, pero excluyendo del análisis, como regla general, la revisión de los hechos y la valoración de la prueba.</w:t>
            </w:r>
            <w:r w:rsidR="00962CF9">
              <w:rPr>
                <w:rFonts w:ascii="Calibri Light" w:hAnsi="Calibri Light" w:cs="Calibri Light"/>
                <w:b w:val="0"/>
              </w:rPr>
              <w:t xml:space="preserve"> </w:t>
            </w:r>
            <w:r w:rsidRPr="00E00A30">
              <w:rPr>
                <w:rFonts w:ascii="Calibri Light" w:hAnsi="Calibri Light" w:cs="Calibri Light"/>
                <w:b w:val="0"/>
              </w:rPr>
              <w:t xml:space="preserve">Finalmente, la </w:t>
            </w:r>
            <w:r w:rsidR="00F574C8">
              <w:rPr>
                <w:rFonts w:ascii="Calibri Light" w:hAnsi="Calibri Light" w:cs="Calibri Light"/>
                <w:b w:val="0"/>
              </w:rPr>
              <w:t>CIDH</w:t>
            </w:r>
            <w:r w:rsidRPr="00E00A30">
              <w:rPr>
                <w:rFonts w:ascii="Calibri Light" w:hAnsi="Calibri Light" w:cs="Calibri Light"/>
                <w:b w:val="0"/>
              </w:rPr>
              <w:t xml:space="preserve"> consider</w:t>
            </w:r>
            <w:r w:rsidR="00F574C8">
              <w:rPr>
                <w:rFonts w:ascii="Calibri Light" w:hAnsi="Calibri Light" w:cs="Calibri Light"/>
                <w:b w:val="0"/>
              </w:rPr>
              <w:t>ó</w:t>
            </w:r>
            <w:r w:rsidRPr="00E00A30">
              <w:rPr>
                <w:rFonts w:ascii="Calibri Light" w:hAnsi="Calibri Light" w:cs="Calibri Light"/>
                <w:b w:val="0"/>
              </w:rPr>
              <w:t xml:space="preserve"> que ninguno de los recursos interpuestos por las</w:t>
            </w:r>
            <w:r>
              <w:rPr>
                <w:rFonts w:ascii="Calibri Light" w:hAnsi="Calibri Light" w:cs="Calibri Light"/>
                <w:b w:val="0"/>
              </w:rPr>
              <w:t xml:space="preserve"> </w:t>
            </w:r>
            <w:r w:rsidRPr="00E00A30">
              <w:rPr>
                <w:rFonts w:ascii="Calibri Light" w:hAnsi="Calibri Light" w:cs="Calibri Light"/>
                <w:b w:val="0"/>
              </w:rPr>
              <w:t>presuntas víctimas, incluyendo el de amparo y la primera revisión, fueron efectivos, pues a través de los</w:t>
            </w:r>
            <w:r>
              <w:rPr>
                <w:rFonts w:ascii="Calibri Light" w:hAnsi="Calibri Light" w:cs="Calibri Light"/>
                <w:b w:val="0"/>
              </w:rPr>
              <w:t xml:space="preserve"> </w:t>
            </w:r>
            <w:r w:rsidRPr="00E00A30">
              <w:rPr>
                <w:rFonts w:ascii="Calibri Light" w:hAnsi="Calibri Light" w:cs="Calibri Light"/>
                <w:b w:val="0"/>
              </w:rPr>
              <w:t xml:space="preserve">mismos no se subsanaron las irregularidades. </w:t>
            </w:r>
            <w:r w:rsidR="00962CF9">
              <w:rPr>
                <w:rFonts w:ascii="Calibri Light" w:hAnsi="Calibri Light" w:cs="Calibri Light"/>
                <w:b w:val="0"/>
              </w:rPr>
              <w:t xml:space="preserve">Ello también </w:t>
            </w:r>
            <w:r w:rsidR="00962CF9" w:rsidRPr="00962CF9">
              <w:rPr>
                <w:rFonts w:ascii="Calibri Light" w:hAnsi="Calibri Light" w:cs="Calibri Light"/>
                <w:b w:val="0"/>
              </w:rPr>
              <w:t>ocurrió en</w:t>
            </w:r>
            <w:r w:rsidRPr="00962CF9">
              <w:rPr>
                <w:rFonts w:ascii="Calibri Light" w:hAnsi="Calibri Light" w:cs="Calibri Light"/>
                <w:b w:val="0"/>
              </w:rPr>
              <w:t xml:space="preserve"> la sentencia de la Corte Suprema de Justicia </w:t>
            </w:r>
            <w:r w:rsidR="00962CF9" w:rsidRPr="00962CF9">
              <w:rPr>
                <w:rFonts w:ascii="Calibri Light" w:hAnsi="Calibri Light" w:cs="Calibri Light"/>
                <w:b w:val="0"/>
              </w:rPr>
              <w:t>que</w:t>
            </w:r>
            <w:r w:rsidRPr="00962CF9">
              <w:rPr>
                <w:rFonts w:ascii="Calibri Light" w:hAnsi="Calibri Light" w:cs="Calibri Light"/>
                <w:b w:val="0"/>
              </w:rPr>
              <w:t xml:space="preserve"> dispuso la conmutación de la pena, en la medida en que dicho fallo se limitó a la aplicación de la pena de muerte por razones de peligrosidad, pero no incorporó pronunciamiento alguno sobre violaciones al debido proceso.</w:t>
            </w:r>
            <w:r w:rsidR="007B3815">
              <w:rPr>
                <w:rFonts w:ascii="Calibri Light" w:hAnsi="Calibri Light" w:cs="Calibri Light"/>
                <w:b w:val="0"/>
              </w:rPr>
              <w:t xml:space="preserve"> </w:t>
            </w:r>
          </w:p>
          <w:p w14:paraId="242F2233" w14:textId="77777777" w:rsidR="007B3815" w:rsidRDefault="007B3815" w:rsidP="00D95C84">
            <w:pPr>
              <w:jc w:val="both"/>
              <w:rPr>
                <w:rFonts w:ascii="Calibri Light" w:hAnsi="Calibri Light" w:cs="Calibri Light"/>
                <w:b w:val="0"/>
              </w:rPr>
            </w:pPr>
          </w:p>
          <w:p w14:paraId="0AADFE4C" w14:textId="519A36A4" w:rsidR="006B79CD" w:rsidRDefault="007B3815" w:rsidP="00D95C84">
            <w:pPr>
              <w:jc w:val="both"/>
              <w:rPr>
                <w:rFonts w:ascii="Calibri Light" w:hAnsi="Calibri Light" w:cs="Calibri Light"/>
                <w:b w:val="0"/>
              </w:rPr>
            </w:pPr>
            <w:r>
              <w:rPr>
                <w:rFonts w:ascii="Calibri Light" w:hAnsi="Calibri Light" w:cs="Calibri Light"/>
                <w:b w:val="0"/>
              </w:rPr>
              <w:t>Por</w:t>
            </w:r>
            <w:r w:rsidR="00C07EB3">
              <w:rPr>
                <w:rFonts w:ascii="Calibri Light" w:hAnsi="Calibri Light" w:cs="Calibri Light"/>
                <w:b w:val="0"/>
              </w:rPr>
              <w:t xml:space="preserve"> ello, la CIDH consideró que el Estado de Guatemala había violado los artículos 8.2.h) y 25.1 de la CADH, en relación con los artículos 1.1 y 2, en perjuicio de </w:t>
            </w:r>
            <w:r w:rsidR="00260BF1">
              <w:rPr>
                <w:rFonts w:ascii="Calibri Light" w:hAnsi="Calibri Light" w:cs="Calibri Light"/>
                <w:b w:val="0"/>
              </w:rPr>
              <w:t xml:space="preserve">los </w:t>
            </w:r>
            <w:r w:rsidR="00260BF1" w:rsidRPr="00260BF1">
              <w:rPr>
                <w:rFonts w:ascii="Calibri Light" w:hAnsi="Calibri Light" w:cs="Calibri Light"/>
                <w:b w:val="0"/>
              </w:rPr>
              <w:t>señores Rodríguez, López y Archila</w:t>
            </w:r>
            <w:r w:rsidR="00C07EB3">
              <w:rPr>
                <w:rFonts w:ascii="Calibri Light" w:hAnsi="Calibri Light" w:cs="Calibri Light"/>
                <w:b w:val="0"/>
              </w:rPr>
              <w:t>.</w:t>
            </w:r>
          </w:p>
          <w:p w14:paraId="50016B05" w14:textId="77777777" w:rsidR="006B79CD" w:rsidRDefault="006B79CD" w:rsidP="00D95C84">
            <w:pPr>
              <w:jc w:val="both"/>
              <w:rPr>
                <w:rFonts w:ascii="Calibri Light" w:hAnsi="Calibri Light" w:cs="Calibri Light"/>
                <w:b w:val="0"/>
              </w:rPr>
            </w:pPr>
          </w:p>
          <w:p w14:paraId="0B44150C" w14:textId="2CB07ACD" w:rsidR="00D95C84" w:rsidRPr="00CC76A5" w:rsidRDefault="00D95C84" w:rsidP="00D95C84">
            <w:pPr>
              <w:jc w:val="both"/>
              <w:rPr>
                <w:rFonts w:ascii="Calibri Light" w:hAnsi="Calibri Light"/>
              </w:rPr>
            </w:pPr>
            <w:r w:rsidRPr="00CC76A5">
              <w:rPr>
                <w:rFonts w:ascii="Calibri Light" w:hAnsi="Calibri Light"/>
              </w:rPr>
              <w:t xml:space="preserve">Derechos a la integridad </w:t>
            </w:r>
            <w:r w:rsidR="0094045D">
              <w:rPr>
                <w:rFonts w:ascii="Calibri Light" w:hAnsi="Calibri Light"/>
              </w:rPr>
              <w:t>personal con respecto al fenómeno del “corredor de la muerte” y disposiciones relevantes de la CIPST</w:t>
            </w:r>
            <w:r w:rsidRPr="00CC76A5">
              <w:rPr>
                <w:rFonts w:ascii="Calibri Light" w:hAnsi="Calibri Light"/>
              </w:rPr>
              <w:t xml:space="preserve"> (artículo</w:t>
            </w:r>
            <w:r w:rsidR="009E154E">
              <w:rPr>
                <w:rFonts w:ascii="Calibri Light" w:hAnsi="Calibri Light"/>
              </w:rPr>
              <w:t xml:space="preserve"> </w:t>
            </w:r>
            <w:r w:rsidRPr="00CC76A5">
              <w:rPr>
                <w:rFonts w:ascii="Calibri Light" w:hAnsi="Calibri Light"/>
              </w:rPr>
              <w:t>5 de la CADH</w:t>
            </w:r>
            <w:r>
              <w:rPr>
                <w:rFonts w:ascii="Calibri Light" w:hAnsi="Calibri Light"/>
              </w:rPr>
              <w:t xml:space="preserve">, y </w:t>
            </w:r>
            <w:r w:rsidRPr="00CC76A5">
              <w:rPr>
                <w:rFonts w:ascii="Calibri Light" w:hAnsi="Calibri Light"/>
              </w:rPr>
              <w:t>artículos 1, 6</w:t>
            </w:r>
            <w:r>
              <w:rPr>
                <w:rFonts w:ascii="Calibri Light" w:hAnsi="Calibri Light"/>
              </w:rPr>
              <w:t xml:space="preserve"> y</w:t>
            </w:r>
            <w:r w:rsidRPr="00CC76A5">
              <w:rPr>
                <w:rFonts w:ascii="Calibri Light" w:hAnsi="Calibri Light"/>
              </w:rPr>
              <w:t xml:space="preserve"> 8 de la CIPST)</w:t>
            </w:r>
          </w:p>
          <w:p w14:paraId="4DE833DE" w14:textId="0C15A39E" w:rsidR="00D95C84" w:rsidRDefault="00D95C84" w:rsidP="00D95C84">
            <w:pPr>
              <w:jc w:val="both"/>
              <w:rPr>
                <w:rFonts w:ascii="Calibri Light" w:hAnsi="Calibri Light"/>
                <w:b w:val="0"/>
                <w:highlight w:val="yellow"/>
              </w:rPr>
            </w:pPr>
          </w:p>
          <w:p w14:paraId="0462376A" w14:textId="33C2F9F4" w:rsidR="00B22535" w:rsidRDefault="00962CF9" w:rsidP="00B22535">
            <w:pPr>
              <w:jc w:val="both"/>
              <w:rPr>
                <w:rFonts w:ascii="Calibri Light" w:hAnsi="Calibri Light"/>
                <w:b w:val="0"/>
              </w:rPr>
            </w:pPr>
            <w:r>
              <w:rPr>
                <w:rFonts w:ascii="Calibri Light" w:hAnsi="Calibri Light"/>
                <w:b w:val="0"/>
              </w:rPr>
              <w:t>La CIDH ha reiterado que, en casos de personas condenadas a pena de muerte</w:t>
            </w:r>
            <w:r w:rsidR="00621FC9">
              <w:rPr>
                <w:rFonts w:ascii="Calibri Light" w:hAnsi="Calibri Light"/>
                <w:b w:val="0"/>
              </w:rPr>
              <w:t xml:space="preserve">, </w:t>
            </w:r>
            <w:r w:rsidR="00B22535" w:rsidRPr="00B22535">
              <w:rPr>
                <w:rFonts w:ascii="Calibri Light" w:hAnsi="Calibri Light"/>
                <w:b w:val="0"/>
              </w:rPr>
              <w:t>se ha venido desarrollando por décadas el análisis del</w:t>
            </w:r>
            <w:r w:rsidR="00B22535">
              <w:rPr>
                <w:rFonts w:ascii="Calibri Light" w:hAnsi="Calibri Light"/>
                <w:b w:val="0"/>
              </w:rPr>
              <w:t xml:space="preserve"> </w:t>
            </w:r>
            <w:r w:rsidR="00B22535" w:rsidRPr="00B22535">
              <w:rPr>
                <w:rFonts w:ascii="Calibri Light" w:hAnsi="Calibri Light"/>
                <w:b w:val="0"/>
              </w:rPr>
              <w:t>fenómeno del “corredor de la muerte” a la luz de la prohibición de tratos crueles, inhumanos o degradantes,</w:t>
            </w:r>
            <w:r w:rsidR="00B22535">
              <w:rPr>
                <w:rFonts w:ascii="Calibri Light" w:hAnsi="Calibri Light"/>
                <w:b w:val="0"/>
              </w:rPr>
              <w:t xml:space="preserve"> </w:t>
            </w:r>
            <w:r w:rsidR="00B22535" w:rsidRPr="00B22535">
              <w:rPr>
                <w:rFonts w:ascii="Calibri Light" w:hAnsi="Calibri Light"/>
                <w:b w:val="0"/>
              </w:rPr>
              <w:t xml:space="preserve">contemplada a nivel constitucional </w:t>
            </w:r>
            <w:r w:rsidR="00621FC9">
              <w:rPr>
                <w:rFonts w:ascii="Calibri Light" w:hAnsi="Calibri Light"/>
                <w:b w:val="0"/>
              </w:rPr>
              <w:t>y</w:t>
            </w:r>
            <w:r w:rsidR="00B22535" w:rsidRPr="00B22535">
              <w:rPr>
                <w:rFonts w:ascii="Calibri Light" w:hAnsi="Calibri Light"/>
                <w:b w:val="0"/>
              </w:rPr>
              <w:t xml:space="preserve"> en múltiples instrumentos internacionales</w:t>
            </w:r>
            <w:r>
              <w:rPr>
                <w:rFonts w:ascii="Calibri Light" w:hAnsi="Calibri Light"/>
                <w:b w:val="0"/>
              </w:rPr>
              <w:t xml:space="preserve">. </w:t>
            </w:r>
            <w:r w:rsidR="00621FC9">
              <w:rPr>
                <w:rFonts w:ascii="Calibri Light" w:hAnsi="Calibri Light"/>
                <w:b w:val="0"/>
              </w:rPr>
              <w:t>E</w:t>
            </w:r>
            <w:r>
              <w:rPr>
                <w:rFonts w:ascii="Calibri Light" w:hAnsi="Calibri Light"/>
                <w:b w:val="0"/>
              </w:rPr>
              <w:t xml:space="preserve">l </w:t>
            </w:r>
            <w:r w:rsidR="00B22535" w:rsidRPr="00B22535">
              <w:rPr>
                <w:rFonts w:ascii="Calibri Light" w:hAnsi="Calibri Light"/>
                <w:b w:val="0"/>
              </w:rPr>
              <w:t>Relator Especial de Naciones Unidas sobre la</w:t>
            </w:r>
            <w:r w:rsidR="00B22535">
              <w:rPr>
                <w:rFonts w:ascii="Calibri Light" w:hAnsi="Calibri Light"/>
                <w:b w:val="0"/>
              </w:rPr>
              <w:t xml:space="preserve"> </w:t>
            </w:r>
            <w:r w:rsidR="00B22535" w:rsidRPr="00B22535">
              <w:rPr>
                <w:rFonts w:ascii="Calibri Light" w:hAnsi="Calibri Light"/>
                <w:b w:val="0"/>
              </w:rPr>
              <w:t>tortura y otros tratos o penas crueles, inhumanos o degradantes</w:t>
            </w:r>
            <w:r w:rsidR="00CA37A7">
              <w:rPr>
                <w:rFonts w:ascii="Calibri Light" w:hAnsi="Calibri Light"/>
                <w:b w:val="0"/>
              </w:rPr>
              <w:t xml:space="preserve"> y</w:t>
            </w:r>
            <w:r>
              <w:rPr>
                <w:rFonts w:ascii="Calibri Light" w:hAnsi="Calibri Light"/>
                <w:b w:val="0"/>
              </w:rPr>
              <w:t xml:space="preserve"> </w:t>
            </w:r>
            <w:r w:rsidR="00670AC4">
              <w:rPr>
                <w:rFonts w:ascii="Calibri Light" w:hAnsi="Calibri Light"/>
                <w:b w:val="0"/>
              </w:rPr>
              <w:t>el Tribunal Europeo de Derechos Humanos</w:t>
            </w:r>
            <w:r w:rsidR="00621FC9">
              <w:rPr>
                <w:rFonts w:ascii="Calibri Light" w:hAnsi="Calibri Light"/>
                <w:b w:val="0"/>
              </w:rPr>
              <w:t xml:space="preserve"> </w:t>
            </w:r>
            <w:r>
              <w:rPr>
                <w:rFonts w:ascii="Calibri Light" w:hAnsi="Calibri Light"/>
                <w:b w:val="0"/>
              </w:rPr>
              <w:t>ha</w:t>
            </w:r>
            <w:r w:rsidR="00621FC9">
              <w:rPr>
                <w:rFonts w:ascii="Calibri Light" w:hAnsi="Calibri Light"/>
                <w:b w:val="0"/>
              </w:rPr>
              <w:t>n</w:t>
            </w:r>
            <w:r>
              <w:rPr>
                <w:rFonts w:ascii="Calibri Light" w:hAnsi="Calibri Light"/>
                <w:b w:val="0"/>
              </w:rPr>
              <w:t xml:space="preserve"> definido al “corredor de la muerte” como una</w:t>
            </w:r>
            <w:r w:rsidR="00B22535" w:rsidRPr="00B22535">
              <w:rPr>
                <w:rFonts w:ascii="Calibri Light" w:hAnsi="Calibri Light"/>
                <w:b w:val="0"/>
              </w:rPr>
              <w:t xml:space="preserve"> combinació</w:t>
            </w:r>
            <w:r>
              <w:rPr>
                <w:rFonts w:ascii="Calibri Light" w:hAnsi="Calibri Light"/>
                <w:b w:val="0"/>
              </w:rPr>
              <w:t>n de circunstancias que produce un intenso sufrimiento psicológico</w:t>
            </w:r>
            <w:r w:rsidR="00B22535" w:rsidRPr="00B22535">
              <w:rPr>
                <w:rFonts w:ascii="Calibri Light" w:hAnsi="Calibri Light"/>
                <w:b w:val="0"/>
              </w:rPr>
              <w:t xml:space="preserve"> y</w:t>
            </w:r>
            <w:r w:rsidR="00B22535">
              <w:rPr>
                <w:rFonts w:ascii="Calibri Light" w:hAnsi="Calibri Light"/>
                <w:b w:val="0"/>
              </w:rPr>
              <w:t xml:space="preserve"> </w:t>
            </w:r>
            <w:r w:rsidR="00B22535" w:rsidRPr="00B22535">
              <w:rPr>
                <w:rFonts w:ascii="Calibri Light" w:hAnsi="Calibri Light"/>
                <w:b w:val="0"/>
              </w:rPr>
              <w:t xml:space="preserve">deterioro físico en </w:t>
            </w:r>
            <w:r>
              <w:rPr>
                <w:rFonts w:ascii="Calibri Light" w:hAnsi="Calibri Light"/>
                <w:b w:val="0"/>
              </w:rPr>
              <w:t>las personas</w:t>
            </w:r>
            <w:r w:rsidR="00B22535" w:rsidRPr="00B22535">
              <w:rPr>
                <w:rFonts w:ascii="Calibri Light" w:hAnsi="Calibri Light"/>
                <w:b w:val="0"/>
              </w:rPr>
              <w:t xml:space="preserve"> sentenciad</w:t>
            </w:r>
            <w:r>
              <w:rPr>
                <w:rFonts w:ascii="Calibri Light" w:hAnsi="Calibri Light"/>
                <w:b w:val="0"/>
              </w:rPr>
              <w:t>a</w:t>
            </w:r>
            <w:r w:rsidR="00B22535" w:rsidRPr="00B22535">
              <w:rPr>
                <w:rFonts w:ascii="Calibri Light" w:hAnsi="Calibri Light"/>
                <w:b w:val="0"/>
              </w:rPr>
              <w:t>s a muerte</w:t>
            </w:r>
            <w:r w:rsidR="009A31D9">
              <w:rPr>
                <w:rFonts w:ascii="Calibri Light" w:hAnsi="Calibri Light"/>
                <w:b w:val="0"/>
              </w:rPr>
              <w:t>, mientras esperan su ejecución</w:t>
            </w:r>
            <w:r>
              <w:rPr>
                <w:rFonts w:ascii="Calibri Light" w:hAnsi="Calibri Light"/>
                <w:b w:val="0"/>
              </w:rPr>
              <w:t xml:space="preserve">. </w:t>
            </w:r>
            <w:r w:rsidR="00621FC9">
              <w:rPr>
                <w:rFonts w:ascii="Calibri Light" w:hAnsi="Calibri Light"/>
                <w:b w:val="0"/>
              </w:rPr>
              <w:t>Además</w:t>
            </w:r>
            <w:r>
              <w:rPr>
                <w:rFonts w:ascii="Calibri Light" w:hAnsi="Calibri Light"/>
                <w:b w:val="0"/>
              </w:rPr>
              <w:t xml:space="preserve">, </w:t>
            </w:r>
            <w:r w:rsidR="00CA37A7">
              <w:rPr>
                <w:rFonts w:ascii="Calibri Light" w:hAnsi="Calibri Light"/>
                <w:b w:val="0"/>
              </w:rPr>
              <w:t>la Corte Suprema de Uganda ha señalado que ejecutar a una persona tras una demora de tres años en condiciones inaceptables constituiría un castigo cruel e inhumano.</w:t>
            </w:r>
          </w:p>
          <w:p w14:paraId="7356A454" w14:textId="285F2E4C" w:rsidR="00B22535" w:rsidRDefault="00B22535" w:rsidP="00B22535">
            <w:pPr>
              <w:jc w:val="both"/>
              <w:rPr>
                <w:rFonts w:ascii="Calibri Light" w:hAnsi="Calibri Light"/>
                <w:b w:val="0"/>
              </w:rPr>
            </w:pPr>
          </w:p>
          <w:p w14:paraId="70A7E52B" w14:textId="49171578" w:rsidR="00B22535" w:rsidRDefault="00B22535" w:rsidP="00B22535">
            <w:pPr>
              <w:jc w:val="both"/>
              <w:rPr>
                <w:rFonts w:ascii="Calibri Light" w:hAnsi="Calibri Light"/>
                <w:b w:val="0"/>
              </w:rPr>
            </w:pPr>
            <w:r w:rsidRPr="00B22535">
              <w:rPr>
                <w:rFonts w:ascii="Calibri Light" w:hAnsi="Calibri Light"/>
                <w:b w:val="0"/>
              </w:rPr>
              <w:t xml:space="preserve">En el presente caso, </w:t>
            </w:r>
            <w:r w:rsidR="00CA37A7">
              <w:rPr>
                <w:rFonts w:ascii="Calibri Light" w:hAnsi="Calibri Light"/>
                <w:b w:val="0"/>
              </w:rPr>
              <w:t xml:space="preserve">las presuntas víctimas </w:t>
            </w:r>
            <w:r w:rsidRPr="00B22535">
              <w:rPr>
                <w:rFonts w:ascii="Calibri Light" w:hAnsi="Calibri Light"/>
                <w:b w:val="0"/>
              </w:rPr>
              <w:t>fueron condenad</w:t>
            </w:r>
            <w:r w:rsidR="00CA37A7">
              <w:rPr>
                <w:rFonts w:ascii="Calibri Light" w:hAnsi="Calibri Light"/>
                <w:b w:val="0"/>
              </w:rPr>
              <w:t>a</w:t>
            </w:r>
            <w:r w:rsidRPr="00B22535">
              <w:rPr>
                <w:rFonts w:ascii="Calibri Light" w:hAnsi="Calibri Light"/>
                <w:b w:val="0"/>
              </w:rPr>
              <w:t>s a la pena de muerte el 23 de mayo de 1996. El 16 de julio de 1999</w:t>
            </w:r>
            <w:r w:rsidR="00C15A6E">
              <w:rPr>
                <w:rFonts w:ascii="Calibri Light" w:hAnsi="Calibri Light"/>
                <w:b w:val="0"/>
              </w:rPr>
              <w:t>,</w:t>
            </w:r>
            <w:r w:rsidRPr="00B22535">
              <w:rPr>
                <w:rFonts w:ascii="Calibri Light" w:hAnsi="Calibri Light"/>
                <w:b w:val="0"/>
              </w:rPr>
              <w:t xml:space="preserve"> falleció</w:t>
            </w:r>
            <w:r>
              <w:rPr>
                <w:rFonts w:ascii="Calibri Light" w:hAnsi="Calibri Light"/>
                <w:b w:val="0"/>
              </w:rPr>
              <w:t xml:space="preserve"> </w:t>
            </w:r>
            <w:r w:rsidR="00CA37A7">
              <w:rPr>
                <w:rFonts w:ascii="Calibri Light" w:hAnsi="Calibri Light"/>
                <w:b w:val="0"/>
              </w:rPr>
              <w:t>el señor</w:t>
            </w:r>
            <w:r w:rsidR="00C15A6E">
              <w:rPr>
                <w:rFonts w:ascii="Calibri Light" w:hAnsi="Calibri Light"/>
                <w:b w:val="0"/>
              </w:rPr>
              <w:t xml:space="preserve"> Archila </w:t>
            </w:r>
            <w:r w:rsidRPr="00B22535">
              <w:rPr>
                <w:rFonts w:ascii="Calibri Light" w:hAnsi="Calibri Light"/>
                <w:b w:val="0"/>
              </w:rPr>
              <w:t xml:space="preserve">a causa de complicaciones relacionadas con </w:t>
            </w:r>
            <w:r w:rsidR="00C15A6E">
              <w:rPr>
                <w:rFonts w:ascii="Calibri Light" w:hAnsi="Calibri Light"/>
                <w:b w:val="0"/>
              </w:rPr>
              <w:t xml:space="preserve">la </w:t>
            </w:r>
            <w:r w:rsidRPr="00B22535">
              <w:rPr>
                <w:rFonts w:ascii="Calibri Light" w:hAnsi="Calibri Light"/>
                <w:b w:val="0"/>
              </w:rPr>
              <w:t>diabetes</w:t>
            </w:r>
            <w:r w:rsidR="00C15A6E">
              <w:rPr>
                <w:rFonts w:ascii="Calibri Light" w:hAnsi="Calibri Light"/>
                <w:b w:val="0"/>
              </w:rPr>
              <w:t xml:space="preserve"> que padecía. En total, </w:t>
            </w:r>
            <w:r w:rsidRPr="00B22535">
              <w:rPr>
                <w:rFonts w:ascii="Calibri Light" w:hAnsi="Calibri Light"/>
                <w:b w:val="0"/>
              </w:rPr>
              <w:t>permaneció en el</w:t>
            </w:r>
            <w:r>
              <w:rPr>
                <w:rFonts w:ascii="Calibri Light" w:hAnsi="Calibri Light"/>
                <w:b w:val="0"/>
              </w:rPr>
              <w:t xml:space="preserve"> </w:t>
            </w:r>
            <w:r w:rsidRPr="00B22535">
              <w:rPr>
                <w:rFonts w:ascii="Calibri Light" w:hAnsi="Calibri Light"/>
                <w:b w:val="0"/>
              </w:rPr>
              <w:t xml:space="preserve">corredor de la muerte por más de </w:t>
            </w:r>
            <w:r w:rsidR="00CA37A7">
              <w:rPr>
                <w:rFonts w:ascii="Calibri Light" w:hAnsi="Calibri Light"/>
                <w:b w:val="0"/>
              </w:rPr>
              <w:t>tres</w:t>
            </w:r>
            <w:r w:rsidRPr="00B22535">
              <w:rPr>
                <w:rFonts w:ascii="Calibri Light" w:hAnsi="Calibri Light"/>
                <w:b w:val="0"/>
              </w:rPr>
              <w:t xml:space="preserve"> años. </w:t>
            </w:r>
            <w:r w:rsidR="00C15A6E">
              <w:rPr>
                <w:rFonts w:ascii="Calibri Light" w:hAnsi="Calibri Light"/>
                <w:b w:val="0"/>
              </w:rPr>
              <w:t>De otro lado</w:t>
            </w:r>
            <w:r w:rsidRPr="00B22535">
              <w:rPr>
                <w:rFonts w:ascii="Calibri Light" w:hAnsi="Calibri Light"/>
                <w:b w:val="0"/>
              </w:rPr>
              <w:t xml:space="preserve">, </w:t>
            </w:r>
            <w:r w:rsidR="00CA37A7">
              <w:rPr>
                <w:rFonts w:ascii="Calibri Light" w:hAnsi="Calibri Light"/>
                <w:b w:val="0"/>
              </w:rPr>
              <w:t>los señores</w:t>
            </w:r>
            <w:r w:rsidRPr="00B22535">
              <w:rPr>
                <w:rFonts w:ascii="Calibri Light" w:hAnsi="Calibri Light"/>
                <w:b w:val="0"/>
              </w:rPr>
              <w:t xml:space="preserve"> Rodríguez y López</w:t>
            </w:r>
            <w:r>
              <w:rPr>
                <w:rFonts w:ascii="Calibri Light" w:hAnsi="Calibri Light"/>
                <w:b w:val="0"/>
              </w:rPr>
              <w:t xml:space="preserve"> </w:t>
            </w:r>
            <w:r w:rsidRPr="00B22535">
              <w:rPr>
                <w:rFonts w:ascii="Calibri Light" w:hAnsi="Calibri Light"/>
                <w:b w:val="0"/>
              </w:rPr>
              <w:t>permanecieron en el corredor de la muerte hasta el 23 de agosto de 2011, cuando la Corte Suprema de</w:t>
            </w:r>
            <w:r>
              <w:rPr>
                <w:rFonts w:ascii="Calibri Light" w:hAnsi="Calibri Light"/>
                <w:b w:val="0"/>
              </w:rPr>
              <w:t xml:space="preserve"> </w:t>
            </w:r>
            <w:r w:rsidRPr="00B22535">
              <w:rPr>
                <w:rFonts w:ascii="Calibri Light" w:hAnsi="Calibri Light"/>
                <w:b w:val="0"/>
              </w:rPr>
              <w:t>Justicia decidió conmutarles la pena de muerte, es decir</w:t>
            </w:r>
            <w:r w:rsidR="00CA37A7">
              <w:rPr>
                <w:rFonts w:ascii="Calibri Light" w:hAnsi="Calibri Light"/>
                <w:b w:val="0"/>
              </w:rPr>
              <w:t>,</w:t>
            </w:r>
            <w:r w:rsidRPr="00B22535">
              <w:rPr>
                <w:rFonts w:ascii="Calibri Light" w:hAnsi="Calibri Light"/>
                <w:b w:val="0"/>
              </w:rPr>
              <w:t xml:space="preserve"> por más de 14 años. La </w:t>
            </w:r>
            <w:r w:rsidR="00CA37A7">
              <w:rPr>
                <w:rFonts w:ascii="Calibri Light" w:hAnsi="Calibri Light"/>
                <w:b w:val="0"/>
              </w:rPr>
              <w:t xml:space="preserve">CIDH agregó que, conforme al </w:t>
            </w:r>
            <w:r w:rsidR="00CA37A7">
              <w:rPr>
                <w:rFonts w:ascii="Calibri Light" w:hAnsi="Calibri Light"/>
                <w:b w:val="0"/>
              </w:rPr>
              <w:lastRenderedPageBreak/>
              <w:t xml:space="preserve">peritaje médico aportado, ambos sufrían de </w:t>
            </w:r>
            <w:r w:rsidRPr="00B22535">
              <w:rPr>
                <w:rFonts w:ascii="Calibri Light" w:hAnsi="Calibri Light"/>
                <w:b w:val="0"/>
              </w:rPr>
              <w:t>trastorno por</w:t>
            </w:r>
            <w:r>
              <w:rPr>
                <w:rFonts w:ascii="Calibri Light" w:hAnsi="Calibri Light"/>
                <w:b w:val="0"/>
              </w:rPr>
              <w:t xml:space="preserve"> </w:t>
            </w:r>
            <w:r w:rsidRPr="00B22535">
              <w:rPr>
                <w:rFonts w:ascii="Calibri Light" w:hAnsi="Calibri Light"/>
                <w:b w:val="0"/>
              </w:rPr>
              <w:t>estrés post-traumático</w:t>
            </w:r>
            <w:r w:rsidR="00CA37A7">
              <w:rPr>
                <w:rFonts w:ascii="Calibri Light" w:hAnsi="Calibri Light"/>
                <w:b w:val="0"/>
              </w:rPr>
              <w:t xml:space="preserve"> y que estaban detenid</w:t>
            </w:r>
            <w:r w:rsidR="00670AC4">
              <w:rPr>
                <w:rFonts w:ascii="Calibri Light" w:hAnsi="Calibri Light"/>
                <w:b w:val="0"/>
              </w:rPr>
              <w:t>o</w:t>
            </w:r>
            <w:r w:rsidR="00CA37A7">
              <w:rPr>
                <w:rFonts w:ascii="Calibri Light" w:hAnsi="Calibri Light"/>
                <w:b w:val="0"/>
              </w:rPr>
              <w:t>s en condiciones inadecuadas, debido a la ausencia casi total de artículos médicos y del acceso sumamente limitado a visitas, contacto físico y agua.</w:t>
            </w:r>
            <w:r w:rsidR="007B3815">
              <w:rPr>
                <w:rFonts w:ascii="Calibri Light" w:hAnsi="Calibri Light"/>
                <w:b w:val="0"/>
              </w:rPr>
              <w:t xml:space="preserve"> </w:t>
            </w:r>
            <w:r>
              <w:rPr>
                <w:rFonts w:ascii="Calibri Light" w:hAnsi="Calibri Light"/>
                <w:b w:val="0"/>
              </w:rPr>
              <w:t xml:space="preserve">Por ello, </w:t>
            </w:r>
            <w:r>
              <w:rPr>
                <w:rFonts w:ascii="Calibri Light" w:hAnsi="Calibri Light" w:cs="Calibri Light"/>
                <w:b w:val="0"/>
              </w:rPr>
              <w:t>la CIDH consideró que el Estado de Guatemala había violado los artículos 5.1 y 5.2 de la CADH, en relación con el artículo 1.1 del mismo instrumento</w:t>
            </w:r>
            <w:r w:rsidR="009A31D9">
              <w:rPr>
                <w:rFonts w:ascii="Calibri Light" w:hAnsi="Calibri Light" w:cs="Calibri Light"/>
                <w:b w:val="0"/>
              </w:rPr>
              <w:t xml:space="preserve">, en perjuicio de los </w:t>
            </w:r>
            <w:r w:rsidR="009A31D9" w:rsidRPr="00811F4F">
              <w:rPr>
                <w:rFonts w:ascii="Calibri Light" w:hAnsi="Calibri Light" w:cs="Calibri Light"/>
                <w:b w:val="0"/>
              </w:rPr>
              <w:t>señores Rodríguez</w:t>
            </w:r>
            <w:r w:rsidR="009A31D9">
              <w:rPr>
                <w:rFonts w:ascii="Calibri Light" w:hAnsi="Calibri Light" w:cs="Calibri Light"/>
                <w:b w:val="0"/>
              </w:rPr>
              <w:t>, López y Archila</w:t>
            </w:r>
            <w:r w:rsidR="00811F4F">
              <w:rPr>
                <w:rFonts w:ascii="Calibri Light" w:hAnsi="Calibri Light" w:cs="Calibri Light"/>
                <w:b w:val="0"/>
              </w:rPr>
              <w:t>. Asimismo</w:t>
            </w:r>
            <w:r>
              <w:rPr>
                <w:rFonts w:ascii="Calibri Light" w:hAnsi="Calibri Light" w:cs="Calibri Light"/>
                <w:b w:val="0"/>
              </w:rPr>
              <w:t xml:space="preserve">, </w:t>
            </w:r>
            <w:r w:rsidR="009A31D9">
              <w:rPr>
                <w:rFonts w:ascii="Calibri Light" w:hAnsi="Calibri Light" w:cs="Calibri Light"/>
                <w:b w:val="0"/>
              </w:rPr>
              <w:t>consideró que había violado</w:t>
            </w:r>
            <w:r>
              <w:rPr>
                <w:rFonts w:ascii="Calibri Light" w:hAnsi="Calibri Light" w:cs="Calibri Light"/>
                <w:b w:val="0"/>
              </w:rPr>
              <w:t xml:space="preserve"> los artículos 1, 6 y 8 de la CIPST, </w:t>
            </w:r>
            <w:r w:rsidR="009A31D9">
              <w:rPr>
                <w:rFonts w:ascii="Calibri Light" w:hAnsi="Calibri Light" w:cs="Calibri Light"/>
                <w:b w:val="0"/>
              </w:rPr>
              <w:t>que establecen el deber de prevenir, investigar y sancionar la tortura</w:t>
            </w:r>
            <w:r w:rsidR="007B3815">
              <w:rPr>
                <w:rFonts w:ascii="Calibri Light" w:hAnsi="Calibri Light" w:cs="Calibri Light"/>
                <w:b w:val="0"/>
              </w:rPr>
              <w:t xml:space="preserve"> y otros tratos o penas crueles, inhumanos o degradantes</w:t>
            </w:r>
            <w:r>
              <w:rPr>
                <w:rFonts w:ascii="Calibri Light" w:hAnsi="Calibri Light" w:cs="Calibri Light"/>
                <w:b w:val="0"/>
              </w:rPr>
              <w:t>.</w:t>
            </w:r>
          </w:p>
          <w:p w14:paraId="35E23629" w14:textId="77777777" w:rsidR="00B22535" w:rsidRDefault="00B22535" w:rsidP="00D95C84">
            <w:pPr>
              <w:jc w:val="both"/>
              <w:rPr>
                <w:rFonts w:ascii="Calibri Light" w:hAnsi="Calibri Light"/>
                <w:b w:val="0"/>
              </w:rPr>
            </w:pPr>
          </w:p>
          <w:p w14:paraId="05C242EE" w14:textId="36CE2BC6" w:rsidR="00D95C84" w:rsidRDefault="00D95C84" w:rsidP="00D95C84">
            <w:pPr>
              <w:jc w:val="both"/>
              <w:rPr>
                <w:rFonts w:ascii="Calibri Light" w:hAnsi="Calibri Light"/>
                <w:b w:val="0"/>
              </w:rPr>
            </w:pPr>
            <w:r>
              <w:rPr>
                <w:rFonts w:ascii="Calibri Light" w:hAnsi="Calibri Light"/>
              </w:rPr>
              <w:t>Derechos a la vida</w:t>
            </w:r>
            <w:r w:rsidR="00163A69">
              <w:rPr>
                <w:rFonts w:ascii="Calibri Light" w:hAnsi="Calibri Light"/>
              </w:rPr>
              <w:t xml:space="preserve"> por la imposición de la pena de muerte</w:t>
            </w:r>
            <w:r>
              <w:rPr>
                <w:rFonts w:ascii="Calibri Light" w:hAnsi="Calibri Light"/>
              </w:rPr>
              <w:t xml:space="preserve"> (artículos </w:t>
            </w:r>
            <w:r w:rsidR="00163A69">
              <w:rPr>
                <w:rFonts w:ascii="Calibri Light" w:hAnsi="Calibri Light"/>
              </w:rPr>
              <w:t xml:space="preserve">1, 2 y </w:t>
            </w:r>
            <w:r>
              <w:rPr>
                <w:rFonts w:ascii="Calibri Light" w:hAnsi="Calibri Light"/>
              </w:rPr>
              <w:t>4 de la CADH)</w:t>
            </w:r>
          </w:p>
          <w:p w14:paraId="2F85D59C" w14:textId="77777777" w:rsidR="00D95C84" w:rsidRDefault="00D95C84" w:rsidP="006325AC">
            <w:pPr>
              <w:jc w:val="both"/>
              <w:rPr>
                <w:rFonts w:ascii="Calibri Light" w:hAnsi="Calibri Light"/>
                <w:b w:val="0"/>
              </w:rPr>
            </w:pPr>
          </w:p>
          <w:p w14:paraId="7B779997" w14:textId="324E9B84" w:rsidR="00B22535" w:rsidRDefault="00E97194" w:rsidP="00B22535">
            <w:pPr>
              <w:jc w:val="both"/>
              <w:rPr>
                <w:rFonts w:ascii="Calibri Light" w:hAnsi="Calibri Light"/>
                <w:b w:val="0"/>
              </w:rPr>
            </w:pPr>
            <w:r>
              <w:rPr>
                <w:rFonts w:ascii="Calibri Light" w:hAnsi="Calibri Light"/>
                <w:b w:val="0"/>
              </w:rPr>
              <w:t xml:space="preserve">La CIDH </w:t>
            </w:r>
            <w:r w:rsidR="00C15A6E">
              <w:rPr>
                <w:rFonts w:ascii="Calibri Light" w:hAnsi="Calibri Light"/>
                <w:b w:val="0"/>
              </w:rPr>
              <w:t>recordó que</w:t>
            </w:r>
            <w:r w:rsidR="00B22535" w:rsidRPr="00B22535">
              <w:rPr>
                <w:rFonts w:ascii="Calibri Light" w:hAnsi="Calibri Light"/>
                <w:b w:val="0"/>
              </w:rPr>
              <w:t xml:space="preserve"> la imposición de la pena de muerte</w:t>
            </w:r>
            <w:r w:rsidR="00B22535">
              <w:rPr>
                <w:rFonts w:ascii="Calibri Light" w:hAnsi="Calibri Light"/>
                <w:b w:val="0"/>
              </w:rPr>
              <w:t xml:space="preserve"> </w:t>
            </w:r>
            <w:r w:rsidR="00B22535" w:rsidRPr="00B22535">
              <w:rPr>
                <w:rFonts w:ascii="Calibri Light" w:hAnsi="Calibri Light"/>
                <w:b w:val="0"/>
              </w:rPr>
              <w:t>en el marco de procesos que vulneren el debido proceso produce una violación del artículo 4.2 de la</w:t>
            </w:r>
            <w:r w:rsidR="00B22535">
              <w:rPr>
                <w:rFonts w:ascii="Calibri Light" w:hAnsi="Calibri Light"/>
                <w:b w:val="0"/>
              </w:rPr>
              <w:t xml:space="preserve"> </w:t>
            </w:r>
            <w:r>
              <w:rPr>
                <w:rFonts w:ascii="Calibri Light" w:hAnsi="Calibri Light"/>
                <w:b w:val="0"/>
              </w:rPr>
              <w:t>CADH</w:t>
            </w:r>
            <w:r w:rsidR="00B22535">
              <w:rPr>
                <w:rFonts w:ascii="Calibri Light" w:hAnsi="Calibri Light"/>
                <w:b w:val="0"/>
              </w:rPr>
              <w:t>.</w:t>
            </w:r>
            <w:r w:rsidR="00CB3E90">
              <w:rPr>
                <w:rFonts w:ascii="Calibri Light" w:hAnsi="Calibri Light"/>
                <w:b w:val="0"/>
              </w:rPr>
              <w:t xml:space="preserve"> </w:t>
            </w:r>
            <w:r>
              <w:rPr>
                <w:rFonts w:ascii="Calibri Light" w:hAnsi="Calibri Light"/>
                <w:b w:val="0"/>
              </w:rPr>
              <w:t>Respecto al presente caso, la CIDH estableció que</w:t>
            </w:r>
            <w:r w:rsidR="00B22535" w:rsidRPr="00B22535">
              <w:rPr>
                <w:rFonts w:ascii="Calibri Light" w:hAnsi="Calibri Light"/>
                <w:b w:val="0"/>
              </w:rPr>
              <w:t xml:space="preserve"> en el proceso que culminó con la</w:t>
            </w:r>
            <w:r w:rsidR="00B22535">
              <w:rPr>
                <w:rFonts w:ascii="Calibri Light" w:hAnsi="Calibri Light"/>
                <w:b w:val="0"/>
              </w:rPr>
              <w:t xml:space="preserve"> </w:t>
            </w:r>
            <w:r w:rsidR="00B22535" w:rsidRPr="00B22535">
              <w:rPr>
                <w:rFonts w:ascii="Calibri Light" w:hAnsi="Calibri Light"/>
                <w:b w:val="0"/>
              </w:rPr>
              <w:t xml:space="preserve">imposición de la pena de muerte a </w:t>
            </w:r>
            <w:r>
              <w:rPr>
                <w:rFonts w:ascii="Calibri Light" w:hAnsi="Calibri Light"/>
                <w:b w:val="0"/>
              </w:rPr>
              <w:t>las tres presuntas víctimas</w:t>
            </w:r>
            <w:r w:rsidR="00B22535" w:rsidRPr="00B22535">
              <w:rPr>
                <w:rFonts w:ascii="Calibri Light" w:hAnsi="Calibri Light"/>
                <w:b w:val="0"/>
              </w:rPr>
              <w:t xml:space="preserve"> se violaron múltiples garantías de debido proceso, el principio de legalidad y el derecho a la protección</w:t>
            </w:r>
            <w:r w:rsidR="00B22535">
              <w:rPr>
                <w:rFonts w:ascii="Calibri Light" w:hAnsi="Calibri Light"/>
                <w:b w:val="0"/>
              </w:rPr>
              <w:t xml:space="preserve"> </w:t>
            </w:r>
            <w:r w:rsidR="00B22535" w:rsidRPr="00B22535">
              <w:rPr>
                <w:rFonts w:ascii="Calibri Light" w:hAnsi="Calibri Light"/>
                <w:b w:val="0"/>
              </w:rPr>
              <w:t>judicial.</w:t>
            </w:r>
            <w:r>
              <w:rPr>
                <w:rFonts w:ascii="Calibri Light" w:hAnsi="Calibri Light"/>
                <w:b w:val="0"/>
              </w:rPr>
              <w:t xml:space="preserve"> Por ello, consideró que</w:t>
            </w:r>
            <w:r w:rsidR="00B22535" w:rsidRPr="00B22535">
              <w:rPr>
                <w:rFonts w:ascii="Calibri Light" w:hAnsi="Calibri Light"/>
                <w:b w:val="0"/>
              </w:rPr>
              <w:t xml:space="preserve"> la imposición de la pena de muerte a las víctimas</w:t>
            </w:r>
            <w:r w:rsidR="00B22535">
              <w:rPr>
                <w:rFonts w:ascii="Calibri Light" w:hAnsi="Calibri Light"/>
                <w:b w:val="0"/>
              </w:rPr>
              <w:t xml:space="preserve"> </w:t>
            </w:r>
            <w:r w:rsidR="00B22535" w:rsidRPr="00B22535">
              <w:rPr>
                <w:rFonts w:ascii="Calibri Light" w:hAnsi="Calibri Light"/>
                <w:b w:val="0"/>
              </w:rPr>
              <w:t>fue arbitraria</w:t>
            </w:r>
            <w:r>
              <w:rPr>
                <w:rFonts w:ascii="Calibri Light" w:hAnsi="Calibri Light"/>
                <w:b w:val="0"/>
              </w:rPr>
              <w:t>.</w:t>
            </w:r>
            <w:r w:rsidR="00670AC4">
              <w:rPr>
                <w:rFonts w:ascii="Calibri Light" w:hAnsi="Calibri Light"/>
                <w:b w:val="0"/>
              </w:rPr>
              <w:t xml:space="preserve"> </w:t>
            </w:r>
            <w:r w:rsidR="00B22535" w:rsidRPr="00B22535">
              <w:rPr>
                <w:rFonts w:ascii="Calibri Light" w:hAnsi="Calibri Light"/>
                <w:b w:val="0"/>
              </w:rPr>
              <w:t>En virtud de l</w:t>
            </w:r>
            <w:r w:rsidR="00B22535">
              <w:rPr>
                <w:rFonts w:ascii="Calibri Light" w:hAnsi="Calibri Light"/>
                <w:b w:val="0"/>
              </w:rPr>
              <w:t xml:space="preserve">o anterior, la Comisión concluyó que el </w:t>
            </w:r>
            <w:r w:rsidR="00B22535">
              <w:rPr>
                <w:rFonts w:ascii="Calibri Light" w:hAnsi="Calibri Light" w:cs="Calibri Light"/>
                <w:b w:val="0"/>
              </w:rPr>
              <w:t xml:space="preserve">Estado de Guatemala había violado los artículos 4.1 y 4.2 de la CADH, en relación con los artículos 1.1 y 2 del mismo instrumento, </w:t>
            </w:r>
            <w:r w:rsidR="00C15A6E">
              <w:rPr>
                <w:rFonts w:ascii="Calibri Light" w:hAnsi="Calibri Light" w:cs="Calibri Light"/>
                <w:b w:val="0"/>
              </w:rPr>
              <w:t xml:space="preserve">en perjuicio de los </w:t>
            </w:r>
            <w:r w:rsidR="00C15A6E" w:rsidRPr="00811F4F">
              <w:rPr>
                <w:rFonts w:ascii="Calibri Light" w:hAnsi="Calibri Light" w:cs="Calibri Light"/>
                <w:b w:val="0"/>
              </w:rPr>
              <w:t>señores Rodríguez</w:t>
            </w:r>
            <w:r w:rsidR="00C15A6E">
              <w:rPr>
                <w:rFonts w:ascii="Calibri Light" w:hAnsi="Calibri Light" w:cs="Calibri Light"/>
                <w:b w:val="0"/>
              </w:rPr>
              <w:t>, López y Archila</w:t>
            </w:r>
            <w:r w:rsidR="00B22535">
              <w:rPr>
                <w:rFonts w:ascii="Calibri Light" w:hAnsi="Calibri Light" w:cs="Calibri Light"/>
                <w:b w:val="0"/>
              </w:rPr>
              <w:t xml:space="preserve">. </w:t>
            </w:r>
          </w:p>
          <w:p w14:paraId="5AA471B6" w14:textId="071E28B2" w:rsidR="006325AC" w:rsidRPr="00FF34AE" w:rsidRDefault="006325AC" w:rsidP="006325AC">
            <w:pPr>
              <w:jc w:val="both"/>
              <w:rPr>
                <w:rFonts w:ascii="Calibri Light" w:hAnsi="Calibri Light"/>
                <w:b w:val="0"/>
              </w:rPr>
            </w:pPr>
          </w:p>
        </w:tc>
      </w:tr>
      <w:tr w:rsidR="00D95C84" w:rsidRPr="004533E5" w14:paraId="0FBFBB6F"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0A864AFE" w14:textId="77777777" w:rsidR="00D95C84" w:rsidRPr="00310836" w:rsidRDefault="00D95C84" w:rsidP="00D95C84">
            <w:pPr>
              <w:pStyle w:val="ListParagraph"/>
              <w:rPr>
                <w:rFonts w:ascii="Calibri Light" w:hAnsi="Calibri Light"/>
              </w:rPr>
            </w:pPr>
          </w:p>
          <w:p w14:paraId="5CF7BA21" w14:textId="5393EBC4" w:rsidR="00D95C84" w:rsidRPr="00310836" w:rsidRDefault="00D95C84" w:rsidP="00D95C84">
            <w:pPr>
              <w:pStyle w:val="ListParagraph"/>
              <w:numPr>
                <w:ilvl w:val="0"/>
                <w:numId w:val="2"/>
              </w:numPr>
              <w:jc w:val="center"/>
              <w:rPr>
                <w:rFonts w:ascii="Calibri Light" w:hAnsi="Calibri Light"/>
              </w:rPr>
            </w:pPr>
            <w:r w:rsidRPr="00310836">
              <w:rPr>
                <w:rFonts w:ascii="Calibri Light" w:hAnsi="Calibri Light"/>
              </w:rPr>
              <w:t>Recomendaciones</w:t>
            </w:r>
            <w:r>
              <w:rPr>
                <w:rFonts w:ascii="Calibri Light" w:hAnsi="Calibri Light"/>
              </w:rPr>
              <w:t xml:space="preserve"> de la CIDH al Estado</w:t>
            </w:r>
          </w:p>
          <w:p w14:paraId="510D8BF9" w14:textId="77777777" w:rsidR="00D95C84" w:rsidRPr="00310836" w:rsidRDefault="00D95C84" w:rsidP="00D95C84">
            <w:pPr>
              <w:pStyle w:val="ListParagraph"/>
              <w:rPr>
                <w:rFonts w:ascii="Calibri Light" w:hAnsi="Calibri Light"/>
              </w:rPr>
            </w:pPr>
          </w:p>
        </w:tc>
      </w:tr>
      <w:tr w:rsidR="00D95C84" w:rsidRPr="004533E5" w14:paraId="3D91AF16" w14:textId="77777777" w:rsidTr="00672538">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6680C0C5" w14:textId="003DAC38" w:rsidR="00D95C84" w:rsidRPr="00FB77E7" w:rsidRDefault="00D95C84" w:rsidP="00D95C84">
            <w:pPr>
              <w:pStyle w:val="ListParagraph"/>
              <w:ind w:left="0"/>
              <w:jc w:val="both"/>
              <w:rPr>
                <w:rFonts w:ascii="Calibri Light" w:hAnsi="Calibri Light" w:cs="Calibri Light"/>
                <w:b w:val="0"/>
              </w:rPr>
            </w:pPr>
          </w:p>
          <w:p w14:paraId="175474BD" w14:textId="036699A2" w:rsidR="00D95C84" w:rsidRPr="00D3271F" w:rsidRDefault="00D3271F" w:rsidP="00D33994">
            <w:pPr>
              <w:pStyle w:val="ListParagraph"/>
              <w:numPr>
                <w:ilvl w:val="0"/>
                <w:numId w:val="4"/>
              </w:numPr>
              <w:jc w:val="both"/>
              <w:rPr>
                <w:rFonts w:ascii="Calibri Light" w:hAnsi="Calibri Light" w:cs="Calibri Light"/>
              </w:rPr>
            </w:pPr>
            <w:r w:rsidRPr="00D3271F">
              <w:rPr>
                <w:rFonts w:ascii="Calibri Light" w:hAnsi="Calibri Light" w:cs="Calibri Light"/>
                <w:b w:val="0"/>
              </w:rPr>
              <w:t>Reparar integralmente las violaciones de derechos humanos declaradas tanto en el aspecto material como inmaterial. Las medidas de reparación deberán incluir una justa</w:t>
            </w:r>
            <w:r w:rsidRPr="00D3271F">
              <w:rPr>
                <w:rFonts w:ascii="Calibri Light" w:hAnsi="Calibri Light" w:cs="Calibri Light"/>
              </w:rPr>
              <w:t xml:space="preserve"> </w:t>
            </w:r>
            <w:r w:rsidRPr="00D3271F">
              <w:rPr>
                <w:rFonts w:ascii="Calibri Light" w:hAnsi="Calibri Light" w:cs="Calibri Light"/>
                <w:b w:val="0"/>
              </w:rPr>
              <w:t xml:space="preserve">compensación, así como medidas de satisfacción y rehabilitación a favor de </w:t>
            </w:r>
            <w:r w:rsidR="00E97194">
              <w:rPr>
                <w:rFonts w:ascii="Calibri Light" w:hAnsi="Calibri Light" w:cs="Calibri Light"/>
                <w:b w:val="0"/>
              </w:rPr>
              <w:t>los señores</w:t>
            </w:r>
            <w:r w:rsidRPr="00D3271F">
              <w:rPr>
                <w:rFonts w:ascii="Calibri Light" w:hAnsi="Calibri Light" w:cs="Calibri Light"/>
                <w:b w:val="0"/>
              </w:rPr>
              <w:t xml:space="preserve"> Rodríguez y López; y en</w:t>
            </w:r>
            <w:r w:rsidR="00E97194">
              <w:rPr>
                <w:rFonts w:ascii="Calibri Light" w:hAnsi="Calibri Light" w:cs="Calibri Light"/>
                <w:b w:val="0"/>
              </w:rPr>
              <w:t xml:space="preserve"> consulta con los familiares del señor </w:t>
            </w:r>
            <w:r w:rsidRPr="00D3271F">
              <w:rPr>
                <w:rFonts w:ascii="Calibri Light" w:hAnsi="Calibri Light" w:cs="Calibri Light"/>
                <w:b w:val="0"/>
              </w:rPr>
              <w:t>Archila. En su caso particular, y si</w:t>
            </w:r>
            <w:r w:rsidRPr="00D3271F">
              <w:rPr>
                <w:rFonts w:ascii="Calibri Light" w:hAnsi="Calibri Light" w:cs="Calibri Light"/>
              </w:rPr>
              <w:t xml:space="preserve"> </w:t>
            </w:r>
            <w:r w:rsidRPr="00D3271F">
              <w:rPr>
                <w:rFonts w:ascii="Calibri Light" w:hAnsi="Calibri Light" w:cs="Calibri Light"/>
                <w:b w:val="0"/>
              </w:rPr>
              <w:t>una vez agotados todos lo</w:t>
            </w:r>
            <w:r w:rsidR="007B3815">
              <w:rPr>
                <w:rFonts w:ascii="Calibri Light" w:hAnsi="Calibri Light" w:cs="Calibri Light"/>
                <w:b w:val="0"/>
              </w:rPr>
              <w:t>s esfuerzos posibles no se logra</w:t>
            </w:r>
            <w:r w:rsidRPr="00D3271F">
              <w:rPr>
                <w:rFonts w:ascii="Calibri Light" w:hAnsi="Calibri Light" w:cs="Calibri Light"/>
                <w:b w:val="0"/>
              </w:rPr>
              <w:t xml:space="preserve"> ubicar a sus familiares, </w:t>
            </w:r>
            <w:r w:rsidR="007B3815">
              <w:rPr>
                <w:rFonts w:ascii="Calibri Light" w:hAnsi="Calibri Light" w:cs="Calibri Light"/>
                <w:b w:val="0"/>
              </w:rPr>
              <w:t xml:space="preserve">la CIDH </w:t>
            </w:r>
            <w:r w:rsidRPr="00D3271F">
              <w:rPr>
                <w:rFonts w:ascii="Calibri Light" w:hAnsi="Calibri Light" w:cs="Calibri Light"/>
                <w:b w:val="0"/>
              </w:rPr>
              <w:t>recomienda que el</w:t>
            </w:r>
            <w:r>
              <w:rPr>
                <w:rFonts w:ascii="Calibri Light" w:hAnsi="Calibri Light" w:cs="Calibri Light"/>
                <w:b w:val="0"/>
              </w:rPr>
              <w:t xml:space="preserve"> </w:t>
            </w:r>
            <w:r w:rsidRPr="00D3271F">
              <w:rPr>
                <w:rFonts w:ascii="Calibri Light" w:hAnsi="Calibri Light" w:cs="Calibri Light"/>
                <w:b w:val="0"/>
              </w:rPr>
              <w:t>componente pecuniario de la reparación sea aportado al Fondo de Asistencia Legal.</w:t>
            </w:r>
          </w:p>
          <w:p w14:paraId="0C4818C8" w14:textId="77777777" w:rsidR="00D95C84" w:rsidRPr="00D3271F" w:rsidRDefault="00D95C84" w:rsidP="00D95C84">
            <w:pPr>
              <w:pStyle w:val="ListParagraph"/>
              <w:ind w:left="360"/>
              <w:jc w:val="both"/>
              <w:rPr>
                <w:rFonts w:ascii="Calibri Light" w:hAnsi="Calibri Light" w:cs="Calibri Light"/>
                <w:b w:val="0"/>
              </w:rPr>
            </w:pPr>
          </w:p>
          <w:p w14:paraId="39D2D9AD" w14:textId="405A6EC6" w:rsidR="00D3271F" w:rsidRPr="00D3271F" w:rsidRDefault="00D3271F" w:rsidP="00D33994">
            <w:pPr>
              <w:pStyle w:val="ListParagraph"/>
              <w:numPr>
                <w:ilvl w:val="0"/>
                <w:numId w:val="4"/>
              </w:numPr>
              <w:jc w:val="both"/>
              <w:rPr>
                <w:rFonts w:ascii="Calibri Light" w:hAnsi="Calibri Light" w:cs="Calibri Light"/>
                <w:b w:val="0"/>
              </w:rPr>
            </w:pPr>
            <w:r w:rsidRPr="00D3271F">
              <w:rPr>
                <w:rFonts w:ascii="Calibri Light" w:hAnsi="Calibri Light" w:cs="Calibri Light"/>
                <w:b w:val="0"/>
              </w:rPr>
              <w:t>En el caso de</w:t>
            </w:r>
            <w:r w:rsidR="00E97194">
              <w:rPr>
                <w:rFonts w:ascii="Calibri Light" w:hAnsi="Calibri Light" w:cs="Calibri Light"/>
                <w:b w:val="0"/>
              </w:rPr>
              <w:t xml:space="preserve"> los señores</w:t>
            </w:r>
            <w:r w:rsidRPr="00D3271F">
              <w:rPr>
                <w:rFonts w:ascii="Calibri Light" w:hAnsi="Calibri Light" w:cs="Calibri Light"/>
                <w:b w:val="0"/>
              </w:rPr>
              <w:t xml:space="preserve"> Rodríguez y López, disponer las medidas necesarias para que se deje sin efecto la sentencia condenatoria y se efectúe un nuevo proceso en el que se respeten las garantías del debido proceso cuya violación fue declarada. De ser el caso y si conforme al resultado de dicho proceso, las víctimas resultan absueltas, el Estado deberá́ ponerlos en libertad, eliminar los antecedentes penales de las víctimas y cualquier otro efecto de la condena.</w:t>
            </w:r>
          </w:p>
          <w:p w14:paraId="2C8E3E79" w14:textId="77777777" w:rsidR="00D3271F" w:rsidRPr="00D3271F" w:rsidRDefault="00D3271F" w:rsidP="00D3271F">
            <w:pPr>
              <w:pStyle w:val="ListParagraph"/>
              <w:rPr>
                <w:rFonts w:ascii="Calibri Light" w:hAnsi="Calibri Light" w:cs="Calibri Light"/>
                <w:b w:val="0"/>
              </w:rPr>
            </w:pPr>
          </w:p>
          <w:p w14:paraId="53665CEF" w14:textId="49131C20" w:rsidR="00D33994" w:rsidRPr="00AA6E7C" w:rsidRDefault="00D33994" w:rsidP="00D33994">
            <w:pPr>
              <w:pStyle w:val="Default"/>
              <w:numPr>
                <w:ilvl w:val="0"/>
                <w:numId w:val="4"/>
              </w:numPr>
              <w:jc w:val="both"/>
              <w:rPr>
                <w:rFonts w:ascii="Calibri Light" w:hAnsi="Calibri Light"/>
                <w:b w:val="0"/>
                <w:sz w:val="22"/>
                <w:szCs w:val="22"/>
              </w:rPr>
            </w:pPr>
            <w:r>
              <w:rPr>
                <w:rFonts w:ascii="Calibri Light" w:hAnsi="Calibri Light"/>
                <w:b w:val="0"/>
                <w:sz w:val="22"/>
                <w:szCs w:val="22"/>
              </w:rPr>
              <w:t>A</w:t>
            </w:r>
            <w:r w:rsidRPr="00AA6E7C">
              <w:rPr>
                <w:rFonts w:ascii="Calibri Light" w:hAnsi="Calibri Light"/>
                <w:b w:val="0"/>
                <w:sz w:val="22"/>
                <w:szCs w:val="22"/>
              </w:rPr>
              <w:t>doptar las medidas necesarias para que la legislación i</w:t>
            </w:r>
            <w:r>
              <w:rPr>
                <w:rFonts w:ascii="Calibri Light" w:hAnsi="Calibri Light"/>
                <w:b w:val="0"/>
                <w:sz w:val="22"/>
                <w:szCs w:val="22"/>
              </w:rPr>
              <w:t>nterna de Guatemala sea consistente con la</w:t>
            </w:r>
            <w:r w:rsidRPr="00AA6E7C">
              <w:rPr>
                <w:rFonts w:ascii="Calibri Light" w:hAnsi="Calibri Light"/>
                <w:b w:val="0"/>
                <w:sz w:val="22"/>
                <w:szCs w:val="22"/>
              </w:rPr>
              <w:t xml:space="preserve"> práctica</w:t>
            </w:r>
            <w:r>
              <w:rPr>
                <w:rFonts w:ascii="Calibri Light" w:hAnsi="Calibri Light"/>
                <w:b w:val="0"/>
                <w:sz w:val="22"/>
                <w:szCs w:val="22"/>
              </w:rPr>
              <w:t xml:space="preserve"> de eliminar gradualmente la pena de muerte</w:t>
            </w:r>
            <w:r w:rsidRPr="00AA6E7C">
              <w:rPr>
                <w:rFonts w:ascii="Calibri Light" w:hAnsi="Calibri Light"/>
                <w:b w:val="0"/>
                <w:sz w:val="22"/>
                <w:szCs w:val="22"/>
              </w:rPr>
              <w:t xml:space="preserve"> y así continuar </w:t>
            </w:r>
            <w:r>
              <w:rPr>
                <w:rFonts w:ascii="Calibri Light" w:hAnsi="Calibri Light"/>
                <w:b w:val="0"/>
                <w:sz w:val="22"/>
                <w:szCs w:val="22"/>
              </w:rPr>
              <w:t>con el camino hacia su</w:t>
            </w:r>
            <w:r w:rsidRPr="00AA6E7C">
              <w:rPr>
                <w:rFonts w:ascii="Calibri Light" w:hAnsi="Calibri Light"/>
                <w:b w:val="0"/>
                <w:sz w:val="22"/>
                <w:szCs w:val="22"/>
              </w:rPr>
              <w:t xml:space="preserve"> abolición. </w:t>
            </w:r>
          </w:p>
          <w:p w14:paraId="49863AFC" w14:textId="27A6BE90" w:rsidR="00D95C84" w:rsidRPr="00D3271F" w:rsidRDefault="00D95C84" w:rsidP="00D3271F">
            <w:pPr>
              <w:jc w:val="both"/>
              <w:rPr>
                <w:rFonts w:ascii="Calibri Light" w:hAnsi="Calibri Light" w:cs="Calibri Light"/>
              </w:rPr>
            </w:pPr>
          </w:p>
        </w:tc>
      </w:tr>
      <w:tr w:rsidR="00D95C84" w:rsidRPr="004533E5" w14:paraId="0B7CC98E" w14:textId="77777777" w:rsidTr="00672538">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66CFB853" w14:textId="77777777" w:rsidR="00D95C84" w:rsidRPr="00310836" w:rsidRDefault="00D95C84" w:rsidP="00D95C84">
            <w:pPr>
              <w:pStyle w:val="ListParagraph"/>
              <w:spacing w:after="200" w:line="276" w:lineRule="auto"/>
              <w:rPr>
                <w:rFonts w:ascii="Calibri Light" w:hAnsi="Calibri Light"/>
              </w:rPr>
            </w:pPr>
          </w:p>
          <w:p w14:paraId="7B045F14" w14:textId="2270E615" w:rsidR="00D95C84" w:rsidRPr="00310836" w:rsidRDefault="00D95C84" w:rsidP="00D95C84">
            <w:pPr>
              <w:pStyle w:val="ListParagraph"/>
              <w:numPr>
                <w:ilvl w:val="0"/>
                <w:numId w:val="2"/>
              </w:numPr>
              <w:spacing w:after="200" w:line="276" w:lineRule="auto"/>
              <w:jc w:val="center"/>
              <w:rPr>
                <w:rFonts w:ascii="Calibri Light" w:hAnsi="Calibri Light"/>
              </w:rPr>
            </w:pPr>
            <w:r w:rsidRPr="00310836">
              <w:rPr>
                <w:rFonts w:ascii="Calibri Light" w:hAnsi="Calibri Light"/>
              </w:rPr>
              <w:t>Análisis de cumplimiento de las recomendaciones</w:t>
            </w:r>
          </w:p>
          <w:p w14:paraId="3C93C1C0" w14:textId="77777777" w:rsidR="00D95C84" w:rsidRPr="00310836" w:rsidRDefault="00D95C84" w:rsidP="00D95C84">
            <w:pPr>
              <w:pStyle w:val="ListParagraph"/>
              <w:ind w:left="0"/>
              <w:jc w:val="center"/>
              <w:rPr>
                <w:rFonts w:ascii="Calibri Light" w:hAnsi="Calibri Light"/>
                <w:b w:val="0"/>
              </w:rPr>
            </w:pPr>
          </w:p>
        </w:tc>
      </w:tr>
      <w:tr w:rsidR="00D95C84" w:rsidRPr="004533E5" w14:paraId="41FA15A1" w14:textId="77777777" w:rsidTr="00672538">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4AAFA1A0" w14:textId="77777777" w:rsidR="00D95C84" w:rsidRPr="00310836" w:rsidRDefault="00D95C84" w:rsidP="00D95C84">
            <w:pPr>
              <w:pStyle w:val="ListParagraph"/>
              <w:ind w:left="0"/>
              <w:jc w:val="both"/>
              <w:rPr>
                <w:rFonts w:ascii="Calibri Light" w:hAnsi="Calibri Light"/>
                <w:b w:val="0"/>
              </w:rPr>
            </w:pPr>
          </w:p>
          <w:p w14:paraId="59C6DB00" w14:textId="77777777" w:rsidR="00D95C84" w:rsidRPr="00310836" w:rsidRDefault="00D95C84" w:rsidP="00D95C84">
            <w:pPr>
              <w:pStyle w:val="ListParagraph"/>
              <w:ind w:left="0"/>
              <w:jc w:val="center"/>
              <w:rPr>
                <w:rFonts w:ascii="Calibri Light" w:hAnsi="Calibri Light"/>
                <w:b w:val="0"/>
              </w:rPr>
            </w:pPr>
            <w:r w:rsidRPr="00310836">
              <w:rPr>
                <w:rFonts w:ascii="Calibri Light" w:hAnsi="Calibri Light"/>
                <w:b w:val="0"/>
              </w:rPr>
              <w:t>-</w:t>
            </w:r>
          </w:p>
          <w:p w14:paraId="1F3EA985" w14:textId="4ED84473" w:rsidR="00D95C84" w:rsidRPr="00310836" w:rsidRDefault="00D95C84" w:rsidP="00D95C84">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6D9F6" w14:textId="77777777" w:rsidR="00B66F2E" w:rsidRDefault="00B66F2E" w:rsidP="00A65231">
      <w:pPr>
        <w:spacing w:after="0" w:line="240" w:lineRule="auto"/>
      </w:pPr>
      <w:r>
        <w:separator/>
      </w:r>
    </w:p>
  </w:endnote>
  <w:endnote w:type="continuationSeparator" w:id="0">
    <w:p w14:paraId="4CD880DD" w14:textId="77777777" w:rsidR="00B66F2E" w:rsidRDefault="00B66F2E"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5E5CB5A" w:rsidR="00670AC4" w:rsidRDefault="00670AC4">
        <w:pPr>
          <w:pStyle w:val="Footer"/>
          <w:jc w:val="right"/>
        </w:pPr>
        <w:r>
          <w:fldChar w:fldCharType="begin"/>
        </w:r>
        <w:r>
          <w:instrText>PAGE   \* MERGEFORMAT</w:instrText>
        </w:r>
        <w:r>
          <w:fldChar w:fldCharType="separate"/>
        </w:r>
        <w:r w:rsidR="005A4ED2" w:rsidRPr="005A4ED2">
          <w:rPr>
            <w:noProof/>
            <w:lang w:val="es-ES"/>
          </w:rPr>
          <w:t>6</w:t>
        </w:r>
        <w:r>
          <w:fldChar w:fldCharType="end"/>
        </w:r>
      </w:p>
    </w:sdtContent>
  </w:sdt>
  <w:p w14:paraId="6353BB13" w14:textId="77777777" w:rsidR="00670AC4" w:rsidRDefault="0067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DD3E7" w14:textId="77777777" w:rsidR="00B66F2E" w:rsidRDefault="00B66F2E" w:rsidP="00A65231">
      <w:pPr>
        <w:spacing w:after="0" w:line="240" w:lineRule="auto"/>
      </w:pPr>
      <w:r>
        <w:separator/>
      </w:r>
    </w:p>
  </w:footnote>
  <w:footnote w:type="continuationSeparator" w:id="0">
    <w:p w14:paraId="7D7A231F" w14:textId="77777777" w:rsidR="00B66F2E" w:rsidRDefault="00B66F2E"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5F65526"/>
    <w:multiLevelType w:val="hybridMultilevel"/>
    <w:tmpl w:val="38963A54"/>
    <w:lvl w:ilvl="0" w:tplc="5EF66D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B9F4E3C"/>
    <w:multiLevelType w:val="hybridMultilevel"/>
    <w:tmpl w:val="55504C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4"/>
  </w:num>
  <w:num w:numId="6">
    <w:abstractNumId w:val="10"/>
  </w:num>
  <w:num w:numId="7">
    <w:abstractNumId w:val="6"/>
  </w:num>
  <w:num w:numId="8">
    <w:abstractNumId w:val="11"/>
  </w:num>
  <w:num w:numId="9">
    <w:abstractNumId w:val="1"/>
  </w:num>
  <w:num w:numId="10">
    <w:abstractNumId w:val="5"/>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74D8"/>
    <w:rsid w:val="00027257"/>
    <w:rsid w:val="00050512"/>
    <w:rsid w:val="00061E2D"/>
    <w:rsid w:val="0008203A"/>
    <w:rsid w:val="00084893"/>
    <w:rsid w:val="000942BA"/>
    <w:rsid w:val="000A0C5C"/>
    <w:rsid w:val="000A1C6B"/>
    <w:rsid w:val="000A624C"/>
    <w:rsid w:val="000B5D58"/>
    <w:rsid w:val="000C2ED1"/>
    <w:rsid w:val="000C5A72"/>
    <w:rsid w:val="000D3CF2"/>
    <w:rsid w:val="000D680F"/>
    <w:rsid w:val="000F12DB"/>
    <w:rsid w:val="000F2C70"/>
    <w:rsid w:val="001026DE"/>
    <w:rsid w:val="00103C4C"/>
    <w:rsid w:val="001077C9"/>
    <w:rsid w:val="00111A5A"/>
    <w:rsid w:val="00116963"/>
    <w:rsid w:val="001179F9"/>
    <w:rsid w:val="00117B5F"/>
    <w:rsid w:val="00131F0F"/>
    <w:rsid w:val="00142A41"/>
    <w:rsid w:val="00151AFA"/>
    <w:rsid w:val="00162881"/>
    <w:rsid w:val="00163A69"/>
    <w:rsid w:val="00166967"/>
    <w:rsid w:val="001679C5"/>
    <w:rsid w:val="001754B7"/>
    <w:rsid w:val="001A14F7"/>
    <w:rsid w:val="001A2DF7"/>
    <w:rsid w:val="001C0894"/>
    <w:rsid w:val="001C28EC"/>
    <w:rsid w:val="001D066F"/>
    <w:rsid w:val="00212F62"/>
    <w:rsid w:val="00213757"/>
    <w:rsid w:val="00216A2A"/>
    <w:rsid w:val="00220B75"/>
    <w:rsid w:val="0022426F"/>
    <w:rsid w:val="00226BE9"/>
    <w:rsid w:val="00237E09"/>
    <w:rsid w:val="00242E6E"/>
    <w:rsid w:val="00243C42"/>
    <w:rsid w:val="00252E50"/>
    <w:rsid w:val="00260BF1"/>
    <w:rsid w:val="002720DA"/>
    <w:rsid w:val="00273EA6"/>
    <w:rsid w:val="00280835"/>
    <w:rsid w:val="00287BBC"/>
    <w:rsid w:val="0029049D"/>
    <w:rsid w:val="00291796"/>
    <w:rsid w:val="00291F24"/>
    <w:rsid w:val="002938AF"/>
    <w:rsid w:val="00295E72"/>
    <w:rsid w:val="0029671B"/>
    <w:rsid w:val="002A521C"/>
    <w:rsid w:val="002B2C58"/>
    <w:rsid w:val="002C4CED"/>
    <w:rsid w:val="002C67E8"/>
    <w:rsid w:val="002D1D2F"/>
    <w:rsid w:val="002D4A90"/>
    <w:rsid w:val="002D5158"/>
    <w:rsid w:val="002D7F8F"/>
    <w:rsid w:val="002E18A5"/>
    <w:rsid w:val="002E4FA0"/>
    <w:rsid w:val="002F4E35"/>
    <w:rsid w:val="002F7136"/>
    <w:rsid w:val="00310250"/>
    <w:rsid w:val="00310836"/>
    <w:rsid w:val="003111DB"/>
    <w:rsid w:val="00313025"/>
    <w:rsid w:val="00317EE5"/>
    <w:rsid w:val="00324080"/>
    <w:rsid w:val="0033703C"/>
    <w:rsid w:val="00344054"/>
    <w:rsid w:val="003501C8"/>
    <w:rsid w:val="00350E46"/>
    <w:rsid w:val="003570F3"/>
    <w:rsid w:val="00365121"/>
    <w:rsid w:val="00367D59"/>
    <w:rsid w:val="00382199"/>
    <w:rsid w:val="003920AF"/>
    <w:rsid w:val="00393029"/>
    <w:rsid w:val="00394D84"/>
    <w:rsid w:val="003A0CC7"/>
    <w:rsid w:val="003B0A2C"/>
    <w:rsid w:val="003C7680"/>
    <w:rsid w:val="003D1260"/>
    <w:rsid w:val="003E2B29"/>
    <w:rsid w:val="003E6AB8"/>
    <w:rsid w:val="004072C4"/>
    <w:rsid w:val="00411A74"/>
    <w:rsid w:val="00414F2C"/>
    <w:rsid w:val="00421D6C"/>
    <w:rsid w:val="00423B23"/>
    <w:rsid w:val="0042581C"/>
    <w:rsid w:val="00427D07"/>
    <w:rsid w:val="004347B7"/>
    <w:rsid w:val="00441ADC"/>
    <w:rsid w:val="00445ABA"/>
    <w:rsid w:val="00450046"/>
    <w:rsid w:val="00451809"/>
    <w:rsid w:val="00452AA6"/>
    <w:rsid w:val="004533E5"/>
    <w:rsid w:val="00464CAC"/>
    <w:rsid w:val="004839E2"/>
    <w:rsid w:val="004858A8"/>
    <w:rsid w:val="004861D8"/>
    <w:rsid w:val="004A3A07"/>
    <w:rsid w:val="004A57B6"/>
    <w:rsid w:val="004B1311"/>
    <w:rsid w:val="004B2686"/>
    <w:rsid w:val="004C0481"/>
    <w:rsid w:val="004C2E50"/>
    <w:rsid w:val="004E58DE"/>
    <w:rsid w:val="004E678F"/>
    <w:rsid w:val="004F061A"/>
    <w:rsid w:val="004F4491"/>
    <w:rsid w:val="004F5999"/>
    <w:rsid w:val="005000F5"/>
    <w:rsid w:val="0051197B"/>
    <w:rsid w:val="005173CF"/>
    <w:rsid w:val="00531684"/>
    <w:rsid w:val="00542A5B"/>
    <w:rsid w:val="00557C90"/>
    <w:rsid w:val="005612FD"/>
    <w:rsid w:val="00561359"/>
    <w:rsid w:val="005631C8"/>
    <w:rsid w:val="00580A2E"/>
    <w:rsid w:val="00590203"/>
    <w:rsid w:val="005A1DB6"/>
    <w:rsid w:val="005A4ED2"/>
    <w:rsid w:val="005C3229"/>
    <w:rsid w:val="005C6B25"/>
    <w:rsid w:val="005C7F1E"/>
    <w:rsid w:val="005D2FB8"/>
    <w:rsid w:val="005D4FDF"/>
    <w:rsid w:val="005F442D"/>
    <w:rsid w:val="006007A4"/>
    <w:rsid w:val="006051D5"/>
    <w:rsid w:val="00613D24"/>
    <w:rsid w:val="00620BB4"/>
    <w:rsid w:val="00621FC9"/>
    <w:rsid w:val="006325AC"/>
    <w:rsid w:val="00640787"/>
    <w:rsid w:val="006407DD"/>
    <w:rsid w:val="00662334"/>
    <w:rsid w:val="00670AC4"/>
    <w:rsid w:val="00672538"/>
    <w:rsid w:val="00676230"/>
    <w:rsid w:val="00682FB2"/>
    <w:rsid w:val="006853B3"/>
    <w:rsid w:val="00685F04"/>
    <w:rsid w:val="00691AC0"/>
    <w:rsid w:val="006A3F5E"/>
    <w:rsid w:val="006A4E40"/>
    <w:rsid w:val="006A6517"/>
    <w:rsid w:val="006B4F38"/>
    <w:rsid w:val="006B79CD"/>
    <w:rsid w:val="006D488A"/>
    <w:rsid w:val="006D4CCE"/>
    <w:rsid w:val="006F0396"/>
    <w:rsid w:val="00700883"/>
    <w:rsid w:val="0070524A"/>
    <w:rsid w:val="00714E42"/>
    <w:rsid w:val="00731711"/>
    <w:rsid w:val="0073272E"/>
    <w:rsid w:val="00732BC0"/>
    <w:rsid w:val="00732EDB"/>
    <w:rsid w:val="00733A0E"/>
    <w:rsid w:val="00733E0F"/>
    <w:rsid w:val="00745A34"/>
    <w:rsid w:val="00747E22"/>
    <w:rsid w:val="00750A6A"/>
    <w:rsid w:val="007518FD"/>
    <w:rsid w:val="007532FD"/>
    <w:rsid w:val="0075589C"/>
    <w:rsid w:val="007572E9"/>
    <w:rsid w:val="00762060"/>
    <w:rsid w:val="00783D86"/>
    <w:rsid w:val="00790783"/>
    <w:rsid w:val="007920A0"/>
    <w:rsid w:val="00794463"/>
    <w:rsid w:val="0079477F"/>
    <w:rsid w:val="007A6C56"/>
    <w:rsid w:val="007B1131"/>
    <w:rsid w:val="007B2A0D"/>
    <w:rsid w:val="007B3815"/>
    <w:rsid w:val="007B39E9"/>
    <w:rsid w:val="007B3F30"/>
    <w:rsid w:val="007B7ED8"/>
    <w:rsid w:val="007C1F53"/>
    <w:rsid w:val="007C597B"/>
    <w:rsid w:val="007D3FEF"/>
    <w:rsid w:val="007E063D"/>
    <w:rsid w:val="007E382B"/>
    <w:rsid w:val="007F73E0"/>
    <w:rsid w:val="00802D6A"/>
    <w:rsid w:val="008036E7"/>
    <w:rsid w:val="00803857"/>
    <w:rsid w:val="00803879"/>
    <w:rsid w:val="00811F4F"/>
    <w:rsid w:val="00826869"/>
    <w:rsid w:val="008416CC"/>
    <w:rsid w:val="00841B0E"/>
    <w:rsid w:val="00850A45"/>
    <w:rsid w:val="00850E71"/>
    <w:rsid w:val="00856D72"/>
    <w:rsid w:val="00861A09"/>
    <w:rsid w:val="00862F09"/>
    <w:rsid w:val="00865E7D"/>
    <w:rsid w:val="00866A4D"/>
    <w:rsid w:val="008704B9"/>
    <w:rsid w:val="00871530"/>
    <w:rsid w:val="008742D2"/>
    <w:rsid w:val="00875816"/>
    <w:rsid w:val="008A0F6C"/>
    <w:rsid w:val="008C4075"/>
    <w:rsid w:val="008D1B19"/>
    <w:rsid w:val="008E0B60"/>
    <w:rsid w:val="008E6CC6"/>
    <w:rsid w:val="008F0C5B"/>
    <w:rsid w:val="0090367F"/>
    <w:rsid w:val="00921D52"/>
    <w:rsid w:val="009261E2"/>
    <w:rsid w:val="00931244"/>
    <w:rsid w:val="009363AD"/>
    <w:rsid w:val="0094045D"/>
    <w:rsid w:val="009410ED"/>
    <w:rsid w:val="00947225"/>
    <w:rsid w:val="00954E20"/>
    <w:rsid w:val="00962CF9"/>
    <w:rsid w:val="00970941"/>
    <w:rsid w:val="00975D0F"/>
    <w:rsid w:val="00980C36"/>
    <w:rsid w:val="00984BBF"/>
    <w:rsid w:val="00987DF7"/>
    <w:rsid w:val="00990249"/>
    <w:rsid w:val="009940BA"/>
    <w:rsid w:val="00996958"/>
    <w:rsid w:val="009978DE"/>
    <w:rsid w:val="009A31D9"/>
    <w:rsid w:val="009B0A86"/>
    <w:rsid w:val="009C2C05"/>
    <w:rsid w:val="009D24D2"/>
    <w:rsid w:val="009D4E29"/>
    <w:rsid w:val="009D7E5A"/>
    <w:rsid w:val="009E154E"/>
    <w:rsid w:val="009E6228"/>
    <w:rsid w:val="009F6931"/>
    <w:rsid w:val="00A018FC"/>
    <w:rsid w:val="00A01C9E"/>
    <w:rsid w:val="00A06F98"/>
    <w:rsid w:val="00A125A9"/>
    <w:rsid w:val="00A133CC"/>
    <w:rsid w:val="00A208BC"/>
    <w:rsid w:val="00A271BF"/>
    <w:rsid w:val="00A3105E"/>
    <w:rsid w:val="00A423CC"/>
    <w:rsid w:val="00A438B0"/>
    <w:rsid w:val="00A4435A"/>
    <w:rsid w:val="00A5581A"/>
    <w:rsid w:val="00A60087"/>
    <w:rsid w:val="00A65231"/>
    <w:rsid w:val="00A85413"/>
    <w:rsid w:val="00A85DC9"/>
    <w:rsid w:val="00A91B24"/>
    <w:rsid w:val="00A94EE7"/>
    <w:rsid w:val="00AA6676"/>
    <w:rsid w:val="00AC56D8"/>
    <w:rsid w:val="00AC5A6A"/>
    <w:rsid w:val="00AC6F31"/>
    <w:rsid w:val="00AD36B4"/>
    <w:rsid w:val="00AD5604"/>
    <w:rsid w:val="00AE118A"/>
    <w:rsid w:val="00AE31D9"/>
    <w:rsid w:val="00AE7394"/>
    <w:rsid w:val="00AF0F2A"/>
    <w:rsid w:val="00AF2E49"/>
    <w:rsid w:val="00B07E72"/>
    <w:rsid w:val="00B1308C"/>
    <w:rsid w:val="00B1597A"/>
    <w:rsid w:val="00B15F5E"/>
    <w:rsid w:val="00B22535"/>
    <w:rsid w:val="00B301D6"/>
    <w:rsid w:val="00B31B0E"/>
    <w:rsid w:val="00B379D5"/>
    <w:rsid w:val="00B44EA1"/>
    <w:rsid w:val="00B535C2"/>
    <w:rsid w:val="00B55B40"/>
    <w:rsid w:val="00B56E3A"/>
    <w:rsid w:val="00B6265F"/>
    <w:rsid w:val="00B6607C"/>
    <w:rsid w:val="00B66F2E"/>
    <w:rsid w:val="00B71B8C"/>
    <w:rsid w:val="00B74514"/>
    <w:rsid w:val="00B771B5"/>
    <w:rsid w:val="00B84CF3"/>
    <w:rsid w:val="00B90050"/>
    <w:rsid w:val="00B93CB9"/>
    <w:rsid w:val="00BA0B2B"/>
    <w:rsid w:val="00BA2B50"/>
    <w:rsid w:val="00BA7B98"/>
    <w:rsid w:val="00BA7DB9"/>
    <w:rsid w:val="00BB61C6"/>
    <w:rsid w:val="00BC6AC9"/>
    <w:rsid w:val="00BD48E5"/>
    <w:rsid w:val="00BE4AFD"/>
    <w:rsid w:val="00BE6FA1"/>
    <w:rsid w:val="00BF2A00"/>
    <w:rsid w:val="00BF45AC"/>
    <w:rsid w:val="00BF4A17"/>
    <w:rsid w:val="00C07EB3"/>
    <w:rsid w:val="00C10BC5"/>
    <w:rsid w:val="00C12A0A"/>
    <w:rsid w:val="00C15A6E"/>
    <w:rsid w:val="00C20AC7"/>
    <w:rsid w:val="00C31DFF"/>
    <w:rsid w:val="00C44544"/>
    <w:rsid w:val="00C47FFC"/>
    <w:rsid w:val="00C542EC"/>
    <w:rsid w:val="00C61809"/>
    <w:rsid w:val="00C627BB"/>
    <w:rsid w:val="00C63B25"/>
    <w:rsid w:val="00C72CF5"/>
    <w:rsid w:val="00C81C09"/>
    <w:rsid w:val="00C86F65"/>
    <w:rsid w:val="00C9455E"/>
    <w:rsid w:val="00C95883"/>
    <w:rsid w:val="00CA37A7"/>
    <w:rsid w:val="00CB180B"/>
    <w:rsid w:val="00CB3E90"/>
    <w:rsid w:val="00CB6B37"/>
    <w:rsid w:val="00CB6E93"/>
    <w:rsid w:val="00CC717F"/>
    <w:rsid w:val="00CC76A5"/>
    <w:rsid w:val="00CE3E91"/>
    <w:rsid w:val="00CF16F9"/>
    <w:rsid w:val="00CF2D40"/>
    <w:rsid w:val="00D045D3"/>
    <w:rsid w:val="00D0696E"/>
    <w:rsid w:val="00D10449"/>
    <w:rsid w:val="00D119FA"/>
    <w:rsid w:val="00D13126"/>
    <w:rsid w:val="00D3271F"/>
    <w:rsid w:val="00D33994"/>
    <w:rsid w:val="00D51658"/>
    <w:rsid w:val="00D879FF"/>
    <w:rsid w:val="00D90242"/>
    <w:rsid w:val="00D95C84"/>
    <w:rsid w:val="00DA3B8C"/>
    <w:rsid w:val="00DB706B"/>
    <w:rsid w:val="00DC299D"/>
    <w:rsid w:val="00DC5670"/>
    <w:rsid w:val="00DD3C7C"/>
    <w:rsid w:val="00DD4004"/>
    <w:rsid w:val="00DD4037"/>
    <w:rsid w:val="00DD77C0"/>
    <w:rsid w:val="00DE205D"/>
    <w:rsid w:val="00DE3223"/>
    <w:rsid w:val="00DF2AFB"/>
    <w:rsid w:val="00E00A30"/>
    <w:rsid w:val="00E13FCE"/>
    <w:rsid w:val="00E23FD9"/>
    <w:rsid w:val="00E26E61"/>
    <w:rsid w:val="00E35FF7"/>
    <w:rsid w:val="00E374E5"/>
    <w:rsid w:val="00E549C0"/>
    <w:rsid w:val="00E6558E"/>
    <w:rsid w:val="00E70716"/>
    <w:rsid w:val="00E82999"/>
    <w:rsid w:val="00E82DAF"/>
    <w:rsid w:val="00E97194"/>
    <w:rsid w:val="00EB47E0"/>
    <w:rsid w:val="00EC207D"/>
    <w:rsid w:val="00EC2C0C"/>
    <w:rsid w:val="00EC4E9F"/>
    <w:rsid w:val="00ED1B65"/>
    <w:rsid w:val="00ED6510"/>
    <w:rsid w:val="00EE6130"/>
    <w:rsid w:val="00F055E4"/>
    <w:rsid w:val="00F06184"/>
    <w:rsid w:val="00F07CF4"/>
    <w:rsid w:val="00F30F76"/>
    <w:rsid w:val="00F3280D"/>
    <w:rsid w:val="00F35633"/>
    <w:rsid w:val="00F37ED4"/>
    <w:rsid w:val="00F45EBB"/>
    <w:rsid w:val="00F464EC"/>
    <w:rsid w:val="00F505FB"/>
    <w:rsid w:val="00F53444"/>
    <w:rsid w:val="00F537D8"/>
    <w:rsid w:val="00F55CD0"/>
    <w:rsid w:val="00F574C8"/>
    <w:rsid w:val="00F61401"/>
    <w:rsid w:val="00F64973"/>
    <w:rsid w:val="00F654E4"/>
    <w:rsid w:val="00F7009B"/>
    <w:rsid w:val="00F70D4D"/>
    <w:rsid w:val="00F725A5"/>
    <w:rsid w:val="00F83405"/>
    <w:rsid w:val="00F845A6"/>
    <w:rsid w:val="00FB0F60"/>
    <w:rsid w:val="00FB1A15"/>
    <w:rsid w:val="00FB1D17"/>
    <w:rsid w:val="00FB77E7"/>
    <w:rsid w:val="00FC62BE"/>
    <w:rsid w:val="00FE0200"/>
    <w:rsid w:val="00FE1023"/>
    <w:rsid w:val="00FE2BA4"/>
    <w:rsid w:val="00FE3FFE"/>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BA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2B"/>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A0B2B"/>
    <w:rPr>
      <w:vertAlign w:val="superscript"/>
    </w:rPr>
  </w:style>
  <w:style w:type="paragraph" w:customStyle="1" w:styleId="Default">
    <w:name w:val="Default"/>
    <w:rsid w:val="00D33994"/>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A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corte/2018/11782Fondo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1782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87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1153-8CB1-4354-8D76-027D3B6D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3070</Words>
  <Characters>17504</Characters>
  <Application>Microsoft Office Word</Application>
  <DocSecurity>0</DocSecurity>
  <Lines>145</Lines>
  <Paragraphs>41</Paragraphs>
  <ScaleCrop>false</ScaleCrop>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2021-02-11T09:49:00Z</dcterms:created>
  <dcterms:modified xsi:type="dcterms:W3CDTF">2021-02-11T09:49:00Z</dcterms:modified>
</cp:coreProperties>
</file>