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C23F" w14:textId="77777777" w:rsidR="00B55BD1" w:rsidRDefault="00B55BD1" w:rsidP="00B55BD1">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7526F83A" wp14:editId="730DB364">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FA7F9F0" wp14:editId="1A2C5AB6">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2A0A899" wp14:editId="5870BD10">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CD2D0" w14:textId="77777777" w:rsidR="00B55BD1" w:rsidRPr="00411A74" w:rsidRDefault="00B55BD1" w:rsidP="00B55BD1">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7FD04D00" w14:textId="77777777" w:rsidR="00B55BD1" w:rsidRDefault="00B55BD1" w:rsidP="00B55BD1">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427E0C0F" w14:textId="77777777" w:rsidR="002625BC" w:rsidRDefault="002625BC" w:rsidP="002625BC">
      <w:pPr>
        <w:spacing w:after="0" w:line="240" w:lineRule="auto"/>
        <w:jc w:val="center"/>
        <w:outlineLvl w:val="0"/>
        <w:rPr>
          <w:rFonts w:ascii="Calibri Light" w:hAnsi="Calibri Light"/>
          <w:b/>
          <w:i/>
          <w:lang w:val="es-PE"/>
        </w:rPr>
      </w:pPr>
    </w:p>
    <w:tbl>
      <w:tblPr>
        <w:tblStyle w:val="Tabladelista2-nfasis11"/>
        <w:tblW w:w="0" w:type="auto"/>
        <w:tblInd w:w="0" w:type="dxa"/>
        <w:tblLook w:val="04A0" w:firstRow="1" w:lastRow="0" w:firstColumn="1" w:lastColumn="0" w:noHBand="0" w:noVBand="1"/>
      </w:tblPr>
      <w:tblGrid>
        <w:gridCol w:w="3677"/>
        <w:gridCol w:w="2400"/>
        <w:gridCol w:w="2643"/>
      </w:tblGrid>
      <w:tr w:rsidR="00FF6887" w14:paraId="7AA84038" w14:textId="77777777" w:rsidTr="00D72E3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vAlign w:val="center"/>
          </w:tcPr>
          <w:p w14:paraId="2FA8D2B5" w14:textId="59182E01" w:rsidR="00FF6887" w:rsidRPr="00D72E33" w:rsidRDefault="00FF6887" w:rsidP="00D72E33">
            <w:pPr>
              <w:pStyle w:val="ListParagraph"/>
              <w:numPr>
                <w:ilvl w:val="0"/>
                <w:numId w:val="1"/>
              </w:numPr>
              <w:spacing w:after="0" w:line="240" w:lineRule="auto"/>
              <w:jc w:val="center"/>
              <w:rPr>
                <w:rFonts w:ascii="Calibri Light" w:hAnsi="Calibri Light"/>
              </w:rPr>
            </w:pPr>
            <w:r w:rsidRPr="001175AD">
              <w:rPr>
                <w:rFonts w:ascii="Calibri Light" w:hAnsi="Calibri Light"/>
              </w:rPr>
              <w:t>Datos generales</w:t>
            </w:r>
          </w:p>
        </w:tc>
      </w:tr>
      <w:tr w:rsidR="00FF6887" w14:paraId="72261450" w14:textId="77777777" w:rsidTr="00FF688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23B495B6" w14:textId="77777777" w:rsidR="00FF6887" w:rsidRPr="001175AD" w:rsidRDefault="00FF6887" w:rsidP="00FF0E8F">
            <w:pPr>
              <w:pStyle w:val="ListParagraph"/>
              <w:numPr>
                <w:ilvl w:val="0"/>
                <w:numId w:val="2"/>
              </w:numPr>
              <w:spacing w:after="0" w:line="240" w:lineRule="auto"/>
              <w:jc w:val="both"/>
              <w:rPr>
                <w:rFonts w:ascii="Calibri Light" w:hAnsi="Calibri Light"/>
              </w:rPr>
            </w:pPr>
            <w:r w:rsidRPr="001175AD">
              <w:rPr>
                <w:rFonts w:ascii="Calibri Light" w:hAnsi="Calibri Light"/>
              </w:rPr>
              <w:t>Nombre del caso</w:t>
            </w:r>
          </w:p>
        </w:tc>
        <w:tc>
          <w:tcPr>
            <w:tcW w:w="5043" w:type="dxa"/>
            <w:gridSpan w:val="2"/>
            <w:tcBorders>
              <w:top w:val="single" w:sz="4" w:space="0" w:color="9CC2E5" w:themeColor="accent1" w:themeTint="99"/>
              <w:left w:val="nil"/>
              <w:bottom w:val="single" w:sz="4" w:space="0" w:color="9CC2E5" w:themeColor="accent1" w:themeTint="99"/>
              <w:right w:val="nil"/>
            </w:tcBorders>
            <w:hideMark/>
          </w:tcPr>
          <w:p w14:paraId="61E03A36" w14:textId="64809E83" w:rsidR="00FF6887" w:rsidRPr="001175AD" w:rsidRDefault="00D72E33" w:rsidP="001175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Eduardo Benjamín Colindres, </w:t>
            </w:r>
            <w:r w:rsidR="00FF6887" w:rsidRPr="001175AD">
              <w:rPr>
                <w:rFonts w:ascii="Calibri Light" w:hAnsi="Calibri Light"/>
              </w:rPr>
              <w:t>El Salvador</w:t>
            </w:r>
          </w:p>
        </w:tc>
      </w:tr>
      <w:tr w:rsidR="00FF6887" w14:paraId="7F231260" w14:textId="77777777" w:rsidTr="00FF6887">
        <w:trPr>
          <w:trHeight w:val="263"/>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39E63414" w14:textId="0D63F91D" w:rsidR="00FF6887" w:rsidRPr="001175AD" w:rsidRDefault="00D72E33" w:rsidP="00FF0E8F">
            <w:pPr>
              <w:pStyle w:val="ListParagraph"/>
              <w:numPr>
                <w:ilvl w:val="0"/>
                <w:numId w:val="2"/>
              </w:numPr>
              <w:spacing w:after="0" w:line="240" w:lineRule="auto"/>
              <w:jc w:val="both"/>
              <w:rPr>
                <w:rFonts w:ascii="Calibri Light" w:hAnsi="Calibri Light"/>
              </w:rPr>
            </w:pPr>
            <w:r>
              <w:rPr>
                <w:rFonts w:ascii="Calibri Light" w:hAnsi="Calibri Light"/>
              </w:rPr>
              <w:t>Parte peticionaria</w:t>
            </w:r>
          </w:p>
        </w:tc>
        <w:tc>
          <w:tcPr>
            <w:tcW w:w="5043" w:type="dxa"/>
            <w:gridSpan w:val="2"/>
            <w:tcBorders>
              <w:top w:val="single" w:sz="4" w:space="0" w:color="9CC2E5" w:themeColor="accent1" w:themeTint="99"/>
              <w:left w:val="nil"/>
              <w:bottom w:val="single" w:sz="4" w:space="0" w:color="9CC2E5" w:themeColor="accent1" w:themeTint="99"/>
              <w:right w:val="nil"/>
            </w:tcBorders>
            <w:hideMark/>
          </w:tcPr>
          <w:p w14:paraId="4F68B636" w14:textId="77777777" w:rsidR="00FF6887" w:rsidRPr="001C3364" w:rsidRDefault="00FF6887"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175AD">
              <w:rPr>
                <w:rFonts w:ascii="Calibri Light" w:hAnsi="Calibri Light"/>
              </w:rPr>
              <w:t xml:space="preserve">Instituto de Derechos Humanos de la Universidad </w:t>
            </w:r>
            <w:r w:rsidRPr="009C33AD">
              <w:rPr>
                <w:rFonts w:ascii="Calibri Light" w:hAnsi="Calibri Light"/>
              </w:rPr>
              <w:t>Centroamericana “José Simeón Cañas”</w:t>
            </w:r>
          </w:p>
        </w:tc>
      </w:tr>
      <w:tr w:rsidR="00FF6887" w14:paraId="700208BC" w14:textId="77777777" w:rsidTr="00FF688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7F84E821" w14:textId="77777777" w:rsidR="00FF6887" w:rsidRPr="001175AD" w:rsidRDefault="00FF6887" w:rsidP="00FF0E8F">
            <w:pPr>
              <w:pStyle w:val="ListParagraph"/>
              <w:numPr>
                <w:ilvl w:val="0"/>
                <w:numId w:val="2"/>
              </w:numPr>
              <w:spacing w:after="0" w:line="240" w:lineRule="auto"/>
              <w:jc w:val="both"/>
              <w:rPr>
                <w:rFonts w:ascii="Calibri Light" w:hAnsi="Calibri Light"/>
              </w:rPr>
            </w:pPr>
            <w:r w:rsidRPr="001175AD">
              <w:rPr>
                <w:rFonts w:ascii="Calibri Light" w:hAnsi="Calibri Light"/>
              </w:rPr>
              <w:t xml:space="preserve">Número de Informe </w:t>
            </w:r>
          </w:p>
        </w:tc>
        <w:tc>
          <w:tcPr>
            <w:tcW w:w="5043" w:type="dxa"/>
            <w:gridSpan w:val="2"/>
            <w:tcBorders>
              <w:top w:val="single" w:sz="4" w:space="0" w:color="9CC2E5" w:themeColor="accent1" w:themeTint="99"/>
              <w:left w:val="nil"/>
              <w:bottom w:val="single" w:sz="4" w:space="0" w:color="9CC2E5" w:themeColor="accent1" w:themeTint="99"/>
              <w:right w:val="nil"/>
            </w:tcBorders>
            <w:hideMark/>
          </w:tcPr>
          <w:p w14:paraId="28CA328D" w14:textId="77777777" w:rsidR="00FF6887" w:rsidRPr="001175AD" w:rsidRDefault="00A275FA" w:rsidP="001175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FF6887" w:rsidRPr="00FF0E8F">
                <w:rPr>
                  <w:rStyle w:val="Hyperlink"/>
                  <w:rFonts w:ascii="Calibri Light" w:hAnsi="Calibri Light"/>
                  <w:color w:val="0033CC"/>
                </w:rPr>
                <w:t>Informe No. 23/17</w:t>
              </w:r>
            </w:hyperlink>
          </w:p>
        </w:tc>
      </w:tr>
      <w:tr w:rsidR="00FF6887" w14:paraId="20AE0845" w14:textId="77777777" w:rsidTr="00FF6887">
        <w:trPr>
          <w:trHeight w:val="212"/>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1916195F" w14:textId="77777777" w:rsidR="00FF6887" w:rsidRPr="00FF0E8F" w:rsidRDefault="00FF6887" w:rsidP="00FF0E8F">
            <w:pPr>
              <w:pStyle w:val="ListParagraph"/>
              <w:numPr>
                <w:ilvl w:val="0"/>
                <w:numId w:val="2"/>
              </w:numPr>
              <w:spacing w:after="0" w:line="240" w:lineRule="auto"/>
              <w:jc w:val="both"/>
              <w:rPr>
                <w:rFonts w:ascii="Calibri Light" w:hAnsi="Calibri Light"/>
              </w:rPr>
            </w:pPr>
            <w:r w:rsidRPr="001175AD">
              <w:rPr>
                <w:rFonts w:ascii="Calibri Light" w:hAnsi="Calibri Light"/>
              </w:rPr>
              <w:t xml:space="preserve">Tipo de informe </w:t>
            </w:r>
          </w:p>
        </w:tc>
        <w:tc>
          <w:tcPr>
            <w:tcW w:w="5043" w:type="dxa"/>
            <w:gridSpan w:val="2"/>
            <w:tcBorders>
              <w:top w:val="single" w:sz="4" w:space="0" w:color="9CC2E5" w:themeColor="accent1" w:themeTint="99"/>
              <w:left w:val="nil"/>
              <w:bottom w:val="single" w:sz="4" w:space="0" w:color="9CC2E5" w:themeColor="accent1" w:themeTint="99"/>
              <w:right w:val="nil"/>
            </w:tcBorders>
            <w:vAlign w:val="center"/>
            <w:hideMark/>
          </w:tcPr>
          <w:p w14:paraId="7FD81BC3" w14:textId="77777777" w:rsidR="00FF6887" w:rsidRPr="001175AD" w:rsidRDefault="00FF6887"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175AD">
              <w:rPr>
                <w:rFonts w:ascii="Calibri Light" w:hAnsi="Calibri Light"/>
              </w:rPr>
              <w:t>Informe de Fondo (Caso en la Corte IDH)</w:t>
            </w:r>
          </w:p>
        </w:tc>
      </w:tr>
      <w:tr w:rsidR="00FF6887" w14:paraId="7B5EC034" w14:textId="77777777" w:rsidTr="00984456">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4F7FFF6E" w14:textId="77777777" w:rsidR="00FF6887" w:rsidRPr="001175AD" w:rsidRDefault="00FF6887" w:rsidP="00FF0E8F">
            <w:pPr>
              <w:pStyle w:val="ListParagraph"/>
              <w:numPr>
                <w:ilvl w:val="0"/>
                <w:numId w:val="2"/>
              </w:numPr>
              <w:spacing w:after="0" w:line="240" w:lineRule="auto"/>
              <w:jc w:val="both"/>
              <w:rPr>
                <w:rFonts w:ascii="Calibri Light" w:hAnsi="Calibri Light"/>
              </w:rPr>
            </w:pPr>
            <w:r w:rsidRPr="001175AD">
              <w:rPr>
                <w:rFonts w:ascii="Calibri Light" w:hAnsi="Calibri Light"/>
              </w:rPr>
              <w:t xml:space="preserve">Fecha </w:t>
            </w:r>
          </w:p>
        </w:tc>
        <w:tc>
          <w:tcPr>
            <w:tcW w:w="5043" w:type="dxa"/>
            <w:gridSpan w:val="2"/>
            <w:tcBorders>
              <w:top w:val="single" w:sz="4" w:space="0" w:color="9CC2E5" w:themeColor="accent1" w:themeTint="99"/>
              <w:left w:val="nil"/>
              <w:bottom w:val="single" w:sz="4" w:space="0" w:color="9CC2E5" w:themeColor="accent1" w:themeTint="99"/>
              <w:right w:val="nil"/>
            </w:tcBorders>
            <w:vAlign w:val="center"/>
            <w:hideMark/>
          </w:tcPr>
          <w:p w14:paraId="7C76F9EC" w14:textId="77777777" w:rsidR="00FF6887" w:rsidRPr="001175AD" w:rsidRDefault="00FF6887" w:rsidP="00D72E3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175AD">
              <w:rPr>
                <w:rFonts w:ascii="Calibri Light" w:hAnsi="Calibri Light"/>
              </w:rPr>
              <w:t>18 de marzo de 2017</w:t>
            </w:r>
          </w:p>
        </w:tc>
      </w:tr>
      <w:tr w:rsidR="00FF6887" w14:paraId="2565D16F" w14:textId="77777777" w:rsidTr="00D72E33">
        <w:trPr>
          <w:trHeight w:val="510"/>
        </w:trPr>
        <w:tc>
          <w:tcPr>
            <w:cnfStyle w:val="001000000000" w:firstRow="0" w:lastRow="0" w:firstColumn="1" w:lastColumn="0" w:oddVBand="0" w:evenVBand="0" w:oddHBand="0" w:evenHBand="0" w:firstRowFirstColumn="0" w:firstRowLastColumn="0" w:lastRowFirstColumn="0" w:lastRowLastColumn="0"/>
            <w:tcW w:w="3678" w:type="dxa"/>
            <w:tcBorders>
              <w:top w:val="single" w:sz="4" w:space="0" w:color="9CC2E5" w:themeColor="accent1" w:themeTint="99"/>
              <w:left w:val="nil"/>
              <w:bottom w:val="single" w:sz="4" w:space="0" w:color="9CC2E5" w:themeColor="accent1" w:themeTint="99"/>
              <w:right w:val="nil"/>
            </w:tcBorders>
            <w:hideMark/>
          </w:tcPr>
          <w:p w14:paraId="7D007343" w14:textId="77777777" w:rsidR="00FF6887" w:rsidRPr="001175AD" w:rsidRDefault="00FF6887" w:rsidP="00FF0E8F">
            <w:pPr>
              <w:pStyle w:val="ListParagraph"/>
              <w:numPr>
                <w:ilvl w:val="0"/>
                <w:numId w:val="2"/>
              </w:numPr>
              <w:spacing w:after="0" w:line="240" w:lineRule="auto"/>
              <w:jc w:val="both"/>
              <w:rPr>
                <w:rFonts w:ascii="Calibri Light" w:hAnsi="Calibri Light"/>
              </w:rPr>
            </w:pPr>
            <w:r w:rsidRPr="001175AD">
              <w:rPr>
                <w:rFonts w:ascii="Calibri Light" w:hAnsi="Calibri Light"/>
              </w:rPr>
              <w:t>Decisiones de la CIDH y/o la Corte IDH, relacionadas</w:t>
            </w:r>
          </w:p>
        </w:tc>
        <w:tc>
          <w:tcPr>
            <w:tcW w:w="5043" w:type="dxa"/>
            <w:gridSpan w:val="2"/>
            <w:tcBorders>
              <w:top w:val="single" w:sz="4" w:space="0" w:color="9CC2E5" w:themeColor="accent1" w:themeTint="99"/>
              <w:left w:val="nil"/>
              <w:bottom w:val="single" w:sz="4" w:space="0" w:color="9CC2E5" w:themeColor="accent1" w:themeTint="99"/>
              <w:right w:val="nil"/>
            </w:tcBorders>
            <w:vAlign w:val="center"/>
            <w:hideMark/>
          </w:tcPr>
          <w:p w14:paraId="488B160F" w14:textId="77777777" w:rsidR="00FF6887" w:rsidRDefault="00187C74"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066826">
              <w:rPr>
                <w:rFonts w:ascii="Calibri Light" w:hAnsi="Calibri Light"/>
              </w:rPr>
              <w:t>Informe No. 25/06 (</w:t>
            </w:r>
            <w:hyperlink r:id="rId13" w:history="1">
              <w:r w:rsidRPr="00FF0E8F">
                <w:rPr>
                  <w:rStyle w:val="Hyperlink"/>
                  <w:rFonts w:ascii="Calibri Light" w:hAnsi="Calibri Light"/>
                  <w:color w:val="0033CC"/>
                </w:rPr>
                <w:t>Admisibilidad</w:t>
              </w:r>
            </w:hyperlink>
            <w:r w:rsidRPr="001175AD">
              <w:rPr>
                <w:rFonts w:ascii="Calibri Light" w:hAnsi="Calibri Light"/>
              </w:rPr>
              <w:t>)</w:t>
            </w:r>
          </w:p>
          <w:p w14:paraId="1552D298" w14:textId="4A49AEC6" w:rsidR="00DB0A3A" w:rsidRPr="001175AD" w:rsidRDefault="00DB0A3A"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Colindres Schonenberg vs. El Salvador (</w:t>
            </w:r>
            <w:hyperlink r:id="rId14" w:history="1">
              <w:r w:rsidRPr="00DB0A3A">
                <w:rPr>
                  <w:rStyle w:val="Hyperlink"/>
                  <w:rFonts w:ascii="Calibri Light" w:hAnsi="Calibri Light"/>
                  <w:color w:val="0033CC"/>
                </w:rPr>
                <w:t>Sentencia de 4 de febrero de 2019</w:t>
              </w:r>
            </w:hyperlink>
            <w:r>
              <w:rPr>
                <w:rFonts w:ascii="Calibri Light" w:hAnsi="Calibri Light"/>
              </w:rPr>
              <w:t>)</w:t>
            </w:r>
          </w:p>
        </w:tc>
      </w:tr>
      <w:tr w:rsidR="00FF6887" w14:paraId="3A38658C" w14:textId="77777777" w:rsidTr="00D72E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8" w:type="dxa"/>
            <w:vMerge w:val="restart"/>
            <w:tcBorders>
              <w:top w:val="single" w:sz="4" w:space="0" w:color="9CC2E5" w:themeColor="accent1" w:themeTint="99"/>
              <w:left w:val="nil"/>
              <w:bottom w:val="single" w:sz="4" w:space="0" w:color="9CC2E5" w:themeColor="accent1" w:themeTint="99"/>
              <w:right w:val="nil"/>
            </w:tcBorders>
            <w:hideMark/>
          </w:tcPr>
          <w:p w14:paraId="4E205C5A" w14:textId="77777777" w:rsidR="00FF6887" w:rsidRPr="001175AD" w:rsidRDefault="00FF6887" w:rsidP="001175AD">
            <w:pPr>
              <w:pStyle w:val="ListParagraph"/>
              <w:numPr>
                <w:ilvl w:val="0"/>
                <w:numId w:val="2"/>
              </w:numPr>
              <w:spacing w:after="0" w:line="240" w:lineRule="auto"/>
              <w:jc w:val="both"/>
              <w:rPr>
                <w:rFonts w:ascii="Calibri Light" w:hAnsi="Calibri Light"/>
              </w:rPr>
            </w:pPr>
            <w:r w:rsidRPr="001175AD">
              <w:rPr>
                <w:rFonts w:ascii="Calibri Light" w:hAnsi="Calibri Light"/>
              </w:rPr>
              <w:t xml:space="preserve">Artículos analizados </w:t>
            </w:r>
          </w:p>
        </w:tc>
        <w:tc>
          <w:tcPr>
            <w:tcW w:w="5043" w:type="dxa"/>
            <w:gridSpan w:val="2"/>
            <w:tcBorders>
              <w:top w:val="single" w:sz="4" w:space="0" w:color="9CC2E5" w:themeColor="accent1" w:themeTint="99"/>
              <w:left w:val="nil"/>
              <w:bottom w:val="single" w:sz="4" w:space="0" w:color="9CC2E5" w:themeColor="accent1" w:themeTint="99"/>
              <w:right w:val="nil"/>
            </w:tcBorders>
            <w:vAlign w:val="center"/>
            <w:hideMark/>
          </w:tcPr>
          <w:p w14:paraId="4A83B80B" w14:textId="77777777" w:rsidR="00FF6887" w:rsidRPr="00066826" w:rsidRDefault="00187C74" w:rsidP="001175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175AD">
              <w:rPr>
                <w:rFonts w:ascii="Calibri Light" w:hAnsi="Calibri Light"/>
              </w:rPr>
              <w:t>Convención Americana sobre Derechos Humanos</w:t>
            </w:r>
          </w:p>
        </w:tc>
      </w:tr>
      <w:tr w:rsidR="00FF6887" w14:paraId="066512F0" w14:textId="77777777" w:rsidTr="00FF6887">
        <w:trPr>
          <w:trHeight w:val="61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nil"/>
              <w:bottom w:val="single" w:sz="4" w:space="0" w:color="9CC2E5" w:themeColor="accent1" w:themeTint="99"/>
              <w:right w:val="nil"/>
            </w:tcBorders>
            <w:vAlign w:val="center"/>
            <w:hideMark/>
          </w:tcPr>
          <w:p w14:paraId="209C86C0" w14:textId="77777777" w:rsidR="00FF6887" w:rsidRPr="001175AD" w:rsidRDefault="00FF6887" w:rsidP="00FF0E8F">
            <w:pPr>
              <w:spacing w:after="0" w:line="240" w:lineRule="auto"/>
              <w:jc w:val="both"/>
              <w:rPr>
                <w:rFonts w:ascii="Calibri Light" w:hAnsi="Calibri Light"/>
              </w:rPr>
            </w:pPr>
          </w:p>
        </w:tc>
        <w:tc>
          <w:tcPr>
            <w:tcW w:w="2400" w:type="dxa"/>
            <w:tcBorders>
              <w:top w:val="single" w:sz="4" w:space="0" w:color="9CC2E5" w:themeColor="accent1" w:themeTint="99"/>
              <w:left w:val="nil"/>
              <w:bottom w:val="single" w:sz="4" w:space="0" w:color="9CC2E5" w:themeColor="accent1" w:themeTint="99"/>
              <w:right w:val="nil"/>
            </w:tcBorders>
            <w:vAlign w:val="center"/>
            <w:hideMark/>
          </w:tcPr>
          <w:p w14:paraId="2FEA33E4" w14:textId="77777777" w:rsidR="00FF6887" w:rsidRPr="001175AD" w:rsidRDefault="00FF6887"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175AD">
              <w:rPr>
                <w:rFonts w:ascii="Calibri Light" w:hAnsi="Calibri Light"/>
              </w:rPr>
              <w:t>Artículos analizados declarados violados</w:t>
            </w:r>
          </w:p>
        </w:tc>
        <w:tc>
          <w:tcPr>
            <w:tcW w:w="2643" w:type="dxa"/>
            <w:tcBorders>
              <w:top w:val="single" w:sz="4" w:space="0" w:color="9CC2E5" w:themeColor="accent1" w:themeTint="99"/>
              <w:left w:val="nil"/>
              <w:bottom w:val="single" w:sz="4" w:space="0" w:color="9CC2E5" w:themeColor="accent1" w:themeTint="99"/>
              <w:right w:val="nil"/>
            </w:tcBorders>
            <w:vAlign w:val="center"/>
            <w:hideMark/>
          </w:tcPr>
          <w:p w14:paraId="46D577E3" w14:textId="77777777" w:rsidR="00FF6887" w:rsidRPr="001175AD" w:rsidRDefault="00FF6887" w:rsidP="001175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175AD">
              <w:rPr>
                <w:rFonts w:ascii="Calibri Light" w:hAnsi="Calibri Light"/>
              </w:rPr>
              <w:t>Artículos analizados no declarados violados</w:t>
            </w:r>
          </w:p>
        </w:tc>
      </w:tr>
      <w:tr w:rsidR="00FF6887" w14:paraId="7364D703" w14:textId="77777777" w:rsidTr="00FF68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nil"/>
              <w:bottom w:val="single" w:sz="4" w:space="0" w:color="9CC2E5" w:themeColor="accent1" w:themeTint="99"/>
              <w:right w:val="nil"/>
            </w:tcBorders>
            <w:vAlign w:val="center"/>
            <w:hideMark/>
          </w:tcPr>
          <w:p w14:paraId="6E9441FF" w14:textId="77777777" w:rsidR="00FF6887" w:rsidRPr="001175AD" w:rsidRDefault="00FF6887" w:rsidP="00FF0E8F">
            <w:pPr>
              <w:spacing w:after="0" w:line="240" w:lineRule="auto"/>
              <w:jc w:val="both"/>
              <w:rPr>
                <w:rFonts w:ascii="Calibri Light" w:hAnsi="Calibri Light"/>
              </w:rPr>
            </w:pPr>
          </w:p>
        </w:tc>
        <w:tc>
          <w:tcPr>
            <w:tcW w:w="2400" w:type="dxa"/>
            <w:tcBorders>
              <w:top w:val="single" w:sz="4" w:space="0" w:color="9CC2E5" w:themeColor="accent1" w:themeTint="99"/>
              <w:left w:val="nil"/>
              <w:bottom w:val="single" w:sz="4" w:space="0" w:color="9CC2E5" w:themeColor="accent1" w:themeTint="99"/>
              <w:right w:val="nil"/>
            </w:tcBorders>
            <w:vAlign w:val="center"/>
          </w:tcPr>
          <w:p w14:paraId="48B4D869" w14:textId="77777777" w:rsidR="00FF6887" w:rsidRPr="001175AD" w:rsidRDefault="00187C74" w:rsidP="001175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1175AD">
              <w:rPr>
                <w:rFonts w:ascii="Calibri Light" w:hAnsi="Calibri Light"/>
                <w:lang w:val="en-US"/>
              </w:rPr>
              <w:t>Art. 1, art. 2, art. 8, art. 9, art. 23, art. 25</w:t>
            </w:r>
          </w:p>
        </w:tc>
        <w:tc>
          <w:tcPr>
            <w:tcW w:w="2643" w:type="dxa"/>
            <w:tcBorders>
              <w:top w:val="single" w:sz="4" w:space="0" w:color="9CC2E5" w:themeColor="accent1" w:themeTint="99"/>
              <w:left w:val="nil"/>
              <w:bottom w:val="single" w:sz="4" w:space="0" w:color="9CC2E5" w:themeColor="accent1" w:themeTint="99"/>
              <w:right w:val="nil"/>
            </w:tcBorders>
            <w:vAlign w:val="center"/>
          </w:tcPr>
          <w:p w14:paraId="5CDF08E3" w14:textId="77777777" w:rsidR="00FF6887" w:rsidRPr="001175AD" w:rsidRDefault="00187C74" w:rsidP="001175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175AD">
              <w:rPr>
                <w:rFonts w:ascii="Calibri Light" w:hAnsi="Calibri Light"/>
              </w:rPr>
              <w:t>-</w:t>
            </w:r>
          </w:p>
        </w:tc>
      </w:tr>
      <w:tr w:rsidR="00FF6887" w14:paraId="56887B6C" w14:textId="77777777" w:rsidTr="00D72E33">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vAlign w:val="center"/>
          </w:tcPr>
          <w:p w14:paraId="4BD8C849" w14:textId="03AA20FF" w:rsidR="00FF6887" w:rsidRPr="00D72E33" w:rsidRDefault="00FF6887" w:rsidP="00D72E33">
            <w:pPr>
              <w:pStyle w:val="ListParagraph"/>
              <w:numPr>
                <w:ilvl w:val="0"/>
                <w:numId w:val="1"/>
              </w:numPr>
              <w:spacing w:after="0" w:line="240" w:lineRule="auto"/>
              <w:jc w:val="center"/>
              <w:rPr>
                <w:rFonts w:ascii="Calibri Light" w:hAnsi="Calibri Light"/>
              </w:rPr>
            </w:pPr>
            <w:r>
              <w:rPr>
                <w:rFonts w:ascii="Calibri Light" w:hAnsi="Calibri Light"/>
              </w:rPr>
              <w:t>Sumilla</w:t>
            </w:r>
          </w:p>
        </w:tc>
      </w:tr>
      <w:tr w:rsidR="00FF6887" w14:paraId="67427B74" w14:textId="77777777" w:rsidTr="00FF688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4CF3D572" w14:textId="77777777" w:rsidR="00FF6887" w:rsidRDefault="00FF6887">
            <w:pPr>
              <w:spacing w:after="0" w:line="240" w:lineRule="auto"/>
              <w:jc w:val="both"/>
              <w:rPr>
                <w:rFonts w:ascii="Calibri Light" w:hAnsi="Calibri Light"/>
                <w:b w:val="0"/>
              </w:rPr>
            </w:pPr>
          </w:p>
          <w:p w14:paraId="41504FE1" w14:textId="024B2401" w:rsidR="00FF6887" w:rsidRDefault="004302C1" w:rsidP="004302C1">
            <w:pPr>
              <w:spacing w:after="0" w:line="240" w:lineRule="auto"/>
              <w:jc w:val="both"/>
              <w:rPr>
                <w:rFonts w:ascii="Calibri Light" w:hAnsi="Calibri Light"/>
                <w:b w:val="0"/>
              </w:rPr>
            </w:pPr>
            <w:r>
              <w:rPr>
                <w:rFonts w:ascii="Calibri Light" w:hAnsi="Calibri Light"/>
                <w:b w:val="0"/>
              </w:rPr>
              <w:t xml:space="preserve">El caso </w:t>
            </w:r>
            <w:r w:rsidR="007756B9">
              <w:rPr>
                <w:rFonts w:ascii="Calibri Light" w:hAnsi="Calibri Light"/>
                <w:b w:val="0"/>
              </w:rPr>
              <w:t>trata sobre</w:t>
            </w:r>
            <w:r>
              <w:rPr>
                <w:rFonts w:ascii="Calibri Light" w:hAnsi="Calibri Light"/>
                <w:b w:val="0"/>
              </w:rPr>
              <w:t xml:space="preserve"> la destitución de Eduardo Colindres de su puesto como magistrado del Tribunal Supremo Electoral de El Salvador</w:t>
            </w:r>
            <w:r w:rsidR="00723D6D">
              <w:rPr>
                <w:rFonts w:ascii="Calibri Light" w:hAnsi="Calibri Light"/>
                <w:b w:val="0"/>
              </w:rPr>
              <w:t xml:space="preserve"> por un presunto mal desempeño en sus funciones, así como la parcialización en sus decisiones</w:t>
            </w:r>
            <w:r w:rsidR="00066CB7">
              <w:rPr>
                <w:rFonts w:ascii="Calibri Light" w:hAnsi="Calibri Light"/>
                <w:b w:val="0"/>
              </w:rPr>
              <w:t xml:space="preserve">, aun cuando no existía </w:t>
            </w:r>
            <w:r w:rsidR="00204FD0">
              <w:rPr>
                <w:rFonts w:ascii="Calibri Light" w:hAnsi="Calibri Light"/>
                <w:b w:val="0"/>
              </w:rPr>
              <w:t>un procedimiento determinado en el ordenamiento jurídico para ello</w:t>
            </w:r>
            <w:r>
              <w:rPr>
                <w:rFonts w:ascii="Calibri Light" w:hAnsi="Calibri Light"/>
                <w:b w:val="0"/>
              </w:rPr>
              <w:t>. Asimismo, se trata</w:t>
            </w:r>
            <w:r w:rsidR="008130F1">
              <w:rPr>
                <w:rFonts w:ascii="Calibri Light" w:hAnsi="Calibri Light"/>
                <w:b w:val="0"/>
              </w:rPr>
              <w:t xml:space="preserve"> </w:t>
            </w:r>
            <w:r w:rsidR="00146182">
              <w:rPr>
                <w:rFonts w:ascii="Calibri Light" w:hAnsi="Calibri Light"/>
                <w:b w:val="0"/>
              </w:rPr>
              <w:t>d</w:t>
            </w:r>
            <w:r w:rsidR="008130F1">
              <w:rPr>
                <w:rFonts w:ascii="Calibri Light" w:hAnsi="Calibri Light"/>
                <w:b w:val="0"/>
              </w:rPr>
              <w:t xml:space="preserve">el trámite dado a los recursos presentados por el señor Colindres para dejar sin efecto esa decisión, </w:t>
            </w:r>
            <w:r w:rsidR="00C54FEC">
              <w:rPr>
                <w:rFonts w:ascii="Calibri Light" w:hAnsi="Calibri Light"/>
                <w:b w:val="0"/>
              </w:rPr>
              <w:t>los cuales no cumplieron con tutelar sus derechos por las reiteradas fal</w:t>
            </w:r>
            <w:r w:rsidR="00226C5B">
              <w:rPr>
                <w:rFonts w:ascii="Calibri Light" w:hAnsi="Calibri Light"/>
                <w:b w:val="0"/>
              </w:rPr>
              <w:t>las en el</w:t>
            </w:r>
            <w:r w:rsidR="003B0ED6">
              <w:rPr>
                <w:rFonts w:ascii="Calibri Light" w:hAnsi="Calibri Light"/>
                <w:b w:val="0"/>
              </w:rPr>
              <w:t xml:space="preserve"> proceso.</w:t>
            </w:r>
          </w:p>
          <w:p w14:paraId="41153FEF" w14:textId="77777777" w:rsidR="00FF6887" w:rsidRDefault="00FF6887">
            <w:pPr>
              <w:spacing w:after="0" w:line="240" w:lineRule="auto"/>
              <w:jc w:val="both"/>
              <w:rPr>
                <w:rFonts w:ascii="Calibri Light" w:hAnsi="Calibri Light"/>
                <w:b w:val="0"/>
              </w:rPr>
            </w:pPr>
            <w:r>
              <w:rPr>
                <w:rFonts w:ascii="Calibri Light" w:hAnsi="Calibri Light"/>
                <w:b w:val="0"/>
              </w:rPr>
              <w:t xml:space="preserve"> </w:t>
            </w:r>
          </w:p>
        </w:tc>
      </w:tr>
      <w:tr w:rsidR="00FF6887" w14:paraId="6442AD8F" w14:textId="77777777" w:rsidTr="007E4EC1">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vAlign w:val="center"/>
          </w:tcPr>
          <w:p w14:paraId="72D4AECC" w14:textId="52852DAF" w:rsidR="00FF6887" w:rsidRPr="007E4EC1" w:rsidRDefault="00FF6887" w:rsidP="007E4EC1">
            <w:pPr>
              <w:pStyle w:val="ListParagraph"/>
              <w:numPr>
                <w:ilvl w:val="0"/>
                <w:numId w:val="1"/>
              </w:numPr>
              <w:spacing w:after="0" w:line="240" w:lineRule="auto"/>
              <w:jc w:val="center"/>
              <w:rPr>
                <w:rFonts w:ascii="Calibri Light" w:hAnsi="Calibri Light"/>
              </w:rPr>
            </w:pPr>
            <w:r>
              <w:rPr>
                <w:rFonts w:ascii="Calibri Light" w:hAnsi="Calibri Light"/>
              </w:rPr>
              <w:t>Palabras clave</w:t>
            </w:r>
          </w:p>
        </w:tc>
      </w:tr>
      <w:tr w:rsidR="00FF6887" w14:paraId="53C4116D" w14:textId="77777777" w:rsidTr="00FF688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6D09450D" w14:textId="77777777" w:rsidR="00FF6887" w:rsidRDefault="00FF6887">
            <w:pPr>
              <w:spacing w:after="0" w:line="240" w:lineRule="auto"/>
              <w:jc w:val="both"/>
              <w:rPr>
                <w:rFonts w:ascii="Calibri Light" w:hAnsi="Calibri Light" w:cs="Calibri Light"/>
                <w:b w:val="0"/>
                <w:sz w:val="23"/>
                <w:szCs w:val="23"/>
              </w:rPr>
            </w:pPr>
          </w:p>
          <w:p w14:paraId="17AAF877" w14:textId="77777777" w:rsidR="00FF6887" w:rsidRDefault="008130F1">
            <w:pPr>
              <w:spacing w:after="0" w:line="240" w:lineRule="auto"/>
              <w:jc w:val="both"/>
              <w:rPr>
                <w:rFonts w:ascii="Calibri Light" w:hAnsi="Calibri Light"/>
                <w:b w:val="0"/>
              </w:rPr>
            </w:pPr>
            <w:r w:rsidRPr="00187C74">
              <w:rPr>
                <w:rFonts w:ascii="Calibri Light" w:hAnsi="Calibri Light"/>
                <w:b w:val="0"/>
                <w:lang w:val="es-PE"/>
              </w:rPr>
              <w:t>Derechos políticos, Destitución de jueces</w:t>
            </w:r>
            <w:r>
              <w:rPr>
                <w:rFonts w:ascii="Calibri Light" w:hAnsi="Calibri Light"/>
                <w:b w:val="0"/>
                <w:lang w:val="es-PE"/>
              </w:rPr>
              <w:t>,</w:t>
            </w:r>
            <w:r w:rsidRPr="00187C74">
              <w:rPr>
                <w:rFonts w:ascii="Calibri Light" w:hAnsi="Calibri Light"/>
                <w:b w:val="0"/>
                <w:lang w:val="es-PE"/>
              </w:rPr>
              <w:t xml:space="preserve"> </w:t>
            </w:r>
            <w:r w:rsidR="00187C74" w:rsidRPr="00187C74">
              <w:rPr>
                <w:rFonts w:ascii="Calibri Light" w:hAnsi="Calibri Light"/>
                <w:b w:val="0"/>
                <w:lang w:val="es-PE"/>
              </w:rPr>
              <w:t xml:space="preserve">Protección </w:t>
            </w:r>
            <w:r>
              <w:rPr>
                <w:rFonts w:ascii="Calibri Light" w:hAnsi="Calibri Light"/>
                <w:b w:val="0"/>
                <w:lang w:val="es-PE"/>
              </w:rPr>
              <w:t>judicial y garantías judiciales</w:t>
            </w:r>
            <w:r w:rsidR="00187C74" w:rsidRPr="00187C74">
              <w:rPr>
                <w:rFonts w:ascii="Calibri Light" w:hAnsi="Calibri Light"/>
                <w:b w:val="0"/>
                <w:lang w:val="es-PE"/>
              </w:rPr>
              <w:t xml:space="preserve"> </w:t>
            </w:r>
          </w:p>
          <w:p w14:paraId="150AA0B6" w14:textId="77777777" w:rsidR="00FF6887" w:rsidRDefault="00FF6887">
            <w:pPr>
              <w:spacing w:after="0" w:line="240" w:lineRule="auto"/>
              <w:jc w:val="both"/>
              <w:rPr>
                <w:rFonts w:ascii="Calibri Light" w:hAnsi="Calibri Light"/>
                <w:b w:val="0"/>
              </w:rPr>
            </w:pPr>
          </w:p>
        </w:tc>
      </w:tr>
      <w:tr w:rsidR="00FF6887" w14:paraId="563DA8A5" w14:textId="77777777" w:rsidTr="007E4EC1">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vAlign w:val="center"/>
          </w:tcPr>
          <w:p w14:paraId="7DCA5577" w14:textId="558D54BA" w:rsidR="00FF6887" w:rsidRPr="007E4EC1" w:rsidRDefault="00FF6887" w:rsidP="007E4EC1">
            <w:pPr>
              <w:pStyle w:val="ListParagraph"/>
              <w:numPr>
                <w:ilvl w:val="0"/>
                <w:numId w:val="1"/>
              </w:numPr>
              <w:spacing w:after="0" w:line="240" w:lineRule="auto"/>
              <w:jc w:val="center"/>
              <w:rPr>
                <w:rFonts w:ascii="Calibri Light" w:hAnsi="Calibri Light"/>
              </w:rPr>
            </w:pPr>
            <w:r>
              <w:rPr>
                <w:rFonts w:ascii="Calibri Light" w:hAnsi="Calibri Light"/>
              </w:rPr>
              <w:t>Hechos</w:t>
            </w:r>
          </w:p>
        </w:tc>
      </w:tr>
      <w:tr w:rsidR="00FF6887" w14:paraId="65625D86" w14:textId="77777777" w:rsidTr="00FF688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167BA9DF" w14:textId="77777777" w:rsidR="005023E0" w:rsidRDefault="005023E0">
            <w:pPr>
              <w:spacing w:after="0" w:line="240" w:lineRule="auto"/>
              <w:jc w:val="both"/>
              <w:rPr>
                <w:rFonts w:ascii="Calibri Light" w:hAnsi="Calibri Light"/>
                <w:b w:val="0"/>
              </w:rPr>
            </w:pPr>
          </w:p>
          <w:p w14:paraId="21308104" w14:textId="17B0F2C9" w:rsidR="00CC426D" w:rsidRDefault="005023E0" w:rsidP="00A9276A">
            <w:pPr>
              <w:spacing w:after="0" w:line="240" w:lineRule="auto"/>
              <w:jc w:val="both"/>
              <w:rPr>
                <w:rFonts w:ascii="Calibri Light" w:hAnsi="Calibri Light"/>
                <w:b w:val="0"/>
              </w:rPr>
            </w:pPr>
            <w:r>
              <w:rPr>
                <w:rFonts w:ascii="Calibri Light" w:hAnsi="Calibri Light"/>
                <w:b w:val="0"/>
              </w:rPr>
              <w:t xml:space="preserve">En 1994, Eduardo Colindres fue nombrado Magistrado Propietario del Tribunal Supremo Electoral </w:t>
            </w:r>
            <w:r w:rsidR="008664FE">
              <w:rPr>
                <w:rFonts w:ascii="Calibri Light" w:hAnsi="Calibri Light"/>
                <w:b w:val="0"/>
              </w:rPr>
              <w:t xml:space="preserve">(en adelante, TSE) </w:t>
            </w:r>
            <w:r>
              <w:rPr>
                <w:rFonts w:ascii="Calibri Light" w:hAnsi="Calibri Light"/>
                <w:b w:val="0"/>
              </w:rPr>
              <w:t xml:space="preserve">de El Salvador mediante </w:t>
            </w:r>
            <w:r w:rsidR="004158F1">
              <w:rPr>
                <w:rFonts w:ascii="Calibri Light" w:hAnsi="Calibri Light"/>
                <w:b w:val="0"/>
              </w:rPr>
              <w:t xml:space="preserve">el </w:t>
            </w:r>
            <w:r>
              <w:rPr>
                <w:rFonts w:ascii="Calibri Light" w:hAnsi="Calibri Light"/>
                <w:b w:val="0"/>
              </w:rPr>
              <w:t xml:space="preserve">Decreto </w:t>
            </w:r>
            <w:r w:rsidR="00534274">
              <w:rPr>
                <w:rFonts w:ascii="Calibri Light" w:hAnsi="Calibri Light"/>
                <w:b w:val="0"/>
              </w:rPr>
              <w:t xml:space="preserve">No. </w:t>
            </w:r>
            <w:r>
              <w:rPr>
                <w:rFonts w:ascii="Calibri Light" w:hAnsi="Calibri Light"/>
                <w:b w:val="0"/>
              </w:rPr>
              <w:t xml:space="preserve">102 de la Asamblea Legislativa. Su elección se dio de </w:t>
            </w:r>
            <w:r w:rsidR="00D24516">
              <w:rPr>
                <w:rFonts w:ascii="Calibri Light" w:hAnsi="Calibri Light"/>
                <w:b w:val="0"/>
              </w:rPr>
              <w:t xml:space="preserve">la terna presentada por el </w:t>
            </w:r>
            <w:r w:rsidR="008664FE">
              <w:rPr>
                <w:rFonts w:ascii="Calibri Light" w:hAnsi="Calibri Light"/>
                <w:b w:val="0"/>
              </w:rPr>
              <w:t>Partido Demócra</w:t>
            </w:r>
            <w:r w:rsidR="00BB5434">
              <w:rPr>
                <w:rFonts w:ascii="Calibri Light" w:hAnsi="Calibri Light"/>
                <w:b w:val="0"/>
              </w:rPr>
              <w:t>ta Cristiano (en adelante, PDC).</w:t>
            </w:r>
            <w:r w:rsidR="00212E42">
              <w:rPr>
                <w:rFonts w:ascii="Calibri Light" w:hAnsi="Calibri Light"/>
                <w:b w:val="0"/>
              </w:rPr>
              <w:t xml:space="preserve"> De forma posterior,</w:t>
            </w:r>
            <w:r w:rsidR="008664FE">
              <w:rPr>
                <w:rFonts w:ascii="Calibri Light" w:hAnsi="Calibri Light"/>
                <w:b w:val="0"/>
              </w:rPr>
              <w:t xml:space="preserve"> el PDC </w:t>
            </w:r>
            <w:r w:rsidR="00A9276A">
              <w:rPr>
                <w:rFonts w:ascii="Calibri Light" w:hAnsi="Calibri Light"/>
                <w:b w:val="0"/>
              </w:rPr>
              <w:t>experimentó conflictos internos relacionados con la selección de la dirigencia interna que fueron de conocimiento del TSE. El señor Colindres participó de algunas de las decisiones adoptadas al respecto, mientras que en otras</w:t>
            </w:r>
            <w:r w:rsidR="00A40DD1">
              <w:rPr>
                <w:rFonts w:ascii="Calibri Light" w:hAnsi="Calibri Light"/>
                <w:b w:val="0"/>
              </w:rPr>
              <w:t xml:space="preserve"> no</w:t>
            </w:r>
            <w:r w:rsidR="00A9276A">
              <w:rPr>
                <w:rFonts w:ascii="Calibri Light" w:hAnsi="Calibri Light"/>
                <w:b w:val="0"/>
              </w:rPr>
              <w:t>.</w:t>
            </w:r>
            <w:r w:rsidR="00352B21">
              <w:rPr>
                <w:rFonts w:ascii="Calibri Light" w:hAnsi="Calibri Light"/>
                <w:b w:val="0"/>
              </w:rPr>
              <w:t xml:space="preserve"> </w:t>
            </w:r>
            <w:r w:rsidR="00A9276A">
              <w:rPr>
                <w:rFonts w:ascii="Calibri Light" w:hAnsi="Calibri Light"/>
                <w:b w:val="0"/>
              </w:rPr>
              <w:t xml:space="preserve">A raíz de ello, </w:t>
            </w:r>
            <w:r w:rsidR="00034C5C">
              <w:rPr>
                <w:rFonts w:ascii="Calibri Light" w:hAnsi="Calibri Light"/>
                <w:b w:val="0"/>
              </w:rPr>
              <w:t xml:space="preserve">algunos </w:t>
            </w:r>
            <w:r w:rsidR="00A9276A">
              <w:rPr>
                <w:rFonts w:ascii="Calibri Light" w:hAnsi="Calibri Light"/>
                <w:b w:val="0"/>
              </w:rPr>
              <w:t>miembros del PDC</w:t>
            </w:r>
            <w:r w:rsidR="009872BD">
              <w:rPr>
                <w:rFonts w:ascii="Calibri Light" w:hAnsi="Calibri Light"/>
                <w:b w:val="0"/>
              </w:rPr>
              <w:t xml:space="preserve"> </w:t>
            </w:r>
            <w:r w:rsidR="00A9276A">
              <w:rPr>
                <w:rFonts w:ascii="Calibri Light" w:hAnsi="Calibri Light"/>
                <w:b w:val="0"/>
              </w:rPr>
              <w:t xml:space="preserve">presentaron ante la Asamblea Legislativa una petición </w:t>
            </w:r>
            <w:r w:rsidR="00534274">
              <w:rPr>
                <w:rFonts w:ascii="Calibri Light" w:hAnsi="Calibri Light"/>
                <w:b w:val="0"/>
              </w:rPr>
              <w:t xml:space="preserve">solicitando </w:t>
            </w:r>
            <w:r w:rsidR="00A9276A">
              <w:rPr>
                <w:rFonts w:ascii="Calibri Light" w:hAnsi="Calibri Light"/>
                <w:b w:val="0"/>
              </w:rPr>
              <w:t>su destitución</w:t>
            </w:r>
            <w:r w:rsidR="00051F24">
              <w:rPr>
                <w:rFonts w:ascii="Calibri Light" w:hAnsi="Calibri Light"/>
                <w:b w:val="0"/>
              </w:rPr>
              <w:t>.</w:t>
            </w:r>
            <w:r w:rsidR="00A9276A">
              <w:rPr>
                <w:rFonts w:ascii="Calibri Light" w:hAnsi="Calibri Light"/>
                <w:b w:val="0"/>
              </w:rPr>
              <w:t xml:space="preserve"> En noviembre de ese mismo año</w:t>
            </w:r>
            <w:r w:rsidR="00534274">
              <w:rPr>
                <w:rFonts w:ascii="Calibri Light" w:hAnsi="Calibri Light"/>
                <w:b w:val="0"/>
              </w:rPr>
              <w:t>,</w:t>
            </w:r>
            <w:r w:rsidR="00A9276A">
              <w:rPr>
                <w:rFonts w:ascii="Calibri Light" w:hAnsi="Calibri Light"/>
                <w:b w:val="0"/>
              </w:rPr>
              <w:t xml:space="preserve"> </w:t>
            </w:r>
            <w:r w:rsidR="00534274">
              <w:rPr>
                <w:rFonts w:ascii="Calibri Light" w:hAnsi="Calibri Light"/>
                <w:b w:val="0"/>
              </w:rPr>
              <w:t xml:space="preserve">mediante el Decreto Legislativo </w:t>
            </w:r>
            <w:r w:rsidR="00146182">
              <w:rPr>
                <w:rFonts w:ascii="Calibri Light" w:hAnsi="Calibri Light"/>
                <w:b w:val="0"/>
              </w:rPr>
              <w:t xml:space="preserve">No. </w:t>
            </w:r>
            <w:r w:rsidR="00534274">
              <w:rPr>
                <w:rFonts w:ascii="Calibri Light" w:hAnsi="Calibri Light"/>
                <w:b w:val="0"/>
              </w:rPr>
              <w:t xml:space="preserve">899, </w:t>
            </w:r>
            <w:r w:rsidR="00A9276A">
              <w:rPr>
                <w:rFonts w:ascii="Calibri Light" w:hAnsi="Calibri Light"/>
                <w:b w:val="0"/>
              </w:rPr>
              <w:t xml:space="preserve">la Asamblea Legislativa resolvió su destitución por “causar malestar general”, “haber </w:t>
            </w:r>
            <w:r w:rsidR="00A9276A">
              <w:rPr>
                <w:rFonts w:ascii="Calibri Light" w:hAnsi="Calibri Light"/>
                <w:b w:val="0"/>
              </w:rPr>
              <w:lastRenderedPageBreak/>
              <w:t>afectado la buena marcha del TSE”, y “parcializarse en su labor como juzgador”.</w:t>
            </w:r>
          </w:p>
          <w:p w14:paraId="5CD24859" w14:textId="77777777" w:rsidR="00CC426D" w:rsidRDefault="00CC426D" w:rsidP="00A9276A">
            <w:pPr>
              <w:spacing w:after="0" w:line="240" w:lineRule="auto"/>
              <w:jc w:val="both"/>
              <w:rPr>
                <w:rFonts w:ascii="Calibri Light" w:hAnsi="Calibri Light"/>
                <w:b w:val="0"/>
              </w:rPr>
            </w:pPr>
          </w:p>
          <w:p w14:paraId="3111EA9D" w14:textId="77777777" w:rsidR="00146182" w:rsidRDefault="00A9276A" w:rsidP="00A9276A">
            <w:pPr>
              <w:spacing w:after="0" w:line="240" w:lineRule="auto"/>
              <w:jc w:val="both"/>
              <w:rPr>
                <w:rFonts w:ascii="Calibri Light" w:hAnsi="Calibri Light"/>
                <w:b w:val="0"/>
              </w:rPr>
            </w:pPr>
            <w:r>
              <w:rPr>
                <w:rFonts w:ascii="Calibri Light" w:hAnsi="Calibri Light"/>
                <w:b w:val="0"/>
              </w:rPr>
              <w:t>Ante esa decisión, el señor Colindres presentó un recurso de amparo ante la Sala de lo Constitucional de la Corte Suprema de Justicia (en adela</w:t>
            </w:r>
            <w:r w:rsidR="0022676C">
              <w:rPr>
                <w:rFonts w:ascii="Calibri Light" w:hAnsi="Calibri Light"/>
                <w:b w:val="0"/>
              </w:rPr>
              <w:t xml:space="preserve">nte, Sala de lo Constitucional). </w:t>
            </w:r>
            <w:r w:rsidR="00146182">
              <w:rPr>
                <w:rFonts w:ascii="Calibri Light" w:hAnsi="Calibri Light"/>
                <w:b w:val="0"/>
              </w:rPr>
              <w:t>Esta</w:t>
            </w:r>
            <w:r w:rsidR="00C91EA0">
              <w:rPr>
                <w:rFonts w:ascii="Calibri Light" w:hAnsi="Calibri Light"/>
                <w:b w:val="0"/>
              </w:rPr>
              <w:t xml:space="preserve"> consideró que, </w:t>
            </w:r>
            <w:r w:rsidR="0022676C">
              <w:rPr>
                <w:rFonts w:ascii="Calibri Light" w:hAnsi="Calibri Light"/>
                <w:b w:val="0"/>
              </w:rPr>
              <w:t>a pesar de la falta de regulación, la Asamblea Legislativa sí podía destituir al señor Colindres</w:t>
            </w:r>
            <w:r w:rsidR="00534274">
              <w:rPr>
                <w:rFonts w:ascii="Calibri Light" w:hAnsi="Calibri Light"/>
                <w:b w:val="0"/>
              </w:rPr>
              <w:t>,</w:t>
            </w:r>
            <w:r w:rsidR="0022676C">
              <w:rPr>
                <w:rFonts w:ascii="Calibri Light" w:hAnsi="Calibri Light"/>
                <w:b w:val="0"/>
              </w:rPr>
              <w:t xml:space="preserve"> </w:t>
            </w:r>
            <w:r w:rsidR="00C62BDF">
              <w:rPr>
                <w:rFonts w:ascii="Calibri Light" w:hAnsi="Calibri Light"/>
                <w:b w:val="0"/>
              </w:rPr>
              <w:t>ya que lo había nombrado</w:t>
            </w:r>
            <w:r w:rsidR="00534274">
              <w:rPr>
                <w:rFonts w:ascii="Calibri Light" w:hAnsi="Calibri Light"/>
                <w:b w:val="0"/>
              </w:rPr>
              <w:t>.</w:t>
            </w:r>
            <w:r w:rsidR="00C62BDF">
              <w:rPr>
                <w:rFonts w:ascii="Calibri Light" w:hAnsi="Calibri Light"/>
                <w:b w:val="0"/>
              </w:rPr>
              <w:t xml:space="preserve"> </w:t>
            </w:r>
            <w:r w:rsidR="00534274">
              <w:rPr>
                <w:rFonts w:ascii="Calibri Light" w:hAnsi="Calibri Light"/>
                <w:b w:val="0"/>
              </w:rPr>
              <w:t>No obstante,</w:t>
            </w:r>
            <w:r w:rsidR="00C91EA0">
              <w:rPr>
                <w:rFonts w:ascii="Calibri Light" w:hAnsi="Calibri Light"/>
                <w:b w:val="0"/>
              </w:rPr>
              <w:t xml:space="preserve"> </w:t>
            </w:r>
            <w:r w:rsidR="004158F1">
              <w:rPr>
                <w:rFonts w:ascii="Calibri Light" w:hAnsi="Calibri Light"/>
                <w:b w:val="0"/>
              </w:rPr>
              <w:t xml:space="preserve">determinó que correspondía su reinstalación en su puesto </w:t>
            </w:r>
            <w:r w:rsidR="00C62BDF">
              <w:rPr>
                <w:rFonts w:ascii="Calibri Light" w:hAnsi="Calibri Light"/>
                <w:b w:val="0"/>
              </w:rPr>
              <w:t xml:space="preserve">al no haberse garantizado </w:t>
            </w:r>
            <w:r w:rsidR="004158F1">
              <w:rPr>
                <w:rFonts w:ascii="Calibri Light" w:hAnsi="Calibri Light"/>
                <w:b w:val="0"/>
              </w:rPr>
              <w:t>su</w:t>
            </w:r>
            <w:r w:rsidR="00C62BDF">
              <w:rPr>
                <w:rFonts w:ascii="Calibri Light" w:hAnsi="Calibri Light"/>
                <w:b w:val="0"/>
              </w:rPr>
              <w:t xml:space="preserve"> derecho de audiencia</w:t>
            </w:r>
            <w:r w:rsidR="00C91EA0">
              <w:rPr>
                <w:rFonts w:ascii="Calibri Light" w:hAnsi="Calibri Light"/>
                <w:b w:val="0"/>
              </w:rPr>
              <w:t>.</w:t>
            </w:r>
            <w:r w:rsidR="00146182">
              <w:rPr>
                <w:rFonts w:ascii="Calibri Light" w:hAnsi="Calibri Light"/>
                <w:b w:val="0"/>
              </w:rPr>
              <w:t xml:space="preserve"> </w:t>
            </w:r>
            <w:r w:rsidR="006C428B">
              <w:rPr>
                <w:rFonts w:ascii="Calibri Light" w:hAnsi="Calibri Light"/>
                <w:b w:val="0"/>
              </w:rPr>
              <w:t xml:space="preserve">En 1998, diputados del PDC volvieron a presentar una solicitud para la destitución del señor Colindres aduciendo las mismas causas de su primera destitución. </w:t>
            </w:r>
            <w:r w:rsidR="003E00E5">
              <w:rPr>
                <w:rFonts w:ascii="Calibri Light" w:hAnsi="Calibri Light"/>
                <w:b w:val="0"/>
              </w:rPr>
              <w:t xml:space="preserve">En esta ocasión, mediante Acuerdo Legislativo </w:t>
            </w:r>
            <w:r w:rsidR="00534274">
              <w:rPr>
                <w:rFonts w:ascii="Calibri Light" w:hAnsi="Calibri Light"/>
                <w:b w:val="0"/>
              </w:rPr>
              <w:t xml:space="preserve">No. </w:t>
            </w:r>
            <w:r w:rsidR="003E00E5">
              <w:rPr>
                <w:rFonts w:ascii="Calibri Light" w:hAnsi="Calibri Light"/>
                <w:b w:val="0"/>
              </w:rPr>
              <w:t xml:space="preserve">281, se creó una Comisión Especial con el fin de garantizar el derecho de audiencia del señor Colindres. </w:t>
            </w:r>
          </w:p>
          <w:p w14:paraId="34F3977D" w14:textId="77777777" w:rsidR="00146182" w:rsidRDefault="00146182" w:rsidP="00A9276A">
            <w:pPr>
              <w:spacing w:after="0" w:line="240" w:lineRule="auto"/>
              <w:jc w:val="both"/>
              <w:rPr>
                <w:rFonts w:ascii="Calibri Light" w:hAnsi="Calibri Light"/>
                <w:b w:val="0"/>
              </w:rPr>
            </w:pPr>
          </w:p>
          <w:p w14:paraId="493B2F92" w14:textId="6A744DA6" w:rsidR="004B07BC" w:rsidRDefault="00534274" w:rsidP="00A9276A">
            <w:pPr>
              <w:spacing w:after="0" w:line="240" w:lineRule="auto"/>
              <w:jc w:val="both"/>
              <w:rPr>
                <w:rFonts w:ascii="Calibri Light" w:hAnsi="Calibri Light"/>
                <w:b w:val="0"/>
              </w:rPr>
            </w:pPr>
            <w:r>
              <w:rPr>
                <w:rFonts w:ascii="Calibri Light" w:hAnsi="Calibri Light"/>
                <w:b w:val="0"/>
              </w:rPr>
              <w:t>Frente a esta situación</w:t>
            </w:r>
            <w:r w:rsidR="004B07BC">
              <w:rPr>
                <w:rFonts w:ascii="Calibri Light" w:hAnsi="Calibri Light"/>
                <w:b w:val="0"/>
              </w:rPr>
              <w:t xml:space="preserve">, el señor Colindres planteó un recurso de amparo contra el Acuerdo Legislativo </w:t>
            </w:r>
            <w:r>
              <w:rPr>
                <w:rFonts w:ascii="Calibri Light" w:hAnsi="Calibri Light"/>
                <w:b w:val="0"/>
              </w:rPr>
              <w:t xml:space="preserve">No. </w:t>
            </w:r>
            <w:r w:rsidR="004B07BC">
              <w:rPr>
                <w:rFonts w:ascii="Calibri Light" w:hAnsi="Calibri Light"/>
                <w:b w:val="0"/>
              </w:rPr>
              <w:t>281 ante la Sala de lo Constitucional</w:t>
            </w:r>
            <w:r>
              <w:rPr>
                <w:rFonts w:ascii="Calibri Light" w:hAnsi="Calibri Light"/>
                <w:b w:val="0"/>
              </w:rPr>
              <w:t>. Sin embargo,</w:t>
            </w:r>
            <w:r w:rsidR="004B07BC">
              <w:rPr>
                <w:rFonts w:ascii="Calibri Light" w:hAnsi="Calibri Light"/>
                <w:b w:val="0"/>
              </w:rPr>
              <w:t xml:space="preserve"> </w:t>
            </w:r>
            <w:r w:rsidR="00C67BB2">
              <w:rPr>
                <w:rFonts w:ascii="Calibri Light" w:hAnsi="Calibri Light"/>
                <w:b w:val="0"/>
              </w:rPr>
              <w:t xml:space="preserve">esta </w:t>
            </w:r>
            <w:r w:rsidR="004B07BC">
              <w:rPr>
                <w:rFonts w:ascii="Calibri Light" w:hAnsi="Calibri Light"/>
                <w:b w:val="0"/>
              </w:rPr>
              <w:t xml:space="preserve">emitió decisión de sobreseimiento por </w:t>
            </w:r>
            <w:r w:rsidR="00146182">
              <w:rPr>
                <w:rFonts w:ascii="Calibri Light" w:hAnsi="Calibri Light"/>
                <w:b w:val="0"/>
              </w:rPr>
              <w:t xml:space="preserve">la concurrencia de </w:t>
            </w:r>
            <w:r w:rsidR="004B07BC">
              <w:rPr>
                <w:rFonts w:ascii="Calibri Light" w:hAnsi="Calibri Light"/>
                <w:b w:val="0"/>
              </w:rPr>
              <w:t xml:space="preserve">presuntos </w:t>
            </w:r>
            <w:r w:rsidR="004B07BC" w:rsidRPr="00904C9A">
              <w:rPr>
                <w:rFonts w:ascii="Calibri Light" w:hAnsi="Calibri Light"/>
                <w:b w:val="0"/>
              </w:rPr>
              <w:t>vicios</w:t>
            </w:r>
            <w:r w:rsidR="008D009C" w:rsidRPr="00904C9A">
              <w:rPr>
                <w:rFonts w:ascii="Calibri Light" w:hAnsi="Calibri Light"/>
                <w:b w:val="0"/>
              </w:rPr>
              <w:t xml:space="preserve"> relativos a la indeterminación del</w:t>
            </w:r>
            <w:r w:rsidR="00A275C9" w:rsidRPr="00904C9A">
              <w:rPr>
                <w:rFonts w:ascii="Calibri Light" w:hAnsi="Calibri Light"/>
                <w:b w:val="0"/>
              </w:rPr>
              <w:t xml:space="preserve"> acto de autoridad contra el que reclamaba</w:t>
            </w:r>
            <w:r w:rsidR="008D009C" w:rsidRPr="00904C9A">
              <w:rPr>
                <w:rFonts w:ascii="Calibri Light" w:hAnsi="Calibri Light"/>
                <w:b w:val="0"/>
              </w:rPr>
              <w:t xml:space="preserve"> y </w:t>
            </w:r>
            <w:r w:rsidR="00A275C9" w:rsidRPr="00904C9A">
              <w:rPr>
                <w:rFonts w:ascii="Calibri Light" w:hAnsi="Calibri Light"/>
                <w:b w:val="0"/>
              </w:rPr>
              <w:t>respecto al sujeto que sufría el agravio.</w:t>
            </w:r>
            <w:r w:rsidR="00146182" w:rsidRPr="00904C9A">
              <w:rPr>
                <w:rFonts w:ascii="Calibri Light" w:hAnsi="Calibri Light"/>
                <w:b w:val="0"/>
              </w:rPr>
              <w:t xml:space="preserve"> </w:t>
            </w:r>
            <w:r w:rsidR="004B07BC" w:rsidRPr="00904C9A">
              <w:rPr>
                <w:rFonts w:ascii="Calibri Light" w:hAnsi="Calibri Light"/>
                <w:b w:val="0"/>
              </w:rPr>
              <w:t>Asimismo</w:t>
            </w:r>
            <w:r w:rsidR="004B07BC">
              <w:rPr>
                <w:rFonts w:ascii="Calibri Light" w:hAnsi="Calibri Light"/>
                <w:b w:val="0"/>
              </w:rPr>
              <w:t xml:space="preserve">, presentó ante la misma Sala un recurso de exhibición de persona que fue declarado improcedente </w:t>
            </w:r>
            <w:r w:rsidR="003B49FF">
              <w:rPr>
                <w:rFonts w:ascii="Calibri Light" w:hAnsi="Calibri Light"/>
                <w:b w:val="0"/>
              </w:rPr>
              <w:t>“</w:t>
            </w:r>
            <w:r w:rsidR="004B07BC">
              <w:rPr>
                <w:rFonts w:ascii="Calibri Light" w:hAnsi="Calibri Light"/>
                <w:b w:val="0"/>
              </w:rPr>
              <w:t>por no constituir la vía adecuada</w:t>
            </w:r>
            <w:r w:rsidR="003B49FF">
              <w:rPr>
                <w:rFonts w:ascii="Calibri Light" w:hAnsi="Calibri Light"/>
                <w:b w:val="0"/>
              </w:rPr>
              <w:t>”</w:t>
            </w:r>
            <w:r w:rsidR="004B07BC">
              <w:rPr>
                <w:rFonts w:ascii="Calibri Light" w:hAnsi="Calibri Light"/>
                <w:b w:val="0"/>
              </w:rPr>
              <w:t>.</w:t>
            </w:r>
            <w:r w:rsidR="0028291E">
              <w:rPr>
                <w:rFonts w:ascii="Calibri Light" w:hAnsi="Calibri Light"/>
                <w:b w:val="0"/>
              </w:rPr>
              <w:t xml:space="preserve"> </w:t>
            </w:r>
            <w:r w:rsidR="004158F1">
              <w:rPr>
                <w:rFonts w:ascii="Calibri Light" w:hAnsi="Calibri Light"/>
                <w:b w:val="0"/>
              </w:rPr>
              <w:t>De igual forma,</w:t>
            </w:r>
            <w:r w:rsidR="0028291E">
              <w:rPr>
                <w:rFonts w:ascii="Calibri Light" w:hAnsi="Calibri Light"/>
                <w:b w:val="0"/>
              </w:rPr>
              <w:t xml:space="preserve"> volvió a presentar un segundo recurso de amparo contra </w:t>
            </w:r>
            <w:r w:rsidR="004158F1">
              <w:rPr>
                <w:rFonts w:ascii="Calibri Light" w:hAnsi="Calibri Light"/>
                <w:b w:val="0"/>
              </w:rPr>
              <w:t>este</w:t>
            </w:r>
            <w:r w:rsidR="0028291E">
              <w:rPr>
                <w:rFonts w:ascii="Calibri Light" w:hAnsi="Calibri Light"/>
                <w:b w:val="0"/>
              </w:rPr>
              <w:t xml:space="preserve"> Acuerdo Legislativo que también fue declarado improcedente, ya que la Sala no consideró que el mero trámite generara algún agravio.</w:t>
            </w:r>
            <w:r w:rsidR="00146182">
              <w:rPr>
                <w:rFonts w:ascii="Calibri Light" w:hAnsi="Calibri Light"/>
                <w:b w:val="0"/>
              </w:rPr>
              <w:t xml:space="preserve"> </w:t>
            </w:r>
          </w:p>
          <w:p w14:paraId="7E9CDBD0" w14:textId="77777777" w:rsidR="004B07BC" w:rsidRDefault="004B07BC" w:rsidP="00A9276A">
            <w:pPr>
              <w:spacing w:after="0" w:line="240" w:lineRule="auto"/>
              <w:jc w:val="both"/>
              <w:rPr>
                <w:rFonts w:ascii="Calibri Light" w:hAnsi="Calibri Light"/>
                <w:b w:val="0"/>
              </w:rPr>
            </w:pPr>
          </w:p>
          <w:p w14:paraId="71FA4EB5" w14:textId="1C527FA3" w:rsidR="0000782C" w:rsidRDefault="004B07BC" w:rsidP="00A9276A">
            <w:pPr>
              <w:spacing w:after="0" w:line="240" w:lineRule="auto"/>
              <w:jc w:val="both"/>
              <w:rPr>
                <w:rFonts w:ascii="Calibri Light" w:hAnsi="Calibri Light"/>
                <w:b w:val="0"/>
              </w:rPr>
            </w:pPr>
            <w:r>
              <w:rPr>
                <w:rFonts w:ascii="Calibri Light" w:hAnsi="Calibri Light"/>
                <w:b w:val="0"/>
              </w:rPr>
              <w:t xml:space="preserve">En el proceso seguido por la Comisión Especial, se brindó al señor Colindres tres días para presentar sus descargos contra las acusaciones iniciales, tras lo cual no se le volvió a escuchar. </w:t>
            </w:r>
            <w:r w:rsidR="003E00E5">
              <w:rPr>
                <w:rFonts w:ascii="Calibri Light" w:hAnsi="Calibri Light"/>
                <w:b w:val="0"/>
              </w:rPr>
              <w:t xml:space="preserve">Este proceso resultó </w:t>
            </w:r>
            <w:r w:rsidR="004158F1">
              <w:rPr>
                <w:rFonts w:ascii="Calibri Light" w:hAnsi="Calibri Light"/>
                <w:b w:val="0"/>
              </w:rPr>
              <w:t xml:space="preserve">nuevamente </w:t>
            </w:r>
            <w:r w:rsidR="003E00E5">
              <w:rPr>
                <w:rFonts w:ascii="Calibri Light" w:hAnsi="Calibri Light"/>
                <w:b w:val="0"/>
              </w:rPr>
              <w:t xml:space="preserve">en </w:t>
            </w:r>
            <w:r w:rsidR="004158F1">
              <w:rPr>
                <w:rFonts w:ascii="Calibri Light" w:hAnsi="Calibri Light"/>
                <w:b w:val="0"/>
              </w:rPr>
              <w:t>su</w:t>
            </w:r>
            <w:r w:rsidR="003E00E5">
              <w:rPr>
                <w:rFonts w:ascii="Calibri Light" w:hAnsi="Calibri Light"/>
                <w:b w:val="0"/>
              </w:rPr>
              <w:t xml:space="preserve"> destitución</w:t>
            </w:r>
            <w:r w:rsidR="004158F1">
              <w:rPr>
                <w:rFonts w:ascii="Calibri Light" w:hAnsi="Calibri Light"/>
                <w:b w:val="0"/>
              </w:rPr>
              <w:t>,</w:t>
            </w:r>
            <w:r w:rsidR="003E00E5">
              <w:rPr>
                <w:rFonts w:ascii="Calibri Light" w:hAnsi="Calibri Light"/>
                <w:b w:val="0"/>
              </w:rPr>
              <w:t xml:space="preserve"> </w:t>
            </w:r>
            <w:r w:rsidR="004158F1">
              <w:rPr>
                <w:rFonts w:ascii="Calibri Light" w:hAnsi="Calibri Light"/>
                <w:b w:val="0"/>
              </w:rPr>
              <w:t xml:space="preserve">decidida </w:t>
            </w:r>
            <w:r w:rsidR="003E00E5">
              <w:rPr>
                <w:rFonts w:ascii="Calibri Light" w:hAnsi="Calibri Light"/>
                <w:b w:val="0"/>
              </w:rPr>
              <w:t xml:space="preserve">mediante </w:t>
            </w:r>
            <w:r w:rsidR="004158F1">
              <w:rPr>
                <w:rFonts w:ascii="Calibri Light" w:hAnsi="Calibri Light"/>
                <w:b w:val="0"/>
              </w:rPr>
              <w:t xml:space="preserve">el </w:t>
            </w:r>
            <w:r w:rsidR="003E00E5">
              <w:rPr>
                <w:rFonts w:ascii="Calibri Light" w:hAnsi="Calibri Light"/>
                <w:b w:val="0"/>
              </w:rPr>
              <w:t xml:space="preserve">Decreto </w:t>
            </w:r>
            <w:r w:rsidR="004158F1">
              <w:rPr>
                <w:rFonts w:ascii="Calibri Light" w:hAnsi="Calibri Light"/>
                <w:b w:val="0"/>
              </w:rPr>
              <w:t xml:space="preserve">No. </w:t>
            </w:r>
            <w:r w:rsidR="003E00E5">
              <w:rPr>
                <w:rFonts w:ascii="Calibri Light" w:hAnsi="Calibri Light"/>
                <w:b w:val="0"/>
              </w:rPr>
              <w:t>348 de la Asamblea Legislativa, adoptad</w:t>
            </w:r>
            <w:r w:rsidR="004158F1">
              <w:rPr>
                <w:rFonts w:ascii="Calibri Light" w:hAnsi="Calibri Light"/>
                <w:b w:val="0"/>
              </w:rPr>
              <w:t>o</w:t>
            </w:r>
            <w:r w:rsidR="003E00E5">
              <w:rPr>
                <w:rFonts w:ascii="Calibri Light" w:hAnsi="Calibri Light"/>
                <w:b w:val="0"/>
              </w:rPr>
              <w:t xml:space="preserve"> en julio de ese año </w:t>
            </w:r>
            <w:r w:rsidR="004158F1">
              <w:rPr>
                <w:rFonts w:ascii="Calibri Light" w:hAnsi="Calibri Light"/>
                <w:b w:val="0"/>
              </w:rPr>
              <w:t>con</w:t>
            </w:r>
            <w:r w:rsidR="003E00E5">
              <w:rPr>
                <w:rFonts w:ascii="Calibri Light" w:hAnsi="Calibri Light"/>
                <w:b w:val="0"/>
              </w:rPr>
              <w:t xml:space="preserve"> la participaron diputados del PDC. </w:t>
            </w:r>
            <w:r w:rsidR="00F04CA2">
              <w:rPr>
                <w:rFonts w:ascii="Calibri Light" w:hAnsi="Calibri Light"/>
                <w:b w:val="0"/>
              </w:rPr>
              <w:t xml:space="preserve">El señor Colindres presentó dos recursos de amparo contra </w:t>
            </w:r>
            <w:r w:rsidR="00146182">
              <w:rPr>
                <w:rFonts w:ascii="Calibri Light" w:hAnsi="Calibri Light"/>
                <w:b w:val="0"/>
              </w:rPr>
              <w:t>este decreto</w:t>
            </w:r>
            <w:r w:rsidR="00F04CA2">
              <w:rPr>
                <w:rFonts w:ascii="Calibri Light" w:hAnsi="Calibri Light"/>
                <w:b w:val="0"/>
              </w:rPr>
              <w:t xml:space="preserve"> en julio de 1998 y en julio de 1999. El pr</w:t>
            </w:r>
            <w:r w:rsidR="00E07EE6">
              <w:rPr>
                <w:rFonts w:ascii="Calibri Light" w:hAnsi="Calibri Light"/>
                <w:b w:val="0"/>
              </w:rPr>
              <w:t xml:space="preserve">imero fue </w:t>
            </w:r>
            <w:r w:rsidR="002A4815">
              <w:rPr>
                <w:rFonts w:ascii="Calibri Light" w:hAnsi="Calibri Light"/>
                <w:b w:val="0"/>
              </w:rPr>
              <w:t>rechazado</w:t>
            </w:r>
            <w:r w:rsidR="00E07EE6">
              <w:rPr>
                <w:rFonts w:ascii="Calibri Light" w:hAnsi="Calibri Light"/>
                <w:b w:val="0"/>
              </w:rPr>
              <w:t>, ya que la Sala consideró que en tanto la Asamblea Legislativa nombró al señor Colindres, también tenía la facul</w:t>
            </w:r>
            <w:r w:rsidR="00146182">
              <w:rPr>
                <w:rFonts w:ascii="Calibri Light" w:hAnsi="Calibri Light"/>
                <w:b w:val="0"/>
              </w:rPr>
              <w:t xml:space="preserve">tad de destituirlo. El segundo </w:t>
            </w:r>
            <w:r w:rsidR="00764622">
              <w:rPr>
                <w:rFonts w:ascii="Calibri Light" w:hAnsi="Calibri Light"/>
                <w:b w:val="0"/>
              </w:rPr>
              <w:t xml:space="preserve">fue declarado improcedente, </w:t>
            </w:r>
            <w:r w:rsidR="00146182">
              <w:rPr>
                <w:rFonts w:ascii="Calibri Light" w:hAnsi="Calibri Light"/>
                <w:b w:val="0"/>
              </w:rPr>
              <w:t>en tanto se consideró que</w:t>
            </w:r>
            <w:r w:rsidR="00764622">
              <w:rPr>
                <w:rFonts w:ascii="Calibri Light" w:hAnsi="Calibri Light"/>
                <w:b w:val="0"/>
              </w:rPr>
              <w:t xml:space="preserve"> la Sala no era una instancia</w:t>
            </w:r>
            <w:r w:rsidR="0000782C">
              <w:rPr>
                <w:rFonts w:ascii="Calibri Light" w:hAnsi="Calibri Light"/>
                <w:b w:val="0"/>
              </w:rPr>
              <w:t xml:space="preserve"> </w:t>
            </w:r>
            <w:r w:rsidR="00146182">
              <w:rPr>
                <w:rFonts w:ascii="Calibri Light" w:hAnsi="Calibri Light"/>
                <w:b w:val="0"/>
              </w:rPr>
              <w:t>de</w:t>
            </w:r>
            <w:r w:rsidR="0000782C">
              <w:rPr>
                <w:rFonts w:ascii="Calibri Light" w:hAnsi="Calibri Light"/>
                <w:b w:val="0"/>
              </w:rPr>
              <w:t xml:space="preserve"> revisión del razonamiento </w:t>
            </w:r>
            <w:r w:rsidR="008D009C">
              <w:rPr>
                <w:rFonts w:ascii="Calibri Light" w:hAnsi="Calibri Light"/>
                <w:b w:val="0"/>
              </w:rPr>
              <w:t>realizado por la Asamblea Legislativa en e</w:t>
            </w:r>
            <w:r w:rsidR="0000782C">
              <w:rPr>
                <w:rFonts w:ascii="Calibri Light" w:hAnsi="Calibri Light"/>
                <w:b w:val="0"/>
              </w:rPr>
              <w:t>l Decreto.</w:t>
            </w:r>
          </w:p>
          <w:p w14:paraId="2AAA6506" w14:textId="77777777" w:rsidR="00764622" w:rsidRDefault="00764622" w:rsidP="00A9276A">
            <w:pPr>
              <w:spacing w:after="0" w:line="240" w:lineRule="auto"/>
              <w:jc w:val="both"/>
              <w:rPr>
                <w:rFonts w:ascii="Calibri Light" w:hAnsi="Calibri Light"/>
                <w:b w:val="0"/>
              </w:rPr>
            </w:pPr>
          </w:p>
          <w:p w14:paraId="65F266FA" w14:textId="2256A490" w:rsidR="00FF6887" w:rsidRDefault="002E7E75" w:rsidP="00567C6D">
            <w:pPr>
              <w:spacing w:after="0" w:line="240" w:lineRule="auto"/>
              <w:jc w:val="both"/>
              <w:rPr>
                <w:rFonts w:ascii="Calibri Light" w:hAnsi="Calibri Light"/>
                <w:b w:val="0"/>
              </w:rPr>
            </w:pPr>
            <w:r>
              <w:rPr>
                <w:rFonts w:ascii="Calibri Light" w:hAnsi="Calibri Light"/>
                <w:b w:val="0"/>
              </w:rPr>
              <w:t xml:space="preserve">Por otro lado, </w:t>
            </w:r>
            <w:r w:rsidR="00301897">
              <w:rPr>
                <w:rFonts w:ascii="Calibri Light" w:hAnsi="Calibri Light"/>
                <w:b w:val="0"/>
              </w:rPr>
              <w:t xml:space="preserve">en 1999 </w:t>
            </w:r>
            <w:r>
              <w:rPr>
                <w:rFonts w:ascii="Calibri Light" w:hAnsi="Calibri Light"/>
                <w:b w:val="0"/>
              </w:rPr>
              <w:t xml:space="preserve">el señor Colindres presentó una demanda por daños y perjuicios </w:t>
            </w:r>
            <w:r w:rsidR="004158F1">
              <w:rPr>
                <w:rFonts w:ascii="Calibri Light" w:hAnsi="Calibri Light"/>
                <w:b w:val="0"/>
              </w:rPr>
              <w:t xml:space="preserve">causados por su primera destitución, </w:t>
            </w:r>
            <w:r>
              <w:rPr>
                <w:rFonts w:ascii="Calibri Light" w:hAnsi="Calibri Light"/>
                <w:b w:val="0"/>
              </w:rPr>
              <w:t>ante la Cámara Primera de lo Civil de la Primera Sección del Centro</w:t>
            </w:r>
            <w:r w:rsidR="004158F1">
              <w:rPr>
                <w:rFonts w:ascii="Calibri Light" w:hAnsi="Calibri Light"/>
                <w:b w:val="0"/>
              </w:rPr>
              <w:t>. Esta</w:t>
            </w:r>
            <w:r>
              <w:rPr>
                <w:rFonts w:ascii="Calibri Light" w:hAnsi="Calibri Light"/>
                <w:b w:val="0"/>
              </w:rPr>
              <w:t xml:space="preserve"> determinó</w:t>
            </w:r>
            <w:r w:rsidR="004158F1">
              <w:rPr>
                <w:rFonts w:ascii="Calibri Light" w:hAnsi="Calibri Light"/>
                <w:b w:val="0"/>
              </w:rPr>
              <w:t>, en 2001,</w:t>
            </w:r>
            <w:r>
              <w:rPr>
                <w:rFonts w:ascii="Calibri Light" w:hAnsi="Calibri Light"/>
                <w:b w:val="0"/>
              </w:rPr>
              <w:t xml:space="preserve"> que se le otorgue </w:t>
            </w:r>
            <w:r w:rsidR="00301897">
              <w:rPr>
                <w:rFonts w:ascii="Calibri Light" w:hAnsi="Calibri Light"/>
                <w:b w:val="0"/>
              </w:rPr>
              <w:t>un pago por los daños sufridos tanto en primera como en segunda instancia. Sin embargo, dicha decisión fue sometida a un recurso de casación</w:t>
            </w:r>
            <w:r w:rsidR="004158F1">
              <w:rPr>
                <w:rFonts w:ascii="Calibri Light" w:hAnsi="Calibri Light"/>
                <w:b w:val="0"/>
              </w:rPr>
              <w:t>, que confirmó ocho años después el pago</w:t>
            </w:r>
            <w:r w:rsidR="00301897">
              <w:rPr>
                <w:rFonts w:ascii="Calibri Light" w:hAnsi="Calibri Light"/>
                <w:b w:val="0"/>
              </w:rPr>
              <w:t>.</w:t>
            </w:r>
            <w:r w:rsidR="00567C6D">
              <w:rPr>
                <w:rFonts w:ascii="Calibri Light" w:hAnsi="Calibri Light"/>
                <w:b w:val="0"/>
              </w:rPr>
              <w:t xml:space="preserve"> </w:t>
            </w:r>
            <w:r w:rsidR="004158F1">
              <w:rPr>
                <w:rFonts w:ascii="Calibri Light" w:hAnsi="Calibri Light"/>
                <w:b w:val="0"/>
              </w:rPr>
              <w:t>No obstante, a</w:t>
            </w:r>
            <w:r w:rsidR="00567C6D">
              <w:rPr>
                <w:rFonts w:ascii="Calibri Light" w:hAnsi="Calibri Light"/>
                <w:b w:val="0"/>
              </w:rPr>
              <w:t xml:space="preserve"> fines de 2010, aún no se había efectuado el pago correspondiente.</w:t>
            </w:r>
          </w:p>
          <w:p w14:paraId="1F656FD2" w14:textId="77777777" w:rsidR="00850163" w:rsidRDefault="00850163" w:rsidP="00567C6D">
            <w:pPr>
              <w:spacing w:after="0" w:line="240" w:lineRule="auto"/>
              <w:jc w:val="both"/>
              <w:rPr>
                <w:rFonts w:ascii="Calibri Light" w:hAnsi="Calibri Light"/>
                <w:b w:val="0"/>
              </w:rPr>
            </w:pPr>
          </w:p>
          <w:p w14:paraId="6B2D0316" w14:textId="77777777" w:rsidR="00850163" w:rsidRDefault="00056644" w:rsidP="004158F1">
            <w:pPr>
              <w:spacing w:after="0" w:line="240" w:lineRule="auto"/>
              <w:jc w:val="both"/>
              <w:rPr>
                <w:rFonts w:asciiTheme="majorHAnsi" w:hAnsiTheme="majorHAnsi" w:cs="Calibri"/>
                <w:b w:val="0"/>
                <w:bCs w:val="0"/>
                <w:lang w:eastAsia="es-PE"/>
              </w:rPr>
            </w:pPr>
            <w:r>
              <w:rPr>
                <w:rFonts w:asciiTheme="majorHAnsi" w:hAnsiTheme="majorHAnsi" w:cs="Calibri"/>
                <w:b w:val="0"/>
                <w:bCs w:val="0"/>
                <w:lang w:eastAsia="es-PE"/>
              </w:rPr>
              <w:t xml:space="preserve">Frente a tales hechos, el </w:t>
            </w:r>
            <w:r w:rsidRPr="00056644">
              <w:rPr>
                <w:rFonts w:asciiTheme="majorHAnsi" w:hAnsiTheme="majorHAnsi" w:cs="Calibri"/>
                <w:b w:val="0"/>
                <w:bCs w:val="0"/>
                <w:lang w:eastAsia="es-PE"/>
              </w:rPr>
              <w:t>Instituto de Derechos Humanos de la Universidad Centroamericana “José Simeón Cañas”</w:t>
            </w:r>
            <w:r w:rsidR="004158F1">
              <w:rPr>
                <w:rFonts w:asciiTheme="majorHAnsi" w:hAnsiTheme="majorHAnsi" w:cs="Calibri"/>
                <w:b w:val="0"/>
                <w:bCs w:val="0"/>
                <w:lang w:eastAsia="es-PE"/>
              </w:rPr>
              <w:t>, en representación del señor Colindres,</w:t>
            </w:r>
            <w:r>
              <w:rPr>
                <w:rFonts w:asciiTheme="majorHAnsi" w:hAnsiTheme="majorHAnsi" w:cs="Calibri"/>
                <w:b w:val="0"/>
                <w:bCs w:val="0"/>
                <w:lang w:eastAsia="es-PE"/>
              </w:rPr>
              <w:t xml:space="preserve"> </w:t>
            </w:r>
            <w:r w:rsidR="00850163" w:rsidRPr="00056644">
              <w:rPr>
                <w:rFonts w:asciiTheme="majorHAnsi" w:hAnsiTheme="majorHAnsi" w:cs="Calibri"/>
                <w:b w:val="0"/>
                <w:bCs w:val="0"/>
                <w:lang w:eastAsia="es-PE"/>
              </w:rPr>
              <w:t>presentó una petición ante la CIDH, d</w:t>
            </w:r>
            <w:r>
              <w:rPr>
                <w:rFonts w:asciiTheme="majorHAnsi" w:hAnsiTheme="majorHAnsi" w:cs="Calibri"/>
                <w:b w:val="0"/>
                <w:bCs w:val="0"/>
                <w:lang w:eastAsia="es-PE"/>
              </w:rPr>
              <w:t>enunciando que el Estado salvadoreño</w:t>
            </w:r>
            <w:r w:rsidR="00850163" w:rsidRPr="00056644">
              <w:rPr>
                <w:rFonts w:asciiTheme="majorHAnsi" w:hAnsiTheme="majorHAnsi" w:cs="Calibri"/>
                <w:b w:val="0"/>
                <w:bCs w:val="0"/>
                <w:lang w:eastAsia="es-PE"/>
              </w:rPr>
              <w:t xml:space="preserve"> habría vulnerado los derechos a las garantías judiciales y a la protección judicial</w:t>
            </w:r>
            <w:r w:rsidR="004835AE">
              <w:rPr>
                <w:rFonts w:asciiTheme="majorHAnsi" w:hAnsiTheme="majorHAnsi" w:cs="Calibri"/>
                <w:b w:val="0"/>
                <w:bCs w:val="0"/>
                <w:lang w:eastAsia="es-PE"/>
              </w:rPr>
              <w:t xml:space="preserve">, el principio de legalidad, y </w:t>
            </w:r>
            <w:r w:rsidR="004158F1">
              <w:rPr>
                <w:rFonts w:asciiTheme="majorHAnsi" w:hAnsiTheme="majorHAnsi" w:cs="Calibri"/>
                <w:b w:val="0"/>
                <w:bCs w:val="0"/>
                <w:lang w:eastAsia="es-PE"/>
              </w:rPr>
              <w:t xml:space="preserve">los </w:t>
            </w:r>
            <w:r w:rsidR="004835AE">
              <w:rPr>
                <w:rFonts w:asciiTheme="majorHAnsi" w:hAnsiTheme="majorHAnsi" w:cs="Calibri"/>
                <w:b w:val="0"/>
                <w:bCs w:val="0"/>
                <w:lang w:eastAsia="es-PE"/>
              </w:rPr>
              <w:t>derechos políticos</w:t>
            </w:r>
            <w:r w:rsidR="00850163" w:rsidRPr="00056644">
              <w:rPr>
                <w:rFonts w:asciiTheme="majorHAnsi" w:hAnsiTheme="majorHAnsi" w:cs="Calibri"/>
                <w:b w:val="0"/>
                <w:bCs w:val="0"/>
                <w:lang w:eastAsia="es-PE"/>
              </w:rPr>
              <w:t>, reconocidos en la Convención Americana sobre Derechos Humanos (en adelante, CADH)</w:t>
            </w:r>
            <w:r w:rsidR="004835AE">
              <w:rPr>
                <w:rFonts w:asciiTheme="majorHAnsi" w:hAnsiTheme="majorHAnsi" w:cs="Calibri"/>
                <w:b w:val="0"/>
                <w:bCs w:val="0"/>
                <w:lang w:eastAsia="es-PE"/>
              </w:rPr>
              <w:t>.</w:t>
            </w:r>
          </w:p>
          <w:p w14:paraId="117F8D74" w14:textId="04A28DF8" w:rsidR="00035058" w:rsidRPr="00056644" w:rsidRDefault="00035058" w:rsidP="004158F1">
            <w:pPr>
              <w:spacing w:after="0" w:line="240" w:lineRule="auto"/>
              <w:jc w:val="both"/>
              <w:rPr>
                <w:rFonts w:asciiTheme="majorHAnsi" w:hAnsiTheme="majorHAnsi"/>
                <w:b w:val="0"/>
              </w:rPr>
            </w:pPr>
          </w:p>
        </w:tc>
      </w:tr>
      <w:tr w:rsidR="00FF6887" w14:paraId="0CFF7A33" w14:textId="77777777" w:rsidTr="00035058">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vAlign w:val="center"/>
          </w:tcPr>
          <w:p w14:paraId="63108D09" w14:textId="11A964AC" w:rsidR="00FF6887" w:rsidRPr="00035058" w:rsidRDefault="00FF6887" w:rsidP="00035058">
            <w:pPr>
              <w:pStyle w:val="ListParagraph"/>
              <w:numPr>
                <w:ilvl w:val="0"/>
                <w:numId w:val="1"/>
              </w:numPr>
              <w:spacing w:after="0" w:line="240" w:lineRule="auto"/>
              <w:jc w:val="center"/>
              <w:rPr>
                <w:rFonts w:ascii="Calibri Light" w:hAnsi="Calibri Light"/>
              </w:rPr>
            </w:pPr>
            <w:r>
              <w:rPr>
                <w:rFonts w:ascii="Calibri Light" w:hAnsi="Calibri Light"/>
              </w:rPr>
              <w:lastRenderedPageBreak/>
              <w:t>Análisis jurídico</w:t>
            </w:r>
          </w:p>
        </w:tc>
      </w:tr>
      <w:tr w:rsidR="00FF6887" w14:paraId="39B96F06" w14:textId="77777777" w:rsidTr="00FF688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3FFFA788" w14:textId="77777777" w:rsidR="00E80AB4" w:rsidRDefault="00E80AB4" w:rsidP="00C31BC1">
            <w:pPr>
              <w:spacing w:after="0" w:line="240" w:lineRule="auto"/>
              <w:jc w:val="both"/>
              <w:rPr>
                <w:rFonts w:ascii="Calibri Light" w:hAnsi="Calibri Light"/>
                <w:b w:val="0"/>
              </w:rPr>
            </w:pPr>
          </w:p>
          <w:p w14:paraId="4DCADE4D" w14:textId="77777777" w:rsidR="00C31BC1" w:rsidRPr="00035058" w:rsidRDefault="004158F1" w:rsidP="00035058">
            <w:pPr>
              <w:spacing w:after="0" w:line="240" w:lineRule="auto"/>
              <w:jc w:val="both"/>
              <w:rPr>
                <w:rFonts w:ascii="Calibri Light" w:hAnsi="Calibri Light"/>
              </w:rPr>
            </w:pPr>
            <w:r w:rsidRPr="00035058">
              <w:rPr>
                <w:rFonts w:ascii="Calibri Light" w:hAnsi="Calibri Light"/>
              </w:rPr>
              <w:t>El d</w:t>
            </w:r>
            <w:r w:rsidR="0063159D" w:rsidRPr="00035058">
              <w:rPr>
                <w:rFonts w:ascii="Calibri Light" w:hAnsi="Calibri Light"/>
              </w:rPr>
              <w:t xml:space="preserve">erecho a las garantías judiciales; </w:t>
            </w:r>
            <w:r w:rsidRPr="00035058">
              <w:rPr>
                <w:rFonts w:ascii="Calibri Light" w:hAnsi="Calibri Light"/>
              </w:rPr>
              <w:t xml:space="preserve">el </w:t>
            </w:r>
            <w:r w:rsidR="0063159D" w:rsidRPr="00035058">
              <w:rPr>
                <w:rFonts w:ascii="Calibri Light" w:hAnsi="Calibri Light"/>
              </w:rPr>
              <w:t xml:space="preserve">principio de legalidad </w:t>
            </w:r>
            <w:r w:rsidRPr="00035058">
              <w:rPr>
                <w:rFonts w:ascii="Calibri Light" w:hAnsi="Calibri Light"/>
              </w:rPr>
              <w:t>y el derecho a la</w:t>
            </w:r>
            <w:r w:rsidR="0063159D" w:rsidRPr="00035058">
              <w:rPr>
                <w:rFonts w:ascii="Calibri Light" w:hAnsi="Calibri Light"/>
              </w:rPr>
              <w:t xml:space="preserve"> protección judicial (</w:t>
            </w:r>
            <w:r w:rsidRPr="00035058">
              <w:rPr>
                <w:rFonts w:ascii="Calibri Light" w:hAnsi="Calibri Light"/>
              </w:rPr>
              <w:t>artículos 8, 9 y 25</w:t>
            </w:r>
            <w:r w:rsidR="0063159D" w:rsidRPr="00035058">
              <w:rPr>
                <w:rFonts w:ascii="Calibri Light" w:hAnsi="Calibri Light"/>
              </w:rPr>
              <w:t xml:space="preserve"> de la CADH)</w:t>
            </w:r>
          </w:p>
          <w:p w14:paraId="7ABF1E44" w14:textId="77777777" w:rsidR="002E3B44" w:rsidRDefault="002E3B44" w:rsidP="002E3B44">
            <w:pPr>
              <w:spacing w:after="0" w:line="240" w:lineRule="auto"/>
              <w:jc w:val="both"/>
              <w:rPr>
                <w:rFonts w:ascii="Calibri Light" w:hAnsi="Calibri Light"/>
              </w:rPr>
            </w:pPr>
          </w:p>
          <w:p w14:paraId="10F8FEEE" w14:textId="77777777" w:rsidR="002E3B44" w:rsidRDefault="002E3B44" w:rsidP="002E3B44">
            <w:pPr>
              <w:pStyle w:val="ListParagraph"/>
              <w:numPr>
                <w:ilvl w:val="0"/>
                <w:numId w:val="10"/>
              </w:numPr>
              <w:spacing w:after="0" w:line="240" w:lineRule="auto"/>
              <w:jc w:val="both"/>
              <w:rPr>
                <w:rFonts w:ascii="Calibri Light" w:hAnsi="Calibri Light"/>
              </w:rPr>
            </w:pPr>
            <w:r>
              <w:rPr>
                <w:rFonts w:ascii="Calibri Light" w:hAnsi="Calibri Light"/>
              </w:rPr>
              <w:t>Marco general: el principio de independencia judicial</w:t>
            </w:r>
          </w:p>
          <w:p w14:paraId="3B58BD6A" w14:textId="77777777" w:rsidR="002E3B44" w:rsidRDefault="002E3B44" w:rsidP="002E3B44">
            <w:pPr>
              <w:spacing w:after="0" w:line="240" w:lineRule="auto"/>
              <w:jc w:val="both"/>
              <w:rPr>
                <w:rFonts w:ascii="Calibri Light" w:hAnsi="Calibri Light"/>
              </w:rPr>
            </w:pPr>
          </w:p>
          <w:p w14:paraId="566753E3" w14:textId="0C471272" w:rsidR="002E3B44" w:rsidRDefault="002E3B44" w:rsidP="002E3B44">
            <w:pPr>
              <w:spacing w:after="0" w:line="240" w:lineRule="auto"/>
              <w:jc w:val="both"/>
              <w:rPr>
                <w:rFonts w:ascii="Calibri Light" w:hAnsi="Calibri Light"/>
                <w:b w:val="0"/>
              </w:rPr>
            </w:pPr>
            <w:r>
              <w:rPr>
                <w:rFonts w:ascii="Calibri Light" w:hAnsi="Calibri Light"/>
                <w:b w:val="0"/>
              </w:rPr>
              <w:t xml:space="preserve">Una de las garantías del debido proceso es el cumplimiento del principio de independencia judicial, que abocado a jueces y juezas implica, por ejemplo, incorporar procesos adecuados </w:t>
            </w:r>
            <w:r w:rsidR="009C33AD">
              <w:rPr>
                <w:rFonts w:ascii="Calibri Light" w:hAnsi="Calibri Light"/>
                <w:b w:val="0"/>
              </w:rPr>
              <w:t xml:space="preserve">para su </w:t>
            </w:r>
            <w:r>
              <w:rPr>
                <w:rFonts w:ascii="Calibri Light" w:hAnsi="Calibri Light"/>
                <w:b w:val="0"/>
              </w:rPr>
              <w:t xml:space="preserve">nombramiento, </w:t>
            </w:r>
            <w:r w:rsidR="009C33AD">
              <w:rPr>
                <w:rFonts w:ascii="Calibri Light" w:hAnsi="Calibri Light"/>
                <w:b w:val="0"/>
              </w:rPr>
              <w:t xml:space="preserve">garantizar su </w:t>
            </w:r>
            <w:r>
              <w:rPr>
                <w:rFonts w:ascii="Calibri Light" w:hAnsi="Calibri Light"/>
                <w:b w:val="0"/>
              </w:rPr>
              <w:t xml:space="preserve">inamovilidad en el cargo, y </w:t>
            </w:r>
            <w:r w:rsidR="009C33AD">
              <w:rPr>
                <w:rFonts w:ascii="Calibri Light" w:hAnsi="Calibri Light"/>
                <w:b w:val="0"/>
              </w:rPr>
              <w:t xml:space="preserve">brindarles </w:t>
            </w:r>
            <w:r>
              <w:rPr>
                <w:rFonts w:ascii="Calibri Light" w:hAnsi="Calibri Light"/>
                <w:b w:val="0"/>
              </w:rPr>
              <w:t xml:space="preserve">garantías contra presiones externas a fin de asegurar que puedan cumplir con los derechos de los justiciables. En específico sobre la inamovilidad, la Corte IDH ha indicado que la separación de un juez de su cargo debe obedecer </w:t>
            </w:r>
            <w:r w:rsidR="004B7852">
              <w:rPr>
                <w:rFonts w:ascii="Calibri Light" w:hAnsi="Calibri Light"/>
                <w:b w:val="0"/>
              </w:rPr>
              <w:t>exclusivamente</w:t>
            </w:r>
            <w:r w:rsidR="004B7852" w:rsidRPr="00C776EB">
              <w:rPr>
                <w:rFonts w:ascii="Calibri Light" w:hAnsi="Calibri Light"/>
                <w:b w:val="0"/>
                <w:color w:val="FF0000"/>
              </w:rPr>
              <w:t xml:space="preserve"> </w:t>
            </w:r>
            <w:r w:rsidR="004B7852" w:rsidRPr="00C776EB">
              <w:rPr>
                <w:rFonts w:ascii="Calibri Light" w:hAnsi="Calibri Light"/>
                <w:b w:val="0"/>
              </w:rPr>
              <w:t xml:space="preserve">a: i) </w:t>
            </w:r>
            <w:r w:rsidR="006A07A2" w:rsidRPr="00C776EB">
              <w:rPr>
                <w:rFonts w:ascii="Calibri Light" w:hAnsi="Calibri Light"/>
                <w:b w:val="0"/>
              </w:rPr>
              <w:t>causales permitidas</w:t>
            </w:r>
            <w:r w:rsidR="009C33AD" w:rsidRPr="00C776EB">
              <w:rPr>
                <w:rFonts w:ascii="Calibri Light" w:hAnsi="Calibri Light"/>
                <w:b w:val="0"/>
              </w:rPr>
              <w:t>,</w:t>
            </w:r>
            <w:r w:rsidR="006A07A2" w:rsidRPr="00C776EB">
              <w:rPr>
                <w:rFonts w:ascii="Calibri Light" w:hAnsi="Calibri Light"/>
                <w:b w:val="0"/>
              </w:rPr>
              <w:t xml:space="preserve"> las cuales deberán tramitarse en procesos que gocen de garantías judiciales,</w:t>
            </w:r>
            <w:r w:rsidR="009C33AD" w:rsidRPr="00C776EB">
              <w:rPr>
                <w:rFonts w:ascii="Calibri Light" w:hAnsi="Calibri Light"/>
                <w:b w:val="0"/>
              </w:rPr>
              <w:t xml:space="preserve"> o</w:t>
            </w:r>
            <w:r w:rsidR="006A07A2" w:rsidRPr="00C776EB">
              <w:rPr>
                <w:rFonts w:ascii="Calibri Light" w:hAnsi="Calibri Light"/>
                <w:b w:val="0"/>
              </w:rPr>
              <w:t xml:space="preserve"> ii) porque se ha cumplido el periodo o término de su mandato.</w:t>
            </w:r>
            <w:r w:rsidR="009C33AD" w:rsidRPr="00C776EB">
              <w:rPr>
                <w:rFonts w:ascii="Calibri Light" w:hAnsi="Calibri Light"/>
                <w:b w:val="0"/>
              </w:rPr>
              <w:t xml:space="preserve"> </w:t>
            </w:r>
          </w:p>
          <w:p w14:paraId="550A1723" w14:textId="77777777" w:rsidR="002E3B44" w:rsidRDefault="002E3B44" w:rsidP="002E3B44">
            <w:pPr>
              <w:spacing w:after="0" w:line="240" w:lineRule="auto"/>
              <w:jc w:val="both"/>
              <w:rPr>
                <w:rFonts w:ascii="Calibri Light" w:hAnsi="Calibri Light"/>
                <w:b w:val="0"/>
              </w:rPr>
            </w:pPr>
          </w:p>
          <w:p w14:paraId="7F26743A" w14:textId="77777777" w:rsidR="002E3B44" w:rsidRPr="002E3B44" w:rsidRDefault="002E3B44" w:rsidP="009C33AD">
            <w:pPr>
              <w:pStyle w:val="ListParagraph"/>
              <w:numPr>
                <w:ilvl w:val="0"/>
                <w:numId w:val="10"/>
              </w:numPr>
              <w:spacing w:after="0" w:line="240" w:lineRule="auto"/>
              <w:jc w:val="both"/>
              <w:rPr>
                <w:rFonts w:ascii="Calibri Light" w:hAnsi="Calibri Light"/>
              </w:rPr>
            </w:pPr>
            <w:r>
              <w:rPr>
                <w:rFonts w:ascii="Calibri Light" w:hAnsi="Calibri Light"/>
              </w:rPr>
              <w:t xml:space="preserve">Análisis de la violación de las garantías judiciales y protección judicial </w:t>
            </w:r>
          </w:p>
          <w:p w14:paraId="0145BF19" w14:textId="77777777" w:rsidR="0063159D" w:rsidRDefault="0063159D" w:rsidP="0063159D">
            <w:pPr>
              <w:spacing w:after="0" w:line="240" w:lineRule="auto"/>
              <w:jc w:val="both"/>
              <w:rPr>
                <w:rFonts w:ascii="Calibri Light" w:hAnsi="Calibri Light"/>
              </w:rPr>
            </w:pPr>
          </w:p>
          <w:p w14:paraId="19E4CF61" w14:textId="7080697F" w:rsidR="00634CC9" w:rsidRDefault="00273B69" w:rsidP="0063159D">
            <w:pPr>
              <w:spacing w:after="0" w:line="240" w:lineRule="auto"/>
              <w:jc w:val="both"/>
              <w:rPr>
                <w:rFonts w:ascii="Calibri Light" w:hAnsi="Calibri Light"/>
                <w:b w:val="0"/>
              </w:rPr>
            </w:pPr>
            <w:r>
              <w:rPr>
                <w:rFonts w:ascii="Calibri Light" w:hAnsi="Calibri Light"/>
                <w:b w:val="0"/>
              </w:rPr>
              <w:t>La CIDH explic</w:t>
            </w:r>
            <w:r w:rsidR="009C33AD">
              <w:rPr>
                <w:rFonts w:ascii="Calibri Light" w:hAnsi="Calibri Light"/>
                <w:b w:val="0"/>
              </w:rPr>
              <w:t>ó</w:t>
            </w:r>
            <w:r>
              <w:rPr>
                <w:rFonts w:ascii="Calibri Light" w:hAnsi="Calibri Light"/>
                <w:b w:val="0"/>
              </w:rPr>
              <w:t xml:space="preserve"> </w:t>
            </w:r>
            <w:r w:rsidR="005D6879">
              <w:rPr>
                <w:rFonts w:ascii="Calibri Light" w:hAnsi="Calibri Light"/>
                <w:b w:val="0"/>
              </w:rPr>
              <w:t>que,</w:t>
            </w:r>
            <w:r>
              <w:rPr>
                <w:rFonts w:ascii="Calibri Light" w:hAnsi="Calibri Light"/>
                <w:b w:val="0"/>
              </w:rPr>
              <w:t xml:space="preserve"> aunque tradicionalmente se ha entendido que las garantías contenidas en el artículo 8.2 de la CADH </w:t>
            </w:r>
            <w:r w:rsidR="005D6879">
              <w:rPr>
                <w:rFonts w:ascii="Calibri Light" w:hAnsi="Calibri Light"/>
                <w:b w:val="0"/>
              </w:rPr>
              <w:t>son inherentes de los procesos penales, en realidad estas también son aplicables a procesos sancionatorios, ya que</w:t>
            </w:r>
            <w:r w:rsidR="00634CC9">
              <w:rPr>
                <w:rFonts w:ascii="Calibri Light" w:hAnsi="Calibri Light"/>
                <w:b w:val="0"/>
              </w:rPr>
              <w:t xml:space="preserve"> estos también son una manifestación del poder punitivo del Estado. En el caso de procesos disciplinarios contra jueces o juezas,</w:t>
            </w:r>
            <w:r w:rsidR="007C43E4">
              <w:rPr>
                <w:rFonts w:ascii="Calibri Light" w:hAnsi="Calibri Light"/>
                <w:b w:val="0"/>
              </w:rPr>
              <w:t xml:space="preserve"> estas garantías, y todas las del debido proceso en general, se ven reforzadas</w:t>
            </w:r>
            <w:r w:rsidR="00031B48">
              <w:rPr>
                <w:rFonts w:ascii="Calibri Light" w:hAnsi="Calibri Light"/>
                <w:b w:val="0"/>
              </w:rPr>
              <w:t xml:space="preserve"> a fin de asegurar su independencia</w:t>
            </w:r>
            <w:r w:rsidR="007C43E4">
              <w:rPr>
                <w:rFonts w:ascii="Calibri Light" w:hAnsi="Calibri Light"/>
                <w:b w:val="0"/>
              </w:rPr>
              <w:t>.</w:t>
            </w:r>
            <w:r w:rsidR="00F675FC">
              <w:rPr>
                <w:rFonts w:ascii="Calibri Light" w:hAnsi="Calibri Light"/>
                <w:b w:val="0"/>
              </w:rPr>
              <w:t xml:space="preserve"> </w:t>
            </w:r>
            <w:r w:rsidR="007C43E4">
              <w:rPr>
                <w:rFonts w:ascii="Calibri Light" w:hAnsi="Calibri Light"/>
                <w:b w:val="0"/>
              </w:rPr>
              <w:t xml:space="preserve">Con esa aclaración, la </w:t>
            </w:r>
            <w:r w:rsidR="00634CC9">
              <w:rPr>
                <w:rFonts w:ascii="Calibri Light" w:hAnsi="Calibri Light"/>
                <w:b w:val="0"/>
              </w:rPr>
              <w:t xml:space="preserve">CIDH </w:t>
            </w:r>
            <w:r w:rsidR="009C33AD">
              <w:rPr>
                <w:rFonts w:ascii="Calibri Light" w:hAnsi="Calibri Light"/>
                <w:b w:val="0"/>
              </w:rPr>
              <w:t xml:space="preserve">pasó </w:t>
            </w:r>
            <w:r w:rsidR="007C43E4">
              <w:rPr>
                <w:rFonts w:ascii="Calibri Light" w:hAnsi="Calibri Light"/>
                <w:b w:val="0"/>
              </w:rPr>
              <w:t>a analizar</w:t>
            </w:r>
            <w:r w:rsidR="00634CC9">
              <w:rPr>
                <w:rFonts w:ascii="Calibri Light" w:hAnsi="Calibri Light"/>
                <w:b w:val="0"/>
              </w:rPr>
              <w:t xml:space="preserve"> el cumplimiento de las garantías co</w:t>
            </w:r>
            <w:r w:rsidR="00DC7E87">
              <w:rPr>
                <w:rFonts w:ascii="Calibri Light" w:hAnsi="Calibri Light"/>
                <w:b w:val="0"/>
              </w:rPr>
              <w:t>ntenidas en el art. 8.</w:t>
            </w:r>
            <w:r w:rsidR="004310F5">
              <w:rPr>
                <w:rFonts w:ascii="Calibri Light" w:hAnsi="Calibri Light"/>
                <w:b w:val="0"/>
              </w:rPr>
              <w:t>1 y 8.2 en base a tres aspectos según se detalla a continuación:</w:t>
            </w:r>
          </w:p>
          <w:p w14:paraId="79F48DE8" w14:textId="77777777" w:rsidR="00634CC9" w:rsidRDefault="00634CC9" w:rsidP="0063159D">
            <w:pPr>
              <w:spacing w:after="0" w:line="240" w:lineRule="auto"/>
              <w:jc w:val="both"/>
              <w:rPr>
                <w:rFonts w:ascii="Calibri Light" w:hAnsi="Calibri Light"/>
                <w:b w:val="0"/>
              </w:rPr>
            </w:pPr>
          </w:p>
          <w:p w14:paraId="35F4FD09" w14:textId="77777777" w:rsidR="00634CC9" w:rsidRPr="00634CC9" w:rsidRDefault="00634CC9" w:rsidP="00634CC9">
            <w:pPr>
              <w:pStyle w:val="ListParagraph"/>
              <w:numPr>
                <w:ilvl w:val="0"/>
                <w:numId w:val="9"/>
              </w:numPr>
              <w:spacing w:after="0" w:line="240" w:lineRule="auto"/>
              <w:jc w:val="both"/>
              <w:rPr>
                <w:rFonts w:ascii="Calibri Light" w:hAnsi="Calibri Light"/>
              </w:rPr>
            </w:pPr>
            <w:r w:rsidRPr="00634CC9">
              <w:rPr>
                <w:rFonts w:ascii="Calibri Light" w:hAnsi="Calibri Light"/>
              </w:rPr>
              <w:t>Competencia, independencia e imparcialidad de la autoridad disciplinaria</w:t>
            </w:r>
          </w:p>
          <w:p w14:paraId="129C1093" w14:textId="77777777" w:rsidR="00634CC9" w:rsidRDefault="00634CC9" w:rsidP="00634CC9">
            <w:pPr>
              <w:spacing w:after="0" w:line="240" w:lineRule="auto"/>
              <w:jc w:val="both"/>
              <w:rPr>
                <w:rFonts w:ascii="Calibri Light" w:hAnsi="Calibri Light"/>
              </w:rPr>
            </w:pPr>
          </w:p>
          <w:p w14:paraId="285B68EC" w14:textId="247B3C84" w:rsidR="00AF6EBB" w:rsidRDefault="00E84D6A" w:rsidP="00634CC9">
            <w:pPr>
              <w:spacing w:after="0" w:line="240" w:lineRule="auto"/>
              <w:jc w:val="both"/>
              <w:rPr>
                <w:rFonts w:ascii="Calibri Light" w:hAnsi="Calibri Light"/>
                <w:b w:val="0"/>
              </w:rPr>
            </w:pPr>
            <w:r>
              <w:rPr>
                <w:rFonts w:ascii="Calibri Light" w:hAnsi="Calibri Light"/>
                <w:b w:val="0"/>
              </w:rPr>
              <w:t>Respecto a la competencia, e</w:t>
            </w:r>
            <w:r w:rsidR="00D70AE4">
              <w:rPr>
                <w:rFonts w:ascii="Calibri Light" w:hAnsi="Calibri Light"/>
                <w:b w:val="0"/>
              </w:rPr>
              <w:t xml:space="preserve">l artículo 8.1 de la CADH establece que todas las </w:t>
            </w:r>
            <w:r w:rsidR="00AF6EBB">
              <w:rPr>
                <w:rFonts w:ascii="Calibri Light" w:hAnsi="Calibri Light"/>
                <w:b w:val="0"/>
                <w:bCs w:val="0"/>
              </w:rPr>
              <w:t xml:space="preserve">personas tienen derecho a ser juzgadas por tribunales de justicia ordinarios, de acuerdo a los procedimientos establecidos en la ley. </w:t>
            </w:r>
            <w:r w:rsidR="00D70AE4">
              <w:rPr>
                <w:rFonts w:ascii="Calibri Light" w:hAnsi="Calibri Light"/>
                <w:b w:val="0"/>
                <w:bCs w:val="0"/>
              </w:rPr>
              <w:t xml:space="preserve">Dicha garantía se traslada a los procesos disciplinarios, y aunque </w:t>
            </w:r>
            <w:r w:rsidR="00AF6EBB">
              <w:rPr>
                <w:rFonts w:ascii="Calibri Light" w:hAnsi="Calibri Light"/>
                <w:b w:val="0"/>
                <w:bCs w:val="0"/>
              </w:rPr>
              <w:t>los Estados pueden diseñar y organizar</w:t>
            </w:r>
            <w:r w:rsidR="00D70AE4">
              <w:rPr>
                <w:rFonts w:ascii="Calibri Light" w:hAnsi="Calibri Light"/>
                <w:b w:val="0"/>
                <w:bCs w:val="0"/>
              </w:rPr>
              <w:t xml:space="preserve"> estos</w:t>
            </w:r>
            <w:r w:rsidR="00AF6EBB">
              <w:rPr>
                <w:rFonts w:ascii="Calibri Light" w:hAnsi="Calibri Light"/>
                <w:b w:val="0"/>
                <w:bCs w:val="0"/>
              </w:rPr>
              <w:t>, debe</w:t>
            </w:r>
            <w:r w:rsidR="008155AD">
              <w:rPr>
                <w:rFonts w:ascii="Calibri Light" w:hAnsi="Calibri Light"/>
                <w:b w:val="0"/>
                <w:bCs w:val="0"/>
              </w:rPr>
              <w:t>n</w:t>
            </w:r>
            <w:r w:rsidR="00AF6EBB">
              <w:rPr>
                <w:rFonts w:ascii="Calibri Light" w:hAnsi="Calibri Light"/>
                <w:b w:val="0"/>
                <w:bCs w:val="0"/>
              </w:rPr>
              <w:t xml:space="preserve"> asegurarse </w:t>
            </w:r>
            <w:r w:rsidR="009C33AD">
              <w:rPr>
                <w:rFonts w:ascii="Calibri Light" w:hAnsi="Calibri Light"/>
                <w:b w:val="0"/>
                <w:bCs w:val="0"/>
              </w:rPr>
              <w:t xml:space="preserve">de </w:t>
            </w:r>
            <w:r w:rsidR="00AF6EBB">
              <w:rPr>
                <w:rFonts w:ascii="Calibri Light" w:hAnsi="Calibri Light"/>
                <w:b w:val="0"/>
                <w:bCs w:val="0"/>
              </w:rPr>
              <w:t xml:space="preserve">que los mismos se sujeten a procedimientos y sean llevados por autoridades </w:t>
            </w:r>
            <w:r w:rsidR="00D70AE4">
              <w:rPr>
                <w:rFonts w:ascii="Calibri Light" w:hAnsi="Calibri Light"/>
                <w:b w:val="0"/>
                <w:bCs w:val="0"/>
              </w:rPr>
              <w:t>previamente establecidos.</w:t>
            </w:r>
            <w:r w:rsidR="00F675FC">
              <w:rPr>
                <w:rFonts w:ascii="Calibri Light" w:hAnsi="Calibri Light"/>
                <w:b w:val="0"/>
                <w:bCs w:val="0"/>
              </w:rPr>
              <w:t xml:space="preserve"> En cuanto</w:t>
            </w:r>
            <w:r w:rsidR="003B54E4">
              <w:rPr>
                <w:rFonts w:ascii="Calibri Light" w:hAnsi="Calibri Light"/>
                <w:b w:val="0"/>
                <w:bCs w:val="0"/>
              </w:rPr>
              <w:t xml:space="preserve"> a la independencia, como ya habíamos mencionado, una de las formas de garantizarla es a través de p</w:t>
            </w:r>
            <w:r w:rsidR="00AF6EBB">
              <w:rPr>
                <w:rFonts w:ascii="Calibri Light" w:hAnsi="Calibri Light"/>
                <w:b w:val="0"/>
                <w:bCs w:val="0"/>
              </w:rPr>
              <w:t>rocesos de nombramiento</w:t>
            </w:r>
            <w:r w:rsidR="003B54E4">
              <w:rPr>
                <w:rFonts w:ascii="Calibri Light" w:hAnsi="Calibri Light"/>
                <w:b w:val="0"/>
                <w:bCs w:val="0"/>
              </w:rPr>
              <w:t xml:space="preserve"> adecuados, que</w:t>
            </w:r>
            <w:r w:rsidR="00AF6EBB">
              <w:rPr>
                <w:rFonts w:ascii="Calibri Light" w:hAnsi="Calibri Light"/>
                <w:b w:val="0"/>
                <w:bCs w:val="0"/>
              </w:rPr>
              <w:t xml:space="preserve"> deben ser transparentes, basados en criterios objetivos y </w:t>
            </w:r>
            <w:r w:rsidR="009C33AD">
              <w:rPr>
                <w:rFonts w:ascii="Calibri Light" w:hAnsi="Calibri Light"/>
                <w:b w:val="0"/>
                <w:bCs w:val="0"/>
              </w:rPr>
              <w:t>garanticen</w:t>
            </w:r>
            <w:r w:rsidR="00AF6EBB">
              <w:rPr>
                <w:rFonts w:ascii="Calibri Light" w:hAnsi="Calibri Light"/>
                <w:b w:val="0"/>
                <w:bCs w:val="0"/>
              </w:rPr>
              <w:t xml:space="preserve"> la igualda</w:t>
            </w:r>
            <w:r w:rsidR="003B54E4">
              <w:rPr>
                <w:rFonts w:ascii="Calibri Light" w:hAnsi="Calibri Light"/>
                <w:b w:val="0"/>
                <w:bCs w:val="0"/>
              </w:rPr>
              <w:t>d de los candidatos y candidata</w:t>
            </w:r>
            <w:r w:rsidR="009C33AD">
              <w:rPr>
                <w:rFonts w:ascii="Calibri Light" w:hAnsi="Calibri Light"/>
                <w:b w:val="0"/>
                <w:bCs w:val="0"/>
              </w:rPr>
              <w:t>s</w:t>
            </w:r>
            <w:r w:rsidR="00AF6EBB">
              <w:rPr>
                <w:rFonts w:ascii="Calibri Light" w:hAnsi="Calibri Light"/>
              </w:rPr>
              <w:t xml:space="preserve">. </w:t>
            </w:r>
            <w:r w:rsidR="003B54E4">
              <w:rPr>
                <w:rFonts w:ascii="Calibri Light" w:hAnsi="Calibri Light"/>
                <w:b w:val="0"/>
              </w:rPr>
              <w:t>Para ello, e</w:t>
            </w:r>
            <w:r w:rsidR="00AF6EBB">
              <w:rPr>
                <w:rFonts w:ascii="Calibri Light" w:hAnsi="Calibri Light"/>
                <w:b w:val="0"/>
              </w:rPr>
              <w:t xml:space="preserve">s conveniente </w:t>
            </w:r>
            <w:r w:rsidR="003B54E4">
              <w:rPr>
                <w:rFonts w:ascii="Calibri Light" w:hAnsi="Calibri Light"/>
                <w:b w:val="0"/>
              </w:rPr>
              <w:t xml:space="preserve">el establecimiento de </w:t>
            </w:r>
            <w:r w:rsidR="00AF6EBB">
              <w:rPr>
                <w:rFonts w:ascii="Calibri Light" w:hAnsi="Calibri Light"/>
                <w:b w:val="0"/>
              </w:rPr>
              <w:t>un órgano independiente que se encargue del nombramiento, ascenso y destitución de los jueces.</w:t>
            </w:r>
          </w:p>
          <w:p w14:paraId="55D4F6BB" w14:textId="77777777" w:rsidR="0097378E" w:rsidRDefault="0097378E" w:rsidP="00634CC9">
            <w:pPr>
              <w:spacing w:after="0" w:line="240" w:lineRule="auto"/>
              <w:jc w:val="both"/>
              <w:rPr>
                <w:rFonts w:ascii="Calibri Light" w:hAnsi="Calibri Light"/>
                <w:b w:val="0"/>
              </w:rPr>
            </w:pPr>
          </w:p>
          <w:p w14:paraId="660A4B55" w14:textId="726BDE82" w:rsidR="002470AA" w:rsidRDefault="00F675FC" w:rsidP="002470AA">
            <w:pPr>
              <w:spacing w:after="0" w:line="240" w:lineRule="auto"/>
              <w:jc w:val="both"/>
              <w:rPr>
                <w:rFonts w:ascii="Calibri Light" w:hAnsi="Calibri Light"/>
                <w:b w:val="0"/>
              </w:rPr>
            </w:pPr>
            <w:r>
              <w:rPr>
                <w:rFonts w:ascii="Calibri Light" w:hAnsi="Calibri Light"/>
                <w:b w:val="0"/>
              </w:rPr>
              <w:t>En relación</w:t>
            </w:r>
            <w:r w:rsidR="002470AA">
              <w:rPr>
                <w:rFonts w:ascii="Calibri Light" w:hAnsi="Calibri Light"/>
                <w:b w:val="0"/>
              </w:rPr>
              <w:t xml:space="preserve"> a la imparcialidad, la CIDH </w:t>
            </w:r>
            <w:r w:rsidR="009C33AD">
              <w:rPr>
                <w:rFonts w:ascii="Calibri Light" w:hAnsi="Calibri Light"/>
                <w:b w:val="0"/>
              </w:rPr>
              <w:t>reiteró</w:t>
            </w:r>
            <w:r w:rsidR="002470AA">
              <w:rPr>
                <w:rFonts w:ascii="Calibri Light" w:hAnsi="Calibri Light"/>
                <w:b w:val="0"/>
              </w:rPr>
              <w:t xml:space="preserve"> que, aunque el juicio político es una herramienta válida de control, se debe eliminar de forma progresiva en tanto su naturaleza misma atenta contra el principio de independencia judicial. </w:t>
            </w:r>
            <w:r w:rsidR="005831EC">
              <w:rPr>
                <w:rFonts w:ascii="Calibri Light" w:hAnsi="Calibri Light"/>
                <w:b w:val="0"/>
              </w:rPr>
              <w:t>En vista de ello</w:t>
            </w:r>
            <w:r w:rsidR="00C63457">
              <w:rPr>
                <w:rFonts w:ascii="Calibri Light" w:hAnsi="Calibri Light"/>
                <w:b w:val="0"/>
              </w:rPr>
              <w:t xml:space="preserve">, </w:t>
            </w:r>
            <w:r w:rsidR="00C63457" w:rsidRPr="00981855">
              <w:rPr>
                <w:rFonts w:ascii="Calibri Light" w:hAnsi="Calibri Light"/>
                <w:b w:val="0"/>
              </w:rPr>
              <w:t>l</w:t>
            </w:r>
            <w:r w:rsidR="0024660C" w:rsidRPr="00981855">
              <w:rPr>
                <w:rFonts w:ascii="Calibri Light" w:hAnsi="Calibri Light"/>
                <w:b w:val="0"/>
              </w:rPr>
              <w:t xml:space="preserve">a evaluación </w:t>
            </w:r>
            <w:r w:rsidR="0073611A" w:rsidRPr="00981855">
              <w:rPr>
                <w:rFonts w:ascii="Calibri Light" w:hAnsi="Calibri Light"/>
                <w:b w:val="0"/>
              </w:rPr>
              <w:t xml:space="preserve">de estos procesos </w:t>
            </w:r>
            <w:r w:rsidR="0024660C" w:rsidRPr="00981855">
              <w:rPr>
                <w:rFonts w:ascii="Calibri Light" w:hAnsi="Calibri Light"/>
                <w:b w:val="0"/>
              </w:rPr>
              <w:t xml:space="preserve">debe realizarse desde un enfoque subjetivo, </w:t>
            </w:r>
            <w:r w:rsidR="005831EC" w:rsidRPr="00981855">
              <w:rPr>
                <w:rFonts w:ascii="Calibri Light" w:hAnsi="Calibri Light"/>
                <w:b w:val="0"/>
              </w:rPr>
              <w:t>tomando en cuenta</w:t>
            </w:r>
            <w:r w:rsidR="0024660C" w:rsidRPr="00981855">
              <w:rPr>
                <w:rFonts w:ascii="Calibri Light" w:hAnsi="Calibri Light"/>
                <w:b w:val="0"/>
              </w:rPr>
              <w:t xml:space="preserve"> la</w:t>
            </w:r>
            <w:r w:rsidR="005831EC" w:rsidRPr="00981855">
              <w:rPr>
                <w:rFonts w:ascii="Calibri Light" w:hAnsi="Calibri Light"/>
                <w:b w:val="0"/>
              </w:rPr>
              <w:t xml:space="preserve"> convicción personal y la </w:t>
            </w:r>
            <w:r w:rsidR="002470AA" w:rsidRPr="00981855">
              <w:rPr>
                <w:rFonts w:ascii="Calibri Light" w:hAnsi="Calibri Light"/>
                <w:b w:val="0"/>
              </w:rPr>
              <w:t xml:space="preserve">conducta de un </w:t>
            </w:r>
            <w:r w:rsidR="0024660C" w:rsidRPr="00981855">
              <w:rPr>
                <w:rFonts w:ascii="Calibri Light" w:hAnsi="Calibri Light"/>
                <w:b w:val="0"/>
              </w:rPr>
              <w:t xml:space="preserve">juez en un caso concreto, y </w:t>
            </w:r>
            <w:r w:rsidR="005831EC" w:rsidRPr="00981855">
              <w:rPr>
                <w:rFonts w:ascii="Calibri Light" w:hAnsi="Calibri Light"/>
                <w:b w:val="0"/>
              </w:rPr>
              <w:t xml:space="preserve">desde </w:t>
            </w:r>
            <w:r w:rsidR="0024660C" w:rsidRPr="00981855">
              <w:rPr>
                <w:rFonts w:ascii="Calibri Light" w:hAnsi="Calibri Light"/>
                <w:b w:val="0"/>
              </w:rPr>
              <w:t>un e</w:t>
            </w:r>
            <w:r w:rsidR="002470AA" w:rsidRPr="00981855">
              <w:rPr>
                <w:rFonts w:ascii="Calibri Light" w:hAnsi="Calibri Light"/>
                <w:b w:val="0"/>
              </w:rPr>
              <w:t>nfo</w:t>
            </w:r>
            <w:r w:rsidR="00674354" w:rsidRPr="00981855">
              <w:rPr>
                <w:rFonts w:ascii="Calibri Light" w:hAnsi="Calibri Light"/>
                <w:b w:val="0"/>
              </w:rPr>
              <w:t>que objetivo, analizando</w:t>
            </w:r>
            <w:r w:rsidR="002470AA" w:rsidRPr="00981855">
              <w:rPr>
                <w:rFonts w:ascii="Calibri Light" w:hAnsi="Calibri Light"/>
                <w:b w:val="0"/>
              </w:rPr>
              <w:t xml:space="preserve"> si </w:t>
            </w:r>
            <w:r w:rsidR="00674354" w:rsidRPr="00981855">
              <w:rPr>
                <w:rFonts w:ascii="Calibri Light" w:hAnsi="Calibri Light"/>
                <w:b w:val="0"/>
              </w:rPr>
              <w:t xml:space="preserve">se </w:t>
            </w:r>
            <w:r w:rsidR="002470AA" w:rsidRPr="00981855">
              <w:rPr>
                <w:rFonts w:ascii="Calibri Light" w:hAnsi="Calibri Light"/>
                <w:b w:val="0"/>
              </w:rPr>
              <w:t>concede garantías suficientes para excluir cua</w:t>
            </w:r>
            <w:r w:rsidR="009A1A9D" w:rsidRPr="00981855">
              <w:rPr>
                <w:rFonts w:ascii="Calibri Light" w:hAnsi="Calibri Light"/>
                <w:b w:val="0"/>
              </w:rPr>
              <w:t xml:space="preserve">lquier duda legítima sobre </w:t>
            </w:r>
            <w:r w:rsidR="00981855" w:rsidRPr="00981855">
              <w:rPr>
                <w:rFonts w:ascii="Calibri Light" w:hAnsi="Calibri Light"/>
                <w:b w:val="0"/>
              </w:rPr>
              <w:t>su</w:t>
            </w:r>
            <w:r w:rsidR="009A1A9D" w:rsidRPr="00981855">
              <w:rPr>
                <w:rFonts w:ascii="Calibri Light" w:hAnsi="Calibri Light"/>
                <w:b w:val="0"/>
              </w:rPr>
              <w:t xml:space="preserve"> imparcialidad</w:t>
            </w:r>
            <w:r w:rsidR="002470AA" w:rsidRPr="00981855">
              <w:rPr>
                <w:rFonts w:ascii="Calibri Light" w:hAnsi="Calibri Light"/>
                <w:b w:val="0"/>
              </w:rPr>
              <w:t>.</w:t>
            </w:r>
          </w:p>
          <w:p w14:paraId="33F8EF32" w14:textId="77777777" w:rsidR="009A1A9D" w:rsidRDefault="009A1A9D" w:rsidP="002470AA">
            <w:pPr>
              <w:spacing w:after="0" w:line="240" w:lineRule="auto"/>
              <w:jc w:val="both"/>
              <w:rPr>
                <w:rFonts w:ascii="Calibri Light" w:hAnsi="Calibri Light"/>
                <w:b w:val="0"/>
              </w:rPr>
            </w:pPr>
          </w:p>
          <w:p w14:paraId="6903AD35" w14:textId="5802EADA" w:rsidR="00E157B6" w:rsidRDefault="009A1A9D" w:rsidP="00634CC9">
            <w:pPr>
              <w:spacing w:after="0" w:line="240" w:lineRule="auto"/>
              <w:jc w:val="both"/>
              <w:rPr>
                <w:rFonts w:ascii="Calibri Light" w:hAnsi="Calibri Light"/>
                <w:b w:val="0"/>
              </w:rPr>
            </w:pPr>
            <w:r>
              <w:rPr>
                <w:rFonts w:ascii="Calibri Light" w:hAnsi="Calibri Light"/>
                <w:b w:val="0"/>
              </w:rPr>
              <w:t xml:space="preserve">En el presente caso, </w:t>
            </w:r>
            <w:r w:rsidR="00AF0B52">
              <w:rPr>
                <w:rFonts w:ascii="Calibri Light" w:hAnsi="Calibri Light"/>
                <w:b w:val="0"/>
              </w:rPr>
              <w:t xml:space="preserve">la CIDH consideró que </w:t>
            </w:r>
            <w:r>
              <w:rPr>
                <w:rFonts w:ascii="Calibri Light" w:hAnsi="Calibri Light"/>
                <w:b w:val="0"/>
              </w:rPr>
              <w:t>resulta</w:t>
            </w:r>
            <w:r w:rsidR="001C3364">
              <w:rPr>
                <w:rFonts w:ascii="Calibri Light" w:hAnsi="Calibri Light"/>
                <w:b w:val="0"/>
              </w:rPr>
              <w:t>ba</w:t>
            </w:r>
            <w:r>
              <w:rPr>
                <w:rFonts w:ascii="Calibri Light" w:hAnsi="Calibri Light"/>
                <w:b w:val="0"/>
              </w:rPr>
              <w:t xml:space="preserve"> evidente que no se cumplió con la garantía de competencia, en tanto ninguna norma otorgaba a la Asamblea Legislativa la facultad de destituir a los magistrados del TSE. </w:t>
            </w:r>
            <w:r w:rsidR="001C3364">
              <w:rPr>
                <w:rFonts w:ascii="Calibri Light" w:hAnsi="Calibri Light"/>
                <w:b w:val="0"/>
              </w:rPr>
              <w:t>Además, l</w:t>
            </w:r>
            <w:r w:rsidR="00631641">
              <w:rPr>
                <w:rFonts w:ascii="Calibri Light" w:hAnsi="Calibri Light"/>
                <w:b w:val="0"/>
              </w:rPr>
              <w:t>a atribución hecha a sí misma, y luego validada por la Sala de lo Constitucional, atentó contra la seguridad jurídica del señor Colindres en cuanto a la previsibilidad sobre el proceso.</w:t>
            </w:r>
            <w:r w:rsidR="00981855">
              <w:rPr>
                <w:rFonts w:ascii="Calibri Light" w:hAnsi="Calibri Light"/>
                <w:b w:val="0"/>
              </w:rPr>
              <w:t xml:space="preserve"> </w:t>
            </w:r>
            <w:r w:rsidR="00631641">
              <w:rPr>
                <w:rFonts w:ascii="Calibri Light" w:hAnsi="Calibri Light"/>
                <w:b w:val="0"/>
              </w:rPr>
              <w:t xml:space="preserve">Asimismo, </w:t>
            </w:r>
            <w:r w:rsidR="00981855">
              <w:rPr>
                <w:rFonts w:ascii="Calibri Light" w:hAnsi="Calibri Light"/>
                <w:b w:val="0"/>
              </w:rPr>
              <w:t xml:space="preserve">la </w:t>
            </w:r>
            <w:r w:rsidR="00631641">
              <w:rPr>
                <w:rFonts w:ascii="Calibri Light" w:hAnsi="Calibri Light"/>
                <w:b w:val="0"/>
              </w:rPr>
              <w:t>falta de regulación</w:t>
            </w:r>
            <w:r w:rsidR="00981855">
              <w:rPr>
                <w:rFonts w:ascii="Calibri Light" w:hAnsi="Calibri Light"/>
                <w:b w:val="0"/>
              </w:rPr>
              <w:t xml:space="preserve"> del proceso</w:t>
            </w:r>
            <w:r w:rsidR="00631641">
              <w:rPr>
                <w:rFonts w:ascii="Calibri Light" w:hAnsi="Calibri Light"/>
                <w:b w:val="0"/>
              </w:rPr>
              <w:t xml:space="preserve"> generó que el señor Colindres no contara con información sobre las formas de ejercer su derecho de defensa y los recursos disponibles contra una eventual decisión desfavorable.</w:t>
            </w:r>
            <w:r w:rsidR="004D06EE">
              <w:rPr>
                <w:rFonts w:ascii="Calibri Light" w:hAnsi="Calibri Light"/>
                <w:b w:val="0"/>
              </w:rPr>
              <w:t xml:space="preserve"> Por otro lado, tampoco resulta posible </w:t>
            </w:r>
            <w:r w:rsidR="00E157B6">
              <w:rPr>
                <w:rFonts w:ascii="Calibri Light" w:hAnsi="Calibri Light"/>
                <w:b w:val="0"/>
              </w:rPr>
              <w:t xml:space="preserve">concluir que la Asamblea Legislativa era un órgano imparcial, </w:t>
            </w:r>
            <w:r w:rsidR="00981855">
              <w:rPr>
                <w:rFonts w:ascii="Calibri Light" w:hAnsi="Calibri Light"/>
                <w:b w:val="0"/>
              </w:rPr>
              <w:t>pues</w:t>
            </w:r>
            <w:r w:rsidR="00E157B6">
              <w:rPr>
                <w:rFonts w:ascii="Calibri Light" w:hAnsi="Calibri Light"/>
                <w:b w:val="0"/>
              </w:rPr>
              <w:t xml:space="preserve"> </w:t>
            </w:r>
            <w:r w:rsidR="00981855">
              <w:rPr>
                <w:rFonts w:ascii="Calibri Light" w:hAnsi="Calibri Light"/>
                <w:b w:val="0"/>
              </w:rPr>
              <w:t xml:space="preserve">los propios miembros del PDC que lo acusaban participaron en </w:t>
            </w:r>
            <w:r w:rsidR="00E157B6">
              <w:rPr>
                <w:rFonts w:ascii="Calibri Light" w:hAnsi="Calibri Light"/>
                <w:b w:val="0"/>
              </w:rPr>
              <w:t>la destitución del señor Colindres. Así, ambos trámites de destitución ante la Asamblea Legislativa fueron dados desde un inicio con la intención de sancionar al señor Colindres</w:t>
            </w:r>
            <w:r w:rsidR="00122D75">
              <w:rPr>
                <w:rFonts w:ascii="Calibri Light" w:hAnsi="Calibri Light"/>
                <w:b w:val="0"/>
              </w:rPr>
              <w:t xml:space="preserve">, sin que se cuente con un tribunal competente establecido de forma previa, ni regulación sobre el procedimiento a seguir en la destitución, y </w:t>
            </w:r>
            <w:r w:rsidR="00122D75">
              <w:rPr>
                <w:rFonts w:ascii="Calibri Light" w:hAnsi="Calibri Light"/>
                <w:b w:val="0"/>
              </w:rPr>
              <w:lastRenderedPageBreak/>
              <w:t>con claros vicios sobre la imparcialidad tanto desde un enfoque subjetivo como objetivo</w:t>
            </w:r>
            <w:r w:rsidR="00E157B6">
              <w:rPr>
                <w:rFonts w:ascii="Calibri Light" w:hAnsi="Calibri Light"/>
                <w:b w:val="0"/>
              </w:rPr>
              <w:t>.</w:t>
            </w:r>
          </w:p>
          <w:p w14:paraId="4D18BB3F" w14:textId="77777777" w:rsidR="004D06EE" w:rsidRDefault="004D06EE" w:rsidP="00634CC9">
            <w:pPr>
              <w:spacing w:after="0" w:line="240" w:lineRule="auto"/>
              <w:jc w:val="both"/>
              <w:rPr>
                <w:rFonts w:ascii="Calibri Light" w:hAnsi="Calibri Light"/>
                <w:b w:val="0"/>
              </w:rPr>
            </w:pPr>
          </w:p>
          <w:p w14:paraId="48D4366E" w14:textId="10B92419" w:rsidR="00D62853" w:rsidRDefault="00E157B6" w:rsidP="00634CC9">
            <w:pPr>
              <w:spacing w:after="0" w:line="240" w:lineRule="auto"/>
              <w:jc w:val="both"/>
              <w:rPr>
                <w:rFonts w:ascii="Calibri Light" w:hAnsi="Calibri Light"/>
              </w:rPr>
            </w:pPr>
            <w:r>
              <w:rPr>
                <w:rFonts w:ascii="Calibri Light" w:hAnsi="Calibri Light"/>
                <w:b w:val="0"/>
                <w:bCs w:val="0"/>
              </w:rPr>
              <w:t>Por todo lo expuesto, la CIDH concluye que se violó el artículo 8.1 de la CADH, en relaci</w:t>
            </w:r>
            <w:r w:rsidR="00C606D5">
              <w:rPr>
                <w:rFonts w:ascii="Calibri Light" w:hAnsi="Calibri Light"/>
                <w:b w:val="0"/>
                <w:bCs w:val="0"/>
              </w:rPr>
              <w:t>ón con el artículo</w:t>
            </w:r>
            <w:r>
              <w:rPr>
                <w:rFonts w:ascii="Calibri Light" w:hAnsi="Calibri Light"/>
                <w:b w:val="0"/>
                <w:bCs w:val="0"/>
              </w:rPr>
              <w:t xml:space="preserve"> 1.1</w:t>
            </w:r>
            <w:r w:rsidR="00AF75BC">
              <w:rPr>
                <w:rFonts w:ascii="Calibri Light" w:hAnsi="Calibri Light"/>
                <w:b w:val="0"/>
                <w:bCs w:val="0"/>
              </w:rPr>
              <w:t>. Además, declaró la violación del</w:t>
            </w:r>
            <w:r>
              <w:rPr>
                <w:rFonts w:ascii="Calibri Light" w:hAnsi="Calibri Light"/>
                <w:b w:val="0"/>
                <w:bCs w:val="0"/>
              </w:rPr>
              <w:t xml:space="preserve"> 2</w:t>
            </w:r>
            <w:r w:rsidR="00AF75BC">
              <w:rPr>
                <w:rFonts w:ascii="Calibri Light" w:hAnsi="Calibri Light"/>
                <w:b w:val="0"/>
                <w:bCs w:val="0"/>
              </w:rPr>
              <w:t xml:space="preserve"> de la CADH</w:t>
            </w:r>
            <w:r>
              <w:rPr>
                <w:rFonts w:ascii="Calibri Light" w:hAnsi="Calibri Light"/>
                <w:b w:val="0"/>
                <w:bCs w:val="0"/>
              </w:rPr>
              <w:t xml:space="preserve"> en perjuicio del señor Colindres</w:t>
            </w:r>
            <w:r w:rsidR="00EA6A8A">
              <w:rPr>
                <w:rFonts w:ascii="Calibri Light" w:hAnsi="Calibri Light"/>
                <w:b w:val="0"/>
                <w:bCs w:val="0"/>
              </w:rPr>
              <w:t xml:space="preserve">, ya que El Salvador no cumplió </w:t>
            </w:r>
            <w:r w:rsidR="007E4978">
              <w:rPr>
                <w:rFonts w:ascii="Calibri Light" w:hAnsi="Calibri Light"/>
                <w:b w:val="0"/>
                <w:bCs w:val="0"/>
              </w:rPr>
              <w:t>con adoptar en su ordenamiento jurídico interno las medidas necesarias para armonizar su normativa en cuanto al procedimiento y los órganos competentes para dec</w:t>
            </w:r>
            <w:r w:rsidR="00A62995">
              <w:rPr>
                <w:rFonts w:ascii="Calibri Light" w:hAnsi="Calibri Light"/>
                <w:b w:val="0"/>
                <w:bCs w:val="0"/>
              </w:rPr>
              <w:t xml:space="preserve">idir los procesos disciplinarios. Tras la declaración de estas violaciones, la CIDH concluyó que </w:t>
            </w:r>
            <w:r w:rsidR="00D62853" w:rsidRPr="00E157B6">
              <w:rPr>
                <w:rFonts w:ascii="Calibri Light" w:hAnsi="Calibri Light"/>
                <w:b w:val="0"/>
              </w:rPr>
              <w:t xml:space="preserve">todos los actos emanados de la Asamblea Legislativa en el marco del procedimiento </w:t>
            </w:r>
            <w:r w:rsidR="00D62853" w:rsidRPr="00981855">
              <w:rPr>
                <w:rFonts w:ascii="Calibri Light" w:hAnsi="Calibri Light"/>
                <w:b w:val="0"/>
                <w:i/>
              </w:rPr>
              <w:t>ad hoc</w:t>
            </w:r>
            <w:r w:rsidR="00D62853" w:rsidRPr="00E157B6">
              <w:rPr>
                <w:rFonts w:ascii="Calibri Light" w:hAnsi="Calibri Light"/>
                <w:b w:val="0"/>
              </w:rPr>
              <w:t xml:space="preserve"> fueron producidos en violación del artículo 8 de la CADH.</w:t>
            </w:r>
          </w:p>
          <w:p w14:paraId="1038EBF0" w14:textId="77777777" w:rsidR="00B10FE0" w:rsidRDefault="00B10FE0" w:rsidP="00634CC9">
            <w:pPr>
              <w:spacing w:after="0" w:line="240" w:lineRule="auto"/>
              <w:jc w:val="both"/>
              <w:rPr>
                <w:rFonts w:ascii="Calibri Light" w:hAnsi="Calibri Light"/>
              </w:rPr>
            </w:pPr>
          </w:p>
          <w:p w14:paraId="72BFFEB9" w14:textId="77777777" w:rsidR="00ED44CC" w:rsidRDefault="00ED44CC" w:rsidP="00ED44CC">
            <w:pPr>
              <w:pStyle w:val="ListParagraph"/>
              <w:numPr>
                <w:ilvl w:val="0"/>
                <w:numId w:val="9"/>
              </w:numPr>
              <w:spacing w:after="0" w:line="240" w:lineRule="auto"/>
              <w:jc w:val="both"/>
              <w:rPr>
                <w:rFonts w:ascii="Calibri Light" w:hAnsi="Calibri Light"/>
              </w:rPr>
            </w:pPr>
            <w:r w:rsidRPr="00ED44CC">
              <w:rPr>
                <w:rFonts w:ascii="Calibri Light" w:hAnsi="Calibri Light"/>
              </w:rPr>
              <w:t>Derecho de defensa y garantía de audiencia</w:t>
            </w:r>
          </w:p>
          <w:p w14:paraId="4A9BE350" w14:textId="77777777" w:rsidR="00ED44CC" w:rsidRDefault="00ED44CC" w:rsidP="00ED44CC">
            <w:pPr>
              <w:spacing w:after="0" w:line="240" w:lineRule="auto"/>
              <w:jc w:val="both"/>
              <w:rPr>
                <w:rFonts w:ascii="Calibri Light" w:hAnsi="Calibri Light"/>
              </w:rPr>
            </w:pPr>
          </w:p>
          <w:p w14:paraId="4584C49D" w14:textId="1327E7D6" w:rsidR="00635E33" w:rsidRDefault="00285082" w:rsidP="00ED44CC">
            <w:pPr>
              <w:spacing w:after="0" w:line="240" w:lineRule="auto"/>
              <w:jc w:val="both"/>
              <w:rPr>
                <w:rFonts w:ascii="Calibri Light" w:hAnsi="Calibri Light"/>
                <w:b w:val="0"/>
              </w:rPr>
            </w:pPr>
            <w:r>
              <w:rPr>
                <w:rFonts w:ascii="Calibri Light" w:hAnsi="Calibri Light"/>
                <w:b w:val="0"/>
              </w:rPr>
              <w:t>De acuerdo a la CIDH, el p</w:t>
            </w:r>
            <w:r w:rsidR="00635E33">
              <w:rPr>
                <w:rFonts w:ascii="Calibri Light" w:hAnsi="Calibri Light"/>
                <w:b w:val="0"/>
              </w:rPr>
              <w:t>rincipio de legalidad preside la actuación de los órganos del Estado cuando deriva del ejercicio de su poder punitivo</w:t>
            </w:r>
            <w:r w:rsidR="00981855">
              <w:rPr>
                <w:rFonts w:ascii="Calibri Light" w:hAnsi="Calibri Light"/>
                <w:b w:val="0"/>
                <w:bCs w:val="0"/>
              </w:rPr>
              <w:t>. Este</w:t>
            </w:r>
            <w:r w:rsidR="004D6B75">
              <w:rPr>
                <w:rFonts w:ascii="Calibri Light" w:hAnsi="Calibri Light"/>
                <w:b w:val="0"/>
                <w:bCs w:val="0"/>
              </w:rPr>
              <w:t xml:space="preserve"> principio </w:t>
            </w:r>
            <w:r w:rsidR="00981855">
              <w:rPr>
                <w:rFonts w:ascii="Calibri Light" w:hAnsi="Calibri Light"/>
                <w:b w:val="0"/>
                <w:bCs w:val="0"/>
              </w:rPr>
              <w:t>permite determinar</w:t>
            </w:r>
            <w:r w:rsidR="004D6B75">
              <w:rPr>
                <w:rFonts w:ascii="Calibri Light" w:hAnsi="Calibri Light"/>
                <w:b w:val="0"/>
                <w:bCs w:val="0"/>
              </w:rPr>
              <w:t xml:space="preserve"> </w:t>
            </w:r>
            <w:r w:rsidR="00981855">
              <w:rPr>
                <w:rFonts w:ascii="Calibri Light" w:hAnsi="Calibri Light"/>
                <w:b w:val="0"/>
                <w:bCs w:val="0"/>
              </w:rPr>
              <w:t>si</w:t>
            </w:r>
            <w:r w:rsidR="004D6B75">
              <w:rPr>
                <w:rFonts w:ascii="Calibri Light" w:hAnsi="Calibri Light"/>
                <w:b w:val="0"/>
                <w:bCs w:val="0"/>
              </w:rPr>
              <w:t xml:space="preserve"> una conducta está </w:t>
            </w:r>
            <w:r w:rsidR="00981855">
              <w:rPr>
                <w:rFonts w:ascii="Calibri Light" w:hAnsi="Calibri Light"/>
                <w:b w:val="0"/>
                <w:bCs w:val="0"/>
              </w:rPr>
              <w:t xml:space="preserve">efectivamente </w:t>
            </w:r>
            <w:r w:rsidR="004D6B75">
              <w:rPr>
                <w:rFonts w:ascii="Calibri Light" w:hAnsi="Calibri Light"/>
                <w:b w:val="0"/>
                <w:bCs w:val="0"/>
              </w:rPr>
              <w:t xml:space="preserve">acorde </w:t>
            </w:r>
            <w:r w:rsidR="00635E33">
              <w:rPr>
                <w:rFonts w:ascii="Calibri Light" w:hAnsi="Calibri Light"/>
                <w:b w:val="0"/>
                <w:bCs w:val="0"/>
              </w:rPr>
              <w:t xml:space="preserve">con la ley. </w:t>
            </w:r>
            <w:r w:rsidR="00CE0083">
              <w:rPr>
                <w:rFonts w:ascii="Calibri Light" w:hAnsi="Calibri Light"/>
                <w:b w:val="0"/>
                <w:bCs w:val="0"/>
              </w:rPr>
              <w:t xml:space="preserve">Su desarrollo en el Sistema Interamericano </w:t>
            </w:r>
            <w:r w:rsidR="00674B86">
              <w:rPr>
                <w:rFonts w:ascii="Calibri Light" w:hAnsi="Calibri Light"/>
                <w:b w:val="0"/>
                <w:bCs w:val="0"/>
              </w:rPr>
              <w:t xml:space="preserve">de Derechos Humanos </w:t>
            </w:r>
            <w:r w:rsidR="00CE0083">
              <w:rPr>
                <w:rFonts w:ascii="Calibri Light" w:hAnsi="Calibri Light"/>
                <w:b w:val="0"/>
                <w:bCs w:val="0"/>
              </w:rPr>
              <w:t xml:space="preserve">se da tanto desde la tipicidad, para conocer qué comportamientos pueden ser sancionados, como desde la </w:t>
            </w:r>
            <w:r w:rsidR="00635E33">
              <w:rPr>
                <w:rFonts w:ascii="Calibri Light" w:hAnsi="Calibri Light"/>
                <w:b w:val="0"/>
              </w:rPr>
              <w:t>seguridad jurídica.</w:t>
            </w:r>
            <w:r w:rsidR="00981855">
              <w:rPr>
                <w:rFonts w:ascii="Calibri Light" w:hAnsi="Calibri Light"/>
                <w:b w:val="0"/>
              </w:rPr>
              <w:t xml:space="preserve"> </w:t>
            </w:r>
            <w:r w:rsidR="00776C90">
              <w:rPr>
                <w:rFonts w:ascii="Calibri Light" w:hAnsi="Calibri Light"/>
                <w:b w:val="0"/>
              </w:rPr>
              <w:t xml:space="preserve">En aplicación de este principio, </w:t>
            </w:r>
            <w:r w:rsidR="00985B0C">
              <w:rPr>
                <w:rFonts w:ascii="Calibri Light" w:hAnsi="Calibri Light"/>
                <w:b w:val="0"/>
              </w:rPr>
              <w:t>una norma sancionatoria</w:t>
            </w:r>
            <w:r w:rsidR="00FE2259">
              <w:rPr>
                <w:rFonts w:ascii="Calibri Light" w:hAnsi="Calibri Light"/>
                <w:b w:val="0"/>
              </w:rPr>
              <w:t xml:space="preserve"> debe ser </w:t>
            </w:r>
            <w:r w:rsidR="00635E33">
              <w:rPr>
                <w:rFonts w:ascii="Calibri Light" w:hAnsi="Calibri Light"/>
                <w:b w:val="0"/>
              </w:rPr>
              <w:t>pr</w:t>
            </w:r>
            <w:r w:rsidR="00FE2259">
              <w:rPr>
                <w:rFonts w:ascii="Calibri Light" w:hAnsi="Calibri Light"/>
                <w:b w:val="0"/>
              </w:rPr>
              <w:t>evisible, ya</w:t>
            </w:r>
            <w:r w:rsidR="00635E33">
              <w:rPr>
                <w:rFonts w:ascii="Calibri Light" w:hAnsi="Calibri Light"/>
                <w:b w:val="0"/>
              </w:rPr>
              <w:t xml:space="preserve"> sea porque está expresa y claramente establecida en la ley, o porque la ley delega su asignación al juzgador o a una norma </w:t>
            </w:r>
            <w:r w:rsidR="00635E33" w:rsidRPr="00776C90">
              <w:rPr>
                <w:rFonts w:ascii="Calibri Light" w:hAnsi="Calibri Light"/>
                <w:b w:val="0"/>
                <w:i/>
              </w:rPr>
              <w:t>infra</w:t>
            </w:r>
            <w:r w:rsidR="00635E33">
              <w:rPr>
                <w:rFonts w:ascii="Calibri Light" w:hAnsi="Calibri Light"/>
                <w:b w:val="0"/>
              </w:rPr>
              <w:t xml:space="preserve"> legal, bajo criterios objetivos que limiten el alcance de la discrecionalidad.</w:t>
            </w:r>
          </w:p>
          <w:p w14:paraId="1177970D" w14:textId="77777777" w:rsidR="00635E33" w:rsidRDefault="00635E33" w:rsidP="00ED44CC">
            <w:pPr>
              <w:spacing w:after="0" w:line="240" w:lineRule="auto"/>
              <w:jc w:val="both"/>
              <w:rPr>
                <w:rFonts w:ascii="Calibri Light" w:hAnsi="Calibri Light"/>
                <w:b w:val="0"/>
              </w:rPr>
            </w:pPr>
          </w:p>
          <w:p w14:paraId="33EA834C" w14:textId="12487BDD" w:rsidR="00635E33" w:rsidRDefault="00776C90" w:rsidP="00ED44CC">
            <w:pPr>
              <w:spacing w:after="0" w:line="240" w:lineRule="auto"/>
              <w:jc w:val="both"/>
              <w:rPr>
                <w:rFonts w:ascii="Calibri Light" w:hAnsi="Calibri Light"/>
                <w:b w:val="0"/>
              </w:rPr>
            </w:pPr>
            <w:r>
              <w:rPr>
                <w:rFonts w:ascii="Calibri Light" w:hAnsi="Calibri Light"/>
                <w:b w:val="0"/>
              </w:rPr>
              <w:t>A esta garantía,</w:t>
            </w:r>
            <w:r w:rsidR="00342100">
              <w:rPr>
                <w:rFonts w:ascii="Calibri Light" w:hAnsi="Calibri Light"/>
                <w:b w:val="0"/>
              </w:rPr>
              <w:t xml:space="preserve"> se suma el deber de motivación, que consiste en la argumentación</w:t>
            </w:r>
            <w:r w:rsidR="002B6494">
              <w:rPr>
                <w:rFonts w:ascii="Calibri Light" w:hAnsi="Calibri Light"/>
                <w:b w:val="0"/>
              </w:rPr>
              <w:t xml:space="preserve"> o</w:t>
            </w:r>
            <w:r w:rsidR="00342100">
              <w:rPr>
                <w:rFonts w:ascii="Calibri Light" w:hAnsi="Calibri Light"/>
                <w:b w:val="0"/>
              </w:rPr>
              <w:t xml:space="preserve"> el razonamiento usado para llegar a la decisión emitida por la autoridad. </w:t>
            </w:r>
            <w:r w:rsidR="00FF03A7">
              <w:rPr>
                <w:rFonts w:ascii="Calibri Light" w:hAnsi="Calibri Light"/>
                <w:b w:val="0"/>
              </w:rPr>
              <w:t xml:space="preserve">En ese sentido, la argumentación de un fallo debe permitir conocer cuáles fueron los hechos, motivos y normas en que se basó la autoridad para tomar su decisión. </w:t>
            </w:r>
            <w:r w:rsidR="001B5D4F">
              <w:rPr>
                <w:rFonts w:ascii="Calibri Light" w:hAnsi="Calibri Light"/>
                <w:b w:val="0"/>
              </w:rPr>
              <w:t xml:space="preserve">En el caso de la motivación de una decisión sancionatoria, es necesario que se evidencie la existencia de un vínculo entre la conducta imputada a la persona y la disposición en la cual se basa la decisión. </w:t>
            </w:r>
            <w:r>
              <w:rPr>
                <w:rFonts w:ascii="Calibri Light" w:hAnsi="Calibri Light"/>
                <w:b w:val="0"/>
              </w:rPr>
              <w:t>La Corte IDH ha establecido</w:t>
            </w:r>
            <w:r w:rsidR="00342100">
              <w:rPr>
                <w:rFonts w:ascii="Calibri Light" w:hAnsi="Calibri Light"/>
                <w:b w:val="0"/>
              </w:rPr>
              <w:t xml:space="preserve"> además, </w:t>
            </w:r>
            <w:r w:rsidR="00C27608">
              <w:rPr>
                <w:rFonts w:ascii="Calibri Light" w:hAnsi="Calibri Light"/>
                <w:b w:val="0"/>
              </w:rPr>
              <w:t>que,</w:t>
            </w:r>
            <w:r w:rsidR="00342100">
              <w:rPr>
                <w:rFonts w:ascii="Calibri Light" w:hAnsi="Calibri Light"/>
                <w:b w:val="0"/>
              </w:rPr>
              <w:t xml:space="preserve"> en el caso de la destitución de un juez o jueza, esta debe imponerse por conductas claramente reprochables</w:t>
            </w:r>
            <w:r w:rsidR="00B06C99">
              <w:rPr>
                <w:rFonts w:ascii="Calibri Light" w:hAnsi="Calibri Light"/>
                <w:b w:val="0"/>
              </w:rPr>
              <w:t>, o razones verdaderamente graves de mala conducta o incompetencia</w:t>
            </w:r>
            <w:r w:rsidR="00342100">
              <w:rPr>
                <w:rFonts w:ascii="Calibri Light" w:hAnsi="Calibri Light"/>
                <w:b w:val="0"/>
              </w:rPr>
              <w:t>.</w:t>
            </w:r>
          </w:p>
          <w:p w14:paraId="46BBCF94" w14:textId="77777777" w:rsidR="00883039" w:rsidRDefault="00883039" w:rsidP="00ED44CC">
            <w:pPr>
              <w:spacing w:after="0" w:line="240" w:lineRule="auto"/>
              <w:jc w:val="both"/>
              <w:rPr>
                <w:rFonts w:ascii="Calibri Light" w:hAnsi="Calibri Light"/>
                <w:b w:val="0"/>
              </w:rPr>
            </w:pPr>
          </w:p>
          <w:p w14:paraId="2E1739DB" w14:textId="714BA28E" w:rsidR="00883039" w:rsidRDefault="00883039" w:rsidP="00ED44CC">
            <w:pPr>
              <w:spacing w:after="0" w:line="240" w:lineRule="auto"/>
              <w:jc w:val="both"/>
              <w:rPr>
                <w:rFonts w:ascii="Calibri Light" w:hAnsi="Calibri Light"/>
                <w:b w:val="0"/>
                <w:bCs w:val="0"/>
              </w:rPr>
            </w:pPr>
            <w:r>
              <w:rPr>
                <w:rFonts w:ascii="Calibri Light" w:hAnsi="Calibri Light"/>
                <w:b w:val="0"/>
              </w:rPr>
              <w:t xml:space="preserve">En el </w:t>
            </w:r>
            <w:r w:rsidR="002B6494">
              <w:rPr>
                <w:rFonts w:ascii="Calibri Light" w:hAnsi="Calibri Light"/>
                <w:b w:val="0"/>
              </w:rPr>
              <w:t xml:space="preserve">presente </w:t>
            </w:r>
            <w:r>
              <w:rPr>
                <w:rFonts w:ascii="Calibri Light" w:hAnsi="Calibri Light"/>
                <w:b w:val="0"/>
              </w:rPr>
              <w:t xml:space="preserve">caso, </w:t>
            </w:r>
            <w:r w:rsidR="00852354">
              <w:rPr>
                <w:rFonts w:ascii="Calibri Light" w:hAnsi="Calibri Light"/>
                <w:b w:val="0"/>
              </w:rPr>
              <w:t xml:space="preserve">la CIDH </w:t>
            </w:r>
            <w:r w:rsidR="00057B34">
              <w:rPr>
                <w:rFonts w:ascii="Calibri Light" w:hAnsi="Calibri Light"/>
                <w:b w:val="0"/>
              </w:rPr>
              <w:t xml:space="preserve">consideró que estas garantías </w:t>
            </w:r>
            <w:r w:rsidR="005E228D">
              <w:rPr>
                <w:rFonts w:ascii="Calibri Light" w:hAnsi="Calibri Light"/>
                <w:b w:val="0"/>
              </w:rPr>
              <w:t>fueron violadas</w:t>
            </w:r>
            <w:r w:rsidR="00057B34">
              <w:rPr>
                <w:rFonts w:ascii="Calibri Light" w:hAnsi="Calibri Light"/>
                <w:b w:val="0"/>
              </w:rPr>
              <w:t xml:space="preserve"> por los siguientes motivos</w:t>
            </w:r>
            <w:r>
              <w:rPr>
                <w:rFonts w:ascii="Calibri Light" w:hAnsi="Calibri Light"/>
                <w:b w:val="0"/>
              </w:rPr>
              <w:t xml:space="preserve">: </w:t>
            </w:r>
            <w:r w:rsidR="002B6494">
              <w:rPr>
                <w:rFonts w:ascii="Calibri Light" w:hAnsi="Calibri Light"/>
                <w:b w:val="0"/>
              </w:rPr>
              <w:t xml:space="preserve">i) </w:t>
            </w:r>
            <w:r>
              <w:rPr>
                <w:rFonts w:ascii="Calibri Light" w:hAnsi="Calibri Light"/>
                <w:b w:val="0"/>
              </w:rPr>
              <w:t>n</w:t>
            </w:r>
            <w:r w:rsidR="00CA5AB0">
              <w:rPr>
                <w:rFonts w:ascii="Calibri Light" w:hAnsi="Calibri Light"/>
                <w:b w:val="0"/>
                <w:bCs w:val="0"/>
              </w:rPr>
              <w:t xml:space="preserve">o </w:t>
            </w:r>
            <w:r w:rsidR="00972157">
              <w:rPr>
                <w:rFonts w:ascii="Calibri Light" w:hAnsi="Calibri Light"/>
                <w:b w:val="0"/>
                <w:bCs w:val="0"/>
              </w:rPr>
              <w:t xml:space="preserve">se </w:t>
            </w:r>
            <w:r w:rsidR="005E228D">
              <w:rPr>
                <w:rFonts w:ascii="Calibri Light" w:hAnsi="Calibri Light"/>
                <w:b w:val="0"/>
                <w:bCs w:val="0"/>
              </w:rPr>
              <w:t>adoptó</w:t>
            </w:r>
            <w:r w:rsidR="00972157">
              <w:rPr>
                <w:rFonts w:ascii="Calibri Light" w:hAnsi="Calibri Light"/>
                <w:b w:val="0"/>
                <w:bCs w:val="0"/>
              </w:rPr>
              <w:t xml:space="preserve"> medidas legislativas para la adopción de</w:t>
            </w:r>
            <w:r w:rsidR="002B6494">
              <w:rPr>
                <w:rFonts w:ascii="Calibri Light" w:hAnsi="Calibri Light"/>
                <w:b w:val="0"/>
                <w:bCs w:val="0"/>
              </w:rPr>
              <w:t xml:space="preserve"> </w:t>
            </w:r>
            <w:r w:rsidR="00CA5AB0">
              <w:rPr>
                <w:rFonts w:ascii="Calibri Light" w:hAnsi="Calibri Light"/>
                <w:b w:val="0"/>
                <w:bCs w:val="0"/>
              </w:rPr>
              <w:t>un régimen para la des</w:t>
            </w:r>
            <w:r>
              <w:rPr>
                <w:rFonts w:ascii="Calibri Light" w:hAnsi="Calibri Light"/>
                <w:b w:val="0"/>
                <w:bCs w:val="0"/>
              </w:rPr>
              <w:t xml:space="preserve">titución de magistrados del TSE; </w:t>
            </w:r>
            <w:r w:rsidR="002B6494">
              <w:rPr>
                <w:rFonts w:ascii="Calibri Light" w:hAnsi="Calibri Light"/>
                <w:b w:val="0"/>
                <w:bCs w:val="0"/>
              </w:rPr>
              <w:t xml:space="preserve">ii) </w:t>
            </w:r>
            <w:r w:rsidR="005E228D">
              <w:rPr>
                <w:rFonts w:ascii="Calibri Light" w:hAnsi="Calibri Light"/>
                <w:b w:val="0"/>
                <w:bCs w:val="0"/>
              </w:rPr>
              <w:t>existieron</w:t>
            </w:r>
            <w:r>
              <w:rPr>
                <w:rFonts w:ascii="Calibri Light" w:hAnsi="Calibri Light"/>
                <w:b w:val="0"/>
                <w:bCs w:val="0"/>
              </w:rPr>
              <w:t xml:space="preserve"> </w:t>
            </w:r>
            <w:r w:rsidR="002B6494">
              <w:rPr>
                <w:rFonts w:ascii="Calibri Light" w:hAnsi="Calibri Light"/>
                <w:b w:val="0"/>
                <w:bCs w:val="0"/>
              </w:rPr>
              <w:t xml:space="preserve">deficiencias </w:t>
            </w:r>
            <w:r>
              <w:rPr>
                <w:rFonts w:ascii="Calibri Light" w:hAnsi="Calibri Light"/>
                <w:b w:val="0"/>
                <w:bCs w:val="0"/>
              </w:rPr>
              <w:t>en la motivación</w:t>
            </w:r>
            <w:r w:rsidR="007A469B">
              <w:rPr>
                <w:rFonts w:ascii="Calibri Light" w:hAnsi="Calibri Light"/>
                <w:b w:val="0"/>
                <w:bCs w:val="0"/>
              </w:rPr>
              <w:t xml:space="preserve"> de las decisiones de la Asamblea Legislativa</w:t>
            </w:r>
            <w:r w:rsidR="00FF6395">
              <w:rPr>
                <w:rFonts w:ascii="Calibri Light" w:hAnsi="Calibri Light"/>
                <w:b w:val="0"/>
                <w:bCs w:val="0"/>
              </w:rPr>
              <w:t xml:space="preserve"> en el procedimiento </w:t>
            </w:r>
            <w:r w:rsidR="00FF6395" w:rsidRPr="00776C90">
              <w:rPr>
                <w:rFonts w:ascii="Calibri Light" w:hAnsi="Calibri Light"/>
                <w:b w:val="0"/>
                <w:bCs w:val="0"/>
                <w:i/>
              </w:rPr>
              <w:t>ad hoc</w:t>
            </w:r>
            <w:r>
              <w:rPr>
                <w:rFonts w:ascii="Calibri Light" w:hAnsi="Calibri Light"/>
                <w:b w:val="0"/>
                <w:bCs w:val="0"/>
              </w:rPr>
              <w:t>, ya que</w:t>
            </w:r>
            <w:r w:rsidR="00057B34">
              <w:rPr>
                <w:rFonts w:ascii="Calibri Light" w:hAnsi="Calibri Light"/>
                <w:b w:val="0"/>
                <w:bCs w:val="0"/>
              </w:rPr>
              <w:t xml:space="preserve"> no </w:t>
            </w:r>
            <w:r w:rsidR="005E228D">
              <w:rPr>
                <w:rFonts w:ascii="Calibri Light" w:hAnsi="Calibri Light"/>
                <w:b w:val="0"/>
                <w:bCs w:val="0"/>
              </w:rPr>
              <w:t>precisaron</w:t>
            </w:r>
            <w:r w:rsidR="00057B34">
              <w:rPr>
                <w:rFonts w:ascii="Calibri Light" w:hAnsi="Calibri Light"/>
                <w:b w:val="0"/>
                <w:bCs w:val="0"/>
              </w:rPr>
              <w:t xml:space="preserve"> los hechos concretos que habrían llevado a la comisión de causales </w:t>
            </w:r>
            <w:r w:rsidR="005E228D">
              <w:rPr>
                <w:rFonts w:ascii="Calibri Light" w:hAnsi="Calibri Light"/>
                <w:b w:val="0"/>
                <w:bCs w:val="0"/>
              </w:rPr>
              <w:t>de carácter disciplinario</w:t>
            </w:r>
            <w:r>
              <w:rPr>
                <w:rFonts w:ascii="Calibri Light" w:hAnsi="Calibri Light"/>
                <w:b w:val="0"/>
                <w:bCs w:val="0"/>
              </w:rPr>
              <w:t xml:space="preserve">; </w:t>
            </w:r>
            <w:r w:rsidR="002B6494">
              <w:rPr>
                <w:rFonts w:ascii="Calibri Light" w:hAnsi="Calibri Light"/>
                <w:b w:val="0"/>
                <w:bCs w:val="0"/>
              </w:rPr>
              <w:t xml:space="preserve">y </w:t>
            </w:r>
            <w:r w:rsidR="002B6494" w:rsidRPr="00EB0E0A">
              <w:rPr>
                <w:rFonts w:ascii="Calibri Light" w:hAnsi="Calibri Light"/>
                <w:b w:val="0"/>
                <w:bCs w:val="0"/>
              </w:rPr>
              <w:t xml:space="preserve">iii) </w:t>
            </w:r>
            <w:r w:rsidR="005E228D" w:rsidRPr="00EB0E0A">
              <w:rPr>
                <w:rFonts w:ascii="Calibri Light" w:hAnsi="Calibri Light"/>
                <w:b w:val="0"/>
                <w:bCs w:val="0"/>
              </w:rPr>
              <w:t>se aplicó analógicamente los requisitos de nombramiento al ejercicio de la facultad disciplinaria, lo cual – como ya ha señalado la CIDH – es contrario al principio de independencia judicial</w:t>
            </w:r>
            <w:r w:rsidRPr="00EB0E0A">
              <w:rPr>
                <w:rFonts w:ascii="Calibri Light" w:hAnsi="Calibri Light"/>
                <w:b w:val="0"/>
                <w:bCs w:val="0"/>
              </w:rPr>
              <w:t>.</w:t>
            </w:r>
          </w:p>
          <w:p w14:paraId="4C135F46" w14:textId="77777777" w:rsidR="00883039" w:rsidRDefault="00883039" w:rsidP="00ED44CC">
            <w:pPr>
              <w:spacing w:after="0" w:line="240" w:lineRule="auto"/>
              <w:jc w:val="both"/>
              <w:rPr>
                <w:rFonts w:ascii="Calibri Light" w:hAnsi="Calibri Light"/>
                <w:b w:val="0"/>
                <w:bCs w:val="0"/>
              </w:rPr>
            </w:pPr>
          </w:p>
          <w:p w14:paraId="1E3ADCAB" w14:textId="573B4DFE" w:rsidR="00883039" w:rsidRDefault="00883039" w:rsidP="00ED44CC">
            <w:pPr>
              <w:spacing w:after="0" w:line="240" w:lineRule="auto"/>
              <w:jc w:val="both"/>
              <w:rPr>
                <w:rFonts w:ascii="Calibri Light" w:hAnsi="Calibri Light"/>
                <w:b w:val="0"/>
                <w:bCs w:val="0"/>
              </w:rPr>
            </w:pPr>
            <w:r>
              <w:rPr>
                <w:rFonts w:ascii="Calibri Light" w:hAnsi="Calibri Light"/>
                <w:b w:val="0"/>
                <w:bCs w:val="0"/>
              </w:rPr>
              <w:t xml:space="preserve">Por otro lado, </w:t>
            </w:r>
            <w:r w:rsidR="007E6206">
              <w:rPr>
                <w:rFonts w:ascii="Calibri Light" w:hAnsi="Calibri Light"/>
                <w:b w:val="0"/>
                <w:bCs w:val="0"/>
              </w:rPr>
              <w:t xml:space="preserve">sobre la garantía de audiencia, </w:t>
            </w:r>
            <w:r w:rsidR="00EB0E0A">
              <w:rPr>
                <w:rFonts w:ascii="Calibri Light" w:hAnsi="Calibri Light"/>
                <w:b w:val="0"/>
                <w:bCs w:val="0"/>
              </w:rPr>
              <w:t xml:space="preserve">la CIDH señaló que </w:t>
            </w:r>
            <w:r w:rsidR="007E6206">
              <w:rPr>
                <w:rFonts w:ascii="Calibri Light" w:hAnsi="Calibri Light"/>
                <w:b w:val="0"/>
                <w:bCs w:val="0"/>
              </w:rPr>
              <w:t>esta implica el d</w:t>
            </w:r>
            <w:r w:rsidR="007E6206" w:rsidRPr="007E6206">
              <w:rPr>
                <w:rFonts w:ascii="Calibri Light" w:hAnsi="Calibri Light"/>
                <w:b w:val="0"/>
                <w:bCs w:val="0"/>
              </w:rPr>
              <w:t>erecho a tener acceso al tribunal u órgano estatal encargado de determinar sus derechos y obligaciones</w:t>
            </w:r>
            <w:r w:rsidR="00EB0E0A">
              <w:rPr>
                <w:rFonts w:ascii="Calibri Light" w:hAnsi="Calibri Light"/>
                <w:b w:val="0"/>
                <w:bCs w:val="0"/>
              </w:rPr>
              <w:t>. Ello significa</w:t>
            </w:r>
            <w:r w:rsidR="007E6206">
              <w:rPr>
                <w:rFonts w:ascii="Calibri Light" w:hAnsi="Calibri Light"/>
                <w:b w:val="0"/>
                <w:bCs w:val="0"/>
              </w:rPr>
              <w:t xml:space="preserve"> la </w:t>
            </w:r>
            <w:r w:rsidR="007E6206" w:rsidRPr="007E6206">
              <w:rPr>
                <w:rFonts w:ascii="Calibri Light" w:hAnsi="Calibri Light"/>
                <w:b w:val="0"/>
                <w:bCs w:val="0"/>
              </w:rPr>
              <w:t>obligación de comunicar previa y detalladamente la acusación formulada (art. 8.2.b), así como la concesión a la persona acusada del tiempo y medios adecuados para preparar su defensa (art. 8.2.c).</w:t>
            </w:r>
            <w:r w:rsidR="007E6206">
              <w:rPr>
                <w:rFonts w:ascii="Calibri Light" w:hAnsi="Calibri Light"/>
                <w:b w:val="0"/>
                <w:bCs w:val="0"/>
              </w:rPr>
              <w:t xml:space="preserve"> Asimismo, el tiempo brindado para el ejercicio del derecho de defensa debe ser adecuado.</w:t>
            </w:r>
          </w:p>
          <w:p w14:paraId="53305699" w14:textId="77777777" w:rsidR="007E6206" w:rsidRDefault="007E6206" w:rsidP="00ED44CC">
            <w:pPr>
              <w:spacing w:after="0" w:line="240" w:lineRule="auto"/>
              <w:jc w:val="both"/>
              <w:rPr>
                <w:rFonts w:ascii="Calibri Light" w:hAnsi="Calibri Light"/>
                <w:b w:val="0"/>
                <w:bCs w:val="0"/>
              </w:rPr>
            </w:pPr>
          </w:p>
          <w:p w14:paraId="00771A8E" w14:textId="2CA202F3" w:rsidR="007E6206" w:rsidRPr="007E6206" w:rsidRDefault="007E6206" w:rsidP="007E6206">
            <w:pPr>
              <w:spacing w:after="0" w:line="240" w:lineRule="auto"/>
              <w:jc w:val="both"/>
              <w:rPr>
                <w:rFonts w:ascii="Calibri Light" w:hAnsi="Calibri Light"/>
                <w:bCs w:val="0"/>
              </w:rPr>
            </w:pPr>
            <w:r>
              <w:rPr>
                <w:rFonts w:ascii="Calibri Light" w:hAnsi="Calibri Light"/>
                <w:b w:val="0"/>
                <w:bCs w:val="0"/>
              </w:rPr>
              <w:t>Al respecto, la CI</w:t>
            </w:r>
            <w:r w:rsidR="00EB0E0A">
              <w:rPr>
                <w:rFonts w:ascii="Calibri Light" w:hAnsi="Calibri Light"/>
                <w:b w:val="0"/>
                <w:bCs w:val="0"/>
              </w:rPr>
              <w:t>DH explicó</w:t>
            </w:r>
            <w:r>
              <w:rPr>
                <w:rFonts w:ascii="Calibri Light" w:hAnsi="Calibri Light"/>
                <w:b w:val="0"/>
                <w:bCs w:val="0"/>
              </w:rPr>
              <w:t xml:space="preserve"> que el señor Colindres vio mermado su derecho a ser oído, o la garantía de audiencia, </w:t>
            </w:r>
            <w:r w:rsidR="00E9612F">
              <w:rPr>
                <w:rFonts w:ascii="Calibri Light" w:hAnsi="Calibri Light"/>
                <w:b w:val="0"/>
                <w:bCs w:val="0"/>
              </w:rPr>
              <w:t xml:space="preserve">por las siguientes razones: </w:t>
            </w:r>
            <w:r w:rsidRPr="007E6206">
              <w:rPr>
                <w:rFonts w:ascii="Calibri Light" w:hAnsi="Calibri Light"/>
                <w:b w:val="0"/>
                <w:bCs w:val="0"/>
              </w:rPr>
              <w:t>i) no tuvo oportunidad de presentar sus observaciones al escrito de los diputados del PDC</w:t>
            </w:r>
            <w:r w:rsidR="00E9612F">
              <w:rPr>
                <w:rFonts w:ascii="Calibri Light" w:hAnsi="Calibri Light"/>
                <w:b w:val="0"/>
                <w:bCs w:val="0"/>
              </w:rPr>
              <w:t>;</w:t>
            </w:r>
            <w:r w:rsidRPr="007E6206">
              <w:rPr>
                <w:rFonts w:ascii="Calibri Light" w:hAnsi="Calibri Light"/>
                <w:b w:val="0"/>
                <w:bCs w:val="0"/>
              </w:rPr>
              <w:t xml:space="preserve"> ii) no consta que el escrito que presentó como parte de su defensa haya sido incorporado al expediente que tuvo ante la Asamblea Legislativa</w:t>
            </w:r>
            <w:r w:rsidR="00E9612F">
              <w:rPr>
                <w:rFonts w:ascii="Calibri Light" w:hAnsi="Calibri Light"/>
                <w:b w:val="0"/>
                <w:bCs w:val="0"/>
              </w:rPr>
              <w:t>; y</w:t>
            </w:r>
            <w:r w:rsidRPr="007E6206">
              <w:rPr>
                <w:rFonts w:ascii="Calibri Light" w:hAnsi="Calibri Light"/>
                <w:b w:val="0"/>
                <w:bCs w:val="0"/>
              </w:rPr>
              <w:t xml:space="preserve"> iii) la información</w:t>
            </w:r>
            <w:r w:rsidR="005B7370">
              <w:rPr>
                <w:rFonts w:ascii="Calibri Light" w:hAnsi="Calibri Light"/>
                <w:b w:val="0"/>
                <w:bCs w:val="0"/>
              </w:rPr>
              <w:t xml:space="preserve"> presentada por el TSE a la Comisión Especial no fue enviada al señor Colindres, lo cual mermó sus</w:t>
            </w:r>
            <w:r w:rsidRPr="007E6206">
              <w:rPr>
                <w:rFonts w:ascii="Calibri Light" w:hAnsi="Calibri Light"/>
                <w:b w:val="0"/>
                <w:bCs w:val="0"/>
              </w:rPr>
              <w:t xml:space="preserve"> oportunidad</w:t>
            </w:r>
            <w:r w:rsidR="005B7370">
              <w:rPr>
                <w:rFonts w:ascii="Calibri Light" w:hAnsi="Calibri Light"/>
                <w:b w:val="0"/>
                <w:bCs w:val="0"/>
              </w:rPr>
              <w:t>es</w:t>
            </w:r>
            <w:r w:rsidRPr="007E6206">
              <w:rPr>
                <w:rFonts w:ascii="Calibri Light" w:hAnsi="Calibri Light"/>
                <w:b w:val="0"/>
                <w:bCs w:val="0"/>
              </w:rPr>
              <w:t xml:space="preserve"> de poder presentar sus observaciones a ese </w:t>
            </w:r>
            <w:r w:rsidRPr="007E6206">
              <w:rPr>
                <w:rFonts w:ascii="Calibri Light" w:hAnsi="Calibri Light"/>
                <w:b w:val="0"/>
                <w:bCs w:val="0"/>
              </w:rPr>
              <w:lastRenderedPageBreak/>
              <w:t>documento.</w:t>
            </w:r>
            <w:r w:rsidR="00AC13B7">
              <w:rPr>
                <w:rFonts w:ascii="Calibri Light" w:hAnsi="Calibri Light"/>
                <w:b w:val="0"/>
                <w:bCs w:val="0"/>
              </w:rPr>
              <w:t xml:space="preserve"> Además, el plazo de tres días que se le dio para ejercer su defensa </w:t>
            </w:r>
            <w:r w:rsidR="00E9612F">
              <w:rPr>
                <w:rFonts w:ascii="Calibri Light" w:hAnsi="Calibri Light"/>
                <w:b w:val="0"/>
                <w:bCs w:val="0"/>
              </w:rPr>
              <w:t xml:space="preserve">fue </w:t>
            </w:r>
            <w:r w:rsidR="00AC13B7">
              <w:rPr>
                <w:rFonts w:ascii="Calibri Light" w:hAnsi="Calibri Light"/>
                <w:b w:val="0"/>
                <w:bCs w:val="0"/>
              </w:rPr>
              <w:t>muy corto.</w:t>
            </w:r>
          </w:p>
          <w:p w14:paraId="74426D6F" w14:textId="77777777" w:rsidR="007E6206" w:rsidRDefault="007E6206" w:rsidP="00ED44CC">
            <w:pPr>
              <w:spacing w:after="0" w:line="240" w:lineRule="auto"/>
              <w:jc w:val="both"/>
              <w:rPr>
                <w:rFonts w:ascii="Calibri Light" w:hAnsi="Calibri Light"/>
                <w:b w:val="0"/>
                <w:bCs w:val="0"/>
              </w:rPr>
            </w:pPr>
          </w:p>
          <w:p w14:paraId="336D2FD7" w14:textId="77777777" w:rsidR="00AC13B7" w:rsidRDefault="00AC13B7" w:rsidP="00ED44CC">
            <w:pPr>
              <w:spacing w:after="0" w:line="240" w:lineRule="auto"/>
              <w:jc w:val="both"/>
              <w:rPr>
                <w:rFonts w:ascii="Calibri Light" w:hAnsi="Calibri Light"/>
                <w:b w:val="0"/>
                <w:bCs w:val="0"/>
              </w:rPr>
            </w:pPr>
            <w:r>
              <w:rPr>
                <w:rFonts w:ascii="Calibri Light" w:hAnsi="Calibri Light"/>
                <w:b w:val="0"/>
                <w:bCs w:val="0"/>
              </w:rPr>
              <w:t>Por ello, la CIDH declaró la violación por parte del Estado de El Salvador de los artículos 8.1, 8.2 b) y c), y 9 de la CADH, en relación con los artículos 1 y 2, en perjuicio de Eduardo Colindres.</w:t>
            </w:r>
          </w:p>
          <w:p w14:paraId="7ED11B80" w14:textId="77777777" w:rsidR="00A22328" w:rsidRDefault="00A22328" w:rsidP="00ED44CC">
            <w:pPr>
              <w:spacing w:after="0" w:line="240" w:lineRule="auto"/>
              <w:jc w:val="both"/>
              <w:rPr>
                <w:rFonts w:ascii="Calibri Light" w:hAnsi="Calibri Light"/>
                <w:b w:val="0"/>
              </w:rPr>
            </w:pPr>
          </w:p>
          <w:p w14:paraId="3718F9E2" w14:textId="77777777" w:rsidR="00A22328" w:rsidRPr="00A22328" w:rsidRDefault="00A22328" w:rsidP="00A22328">
            <w:pPr>
              <w:pStyle w:val="ListParagraph"/>
              <w:numPr>
                <w:ilvl w:val="0"/>
                <w:numId w:val="9"/>
              </w:numPr>
              <w:spacing w:after="0" w:line="240" w:lineRule="auto"/>
              <w:jc w:val="both"/>
              <w:rPr>
                <w:rFonts w:ascii="Calibri Light" w:hAnsi="Calibri Light"/>
              </w:rPr>
            </w:pPr>
            <w:r>
              <w:rPr>
                <w:rFonts w:ascii="Calibri Light" w:hAnsi="Calibri Light"/>
              </w:rPr>
              <w:t>E</w:t>
            </w:r>
            <w:r w:rsidRPr="00A22328">
              <w:rPr>
                <w:rFonts w:ascii="Calibri Light" w:hAnsi="Calibri Light"/>
              </w:rPr>
              <w:t>l derecho a recurrir el fallo sancionatorio</w:t>
            </w:r>
          </w:p>
          <w:p w14:paraId="54371AA8" w14:textId="77777777" w:rsidR="00A22328" w:rsidRPr="00A22328" w:rsidRDefault="00A22328" w:rsidP="00A22328">
            <w:pPr>
              <w:spacing w:after="0" w:line="240" w:lineRule="auto"/>
              <w:jc w:val="both"/>
              <w:rPr>
                <w:rFonts w:ascii="Calibri Light" w:hAnsi="Calibri Light"/>
              </w:rPr>
            </w:pPr>
          </w:p>
          <w:p w14:paraId="4843F2D5" w14:textId="1AE14748" w:rsidR="00313F25" w:rsidRPr="00776C90" w:rsidRDefault="00FF0C52" w:rsidP="00ED44CC">
            <w:pPr>
              <w:spacing w:after="0" w:line="240" w:lineRule="auto"/>
              <w:jc w:val="both"/>
              <w:rPr>
                <w:rFonts w:ascii="Calibri Light" w:hAnsi="Calibri Light"/>
                <w:b w:val="0"/>
              </w:rPr>
            </w:pPr>
            <w:r w:rsidRPr="00776C90">
              <w:rPr>
                <w:rFonts w:ascii="Calibri Light" w:hAnsi="Calibri Light"/>
                <w:b w:val="0"/>
              </w:rPr>
              <w:t>Respecto al derecho a recurrir el fallo, la CIDH adopt</w:t>
            </w:r>
            <w:r w:rsidR="00E9612F" w:rsidRPr="00776C90">
              <w:rPr>
                <w:rFonts w:ascii="Calibri Light" w:hAnsi="Calibri Light"/>
                <w:b w:val="0"/>
              </w:rPr>
              <w:t>ó</w:t>
            </w:r>
            <w:r w:rsidRPr="00776C90">
              <w:rPr>
                <w:rFonts w:ascii="Calibri Light" w:hAnsi="Calibri Light"/>
                <w:b w:val="0"/>
              </w:rPr>
              <w:t xml:space="preserve"> los criterios contenidos en los </w:t>
            </w:r>
            <w:r w:rsidR="004759B4" w:rsidRPr="00776C90">
              <w:rPr>
                <w:rFonts w:ascii="Calibri Light" w:hAnsi="Calibri Light"/>
                <w:b w:val="0"/>
                <w:i/>
              </w:rPr>
              <w:t>Principios Básicos Relativos a la Independencia de la Judicatura</w:t>
            </w:r>
            <w:r w:rsidR="004759B4" w:rsidRPr="00776C90">
              <w:rPr>
                <w:rFonts w:ascii="Calibri Light" w:hAnsi="Calibri Light"/>
                <w:b w:val="0"/>
                <w:bCs w:val="0"/>
              </w:rPr>
              <w:t xml:space="preserve"> de la ONU</w:t>
            </w:r>
            <w:r w:rsidRPr="00776C90">
              <w:rPr>
                <w:rFonts w:ascii="Calibri Light" w:hAnsi="Calibri Light"/>
                <w:b w:val="0"/>
                <w:bCs w:val="0"/>
              </w:rPr>
              <w:t xml:space="preserve">, </w:t>
            </w:r>
            <w:r w:rsidR="00E9612F" w:rsidRPr="00776C90">
              <w:rPr>
                <w:rFonts w:ascii="Calibri Light" w:hAnsi="Calibri Light"/>
                <w:b w:val="0"/>
                <w:bCs w:val="0"/>
              </w:rPr>
              <w:t xml:space="preserve">los cuales </w:t>
            </w:r>
            <w:r w:rsidRPr="00776C90">
              <w:rPr>
                <w:rFonts w:ascii="Calibri Light" w:hAnsi="Calibri Light"/>
                <w:b w:val="0"/>
                <w:bCs w:val="0"/>
              </w:rPr>
              <w:t>establecen que</w:t>
            </w:r>
            <w:r w:rsidR="004759B4" w:rsidRPr="00776C90">
              <w:rPr>
                <w:rFonts w:ascii="Calibri Light" w:hAnsi="Calibri Light"/>
                <w:b w:val="0"/>
              </w:rPr>
              <w:t xml:space="preserve"> las decisiones que se adopten en los procesos disciplinarios, de suspensión o separación del cargo estarán sujet</w:t>
            </w:r>
            <w:r w:rsidR="00904C9A">
              <w:rPr>
                <w:rFonts w:ascii="Calibri Light" w:hAnsi="Calibri Light"/>
                <w:b w:val="0"/>
              </w:rPr>
              <w:t>a</w:t>
            </w:r>
            <w:r w:rsidR="004759B4" w:rsidRPr="00776C90">
              <w:rPr>
                <w:rFonts w:ascii="Calibri Light" w:hAnsi="Calibri Light"/>
                <w:b w:val="0"/>
              </w:rPr>
              <w:t xml:space="preserve">s a una revisión independiente. </w:t>
            </w:r>
            <w:r w:rsidRPr="00776C90">
              <w:rPr>
                <w:rFonts w:ascii="Calibri Light" w:hAnsi="Calibri Light"/>
                <w:b w:val="0"/>
              </w:rPr>
              <w:t xml:space="preserve">Dicha revisión deberá darse con las debidas garantías, como el que sea realizada por un superior jerárquico, </w:t>
            </w:r>
            <w:r w:rsidR="00904C9A">
              <w:rPr>
                <w:rFonts w:ascii="Calibri Light" w:hAnsi="Calibri Light"/>
                <w:b w:val="0"/>
              </w:rPr>
              <w:t xml:space="preserve">o </w:t>
            </w:r>
            <w:r w:rsidR="00341147" w:rsidRPr="00776C90">
              <w:rPr>
                <w:rFonts w:ascii="Calibri Light" w:hAnsi="Calibri Light"/>
                <w:b w:val="0"/>
              </w:rPr>
              <w:t>se tome en cuenta la base probatoria.</w:t>
            </w:r>
            <w:r w:rsidR="00904C9A">
              <w:rPr>
                <w:rFonts w:ascii="Calibri Light" w:hAnsi="Calibri Light"/>
                <w:b w:val="0"/>
              </w:rPr>
              <w:t xml:space="preserve"> </w:t>
            </w:r>
            <w:r w:rsidR="00313F25" w:rsidRPr="00776C90">
              <w:rPr>
                <w:rFonts w:ascii="Calibri Light" w:hAnsi="Calibri Light"/>
                <w:b w:val="0"/>
              </w:rPr>
              <w:t>Sobre su cumplimiento en el caso, la CIDH consider</w:t>
            </w:r>
            <w:r w:rsidR="00E9612F" w:rsidRPr="00776C90">
              <w:rPr>
                <w:rFonts w:ascii="Calibri Light" w:hAnsi="Calibri Light"/>
                <w:b w:val="0"/>
              </w:rPr>
              <w:t>ó</w:t>
            </w:r>
            <w:r w:rsidR="00313F25" w:rsidRPr="00776C90">
              <w:rPr>
                <w:rFonts w:ascii="Calibri Light" w:hAnsi="Calibri Light"/>
                <w:b w:val="0"/>
              </w:rPr>
              <w:t xml:space="preserve"> que no </w:t>
            </w:r>
            <w:r w:rsidR="00E9612F" w:rsidRPr="00776C90">
              <w:rPr>
                <w:rFonts w:ascii="Calibri Light" w:hAnsi="Calibri Light"/>
                <w:b w:val="0"/>
              </w:rPr>
              <w:t xml:space="preserve">se había </w:t>
            </w:r>
            <w:r w:rsidR="00313F25" w:rsidRPr="00776C90">
              <w:rPr>
                <w:rFonts w:ascii="Calibri Light" w:hAnsi="Calibri Light"/>
                <w:b w:val="0"/>
              </w:rPr>
              <w:t>demostrad</w:t>
            </w:r>
            <w:r w:rsidR="00E9612F" w:rsidRPr="00776C90">
              <w:rPr>
                <w:rFonts w:ascii="Calibri Light" w:hAnsi="Calibri Light"/>
                <w:b w:val="0"/>
              </w:rPr>
              <w:t>o</w:t>
            </w:r>
            <w:r w:rsidR="00313F25" w:rsidRPr="00776C90">
              <w:rPr>
                <w:rFonts w:ascii="Calibri Light" w:hAnsi="Calibri Light"/>
                <w:b w:val="0"/>
              </w:rPr>
              <w:t xml:space="preserve"> la posibilidad de recurrir el fallo de la Asamblea Legislativa, ni por la vía del amparo ni </w:t>
            </w:r>
            <w:r w:rsidR="00E9612F" w:rsidRPr="00776C90">
              <w:rPr>
                <w:rFonts w:ascii="Calibri Light" w:hAnsi="Calibri Light"/>
                <w:b w:val="0"/>
              </w:rPr>
              <w:t>mediante un</w:t>
            </w:r>
            <w:r w:rsidR="00313F25" w:rsidRPr="00776C90">
              <w:rPr>
                <w:rFonts w:ascii="Calibri Light" w:hAnsi="Calibri Light"/>
                <w:b w:val="0"/>
              </w:rPr>
              <w:t xml:space="preserve"> </w:t>
            </w:r>
            <w:r w:rsidR="00313F25" w:rsidRPr="00776C90">
              <w:rPr>
                <w:rFonts w:ascii="Calibri Light" w:hAnsi="Calibri Light"/>
                <w:b w:val="0"/>
                <w:i/>
              </w:rPr>
              <w:t>h</w:t>
            </w:r>
            <w:r w:rsidR="00E9612F" w:rsidRPr="00776C90">
              <w:rPr>
                <w:rFonts w:ascii="Calibri Light" w:hAnsi="Calibri Light"/>
                <w:b w:val="0"/>
                <w:i/>
              </w:rPr>
              <w:t>á</w:t>
            </w:r>
            <w:r w:rsidR="00313F25" w:rsidRPr="00776C90">
              <w:rPr>
                <w:rFonts w:ascii="Calibri Light" w:hAnsi="Calibri Light"/>
                <w:b w:val="0"/>
                <w:i/>
              </w:rPr>
              <w:t>beas corpus</w:t>
            </w:r>
            <w:r w:rsidR="00313F25" w:rsidRPr="00776C90">
              <w:rPr>
                <w:rFonts w:ascii="Calibri Light" w:hAnsi="Calibri Light"/>
                <w:b w:val="0"/>
              </w:rPr>
              <w:t>.</w:t>
            </w:r>
          </w:p>
          <w:p w14:paraId="71C7B06A" w14:textId="77777777" w:rsidR="00644AF6" w:rsidRDefault="00644AF6" w:rsidP="00ED44CC">
            <w:pPr>
              <w:spacing w:after="0" w:line="240" w:lineRule="auto"/>
              <w:jc w:val="both"/>
              <w:rPr>
                <w:rFonts w:ascii="Calibri Light" w:hAnsi="Calibri Light"/>
                <w:b w:val="0"/>
              </w:rPr>
            </w:pPr>
          </w:p>
          <w:p w14:paraId="4FEA2AAE" w14:textId="52EBCAB9" w:rsidR="004759B4" w:rsidRDefault="00644AF6" w:rsidP="00ED44CC">
            <w:pPr>
              <w:spacing w:after="0" w:line="240" w:lineRule="auto"/>
              <w:jc w:val="both"/>
              <w:rPr>
                <w:rFonts w:ascii="Calibri Light" w:hAnsi="Calibri Light"/>
                <w:b w:val="0"/>
              </w:rPr>
            </w:pPr>
            <w:r>
              <w:rPr>
                <w:rFonts w:ascii="Calibri Light" w:hAnsi="Calibri Light"/>
                <w:b w:val="0"/>
              </w:rPr>
              <w:t xml:space="preserve">Por otra parte, respecto al artículo 25, </w:t>
            </w:r>
            <w:r w:rsidR="00E9612F">
              <w:rPr>
                <w:rFonts w:ascii="Calibri Light" w:hAnsi="Calibri Light"/>
                <w:b w:val="0"/>
              </w:rPr>
              <w:t>reiteró</w:t>
            </w:r>
            <w:r w:rsidR="00313F25">
              <w:rPr>
                <w:rFonts w:ascii="Calibri Light" w:hAnsi="Calibri Light"/>
                <w:b w:val="0"/>
              </w:rPr>
              <w:t xml:space="preserve"> que </w:t>
            </w:r>
            <w:r>
              <w:rPr>
                <w:rFonts w:ascii="Calibri Light" w:hAnsi="Calibri Light"/>
                <w:b w:val="0"/>
              </w:rPr>
              <w:t>los Estados tienen la obligación de ofrecer recursos adecuados y efectivos. E</w:t>
            </w:r>
            <w:r w:rsidR="000B6079">
              <w:rPr>
                <w:rFonts w:ascii="Calibri Light" w:hAnsi="Calibri Light"/>
                <w:b w:val="0"/>
              </w:rPr>
              <w:t>n este caso, la CIDH consider</w:t>
            </w:r>
            <w:r w:rsidR="00904C9A">
              <w:rPr>
                <w:rFonts w:ascii="Calibri Light" w:hAnsi="Calibri Light"/>
                <w:b w:val="0"/>
              </w:rPr>
              <w:t>ó</w:t>
            </w:r>
            <w:r w:rsidR="000B6079">
              <w:rPr>
                <w:rFonts w:ascii="Calibri Light" w:hAnsi="Calibri Light"/>
                <w:b w:val="0"/>
              </w:rPr>
              <w:t xml:space="preserve"> que ni la Asamblea Legislativa ni la Sala de lo Constitucional cumplieron con analizar la compatibilidad de los argumentos presentados por el señor Colindres con la Constitución de El Salvador y la CAD</w:t>
            </w:r>
            <w:r w:rsidR="00B83E60">
              <w:rPr>
                <w:rFonts w:ascii="Calibri Light" w:hAnsi="Calibri Light"/>
                <w:b w:val="0"/>
              </w:rPr>
              <w:t>H. Por el contrario, resaltó que, a pesar que el señor Colindres pudo acceder a presentar recursos de amparo,</w:t>
            </w:r>
            <w:r>
              <w:rPr>
                <w:rFonts w:ascii="Calibri Light" w:hAnsi="Calibri Light"/>
                <w:b w:val="0"/>
              </w:rPr>
              <w:t xml:space="preserve"> el razonamiento usado por la Sala de lo Constitucional para dar respuesta </w:t>
            </w:r>
            <w:r w:rsidR="00904C9A">
              <w:rPr>
                <w:rFonts w:ascii="Calibri Light" w:hAnsi="Calibri Light"/>
                <w:b w:val="0"/>
              </w:rPr>
              <w:t xml:space="preserve">a </w:t>
            </w:r>
            <w:r w:rsidR="00B83E60">
              <w:rPr>
                <w:rFonts w:ascii="Calibri Light" w:hAnsi="Calibri Light"/>
                <w:b w:val="0"/>
              </w:rPr>
              <w:t xml:space="preserve">estos </w:t>
            </w:r>
            <w:r>
              <w:rPr>
                <w:rFonts w:ascii="Calibri Light" w:hAnsi="Calibri Light"/>
                <w:b w:val="0"/>
              </w:rPr>
              <w:t>se dirigió a validar el razonamiento de la Asamblea Legislativa.</w:t>
            </w:r>
            <w:r w:rsidR="00904C9A">
              <w:rPr>
                <w:rFonts w:ascii="Calibri Light" w:hAnsi="Calibri Light"/>
                <w:b w:val="0"/>
              </w:rPr>
              <w:t xml:space="preserve"> Por lo expuesto, la CIDH declaró</w:t>
            </w:r>
            <w:r w:rsidR="00313F25">
              <w:rPr>
                <w:rFonts w:ascii="Calibri Light" w:hAnsi="Calibri Light"/>
                <w:b w:val="0"/>
              </w:rPr>
              <w:t xml:space="preserve"> la violación por parte del Estado salvadoreño de los artículos </w:t>
            </w:r>
            <w:r w:rsidR="004759B4">
              <w:rPr>
                <w:rFonts w:ascii="Calibri Light" w:hAnsi="Calibri Light"/>
                <w:b w:val="0"/>
              </w:rPr>
              <w:t>8.2.h)</w:t>
            </w:r>
            <w:r w:rsidR="00313F25">
              <w:rPr>
                <w:rFonts w:ascii="Calibri Light" w:hAnsi="Calibri Light"/>
                <w:b w:val="0"/>
              </w:rPr>
              <w:t xml:space="preserve"> y 25</w:t>
            </w:r>
            <w:r w:rsidR="004759B4">
              <w:rPr>
                <w:rFonts w:ascii="Calibri Light" w:hAnsi="Calibri Light"/>
                <w:b w:val="0"/>
              </w:rPr>
              <w:t xml:space="preserve"> de la CADH</w:t>
            </w:r>
            <w:r w:rsidR="00313F25">
              <w:rPr>
                <w:rFonts w:ascii="Calibri Light" w:hAnsi="Calibri Light"/>
                <w:b w:val="0"/>
              </w:rPr>
              <w:t>,</w:t>
            </w:r>
            <w:r w:rsidR="004759B4">
              <w:rPr>
                <w:rFonts w:ascii="Calibri Light" w:hAnsi="Calibri Light"/>
                <w:b w:val="0"/>
              </w:rPr>
              <w:t xml:space="preserve"> en rel</w:t>
            </w:r>
            <w:r w:rsidR="00313F25">
              <w:rPr>
                <w:rFonts w:ascii="Calibri Light" w:hAnsi="Calibri Light"/>
                <w:b w:val="0"/>
              </w:rPr>
              <w:t>ación con los artículos 1.1 y 2, en perjuicio del señor Eduardo Colindres.</w:t>
            </w:r>
          </w:p>
          <w:p w14:paraId="65742D1A" w14:textId="77777777" w:rsidR="0005368C" w:rsidRDefault="0005368C" w:rsidP="00ED44CC">
            <w:pPr>
              <w:spacing w:after="0" w:line="240" w:lineRule="auto"/>
              <w:jc w:val="both"/>
              <w:rPr>
                <w:rFonts w:ascii="Calibri Light" w:hAnsi="Calibri Light"/>
                <w:b w:val="0"/>
              </w:rPr>
            </w:pPr>
          </w:p>
          <w:p w14:paraId="34F31AC2" w14:textId="77777777" w:rsidR="0005368C" w:rsidRPr="00985C46" w:rsidRDefault="0005368C" w:rsidP="00985C46">
            <w:pPr>
              <w:pStyle w:val="ListParagraph"/>
              <w:numPr>
                <w:ilvl w:val="0"/>
                <w:numId w:val="10"/>
              </w:numPr>
              <w:spacing w:after="0" w:line="240" w:lineRule="auto"/>
              <w:jc w:val="both"/>
              <w:rPr>
                <w:rFonts w:ascii="Calibri Light" w:hAnsi="Calibri Light"/>
              </w:rPr>
            </w:pPr>
            <w:r w:rsidRPr="00985C46">
              <w:rPr>
                <w:rFonts w:ascii="Calibri Light" w:hAnsi="Calibri Light"/>
              </w:rPr>
              <w:t>P</w:t>
            </w:r>
            <w:r w:rsidR="00985C46" w:rsidRPr="00985C46">
              <w:rPr>
                <w:rFonts w:ascii="Calibri Light" w:hAnsi="Calibri Light"/>
              </w:rPr>
              <w:t>lazo razonable y protección judicial en demanda civil</w:t>
            </w:r>
          </w:p>
          <w:p w14:paraId="6D5655EC" w14:textId="77777777" w:rsidR="0005368C" w:rsidRDefault="0005368C" w:rsidP="00ED44CC">
            <w:pPr>
              <w:spacing w:after="0" w:line="240" w:lineRule="auto"/>
              <w:jc w:val="both"/>
              <w:rPr>
                <w:rFonts w:ascii="Calibri Light" w:hAnsi="Calibri Light"/>
                <w:b w:val="0"/>
                <w:u w:val="single"/>
              </w:rPr>
            </w:pPr>
          </w:p>
          <w:p w14:paraId="24988048" w14:textId="2ADD6B90" w:rsidR="0031314A" w:rsidRDefault="00C06CC8" w:rsidP="00ED44CC">
            <w:pPr>
              <w:spacing w:after="0" w:line="240" w:lineRule="auto"/>
              <w:jc w:val="both"/>
              <w:rPr>
                <w:rFonts w:ascii="Calibri Light" w:hAnsi="Calibri Light"/>
                <w:b w:val="0"/>
                <w:bCs w:val="0"/>
              </w:rPr>
            </w:pPr>
            <w:r>
              <w:rPr>
                <w:rFonts w:ascii="Calibri Light" w:hAnsi="Calibri Light"/>
                <w:b w:val="0"/>
              </w:rPr>
              <w:t>Respecto al pr</w:t>
            </w:r>
            <w:r w:rsidR="00F76404">
              <w:rPr>
                <w:rFonts w:ascii="Calibri Light" w:hAnsi="Calibri Light"/>
                <w:b w:val="0"/>
              </w:rPr>
              <w:t>oceso</w:t>
            </w:r>
            <w:r w:rsidR="007B5DC7">
              <w:rPr>
                <w:rFonts w:ascii="Calibri Light" w:hAnsi="Calibri Light"/>
                <w:b w:val="0"/>
              </w:rPr>
              <w:t xml:space="preserve"> seguido en el fuer</w:t>
            </w:r>
            <w:r w:rsidR="0014056E">
              <w:rPr>
                <w:rFonts w:ascii="Calibri Light" w:hAnsi="Calibri Light"/>
                <w:b w:val="0"/>
              </w:rPr>
              <w:t>o civil por la demanda presentada por el señor Colindr</w:t>
            </w:r>
            <w:r w:rsidR="0031314A">
              <w:rPr>
                <w:rFonts w:ascii="Calibri Light" w:hAnsi="Calibri Light"/>
                <w:b w:val="0"/>
              </w:rPr>
              <w:t>es, la CIDH resalt</w:t>
            </w:r>
            <w:r w:rsidR="00E9612F">
              <w:rPr>
                <w:rFonts w:ascii="Calibri Light" w:hAnsi="Calibri Light"/>
                <w:b w:val="0"/>
              </w:rPr>
              <w:t>ó</w:t>
            </w:r>
            <w:r w:rsidR="0031314A">
              <w:rPr>
                <w:rFonts w:ascii="Calibri Light" w:hAnsi="Calibri Light"/>
                <w:b w:val="0"/>
              </w:rPr>
              <w:t xml:space="preserve"> que desde la presentación de la demanda </w:t>
            </w:r>
            <w:r w:rsidR="00F76404">
              <w:rPr>
                <w:rFonts w:ascii="Calibri Light" w:hAnsi="Calibri Light"/>
                <w:b w:val="0"/>
              </w:rPr>
              <w:t xml:space="preserve">el 12 de enero de 1999 hasta </w:t>
            </w:r>
            <w:r w:rsidR="0031314A">
              <w:rPr>
                <w:rFonts w:ascii="Calibri Light" w:hAnsi="Calibri Light"/>
                <w:b w:val="0"/>
              </w:rPr>
              <w:t xml:space="preserve">la emisión de la sentencia definitiva, </w:t>
            </w:r>
            <w:r w:rsidR="00F76404">
              <w:rPr>
                <w:rFonts w:ascii="Calibri Light" w:hAnsi="Calibri Light"/>
                <w:b w:val="0"/>
              </w:rPr>
              <w:t>el 22 de diciembre de 2009</w:t>
            </w:r>
            <w:r w:rsidR="0031314A">
              <w:rPr>
                <w:rFonts w:ascii="Calibri Light" w:hAnsi="Calibri Light"/>
                <w:b w:val="0"/>
              </w:rPr>
              <w:t>, pasaron</w:t>
            </w:r>
            <w:r w:rsidR="00F76404">
              <w:rPr>
                <w:rFonts w:ascii="Calibri Light" w:hAnsi="Calibri Light"/>
                <w:bCs w:val="0"/>
              </w:rPr>
              <w:t xml:space="preserve"> </w:t>
            </w:r>
            <w:r w:rsidR="00F76404">
              <w:rPr>
                <w:rFonts w:ascii="Calibri Light" w:hAnsi="Calibri Light"/>
                <w:b w:val="0"/>
                <w:bCs w:val="0"/>
              </w:rPr>
              <w:t>casi 11 años</w:t>
            </w:r>
            <w:r w:rsidR="0031314A">
              <w:rPr>
                <w:rFonts w:ascii="Calibri Light" w:hAnsi="Calibri Light"/>
                <w:b w:val="0"/>
                <w:bCs w:val="0"/>
              </w:rPr>
              <w:t>. Además, a la fecha de emisión del informe aún n</w:t>
            </w:r>
            <w:r w:rsidR="00F76404">
              <w:rPr>
                <w:rFonts w:ascii="Calibri Light" w:hAnsi="Calibri Light"/>
                <w:b w:val="0"/>
                <w:bCs w:val="0"/>
              </w:rPr>
              <w:t>o se ha</w:t>
            </w:r>
            <w:r w:rsidR="0031314A">
              <w:rPr>
                <w:rFonts w:ascii="Calibri Light" w:hAnsi="Calibri Light"/>
                <w:b w:val="0"/>
                <w:bCs w:val="0"/>
              </w:rPr>
              <w:t>bía</w:t>
            </w:r>
            <w:r w:rsidR="00F76404">
              <w:rPr>
                <w:rFonts w:ascii="Calibri Light" w:hAnsi="Calibri Light"/>
                <w:b w:val="0"/>
                <w:bCs w:val="0"/>
              </w:rPr>
              <w:t xml:space="preserve"> dado aún cumplimiento a la reparación ordenada.</w:t>
            </w:r>
            <w:r w:rsidR="00904C9A">
              <w:rPr>
                <w:rFonts w:ascii="Calibri Light" w:hAnsi="Calibri Light"/>
                <w:b w:val="0"/>
                <w:bCs w:val="0"/>
              </w:rPr>
              <w:t xml:space="preserve"> </w:t>
            </w:r>
            <w:r w:rsidR="0031314A">
              <w:rPr>
                <w:rFonts w:ascii="Calibri Light" w:hAnsi="Calibri Light"/>
                <w:b w:val="0"/>
                <w:bCs w:val="0"/>
              </w:rPr>
              <w:t>Para evaluar la razonabilidad del plazo, la CIDH recurr</w:t>
            </w:r>
            <w:r w:rsidR="00E9612F">
              <w:rPr>
                <w:rFonts w:ascii="Calibri Light" w:hAnsi="Calibri Light"/>
                <w:b w:val="0"/>
                <w:bCs w:val="0"/>
              </w:rPr>
              <w:t>ió</w:t>
            </w:r>
            <w:r w:rsidR="00705408">
              <w:rPr>
                <w:rFonts w:ascii="Calibri Light" w:hAnsi="Calibri Light"/>
                <w:b w:val="0"/>
                <w:bCs w:val="0"/>
              </w:rPr>
              <w:t xml:space="preserve"> a tres de</w:t>
            </w:r>
            <w:r w:rsidR="003C04DC">
              <w:rPr>
                <w:rFonts w:ascii="Calibri Light" w:hAnsi="Calibri Light"/>
                <w:b w:val="0"/>
                <w:bCs w:val="0"/>
              </w:rPr>
              <w:t xml:space="preserve"> sus elementos</w:t>
            </w:r>
            <w:r w:rsidR="00A6186C">
              <w:rPr>
                <w:rFonts w:ascii="Calibri Light" w:hAnsi="Calibri Light"/>
                <w:b w:val="0"/>
                <w:bCs w:val="0"/>
              </w:rPr>
              <w:t xml:space="preserve"> para evaluar los hechos del caso</w:t>
            </w:r>
            <w:r w:rsidR="0031314A">
              <w:rPr>
                <w:rFonts w:ascii="Calibri Light" w:hAnsi="Calibri Light"/>
                <w:b w:val="0"/>
                <w:bCs w:val="0"/>
              </w:rPr>
              <w:t>:</w:t>
            </w:r>
            <w:r w:rsidR="00F76404">
              <w:rPr>
                <w:rFonts w:ascii="Calibri Light" w:hAnsi="Calibri Light"/>
                <w:b w:val="0"/>
                <w:bCs w:val="0"/>
              </w:rPr>
              <w:t xml:space="preserve"> i) complejidad del asunto,</w:t>
            </w:r>
            <w:r w:rsidR="003C04DC">
              <w:rPr>
                <w:rFonts w:ascii="Calibri Light" w:hAnsi="Calibri Light"/>
                <w:b w:val="0"/>
                <w:bCs w:val="0"/>
              </w:rPr>
              <w:t xml:space="preserve"> la </w:t>
            </w:r>
            <w:r w:rsidR="00F76404">
              <w:rPr>
                <w:rFonts w:ascii="Calibri Light" w:hAnsi="Calibri Light"/>
                <w:b w:val="0"/>
                <w:bCs w:val="0"/>
              </w:rPr>
              <w:t>ii) conducta de las autoridades judiciales</w:t>
            </w:r>
            <w:r w:rsidR="008B091B">
              <w:rPr>
                <w:rFonts w:ascii="Calibri Light" w:hAnsi="Calibri Light"/>
                <w:b w:val="0"/>
                <w:bCs w:val="0"/>
              </w:rPr>
              <w:t>, y iii) la actividad procesal del interesado</w:t>
            </w:r>
            <w:r w:rsidR="00F76404">
              <w:rPr>
                <w:rFonts w:ascii="Calibri Light" w:hAnsi="Calibri Light"/>
                <w:b w:val="0"/>
                <w:bCs w:val="0"/>
              </w:rPr>
              <w:t>.</w:t>
            </w:r>
            <w:r w:rsidR="0031314A">
              <w:rPr>
                <w:rFonts w:ascii="Calibri Light" w:hAnsi="Calibri Light"/>
                <w:b w:val="0"/>
                <w:bCs w:val="0"/>
              </w:rPr>
              <w:t xml:space="preserve"> </w:t>
            </w:r>
            <w:r w:rsidR="00E9612F">
              <w:rPr>
                <w:rFonts w:ascii="Calibri Light" w:hAnsi="Calibri Light"/>
                <w:b w:val="0"/>
                <w:bCs w:val="0"/>
              </w:rPr>
              <w:t>Al respecto</w:t>
            </w:r>
            <w:r w:rsidR="0031314A">
              <w:rPr>
                <w:rFonts w:ascii="Calibri Light" w:hAnsi="Calibri Light"/>
                <w:b w:val="0"/>
                <w:bCs w:val="0"/>
              </w:rPr>
              <w:t>, consider</w:t>
            </w:r>
            <w:r w:rsidR="00E9612F">
              <w:rPr>
                <w:rFonts w:ascii="Calibri Light" w:hAnsi="Calibri Light"/>
                <w:b w:val="0"/>
                <w:bCs w:val="0"/>
              </w:rPr>
              <w:t>ó</w:t>
            </w:r>
            <w:r w:rsidR="0031314A">
              <w:rPr>
                <w:rFonts w:ascii="Calibri Light" w:hAnsi="Calibri Light"/>
                <w:b w:val="0"/>
                <w:bCs w:val="0"/>
              </w:rPr>
              <w:t xml:space="preserve"> que el Estado no cumplió con brindar elementos que permitieran considerar que la demanda y su resolución revestían una especial complejidad</w:t>
            </w:r>
            <w:r w:rsidR="00904C9A">
              <w:rPr>
                <w:rFonts w:ascii="Calibri Light" w:hAnsi="Calibri Light"/>
                <w:b w:val="0"/>
                <w:bCs w:val="0"/>
              </w:rPr>
              <w:t>, por lo que no se cumpl</w:t>
            </w:r>
            <w:r w:rsidR="003C04DC">
              <w:rPr>
                <w:rFonts w:ascii="Calibri Light" w:hAnsi="Calibri Light"/>
                <w:b w:val="0"/>
                <w:bCs w:val="0"/>
              </w:rPr>
              <w:t>ía el primer elemento. Respecto a la conducta de las autoridades, resaltó la demora en la resolución del recurso de ca</w:t>
            </w:r>
            <w:r w:rsidR="00CF2263">
              <w:rPr>
                <w:rFonts w:ascii="Calibri Light" w:hAnsi="Calibri Light"/>
                <w:b w:val="0"/>
                <w:bCs w:val="0"/>
              </w:rPr>
              <w:t>sación; y en cuanto al tercer elemento, no consideró que del expediente del caso surgi</w:t>
            </w:r>
            <w:r w:rsidR="00904C9A">
              <w:rPr>
                <w:rFonts w:ascii="Calibri Light" w:hAnsi="Calibri Light"/>
                <w:b w:val="0"/>
                <w:bCs w:val="0"/>
              </w:rPr>
              <w:t>era</w:t>
            </w:r>
            <w:r w:rsidR="00CF2263">
              <w:rPr>
                <w:rFonts w:ascii="Calibri Light" w:hAnsi="Calibri Light"/>
                <w:b w:val="0"/>
                <w:bCs w:val="0"/>
              </w:rPr>
              <w:t>n elementos que sustentar</w:t>
            </w:r>
            <w:r w:rsidR="00904C9A">
              <w:rPr>
                <w:rFonts w:ascii="Calibri Light" w:hAnsi="Calibri Light"/>
                <w:b w:val="0"/>
                <w:bCs w:val="0"/>
              </w:rPr>
              <w:t>an</w:t>
            </w:r>
            <w:r w:rsidR="00CF2263">
              <w:rPr>
                <w:rFonts w:ascii="Calibri Light" w:hAnsi="Calibri Light"/>
                <w:b w:val="0"/>
                <w:bCs w:val="0"/>
              </w:rPr>
              <w:t xml:space="preserve"> que el señor Colindres tuvo actitudes que entorpecieran el proceso. </w:t>
            </w:r>
            <w:r w:rsidR="003C04DC">
              <w:rPr>
                <w:rFonts w:ascii="Calibri Light" w:hAnsi="Calibri Light"/>
                <w:b w:val="0"/>
                <w:bCs w:val="0"/>
              </w:rPr>
              <w:t>Por ello, consideró que</w:t>
            </w:r>
            <w:r w:rsidR="00705408">
              <w:rPr>
                <w:rFonts w:ascii="Calibri Light" w:hAnsi="Calibri Light"/>
                <w:b w:val="0"/>
                <w:bCs w:val="0"/>
              </w:rPr>
              <w:t xml:space="preserve"> </w:t>
            </w:r>
            <w:r w:rsidR="00E83AFB">
              <w:rPr>
                <w:rFonts w:ascii="Calibri Light" w:hAnsi="Calibri Light"/>
                <w:b w:val="0"/>
                <w:bCs w:val="0"/>
              </w:rPr>
              <w:t>se configuró una</w:t>
            </w:r>
            <w:r w:rsidR="0031314A">
              <w:rPr>
                <w:rFonts w:ascii="Calibri Light" w:hAnsi="Calibri Light"/>
                <w:b w:val="0"/>
                <w:bCs w:val="0"/>
              </w:rPr>
              <w:t xml:space="preserve"> violación del plazo razonable.</w:t>
            </w:r>
          </w:p>
          <w:p w14:paraId="097E1CE1" w14:textId="77777777" w:rsidR="00F76404" w:rsidRDefault="00F76404" w:rsidP="00ED44CC">
            <w:pPr>
              <w:spacing w:after="0" w:line="240" w:lineRule="auto"/>
              <w:jc w:val="both"/>
              <w:rPr>
                <w:rFonts w:ascii="Calibri Light" w:hAnsi="Calibri Light"/>
                <w:b w:val="0"/>
                <w:bCs w:val="0"/>
              </w:rPr>
            </w:pPr>
          </w:p>
          <w:p w14:paraId="779E6451" w14:textId="6742D81A" w:rsidR="00F76404" w:rsidRDefault="0031314A" w:rsidP="00ED44CC">
            <w:pPr>
              <w:spacing w:after="0" w:line="240" w:lineRule="auto"/>
              <w:jc w:val="both"/>
              <w:rPr>
                <w:rFonts w:ascii="Calibri Light" w:hAnsi="Calibri Light"/>
                <w:b w:val="0"/>
              </w:rPr>
            </w:pPr>
            <w:r>
              <w:rPr>
                <w:rFonts w:ascii="Calibri Light" w:hAnsi="Calibri Light"/>
                <w:b w:val="0"/>
                <w:bCs w:val="0"/>
              </w:rPr>
              <w:t xml:space="preserve">Por otro lado, respecto a la falta de ejecución de la sentencia que ordenaba el pago a su favor, se recuerda que </w:t>
            </w:r>
            <w:r w:rsidR="009C6B17">
              <w:rPr>
                <w:rFonts w:ascii="Calibri Light" w:hAnsi="Calibri Light"/>
                <w:b w:val="0"/>
                <w:bCs w:val="0"/>
              </w:rPr>
              <w:t>uno de los componentes de la protección judicial es la garantía de los medios para ejecutar las decisiones y sentencias definitivas. De no ser así, el Poder Judicial solo existiría formalmente. En este caso, la falta de ejecución de lo dictado en la sentencia constituyó una violación del derecho a la protección judicial.</w:t>
            </w:r>
            <w:r w:rsidR="00904C9A">
              <w:rPr>
                <w:rFonts w:ascii="Calibri Light" w:hAnsi="Calibri Light"/>
                <w:b w:val="0"/>
                <w:bCs w:val="0"/>
              </w:rPr>
              <w:t xml:space="preserve"> </w:t>
            </w:r>
            <w:r w:rsidR="00904C9A">
              <w:rPr>
                <w:rFonts w:ascii="Calibri Light" w:hAnsi="Calibri Light"/>
                <w:b w:val="0"/>
              </w:rPr>
              <w:t>En base a estas consideraciones, la CIDH declaró</w:t>
            </w:r>
            <w:r w:rsidR="009C6B17">
              <w:rPr>
                <w:rFonts w:ascii="Calibri Light" w:hAnsi="Calibri Light"/>
                <w:b w:val="0"/>
              </w:rPr>
              <w:t xml:space="preserve"> la violación por parte del Estado de El Salvador de los artículos 8.1 y 25.2.c) de la CADH, en relación con el artículo 1.1, </w:t>
            </w:r>
            <w:r w:rsidR="0026162C">
              <w:rPr>
                <w:rFonts w:ascii="Calibri Light" w:hAnsi="Calibri Light"/>
                <w:b w:val="0"/>
              </w:rPr>
              <w:t>en perjuicio del señor Colindres.</w:t>
            </w:r>
          </w:p>
          <w:p w14:paraId="127B5ED4" w14:textId="77777777" w:rsidR="00F76404" w:rsidRDefault="00F76404" w:rsidP="00ED44CC">
            <w:pPr>
              <w:spacing w:after="0" w:line="240" w:lineRule="auto"/>
              <w:jc w:val="both"/>
              <w:rPr>
                <w:rFonts w:ascii="Calibri Light" w:hAnsi="Calibri Light"/>
                <w:b w:val="0"/>
              </w:rPr>
            </w:pPr>
          </w:p>
          <w:p w14:paraId="21F1B7F8" w14:textId="77777777" w:rsidR="00F76404" w:rsidRPr="0093788E" w:rsidRDefault="00F76404" w:rsidP="0093788E">
            <w:pPr>
              <w:spacing w:after="0" w:line="240" w:lineRule="auto"/>
              <w:jc w:val="both"/>
              <w:rPr>
                <w:rFonts w:ascii="Calibri Light" w:hAnsi="Calibri Light"/>
              </w:rPr>
            </w:pPr>
            <w:r w:rsidRPr="0093788E">
              <w:rPr>
                <w:rFonts w:ascii="Calibri Light" w:hAnsi="Calibri Light"/>
              </w:rPr>
              <w:t>Derecho al acceso a la función pública</w:t>
            </w:r>
          </w:p>
          <w:p w14:paraId="512B6D79" w14:textId="77777777" w:rsidR="00F76404" w:rsidRDefault="00F76404" w:rsidP="00F76404">
            <w:pPr>
              <w:spacing w:after="0" w:line="240" w:lineRule="auto"/>
              <w:jc w:val="both"/>
              <w:rPr>
                <w:rFonts w:ascii="Calibri Light" w:hAnsi="Calibri Light"/>
              </w:rPr>
            </w:pPr>
          </w:p>
          <w:p w14:paraId="0A13A6A2" w14:textId="77C3B129" w:rsidR="00A22328" w:rsidRPr="00732089" w:rsidRDefault="00A25284" w:rsidP="00ED44CC">
            <w:pPr>
              <w:spacing w:after="0" w:line="240" w:lineRule="auto"/>
              <w:jc w:val="both"/>
              <w:rPr>
                <w:rFonts w:ascii="Calibri Light" w:hAnsi="Calibri Light"/>
                <w:b w:val="0"/>
              </w:rPr>
            </w:pPr>
            <w:r>
              <w:rPr>
                <w:rFonts w:ascii="Calibri Light" w:hAnsi="Calibri Light"/>
                <w:b w:val="0"/>
              </w:rPr>
              <w:lastRenderedPageBreak/>
              <w:t xml:space="preserve">Cuando se </w:t>
            </w:r>
            <w:r w:rsidR="00A676B1">
              <w:rPr>
                <w:rFonts w:ascii="Calibri Light" w:hAnsi="Calibri Light"/>
                <w:b w:val="0"/>
              </w:rPr>
              <w:t>afecta en forma arbitraria la permanencia de los jueces y juezas en su cargo, se vulnera el derecho a la independencia judicial consagrado en el artículo 8.1 de la CADH, en conjunción con el derecho de acceso y permanencia en condiciones generales de igual</w:t>
            </w:r>
            <w:r w:rsidR="00000BE0">
              <w:rPr>
                <w:rFonts w:ascii="Calibri Light" w:hAnsi="Calibri Light"/>
                <w:b w:val="0"/>
              </w:rPr>
              <w:t>dad en</w:t>
            </w:r>
            <w:r w:rsidR="00A676B1">
              <w:rPr>
                <w:rFonts w:ascii="Calibri Light" w:hAnsi="Calibri Light"/>
                <w:b w:val="0"/>
              </w:rPr>
              <w:t xml:space="preserve"> un cargo público</w:t>
            </w:r>
            <w:r w:rsidR="00FB660D">
              <w:rPr>
                <w:rFonts w:ascii="Calibri Light" w:hAnsi="Calibri Light"/>
                <w:b w:val="0"/>
              </w:rPr>
              <w:t xml:space="preserve"> del</w:t>
            </w:r>
            <w:r w:rsidR="00A676B1">
              <w:rPr>
                <w:rFonts w:ascii="Calibri Light" w:hAnsi="Calibri Light"/>
                <w:b w:val="0"/>
              </w:rPr>
              <w:t xml:space="preserve"> art. 23.1.c)</w:t>
            </w:r>
            <w:r w:rsidR="00FB660D">
              <w:rPr>
                <w:rFonts w:ascii="Calibri Light" w:hAnsi="Calibri Light"/>
                <w:b w:val="0"/>
              </w:rPr>
              <w:t>. En este caso, l</w:t>
            </w:r>
            <w:r w:rsidR="00A676B1">
              <w:rPr>
                <w:rFonts w:ascii="Calibri Light" w:hAnsi="Calibri Light"/>
                <w:b w:val="0"/>
              </w:rPr>
              <w:t>a separación del cargo como magistrado del TSE del señor Colindres se dio en un proceso arbitrario, con violaciones a</w:t>
            </w:r>
            <w:r w:rsidR="00FB660D">
              <w:rPr>
                <w:rFonts w:ascii="Calibri Light" w:hAnsi="Calibri Light"/>
                <w:b w:val="0"/>
              </w:rPr>
              <w:t>l</w:t>
            </w:r>
            <w:r w:rsidR="00A676B1">
              <w:rPr>
                <w:rFonts w:ascii="Calibri Light" w:hAnsi="Calibri Light"/>
                <w:b w:val="0"/>
              </w:rPr>
              <w:t xml:space="preserve"> debido proceso y principio de legalidad, por lo que</w:t>
            </w:r>
            <w:r w:rsidR="00FB660D">
              <w:rPr>
                <w:rFonts w:ascii="Calibri Light" w:hAnsi="Calibri Light"/>
                <w:b w:val="0"/>
              </w:rPr>
              <w:t xml:space="preserve"> la CIDH </w:t>
            </w:r>
            <w:r w:rsidR="00904C9A">
              <w:rPr>
                <w:rFonts w:ascii="Calibri Light" w:hAnsi="Calibri Light"/>
                <w:b w:val="0"/>
              </w:rPr>
              <w:t>consideró</w:t>
            </w:r>
            <w:r w:rsidR="00FB660D">
              <w:rPr>
                <w:rFonts w:ascii="Calibri Light" w:hAnsi="Calibri Light"/>
                <w:b w:val="0"/>
              </w:rPr>
              <w:t xml:space="preserve"> que</w:t>
            </w:r>
            <w:r w:rsidR="00A676B1">
              <w:rPr>
                <w:rFonts w:ascii="Calibri Light" w:hAnsi="Calibri Light"/>
                <w:b w:val="0"/>
              </w:rPr>
              <w:t xml:space="preserve"> </w:t>
            </w:r>
            <w:r w:rsidR="00904C9A">
              <w:rPr>
                <w:rFonts w:ascii="Calibri Light" w:hAnsi="Calibri Light"/>
                <w:b w:val="0"/>
              </w:rPr>
              <w:t>el Estado</w:t>
            </w:r>
            <w:r w:rsidR="00A676B1">
              <w:rPr>
                <w:rFonts w:ascii="Calibri Light" w:hAnsi="Calibri Light"/>
                <w:b w:val="0"/>
              </w:rPr>
              <w:t xml:space="preserve"> violó el artículo 23.1.c) de la CADH</w:t>
            </w:r>
            <w:r w:rsidR="00FB660D">
              <w:rPr>
                <w:rFonts w:ascii="Calibri Light" w:hAnsi="Calibri Light"/>
                <w:b w:val="0"/>
              </w:rPr>
              <w:t>,</w:t>
            </w:r>
            <w:r w:rsidR="00A676B1">
              <w:rPr>
                <w:rFonts w:ascii="Calibri Light" w:hAnsi="Calibri Light"/>
                <w:b w:val="0"/>
              </w:rPr>
              <w:t xml:space="preserve"> en relación con el artícul</w:t>
            </w:r>
            <w:r w:rsidR="00984456">
              <w:rPr>
                <w:rFonts w:ascii="Calibri Light" w:hAnsi="Calibri Light"/>
                <w:b w:val="0"/>
              </w:rPr>
              <w:t>o 1.1</w:t>
            </w:r>
            <w:r w:rsidR="00FB660D">
              <w:rPr>
                <w:rFonts w:ascii="Calibri Light" w:hAnsi="Calibri Light"/>
                <w:b w:val="0"/>
              </w:rPr>
              <w:t>.</w:t>
            </w:r>
          </w:p>
          <w:p w14:paraId="2EEC4901" w14:textId="77777777" w:rsidR="00ED44CC" w:rsidRPr="00ED44CC" w:rsidRDefault="00ED44CC" w:rsidP="00634CC9">
            <w:pPr>
              <w:spacing w:after="0" w:line="240" w:lineRule="auto"/>
              <w:jc w:val="both"/>
              <w:rPr>
                <w:rFonts w:ascii="Calibri Light" w:hAnsi="Calibri Light"/>
                <w:b w:val="0"/>
              </w:rPr>
            </w:pPr>
          </w:p>
        </w:tc>
      </w:tr>
      <w:tr w:rsidR="00FF6887" w14:paraId="5BE8F4ED" w14:textId="77777777" w:rsidTr="00FF688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19E513D8" w14:textId="77777777" w:rsidR="003A108E" w:rsidRDefault="003A108E" w:rsidP="003A108E">
            <w:pPr>
              <w:pStyle w:val="ListParagraph"/>
              <w:spacing w:after="0" w:line="240" w:lineRule="auto"/>
              <w:rPr>
                <w:rFonts w:ascii="Calibri Light" w:hAnsi="Calibri Light"/>
              </w:rPr>
            </w:pPr>
          </w:p>
          <w:p w14:paraId="04371712" w14:textId="392B038A" w:rsidR="00FF6887" w:rsidRDefault="003A108E" w:rsidP="00D72291">
            <w:pPr>
              <w:pStyle w:val="ListParagraph"/>
              <w:numPr>
                <w:ilvl w:val="0"/>
                <w:numId w:val="1"/>
              </w:numPr>
              <w:spacing w:after="0" w:line="240" w:lineRule="auto"/>
              <w:jc w:val="center"/>
              <w:rPr>
                <w:rFonts w:ascii="Calibri Light" w:hAnsi="Calibri Light"/>
              </w:rPr>
            </w:pPr>
            <w:r>
              <w:rPr>
                <w:rFonts w:ascii="Calibri Light" w:hAnsi="Calibri Light"/>
              </w:rPr>
              <w:t>Recomendaciones</w:t>
            </w:r>
            <w:r w:rsidR="009520F9">
              <w:rPr>
                <w:rFonts w:ascii="Calibri Light" w:hAnsi="Calibri Light"/>
              </w:rPr>
              <w:t xml:space="preserve"> de la CIDH al Estado</w:t>
            </w:r>
          </w:p>
          <w:p w14:paraId="507CB999" w14:textId="77777777" w:rsidR="00FF6887" w:rsidRDefault="00FF6887">
            <w:pPr>
              <w:pStyle w:val="ListParagraph"/>
              <w:spacing w:after="0" w:line="240" w:lineRule="auto"/>
              <w:rPr>
                <w:rFonts w:ascii="Calibri Light" w:hAnsi="Calibri Light"/>
              </w:rPr>
            </w:pPr>
          </w:p>
        </w:tc>
      </w:tr>
      <w:tr w:rsidR="00FF6887" w14:paraId="251B30C5" w14:textId="77777777" w:rsidTr="00FF68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7A23356E" w14:textId="77777777" w:rsidR="00CD7BF4" w:rsidRDefault="00CD7BF4" w:rsidP="00FF6887">
            <w:pPr>
              <w:pStyle w:val="ListParagraph"/>
              <w:spacing w:after="0" w:line="240" w:lineRule="auto"/>
              <w:ind w:left="0"/>
              <w:jc w:val="both"/>
              <w:rPr>
                <w:rFonts w:ascii="Calibri Light" w:hAnsi="Calibri Light"/>
                <w:b w:val="0"/>
              </w:rPr>
            </w:pPr>
          </w:p>
          <w:p w14:paraId="33C5B5F9" w14:textId="77777777" w:rsidR="00CD7BF4" w:rsidRPr="00904C9A" w:rsidRDefault="00CD7BF4" w:rsidP="00CD7BF4">
            <w:pPr>
              <w:pStyle w:val="ListParagraph"/>
              <w:numPr>
                <w:ilvl w:val="0"/>
                <w:numId w:val="7"/>
              </w:numPr>
              <w:spacing w:after="0" w:line="240" w:lineRule="auto"/>
              <w:jc w:val="both"/>
              <w:rPr>
                <w:rFonts w:ascii="Calibri Light" w:hAnsi="Calibri Light"/>
              </w:rPr>
            </w:pPr>
            <w:r>
              <w:rPr>
                <w:rFonts w:ascii="Calibri Light" w:hAnsi="Calibri Light"/>
                <w:b w:val="0"/>
              </w:rPr>
              <w:t>Reincorporar al señor Colindres en un cargo similar al que se desempeñaba, con las mismas características remunerativas, de beneficios y rango a los que les corresponderían el día de hoy si no hubiera sido destituido, o, en su defecto, pagar una indemnización alternativa.</w:t>
            </w:r>
          </w:p>
          <w:p w14:paraId="4FCEBBD6" w14:textId="77777777" w:rsidR="00904C9A" w:rsidRPr="00CD7BF4" w:rsidRDefault="00904C9A" w:rsidP="00904C9A">
            <w:pPr>
              <w:pStyle w:val="ListParagraph"/>
              <w:spacing w:after="0" w:line="240" w:lineRule="auto"/>
              <w:jc w:val="both"/>
              <w:rPr>
                <w:rFonts w:ascii="Calibri Light" w:hAnsi="Calibri Light"/>
              </w:rPr>
            </w:pPr>
          </w:p>
          <w:p w14:paraId="42E2D26C" w14:textId="77777777" w:rsidR="00CD7BF4" w:rsidRPr="00904C9A" w:rsidRDefault="00CD7BF4" w:rsidP="00CD7BF4">
            <w:pPr>
              <w:pStyle w:val="ListParagraph"/>
              <w:numPr>
                <w:ilvl w:val="0"/>
                <w:numId w:val="7"/>
              </w:numPr>
              <w:spacing w:after="0" w:line="240" w:lineRule="auto"/>
              <w:jc w:val="both"/>
              <w:rPr>
                <w:rFonts w:ascii="Calibri Light" w:hAnsi="Calibri Light"/>
              </w:rPr>
            </w:pPr>
            <w:r>
              <w:rPr>
                <w:rFonts w:ascii="Calibri Light" w:hAnsi="Calibri Light"/>
                <w:b w:val="0"/>
              </w:rPr>
              <w:t>Reparar las violaciones de</w:t>
            </w:r>
            <w:r w:rsidR="00AA2CAF">
              <w:rPr>
                <w:rFonts w:ascii="Calibri Light" w:hAnsi="Calibri Light"/>
                <w:b w:val="0"/>
              </w:rPr>
              <w:t>claradas en el informe de fondo respecto al señor Colindres.</w:t>
            </w:r>
          </w:p>
          <w:p w14:paraId="4908D530" w14:textId="77777777" w:rsidR="00904C9A" w:rsidRPr="00904C9A" w:rsidRDefault="00904C9A" w:rsidP="00904C9A">
            <w:pPr>
              <w:spacing w:after="0" w:line="240" w:lineRule="auto"/>
              <w:jc w:val="both"/>
              <w:rPr>
                <w:rFonts w:ascii="Calibri Light" w:hAnsi="Calibri Light"/>
              </w:rPr>
            </w:pPr>
          </w:p>
          <w:p w14:paraId="12AF3F38" w14:textId="77777777" w:rsidR="00CD7BF4" w:rsidRPr="004302C1" w:rsidRDefault="00CD7BF4" w:rsidP="00CD7BF4">
            <w:pPr>
              <w:pStyle w:val="ListParagraph"/>
              <w:numPr>
                <w:ilvl w:val="0"/>
                <w:numId w:val="7"/>
              </w:numPr>
              <w:spacing w:after="0" w:line="240" w:lineRule="auto"/>
              <w:jc w:val="both"/>
              <w:rPr>
                <w:rFonts w:ascii="Calibri Light" w:hAnsi="Calibri Light"/>
              </w:rPr>
            </w:pPr>
            <w:r>
              <w:rPr>
                <w:rFonts w:ascii="Calibri Light" w:hAnsi="Calibri Light"/>
                <w:b w:val="0"/>
              </w:rPr>
              <w:t xml:space="preserve">Disponer las modificaciones normativas y las capacitaciones necesarias para asegurar la no repetición </w:t>
            </w:r>
            <w:r w:rsidR="00AA2CAF">
              <w:rPr>
                <w:rFonts w:ascii="Calibri Light" w:hAnsi="Calibri Light"/>
                <w:b w:val="0"/>
              </w:rPr>
              <w:t>de las violaciones a derechos humanos declaradas en el informe de fondo respecto al señor Colindres.</w:t>
            </w:r>
          </w:p>
          <w:p w14:paraId="681913D8" w14:textId="77777777" w:rsidR="004302C1" w:rsidRPr="00CD7BF4" w:rsidRDefault="004302C1" w:rsidP="004302C1">
            <w:pPr>
              <w:pStyle w:val="ListParagraph"/>
              <w:spacing w:after="0" w:line="240" w:lineRule="auto"/>
              <w:jc w:val="both"/>
              <w:rPr>
                <w:rFonts w:ascii="Calibri Light" w:hAnsi="Calibri Light"/>
              </w:rPr>
            </w:pPr>
          </w:p>
        </w:tc>
      </w:tr>
      <w:tr w:rsidR="00FF6887" w14:paraId="56D5AC2B" w14:textId="77777777" w:rsidTr="00FF688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1F2AAD3E" w14:textId="77777777" w:rsidR="00FF6887" w:rsidRDefault="00FF6887">
            <w:pPr>
              <w:pStyle w:val="ListParagraph"/>
              <w:rPr>
                <w:rFonts w:ascii="Calibri Light" w:hAnsi="Calibri Light"/>
              </w:rPr>
            </w:pPr>
          </w:p>
          <w:p w14:paraId="4344D56D" w14:textId="77777777" w:rsidR="00FF6887" w:rsidRDefault="00FF6887" w:rsidP="00D72291">
            <w:pPr>
              <w:pStyle w:val="ListParagraph"/>
              <w:numPr>
                <w:ilvl w:val="0"/>
                <w:numId w:val="1"/>
              </w:numPr>
              <w:jc w:val="center"/>
              <w:rPr>
                <w:rFonts w:ascii="Calibri Light" w:hAnsi="Calibri Light"/>
              </w:rPr>
            </w:pPr>
            <w:r>
              <w:rPr>
                <w:rFonts w:ascii="Calibri Light" w:hAnsi="Calibri Light"/>
              </w:rPr>
              <w:t>Análisis de cumplimiento de las recomendaciones</w:t>
            </w:r>
          </w:p>
          <w:p w14:paraId="42BC8F63" w14:textId="77777777" w:rsidR="00FF6887" w:rsidRDefault="00FF6887">
            <w:pPr>
              <w:pStyle w:val="ListParagraph"/>
              <w:spacing w:after="0" w:line="240" w:lineRule="auto"/>
              <w:ind w:left="0"/>
              <w:jc w:val="center"/>
              <w:rPr>
                <w:rFonts w:ascii="Calibri Light" w:hAnsi="Calibri Light"/>
                <w:b w:val="0"/>
              </w:rPr>
            </w:pPr>
          </w:p>
        </w:tc>
      </w:tr>
      <w:tr w:rsidR="00FF6887" w14:paraId="46884400" w14:textId="77777777" w:rsidTr="00FF68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Borders>
              <w:top w:val="single" w:sz="4" w:space="0" w:color="9CC2E5" w:themeColor="accent1" w:themeTint="99"/>
              <w:left w:val="nil"/>
              <w:bottom w:val="single" w:sz="4" w:space="0" w:color="9CC2E5" w:themeColor="accent1" w:themeTint="99"/>
              <w:right w:val="nil"/>
            </w:tcBorders>
          </w:tcPr>
          <w:p w14:paraId="5E3ADA57" w14:textId="77777777" w:rsidR="00FF6887" w:rsidRDefault="00FF6887">
            <w:pPr>
              <w:pStyle w:val="ListParagraph"/>
              <w:spacing w:after="0" w:line="240" w:lineRule="auto"/>
              <w:ind w:left="0"/>
              <w:jc w:val="center"/>
              <w:rPr>
                <w:rFonts w:ascii="Calibri Light" w:hAnsi="Calibri Light"/>
                <w:b w:val="0"/>
              </w:rPr>
            </w:pPr>
          </w:p>
          <w:p w14:paraId="12D72AF4" w14:textId="77777777" w:rsidR="00FF6887" w:rsidRDefault="00FF6887">
            <w:pPr>
              <w:pStyle w:val="ListParagraph"/>
              <w:spacing w:after="0" w:line="240" w:lineRule="auto"/>
              <w:ind w:left="0"/>
              <w:jc w:val="center"/>
              <w:rPr>
                <w:rFonts w:ascii="Calibri Light" w:hAnsi="Calibri Light"/>
                <w:b w:val="0"/>
              </w:rPr>
            </w:pPr>
            <w:r>
              <w:rPr>
                <w:rFonts w:ascii="Calibri Light" w:hAnsi="Calibri Light"/>
                <w:b w:val="0"/>
              </w:rPr>
              <w:t>-</w:t>
            </w:r>
          </w:p>
          <w:p w14:paraId="639782F8" w14:textId="77777777" w:rsidR="00FF6887" w:rsidRDefault="00FF6887">
            <w:pPr>
              <w:pStyle w:val="ListParagraph"/>
              <w:spacing w:after="0" w:line="240" w:lineRule="auto"/>
              <w:ind w:left="0"/>
              <w:jc w:val="center"/>
              <w:rPr>
                <w:rFonts w:ascii="Calibri Light" w:hAnsi="Calibri Light"/>
                <w:b w:val="0"/>
              </w:rPr>
            </w:pPr>
          </w:p>
        </w:tc>
      </w:tr>
    </w:tbl>
    <w:p w14:paraId="74A5A105" w14:textId="77777777" w:rsidR="00FF6887" w:rsidRDefault="00FF6887" w:rsidP="00FF6887"/>
    <w:p w14:paraId="111F21AC" w14:textId="77777777" w:rsidR="00C94352" w:rsidRDefault="00C94352"/>
    <w:sectPr w:rsidR="00C94352">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A49DE" w14:textId="77777777" w:rsidR="00321BA4" w:rsidRDefault="00321BA4" w:rsidP="002625BC">
      <w:pPr>
        <w:spacing w:after="0" w:line="240" w:lineRule="auto"/>
      </w:pPr>
      <w:r>
        <w:separator/>
      </w:r>
    </w:p>
  </w:endnote>
  <w:endnote w:type="continuationSeparator" w:id="0">
    <w:p w14:paraId="6BCFB8E8" w14:textId="77777777" w:rsidR="00321BA4" w:rsidRDefault="00321BA4" w:rsidP="0026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875737406"/>
      <w:docPartObj>
        <w:docPartGallery w:val="Page Numbers (Bottom of Page)"/>
        <w:docPartUnique/>
      </w:docPartObj>
    </w:sdtPr>
    <w:sdtEndPr/>
    <w:sdtContent>
      <w:p w14:paraId="55241FA6" w14:textId="354F1560" w:rsidR="002625BC" w:rsidRPr="002625BC" w:rsidRDefault="002625BC">
        <w:pPr>
          <w:pStyle w:val="Footer"/>
          <w:jc w:val="right"/>
          <w:rPr>
            <w:rFonts w:asciiTheme="majorHAnsi" w:hAnsiTheme="majorHAnsi"/>
          </w:rPr>
        </w:pPr>
        <w:r w:rsidRPr="002625BC">
          <w:rPr>
            <w:rFonts w:asciiTheme="majorHAnsi" w:hAnsiTheme="majorHAnsi"/>
          </w:rPr>
          <w:fldChar w:fldCharType="begin"/>
        </w:r>
        <w:r w:rsidRPr="002625BC">
          <w:rPr>
            <w:rFonts w:asciiTheme="majorHAnsi" w:hAnsiTheme="majorHAnsi"/>
          </w:rPr>
          <w:instrText>PAGE   \* MERGEFORMAT</w:instrText>
        </w:r>
        <w:r w:rsidRPr="002625BC">
          <w:rPr>
            <w:rFonts w:asciiTheme="majorHAnsi" w:hAnsiTheme="majorHAnsi"/>
          </w:rPr>
          <w:fldChar w:fldCharType="separate"/>
        </w:r>
        <w:r w:rsidR="00C751C6" w:rsidRPr="00C751C6">
          <w:rPr>
            <w:rFonts w:asciiTheme="majorHAnsi" w:hAnsiTheme="majorHAnsi"/>
            <w:noProof/>
            <w:lang w:val="es-ES"/>
          </w:rPr>
          <w:t>6</w:t>
        </w:r>
        <w:r w:rsidRPr="002625BC">
          <w:rPr>
            <w:rFonts w:asciiTheme="majorHAnsi" w:hAnsiTheme="majorHAnsi"/>
          </w:rPr>
          <w:fldChar w:fldCharType="end"/>
        </w:r>
      </w:p>
    </w:sdtContent>
  </w:sdt>
  <w:p w14:paraId="606BF33A" w14:textId="77777777" w:rsidR="002625BC" w:rsidRPr="002625BC" w:rsidRDefault="002625BC">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EBCF" w14:textId="77777777" w:rsidR="00321BA4" w:rsidRDefault="00321BA4" w:rsidP="002625BC">
      <w:pPr>
        <w:spacing w:after="0" w:line="240" w:lineRule="auto"/>
      </w:pPr>
      <w:r>
        <w:separator/>
      </w:r>
    </w:p>
  </w:footnote>
  <w:footnote w:type="continuationSeparator" w:id="0">
    <w:p w14:paraId="7E8F4F6E" w14:textId="77777777" w:rsidR="00321BA4" w:rsidRDefault="00321BA4" w:rsidP="0026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AED"/>
    <w:multiLevelType w:val="hybridMultilevel"/>
    <w:tmpl w:val="4E64E2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EB50DC4A"/>
    <w:lvl w:ilvl="0" w:tplc="ABEC1556">
      <w:start w:val="1"/>
      <w:numFmt w:val="decimal"/>
      <w:lvlText w:val="%1."/>
      <w:lvlJc w:val="left"/>
      <w:pPr>
        <w:ind w:left="360" w:hanging="360"/>
      </w:pPr>
      <w:rPr>
        <w:rFonts w:ascii="Calibri Light" w:hAnsi="Calibri Light"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405A010C"/>
    <w:multiLevelType w:val="hybridMultilevel"/>
    <w:tmpl w:val="CA92DD6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 w15:restartNumberingAfterBreak="0">
    <w:nsid w:val="50D3665C"/>
    <w:multiLevelType w:val="hybridMultilevel"/>
    <w:tmpl w:val="376ED0BC"/>
    <w:lvl w:ilvl="0" w:tplc="280A001B">
      <w:start w:val="1"/>
      <w:numFmt w:val="lowerRoman"/>
      <w:lvlText w:val="%1."/>
      <w:lvlJc w:val="right"/>
      <w:pPr>
        <w:ind w:left="862" w:hanging="72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5" w15:restartNumberingAfterBreak="0">
    <w:nsid w:val="571752D1"/>
    <w:multiLevelType w:val="hybridMultilevel"/>
    <w:tmpl w:val="FD9AC7D2"/>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73FE18A1"/>
    <w:multiLevelType w:val="hybridMultilevel"/>
    <w:tmpl w:val="91C84EF2"/>
    <w:lvl w:ilvl="0" w:tplc="B596B440">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2"/>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887"/>
    <w:rsid w:val="00000BE0"/>
    <w:rsid w:val="00002A4B"/>
    <w:rsid w:val="0000782C"/>
    <w:rsid w:val="0001301C"/>
    <w:rsid w:val="00031B48"/>
    <w:rsid w:val="00034C5C"/>
    <w:rsid w:val="00035058"/>
    <w:rsid w:val="00035227"/>
    <w:rsid w:val="00051F24"/>
    <w:rsid w:val="0005368C"/>
    <w:rsid w:val="00056644"/>
    <w:rsid w:val="00057B34"/>
    <w:rsid w:val="000658CB"/>
    <w:rsid w:val="00066826"/>
    <w:rsid w:val="00066CB7"/>
    <w:rsid w:val="000909F1"/>
    <w:rsid w:val="000A1490"/>
    <w:rsid w:val="000B3762"/>
    <w:rsid w:val="000B55BC"/>
    <w:rsid w:val="000B6079"/>
    <w:rsid w:val="000B63B6"/>
    <w:rsid w:val="000C29C2"/>
    <w:rsid w:val="00101195"/>
    <w:rsid w:val="00103C14"/>
    <w:rsid w:val="00116722"/>
    <w:rsid w:val="001175AD"/>
    <w:rsid w:val="00122D75"/>
    <w:rsid w:val="001233B3"/>
    <w:rsid w:val="0014056E"/>
    <w:rsid w:val="001407A0"/>
    <w:rsid w:val="00146182"/>
    <w:rsid w:val="00182E5E"/>
    <w:rsid w:val="00187C74"/>
    <w:rsid w:val="00192E71"/>
    <w:rsid w:val="001935FA"/>
    <w:rsid w:val="001A0E7B"/>
    <w:rsid w:val="001A410E"/>
    <w:rsid w:val="001B5D4F"/>
    <w:rsid w:val="001C204D"/>
    <w:rsid w:val="001C3364"/>
    <w:rsid w:val="001C3EFE"/>
    <w:rsid w:val="001D635C"/>
    <w:rsid w:val="00204FD0"/>
    <w:rsid w:val="00212E42"/>
    <w:rsid w:val="002256C7"/>
    <w:rsid w:val="0022676C"/>
    <w:rsid w:val="00226C5B"/>
    <w:rsid w:val="00226F2A"/>
    <w:rsid w:val="0024660C"/>
    <w:rsid w:val="002470AA"/>
    <w:rsid w:val="0025125D"/>
    <w:rsid w:val="002563F4"/>
    <w:rsid w:val="0025741D"/>
    <w:rsid w:val="00257553"/>
    <w:rsid w:val="0026162C"/>
    <w:rsid w:val="002625BC"/>
    <w:rsid w:val="00267AAC"/>
    <w:rsid w:val="00272592"/>
    <w:rsid w:val="00273B69"/>
    <w:rsid w:val="0028291E"/>
    <w:rsid w:val="00285082"/>
    <w:rsid w:val="00287F59"/>
    <w:rsid w:val="00291B1D"/>
    <w:rsid w:val="002A4815"/>
    <w:rsid w:val="002A6C27"/>
    <w:rsid w:val="002B6494"/>
    <w:rsid w:val="002D5D6F"/>
    <w:rsid w:val="002E3B44"/>
    <w:rsid w:val="002E7E75"/>
    <w:rsid w:val="002F264C"/>
    <w:rsid w:val="00301897"/>
    <w:rsid w:val="0031314A"/>
    <w:rsid w:val="00313F25"/>
    <w:rsid w:val="00315C3E"/>
    <w:rsid w:val="00321BA4"/>
    <w:rsid w:val="003271E4"/>
    <w:rsid w:val="00341147"/>
    <w:rsid w:val="00342100"/>
    <w:rsid w:val="00351768"/>
    <w:rsid w:val="00351989"/>
    <w:rsid w:val="00352B21"/>
    <w:rsid w:val="00357E7C"/>
    <w:rsid w:val="00383EA4"/>
    <w:rsid w:val="003A108E"/>
    <w:rsid w:val="003B07F7"/>
    <w:rsid w:val="003B0ED6"/>
    <w:rsid w:val="003B49FF"/>
    <w:rsid w:val="003B4C7E"/>
    <w:rsid w:val="003B51BD"/>
    <w:rsid w:val="003B538C"/>
    <w:rsid w:val="003B54E4"/>
    <w:rsid w:val="003C04DC"/>
    <w:rsid w:val="003E00E5"/>
    <w:rsid w:val="00402BBD"/>
    <w:rsid w:val="004036FF"/>
    <w:rsid w:val="004127D7"/>
    <w:rsid w:val="004158F1"/>
    <w:rsid w:val="0042419B"/>
    <w:rsid w:val="004302C1"/>
    <w:rsid w:val="004310F5"/>
    <w:rsid w:val="00443E6B"/>
    <w:rsid w:val="004759B4"/>
    <w:rsid w:val="00476C8E"/>
    <w:rsid w:val="004835AE"/>
    <w:rsid w:val="00484E56"/>
    <w:rsid w:val="00493EBC"/>
    <w:rsid w:val="004A6F11"/>
    <w:rsid w:val="004B07BC"/>
    <w:rsid w:val="004B7852"/>
    <w:rsid w:val="004C0377"/>
    <w:rsid w:val="004D06EE"/>
    <w:rsid w:val="004D3B38"/>
    <w:rsid w:val="004D6419"/>
    <w:rsid w:val="004D6B75"/>
    <w:rsid w:val="005023E0"/>
    <w:rsid w:val="00534274"/>
    <w:rsid w:val="0055501A"/>
    <w:rsid w:val="00556AEC"/>
    <w:rsid w:val="00564ABE"/>
    <w:rsid w:val="00567C6D"/>
    <w:rsid w:val="005729D0"/>
    <w:rsid w:val="005831EC"/>
    <w:rsid w:val="00584DE4"/>
    <w:rsid w:val="005B7370"/>
    <w:rsid w:val="005C02A6"/>
    <w:rsid w:val="005C52E7"/>
    <w:rsid w:val="005D6879"/>
    <w:rsid w:val="005E228D"/>
    <w:rsid w:val="005F0671"/>
    <w:rsid w:val="00613598"/>
    <w:rsid w:val="0062273E"/>
    <w:rsid w:val="0063159D"/>
    <w:rsid w:val="00631641"/>
    <w:rsid w:val="00634CC9"/>
    <w:rsid w:val="00635E33"/>
    <w:rsid w:val="00644AF6"/>
    <w:rsid w:val="00645A7A"/>
    <w:rsid w:val="006476E6"/>
    <w:rsid w:val="006626EB"/>
    <w:rsid w:val="00674354"/>
    <w:rsid w:val="00674B86"/>
    <w:rsid w:val="006809CC"/>
    <w:rsid w:val="00682BCB"/>
    <w:rsid w:val="00685492"/>
    <w:rsid w:val="006A07A2"/>
    <w:rsid w:val="006B6087"/>
    <w:rsid w:val="006C428B"/>
    <w:rsid w:val="006C5490"/>
    <w:rsid w:val="006F62EC"/>
    <w:rsid w:val="0070141B"/>
    <w:rsid w:val="00705408"/>
    <w:rsid w:val="00710743"/>
    <w:rsid w:val="00716073"/>
    <w:rsid w:val="00723D6D"/>
    <w:rsid w:val="00732089"/>
    <w:rsid w:val="0073611A"/>
    <w:rsid w:val="00756002"/>
    <w:rsid w:val="00757399"/>
    <w:rsid w:val="0076186A"/>
    <w:rsid w:val="00764622"/>
    <w:rsid w:val="007756B9"/>
    <w:rsid w:val="00776C90"/>
    <w:rsid w:val="00783C4C"/>
    <w:rsid w:val="00790449"/>
    <w:rsid w:val="0079381F"/>
    <w:rsid w:val="007A0160"/>
    <w:rsid w:val="007A469B"/>
    <w:rsid w:val="007B5DC7"/>
    <w:rsid w:val="007C43E4"/>
    <w:rsid w:val="007D643B"/>
    <w:rsid w:val="007D7EB9"/>
    <w:rsid w:val="007E4978"/>
    <w:rsid w:val="007E4EC1"/>
    <w:rsid w:val="007E6206"/>
    <w:rsid w:val="007F19FF"/>
    <w:rsid w:val="007F4232"/>
    <w:rsid w:val="008130F1"/>
    <w:rsid w:val="008155AD"/>
    <w:rsid w:val="00826A96"/>
    <w:rsid w:val="00827594"/>
    <w:rsid w:val="008323B6"/>
    <w:rsid w:val="00843665"/>
    <w:rsid w:val="00847847"/>
    <w:rsid w:val="00850163"/>
    <w:rsid w:val="00852354"/>
    <w:rsid w:val="008664FE"/>
    <w:rsid w:val="008727BA"/>
    <w:rsid w:val="008762F8"/>
    <w:rsid w:val="00883039"/>
    <w:rsid w:val="00886E86"/>
    <w:rsid w:val="00890A7B"/>
    <w:rsid w:val="008964B8"/>
    <w:rsid w:val="008B091B"/>
    <w:rsid w:val="008B4AFB"/>
    <w:rsid w:val="008D009C"/>
    <w:rsid w:val="00904C9A"/>
    <w:rsid w:val="0092205A"/>
    <w:rsid w:val="00927A4A"/>
    <w:rsid w:val="00935866"/>
    <w:rsid w:val="0093649A"/>
    <w:rsid w:val="0093788E"/>
    <w:rsid w:val="009520F9"/>
    <w:rsid w:val="00952CA1"/>
    <w:rsid w:val="00972157"/>
    <w:rsid w:val="0097378E"/>
    <w:rsid w:val="00981855"/>
    <w:rsid w:val="00984456"/>
    <w:rsid w:val="00985B0C"/>
    <w:rsid w:val="00985C46"/>
    <w:rsid w:val="009872BD"/>
    <w:rsid w:val="009909CA"/>
    <w:rsid w:val="009A1A9D"/>
    <w:rsid w:val="009A5E0A"/>
    <w:rsid w:val="009C33AD"/>
    <w:rsid w:val="009C6B17"/>
    <w:rsid w:val="009D2DE4"/>
    <w:rsid w:val="009E2BEA"/>
    <w:rsid w:val="009F5B10"/>
    <w:rsid w:val="00A01B22"/>
    <w:rsid w:val="00A1633F"/>
    <w:rsid w:val="00A16F0D"/>
    <w:rsid w:val="00A22328"/>
    <w:rsid w:val="00A23AD4"/>
    <w:rsid w:val="00A25284"/>
    <w:rsid w:val="00A275C9"/>
    <w:rsid w:val="00A275FA"/>
    <w:rsid w:val="00A40DD1"/>
    <w:rsid w:val="00A6186C"/>
    <w:rsid w:val="00A62995"/>
    <w:rsid w:val="00A676B1"/>
    <w:rsid w:val="00A71B7D"/>
    <w:rsid w:val="00A844C8"/>
    <w:rsid w:val="00A9276A"/>
    <w:rsid w:val="00AA2CAF"/>
    <w:rsid w:val="00AA4935"/>
    <w:rsid w:val="00AC13B7"/>
    <w:rsid w:val="00AD2773"/>
    <w:rsid w:val="00AE0F72"/>
    <w:rsid w:val="00AF0B52"/>
    <w:rsid w:val="00AF6EBB"/>
    <w:rsid w:val="00AF7219"/>
    <w:rsid w:val="00AF75BC"/>
    <w:rsid w:val="00B04E3F"/>
    <w:rsid w:val="00B06C99"/>
    <w:rsid w:val="00B10FE0"/>
    <w:rsid w:val="00B17172"/>
    <w:rsid w:val="00B26307"/>
    <w:rsid w:val="00B35D0A"/>
    <w:rsid w:val="00B55BD1"/>
    <w:rsid w:val="00B831FB"/>
    <w:rsid w:val="00B83E60"/>
    <w:rsid w:val="00B94E49"/>
    <w:rsid w:val="00B95B44"/>
    <w:rsid w:val="00B95E15"/>
    <w:rsid w:val="00BA325A"/>
    <w:rsid w:val="00BB04D4"/>
    <w:rsid w:val="00BB5434"/>
    <w:rsid w:val="00BB6156"/>
    <w:rsid w:val="00BD25D5"/>
    <w:rsid w:val="00C04FFA"/>
    <w:rsid w:val="00C06CC8"/>
    <w:rsid w:val="00C206CE"/>
    <w:rsid w:val="00C21691"/>
    <w:rsid w:val="00C27608"/>
    <w:rsid w:val="00C31BC1"/>
    <w:rsid w:val="00C34235"/>
    <w:rsid w:val="00C54FEC"/>
    <w:rsid w:val="00C558FB"/>
    <w:rsid w:val="00C606D5"/>
    <w:rsid w:val="00C61E67"/>
    <w:rsid w:val="00C62BDF"/>
    <w:rsid w:val="00C63457"/>
    <w:rsid w:val="00C67BB2"/>
    <w:rsid w:val="00C751C6"/>
    <w:rsid w:val="00C76E85"/>
    <w:rsid w:val="00C776EB"/>
    <w:rsid w:val="00C8427F"/>
    <w:rsid w:val="00C91EA0"/>
    <w:rsid w:val="00C94352"/>
    <w:rsid w:val="00C9473D"/>
    <w:rsid w:val="00CA5AB0"/>
    <w:rsid w:val="00CB3EE6"/>
    <w:rsid w:val="00CC426D"/>
    <w:rsid w:val="00CD3DC0"/>
    <w:rsid w:val="00CD7BF4"/>
    <w:rsid w:val="00CE0083"/>
    <w:rsid w:val="00CF2263"/>
    <w:rsid w:val="00D00277"/>
    <w:rsid w:val="00D114C4"/>
    <w:rsid w:val="00D22CAC"/>
    <w:rsid w:val="00D24516"/>
    <w:rsid w:val="00D34A01"/>
    <w:rsid w:val="00D4196F"/>
    <w:rsid w:val="00D62853"/>
    <w:rsid w:val="00D70AE4"/>
    <w:rsid w:val="00D72E33"/>
    <w:rsid w:val="00D7757B"/>
    <w:rsid w:val="00DB0A3A"/>
    <w:rsid w:val="00DC7E87"/>
    <w:rsid w:val="00DD22D3"/>
    <w:rsid w:val="00DD464C"/>
    <w:rsid w:val="00DD5BE4"/>
    <w:rsid w:val="00E03853"/>
    <w:rsid w:val="00E07EE6"/>
    <w:rsid w:val="00E157B6"/>
    <w:rsid w:val="00E25EA9"/>
    <w:rsid w:val="00E26E75"/>
    <w:rsid w:val="00E45028"/>
    <w:rsid w:val="00E478E6"/>
    <w:rsid w:val="00E50526"/>
    <w:rsid w:val="00E624F4"/>
    <w:rsid w:val="00E80AB4"/>
    <w:rsid w:val="00E83AFB"/>
    <w:rsid w:val="00E84D6A"/>
    <w:rsid w:val="00E9612F"/>
    <w:rsid w:val="00EA6A8A"/>
    <w:rsid w:val="00EB0E0A"/>
    <w:rsid w:val="00EB1EC2"/>
    <w:rsid w:val="00ED44CC"/>
    <w:rsid w:val="00ED460F"/>
    <w:rsid w:val="00ED7BC1"/>
    <w:rsid w:val="00F04CA2"/>
    <w:rsid w:val="00F312D4"/>
    <w:rsid w:val="00F356D3"/>
    <w:rsid w:val="00F47754"/>
    <w:rsid w:val="00F536B1"/>
    <w:rsid w:val="00F675FC"/>
    <w:rsid w:val="00F76404"/>
    <w:rsid w:val="00F76BD8"/>
    <w:rsid w:val="00F816D5"/>
    <w:rsid w:val="00F86BD5"/>
    <w:rsid w:val="00F90E35"/>
    <w:rsid w:val="00F91BC0"/>
    <w:rsid w:val="00F97104"/>
    <w:rsid w:val="00FB361E"/>
    <w:rsid w:val="00FB660D"/>
    <w:rsid w:val="00FD618C"/>
    <w:rsid w:val="00FE192A"/>
    <w:rsid w:val="00FE2259"/>
    <w:rsid w:val="00FF03A7"/>
    <w:rsid w:val="00FF0C52"/>
    <w:rsid w:val="00FF0E8F"/>
    <w:rsid w:val="00FF2DE0"/>
    <w:rsid w:val="00FF6395"/>
    <w:rsid w:val="00FF688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87"/>
    <w:pPr>
      <w:spacing w:after="200" w:line="276" w:lineRule="auto"/>
    </w:pPr>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87"/>
    <w:rPr>
      <w:color w:val="0563C1" w:themeColor="hyperlink"/>
      <w:u w:val="single"/>
    </w:rPr>
  </w:style>
  <w:style w:type="paragraph" w:styleId="Header">
    <w:name w:val="header"/>
    <w:basedOn w:val="Normal"/>
    <w:link w:val="HeaderChar"/>
    <w:uiPriority w:val="99"/>
    <w:unhideWhenUsed/>
    <w:rsid w:val="00FF6887"/>
    <w:pPr>
      <w:tabs>
        <w:tab w:val="center" w:pos="4419"/>
        <w:tab w:val="right" w:pos="8838"/>
      </w:tabs>
      <w:spacing w:after="0" w:line="240" w:lineRule="auto"/>
    </w:pPr>
  </w:style>
  <w:style w:type="character" w:customStyle="1" w:styleId="HeaderChar">
    <w:name w:val="Header Char"/>
    <w:basedOn w:val="DefaultParagraphFont"/>
    <w:link w:val="Header"/>
    <w:uiPriority w:val="99"/>
    <w:rsid w:val="00FF6887"/>
    <w:rPr>
      <w:rFonts w:ascii="Calibri" w:eastAsia="Calibri" w:hAnsi="Calibri" w:cs="Times New Roman"/>
      <w:lang w:val="es-MX"/>
    </w:rPr>
  </w:style>
  <w:style w:type="paragraph" w:styleId="ListParagraph">
    <w:name w:val="List Paragraph"/>
    <w:basedOn w:val="Normal"/>
    <w:uiPriority w:val="34"/>
    <w:qFormat/>
    <w:rsid w:val="00FF6887"/>
    <w:pPr>
      <w:ind w:left="720"/>
      <w:contextualSpacing/>
    </w:pPr>
  </w:style>
  <w:style w:type="table" w:customStyle="1" w:styleId="Tabladelista2-nfasis11">
    <w:name w:val="Tabla de lista 2 - Énfasis 11"/>
    <w:basedOn w:val="TableNormal"/>
    <w:uiPriority w:val="47"/>
    <w:rsid w:val="00FF6887"/>
    <w:pPr>
      <w:spacing w:after="0" w:line="240" w:lineRule="auto"/>
    </w:p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11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AD"/>
    <w:rPr>
      <w:rFonts w:ascii="Tahoma" w:eastAsia="Calibri" w:hAnsi="Tahoma" w:cs="Tahoma"/>
      <w:sz w:val="16"/>
      <w:szCs w:val="16"/>
      <w:lang w:val="es-MX"/>
    </w:rPr>
  </w:style>
  <w:style w:type="character" w:styleId="CommentReference">
    <w:name w:val="annotation reference"/>
    <w:basedOn w:val="DefaultParagraphFont"/>
    <w:uiPriority w:val="99"/>
    <w:semiHidden/>
    <w:unhideWhenUsed/>
    <w:rsid w:val="00534274"/>
    <w:rPr>
      <w:sz w:val="16"/>
      <w:szCs w:val="16"/>
    </w:rPr>
  </w:style>
  <w:style w:type="paragraph" w:styleId="CommentText">
    <w:name w:val="annotation text"/>
    <w:basedOn w:val="Normal"/>
    <w:link w:val="CommentTextChar"/>
    <w:uiPriority w:val="99"/>
    <w:semiHidden/>
    <w:unhideWhenUsed/>
    <w:rsid w:val="00534274"/>
    <w:pPr>
      <w:spacing w:line="240" w:lineRule="auto"/>
    </w:pPr>
    <w:rPr>
      <w:sz w:val="20"/>
      <w:szCs w:val="20"/>
    </w:rPr>
  </w:style>
  <w:style w:type="character" w:customStyle="1" w:styleId="CommentTextChar">
    <w:name w:val="Comment Text Char"/>
    <w:basedOn w:val="DefaultParagraphFont"/>
    <w:link w:val="CommentText"/>
    <w:uiPriority w:val="99"/>
    <w:semiHidden/>
    <w:rsid w:val="00534274"/>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534274"/>
    <w:rPr>
      <w:b/>
      <w:bCs/>
    </w:rPr>
  </w:style>
  <w:style w:type="character" w:customStyle="1" w:styleId="CommentSubjectChar">
    <w:name w:val="Comment Subject Char"/>
    <w:basedOn w:val="CommentTextChar"/>
    <w:link w:val="CommentSubject"/>
    <w:uiPriority w:val="99"/>
    <w:semiHidden/>
    <w:rsid w:val="00534274"/>
    <w:rPr>
      <w:rFonts w:ascii="Calibri" w:eastAsia="Calibri" w:hAnsi="Calibri" w:cs="Times New Roman"/>
      <w:b/>
      <w:bCs/>
      <w:sz w:val="20"/>
      <w:szCs w:val="20"/>
      <w:lang w:val="es-MX"/>
    </w:rPr>
  </w:style>
  <w:style w:type="paragraph" w:styleId="Footer">
    <w:name w:val="footer"/>
    <w:basedOn w:val="Normal"/>
    <w:link w:val="FooterChar"/>
    <w:uiPriority w:val="99"/>
    <w:unhideWhenUsed/>
    <w:rsid w:val="002625BC"/>
    <w:pPr>
      <w:tabs>
        <w:tab w:val="center" w:pos="4419"/>
        <w:tab w:val="right" w:pos="8838"/>
      </w:tabs>
      <w:spacing w:after="0" w:line="240" w:lineRule="auto"/>
    </w:pPr>
  </w:style>
  <w:style w:type="character" w:customStyle="1" w:styleId="FooterChar">
    <w:name w:val="Footer Char"/>
    <w:basedOn w:val="DefaultParagraphFont"/>
    <w:link w:val="Footer"/>
    <w:uiPriority w:val="99"/>
    <w:rsid w:val="002625BC"/>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6sp/ElSalvador12311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2311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orteidh.or.cr/docs/casos/articulos/seriec_373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3281-6F10-428B-9FB3-82CAD6C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2826</Words>
  <Characters>16111</Characters>
  <Application>Microsoft Office Word</Application>
  <DocSecurity>0</DocSecurity>
  <Lines>134</Lines>
  <Paragraphs>37</Paragraphs>
  <ScaleCrop>false</ScaleCrop>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2021-02-11T09:47:00Z</dcterms:created>
  <dcterms:modified xsi:type="dcterms:W3CDTF">2021-02-11T09:47:00Z</dcterms:modified>
</cp:coreProperties>
</file>