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B1F42" w14:textId="77777777" w:rsidR="0071729C" w:rsidRDefault="0071729C" w:rsidP="0071729C">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516EF01C" wp14:editId="27FE521E">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62A10A9C" wp14:editId="5720E7F9">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24702B7A" wp14:editId="7E40AFFF">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8AE132" w14:textId="77777777" w:rsidR="0071729C" w:rsidRPr="00411A74" w:rsidRDefault="0071729C" w:rsidP="0071729C">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28EE1A2D" w14:textId="77777777" w:rsidR="0071729C" w:rsidRDefault="0071729C" w:rsidP="0071729C">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33AF6FA7" w14:textId="11E32AD7" w:rsidR="00F725A5" w:rsidRDefault="00F725A5" w:rsidP="00BD6071">
      <w:pPr>
        <w:pStyle w:val="Header"/>
        <w:jc w:val="center"/>
        <w:rPr>
          <w:rFonts w:ascii="Calibri Light" w:hAnsi="Calibri Light"/>
          <w:sz w:val="16"/>
          <w:szCs w:val="16"/>
          <w:lang w:val="es-PE"/>
        </w:rPr>
      </w:pPr>
    </w:p>
    <w:p w14:paraId="52EF428F" w14:textId="77777777" w:rsidR="0071729C" w:rsidRPr="004533E5" w:rsidRDefault="0071729C" w:rsidP="00BD6071">
      <w:pPr>
        <w:pStyle w:val="Header"/>
        <w:jc w:val="center"/>
        <w:rPr>
          <w:rFonts w:ascii="Calibri Light" w:hAnsi="Calibri Light"/>
          <w:sz w:val="16"/>
          <w:szCs w:val="16"/>
          <w:lang w:val="es-PE"/>
        </w:rPr>
      </w:pPr>
    </w:p>
    <w:tbl>
      <w:tblPr>
        <w:tblStyle w:val="Tabladelista2-nfasis11"/>
        <w:tblW w:w="0" w:type="auto"/>
        <w:tblLook w:val="04A0" w:firstRow="1" w:lastRow="0" w:firstColumn="1" w:lastColumn="0" w:noHBand="0" w:noVBand="1"/>
      </w:tblPr>
      <w:tblGrid>
        <w:gridCol w:w="3678"/>
        <w:gridCol w:w="2490"/>
        <w:gridCol w:w="2553"/>
      </w:tblGrid>
      <w:tr w:rsidR="005173CF" w:rsidRPr="004533E5" w14:paraId="01A2F61A" w14:textId="77777777" w:rsidTr="000113F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6C5B323B" w14:textId="0AF94C3E" w:rsidR="00AC6F31" w:rsidRPr="000113F1" w:rsidRDefault="007A6C56" w:rsidP="000113F1">
            <w:pPr>
              <w:pStyle w:val="ListParagraph"/>
              <w:numPr>
                <w:ilvl w:val="0"/>
                <w:numId w:val="2"/>
              </w:numPr>
              <w:jc w:val="center"/>
              <w:rPr>
                <w:rFonts w:ascii="Calibri Light" w:hAnsi="Calibri Light"/>
              </w:rPr>
            </w:pPr>
            <w:r w:rsidRPr="004533E5">
              <w:rPr>
                <w:rFonts w:ascii="Calibri Light" w:hAnsi="Calibri Light"/>
              </w:rPr>
              <w:t>Datos generales</w:t>
            </w:r>
          </w:p>
        </w:tc>
      </w:tr>
      <w:tr w:rsidR="004533E5" w:rsidRPr="004533E5" w14:paraId="275AD1EA" w14:textId="77777777" w:rsidTr="00A94EE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Nombre del caso</w:t>
            </w:r>
          </w:p>
        </w:tc>
        <w:tc>
          <w:tcPr>
            <w:tcW w:w="5043" w:type="dxa"/>
            <w:gridSpan w:val="2"/>
          </w:tcPr>
          <w:p w14:paraId="084A5991" w14:textId="7B35E34E" w:rsidR="005173CF" w:rsidRPr="004533E5" w:rsidRDefault="00615465" w:rsidP="00AF2CC6">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Luis Rolando Cuscul Pivaral y otras personas con VIH/SIDA</w:t>
            </w:r>
            <w:r w:rsidR="00AF2CC6">
              <w:rPr>
                <w:rFonts w:ascii="Calibri Light" w:hAnsi="Calibri Light"/>
              </w:rPr>
              <w:t xml:space="preserve">, </w:t>
            </w:r>
            <w:r>
              <w:rPr>
                <w:rFonts w:ascii="Calibri Light" w:hAnsi="Calibri Light"/>
              </w:rPr>
              <w:t>Guatemala</w:t>
            </w:r>
          </w:p>
        </w:tc>
      </w:tr>
      <w:tr w:rsidR="00F464EC" w:rsidRPr="004533E5" w14:paraId="59A6A8A1" w14:textId="77777777" w:rsidTr="00A94EE7">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03E7AD58" w:rsidR="00F464EC" w:rsidRPr="004533E5" w:rsidRDefault="00AF2CC6" w:rsidP="00A65231">
            <w:pPr>
              <w:pStyle w:val="ListParagraph"/>
              <w:numPr>
                <w:ilvl w:val="0"/>
                <w:numId w:val="3"/>
              </w:numPr>
              <w:rPr>
                <w:rFonts w:ascii="Calibri Light" w:hAnsi="Calibri Light"/>
              </w:rPr>
            </w:pPr>
            <w:r>
              <w:rPr>
                <w:rFonts w:ascii="Calibri Light" w:hAnsi="Calibri Light"/>
              </w:rPr>
              <w:t>Parte peticionaria</w:t>
            </w:r>
          </w:p>
        </w:tc>
        <w:tc>
          <w:tcPr>
            <w:tcW w:w="5043" w:type="dxa"/>
            <w:gridSpan w:val="2"/>
          </w:tcPr>
          <w:p w14:paraId="415BC14C" w14:textId="5809CC33" w:rsidR="00F464EC" w:rsidRDefault="006C064F" w:rsidP="00E70716">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 xml:space="preserve">Centro por la Justicia y el Derecho </w:t>
            </w:r>
            <w:r w:rsidR="00865DD3">
              <w:rPr>
                <w:rFonts w:ascii="Calibri Light" w:hAnsi="Calibri Light"/>
              </w:rPr>
              <w:t>Internacional (</w:t>
            </w:r>
            <w:r>
              <w:rPr>
                <w:rFonts w:ascii="Calibri Light" w:hAnsi="Calibri Light"/>
              </w:rPr>
              <w:t>CEJIL</w:t>
            </w:r>
            <w:r w:rsidR="00865DD3">
              <w:rPr>
                <w:rFonts w:ascii="Calibri Light" w:hAnsi="Calibri Light"/>
              </w:rPr>
              <w:t>)</w:t>
            </w:r>
          </w:p>
          <w:p w14:paraId="374BCA65" w14:textId="77777777" w:rsidR="006C064F" w:rsidRDefault="006C064F" w:rsidP="00E70716">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Red Nacional de Personas que Viven con el VIH/SIDA</w:t>
            </w:r>
          </w:p>
          <w:p w14:paraId="3D970DB9" w14:textId="77777777" w:rsidR="006C064F" w:rsidRDefault="006C064F" w:rsidP="00E70716">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Asociación Gente Unida</w:t>
            </w:r>
          </w:p>
          <w:p w14:paraId="2F618634" w14:textId="77777777" w:rsidR="006C064F" w:rsidRDefault="006C064F" w:rsidP="00E70716">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Proyecto Vida</w:t>
            </w:r>
          </w:p>
          <w:p w14:paraId="0E361E25" w14:textId="77777777" w:rsidR="006C064F" w:rsidRDefault="006C064F" w:rsidP="00E70716">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Fundación Preventiva del SIDA Fernando Iturbide</w:t>
            </w:r>
          </w:p>
          <w:p w14:paraId="374B2A68" w14:textId="1A3F5A25" w:rsidR="006C064F" w:rsidRDefault="006C064F" w:rsidP="00E70716">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Asociación de Salud Integral</w:t>
            </w:r>
          </w:p>
        </w:tc>
      </w:tr>
      <w:tr w:rsidR="005173CF" w:rsidRPr="004533E5" w14:paraId="3A483B4F" w14:textId="77777777" w:rsidTr="00A94EE7">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77777777"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 xml:space="preserve">Número de Informe </w:t>
            </w:r>
          </w:p>
        </w:tc>
        <w:tc>
          <w:tcPr>
            <w:tcW w:w="5043" w:type="dxa"/>
            <w:gridSpan w:val="2"/>
          </w:tcPr>
          <w:p w14:paraId="77740DF4" w14:textId="0BD1E813" w:rsidR="005173CF" w:rsidRPr="004533E5" w:rsidRDefault="00C31246" w:rsidP="00615465">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615465" w:rsidRPr="00615465">
                <w:rPr>
                  <w:rStyle w:val="Hyperlink"/>
                  <w:rFonts w:ascii="Calibri Light" w:hAnsi="Calibri Light"/>
                </w:rPr>
                <w:t>Informe No. 2/16</w:t>
              </w:r>
            </w:hyperlink>
          </w:p>
        </w:tc>
      </w:tr>
      <w:tr w:rsidR="004533E5" w:rsidRPr="004533E5" w14:paraId="5EC10F5F" w14:textId="77777777" w:rsidTr="00A94EE7">
        <w:trPr>
          <w:trHeight w:val="212"/>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5173CF" w:rsidRPr="00F725A5" w:rsidRDefault="00954E20" w:rsidP="00954E20">
            <w:pPr>
              <w:pStyle w:val="ListParagraph"/>
              <w:numPr>
                <w:ilvl w:val="0"/>
                <w:numId w:val="3"/>
              </w:numPr>
            </w:pPr>
            <w:r w:rsidRPr="004533E5">
              <w:rPr>
                <w:rFonts w:ascii="Calibri Light" w:hAnsi="Calibri Light"/>
              </w:rPr>
              <w:t xml:space="preserve">Tipo de informe </w:t>
            </w:r>
          </w:p>
        </w:tc>
        <w:tc>
          <w:tcPr>
            <w:tcW w:w="5043" w:type="dxa"/>
            <w:gridSpan w:val="2"/>
          </w:tcPr>
          <w:p w14:paraId="35E9A08D" w14:textId="255D4274" w:rsidR="005173CF" w:rsidRPr="00243C42" w:rsidRDefault="001077C9" w:rsidP="00F07CF4">
            <w:pPr>
              <w:jc w:val="both"/>
              <w:cnfStyle w:val="000000000000" w:firstRow="0" w:lastRow="0" w:firstColumn="0" w:lastColumn="0" w:oddVBand="0" w:evenVBand="0" w:oddHBand="0" w:evenHBand="0" w:firstRowFirstColumn="0" w:firstRowLastColumn="0" w:lastRowFirstColumn="0" w:lastRowLastColumn="0"/>
              <w:rPr>
                <w:rFonts w:ascii="Calibri Light" w:hAnsi="Calibri Light"/>
                <w:highlight w:val="yellow"/>
              </w:rPr>
            </w:pPr>
            <w:r w:rsidRPr="00243C42">
              <w:rPr>
                <w:rFonts w:ascii="Calibri Light" w:hAnsi="Calibri Light"/>
              </w:rPr>
              <w:t>Informe de Fondo</w:t>
            </w:r>
            <w:r w:rsidR="00243C42">
              <w:rPr>
                <w:rFonts w:ascii="Calibri Light" w:hAnsi="Calibri Light"/>
              </w:rPr>
              <w:t xml:space="preserve"> </w:t>
            </w:r>
            <w:r w:rsidR="00F07CF4">
              <w:rPr>
                <w:rFonts w:ascii="Calibri Light" w:hAnsi="Calibri Light"/>
              </w:rPr>
              <w:t>(Caso en la Corte IDH)</w:t>
            </w:r>
          </w:p>
        </w:tc>
      </w:tr>
      <w:tr w:rsidR="005173CF" w:rsidRPr="004533E5" w14:paraId="7ED5AB61" w14:textId="77777777" w:rsidTr="000113F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5173CF" w:rsidRPr="004533E5" w:rsidRDefault="00954E20" w:rsidP="00A65231">
            <w:pPr>
              <w:pStyle w:val="ListParagraph"/>
              <w:numPr>
                <w:ilvl w:val="0"/>
                <w:numId w:val="3"/>
              </w:numPr>
              <w:rPr>
                <w:rFonts w:ascii="Calibri Light" w:hAnsi="Calibri Light"/>
              </w:rPr>
            </w:pPr>
            <w:r>
              <w:rPr>
                <w:rFonts w:ascii="Calibri Light" w:hAnsi="Calibri Light"/>
              </w:rPr>
              <w:t>Fecha</w:t>
            </w:r>
            <w:r w:rsidR="007A6C56" w:rsidRPr="004533E5">
              <w:rPr>
                <w:rFonts w:ascii="Calibri Light" w:hAnsi="Calibri Light"/>
              </w:rPr>
              <w:t xml:space="preserve"> </w:t>
            </w:r>
          </w:p>
        </w:tc>
        <w:tc>
          <w:tcPr>
            <w:tcW w:w="5043" w:type="dxa"/>
            <w:gridSpan w:val="2"/>
          </w:tcPr>
          <w:p w14:paraId="1C803DF5" w14:textId="05CB2606" w:rsidR="005173CF" w:rsidRPr="004533E5" w:rsidRDefault="00A06F98" w:rsidP="00BB61C6">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 xml:space="preserve">13 de abril </w:t>
            </w:r>
            <w:r w:rsidR="001077C9">
              <w:rPr>
                <w:rFonts w:ascii="Calibri Light" w:hAnsi="Calibri Light"/>
              </w:rPr>
              <w:t>de 2016</w:t>
            </w:r>
            <w:r w:rsidR="00954E20">
              <w:rPr>
                <w:rFonts w:ascii="Calibri Light" w:hAnsi="Calibri Light"/>
              </w:rPr>
              <w:t xml:space="preserve"> </w:t>
            </w:r>
          </w:p>
        </w:tc>
      </w:tr>
      <w:tr w:rsidR="004533E5" w:rsidRPr="004533E5" w14:paraId="1A0D058F" w14:textId="77777777" w:rsidTr="00E70716">
        <w:trPr>
          <w:trHeight w:val="602"/>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5173CF" w:rsidRPr="004533E5" w:rsidRDefault="00BB61C6" w:rsidP="00A65231">
            <w:pPr>
              <w:pStyle w:val="ListParagraph"/>
              <w:numPr>
                <w:ilvl w:val="0"/>
                <w:numId w:val="3"/>
              </w:numPr>
              <w:rPr>
                <w:rFonts w:ascii="Calibri Light" w:hAnsi="Calibri Light"/>
              </w:rPr>
            </w:pPr>
            <w:r>
              <w:rPr>
                <w:rFonts w:ascii="Calibri Light" w:hAnsi="Calibri Light"/>
              </w:rPr>
              <w:t>Decisiones de la CIDH</w:t>
            </w:r>
            <w:r w:rsidR="007A6C56" w:rsidRPr="004533E5">
              <w:rPr>
                <w:rFonts w:ascii="Calibri Light" w:hAnsi="Calibri Light"/>
              </w:rPr>
              <w:t xml:space="preserve"> </w:t>
            </w:r>
            <w:r w:rsidR="00DD3C7C">
              <w:rPr>
                <w:rFonts w:ascii="Calibri Light" w:hAnsi="Calibri Light"/>
              </w:rPr>
              <w:t xml:space="preserve">y/o la Corte IDH, </w:t>
            </w:r>
            <w:r w:rsidR="007A6C56" w:rsidRPr="004533E5">
              <w:rPr>
                <w:rFonts w:ascii="Calibri Light" w:hAnsi="Calibri Light"/>
              </w:rPr>
              <w:t>relacionadas</w:t>
            </w:r>
          </w:p>
        </w:tc>
        <w:tc>
          <w:tcPr>
            <w:tcW w:w="5043" w:type="dxa"/>
            <w:gridSpan w:val="2"/>
            <w:vAlign w:val="center"/>
          </w:tcPr>
          <w:p w14:paraId="2ACBD87E" w14:textId="2D337F18" w:rsidR="00243C42" w:rsidRDefault="00A355DF" w:rsidP="00E70716">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AF2CC6">
              <w:rPr>
                <w:rFonts w:ascii="Calibri Light" w:hAnsi="Calibri Light"/>
              </w:rPr>
              <w:t>Informe No. 32/05</w:t>
            </w:r>
            <w:r w:rsidR="00243C42">
              <w:rPr>
                <w:rFonts w:ascii="Calibri Light" w:hAnsi="Calibri Light"/>
              </w:rPr>
              <w:t xml:space="preserve"> (</w:t>
            </w:r>
            <w:hyperlink r:id="rId13" w:history="1">
              <w:r w:rsidR="00243C42" w:rsidRPr="00AF2CC6">
                <w:rPr>
                  <w:rStyle w:val="Hyperlink"/>
                  <w:rFonts w:ascii="Calibri Light" w:hAnsi="Calibri Light"/>
                </w:rPr>
                <w:t>Admisibilidad</w:t>
              </w:r>
            </w:hyperlink>
            <w:r w:rsidR="00243C42">
              <w:rPr>
                <w:rFonts w:ascii="Calibri Light" w:hAnsi="Calibri Light"/>
              </w:rPr>
              <w:t>)</w:t>
            </w:r>
          </w:p>
          <w:p w14:paraId="2B9F7A23" w14:textId="77777777" w:rsidR="00736FDD" w:rsidRDefault="00C31246" w:rsidP="00B11135">
            <w:pPr>
              <w:cnfStyle w:val="000000000000" w:firstRow="0" w:lastRow="0" w:firstColumn="0" w:lastColumn="0" w:oddVBand="0" w:evenVBand="0" w:oddHBand="0" w:evenHBand="0" w:firstRowFirstColumn="0" w:firstRowLastColumn="0" w:lastRowFirstColumn="0" w:lastRowLastColumn="0"/>
              <w:rPr>
                <w:rFonts w:ascii="Calibri Light" w:hAnsi="Calibri Light"/>
              </w:rPr>
            </w:pPr>
            <w:hyperlink r:id="rId14" w:history="1">
              <w:r w:rsidR="00736FDD" w:rsidRPr="0075290A">
                <w:rPr>
                  <w:rStyle w:val="Hyperlink"/>
                  <w:rFonts w:ascii="Calibri Light" w:hAnsi="Calibri Light"/>
                </w:rPr>
                <w:t>M</w:t>
              </w:r>
              <w:r w:rsidR="00BD6071" w:rsidRPr="0075290A">
                <w:rPr>
                  <w:rStyle w:val="Hyperlink"/>
                  <w:rFonts w:ascii="Calibri Light" w:hAnsi="Calibri Light"/>
                </w:rPr>
                <w:t xml:space="preserve">edida </w:t>
              </w:r>
              <w:r w:rsidR="00736FDD" w:rsidRPr="0075290A">
                <w:rPr>
                  <w:rStyle w:val="Hyperlink"/>
                  <w:rFonts w:ascii="Calibri Light" w:hAnsi="Calibri Light"/>
                </w:rPr>
                <w:t>C</w:t>
              </w:r>
              <w:r w:rsidR="00BD6071" w:rsidRPr="0075290A">
                <w:rPr>
                  <w:rStyle w:val="Hyperlink"/>
                  <w:rFonts w:ascii="Calibri Light" w:hAnsi="Calibri Light"/>
                </w:rPr>
                <w:t>autelar</w:t>
              </w:r>
              <w:r w:rsidR="00736FDD" w:rsidRPr="0075290A">
                <w:rPr>
                  <w:rStyle w:val="Hyperlink"/>
                  <w:rFonts w:ascii="Calibri Light" w:hAnsi="Calibri Light"/>
                </w:rPr>
                <w:t xml:space="preserve"> No. 321-02</w:t>
              </w:r>
            </w:hyperlink>
            <w:r w:rsidR="00736FDD">
              <w:rPr>
                <w:rFonts w:ascii="Calibri Light" w:hAnsi="Calibri Light"/>
              </w:rPr>
              <w:t xml:space="preserve"> </w:t>
            </w:r>
          </w:p>
          <w:p w14:paraId="72EA1AA4" w14:textId="223E8001" w:rsidR="0071729C" w:rsidRPr="004533E5" w:rsidRDefault="00AF2CC6" w:rsidP="00AF2CC6">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Caso Cuscul Pivaral y otros Vs. Guatemala (</w:t>
            </w:r>
            <w:hyperlink r:id="rId15" w:history="1">
              <w:r w:rsidRPr="00AF2CC6">
                <w:rPr>
                  <w:rStyle w:val="Hyperlink"/>
                  <w:rFonts w:ascii="Calibri Light" w:hAnsi="Calibri Light"/>
                </w:rPr>
                <w:t>Sentencia de 23 de agosto de 2018</w:t>
              </w:r>
            </w:hyperlink>
            <w:r>
              <w:rPr>
                <w:rFonts w:ascii="Calibri Light" w:hAnsi="Calibri Light"/>
              </w:rPr>
              <w:t>)</w:t>
            </w:r>
          </w:p>
        </w:tc>
      </w:tr>
      <w:tr w:rsidR="00A94EE7" w:rsidRPr="004533E5" w14:paraId="570485B4" w14:textId="77777777" w:rsidTr="00A94E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FCF8D6E" w14:textId="568477D0" w:rsidR="00A94EE7" w:rsidRDefault="00A94EE7" w:rsidP="00A65231">
            <w:pPr>
              <w:pStyle w:val="ListParagraph"/>
              <w:numPr>
                <w:ilvl w:val="0"/>
                <w:numId w:val="3"/>
              </w:numPr>
              <w:rPr>
                <w:rFonts w:ascii="Calibri Light" w:hAnsi="Calibri Light"/>
              </w:rPr>
            </w:pPr>
            <w:r>
              <w:rPr>
                <w:rFonts w:ascii="Calibri Light" w:hAnsi="Calibri Light"/>
              </w:rPr>
              <w:t>Artículos analizados</w:t>
            </w:r>
          </w:p>
        </w:tc>
        <w:tc>
          <w:tcPr>
            <w:tcW w:w="5043" w:type="dxa"/>
            <w:gridSpan w:val="2"/>
          </w:tcPr>
          <w:p w14:paraId="18718B95" w14:textId="68D0A2F8" w:rsidR="00A94EE7" w:rsidRPr="004533E5" w:rsidRDefault="00A94EE7" w:rsidP="00AE31D9">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Convención Americana sobre Derechos Humanos</w:t>
            </w:r>
          </w:p>
        </w:tc>
      </w:tr>
      <w:tr w:rsidR="00A94EE7" w:rsidRPr="004533E5" w14:paraId="59D19EAD" w14:textId="3753DE07" w:rsidTr="00A94EE7">
        <w:trPr>
          <w:trHeight w:val="540"/>
        </w:trPr>
        <w:tc>
          <w:tcPr>
            <w:cnfStyle w:val="001000000000" w:firstRow="0" w:lastRow="0" w:firstColumn="1" w:lastColumn="0" w:oddVBand="0" w:evenVBand="0" w:oddHBand="0" w:evenHBand="0" w:firstRowFirstColumn="0" w:firstRowLastColumn="0" w:lastRowFirstColumn="0" w:lastRowLastColumn="0"/>
            <w:tcW w:w="3678" w:type="dxa"/>
            <w:vMerge/>
          </w:tcPr>
          <w:p w14:paraId="17BB3A97" w14:textId="77777777" w:rsidR="00A94EE7" w:rsidRDefault="00A94EE7" w:rsidP="00A65231">
            <w:pPr>
              <w:pStyle w:val="ListParagraph"/>
              <w:numPr>
                <w:ilvl w:val="0"/>
                <w:numId w:val="3"/>
              </w:numPr>
              <w:rPr>
                <w:rFonts w:ascii="Calibri Light" w:hAnsi="Calibri Light"/>
              </w:rPr>
            </w:pPr>
          </w:p>
        </w:tc>
        <w:tc>
          <w:tcPr>
            <w:tcW w:w="2490" w:type="dxa"/>
          </w:tcPr>
          <w:p w14:paraId="04C377A5" w14:textId="03DDDCE4" w:rsidR="00A94EE7" w:rsidRDefault="00A94EE7"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analizados declarados violados</w:t>
            </w:r>
          </w:p>
        </w:tc>
        <w:tc>
          <w:tcPr>
            <w:tcW w:w="2553" w:type="dxa"/>
          </w:tcPr>
          <w:p w14:paraId="277975FB" w14:textId="56CF35CB" w:rsidR="00A94EE7" w:rsidRDefault="00A94EE7"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analizados no declarados violados</w:t>
            </w:r>
          </w:p>
        </w:tc>
      </w:tr>
      <w:tr w:rsidR="00A94EE7" w:rsidRPr="00A94EE7" w14:paraId="4F41E916" w14:textId="77777777" w:rsidTr="00A94EE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78" w:type="dxa"/>
            <w:vMerge/>
          </w:tcPr>
          <w:p w14:paraId="1D1C3694" w14:textId="77777777" w:rsidR="00A94EE7" w:rsidRDefault="00A94EE7" w:rsidP="00A65231">
            <w:pPr>
              <w:pStyle w:val="ListParagraph"/>
              <w:numPr>
                <w:ilvl w:val="0"/>
                <w:numId w:val="3"/>
              </w:numPr>
              <w:rPr>
                <w:rFonts w:ascii="Calibri Light" w:hAnsi="Calibri Light"/>
              </w:rPr>
            </w:pPr>
          </w:p>
        </w:tc>
        <w:tc>
          <w:tcPr>
            <w:tcW w:w="2490" w:type="dxa"/>
          </w:tcPr>
          <w:p w14:paraId="5E6682FC" w14:textId="00420A0F" w:rsidR="00A94EE7" w:rsidRPr="00E82017" w:rsidRDefault="00A94EE7" w:rsidP="00AF2CC6">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A94EE7">
              <w:rPr>
                <w:rFonts w:ascii="Calibri Light" w:hAnsi="Calibri Light"/>
                <w:lang w:val="en-US"/>
              </w:rPr>
              <w:t xml:space="preserve">Art. </w:t>
            </w:r>
            <w:r>
              <w:rPr>
                <w:rFonts w:ascii="Calibri Light" w:hAnsi="Calibri Light"/>
                <w:lang w:val="en-US"/>
              </w:rPr>
              <w:t>1</w:t>
            </w:r>
            <w:r w:rsidR="00AF2CC6">
              <w:rPr>
                <w:rFonts w:ascii="Calibri Light" w:hAnsi="Calibri Light"/>
                <w:lang w:val="en-US"/>
              </w:rPr>
              <w:t>, a</w:t>
            </w:r>
            <w:r w:rsidR="00E82017">
              <w:rPr>
                <w:rFonts w:ascii="Calibri Light" w:hAnsi="Calibri Light"/>
                <w:lang w:val="en-US"/>
              </w:rPr>
              <w:t>rt. 4</w:t>
            </w:r>
            <w:r w:rsidR="00AF2CC6">
              <w:rPr>
                <w:rFonts w:ascii="Calibri Light" w:hAnsi="Calibri Light"/>
                <w:lang w:val="en-US"/>
              </w:rPr>
              <w:t>, a</w:t>
            </w:r>
            <w:r w:rsidRPr="00A94EE7">
              <w:rPr>
                <w:rFonts w:ascii="Calibri Light" w:hAnsi="Calibri Light"/>
                <w:lang w:val="en-US"/>
              </w:rPr>
              <w:t>rt. 5</w:t>
            </w:r>
            <w:r w:rsidR="00AF2CC6">
              <w:rPr>
                <w:rFonts w:ascii="Calibri Light" w:hAnsi="Calibri Light"/>
                <w:lang w:val="en-US"/>
              </w:rPr>
              <w:t>, a</w:t>
            </w:r>
            <w:r w:rsidR="00E82017">
              <w:rPr>
                <w:rFonts w:ascii="Calibri Light" w:hAnsi="Calibri Light"/>
                <w:lang w:val="en-US"/>
              </w:rPr>
              <w:t>rt. 25</w:t>
            </w:r>
          </w:p>
        </w:tc>
        <w:tc>
          <w:tcPr>
            <w:tcW w:w="2553" w:type="dxa"/>
            <w:vAlign w:val="center"/>
          </w:tcPr>
          <w:p w14:paraId="1DBBF8BB" w14:textId="2D7D4AB9" w:rsidR="00A94EE7" w:rsidRPr="00E70716" w:rsidRDefault="00A94EE7" w:rsidP="00A94EE7">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E70716">
              <w:rPr>
                <w:rFonts w:ascii="Calibri Light" w:hAnsi="Calibri Light"/>
                <w:lang w:val="es-PE"/>
              </w:rPr>
              <w:t>-</w:t>
            </w:r>
          </w:p>
        </w:tc>
      </w:tr>
      <w:tr w:rsidR="005173CF" w:rsidRPr="004533E5" w14:paraId="54B7813B" w14:textId="77777777" w:rsidTr="000113F1">
        <w:trPr>
          <w:trHeight w:val="567"/>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009AFBB8" w14:textId="7B08C0C8" w:rsidR="00AC6F31" w:rsidRPr="000113F1" w:rsidRDefault="007A6C56" w:rsidP="000113F1">
            <w:pPr>
              <w:pStyle w:val="ListParagraph"/>
              <w:numPr>
                <w:ilvl w:val="0"/>
                <w:numId w:val="2"/>
              </w:numPr>
              <w:jc w:val="center"/>
              <w:rPr>
                <w:rFonts w:ascii="Calibri Light" w:hAnsi="Calibri Light"/>
              </w:rPr>
            </w:pPr>
            <w:r w:rsidRPr="004533E5">
              <w:rPr>
                <w:rFonts w:ascii="Calibri Light" w:hAnsi="Calibri Light"/>
              </w:rPr>
              <w:t>Sumilla</w:t>
            </w:r>
          </w:p>
        </w:tc>
      </w:tr>
      <w:tr w:rsidR="007A6C56" w:rsidRPr="004533E5" w14:paraId="6B670455" w14:textId="77777777" w:rsidTr="00A94EE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00887EAD" w14:textId="77777777" w:rsidR="00AF2CC6" w:rsidRDefault="00AF2CC6" w:rsidP="00D051F6">
            <w:pPr>
              <w:jc w:val="both"/>
              <w:rPr>
                <w:rFonts w:ascii="Calibri Light" w:hAnsi="Calibri Light"/>
                <w:b w:val="0"/>
              </w:rPr>
            </w:pPr>
          </w:p>
          <w:p w14:paraId="0F70602F" w14:textId="3B51F3E0" w:rsidR="00F52A85" w:rsidRDefault="003920AF" w:rsidP="00D051F6">
            <w:pPr>
              <w:jc w:val="both"/>
              <w:rPr>
                <w:rFonts w:ascii="Calibri Light" w:hAnsi="Calibri Light"/>
                <w:b w:val="0"/>
              </w:rPr>
            </w:pPr>
            <w:r>
              <w:rPr>
                <w:rFonts w:ascii="Calibri Light" w:hAnsi="Calibri Light"/>
                <w:b w:val="0"/>
              </w:rPr>
              <w:t xml:space="preserve">El caso </w:t>
            </w:r>
            <w:r w:rsidR="008B6937">
              <w:rPr>
                <w:rFonts w:ascii="Calibri Light" w:hAnsi="Calibri Light"/>
                <w:b w:val="0"/>
              </w:rPr>
              <w:t xml:space="preserve">aborda las vulneraciones a </w:t>
            </w:r>
            <w:r w:rsidR="00717F27">
              <w:rPr>
                <w:rFonts w:ascii="Calibri Light" w:hAnsi="Calibri Light"/>
                <w:b w:val="0"/>
              </w:rPr>
              <w:t xml:space="preserve">los derechos a </w:t>
            </w:r>
            <w:r w:rsidR="008B6937">
              <w:rPr>
                <w:rFonts w:ascii="Calibri Light" w:hAnsi="Calibri Light"/>
                <w:b w:val="0"/>
              </w:rPr>
              <w:t>la vida y la integridad personal</w:t>
            </w:r>
            <w:r w:rsidR="00717F27">
              <w:rPr>
                <w:rFonts w:ascii="Calibri Light" w:hAnsi="Calibri Light"/>
                <w:b w:val="0"/>
              </w:rPr>
              <w:t>,</w:t>
            </w:r>
            <w:r w:rsidR="008B6937">
              <w:rPr>
                <w:rFonts w:ascii="Calibri Light" w:hAnsi="Calibri Light"/>
                <w:b w:val="0"/>
              </w:rPr>
              <w:t xml:space="preserve"> derivadas de la inexistencia de una adecuada prestación de servicios de salud y tratamiento para 49 personas con VIH/SIDA en Guatemala de forma previa a los años 2006 y 2007. </w:t>
            </w:r>
            <w:r w:rsidR="00EB4A76">
              <w:rPr>
                <w:rFonts w:ascii="Calibri Light" w:hAnsi="Calibri Light"/>
                <w:b w:val="0"/>
              </w:rPr>
              <w:t>De manera p</w:t>
            </w:r>
            <w:r w:rsidR="008B6937">
              <w:rPr>
                <w:rFonts w:ascii="Calibri Light" w:hAnsi="Calibri Light"/>
                <w:b w:val="0"/>
              </w:rPr>
              <w:t xml:space="preserve">osterior a esa fecha, </w:t>
            </w:r>
            <w:r w:rsidR="00917261">
              <w:rPr>
                <w:rFonts w:ascii="Calibri Light" w:hAnsi="Calibri Light"/>
                <w:b w:val="0"/>
              </w:rPr>
              <w:t xml:space="preserve">los planes y programas implementados por el Estado no </w:t>
            </w:r>
            <w:r w:rsidR="0083300D">
              <w:rPr>
                <w:rFonts w:ascii="Calibri Light" w:hAnsi="Calibri Light"/>
                <w:b w:val="0"/>
              </w:rPr>
              <w:t xml:space="preserve">cumplieron </w:t>
            </w:r>
            <w:r w:rsidR="00917261">
              <w:rPr>
                <w:rFonts w:ascii="Calibri Light" w:hAnsi="Calibri Light"/>
                <w:b w:val="0"/>
              </w:rPr>
              <w:t xml:space="preserve">con </w:t>
            </w:r>
            <w:r w:rsidR="0083300D">
              <w:rPr>
                <w:rFonts w:ascii="Calibri Light" w:hAnsi="Calibri Light"/>
                <w:b w:val="0"/>
              </w:rPr>
              <w:t xml:space="preserve">los </w:t>
            </w:r>
            <w:r w:rsidR="00917261">
              <w:rPr>
                <w:rFonts w:ascii="Calibri Light" w:hAnsi="Calibri Light"/>
                <w:b w:val="0"/>
              </w:rPr>
              <w:t>estándares internacionales</w:t>
            </w:r>
            <w:r w:rsidR="0083300D">
              <w:rPr>
                <w:rFonts w:ascii="Calibri Light" w:hAnsi="Calibri Light"/>
                <w:b w:val="0"/>
              </w:rPr>
              <w:t xml:space="preserve"> en materia de salud</w:t>
            </w:r>
            <w:r w:rsidR="00917261">
              <w:rPr>
                <w:rFonts w:ascii="Calibri Light" w:hAnsi="Calibri Light"/>
                <w:b w:val="0"/>
              </w:rPr>
              <w:t xml:space="preserve">, en tanto se reportó escasez de medicamentos, recorte de </w:t>
            </w:r>
            <w:r w:rsidR="0095401B">
              <w:rPr>
                <w:rFonts w:ascii="Calibri Light" w:hAnsi="Calibri Light"/>
                <w:b w:val="0"/>
              </w:rPr>
              <w:t xml:space="preserve">los </w:t>
            </w:r>
            <w:r w:rsidR="00917261">
              <w:rPr>
                <w:rFonts w:ascii="Calibri Light" w:hAnsi="Calibri Light"/>
                <w:b w:val="0"/>
              </w:rPr>
              <w:t>presupuestos asignados y varios de los afectados por la enfermedad continuaron siendo atendidos por entidades privadas</w:t>
            </w:r>
            <w:r w:rsidR="00F52A85">
              <w:rPr>
                <w:rFonts w:ascii="Calibri Light" w:hAnsi="Calibri Light"/>
                <w:b w:val="0"/>
              </w:rPr>
              <w:t xml:space="preserve"> de manera intermitente</w:t>
            </w:r>
            <w:r w:rsidR="008B6937">
              <w:rPr>
                <w:rFonts w:ascii="Calibri Light" w:hAnsi="Calibri Light"/>
                <w:b w:val="0"/>
              </w:rPr>
              <w:t xml:space="preserve">. </w:t>
            </w:r>
          </w:p>
          <w:p w14:paraId="1EE5A7E7" w14:textId="1AFF666B" w:rsidR="00AF2CC6" w:rsidRPr="004533E5" w:rsidRDefault="00AF2CC6" w:rsidP="00D051F6">
            <w:pPr>
              <w:jc w:val="both"/>
              <w:rPr>
                <w:rFonts w:ascii="Calibri Light" w:hAnsi="Calibri Light"/>
                <w:b w:val="0"/>
              </w:rPr>
            </w:pPr>
          </w:p>
        </w:tc>
      </w:tr>
      <w:tr w:rsidR="007A6C56" w:rsidRPr="004533E5" w14:paraId="238A2196" w14:textId="77777777" w:rsidTr="000113F1">
        <w:trPr>
          <w:trHeight w:val="567"/>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6A1E32A7" w14:textId="16191C0E" w:rsidR="00AC6F31" w:rsidRPr="000113F1" w:rsidRDefault="007A6C56" w:rsidP="000113F1">
            <w:pPr>
              <w:pStyle w:val="ListParagraph"/>
              <w:numPr>
                <w:ilvl w:val="0"/>
                <w:numId w:val="2"/>
              </w:numPr>
              <w:jc w:val="center"/>
              <w:rPr>
                <w:rFonts w:ascii="Calibri Light" w:hAnsi="Calibri Light"/>
              </w:rPr>
            </w:pPr>
            <w:r w:rsidRPr="004533E5">
              <w:rPr>
                <w:rFonts w:ascii="Calibri Light" w:hAnsi="Calibri Light"/>
              </w:rPr>
              <w:t>Palabras clave</w:t>
            </w:r>
          </w:p>
        </w:tc>
      </w:tr>
      <w:tr w:rsidR="007A6C56" w:rsidRPr="004533E5" w14:paraId="34AE2D45" w14:textId="77777777" w:rsidTr="000113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05374712" w14:textId="4EFDE1DA" w:rsidR="00243C42" w:rsidRPr="004533E5" w:rsidRDefault="000113F1" w:rsidP="000113F1">
            <w:pPr>
              <w:rPr>
                <w:rFonts w:ascii="Calibri Light" w:hAnsi="Calibri Light"/>
                <w:b w:val="0"/>
              </w:rPr>
            </w:pPr>
            <w:r w:rsidRPr="000113F1">
              <w:rPr>
                <w:rFonts w:ascii="Calibri Light" w:hAnsi="Calibri Light"/>
                <w:b w:val="0"/>
                <w:lang w:val="es-PE"/>
              </w:rPr>
              <w:t>DESCA</w:t>
            </w:r>
            <w:r>
              <w:rPr>
                <w:rFonts w:ascii="Calibri Light" w:hAnsi="Calibri Light"/>
                <w:b w:val="0"/>
                <w:lang w:val="es-PE"/>
              </w:rPr>
              <w:t>,</w:t>
            </w:r>
            <w:r w:rsidRPr="000113F1">
              <w:rPr>
                <w:rFonts w:ascii="Calibri Light" w:hAnsi="Calibri Light"/>
                <w:b w:val="0"/>
                <w:lang w:val="es-PE"/>
              </w:rPr>
              <w:t xml:space="preserve"> Personas con VIH, Protección judicial y garantías judiciales</w:t>
            </w:r>
            <w:r w:rsidR="00261070">
              <w:rPr>
                <w:rFonts w:ascii="Calibri Light" w:hAnsi="Calibri Light"/>
                <w:b w:val="0"/>
                <w:lang w:val="es-PE"/>
              </w:rPr>
              <w:t>, Salud</w:t>
            </w:r>
          </w:p>
        </w:tc>
      </w:tr>
      <w:tr w:rsidR="005173CF" w:rsidRPr="004533E5" w14:paraId="69044E7B" w14:textId="77777777" w:rsidTr="008A2A55">
        <w:trPr>
          <w:trHeight w:val="567"/>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190B7E98" w14:textId="216C4765" w:rsidR="00AC6F31" w:rsidRPr="008A2A55" w:rsidRDefault="007A6C56" w:rsidP="008A2A55">
            <w:pPr>
              <w:pStyle w:val="ListParagraph"/>
              <w:numPr>
                <w:ilvl w:val="0"/>
                <w:numId w:val="2"/>
              </w:numPr>
              <w:jc w:val="center"/>
              <w:rPr>
                <w:rFonts w:ascii="Calibri Light" w:hAnsi="Calibri Light"/>
              </w:rPr>
            </w:pPr>
            <w:r w:rsidRPr="004533E5">
              <w:rPr>
                <w:rFonts w:ascii="Calibri Light" w:hAnsi="Calibri Light"/>
              </w:rPr>
              <w:t>Hechos</w:t>
            </w:r>
          </w:p>
        </w:tc>
      </w:tr>
      <w:tr w:rsidR="005173CF" w:rsidRPr="004533E5" w14:paraId="6F58DE83" w14:textId="77777777" w:rsidTr="00A94EE7">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5213418F" w14:textId="77777777" w:rsidR="0083300D" w:rsidRDefault="0083300D" w:rsidP="0036672C">
            <w:pPr>
              <w:jc w:val="both"/>
              <w:rPr>
                <w:rFonts w:ascii="Calibri Light" w:hAnsi="Calibri Light"/>
                <w:b w:val="0"/>
              </w:rPr>
            </w:pPr>
          </w:p>
          <w:p w14:paraId="046E145B" w14:textId="0C59172A" w:rsidR="009B1D1A" w:rsidRDefault="0036672C" w:rsidP="009B1D1A">
            <w:pPr>
              <w:jc w:val="both"/>
              <w:rPr>
                <w:rFonts w:ascii="Calibri Light" w:hAnsi="Calibri Light"/>
                <w:b w:val="0"/>
              </w:rPr>
            </w:pPr>
            <w:r w:rsidRPr="003324C6">
              <w:rPr>
                <w:rFonts w:ascii="Calibri Light" w:hAnsi="Calibri Light"/>
                <w:b w:val="0"/>
              </w:rPr>
              <w:t xml:space="preserve">En Guatemala, un grupo de 49 personas fueron diagnosticadas, entre otras muchas, con VIH/SIDA entre los años 1992 y 2003. A pesar </w:t>
            </w:r>
            <w:r w:rsidR="005A4E91" w:rsidRPr="003324C6">
              <w:rPr>
                <w:rFonts w:ascii="Calibri Light" w:hAnsi="Calibri Light"/>
                <w:b w:val="0"/>
              </w:rPr>
              <w:t xml:space="preserve">de </w:t>
            </w:r>
            <w:r w:rsidRPr="003324C6">
              <w:rPr>
                <w:rFonts w:ascii="Calibri Light" w:hAnsi="Calibri Light"/>
                <w:b w:val="0"/>
              </w:rPr>
              <w:t xml:space="preserve">que la Constitución del año 1985 y otras </w:t>
            </w:r>
            <w:r w:rsidRPr="003324C6">
              <w:rPr>
                <w:rFonts w:ascii="Calibri Light" w:hAnsi="Calibri Light"/>
                <w:b w:val="0"/>
              </w:rPr>
              <w:lastRenderedPageBreak/>
              <w:t xml:space="preserve">normas, como el Decreto No. 27-2000, establecían que el Estado debía velar por </w:t>
            </w:r>
            <w:r w:rsidR="0063029C" w:rsidRPr="003324C6">
              <w:rPr>
                <w:rFonts w:ascii="Calibri Light" w:hAnsi="Calibri Light"/>
                <w:b w:val="0"/>
              </w:rPr>
              <w:t xml:space="preserve">la salud de quienes padecen esta enfermedad, </w:t>
            </w:r>
            <w:r w:rsidR="005A4E91" w:rsidRPr="003324C6">
              <w:rPr>
                <w:rFonts w:ascii="Calibri Light" w:hAnsi="Calibri Light"/>
                <w:b w:val="0"/>
              </w:rPr>
              <w:t xml:space="preserve">y </w:t>
            </w:r>
            <w:r w:rsidR="0063029C" w:rsidRPr="003324C6">
              <w:rPr>
                <w:rFonts w:ascii="Calibri Light" w:hAnsi="Calibri Light"/>
                <w:b w:val="0"/>
              </w:rPr>
              <w:t xml:space="preserve">prestar adecuados servicios de salud y tratamientos, hasta el año 2002 </w:t>
            </w:r>
            <w:r w:rsidR="00CA0EA3" w:rsidRPr="003324C6">
              <w:rPr>
                <w:rFonts w:ascii="Calibri Light" w:hAnsi="Calibri Light"/>
                <w:b w:val="0"/>
              </w:rPr>
              <w:t xml:space="preserve">el Estado </w:t>
            </w:r>
            <w:r w:rsidR="00B11135" w:rsidRPr="003324C6">
              <w:rPr>
                <w:rFonts w:ascii="Calibri Light" w:hAnsi="Calibri Light"/>
                <w:b w:val="0"/>
              </w:rPr>
              <w:t xml:space="preserve">solo había </w:t>
            </w:r>
            <w:r w:rsidR="00CA0EA3" w:rsidRPr="003324C6">
              <w:rPr>
                <w:rFonts w:ascii="Calibri Light" w:hAnsi="Calibri Light"/>
                <w:b w:val="0"/>
              </w:rPr>
              <w:t>brinda</w:t>
            </w:r>
            <w:r w:rsidR="00B11135" w:rsidRPr="003324C6">
              <w:rPr>
                <w:rFonts w:ascii="Calibri Light" w:hAnsi="Calibri Light"/>
                <w:b w:val="0"/>
              </w:rPr>
              <w:t>do</w:t>
            </w:r>
            <w:r w:rsidR="00CA0EA3" w:rsidRPr="003324C6">
              <w:rPr>
                <w:rFonts w:ascii="Calibri Light" w:hAnsi="Calibri Light"/>
                <w:b w:val="0"/>
              </w:rPr>
              <w:t xml:space="preserve"> tratamiento </w:t>
            </w:r>
            <w:r w:rsidR="0063029C" w:rsidRPr="003324C6">
              <w:rPr>
                <w:rFonts w:ascii="Calibri Light" w:hAnsi="Calibri Light"/>
                <w:b w:val="0"/>
              </w:rPr>
              <w:t>a 27 personas diagnosticadas.</w:t>
            </w:r>
            <w:r w:rsidR="00EB2E9A" w:rsidRPr="003324C6">
              <w:rPr>
                <w:rFonts w:ascii="Calibri Light" w:hAnsi="Calibri Light"/>
                <w:b w:val="0"/>
              </w:rPr>
              <w:t xml:space="preserve"> Las personas sin acceso al tratamiento respectivo presentaban con frecuencia un deterioro en su salud a raíz de las </w:t>
            </w:r>
            <w:r w:rsidR="00B11135" w:rsidRPr="003324C6">
              <w:rPr>
                <w:rFonts w:ascii="Calibri Light" w:hAnsi="Calibri Light"/>
                <w:b w:val="0"/>
              </w:rPr>
              <w:t>“</w:t>
            </w:r>
            <w:r w:rsidR="00EB2E9A" w:rsidRPr="003324C6">
              <w:rPr>
                <w:rFonts w:ascii="Calibri Light" w:hAnsi="Calibri Light"/>
                <w:b w:val="0"/>
              </w:rPr>
              <w:t>enfermedades oportunistas</w:t>
            </w:r>
            <w:r w:rsidR="00B11135" w:rsidRPr="003324C6">
              <w:rPr>
                <w:rFonts w:ascii="Calibri Light" w:hAnsi="Calibri Light"/>
                <w:b w:val="0"/>
              </w:rPr>
              <w:t>”</w:t>
            </w:r>
            <w:r w:rsidR="00EB2E9A" w:rsidRPr="003324C6">
              <w:rPr>
                <w:rFonts w:ascii="Calibri Light" w:hAnsi="Calibri Light"/>
                <w:b w:val="0"/>
              </w:rPr>
              <w:t xml:space="preserve"> que adquirían.</w:t>
            </w:r>
            <w:r w:rsidR="0083300D">
              <w:rPr>
                <w:rFonts w:ascii="Calibri Light" w:hAnsi="Calibri Light"/>
                <w:b w:val="0"/>
              </w:rPr>
              <w:t xml:space="preserve"> </w:t>
            </w:r>
            <w:r w:rsidR="009E6CE0" w:rsidRPr="003324C6">
              <w:rPr>
                <w:rFonts w:ascii="Calibri Light" w:hAnsi="Calibri Light"/>
                <w:b w:val="0"/>
              </w:rPr>
              <w:t xml:space="preserve">Un grupo de </w:t>
            </w:r>
            <w:r w:rsidR="0083300D">
              <w:rPr>
                <w:rFonts w:ascii="Calibri Light" w:hAnsi="Calibri Light"/>
                <w:b w:val="0"/>
              </w:rPr>
              <w:t>estas personas</w:t>
            </w:r>
            <w:r w:rsidR="009E6CE0" w:rsidRPr="003324C6">
              <w:rPr>
                <w:rFonts w:ascii="Calibri Light" w:hAnsi="Calibri Light"/>
                <w:b w:val="0"/>
              </w:rPr>
              <w:t>, con el apoyo de organizaci</w:t>
            </w:r>
            <w:r w:rsidR="00CA0EA3" w:rsidRPr="003324C6">
              <w:rPr>
                <w:rFonts w:ascii="Calibri Light" w:hAnsi="Calibri Light"/>
                <w:b w:val="0"/>
              </w:rPr>
              <w:t>ones en defensa de los derechos</w:t>
            </w:r>
            <w:r w:rsidR="009E6CE0" w:rsidRPr="003324C6">
              <w:rPr>
                <w:rFonts w:ascii="Calibri Light" w:hAnsi="Calibri Light"/>
                <w:b w:val="0"/>
              </w:rPr>
              <w:t xml:space="preserve"> de las personas con VIH/SIDA, enviaron </w:t>
            </w:r>
            <w:r w:rsidR="00CA0EA3" w:rsidRPr="003324C6">
              <w:rPr>
                <w:rFonts w:ascii="Calibri Light" w:hAnsi="Calibri Light"/>
                <w:b w:val="0"/>
              </w:rPr>
              <w:t xml:space="preserve">cartas </w:t>
            </w:r>
            <w:r w:rsidR="009E6CE0" w:rsidRPr="003324C6">
              <w:rPr>
                <w:rFonts w:ascii="Calibri Light" w:hAnsi="Calibri Light"/>
                <w:b w:val="0"/>
              </w:rPr>
              <w:t>durante los años 2001 y 2002 al Ministro de Salud y al Presidente de la República respectivamente</w:t>
            </w:r>
            <w:r w:rsidR="00D051F6" w:rsidRPr="003324C6">
              <w:rPr>
                <w:rFonts w:ascii="Calibri Light" w:hAnsi="Calibri Light"/>
                <w:b w:val="0"/>
              </w:rPr>
              <w:t>, en las que solicitaban unidades de atención integral de VIH/SIDA</w:t>
            </w:r>
            <w:r w:rsidR="00865DD3">
              <w:rPr>
                <w:rFonts w:ascii="Calibri Light" w:hAnsi="Calibri Light"/>
                <w:b w:val="0"/>
              </w:rPr>
              <w:t>,</w:t>
            </w:r>
            <w:r w:rsidR="00D051F6" w:rsidRPr="003324C6">
              <w:rPr>
                <w:rFonts w:ascii="Calibri Light" w:hAnsi="Calibri Light"/>
                <w:b w:val="0"/>
              </w:rPr>
              <w:t xml:space="preserve"> el incremento de la prestación del tratamiento antirretroviral, y denunciaban </w:t>
            </w:r>
            <w:r w:rsidR="00894D7E" w:rsidRPr="003324C6">
              <w:rPr>
                <w:rFonts w:ascii="Calibri Light" w:hAnsi="Calibri Light"/>
                <w:b w:val="0"/>
              </w:rPr>
              <w:t>que la falta de prestación de estos servicios violaba sus derechos constitucionales. Ninguna de las cartas recibió respuesta con la urgencia que demandaba el caso.</w:t>
            </w:r>
          </w:p>
          <w:p w14:paraId="3E395075" w14:textId="77777777" w:rsidR="009B1D1A" w:rsidRDefault="009B1D1A" w:rsidP="009B1D1A">
            <w:pPr>
              <w:jc w:val="both"/>
              <w:rPr>
                <w:rFonts w:ascii="Calibri Light" w:hAnsi="Calibri Light"/>
                <w:b w:val="0"/>
              </w:rPr>
            </w:pPr>
          </w:p>
          <w:p w14:paraId="58A779BF" w14:textId="751ADAD7" w:rsidR="00B02B3D" w:rsidRPr="003324C6" w:rsidRDefault="009E6CE0" w:rsidP="009B1D1A">
            <w:pPr>
              <w:jc w:val="both"/>
              <w:rPr>
                <w:rFonts w:ascii="Calibri Light" w:hAnsi="Calibri Light"/>
                <w:b w:val="0"/>
              </w:rPr>
            </w:pPr>
            <w:r w:rsidRPr="003324C6">
              <w:rPr>
                <w:rFonts w:ascii="Calibri Light" w:hAnsi="Calibri Light"/>
                <w:b w:val="0"/>
              </w:rPr>
              <w:t xml:space="preserve">Ante esa situación, </w:t>
            </w:r>
            <w:r w:rsidR="0083300D">
              <w:rPr>
                <w:rFonts w:ascii="Calibri Light" w:hAnsi="Calibri Light"/>
                <w:b w:val="0"/>
              </w:rPr>
              <w:t>presentaron</w:t>
            </w:r>
            <w:r w:rsidRPr="003324C6">
              <w:rPr>
                <w:rFonts w:ascii="Calibri Light" w:hAnsi="Calibri Light"/>
                <w:b w:val="0"/>
              </w:rPr>
              <w:t xml:space="preserve"> un recurso de amparo ante la Corte de Constitucionalidad de Guatemala, demandando la implementación de una política </w:t>
            </w:r>
            <w:r w:rsidR="00B02B3D" w:rsidRPr="003324C6">
              <w:rPr>
                <w:rFonts w:ascii="Calibri Light" w:hAnsi="Calibri Light"/>
                <w:b w:val="0"/>
              </w:rPr>
              <w:t>para la atención de personas con VIH/SIDA que fuera congruente con la realidad financiera del Estado</w:t>
            </w:r>
            <w:r w:rsidRPr="003324C6">
              <w:rPr>
                <w:rFonts w:ascii="Calibri Light" w:hAnsi="Calibri Light"/>
                <w:b w:val="0"/>
              </w:rPr>
              <w:t xml:space="preserve">, </w:t>
            </w:r>
            <w:r w:rsidR="00B02B3D" w:rsidRPr="003324C6">
              <w:rPr>
                <w:rFonts w:ascii="Calibri Light" w:hAnsi="Calibri Light"/>
                <w:b w:val="0"/>
              </w:rPr>
              <w:t>el aumento del presupuesto para los tratamientos, y, en general, la restitución del derecho a la salud de todas las personas que no estaban siendo atendidas y padecían las enfermedades.</w:t>
            </w:r>
            <w:r w:rsidR="0083300D">
              <w:rPr>
                <w:rFonts w:ascii="Calibri Light" w:hAnsi="Calibri Light"/>
                <w:b w:val="0"/>
              </w:rPr>
              <w:t xml:space="preserve"> En este contexto, </w:t>
            </w:r>
            <w:r w:rsidR="00B02B3D" w:rsidRPr="003324C6">
              <w:rPr>
                <w:rFonts w:ascii="Calibri Light" w:hAnsi="Calibri Light"/>
                <w:b w:val="0"/>
              </w:rPr>
              <w:t>tras una reunión con el Presidente de la República</w:t>
            </w:r>
            <w:r w:rsidR="006C66A6" w:rsidRPr="003324C6">
              <w:rPr>
                <w:rFonts w:ascii="Calibri Light" w:hAnsi="Calibri Light"/>
                <w:b w:val="0"/>
              </w:rPr>
              <w:t>,</w:t>
            </w:r>
            <w:r w:rsidR="00B02B3D" w:rsidRPr="003324C6">
              <w:rPr>
                <w:rFonts w:ascii="Calibri Light" w:hAnsi="Calibri Light"/>
                <w:b w:val="0"/>
              </w:rPr>
              <w:t xml:space="preserve"> </w:t>
            </w:r>
            <w:r w:rsidR="0083300D" w:rsidRPr="003324C6">
              <w:rPr>
                <w:rFonts w:ascii="Calibri Light" w:hAnsi="Calibri Light"/>
                <w:b w:val="0"/>
              </w:rPr>
              <w:t>el 10 de octubre de 2002</w:t>
            </w:r>
            <w:r w:rsidR="0083300D">
              <w:rPr>
                <w:rFonts w:ascii="Calibri Light" w:hAnsi="Calibri Light"/>
                <w:b w:val="0"/>
              </w:rPr>
              <w:t>,</w:t>
            </w:r>
            <w:r w:rsidR="0083300D" w:rsidRPr="003324C6">
              <w:rPr>
                <w:rFonts w:ascii="Calibri Light" w:hAnsi="Calibri Light"/>
                <w:b w:val="0"/>
              </w:rPr>
              <w:t xml:space="preserve"> </w:t>
            </w:r>
            <w:r w:rsidR="006D4CB9">
              <w:rPr>
                <w:rFonts w:ascii="Calibri Light" w:hAnsi="Calibri Light"/>
                <w:b w:val="0"/>
              </w:rPr>
              <w:t xml:space="preserve">el Poder Ejecutivo ordenó la </w:t>
            </w:r>
            <w:r w:rsidR="0083300D">
              <w:rPr>
                <w:rFonts w:ascii="Calibri Light" w:hAnsi="Calibri Light"/>
                <w:b w:val="0"/>
              </w:rPr>
              <w:t>transf</w:t>
            </w:r>
            <w:r w:rsidR="006D4CB9">
              <w:rPr>
                <w:rFonts w:ascii="Calibri Light" w:hAnsi="Calibri Light"/>
                <w:b w:val="0"/>
              </w:rPr>
              <w:t>erencia</w:t>
            </w:r>
            <w:r w:rsidR="0083300D">
              <w:rPr>
                <w:rFonts w:ascii="Calibri Light" w:hAnsi="Calibri Light"/>
                <w:b w:val="0"/>
              </w:rPr>
              <w:t xml:space="preserve"> </w:t>
            </w:r>
            <w:r w:rsidR="006D4CB9">
              <w:rPr>
                <w:rFonts w:ascii="Calibri Light" w:hAnsi="Calibri Light"/>
                <w:b w:val="0"/>
              </w:rPr>
              <w:t xml:space="preserve">de </w:t>
            </w:r>
            <w:r w:rsidR="00B02B3D" w:rsidRPr="003324C6">
              <w:rPr>
                <w:rFonts w:ascii="Calibri Light" w:hAnsi="Calibri Light"/>
                <w:b w:val="0"/>
              </w:rPr>
              <w:t>un monto de 500</w:t>
            </w:r>
            <w:r w:rsidR="00B71498" w:rsidRPr="003324C6">
              <w:rPr>
                <w:rFonts w:ascii="Calibri Light" w:hAnsi="Calibri Light"/>
                <w:b w:val="0"/>
              </w:rPr>
              <w:t>,</w:t>
            </w:r>
            <w:r w:rsidR="00261070">
              <w:rPr>
                <w:rFonts w:ascii="Calibri Light" w:hAnsi="Calibri Light"/>
                <w:b w:val="0"/>
              </w:rPr>
              <w:t>000</w:t>
            </w:r>
            <w:r w:rsidR="00B02B3D" w:rsidRPr="003324C6">
              <w:rPr>
                <w:rFonts w:ascii="Calibri Light" w:hAnsi="Calibri Light"/>
                <w:b w:val="0"/>
              </w:rPr>
              <w:t xml:space="preserve"> quetzales para la atención de pacientes con VIH/SIDA</w:t>
            </w:r>
            <w:r w:rsidR="0083300D">
              <w:rPr>
                <w:rFonts w:ascii="Calibri Light" w:hAnsi="Calibri Light"/>
                <w:b w:val="0"/>
              </w:rPr>
              <w:t xml:space="preserve">. No </w:t>
            </w:r>
            <w:r w:rsidR="00A76BE2">
              <w:rPr>
                <w:rFonts w:ascii="Calibri Light" w:hAnsi="Calibri Light"/>
                <w:b w:val="0"/>
              </w:rPr>
              <w:t>obstante</w:t>
            </w:r>
            <w:r w:rsidR="0083300D">
              <w:rPr>
                <w:rFonts w:ascii="Calibri Light" w:hAnsi="Calibri Light"/>
                <w:b w:val="0"/>
              </w:rPr>
              <w:t>,</w:t>
            </w:r>
            <w:r w:rsidR="00B02B3D" w:rsidRPr="003324C6">
              <w:rPr>
                <w:rFonts w:ascii="Calibri Light" w:hAnsi="Calibri Light"/>
                <w:b w:val="0"/>
              </w:rPr>
              <w:t xml:space="preserve"> el presupuesto adicional asignado no fue suficiente para cubrir la atención y tratamiento de todos los diagnosticados. A pesar de </w:t>
            </w:r>
            <w:r w:rsidR="00B71498" w:rsidRPr="003324C6">
              <w:rPr>
                <w:rFonts w:ascii="Calibri Light" w:hAnsi="Calibri Light"/>
                <w:b w:val="0"/>
              </w:rPr>
              <w:t>ello</w:t>
            </w:r>
            <w:r w:rsidR="00B02B3D" w:rsidRPr="003324C6">
              <w:rPr>
                <w:rFonts w:ascii="Calibri Light" w:hAnsi="Calibri Light"/>
                <w:b w:val="0"/>
              </w:rPr>
              <w:t>, la Corte de Constitucionalidad declaró la improcedencia del recurso de amparo en el año 2003 por considerar que la afectación había cesado tras la reunión con el Presidente y el presupuesto adicional otorgado.</w:t>
            </w:r>
          </w:p>
          <w:p w14:paraId="712DB500" w14:textId="77777777" w:rsidR="00B02B3D" w:rsidRPr="003324C6" w:rsidRDefault="00B02B3D" w:rsidP="009B1D1A">
            <w:pPr>
              <w:jc w:val="both"/>
              <w:rPr>
                <w:rFonts w:ascii="Calibri Light" w:hAnsi="Calibri Light"/>
                <w:b w:val="0"/>
              </w:rPr>
            </w:pPr>
          </w:p>
          <w:p w14:paraId="522148B6" w14:textId="5B96B013" w:rsidR="00B02B3D" w:rsidRPr="003324C6" w:rsidRDefault="003309B4" w:rsidP="009B1D1A">
            <w:pPr>
              <w:jc w:val="both"/>
              <w:rPr>
                <w:rFonts w:ascii="Calibri Light" w:hAnsi="Calibri Light"/>
                <w:b w:val="0"/>
              </w:rPr>
            </w:pPr>
            <w:r>
              <w:rPr>
                <w:rFonts w:ascii="Calibri Light" w:hAnsi="Calibri Light"/>
                <w:b w:val="0"/>
              </w:rPr>
              <w:t>Tras el fallo de la Corte</w:t>
            </w:r>
            <w:r w:rsidR="001B0290">
              <w:rPr>
                <w:rFonts w:ascii="Calibri Light" w:hAnsi="Calibri Light"/>
                <w:b w:val="0"/>
              </w:rPr>
              <w:t xml:space="preserve">, </w:t>
            </w:r>
            <w:r w:rsidR="001B0290" w:rsidRPr="003324C6">
              <w:rPr>
                <w:rFonts w:ascii="Calibri Light" w:hAnsi="Calibri Light"/>
                <w:b w:val="0"/>
              </w:rPr>
              <w:t>se celebró una reunión más con el Presidente, y</w:t>
            </w:r>
            <w:r w:rsidR="00B64904">
              <w:rPr>
                <w:rFonts w:ascii="Calibri Light" w:hAnsi="Calibri Light"/>
                <w:b w:val="0"/>
              </w:rPr>
              <w:t xml:space="preserve"> entre 2003 y 20</w:t>
            </w:r>
            <w:r w:rsidR="00954741">
              <w:rPr>
                <w:rFonts w:ascii="Calibri Light" w:hAnsi="Calibri Light"/>
                <w:b w:val="0"/>
              </w:rPr>
              <w:t>05</w:t>
            </w:r>
            <w:r w:rsidR="001B0290" w:rsidRPr="003324C6">
              <w:rPr>
                <w:rFonts w:ascii="Calibri Light" w:hAnsi="Calibri Light"/>
                <w:b w:val="0"/>
              </w:rPr>
              <w:t xml:space="preserve"> se modificaron y emitieron normas para una mejor regulación en temas de salud pública en lo referente a personas con VIH/SIDA</w:t>
            </w:r>
            <w:r w:rsidR="001B0290">
              <w:rPr>
                <w:rFonts w:ascii="Calibri Light" w:hAnsi="Calibri Light"/>
                <w:b w:val="0"/>
              </w:rPr>
              <w:t>; sin embargo,</w:t>
            </w:r>
            <w:r w:rsidR="001B0290" w:rsidRPr="003324C6">
              <w:rPr>
                <w:rFonts w:ascii="Calibri Light" w:hAnsi="Calibri Light"/>
                <w:b w:val="0"/>
              </w:rPr>
              <w:t xml:space="preserve"> la situación no mejoró sustancialmente. </w:t>
            </w:r>
            <w:r w:rsidR="0063551B">
              <w:rPr>
                <w:rFonts w:ascii="Calibri Light" w:hAnsi="Calibri Light"/>
                <w:b w:val="0"/>
              </w:rPr>
              <w:t xml:space="preserve">Durante el </w:t>
            </w:r>
            <w:r w:rsidR="00427169">
              <w:rPr>
                <w:rFonts w:ascii="Calibri Light" w:hAnsi="Calibri Light"/>
                <w:b w:val="0"/>
              </w:rPr>
              <w:t>2006,</w:t>
            </w:r>
            <w:r w:rsidR="00202AFA">
              <w:rPr>
                <w:rFonts w:ascii="Calibri Light" w:hAnsi="Calibri Light"/>
                <w:b w:val="0"/>
              </w:rPr>
              <w:t xml:space="preserve"> </w:t>
            </w:r>
            <w:r w:rsidR="001B0290">
              <w:rPr>
                <w:rFonts w:ascii="Calibri Light" w:hAnsi="Calibri Light"/>
                <w:b w:val="0"/>
              </w:rPr>
              <w:t>se reportó que las personas diagnosticadas con VIH/SIDA que no tenían acceso a atención por parte del Estado, comenzaron a recibir tratamiento de entidades privadas.</w:t>
            </w:r>
            <w:r w:rsidR="00427169">
              <w:rPr>
                <w:rFonts w:ascii="Calibri Light" w:hAnsi="Calibri Light"/>
                <w:b w:val="0"/>
              </w:rPr>
              <w:t xml:space="preserve"> </w:t>
            </w:r>
            <w:r w:rsidR="00DF0CA6" w:rsidRPr="003324C6">
              <w:rPr>
                <w:rFonts w:ascii="Calibri Light" w:hAnsi="Calibri Light"/>
                <w:b w:val="0"/>
              </w:rPr>
              <w:t xml:space="preserve">De manera posterior </w:t>
            </w:r>
            <w:r w:rsidR="00B02B3D" w:rsidRPr="003324C6">
              <w:rPr>
                <w:rFonts w:ascii="Calibri Light" w:hAnsi="Calibri Light"/>
                <w:b w:val="0"/>
              </w:rPr>
              <w:t>a</w:t>
            </w:r>
            <w:r w:rsidR="00DF0CA6" w:rsidRPr="003324C6">
              <w:rPr>
                <w:rFonts w:ascii="Calibri Light" w:hAnsi="Calibri Light"/>
                <w:b w:val="0"/>
              </w:rPr>
              <w:t xml:space="preserve"> </w:t>
            </w:r>
            <w:r w:rsidR="00B02B3D" w:rsidRPr="003324C6">
              <w:rPr>
                <w:rFonts w:ascii="Calibri Light" w:hAnsi="Calibri Light"/>
                <w:b w:val="0"/>
              </w:rPr>
              <w:t xml:space="preserve">2006, </w:t>
            </w:r>
            <w:r w:rsidR="0083300D" w:rsidRPr="003324C6">
              <w:rPr>
                <w:rFonts w:ascii="Calibri Light" w:hAnsi="Calibri Light"/>
                <w:b w:val="0"/>
              </w:rPr>
              <w:t>a pesar de que más pacientes pasaron a ser atendidos por el Estado,</w:t>
            </w:r>
            <w:r w:rsidR="0083300D">
              <w:rPr>
                <w:rFonts w:ascii="Calibri Light" w:hAnsi="Calibri Light"/>
                <w:b w:val="0"/>
              </w:rPr>
              <w:t xml:space="preserve"> </w:t>
            </w:r>
            <w:r w:rsidR="00B02B3D" w:rsidRPr="003324C6">
              <w:rPr>
                <w:rFonts w:ascii="Calibri Light" w:hAnsi="Calibri Light"/>
                <w:b w:val="0"/>
              </w:rPr>
              <w:t>se s</w:t>
            </w:r>
            <w:r w:rsidR="00DF0CA6" w:rsidRPr="003324C6">
              <w:rPr>
                <w:rFonts w:ascii="Calibri Light" w:hAnsi="Calibri Light"/>
                <w:b w:val="0"/>
              </w:rPr>
              <w:t>iguieron</w:t>
            </w:r>
            <w:r w:rsidR="00894D7E" w:rsidRPr="003324C6">
              <w:rPr>
                <w:rFonts w:ascii="Calibri Light" w:hAnsi="Calibri Light"/>
                <w:b w:val="0"/>
              </w:rPr>
              <w:t xml:space="preserve"> </w:t>
            </w:r>
            <w:r w:rsidR="00B02B3D" w:rsidRPr="003324C6">
              <w:rPr>
                <w:rFonts w:ascii="Calibri Light" w:hAnsi="Calibri Light"/>
                <w:b w:val="0"/>
              </w:rPr>
              <w:t xml:space="preserve">reportando falencias en el sistema de atención y tratamiento integral </w:t>
            </w:r>
            <w:r w:rsidR="0083300D">
              <w:rPr>
                <w:rFonts w:ascii="Calibri Light" w:hAnsi="Calibri Light"/>
                <w:b w:val="0"/>
              </w:rPr>
              <w:t>que incluyeron</w:t>
            </w:r>
            <w:r w:rsidR="00894D7E" w:rsidRPr="003324C6">
              <w:rPr>
                <w:rFonts w:ascii="Calibri Light" w:hAnsi="Calibri Light"/>
                <w:b w:val="0"/>
              </w:rPr>
              <w:t xml:space="preserve"> la escasez de medicamentos para los tratamientos antirretrovirales, el recorte de presupuesto para la atención de pacientes con VIH en el </w:t>
            </w:r>
            <w:r w:rsidR="003324C6" w:rsidRPr="003324C6">
              <w:rPr>
                <w:rFonts w:ascii="Calibri Light" w:hAnsi="Calibri Light"/>
                <w:b w:val="0"/>
              </w:rPr>
              <w:t>2007</w:t>
            </w:r>
            <w:r w:rsidR="00894D7E" w:rsidRPr="003324C6">
              <w:rPr>
                <w:rFonts w:ascii="Calibri Light" w:hAnsi="Calibri Light"/>
                <w:b w:val="0"/>
              </w:rPr>
              <w:t xml:space="preserve">, </w:t>
            </w:r>
            <w:r w:rsidR="003324C6" w:rsidRPr="003324C6">
              <w:rPr>
                <w:rFonts w:ascii="Calibri Light" w:hAnsi="Calibri Light"/>
                <w:b w:val="0"/>
              </w:rPr>
              <w:t>y la falta de abastecimiento en general por parte del Estado para atender la demanda de la población con VIH/SIDA</w:t>
            </w:r>
            <w:r w:rsidR="0083300D">
              <w:rPr>
                <w:rFonts w:ascii="Calibri Light" w:hAnsi="Calibri Light"/>
                <w:b w:val="0"/>
              </w:rPr>
              <w:t>. Todo ello</w:t>
            </w:r>
            <w:r w:rsidR="003324C6" w:rsidRPr="003324C6">
              <w:rPr>
                <w:rFonts w:ascii="Calibri Light" w:hAnsi="Calibri Light"/>
                <w:b w:val="0"/>
              </w:rPr>
              <w:t xml:space="preserve"> llevó a muchos a seguir recibiendo tratamiento por parte de entidades privadas.</w:t>
            </w:r>
            <w:r w:rsidR="00F725FC">
              <w:rPr>
                <w:rFonts w:ascii="Calibri Light" w:hAnsi="Calibri Light"/>
                <w:b w:val="0"/>
              </w:rPr>
              <w:t xml:space="preserve"> Cabe señalar que ocho de las presuntas víctimas fallecieron, según los peticionarios, debido a la falta de atención médica por parte del Estado. </w:t>
            </w:r>
          </w:p>
          <w:p w14:paraId="33F8D00E" w14:textId="77777777" w:rsidR="005A4E91" w:rsidRPr="003324C6" w:rsidRDefault="005A4E91" w:rsidP="009B1D1A">
            <w:pPr>
              <w:jc w:val="both"/>
              <w:rPr>
                <w:rFonts w:ascii="Calibri Light" w:hAnsi="Calibri Light"/>
                <w:b w:val="0"/>
              </w:rPr>
            </w:pPr>
          </w:p>
          <w:p w14:paraId="3AE77E4F" w14:textId="231F8D85" w:rsidR="005A4E91" w:rsidRDefault="005A4E91" w:rsidP="009B1D1A">
            <w:pPr>
              <w:jc w:val="both"/>
              <w:rPr>
                <w:rFonts w:ascii="Calibri Light" w:hAnsi="Calibri Light"/>
                <w:b w:val="0"/>
              </w:rPr>
            </w:pPr>
            <w:r w:rsidRPr="003324C6">
              <w:rPr>
                <w:rFonts w:ascii="Calibri Light" w:hAnsi="Calibri Light"/>
                <w:b w:val="0"/>
              </w:rPr>
              <w:t xml:space="preserve">Frente a tales hechos, </w:t>
            </w:r>
            <w:r w:rsidR="003324C6" w:rsidRPr="003324C6">
              <w:rPr>
                <w:rFonts w:ascii="Calibri Light" w:hAnsi="Calibri Light"/>
                <w:b w:val="0"/>
              </w:rPr>
              <w:t>el Centro por la Justicia y el Derecho Internacional</w:t>
            </w:r>
            <w:r w:rsidR="0083300D">
              <w:rPr>
                <w:rFonts w:ascii="Calibri Light" w:hAnsi="Calibri Light"/>
                <w:b w:val="0"/>
              </w:rPr>
              <w:t xml:space="preserve"> (</w:t>
            </w:r>
            <w:r w:rsidR="003324C6" w:rsidRPr="003324C6">
              <w:rPr>
                <w:rFonts w:ascii="Calibri Light" w:hAnsi="Calibri Light"/>
                <w:b w:val="0"/>
              </w:rPr>
              <w:t>CEJIL</w:t>
            </w:r>
            <w:r w:rsidR="0083300D">
              <w:rPr>
                <w:rFonts w:ascii="Calibri Light" w:hAnsi="Calibri Light"/>
                <w:b w:val="0"/>
              </w:rPr>
              <w:t>), l</w:t>
            </w:r>
            <w:r w:rsidR="003324C6" w:rsidRPr="003324C6">
              <w:rPr>
                <w:rFonts w:ascii="Calibri Light" w:hAnsi="Calibri Light"/>
                <w:b w:val="0"/>
              </w:rPr>
              <w:t>a Red Nacional de Personas que Viven con el VIH/SIDA, la Asociación Gente Unida, el Proyecto Vida, la Fundación Preventiva del SIDA Fernando Iturbide, y la Asociación de Salud Integral</w:t>
            </w:r>
            <w:r w:rsidRPr="003324C6">
              <w:rPr>
                <w:rFonts w:ascii="Calibri Light" w:hAnsi="Calibri Light"/>
                <w:b w:val="0"/>
              </w:rPr>
              <w:t xml:space="preserve"> presentaron una petición ante la CIDH, denunciando que el Estado de </w:t>
            </w:r>
            <w:r w:rsidR="003324C6" w:rsidRPr="003324C6">
              <w:rPr>
                <w:rFonts w:ascii="Calibri Light" w:hAnsi="Calibri Light"/>
                <w:b w:val="0"/>
              </w:rPr>
              <w:t>Guatemala</w:t>
            </w:r>
            <w:r w:rsidRPr="003324C6">
              <w:rPr>
                <w:rFonts w:ascii="Calibri Light" w:hAnsi="Calibri Light"/>
                <w:b w:val="0"/>
              </w:rPr>
              <w:t xml:space="preserve"> había vulnerado los derechos </w:t>
            </w:r>
            <w:r w:rsidR="00865DD3" w:rsidRPr="003324C6">
              <w:rPr>
                <w:rFonts w:ascii="Calibri Light" w:hAnsi="Calibri Light"/>
                <w:b w:val="0"/>
              </w:rPr>
              <w:t xml:space="preserve">de 49 personas con VIH/SIDA </w:t>
            </w:r>
            <w:r w:rsidRPr="003324C6">
              <w:rPr>
                <w:rFonts w:ascii="Calibri Light" w:hAnsi="Calibri Light"/>
                <w:b w:val="0"/>
              </w:rPr>
              <w:t xml:space="preserve">a </w:t>
            </w:r>
            <w:r w:rsidR="003324C6" w:rsidRPr="003324C6">
              <w:rPr>
                <w:rFonts w:ascii="Calibri Light" w:hAnsi="Calibri Light"/>
                <w:b w:val="0"/>
              </w:rPr>
              <w:t>la vida, la integridad personal</w:t>
            </w:r>
            <w:r w:rsidR="00865DD3">
              <w:rPr>
                <w:rFonts w:ascii="Calibri Light" w:hAnsi="Calibri Light"/>
                <w:b w:val="0"/>
              </w:rPr>
              <w:t xml:space="preserve"> </w:t>
            </w:r>
            <w:r w:rsidR="003324C6" w:rsidRPr="003324C6">
              <w:rPr>
                <w:rFonts w:ascii="Calibri Light" w:hAnsi="Calibri Light"/>
                <w:b w:val="0"/>
              </w:rPr>
              <w:t>y la protección judicial</w:t>
            </w:r>
            <w:r w:rsidRPr="003324C6">
              <w:rPr>
                <w:rFonts w:ascii="Calibri Light" w:hAnsi="Calibri Light"/>
                <w:b w:val="0"/>
              </w:rPr>
              <w:t>, reconocidos en la Convención Americana sobre</w:t>
            </w:r>
            <w:r w:rsidR="0018665E">
              <w:rPr>
                <w:rFonts w:ascii="Calibri Light" w:hAnsi="Calibri Light"/>
                <w:b w:val="0"/>
              </w:rPr>
              <w:t xml:space="preserve"> Derechos Humanos (</w:t>
            </w:r>
            <w:r w:rsidR="00865DD3">
              <w:rPr>
                <w:rFonts w:ascii="Calibri Light" w:hAnsi="Calibri Light"/>
                <w:b w:val="0"/>
              </w:rPr>
              <w:t xml:space="preserve">en adelante, </w:t>
            </w:r>
            <w:r w:rsidRPr="003324C6">
              <w:rPr>
                <w:rFonts w:ascii="Calibri Light" w:hAnsi="Calibri Light"/>
                <w:b w:val="0"/>
              </w:rPr>
              <w:t xml:space="preserve">CADH). </w:t>
            </w:r>
          </w:p>
          <w:p w14:paraId="6543A68A" w14:textId="75398670" w:rsidR="00F70307" w:rsidRPr="003324C6" w:rsidRDefault="00F70307" w:rsidP="0083300D">
            <w:pPr>
              <w:jc w:val="both"/>
              <w:rPr>
                <w:rFonts w:ascii="Calibri Light" w:hAnsi="Calibri Light"/>
                <w:b w:val="0"/>
              </w:rPr>
            </w:pPr>
          </w:p>
        </w:tc>
      </w:tr>
      <w:tr w:rsidR="005173CF" w:rsidRPr="004533E5" w14:paraId="7B81A2F3" w14:textId="77777777" w:rsidTr="004F7DAE">
        <w:trPr>
          <w:trHeight w:val="567"/>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158A739A" w14:textId="057A204B" w:rsidR="00AC6F31" w:rsidRPr="004F7DAE" w:rsidRDefault="003E6AB8" w:rsidP="004F7DAE">
            <w:pPr>
              <w:pStyle w:val="ListParagraph"/>
              <w:numPr>
                <w:ilvl w:val="0"/>
                <w:numId w:val="2"/>
              </w:numPr>
              <w:jc w:val="center"/>
              <w:rPr>
                <w:rFonts w:ascii="Calibri Light" w:hAnsi="Calibri Light"/>
              </w:rPr>
            </w:pPr>
            <w:r>
              <w:rPr>
                <w:rFonts w:ascii="Calibri Light" w:hAnsi="Calibri Light"/>
              </w:rPr>
              <w:lastRenderedPageBreak/>
              <w:t>Análisis jurídico</w:t>
            </w:r>
          </w:p>
        </w:tc>
      </w:tr>
      <w:tr w:rsidR="005173CF" w:rsidRPr="004533E5" w14:paraId="71AB3B44" w14:textId="77777777" w:rsidTr="0079281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21" w:type="dxa"/>
            <w:gridSpan w:val="3"/>
          </w:tcPr>
          <w:p w14:paraId="26AC653F" w14:textId="6D90DDE0" w:rsidR="00AC6F31" w:rsidRDefault="00AC6F31" w:rsidP="00AC6F31">
            <w:pPr>
              <w:pStyle w:val="ListParagraph"/>
              <w:ind w:left="360"/>
              <w:jc w:val="both"/>
              <w:rPr>
                <w:rFonts w:ascii="Calibri Light" w:hAnsi="Calibri Light"/>
                <w:b w:val="0"/>
              </w:rPr>
            </w:pPr>
          </w:p>
          <w:p w14:paraId="1704D256" w14:textId="66985414" w:rsidR="00AC6F31" w:rsidRDefault="00DC299D" w:rsidP="009F6931">
            <w:pPr>
              <w:jc w:val="both"/>
              <w:rPr>
                <w:rFonts w:ascii="Calibri Light" w:hAnsi="Calibri Light"/>
              </w:rPr>
            </w:pPr>
            <w:r>
              <w:rPr>
                <w:rFonts w:ascii="Calibri Light" w:hAnsi="Calibri Light"/>
              </w:rPr>
              <w:t xml:space="preserve">Derechos a la </w:t>
            </w:r>
            <w:r w:rsidR="00C53230">
              <w:rPr>
                <w:rFonts w:ascii="Calibri Light" w:hAnsi="Calibri Light"/>
              </w:rPr>
              <w:t>vida e integridad personal</w:t>
            </w:r>
            <w:r w:rsidR="00257EC9">
              <w:rPr>
                <w:rFonts w:ascii="Calibri Light" w:hAnsi="Calibri Light"/>
              </w:rPr>
              <w:t xml:space="preserve"> de Luis </w:t>
            </w:r>
            <w:r w:rsidR="00B80A14">
              <w:rPr>
                <w:rFonts w:ascii="Calibri Light" w:hAnsi="Calibri Light"/>
              </w:rPr>
              <w:t xml:space="preserve">Rolando </w:t>
            </w:r>
            <w:r w:rsidR="00257EC9">
              <w:rPr>
                <w:rFonts w:ascii="Calibri Light" w:hAnsi="Calibri Light"/>
              </w:rPr>
              <w:t>Cuscul Piraval y otras personas con VIH/SIDA (artículos 4 y 5 de la CADH)</w:t>
            </w:r>
            <w:r w:rsidR="00C53230">
              <w:rPr>
                <w:rFonts w:ascii="Calibri Light" w:hAnsi="Calibri Light"/>
              </w:rPr>
              <w:t xml:space="preserve"> </w:t>
            </w:r>
          </w:p>
          <w:p w14:paraId="139875D5" w14:textId="77777777" w:rsidR="00CB180B" w:rsidRDefault="00CB180B" w:rsidP="009F6931">
            <w:pPr>
              <w:jc w:val="both"/>
              <w:rPr>
                <w:rFonts w:ascii="Calibri Light" w:hAnsi="Calibri Light"/>
              </w:rPr>
            </w:pPr>
          </w:p>
          <w:p w14:paraId="0883BF5B" w14:textId="5D36E585" w:rsidR="00EC4E9F" w:rsidRDefault="00DC299D" w:rsidP="00EC4E9F">
            <w:pPr>
              <w:pStyle w:val="ListParagraph"/>
              <w:numPr>
                <w:ilvl w:val="0"/>
                <w:numId w:val="7"/>
              </w:numPr>
              <w:jc w:val="both"/>
              <w:rPr>
                <w:rFonts w:ascii="Calibri Light" w:hAnsi="Calibri Light"/>
              </w:rPr>
            </w:pPr>
            <w:r>
              <w:rPr>
                <w:rFonts w:ascii="Calibri Light" w:hAnsi="Calibri Light"/>
              </w:rPr>
              <w:t xml:space="preserve">Consideraciones generales sobre </w:t>
            </w:r>
            <w:r w:rsidR="00257EC9">
              <w:rPr>
                <w:rFonts w:ascii="Calibri Light" w:hAnsi="Calibri Light"/>
              </w:rPr>
              <w:t>el derecho a la vida y el derecho a la integridad personal</w:t>
            </w:r>
          </w:p>
          <w:p w14:paraId="1E0FF99B" w14:textId="151B6039" w:rsidR="00237D69" w:rsidRDefault="00237D69" w:rsidP="00237D69">
            <w:pPr>
              <w:jc w:val="both"/>
              <w:rPr>
                <w:rFonts w:ascii="Calibri Light" w:hAnsi="Calibri Light"/>
              </w:rPr>
            </w:pPr>
          </w:p>
          <w:p w14:paraId="1BE55787" w14:textId="129A0F54" w:rsidR="00EC4E9F" w:rsidRDefault="00B80A14" w:rsidP="00EC4E9F">
            <w:pPr>
              <w:jc w:val="both"/>
              <w:rPr>
                <w:rFonts w:ascii="Calibri Light" w:hAnsi="Calibri Light"/>
              </w:rPr>
            </w:pPr>
            <w:r>
              <w:rPr>
                <w:rFonts w:ascii="Calibri Light" w:hAnsi="Calibri Light"/>
                <w:b w:val="0"/>
              </w:rPr>
              <w:t xml:space="preserve">Respecto al derecho a la vida, la CIDH reiteró que su especial importancia radica en que de su salvaguarda depende la realización de los demás derechos. Asimismo, recalcó que los </w:t>
            </w:r>
            <w:r w:rsidR="009F3933">
              <w:rPr>
                <w:rFonts w:ascii="Calibri Light" w:hAnsi="Calibri Light"/>
                <w:b w:val="0"/>
              </w:rPr>
              <w:t>Estados no solo deben respetarla</w:t>
            </w:r>
            <w:r>
              <w:rPr>
                <w:rFonts w:ascii="Calibri Light" w:hAnsi="Calibri Light"/>
                <w:b w:val="0"/>
              </w:rPr>
              <w:t xml:space="preserve"> (obligación negativa), sino también deben ad</w:t>
            </w:r>
            <w:r w:rsidR="009F3933">
              <w:rPr>
                <w:rFonts w:ascii="Calibri Light" w:hAnsi="Calibri Light"/>
                <w:b w:val="0"/>
              </w:rPr>
              <w:t>optar medidas para protegerla y preservarla</w:t>
            </w:r>
            <w:r>
              <w:rPr>
                <w:rFonts w:ascii="Calibri Light" w:hAnsi="Calibri Light"/>
                <w:b w:val="0"/>
              </w:rPr>
              <w:t xml:space="preserve"> (obligación positiva). Sobre esto último, resulta relevante recordar el concepto de “vida digna”, </w:t>
            </w:r>
            <w:r w:rsidR="00DF0CA6">
              <w:rPr>
                <w:rFonts w:ascii="Calibri Light" w:hAnsi="Calibri Light"/>
                <w:b w:val="0"/>
              </w:rPr>
              <w:t>el</w:t>
            </w:r>
            <w:r>
              <w:rPr>
                <w:rFonts w:ascii="Calibri Light" w:hAnsi="Calibri Light"/>
                <w:b w:val="0"/>
              </w:rPr>
              <w:t xml:space="preserve"> cual implica garantizar el acceso a condiciones que </w:t>
            </w:r>
            <w:r w:rsidR="00F24F85">
              <w:rPr>
                <w:rFonts w:ascii="Calibri Light" w:hAnsi="Calibri Light"/>
                <w:b w:val="0"/>
              </w:rPr>
              <w:t xml:space="preserve">aseguren </w:t>
            </w:r>
            <w:r>
              <w:rPr>
                <w:rFonts w:ascii="Calibri Light" w:hAnsi="Calibri Light"/>
                <w:b w:val="0"/>
              </w:rPr>
              <w:t>una existencia digna.</w:t>
            </w:r>
            <w:r w:rsidR="00A76BE2">
              <w:rPr>
                <w:rFonts w:ascii="Calibri Light" w:hAnsi="Calibri Light"/>
                <w:b w:val="0"/>
              </w:rPr>
              <w:t xml:space="preserve"> De otra parte, r</w:t>
            </w:r>
            <w:r>
              <w:rPr>
                <w:rFonts w:ascii="Calibri Light" w:hAnsi="Calibri Light"/>
                <w:b w:val="0"/>
              </w:rPr>
              <w:t xml:space="preserve">especto al derecho a la integridad personal, la </w:t>
            </w:r>
            <w:r w:rsidR="00F24F85">
              <w:rPr>
                <w:rFonts w:ascii="Calibri Light" w:hAnsi="Calibri Light"/>
                <w:b w:val="0"/>
              </w:rPr>
              <w:t xml:space="preserve">CIDH recordó </w:t>
            </w:r>
            <w:r w:rsidR="009B66C8">
              <w:rPr>
                <w:rFonts w:ascii="Calibri Light" w:hAnsi="Calibri Light"/>
                <w:b w:val="0"/>
              </w:rPr>
              <w:t>que</w:t>
            </w:r>
            <w:r>
              <w:rPr>
                <w:rFonts w:ascii="Calibri Light" w:hAnsi="Calibri Light"/>
                <w:b w:val="0"/>
              </w:rPr>
              <w:t xml:space="preserve"> </w:t>
            </w:r>
            <w:r w:rsidR="00FB1A43">
              <w:rPr>
                <w:rFonts w:ascii="Calibri Light" w:hAnsi="Calibri Light"/>
                <w:b w:val="0"/>
              </w:rPr>
              <w:t>los Estados tienen el deber de adoptar medidas para salvaguardar la integridad física de las personas de toda amenaza.</w:t>
            </w:r>
          </w:p>
          <w:p w14:paraId="28C31534" w14:textId="77777777" w:rsidR="00FE2BA4" w:rsidRPr="00FE2BA4" w:rsidRDefault="00FE2BA4" w:rsidP="00EC4E9F">
            <w:pPr>
              <w:jc w:val="both"/>
              <w:rPr>
                <w:rFonts w:ascii="Calibri Light" w:hAnsi="Calibri Light"/>
                <w:b w:val="0"/>
              </w:rPr>
            </w:pPr>
          </w:p>
          <w:p w14:paraId="22B4CDC1" w14:textId="305080C6" w:rsidR="00EC4E9F" w:rsidRDefault="00DC299D" w:rsidP="00EC4E9F">
            <w:pPr>
              <w:pStyle w:val="ListParagraph"/>
              <w:numPr>
                <w:ilvl w:val="0"/>
                <w:numId w:val="7"/>
              </w:numPr>
              <w:jc w:val="both"/>
              <w:rPr>
                <w:rFonts w:ascii="Calibri Light" w:hAnsi="Calibri Light"/>
              </w:rPr>
            </w:pPr>
            <w:r>
              <w:rPr>
                <w:rFonts w:ascii="Calibri Light" w:hAnsi="Calibri Light"/>
              </w:rPr>
              <w:t xml:space="preserve">Consideraciones sobre </w:t>
            </w:r>
            <w:r w:rsidR="00257EC9">
              <w:rPr>
                <w:rFonts w:ascii="Calibri Light" w:hAnsi="Calibri Light"/>
              </w:rPr>
              <w:t>la afectación del derecho a la salud a través de la vulneración del derecho a la vida y el derecho a la integridad personal</w:t>
            </w:r>
          </w:p>
          <w:p w14:paraId="3C089DC6" w14:textId="77777777" w:rsidR="006A3F5E" w:rsidRDefault="006A3F5E" w:rsidP="006A3F5E">
            <w:pPr>
              <w:jc w:val="both"/>
              <w:rPr>
                <w:rFonts w:ascii="Calibri Light" w:hAnsi="Calibri Light"/>
              </w:rPr>
            </w:pPr>
          </w:p>
          <w:p w14:paraId="149C5843" w14:textId="5CD4CFBC" w:rsidR="00FB1A43" w:rsidRDefault="00DF0CA6" w:rsidP="0070524A">
            <w:pPr>
              <w:jc w:val="both"/>
              <w:rPr>
                <w:rFonts w:ascii="Calibri Light" w:hAnsi="Calibri Light"/>
                <w:b w:val="0"/>
              </w:rPr>
            </w:pPr>
            <w:r>
              <w:rPr>
                <w:rFonts w:ascii="Calibri Light" w:hAnsi="Calibri Light"/>
                <w:b w:val="0"/>
              </w:rPr>
              <w:t>E</w:t>
            </w:r>
            <w:r w:rsidR="00FB1A43">
              <w:rPr>
                <w:rFonts w:ascii="Calibri Light" w:hAnsi="Calibri Light"/>
                <w:b w:val="0"/>
              </w:rPr>
              <w:t>xiste una relación de manifiesta interdependencia e indivisibilidad entre el derecho a la vida, el derecho a la integridad personal y el derecho a la salud. E</w:t>
            </w:r>
            <w:r>
              <w:rPr>
                <w:rFonts w:ascii="Calibri Light" w:hAnsi="Calibri Light"/>
                <w:b w:val="0"/>
              </w:rPr>
              <w:t>sta</w:t>
            </w:r>
            <w:r w:rsidR="00FB1A43">
              <w:rPr>
                <w:rFonts w:ascii="Calibri Light" w:hAnsi="Calibri Light"/>
                <w:b w:val="0"/>
              </w:rPr>
              <w:t xml:space="preserve"> deriva, a su vez, de la misma relación entre derechos civiles y políticos y derechos econó</w:t>
            </w:r>
            <w:r w:rsidR="003E023D">
              <w:rPr>
                <w:rFonts w:ascii="Calibri Light" w:hAnsi="Calibri Light"/>
                <w:b w:val="0"/>
              </w:rPr>
              <w:t xml:space="preserve">micos, sociales, </w:t>
            </w:r>
            <w:r w:rsidR="00FB1A43">
              <w:rPr>
                <w:rFonts w:ascii="Calibri Light" w:hAnsi="Calibri Light"/>
                <w:b w:val="0"/>
              </w:rPr>
              <w:t xml:space="preserve">culturales, </w:t>
            </w:r>
            <w:r w:rsidR="003E023D">
              <w:rPr>
                <w:rFonts w:ascii="Calibri Light" w:hAnsi="Calibri Light"/>
                <w:b w:val="0"/>
              </w:rPr>
              <w:t xml:space="preserve">y ambientales, </w:t>
            </w:r>
            <w:r w:rsidR="00FB1A43">
              <w:rPr>
                <w:rFonts w:ascii="Calibri Light" w:hAnsi="Calibri Light"/>
                <w:b w:val="0"/>
              </w:rPr>
              <w:t xml:space="preserve">entre los cuales no existen categorías ni jerarquías y </w:t>
            </w:r>
            <w:r>
              <w:rPr>
                <w:rFonts w:ascii="Calibri Light" w:hAnsi="Calibri Light"/>
                <w:b w:val="0"/>
              </w:rPr>
              <w:t>tienen</w:t>
            </w:r>
            <w:r w:rsidR="00FB1A43">
              <w:rPr>
                <w:rFonts w:ascii="Calibri Light" w:hAnsi="Calibri Light"/>
                <w:b w:val="0"/>
              </w:rPr>
              <w:t xml:space="preserve"> la misma exigibilidad. De esta forma, una afectación al derecho a la integridad personal o la puesta en riesgo o afectación del derecho a la vida suponen a su vez una afectación del derecho a la salud, lo cual evidentemente sucede en el caso de las personas con VIH/SIDA.</w:t>
            </w:r>
          </w:p>
          <w:p w14:paraId="2970BCFD" w14:textId="73BD71F4" w:rsidR="00FB1A43" w:rsidRDefault="00FB1A43" w:rsidP="0070524A">
            <w:pPr>
              <w:jc w:val="both"/>
              <w:rPr>
                <w:rFonts w:ascii="Calibri Light" w:hAnsi="Calibri Light"/>
                <w:b w:val="0"/>
              </w:rPr>
            </w:pPr>
          </w:p>
          <w:p w14:paraId="5876F46B" w14:textId="12C677E9" w:rsidR="00753E13" w:rsidRDefault="003324C6" w:rsidP="002D7016">
            <w:pPr>
              <w:jc w:val="both"/>
              <w:rPr>
                <w:rFonts w:ascii="Calibri Light" w:hAnsi="Calibri Light"/>
                <w:b w:val="0"/>
              </w:rPr>
            </w:pPr>
            <w:r>
              <w:rPr>
                <w:rFonts w:ascii="Calibri Light" w:hAnsi="Calibri Light"/>
                <w:b w:val="0"/>
              </w:rPr>
              <w:t>En cumplimiento de sus obligaciones generales de garantizar y proteger los derechos humanos, l</w:t>
            </w:r>
            <w:r w:rsidR="00557BCA">
              <w:rPr>
                <w:rFonts w:ascii="Calibri Light" w:hAnsi="Calibri Light"/>
                <w:b w:val="0"/>
              </w:rPr>
              <w:t xml:space="preserve">os Estados deben cumplir con prestar servicios de salud adecuados para el tratamiento del VIH/SIDA. </w:t>
            </w:r>
            <w:r w:rsidR="0039117D">
              <w:rPr>
                <w:rFonts w:ascii="Calibri Light" w:hAnsi="Calibri Light"/>
                <w:b w:val="0"/>
              </w:rPr>
              <w:t>Para ello se deben cumplir con</w:t>
            </w:r>
            <w:r w:rsidR="003D3EB3">
              <w:rPr>
                <w:rFonts w:ascii="Calibri Light" w:hAnsi="Calibri Light"/>
                <w:b w:val="0"/>
              </w:rPr>
              <w:t xml:space="preserve"> </w:t>
            </w:r>
            <w:r w:rsidR="00557BCA">
              <w:rPr>
                <w:rFonts w:ascii="Calibri Light" w:hAnsi="Calibri Light"/>
                <w:b w:val="0"/>
              </w:rPr>
              <w:t>los principios de disponibilidad, accesibilidad, aceptabilidad y calidad</w:t>
            </w:r>
            <w:r w:rsidR="00FA7860">
              <w:rPr>
                <w:rFonts w:ascii="Calibri Light" w:hAnsi="Calibri Light"/>
                <w:b w:val="0"/>
              </w:rPr>
              <w:t xml:space="preserve">, desarrollados por el Comité de Derechos Económicos, Sociales y Culturales </w:t>
            </w:r>
            <w:r w:rsidR="00D0349D">
              <w:rPr>
                <w:rFonts w:ascii="Calibri Light" w:hAnsi="Calibri Light"/>
                <w:b w:val="0"/>
              </w:rPr>
              <w:t>de</w:t>
            </w:r>
            <w:r w:rsidR="00710995">
              <w:rPr>
                <w:rFonts w:ascii="Calibri Light" w:hAnsi="Calibri Light"/>
                <w:b w:val="0"/>
              </w:rPr>
              <w:t xml:space="preserve"> las</w:t>
            </w:r>
            <w:r w:rsidR="00D0349D">
              <w:rPr>
                <w:rFonts w:ascii="Calibri Light" w:hAnsi="Calibri Light"/>
                <w:b w:val="0"/>
              </w:rPr>
              <w:t xml:space="preserve"> Naciones Unidas </w:t>
            </w:r>
            <w:r w:rsidR="00F24F85">
              <w:rPr>
                <w:rFonts w:ascii="Calibri Light" w:hAnsi="Calibri Light"/>
                <w:b w:val="0"/>
              </w:rPr>
              <w:t>en su</w:t>
            </w:r>
            <w:r w:rsidR="00FA7860">
              <w:rPr>
                <w:rFonts w:ascii="Calibri Light" w:hAnsi="Calibri Light"/>
                <w:b w:val="0"/>
              </w:rPr>
              <w:t xml:space="preserve"> </w:t>
            </w:r>
            <w:r w:rsidR="00FA7860" w:rsidRPr="009F3933">
              <w:rPr>
                <w:rFonts w:ascii="Calibri Light" w:hAnsi="Calibri Light"/>
                <w:b w:val="0"/>
                <w:i/>
              </w:rPr>
              <w:t>Observación General No. 14</w:t>
            </w:r>
            <w:r w:rsidR="00557BCA">
              <w:rPr>
                <w:rFonts w:ascii="Calibri Light" w:hAnsi="Calibri Light"/>
                <w:b w:val="0"/>
              </w:rPr>
              <w:t>.</w:t>
            </w:r>
            <w:r w:rsidR="00A76BE2">
              <w:rPr>
                <w:rFonts w:ascii="Calibri Light" w:hAnsi="Calibri Light"/>
                <w:b w:val="0"/>
              </w:rPr>
              <w:t xml:space="preserve"> </w:t>
            </w:r>
            <w:r>
              <w:rPr>
                <w:rFonts w:ascii="Calibri Light" w:hAnsi="Calibri Light"/>
                <w:b w:val="0"/>
              </w:rPr>
              <w:t xml:space="preserve">El principio de disponibilidad implica que </w:t>
            </w:r>
            <w:r w:rsidR="00FA7860">
              <w:rPr>
                <w:rFonts w:ascii="Calibri Light" w:hAnsi="Calibri Light"/>
                <w:b w:val="0"/>
              </w:rPr>
              <w:t>cada Estado deberá contar con suficientes esta</w:t>
            </w:r>
            <w:r w:rsidR="003D3EB3">
              <w:rPr>
                <w:rFonts w:ascii="Calibri Light" w:hAnsi="Calibri Light"/>
                <w:b w:val="0"/>
              </w:rPr>
              <w:t xml:space="preserve">blecimientos, bienes </w:t>
            </w:r>
            <w:r w:rsidR="00753E13">
              <w:rPr>
                <w:rFonts w:ascii="Calibri Light" w:hAnsi="Calibri Light"/>
                <w:b w:val="0"/>
              </w:rPr>
              <w:t xml:space="preserve">y </w:t>
            </w:r>
            <w:r w:rsidR="003D3EB3">
              <w:rPr>
                <w:rFonts w:ascii="Calibri Light" w:hAnsi="Calibri Light"/>
                <w:b w:val="0"/>
              </w:rPr>
              <w:t>servicios</w:t>
            </w:r>
            <w:r w:rsidR="00FA7860">
              <w:rPr>
                <w:rFonts w:ascii="Calibri Light" w:hAnsi="Calibri Light"/>
                <w:b w:val="0"/>
              </w:rPr>
              <w:t xml:space="preserve"> de salud para satisfacer las necesidades de quienes requieran acceder a estos, así como con personal médico profesional y capacitado.</w:t>
            </w:r>
            <w:r>
              <w:rPr>
                <w:rFonts w:ascii="Calibri Light" w:hAnsi="Calibri Light"/>
                <w:b w:val="0"/>
              </w:rPr>
              <w:t xml:space="preserve"> </w:t>
            </w:r>
          </w:p>
          <w:p w14:paraId="227981EE" w14:textId="77777777" w:rsidR="00753E13" w:rsidRPr="009F3933" w:rsidRDefault="00753E13" w:rsidP="002D7016">
            <w:pPr>
              <w:jc w:val="both"/>
              <w:rPr>
                <w:rFonts w:ascii="Calibri Light" w:hAnsi="Calibri Light"/>
                <w:b w:val="0"/>
              </w:rPr>
            </w:pPr>
          </w:p>
          <w:p w14:paraId="6258082A" w14:textId="56D024C8" w:rsidR="003147E7" w:rsidRPr="009F3933" w:rsidRDefault="003324C6" w:rsidP="002D7016">
            <w:pPr>
              <w:jc w:val="both"/>
              <w:rPr>
                <w:rFonts w:ascii="Calibri Light" w:hAnsi="Calibri Light"/>
                <w:b w:val="0"/>
              </w:rPr>
            </w:pPr>
            <w:r w:rsidRPr="009F3933">
              <w:rPr>
                <w:rFonts w:ascii="Calibri Light" w:hAnsi="Calibri Light"/>
                <w:b w:val="0"/>
              </w:rPr>
              <w:t xml:space="preserve">Por otra parte, el principio de accesibilidad ha sido desarrollado a través de cuatro sub-dimensiones: </w:t>
            </w:r>
            <w:r w:rsidR="00A22CEA" w:rsidRPr="009F3933">
              <w:rPr>
                <w:rFonts w:ascii="Calibri Light" w:hAnsi="Calibri Light"/>
                <w:b w:val="0"/>
              </w:rPr>
              <w:t>(i) la n</w:t>
            </w:r>
            <w:r w:rsidR="003147E7" w:rsidRPr="009F3933">
              <w:rPr>
                <w:rFonts w:ascii="Calibri Light" w:hAnsi="Calibri Light"/>
                <w:b w:val="0"/>
              </w:rPr>
              <w:t xml:space="preserve">o </w:t>
            </w:r>
            <w:r w:rsidR="00A22CEA" w:rsidRPr="009F3933">
              <w:rPr>
                <w:rFonts w:ascii="Calibri Light" w:hAnsi="Calibri Light"/>
                <w:b w:val="0"/>
              </w:rPr>
              <w:t>d</w:t>
            </w:r>
            <w:r w:rsidR="003147E7" w:rsidRPr="009F3933">
              <w:rPr>
                <w:rFonts w:ascii="Calibri Light" w:hAnsi="Calibri Light"/>
                <w:b w:val="0"/>
              </w:rPr>
              <w:t>iscriminación</w:t>
            </w:r>
            <w:r w:rsidR="00A22CEA" w:rsidRPr="009F3933">
              <w:rPr>
                <w:rFonts w:ascii="Calibri Light" w:hAnsi="Calibri Light"/>
                <w:b w:val="0"/>
              </w:rPr>
              <w:t>, que supone</w:t>
            </w:r>
            <w:r w:rsidR="007B2811" w:rsidRPr="009F3933">
              <w:rPr>
                <w:rFonts w:ascii="Calibri Light" w:hAnsi="Calibri Light"/>
                <w:b w:val="0"/>
              </w:rPr>
              <w:t xml:space="preserve"> que</w:t>
            </w:r>
            <w:r w:rsidR="00FA7860" w:rsidRPr="009F3933">
              <w:rPr>
                <w:rFonts w:ascii="Calibri Light" w:hAnsi="Calibri Light"/>
                <w:b w:val="0"/>
              </w:rPr>
              <w:t xml:space="preserve"> la</w:t>
            </w:r>
            <w:r w:rsidR="00E15CBB" w:rsidRPr="009F3933">
              <w:rPr>
                <w:rFonts w:ascii="Calibri Light" w:hAnsi="Calibri Light"/>
                <w:b w:val="0"/>
              </w:rPr>
              <w:t xml:space="preserve"> posibilidad de acceder a</w:t>
            </w:r>
            <w:r w:rsidR="00FA7860" w:rsidRPr="009F3933">
              <w:rPr>
                <w:rFonts w:ascii="Calibri Light" w:hAnsi="Calibri Light"/>
                <w:b w:val="0"/>
              </w:rPr>
              <w:t xml:space="preserve"> los esta</w:t>
            </w:r>
            <w:r w:rsidR="003D3EB3" w:rsidRPr="009F3933">
              <w:rPr>
                <w:rFonts w:ascii="Calibri Light" w:hAnsi="Calibri Light"/>
                <w:b w:val="0"/>
              </w:rPr>
              <w:t>blecimientos, bienes y servicios</w:t>
            </w:r>
            <w:r w:rsidR="00FA7860" w:rsidRPr="009F3933">
              <w:rPr>
                <w:rFonts w:ascii="Calibri Light" w:hAnsi="Calibri Light"/>
                <w:b w:val="0"/>
              </w:rPr>
              <w:t xml:space="preserve"> de salud sin discriminación</w:t>
            </w:r>
            <w:r w:rsidR="00A22CEA" w:rsidRPr="009F3933">
              <w:rPr>
                <w:rFonts w:ascii="Calibri Light" w:hAnsi="Calibri Light"/>
                <w:b w:val="0"/>
              </w:rPr>
              <w:t>; (ii) la existencia de a</w:t>
            </w:r>
            <w:r w:rsidR="003147E7" w:rsidRPr="009F3933">
              <w:rPr>
                <w:rFonts w:ascii="Calibri Light" w:hAnsi="Calibri Light"/>
                <w:b w:val="0"/>
              </w:rPr>
              <w:t>ccesibilidad física</w:t>
            </w:r>
            <w:r w:rsidR="00951713" w:rsidRPr="009F3933">
              <w:rPr>
                <w:rFonts w:ascii="Calibri Light" w:hAnsi="Calibri Light"/>
                <w:b w:val="0"/>
              </w:rPr>
              <w:t>, es decir, que</w:t>
            </w:r>
            <w:r w:rsidR="00A22CEA" w:rsidRPr="009F3933">
              <w:rPr>
                <w:rFonts w:ascii="Calibri Light" w:hAnsi="Calibri Light"/>
                <w:b w:val="0"/>
              </w:rPr>
              <w:t xml:space="preserve"> </w:t>
            </w:r>
            <w:r w:rsidR="00FA7860" w:rsidRPr="009F3933">
              <w:rPr>
                <w:rFonts w:ascii="Calibri Light" w:hAnsi="Calibri Light"/>
                <w:b w:val="0"/>
              </w:rPr>
              <w:t>los establecimientos, bienes y servicios de salud</w:t>
            </w:r>
            <w:r w:rsidR="00951713" w:rsidRPr="009F3933">
              <w:rPr>
                <w:rFonts w:ascii="Calibri Light" w:hAnsi="Calibri Light"/>
                <w:b w:val="0"/>
              </w:rPr>
              <w:t xml:space="preserve"> se encuentren al alcance</w:t>
            </w:r>
            <w:r w:rsidR="00FA7860" w:rsidRPr="009F3933">
              <w:rPr>
                <w:rFonts w:ascii="Calibri Light" w:hAnsi="Calibri Light"/>
                <w:b w:val="0"/>
              </w:rPr>
              <w:t xml:space="preserve"> </w:t>
            </w:r>
            <w:r w:rsidR="00951713" w:rsidRPr="009F3933">
              <w:rPr>
                <w:rFonts w:ascii="Calibri Light" w:hAnsi="Calibri Light"/>
                <w:b w:val="0"/>
              </w:rPr>
              <w:t>geográfico de</w:t>
            </w:r>
            <w:r w:rsidR="00FA7860" w:rsidRPr="009F3933">
              <w:rPr>
                <w:rFonts w:ascii="Calibri Light" w:hAnsi="Calibri Light"/>
                <w:b w:val="0"/>
              </w:rPr>
              <w:t xml:space="preserve"> todos</w:t>
            </w:r>
            <w:r w:rsidR="00A22CEA" w:rsidRPr="009F3933">
              <w:rPr>
                <w:rFonts w:ascii="Calibri Light" w:hAnsi="Calibri Light"/>
                <w:b w:val="0"/>
              </w:rPr>
              <w:t>; (iii) la a</w:t>
            </w:r>
            <w:r w:rsidR="003147E7" w:rsidRPr="009F3933">
              <w:rPr>
                <w:rFonts w:ascii="Calibri Light" w:hAnsi="Calibri Light"/>
                <w:b w:val="0"/>
              </w:rPr>
              <w:t>ccesibilidad económica (asequibilidad)</w:t>
            </w:r>
            <w:r w:rsidR="00A22CEA" w:rsidRPr="009F3933">
              <w:rPr>
                <w:rFonts w:ascii="Calibri Light" w:hAnsi="Calibri Light"/>
                <w:b w:val="0"/>
              </w:rPr>
              <w:t xml:space="preserve">, </w:t>
            </w:r>
            <w:r w:rsidR="00FA7860" w:rsidRPr="009F3933">
              <w:rPr>
                <w:rFonts w:ascii="Calibri Light" w:hAnsi="Calibri Light"/>
                <w:b w:val="0"/>
              </w:rPr>
              <w:t xml:space="preserve"> </w:t>
            </w:r>
            <w:r w:rsidR="001E3B1A" w:rsidRPr="009F3933">
              <w:rPr>
                <w:rFonts w:ascii="Calibri Light" w:hAnsi="Calibri Light"/>
                <w:b w:val="0"/>
              </w:rPr>
              <w:t>que supone que</w:t>
            </w:r>
            <w:r w:rsidR="00FA7860" w:rsidRPr="009F3933">
              <w:rPr>
                <w:rFonts w:ascii="Calibri Light" w:hAnsi="Calibri Light"/>
                <w:b w:val="0"/>
              </w:rPr>
              <w:t xml:space="preserve"> los gastos por la prestación de servicios de salud</w:t>
            </w:r>
            <w:r w:rsidR="009F3933" w:rsidRPr="009F3933">
              <w:rPr>
                <w:rFonts w:ascii="Calibri Light" w:hAnsi="Calibri Light"/>
                <w:b w:val="0"/>
              </w:rPr>
              <w:t>,</w:t>
            </w:r>
            <w:r w:rsidR="00FA7860" w:rsidRPr="009F3933">
              <w:rPr>
                <w:rFonts w:ascii="Calibri Light" w:hAnsi="Calibri Light"/>
                <w:b w:val="0"/>
              </w:rPr>
              <w:t xml:space="preserve"> o el acceso a establecimientos o bienes de salud deben estar al alcance de toda la población, incluid</w:t>
            </w:r>
            <w:r w:rsidR="001E3B1A" w:rsidRPr="009F3933">
              <w:rPr>
                <w:rFonts w:ascii="Calibri Light" w:hAnsi="Calibri Light"/>
                <w:b w:val="0"/>
              </w:rPr>
              <w:t>os los grupos menos favorecidos; y (iv) la garantía de a</w:t>
            </w:r>
            <w:r w:rsidR="003147E7" w:rsidRPr="009F3933">
              <w:rPr>
                <w:rFonts w:ascii="Calibri Light" w:hAnsi="Calibri Light"/>
                <w:b w:val="0"/>
              </w:rPr>
              <w:t>cceso a la información</w:t>
            </w:r>
            <w:r w:rsidR="001E3B1A" w:rsidRPr="009F3933">
              <w:rPr>
                <w:rFonts w:ascii="Calibri Light" w:hAnsi="Calibri Light"/>
                <w:b w:val="0"/>
              </w:rPr>
              <w:t xml:space="preserve">, la cual implica que, </w:t>
            </w:r>
            <w:r w:rsidR="00FF1318" w:rsidRPr="009F3933">
              <w:rPr>
                <w:rFonts w:ascii="Calibri Light" w:hAnsi="Calibri Light"/>
                <w:b w:val="0"/>
              </w:rPr>
              <w:t>sin menoscabar los temas de datos personales o confidencialidad, la información referente a cuestiones de salud debe estar al alcance del público en general.</w:t>
            </w:r>
          </w:p>
          <w:p w14:paraId="4DBE9B2E" w14:textId="1C07560B" w:rsidR="003147E7" w:rsidRPr="009F3933" w:rsidRDefault="003147E7" w:rsidP="00753E13">
            <w:pPr>
              <w:ind w:left="1068"/>
              <w:jc w:val="both"/>
              <w:rPr>
                <w:rFonts w:ascii="Calibri Light" w:hAnsi="Calibri Light"/>
                <w:b w:val="0"/>
              </w:rPr>
            </w:pPr>
          </w:p>
          <w:p w14:paraId="49DEAA84" w14:textId="4266884F" w:rsidR="00A85DC9" w:rsidRPr="009F3933" w:rsidRDefault="009F3933" w:rsidP="00A85DC9">
            <w:pPr>
              <w:jc w:val="both"/>
              <w:rPr>
                <w:rFonts w:ascii="Calibri Light" w:hAnsi="Calibri Light"/>
                <w:b w:val="0"/>
              </w:rPr>
            </w:pPr>
            <w:r w:rsidRPr="009F3933">
              <w:rPr>
                <w:rFonts w:ascii="Calibri Light" w:hAnsi="Calibri Light"/>
                <w:b w:val="0"/>
              </w:rPr>
              <w:t>Mientras tanto</w:t>
            </w:r>
            <w:r w:rsidR="002D7016" w:rsidRPr="009F3933">
              <w:rPr>
                <w:rFonts w:ascii="Calibri Light" w:hAnsi="Calibri Light"/>
                <w:b w:val="0"/>
              </w:rPr>
              <w:t xml:space="preserve">, </w:t>
            </w:r>
            <w:r w:rsidR="00753E13" w:rsidRPr="009F3933">
              <w:rPr>
                <w:rFonts w:ascii="Calibri Light" w:hAnsi="Calibri Light"/>
                <w:b w:val="0"/>
              </w:rPr>
              <w:t xml:space="preserve">el principio de </w:t>
            </w:r>
            <w:r w:rsidR="002D7016" w:rsidRPr="009F3933">
              <w:rPr>
                <w:rFonts w:ascii="Calibri Light" w:hAnsi="Calibri Light"/>
                <w:b w:val="0"/>
              </w:rPr>
              <w:t>a</w:t>
            </w:r>
            <w:r w:rsidR="003147E7" w:rsidRPr="009F3933">
              <w:rPr>
                <w:rFonts w:ascii="Calibri Light" w:hAnsi="Calibri Light"/>
                <w:b w:val="0"/>
              </w:rPr>
              <w:t>ceptabilidad</w:t>
            </w:r>
            <w:r w:rsidR="00753E13" w:rsidRPr="009F3933">
              <w:rPr>
                <w:rFonts w:ascii="Calibri Light" w:hAnsi="Calibri Light"/>
                <w:b w:val="0"/>
              </w:rPr>
              <w:t xml:space="preserve"> dispone que t</w:t>
            </w:r>
            <w:r w:rsidR="003C3928" w:rsidRPr="009F3933">
              <w:rPr>
                <w:rFonts w:ascii="Calibri Light" w:hAnsi="Calibri Light"/>
                <w:b w:val="0"/>
              </w:rPr>
              <w:t xml:space="preserve">odos los bienes y servicios de salud </w:t>
            </w:r>
            <w:r w:rsidRPr="009F3933">
              <w:rPr>
                <w:rFonts w:ascii="Calibri Light" w:hAnsi="Calibri Light"/>
                <w:b w:val="0"/>
              </w:rPr>
              <w:t>sean</w:t>
            </w:r>
            <w:r w:rsidR="003C3928" w:rsidRPr="009F3933">
              <w:rPr>
                <w:rFonts w:ascii="Calibri Light" w:hAnsi="Calibri Light"/>
                <w:b w:val="0"/>
              </w:rPr>
              <w:t xml:space="preserve"> </w:t>
            </w:r>
            <w:r w:rsidRPr="009F3933">
              <w:rPr>
                <w:rFonts w:ascii="Calibri Light" w:hAnsi="Calibri Light"/>
                <w:b w:val="0"/>
              </w:rPr>
              <w:t xml:space="preserve">tanto </w:t>
            </w:r>
            <w:r w:rsidR="003C3928" w:rsidRPr="009F3933">
              <w:rPr>
                <w:rFonts w:ascii="Calibri Light" w:hAnsi="Calibri Light"/>
                <w:b w:val="0"/>
              </w:rPr>
              <w:t>respetuosos de la ética médic</w:t>
            </w:r>
            <w:r w:rsidR="00753E13" w:rsidRPr="009F3933">
              <w:rPr>
                <w:rFonts w:ascii="Calibri Light" w:hAnsi="Calibri Light"/>
                <w:b w:val="0"/>
              </w:rPr>
              <w:t xml:space="preserve">a como culturalmente apropiados, </w:t>
            </w:r>
            <w:r w:rsidRPr="009F3933">
              <w:rPr>
                <w:rFonts w:ascii="Calibri Light" w:hAnsi="Calibri Light"/>
                <w:b w:val="0"/>
              </w:rPr>
              <w:t>y</w:t>
            </w:r>
            <w:r w:rsidR="00753E13" w:rsidRPr="009F3933">
              <w:rPr>
                <w:rFonts w:ascii="Calibri Light" w:hAnsi="Calibri Light"/>
                <w:b w:val="0"/>
              </w:rPr>
              <w:t xml:space="preserve"> el principio de c</w:t>
            </w:r>
            <w:r w:rsidR="003147E7" w:rsidRPr="009F3933">
              <w:rPr>
                <w:rFonts w:ascii="Calibri Light" w:hAnsi="Calibri Light"/>
                <w:b w:val="0"/>
              </w:rPr>
              <w:t>alidad</w:t>
            </w:r>
            <w:r w:rsidR="00753E13" w:rsidRPr="009F3933">
              <w:rPr>
                <w:rFonts w:ascii="Calibri Light" w:hAnsi="Calibri Light"/>
                <w:b w:val="0"/>
              </w:rPr>
              <w:t xml:space="preserve"> conlleva que</w:t>
            </w:r>
            <w:r w:rsidR="00A76BE2" w:rsidRPr="009F3933">
              <w:rPr>
                <w:rFonts w:ascii="Calibri Light" w:hAnsi="Calibri Light"/>
                <w:b w:val="0"/>
              </w:rPr>
              <w:t xml:space="preserve"> </w:t>
            </w:r>
            <w:r w:rsidR="003C3928" w:rsidRPr="009F3933">
              <w:rPr>
                <w:rFonts w:ascii="Calibri Light" w:hAnsi="Calibri Light"/>
                <w:b w:val="0"/>
              </w:rPr>
              <w:t xml:space="preserve">los establecimientos, bienes y servicios de salud </w:t>
            </w:r>
            <w:r w:rsidR="00A76BE2" w:rsidRPr="009F3933">
              <w:rPr>
                <w:rFonts w:ascii="Calibri Light" w:hAnsi="Calibri Light"/>
                <w:b w:val="0"/>
              </w:rPr>
              <w:t>cumplan</w:t>
            </w:r>
            <w:r w:rsidR="003C3928" w:rsidRPr="009F3933">
              <w:rPr>
                <w:rFonts w:ascii="Calibri Light" w:hAnsi="Calibri Light"/>
                <w:b w:val="0"/>
              </w:rPr>
              <w:t xml:space="preserve"> con los estándares científicos necesarios para asegurar su adecuación y calidad.</w:t>
            </w:r>
            <w:r w:rsidR="00A76BE2" w:rsidRPr="009F3933">
              <w:rPr>
                <w:rFonts w:ascii="Calibri Light" w:hAnsi="Calibri Light"/>
                <w:b w:val="0"/>
              </w:rPr>
              <w:t xml:space="preserve"> </w:t>
            </w:r>
            <w:r w:rsidR="000A75C5" w:rsidRPr="009F3933">
              <w:rPr>
                <w:rFonts w:ascii="Calibri Light" w:hAnsi="Calibri Light"/>
                <w:b w:val="0"/>
              </w:rPr>
              <w:t>Los principios mencionados deben ser utilizados por el Estado en el cumplimiento de sus deberes de regular, supervisar y fiscalizar la prestación de servicios de salud, sea a nivel público o privado.</w:t>
            </w:r>
          </w:p>
          <w:p w14:paraId="4B76683F" w14:textId="77777777" w:rsidR="00975D0F" w:rsidRDefault="00975D0F" w:rsidP="00A85DC9">
            <w:pPr>
              <w:jc w:val="both"/>
              <w:rPr>
                <w:rFonts w:ascii="Calibri Light" w:hAnsi="Calibri Light"/>
                <w:b w:val="0"/>
              </w:rPr>
            </w:pPr>
          </w:p>
          <w:p w14:paraId="20C44EE0" w14:textId="6EE23BDF" w:rsidR="00DC299D" w:rsidRDefault="00DC299D" w:rsidP="00A76BE2">
            <w:pPr>
              <w:pStyle w:val="ListParagraph"/>
              <w:numPr>
                <w:ilvl w:val="0"/>
                <w:numId w:val="7"/>
              </w:numPr>
              <w:spacing w:after="200" w:line="276" w:lineRule="auto"/>
              <w:jc w:val="both"/>
              <w:rPr>
                <w:rFonts w:ascii="Calibri Light" w:hAnsi="Calibri Light"/>
              </w:rPr>
            </w:pPr>
            <w:r>
              <w:rPr>
                <w:rFonts w:ascii="Calibri Light" w:hAnsi="Calibri Light"/>
              </w:rPr>
              <w:lastRenderedPageBreak/>
              <w:t>Consider</w:t>
            </w:r>
            <w:r w:rsidR="00257EC9">
              <w:rPr>
                <w:rFonts w:ascii="Calibri Light" w:hAnsi="Calibri Light"/>
              </w:rPr>
              <w:t>aciones generales sobre las obligaciones del Estado frente a personas con VIH/SIDA</w:t>
            </w:r>
          </w:p>
          <w:p w14:paraId="20B4D904" w14:textId="580DF9FD" w:rsidR="00027257" w:rsidRDefault="00786F20" w:rsidP="00257EC9">
            <w:pPr>
              <w:jc w:val="both"/>
              <w:rPr>
                <w:rFonts w:ascii="Calibri Light" w:hAnsi="Calibri Light"/>
                <w:b w:val="0"/>
              </w:rPr>
            </w:pPr>
            <w:r>
              <w:rPr>
                <w:rFonts w:ascii="Calibri Light" w:hAnsi="Calibri Light"/>
                <w:b w:val="0"/>
              </w:rPr>
              <w:t xml:space="preserve">Más allá de la garantía y protección </w:t>
            </w:r>
            <w:r w:rsidR="00941099">
              <w:rPr>
                <w:rFonts w:ascii="Calibri Light" w:hAnsi="Calibri Light"/>
                <w:b w:val="0"/>
              </w:rPr>
              <w:t xml:space="preserve">de forma general, </w:t>
            </w:r>
            <w:r>
              <w:rPr>
                <w:rFonts w:ascii="Calibri Light" w:hAnsi="Calibri Light"/>
                <w:b w:val="0"/>
              </w:rPr>
              <w:t xml:space="preserve">los Estados cuentan con obligaciones específicas frente a personas con VIH/SIDA </w:t>
            </w:r>
            <w:r w:rsidR="00941099">
              <w:rPr>
                <w:rFonts w:ascii="Calibri Light" w:hAnsi="Calibri Light"/>
                <w:b w:val="0"/>
              </w:rPr>
              <w:t xml:space="preserve">por los efectos que estos generan en su salud, integridad personal, e incluso el riesgo en que se ve puesta su vida. Asimismo, su vulnerabilidad se ve intensificada debido a </w:t>
            </w:r>
            <w:r>
              <w:rPr>
                <w:rFonts w:ascii="Calibri Light" w:hAnsi="Calibri Light"/>
                <w:b w:val="0"/>
              </w:rPr>
              <w:t xml:space="preserve">la discriminación histórica de la cual han sido víctimas. En vista de ello, </w:t>
            </w:r>
            <w:r w:rsidR="00BC14E1">
              <w:rPr>
                <w:rFonts w:ascii="Calibri Light" w:hAnsi="Calibri Light"/>
                <w:b w:val="0"/>
              </w:rPr>
              <w:t xml:space="preserve">los Estados </w:t>
            </w:r>
            <w:r>
              <w:rPr>
                <w:rFonts w:ascii="Calibri Light" w:hAnsi="Calibri Light"/>
                <w:b w:val="0"/>
              </w:rPr>
              <w:t xml:space="preserve">deben estar preparados no solo para brindar un tratamiento que responda a sus necesidades, sino también promover su prevención </w:t>
            </w:r>
            <w:r w:rsidR="00941099">
              <w:rPr>
                <w:rFonts w:ascii="Calibri Light" w:hAnsi="Calibri Light"/>
                <w:b w:val="0"/>
              </w:rPr>
              <w:t>con la promoción del acceso universal a los servicios de salud.</w:t>
            </w:r>
          </w:p>
          <w:p w14:paraId="33892E12" w14:textId="54B9D3FC" w:rsidR="008D0186" w:rsidRDefault="008D0186" w:rsidP="00257EC9">
            <w:pPr>
              <w:jc w:val="both"/>
              <w:rPr>
                <w:rFonts w:ascii="Calibri Light" w:hAnsi="Calibri Light"/>
                <w:b w:val="0"/>
              </w:rPr>
            </w:pPr>
          </w:p>
          <w:p w14:paraId="602EDCB7" w14:textId="6CD75F14" w:rsidR="00927350" w:rsidRDefault="008D0186" w:rsidP="00257EC9">
            <w:pPr>
              <w:jc w:val="both"/>
              <w:rPr>
                <w:rFonts w:ascii="Calibri Light" w:hAnsi="Calibri Light"/>
                <w:b w:val="0"/>
              </w:rPr>
            </w:pPr>
            <w:r w:rsidRPr="00C00DA2">
              <w:rPr>
                <w:rFonts w:ascii="Calibri Light" w:hAnsi="Calibri Light"/>
                <w:b w:val="0"/>
              </w:rPr>
              <w:t>Al respecto, la Corte IDH resaltó e</w:t>
            </w:r>
            <w:r w:rsidR="00E24863" w:rsidRPr="00C00DA2">
              <w:rPr>
                <w:rFonts w:ascii="Calibri Light" w:hAnsi="Calibri Light"/>
                <w:b w:val="0"/>
              </w:rPr>
              <w:t xml:space="preserve">n el caso </w:t>
            </w:r>
            <w:r w:rsidR="00E24863" w:rsidRPr="00C00DA2">
              <w:rPr>
                <w:rFonts w:ascii="Calibri Light" w:hAnsi="Calibri Light"/>
                <w:b w:val="0"/>
                <w:i/>
              </w:rPr>
              <w:t>Gonzales Lluy y otros vs. Ecuador</w:t>
            </w:r>
            <w:r w:rsidR="00E24863" w:rsidRPr="00C00DA2">
              <w:rPr>
                <w:rFonts w:ascii="Calibri Light" w:hAnsi="Calibri Light"/>
                <w:b w:val="0"/>
              </w:rPr>
              <w:t xml:space="preserve"> la importancia de las Directrices Internacionales sobre el VIH/SIDA y los derechos humanos</w:t>
            </w:r>
            <w:r w:rsidRPr="00C00DA2">
              <w:rPr>
                <w:rFonts w:ascii="Calibri Light" w:hAnsi="Calibri Light"/>
                <w:b w:val="0"/>
              </w:rPr>
              <w:t>, específicamente de la Sexta Directriz. Esta ha sido interpretada por</w:t>
            </w:r>
            <w:r w:rsidR="00E24863" w:rsidRPr="00C00DA2">
              <w:rPr>
                <w:rFonts w:ascii="Calibri Light" w:hAnsi="Calibri Light"/>
                <w:b w:val="0"/>
              </w:rPr>
              <w:t xml:space="preserve"> la Oficina del Alto Comisionado de las Naciones Unidas para los Derechos Humanos (</w:t>
            </w:r>
            <w:r w:rsidRPr="00C00DA2">
              <w:rPr>
                <w:rFonts w:ascii="Calibri Light" w:hAnsi="Calibri Light"/>
                <w:b w:val="0"/>
              </w:rPr>
              <w:t>O</w:t>
            </w:r>
            <w:r w:rsidR="00E24863" w:rsidRPr="00C00DA2">
              <w:rPr>
                <w:rFonts w:ascii="Calibri Light" w:hAnsi="Calibri Light"/>
                <w:b w:val="0"/>
              </w:rPr>
              <w:t xml:space="preserve">ACNUDH) y el Programa Conjunto de las Naciones Unidas sobre el VIH/SIDA </w:t>
            </w:r>
            <w:r w:rsidR="009D393F" w:rsidRPr="00C00DA2">
              <w:rPr>
                <w:rFonts w:ascii="Calibri Light" w:hAnsi="Calibri Light"/>
                <w:b w:val="0"/>
              </w:rPr>
              <w:t>(</w:t>
            </w:r>
            <w:r w:rsidR="00E24863" w:rsidRPr="00C00DA2">
              <w:rPr>
                <w:rFonts w:ascii="Calibri Light" w:hAnsi="Calibri Light"/>
                <w:b w:val="0"/>
              </w:rPr>
              <w:t xml:space="preserve">ONUSIDA), </w:t>
            </w:r>
            <w:r w:rsidRPr="00C00DA2">
              <w:rPr>
                <w:rFonts w:ascii="Calibri Light" w:hAnsi="Calibri Light"/>
                <w:b w:val="0"/>
              </w:rPr>
              <w:t>en el sentido que</w:t>
            </w:r>
            <w:r w:rsidR="00E24863" w:rsidRPr="00C00DA2">
              <w:rPr>
                <w:rFonts w:ascii="Calibri Light" w:hAnsi="Calibri Light"/>
                <w:b w:val="0"/>
              </w:rPr>
              <w:t xml:space="preserve"> los Estados deben adoptar en sus políticas medidas que regulen los bienes, servicios e información relacionados con el VIH, así como </w:t>
            </w:r>
            <w:r w:rsidRPr="00C00DA2">
              <w:rPr>
                <w:rFonts w:ascii="Calibri Light" w:hAnsi="Calibri Light"/>
                <w:b w:val="0"/>
              </w:rPr>
              <w:t xml:space="preserve">asegurar </w:t>
            </w:r>
            <w:r w:rsidR="00E24863" w:rsidRPr="00C00DA2">
              <w:rPr>
                <w:rFonts w:ascii="Calibri Light" w:hAnsi="Calibri Light"/>
                <w:b w:val="0"/>
              </w:rPr>
              <w:t xml:space="preserve">el suministro de servicios de salud a todas las personas de forma igualitaria en cumplimiento de los principios de disponibilidad, accesibilidad, aceptabilidad y calidad. </w:t>
            </w:r>
            <w:r w:rsidR="00C00DA2" w:rsidRPr="00C00DA2">
              <w:rPr>
                <w:rFonts w:ascii="Calibri Light" w:hAnsi="Calibri Light"/>
                <w:b w:val="0"/>
              </w:rPr>
              <w:t xml:space="preserve">Asimismo, han señalado que </w:t>
            </w:r>
            <w:r w:rsidR="00E24863" w:rsidRPr="00C00DA2">
              <w:rPr>
                <w:rFonts w:ascii="Calibri Light" w:hAnsi="Calibri Light"/>
                <w:b w:val="0"/>
              </w:rPr>
              <w:t>una respuesta eficaz al VIH/SIDA por parte del aparato estatal implica un enfoque integral que comprenda una secuencia continua de prevención, tratamiento, atención y apoyo.</w:t>
            </w:r>
            <w:r w:rsidR="00E24863">
              <w:rPr>
                <w:rFonts w:ascii="Calibri Light" w:hAnsi="Calibri Light"/>
                <w:b w:val="0"/>
              </w:rPr>
              <w:t xml:space="preserve"> </w:t>
            </w:r>
          </w:p>
          <w:p w14:paraId="0D3AB032" w14:textId="77777777" w:rsidR="00E70716" w:rsidRPr="00E70716" w:rsidRDefault="00E70716" w:rsidP="00E70716">
            <w:pPr>
              <w:jc w:val="both"/>
              <w:rPr>
                <w:rFonts w:ascii="Calibri Light" w:hAnsi="Calibri Light"/>
                <w:b w:val="0"/>
              </w:rPr>
            </w:pPr>
          </w:p>
          <w:p w14:paraId="5B9A7269" w14:textId="2E079152" w:rsidR="00DC299D" w:rsidRDefault="00017486" w:rsidP="00DC299D">
            <w:pPr>
              <w:pStyle w:val="ListParagraph"/>
              <w:numPr>
                <w:ilvl w:val="0"/>
                <w:numId w:val="7"/>
              </w:numPr>
              <w:spacing w:after="200" w:line="276" w:lineRule="auto"/>
              <w:jc w:val="both"/>
              <w:rPr>
                <w:rFonts w:ascii="Calibri Light" w:hAnsi="Calibri Light"/>
              </w:rPr>
            </w:pPr>
            <w:r>
              <w:rPr>
                <w:rFonts w:ascii="Calibri Light" w:hAnsi="Calibri Light"/>
              </w:rPr>
              <w:t xml:space="preserve">Análisis </w:t>
            </w:r>
            <w:r w:rsidR="00CE272E">
              <w:rPr>
                <w:rFonts w:ascii="Calibri Light" w:hAnsi="Calibri Light"/>
              </w:rPr>
              <w:t>de</w:t>
            </w:r>
            <w:r>
              <w:rPr>
                <w:rFonts w:ascii="Calibri Light" w:hAnsi="Calibri Light"/>
              </w:rPr>
              <w:t xml:space="preserve"> las vulneraciones respecto de Luis Cuscul Pivaral y otras personas con VIH/SIDA</w:t>
            </w:r>
          </w:p>
          <w:p w14:paraId="28A33EDB" w14:textId="62E28B1A" w:rsidR="00017486" w:rsidRDefault="00426E88" w:rsidP="00017486">
            <w:pPr>
              <w:jc w:val="both"/>
              <w:rPr>
                <w:rFonts w:ascii="Calibri Light" w:hAnsi="Calibri Light"/>
                <w:b w:val="0"/>
              </w:rPr>
            </w:pPr>
            <w:r>
              <w:rPr>
                <w:rFonts w:ascii="Calibri Light" w:hAnsi="Calibri Light"/>
                <w:b w:val="0"/>
              </w:rPr>
              <w:t>La CIDH dividió su análisis sobre las vulneraciones respecto a dos grupos de los afectados: d</w:t>
            </w:r>
            <w:r w:rsidR="00763E6A">
              <w:rPr>
                <w:rFonts w:ascii="Calibri Light" w:hAnsi="Calibri Light"/>
                <w:b w:val="0"/>
              </w:rPr>
              <w:t xml:space="preserve">e una parte, </w:t>
            </w:r>
            <w:r w:rsidR="006E5992">
              <w:rPr>
                <w:rFonts w:ascii="Calibri Light" w:hAnsi="Calibri Light"/>
                <w:b w:val="0"/>
              </w:rPr>
              <w:t xml:space="preserve">sobre </w:t>
            </w:r>
            <w:r w:rsidR="00017486">
              <w:rPr>
                <w:rFonts w:ascii="Calibri Light" w:hAnsi="Calibri Light"/>
                <w:b w:val="0"/>
              </w:rPr>
              <w:t xml:space="preserve">las ocho personas que fallecieron entre los años 2001 y 2011, y </w:t>
            </w:r>
            <w:r w:rsidR="00763E6A">
              <w:rPr>
                <w:rFonts w:ascii="Calibri Light" w:hAnsi="Calibri Light"/>
                <w:b w:val="0"/>
              </w:rPr>
              <w:t xml:space="preserve">de otra, </w:t>
            </w:r>
            <w:r w:rsidR="00017486">
              <w:rPr>
                <w:rFonts w:ascii="Calibri Light" w:hAnsi="Calibri Light"/>
                <w:b w:val="0"/>
              </w:rPr>
              <w:t xml:space="preserve">los otros 41 afectados por el VIH/SIDA que continuaban bajo tratamiento a la fecha de emisión del Informe de Fondo. Asimismo, </w:t>
            </w:r>
            <w:r w:rsidR="00504CB6">
              <w:rPr>
                <w:rFonts w:ascii="Calibri Light" w:hAnsi="Calibri Light"/>
                <w:b w:val="0"/>
              </w:rPr>
              <w:t xml:space="preserve">distinguió </w:t>
            </w:r>
            <w:r w:rsidR="00017486">
              <w:rPr>
                <w:rFonts w:ascii="Calibri Light" w:hAnsi="Calibri Light"/>
                <w:b w:val="0"/>
              </w:rPr>
              <w:t xml:space="preserve"> las vulneraciones en dos espacios temporales: de forma previa a los años 2006 y 2007,</w:t>
            </w:r>
            <w:r w:rsidR="00DE3CA1">
              <w:rPr>
                <w:rFonts w:ascii="Calibri Light" w:hAnsi="Calibri Light"/>
                <w:b w:val="0"/>
              </w:rPr>
              <w:t xml:space="preserve"> periodo en el que la política del Estado para personas con VIH/SIDA no garantizaba la prestación de un diagnóstico y tratamiento, y no se generaban espacios para la prevención,</w:t>
            </w:r>
            <w:r w:rsidR="00017486">
              <w:rPr>
                <w:rFonts w:ascii="Calibri Light" w:hAnsi="Calibri Light"/>
                <w:b w:val="0"/>
              </w:rPr>
              <w:t xml:space="preserve"> y de forma posterior a los años 2006 y 2007</w:t>
            </w:r>
            <w:r w:rsidR="00DE3CA1">
              <w:rPr>
                <w:rFonts w:ascii="Calibri Light" w:hAnsi="Calibri Light"/>
                <w:b w:val="0"/>
              </w:rPr>
              <w:t>, después de los cuales se adoptaron una serie de planes y programas para promover la prestación de servicios de salud públicos a personas con VIH/SIDA</w:t>
            </w:r>
            <w:r w:rsidR="00017486">
              <w:rPr>
                <w:rFonts w:ascii="Calibri Light" w:hAnsi="Calibri Light"/>
                <w:b w:val="0"/>
              </w:rPr>
              <w:t>.</w:t>
            </w:r>
          </w:p>
          <w:p w14:paraId="19AF1E85" w14:textId="77777777" w:rsidR="00017486" w:rsidRDefault="00017486" w:rsidP="00017486">
            <w:pPr>
              <w:jc w:val="both"/>
              <w:rPr>
                <w:rFonts w:ascii="Calibri Light" w:hAnsi="Calibri Light"/>
                <w:b w:val="0"/>
              </w:rPr>
            </w:pPr>
          </w:p>
          <w:p w14:paraId="6B9CEC07" w14:textId="4F08935B" w:rsidR="0082243A" w:rsidRDefault="00FB35C6" w:rsidP="00017486">
            <w:pPr>
              <w:jc w:val="both"/>
              <w:rPr>
                <w:rFonts w:ascii="Calibri Light" w:hAnsi="Calibri Light"/>
                <w:b w:val="0"/>
              </w:rPr>
            </w:pPr>
            <w:r>
              <w:rPr>
                <w:rFonts w:ascii="Calibri Light" w:hAnsi="Calibri Light"/>
                <w:b w:val="0"/>
              </w:rPr>
              <w:t>Respecto al primer grupo, sobre seis de</w:t>
            </w:r>
            <w:r w:rsidR="00DA3271">
              <w:rPr>
                <w:rFonts w:ascii="Calibri Light" w:hAnsi="Calibri Light"/>
                <w:b w:val="0"/>
              </w:rPr>
              <w:t xml:space="preserve"> los</w:t>
            </w:r>
            <w:r>
              <w:rPr>
                <w:rFonts w:ascii="Calibri Light" w:hAnsi="Calibri Light"/>
                <w:b w:val="0"/>
              </w:rPr>
              <w:t xml:space="preserve"> fallecidos, aquellos cuya muerte se produjo</w:t>
            </w:r>
            <w:r w:rsidR="00017486">
              <w:rPr>
                <w:rFonts w:ascii="Calibri Light" w:hAnsi="Calibri Light"/>
                <w:b w:val="0"/>
              </w:rPr>
              <w:t xml:space="preserve"> de forma previa los años 2006 y 2</w:t>
            </w:r>
            <w:r w:rsidR="00BC14E1">
              <w:rPr>
                <w:rFonts w:ascii="Calibri Light" w:hAnsi="Calibri Light"/>
                <w:b w:val="0"/>
              </w:rPr>
              <w:t xml:space="preserve">007, </w:t>
            </w:r>
            <w:r>
              <w:rPr>
                <w:rFonts w:ascii="Calibri Light" w:hAnsi="Calibri Light"/>
                <w:b w:val="0"/>
              </w:rPr>
              <w:t xml:space="preserve">la CIDH </w:t>
            </w:r>
            <w:r w:rsidR="00BD06E9">
              <w:rPr>
                <w:rFonts w:ascii="Calibri Light" w:hAnsi="Calibri Light"/>
                <w:b w:val="0"/>
              </w:rPr>
              <w:t xml:space="preserve">comprobó </w:t>
            </w:r>
            <w:r>
              <w:rPr>
                <w:rFonts w:ascii="Calibri Light" w:hAnsi="Calibri Light"/>
                <w:b w:val="0"/>
              </w:rPr>
              <w:t>que</w:t>
            </w:r>
            <w:r w:rsidR="00BC14E1">
              <w:rPr>
                <w:rFonts w:ascii="Calibri Light" w:hAnsi="Calibri Light"/>
                <w:b w:val="0"/>
              </w:rPr>
              <w:t xml:space="preserve"> la falta de disponibilidad</w:t>
            </w:r>
            <w:r w:rsidR="00017486">
              <w:rPr>
                <w:rFonts w:ascii="Calibri Light" w:hAnsi="Calibri Light"/>
                <w:b w:val="0"/>
              </w:rPr>
              <w:t xml:space="preserve"> de</w:t>
            </w:r>
            <w:r w:rsidR="00BC14E1">
              <w:rPr>
                <w:rFonts w:ascii="Calibri Light" w:hAnsi="Calibri Light"/>
                <w:b w:val="0"/>
              </w:rPr>
              <w:t>l</w:t>
            </w:r>
            <w:r w:rsidR="00017486">
              <w:rPr>
                <w:rFonts w:ascii="Calibri Light" w:hAnsi="Calibri Light"/>
                <w:b w:val="0"/>
              </w:rPr>
              <w:t xml:space="preserve"> tratamiento</w:t>
            </w:r>
            <w:r w:rsidR="00BC14E1">
              <w:rPr>
                <w:rFonts w:ascii="Calibri Light" w:hAnsi="Calibri Light"/>
                <w:b w:val="0"/>
              </w:rPr>
              <w:t xml:space="preserve"> y una política pública sobre </w:t>
            </w:r>
            <w:r>
              <w:rPr>
                <w:rFonts w:ascii="Calibri Light" w:hAnsi="Calibri Light"/>
                <w:b w:val="0"/>
              </w:rPr>
              <w:t>VIH/SIDA</w:t>
            </w:r>
            <w:r w:rsidR="00017486">
              <w:rPr>
                <w:rFonts w:ascii="Calibri Light" w:hAnsi="Calibri Light"/>
                <w:b w:val="0"/>
              </w:rPr>
              <w:t xml:space="preserve"> en Guatemala para combatir la enfermedad</w:t>
            </w:r>
            <w:r>
              <w:rPr>
                <w:rFonts w:ascii="Calibri Light" w:hAnsi="Calibri Light"/>
                <w:b w:val="0"/>
              </w:rPr>
              <w:t xml:space="preserve"> generó el agravamiento de sus padecimientos, al punto en que perdieron la vida a causa de ello</w:t>
            </w:r>
            <w:r w:rsidR="00017486">
              <w:rPr>
                <w:rFonts w:ascii="Calibri Light" w:hAnsi="Calibri Light"/>
                <w:b w:val="0"/>
              </w:rPr>
              <w:t xml:space="preserve">. </w:t>
            </w:r>
            <w:r w:rsidR="0082243A">
              <w:rPr>
                <w:rFonts w:ascii="Calibri Light" w:hAnsi="Calibri Light"/>
                <w:b w:val="0"/>
              </w:rPr>
              <w:t xml:space="preserve">Tal como ha indicado ONUSIDA, </w:t>
            </w:r>
            <w:r w:rsidR="0012413D">
              <w:rPr>
                <w:rFonts w:ascii="Calibri Light" w:hAnsi="Calibri Light"/>
                <w:b w:val="0"/>
              </w:rPr>
              <w:t>las personas que viven con VIH/SIDA pueden sufrir enfermedades oportunistas como la neumonía, infecciones bacterianas, parasitarios, entre otras, las cuales se condicen con las enfermedades que padecieron estas personas y ocasionaron sus muertes.</w:t>
            </w:r>
          </w:p>
          <w:p w14:paraId="52516D29" w14:textId="77777777" w:rsidR="0082243A" w:rsidRDefault="0082243A" w:rsidP="00017486">
            <w:pPr>
              <w:jc w:val="both"/>
              <w:rPr>
                <w:rFonts w:ascii="Calibri Light" w:hAnsi="Calibri Light"/>
                <w:b w:val="0"/>
              </w:rPr>
            </w:pPr>
          </w:p>
          <w:p w14:paraId="6E328850" w14:textId="74688A7E" w:rsidR="00017486" w:rsidRDefault="00017486" w:rsidP="00017486">
            <w:pPr>
              <w:jc w:val="both"/>
              <w:rPr>
                <w:rFonts w:ascii="Calibri Light" w:hAnsi="Calibri Light"/>
                <w:b w:val="0"/>
              </w:rPr>
            </w:pPr>
            <w:r>
              <w:rPr>
                <w:rFonts w:ascii="Calibri Light" w:hAnsi="Calibri Light"/>
                <w:b w:val="0"/>
              </w:rPr>
              <w:t xml:space="preserve">En cuanto a los dos fallecidos de forma posterior a los años 2006 y 2007, </w:t>
            </w:r>
            <w:r w:rsidR="00FB35C6">
              <w:rPr>
                <w:rFonts w:ascii="Calibri Light" w:hAnsi="Calibri Light"/>
                <w:b w:val="0"/>
              </w:rPr>
              <w:t>la afectación se gener</w:t>
            </w:r>
            <w:r w:rsidR="00BD06E9">
              <w:rPr>
                <w:rFonts w:ascii="Calibri Light" w:hAnsi="Calibri Light"/>
                <w:b w:val="0"/>
              </w:rPr>
              <w:t>ó</w:t>
            </w:r>
            <w:r w:rsidR="00FB35C6">
              <w:rPr>
                <w:rFonts w:ascii="Calibri Light" w:hAnsi="Calibri Light"/>
                <w:b w:val="0"/>
              </w:rPr>
              <w:t xml:space="preserve"> por</w:t>
            </w:r>
            <w:r>
              <w:rPr>
                <w:rFonts w:ascii="Calibri Light" w:hAnsi="Calibri Light"/>
                <w:b w:val="0"/>
              </w:rPr>
              <w:t xml:space="preserve"> los estragos que en su integridad personal causó la ausencia de tratamiento en un primer momento y las deficiencias en el tratamiento prestado una vez el Estado comenzó a brindarlo.</w:t>
            </w:r>
            <w:r w:rsidR="00A4747C">
              <w:rPr>
                <w:rFonts w:ascii="Calibri Light" w:hAnsi="Calibri Light"/>
                <w:b w:val="0"/>
              </w:rPr>
              <w:t xml:space="preserve"> De esta forma, </w:t>
            </w:r>
            <w:r w:rsidR="00844D9C">
              <w:rPr>
                <w:rFonts w:ascii="Calibri Light" w:hAnsi="Calibri Light"/>
                <w:b w:val="0"/>
              </w:rPr>
              <w:t>no se habría cumplido con los principios de disponibilidad y</w:t>
            </w:r>
            <w:r w:rsidR="00E46176">
              <w:rPr>
                <w:rFonts w:ascii="Calibri Light" w:hAnsi="Calibri Light"/>
                <w:b w:val="0"/>
              </w:rPr>
              <w:t xml:space="preserve"> calidad del derecho a la salud, y en específico en la previsión y ejecución de una política que previera un tratamiento inte</w:t>
            </w:r>
            <w:r w:rsidR="00045619">
              <w:rPr>
                <w:rFonts w:ascii="Calibri Light" w:hAnsi="Calibri Light"/>
                <w:b w:val="0"/>
              </w:rPr>
              <w:t>gral para personas con VIH/SIDA.</w:t>
            </w:r>
          </w:p>
          <w:p w14:paraId="28A72AEB" w14:textId="77777777" w:rsidR="00FB35C6" w:rsidRDefault="00FB35C6" w:rsidP="00017486">
            <w:pPr>
              <w:jc w:val="both"/>
              <w:rPr>
                <w:rFonts w:ascii="Calibri Light" w:hAnsi="Calibri Light"/>
                <w:b w:val="0"/>
              </w:rPr>
            </w:pPr>
          </w:p>
          <w:p w14:paraId="644FA099" w14:textId="0BD8135A" w:rsidR="007372FE" w:rsidRDefault="00017486" w:rsidP="00FB35C6">
            <w:pPr>
              <w:jc w:val="both"/>
              <w:rPr>
                <w:rFonts w:ascii="Calibri Light" w:hAnsi="Calibri Light"/>
                <w:b w:val="0"/>
              </w:rPr>
            </w:pPr>
            <w:r>
              <w:rPr>
                <w:rFonts w:ascii="Calibri Light" w:hAnsi="Calibri Light"/>
                <w:b w:val="0"/>
              </w:rPr>
              <w:t>Respecto al segundo grupo</w:t>
            </w:r>
            <w:r w:rsidR="00CA6462">
              <w:rPr>
                <w:rFonts w:ascii="Calibri Light" w:hAnsi="Calibri Light"/>
                <w:b w:val="0"/>
              </w:rPr>
              <w:t>, de los 41 pacientes de VIH/SIDA que continuaban bajo tratamiento, la CIDH determin</w:t>
            </w:r>
            <w:r w:rsidR="00BD06E9">
              <w:rPr>
                <w:rFonts w:ascii="Calibri Light" w:hAnsi="Calibri Light"/>
                <w:b w:val="0"/>
              </w:rPr>
              <w:t>ó</w:t>
            </w:r>
            <w:r w:rsidR="00CA6462">
              <w:rPr>
                <w:rFonts w:ascii="Calibri Light" w:hAnsi="Calibri Light"/>
                <w:b w:val="0"/>
              </w:rPr>
              <w:t xml:space="preserve"> que, de forma previa a los años 2006 y 2007,</w:t>
            </w:r>
            <w:r>
              <w:rPr>
                <w:rFonts w:ascii="Calibri Light" w:hAnsi="Calibri Light"/>
                <w:b w:val="0"/>
              </w:rPr>
              <w:t xml:space="preserve"> la vulneración </w:t>
            </w:r>
            <w:r w:rsidR="00BD06E9">
              <w:rPr>
                <w:rFonts w:ascii="Calibri Light" w:hAnsi="Calibri Light"/>
                <w:b w:val="0"/>
              </w:rPr>
              <w:t xml:space="preserve">a sus derechos </w:t>
            </w:r>
            <w:r>
              <w:rPr>
                <w:rFonts w:ascii="Calibri Light" w:hAnsi="Calibri Light"/>
                <w:b w:val="0"/>
              </w:rPr>
              <w:t>se configur</w:t>
            </w:r>
            <w:r w:rsidR="00BD06E9">
              <w:rPr>
                <w:rFonts w:ascii="Calibri Light" w:hAnsi="Calibri Light"/>
                <w:b w:val="0"/>
              </w:rPr>
              <w:t>ó</w:t>
            </w:r>
            <w:r>
              <w:rPr>
                <w:rFonts w:ascii="Calibri Light" w:hAnsi="Calibri Light"/>
                <w:b w:val="0"/>
              </w:rPr>
              <w:t xml:space="preserve"> por la ausencia de una política de Estado para promover el tratamiento de personas con VIH/SIDA y su prevención, así como la total delegación de responsabilidad respecto a la prestación de este servicio de salud a organizaciones privadas. </w:t>
            </w:r>
            <w:r w:rsidR="00514642">
              <w:rPr>
                <w:rFonts w:ascii="Calibri Light" w:hAnsi="Calibri Light"/>
                <w:b w:val="0"/>
              </w:rPr>
              <w:t xml:space="preserve">Si bien la CIDH reconoció la importancia de la cooperación internacional </w:t>
            </w:r>
            <w:r w:rsidR="002213E1">
              <w:rPr>
                <w:rFonts w:ascii="Calibri Light" w:hAnsi="Calibri Light"/>
                <w:b w:val="0"/>
              </w:rPr>
              <w:t>para la protección de los derechos humanos, la obligación de brindar un tratamiento integral según los estándares citados, y especialmente en relación con el principio de disponibilidad era responsabilidad del Estado de Guatemala.</w:t>
            </w:r>
          </w:p>
          <w:p w14:paraId="5C8B53B1" w14:textId="77777777" w:rsidR="007372FE" w:rsidRDefault="007372FE" w:rsidP="00FB35C6">
            <w:pPr>
              <w:jc w:val="both"/>
              <w:rPr>
                <w:rFonts w:ascii="Calibri Light" w:hAnsi="Calibri Light"/>
                <w:b w:val="0"/>
              </w:rPr>
            </w:pPr>
          </w:p>
          <w:p w14:paraId="3A2BF13B" w14:textId="320977F4" w:rsidR="00FC661A" w:rsidRDefault="00CA6462" w:rsidP="00FB35C6">
            <w:pPr>
              <w:jc w:val="both"/>
              <w:rPr>
                <w:rFonts w:ascii="Calibri Light" w:hAnsi="Calibri Light"/>
                <w:b w:val="0"/>
              </w:rPr>
            </w:pPr>
            <w:r>
              <w:rPr>
                <w:rFonts w:ascii="Calibri Light" w:hAnsi="Calibri Light"/>
                <w:b w:val="0"/>
              </w:rPr>
              <w:t>Tras la implementación</w:t>
            </w:r>
            <w:r w:rsidR="00BD06E9">
              <w:rPr>
                <w:rFonts w:ascii="Calibri Light" w:hAnsi="Calibri Light"/>
                <w:b w:val="0"/>
              </w:rPr>
              <w:t xml:space="preserve">, entre los años 2006 y 2007, </w:t>
            </w:r>
            <w:r>
              <w:rPr>
                <w:rFonts w:ascii="Calibri Light" w:hAnsi="Calibri Light"/>
                <w:b w:val="0"/>
              </w:rPr>
              <w:t>de planes y programas sobre la pres</w:t>
            </w:r>
            <w:r w:rsidR="00450230">
              <w:rPr>
                <w:rFonts w:ascii="Calibri Light" w:hAnsi="Calibri Light"/>
                <w:b w:val="0"/>
              </w:rPr>
              <w:t>tación de servicios de salud a quienes padecieran la enfermedad</w:t>
            </w:r>
            <w:r w:rsidR="00BD06E9">
              <w:rPr>
                <w:rFonts w:ascii="Calibri Light" w:hAnsi="Calibri Light"/>
                <w:b w:val="0"/>
              </w:rPr>
              <w:t xml:space="preserve"> continuaron</w:t>
            </w:r>
            <w:r w:rsidR="00017486">
              <w:rPr>
                <w:rFonts w:ascii="Calibri Light" w:hAnsi="Calibri Light"/>
                <w:b w:val="0"/>
              </w:rPr>
              <w:t xml:space="preserve"> las falencias respecto a accesibilidad y disponibilidad del tratamiento que brinda</w:t>
            </w:r>
            <w:r w:rsidR="00912173">
              <w:rPr>
                <w:rFonts w:ascii="Calibri Light" w:hAnsi="Calibri Light"/>
                <w:b w:val="0"/>
              </w:rPr>
              <w:t>ba</w:t>
            </w:r>
            <w:r w:rsidR="00017486">
              <w:rPr>
                <w:rFonts w:ascii="Calibri Light" w:hAnsi="Calibri Light"/>
                <w:b w:val="0"/>
              </w:rPr>
              <w:t xml:space="preserve"> el Estado, </w:t>
            </w:r>
            <w:r w:rsidR="00C00DA2">
              <w:rPr>
                <w:rFonts w:ascii="Calibri Light" w:hAnsi="Calibri Light"/>
                <w:b w:val="0"/>
              </w:rPr>
              <w:t>en tanto se reportó que: i</w:t>
            </w:r>
            <w:r w:rsidR="00F67E15">
              <w:rPr>
                <w:rFonts w:ascii="Calibri Light" w:hAnsi="Calibri Light"/>
                <w:b w:val="0"/>
              </w:rPr>
              <w:t>) en distintos periodos</w:t>
            </w:r>
            <w:r w:rsidR="00B43E87">
              <w:rPr>
                <w:rFonts w:ascii="Calibri Light" w:hAnsi="Calibri Light"/>
                <w:b w:val="0"/>
              </w:rPr>
              <w:t>,</w:t>
            </w:r>
            <w:r w:rsidR="00F67E15">
              <w:rPr>
                <w:rFonts w:ascii="Calibri Light" w:hAnsi="Calibri Light"/>
                <w:b w:val="0"/>
              </w:rPr>
              <w:t xml:space="preserve"> los hospitales donde </w:t>
            </w:r>
            <w:r w:rsidR="00650E82">
              <w:rPr>
                <w:rFonts w:ascii="Calibri Light" w:hAnsi="Calibri Light"/>
                <w:b w:val="0"/>
              </w:rPr>
              <w:t xml:space="preserve">se </w:t>
            </w:r>
            <w:r w:rsidR="00F67E15">
              <w:rPr>
                <w:rFonts w:ascii="Calibri Light" w:hAnsi="Calibri Light"/>
                <w:b w:val="0"/>
              </w:rPr>
              <w:t>recib</w:t>
            </w:r>
            <w:r w:rsidR="00650E82">
              <w:rPr>
                <w:rFonts w:ascii="Calibri Light" w:hAnsi="Calibri Light"/>
                <w:b w:val="0"/>
              </w:rPr>
              <w:t>ía</w:t>
            </w:r>
            <w:r w:rsidR="00F67E15">
              <w:rPr>
                <w:rFonts w:ascii="Calibri Light" w:hAnsi="Calibri Light"/>
                <w:b w:val="0"/>
              </w:rPr>
              <w:t xml:space="preserve"> el tratamiento habrían quedado desabastecidos d</w:t>
            </w:r>
            <w:r w:rsidR="00C00DA2">
              <w:rPr>
                <w:rFonts w:ascii="Calibri Light" w:hAnsi="Calibri Light"/>
                <w:b w:val="0"/>
              </w:rPr>
              <w:t>e los medicamentos necesarios; ii</w:t>
            </w:r>
            <w:r w:rsidR="00F67E15">
              <w:rPr>
                <w:rFonts w:ascii="Calibri Light" w:hAnsi="Calibri Light"/>
                <w:b w:val="0"/>
              </w:rPr>
              <w:t xml:space="preserve">) </w:t>
            </w:r>
            <w:r w:rsidR="002A16C9">
              <w:rPr>
                <w:rFonts w:ascii="Calibri Light" w:hAnsi="Calibri Light"/>
                <w:b w:val="0"/>
              </w:rPr>
              <w:t xml:space="preserve">los pacientes con VIH/SIDA debían trasladarse </w:t>
            </w:r>
            <w:r w:rsidR="00616ED8">
              <w:rPr>
                <w:rFonts w:ascii="Calibri Light" w:hAnsi="Calibri Light"/>
                <w:b w:val="0"/>
              </w:rPr>
              <w:t>a la ciudad capital para recibir su tratamiento, a pesar que varios eran personas de escasos recursos económico</w:t>
            </w:r>
            <w:r w:rsidR="00C00DA2">
              <w:rPr>
                <w:rFonts w:ascii="Calibri Light" w:hAnsi="Calibri Light"/>
                <w:b w:val="0"/>
              </w:rPr>
              <w:t>s; y iii</w:t>
            </w:r>
            <w:r w:rsidR="00616ED8">
              <w:rPr>
                <w:rFonts w:ascii="Calibri Light" w:hAnsi="Calibri Light"/>
                <w:b w:val="0"/>
              </w:rPr>
              <w:t xml:space="preserve">) </w:t>
            </w:r>
            <w:r w:rsidR="00792810">
              <w:rPr>
                <w:rFonts w:ascii="Calibri Light" w:hAnsi="Calibri Light"/>
                <w:b w:val="0"/>
              </w:rPr>
              <w:t>los centros de salud públicos no c</w:t>
            </w:r>
            <w:r w:rsidR="00C00DA2">
              <w:rPr>
                <w:rFonts w:ascii="Calibri Light" w:hAnsi="Calibri Light"/>
                <w:b w:val="0"/>
              </w:rPr>
              <w:t>ontaban</w:t>
            </w:r>
            <w:r w:rsidR="00792810">
              <w:rPr>
                <w:rFonts w:ascii="Calibri Light" w:hAnsi="Calibri Light"/>
                <w:b w:val="0"/>
              </w:rPr>
              <w:t xml:space="preserve"> con personal suficiente, </w:t>
            </w:r>
            <w:r w:rsidR="000A7899">
              <w:rPr>
                <w:rFonts w:ascii="Calibri Light" w:hAnsi="Calibri Light"/>
                <w:b w:val="0"/>
              </w:rPr>
              <w:t xml:space="preserve">ni </w:t>
            </w:r>
            <w:r w:rsidR="00C00DA2">
              <w:rPr>
                <w:rFonts w:ascii="Calibri Light" w:hAnsi="Calibri Light"/>
                <w:b w:val="0"/>
              </w:rPr>
              <w:t>realizaban</w:t>
            </w:r>
            <w:r w:rsidR="000A7899">
              <w:rPr>
                <w:rFonts w:ascii="Calibri Light" w:hAnsi="Calibri Light"/>
                <w:b w:val="0"/>
              </w:rPr>
              <w:t xml:space="preserve"> los exámenes necesarios de diagnóstico y monitoreo con la periodicidad requerida para evitar la aparición de enfermedades oportunistas.</w:t>
            </w:r>
          </w:p>
          <w:p w14:paraId="7216CCD5" w14:textId="77777777" w:rsidR="000A7899" w:rsidRDefault="000A7899" w:rsidP="00FB35C6">
            <w:pPr>
              <w:jc w:val="both"/>
              <w:rPr>
                <w:rFonts w:ascii="Calibri Light" w:hAnsi="Calibri Light"/>
                <w:b w:val="0"/>
              </w:rPr>
            </w:pPr>
          </w:p>
          <w:p w14:paraId="6BECAC4B" w14:textId="7D90D9FE" w:rsidR="00FB35C6" w:rsidRDefault="00450230" w:rsidP="00FB35C6">
            <w:pPr>
              <w:jc w:val="both"/>
              <w:rPr>
                <w:rFonts w:ascii="Calibri Light" w:hAnsi="Calibri Light"/>
                <w:b w:val="0"/>
              </w:rPr>
            </w:pPr>
            <w:r w:rsidRPr="00AF2CC6">
              <w:rPr>
                <w:rFonts w:ascii="Calibri Light" w:hAnsi="Calibri Light"/>
                <w:b w:val="0"/>
              </w:rPr>
              <w:t>Por l</w:t>
            </w:r>
            <w:r w:rsidR="00B663E2" w:rsidRPr="00AF2CC6">
              <w:rPr>
                <w:rFonts w:ascii="Calibri Light" w:hAnsi="Calibri Light"/>
                <w:b w:val="0"/>
              </w:rPr>
              <w:t>o detallado</w:t>
            </w:r>
            <w:r w:rsidRPr="00AF2CC6">
              <w:rPr>
                <w:rFonts w:ascii="Calibri Light" w:hAnsi="Calibri Light"/>
                <w:b w:val="0"/>
              </w:rPr>
              <w:t xml:space="preserve">, </w:t>
            </w:r>
            <w:r w:rsidR="00FB35C6" w:rsidRPr="00AF2CC6">
              <w:rPr>
                <w:rFonts w:ascii="Calibri Light" w:hAnsi="Calibri Light"/>
                <w:b w:val="0"/>
              </w:rPr>
              <w:t>la CIDH declaró la responsabilidad del Estado de Guatemala por la violación de los artículos 4.1 y 5.1 de la CADH en relación con el artículo 1.1</w:t>
            </w:r>
            <w:r w:rsidR="00792810">
              <w:rPr>
                <w:rFonts w:ascii="Calibri Light" w:hAnsi="Calibri Light"/>
                <w:b w:val="0"/>
              </w:rPr>
              <w:t>, en perjuicio de Luis Cuscul Pivaral y otras personas con VIH/SIDA</w:t>
            </w:r>
            <w:r w:rsidR="00FB35C6" w:rsidRPr="00AF2CC6">
              <w:rPr>
                <w:rFonts w:ascii="Calibri Light" w:hAnsi="Calibri Light"/>
                <w:b w:val="0"/>
              </w:rPr>
              <w:t xml:space="preserve">.  </w:t>
            </w:r>
          </w:p>
          <w:p w14:paraId="1964C178" w14:textId="77777777" w:rsidR="00A226B4" w:rsidRPr="00AF2CC6" w:rsidRDefault="00A226B4" w:rsidP="00FB35C6">
            <w:pPr>
              <w:jc w:val="both"/>
              <w:rPr>
                <w:rFonts w:ascii="Calibri Light" w:hAnsi="Calibri Light"/>
                <w:b w:val="0"/>
              </w:rPr>
            </w:pPr>
          </w:p>
          <w:p w14:paraId="3F3D1F84" w14:textId="3EE697C9" w:rsidR="003C7680" w:rsidRDefault="003C7680" w:rsidP="009F6931">
            <w:pPr>
              <w:jc w:val="both"/>
              <w:rPr>
                <w:rFonts w:ascii="Calibri Light" w:hAnsi="Calibri Light"/>
              </w:rPr>
            </w:pPr>
            <w:r>
              <w:rPr>
                <w:rFonts w:ascii="Calibri Light" w:hAnsi="Calibri Light"/>
              </w:rPr>
              <w:t xml:space="preserve">Derecho a la </w:t>
            </w:r>
            <w:r w:rsidR="00257EC9">
              <w:rPr>
                <w:rFonts w:ascii="Calibri Light" w:hAnsi="Calibri Light"/>
              </w:rPr>
              <w:t>protección judicial (artí</w:t>
            </w:r>
            <w:r w:rsidR="00FB0AAF">
              <w:rPr>
                <w:rFonts w:ascii="Calibri Light" w:hAnsi="Calibri Light"/>
              </w:rPr>
              <w:t>culo 25 de la CADH</w:t>
            </w:r>
            <w:r w:rsidR="00257EC9">
              <w:rPr>
                <w:rFonts w:ascii="Calibri Light" w:hAnsi="Calibri Light"/>
              </w:rPr>
              <w:t>)</w:t>
            </w:r>
          </w:p>
          <w:p w14:paraId="366A2A4E" w14:textId="77777777" w:rsidR="003C7680" w:rsidRDefault="003C7680" w:rsidP="009F6931">
            <w:pPr>
              <w:jc w:val="both"/>
              <w:rPr>
                <w:rFonts w:ascii="Calibri Light" w:hAnsi="Calibri Light"/>
              </w:rPr>
            </w:pPr>
          </w:p>
          <w:p w14:paraId="44980D7F" w14:textId="0D1AEFA0" w:rsidR="00CB180B" w:rsidRPr="00AF2CC6" w:rsidRDefault="00CE272E" w:rsidP="00FB0AAF">
            <w:pPr>
              <w:jc w:val="both"/>
              <w:rPr>
                <w:rFonts w:ascii="Calibri Light" w:hAnsi="Calibri Light"/>
                <w:b w:val="0"/>
                <w:bCs w:val="0"/>
              </w:rPr>
            </w:pPr>
            <w:r w:rsidRPr="00AF2CC6">
              <w:rPr>
                <w:rFonts w:ascii="Calibri Light" w:hAnsi="Calibri Light"/>
                <w:b w:val="0"/>
                <w:bCs w:val="0"/>
              </w:rPr>
              <w:t>La CIDH reiter</w:t>
            </w:r>
            <w:r w:rsidR="00BD06E9">
              <w:rPr>
                <w:rFonts w:ascii="Calibri Light" w:hAnsi="Calibri Light"/>
                <w:b w:val="0"/>
                <w:bCs w:val="0"/>
              </w:rPr>
              <w:t>ó</w:t>
            </w:r>
            <w:r w:rsidRPr="00AF2CC6">
              <w:rPr>
                <w:rFonts w:ascii="Calibri Light" w:hAnsi="Calibri Light"/>
                <w:b w:val="0"/>
                <w:bCs w:val="0"/>
              </w:rPr>
              <w:t xml:space="preserve"> que toda persona debe tener acceso a un recurso sencillo y rápido </w:t>
            </w:r>
            <w:r w:rsidR="00D14988">
              <w:rPr>
                <w:rFonts w:ascii="Calibri Light" w:hAnsi="Calibri Light"/>
                <w:b w:val="0"/>
                <w:bCs w:val="0"/>
              </w:rPr>
              <w:t>para la tutela de sus derechos, el cual no debe solo existir formalmente, sino que también ha de ser efectivo.</w:t>
            </w:r>
            <w:r w:rsidR="00FB0AAF" w:rsidRPr="00AF2CC6">
              <w:rPr>
                <w:rFonts w:ascii="Calibri Light" w:hAnsi="Calibri Light"/>
                <w:b w:val="0"/>
                <w:bCs w:val="0"/>
              </w:rPr>
              <w:t xml:space="preserve"> </w:t>
            </w:r>
            <w:r w:rsidR="007B0D66" w:rsidRPr="00AF2CC6">
              <w:rPr>
                <w:rFonts w:ascii="Calibri Light" w:hAnsi="Calibri Light"/>
                <w:b w:val="0"/>
                <w:bCs w:val="0"/>
              </w:rPr>
              <w:t xml:space="preserve">En esa línea, el </w:t>
            </w:r>
            <w:r w:rsidR="00FB0AAF" w:rsidRPr="00AF2CC6">
              <w:rPr>
                <w:rFonts w:ascii="Calibri Light" w:hAnsi="Calibri Light"/>
                <w:b w:val="0"/>
                <w:bCs w:val="0"/>
              </w:rPr>
              <w:t>recurso de amparo presentado ante la Corte de Constitucionalidad se encontraba diseñado para t</w:t>
            </w:r>
            <w:r w:rsidR="00F63F01">
              <w:rPr>
                <w:rFonts w:ascii="Calibri Light" w:hAnsi="Calibri Light"/>
                <w:b w:val="0"/>
                <w:bCs w:val="0"/>
              </w:rPr>
              <w:t>utelar los derechos afectados</w:t>
            </w:r>
            <w:r w:rsidR="00FB0AAF" w:rsidRPr="00AF2CC6">
              <w:rPr>
                <w:rFonts w:ascii="Calibri Light" w:hAnsi="Calibri Light"/>
                <w:b w:val="0"/>
                <w:bCs w:val="0"/>
              </w:rPr>
              <w:t>, pero la decisión de la Corte de declarar su improcedencia lo despojó de su efectividad</w:t>
            </w:r>
            <w:r w:rsidR="00BD06E9">
              <w:rPr>
                <w:rFonts w:ascii="Calibri Light" w:hAnsi="Calibri Light"/>
                <w:b w:val="0"/>
                <w:bCs w:val="0"/>
              </w:rPr>
              <w:t>, al no realizar</w:t>
            </w:r>
            <w:r w:rsidR="00FB0AAF" w:rsidRPr="00AF2CC6">
              <w:rPr>
                <w:rFonts w:ascii="Calibri Light" w:hAnsi="Calibri Light"/>
                <w:b w:val="0"/>
                <w:bCs w:val="0"/>
              </w:rPr>
              <w:t xml:space="preserve"> un análisis meritorio de la urgencia y complejidad de la situación que afrontaban las personas con VIH/SIDA en Guatemala.</w:t>
            </w:r>
            <w:r w:rsidR="00F824CF" w:rsidRPr="00AF2CC6">
              <w:rPr>
                <w:rFonts w:ascii="Calibri Light" w:hAnsi="Calibri Light"/>
                <w:b w:val="0"/>
                <w:bCs w:val="0"/>
              </w:rPr>
              <w:t xml:space="preserve"> </w:t>
            </w:r>
            <w:r w:rsidR="00F824CF" w:rsidRPr="00AF2CC6">
              <w:rPr>
                <w:rFonts w:ascii="Calibri Light" w:hAnsi="Calibri Light"/>
                <w:b w:val="0"/>
              </w:rPr>
              <w:t xml:space="preserve">Por ello, la CIDH declaró que se había violado </w:t>
            </w:r>
            <w:r w:rsidR="00B663E2" w:rsidRPr="00AF2CC6">
              <w:rPr>
                <w:rFonts w:ascii="Calibri Light" w:hAnsi="Calibri Light"/>
                <w:b w:val="0"/>
              </w:rPr>
              <w:t xml:space="preserve">el artículo 25.1 </w:t>
            </w:r>
            <w:r w:rsidR="00DB1B7E" w:rsidRPr="00AF2CC6">
              <w:rPr>
                <w:rFonts w:ascii="Calibri Light" w:hAnsi="Calibri Light"/>
                <w:b w:val="0"/>
              </w:rPr>
              <w:t xml:space="preserve">de la CADH en relación con el artículo 1.1 </w:t>
            </w:r>
            <w:r w:rsidR="00F824CF" w:rsidRPr="00AF2CC6">
              <w:rPr>
                <w:rFonts w:ascii="Calibri Light" w:hAnsi="Calibri Light"/>
                <w:b w:val="0"/>
              </w:rPr>
              <w:t>en perjuicio de</w:t>
            </w:r>
            <w:r w:rsidR="00B663E2" w:rsidRPr="00AF2CC6">
              <w:rPr>
                <w:rFonts w:ascii="Calibri Light" w:hAnsi="Calibri Light"/>
                <w:b w:val="0"/>
              </w:rPr>
              <w:t xml:space="preserve"> todas las víctimas del caso, excepto Alberto Quiché Cueva, quien falleció antes de la interposición y resolución del recurso de amparo.</w:t>
            </w:r>
            <w:r w:rsidR="00F824CF" w:rsidRPr="00AF2CC6">
              <w:rPr>
                <w:rFonts w:ascii="Calibri Light" w:hAnsi="Calibri Light"/>
                <w:b w:val="0"/>
              </w:rPr>
              <w:t xml:space="preserve"> </w:t>
            </w:r>
            <w:r w:rsidR="00F824CF" w:rsidRPr="00AF2CC6">
              <w:rPr>
                <w:rFonts w:ascii="Calibri Light" w:hAnsi="Calibri Light"/>
                <w:b w:val="0"/>
                <w:bCs w:val="0"/>
              </w:rPr>
              <w:t xml:space="preserve"> </w:t>
            </w:r>
          </w:p>
          <w:p w14:paraId="664B02AB" w14:textId="77777777" w:rsidR="00FB0AAF" w:rsidRDefault="00FB0AAF" w:rsidP="00FB0AAF">
            <w:pPr>
              <w:jc w:val="both"/>
              <w:rPr>
                <w:rFonts w:ascii="Calibri Light" w:hAnsi="Calibri Light"/>
                <w:b w:val="0"/>
                <w:bCs w:val="0"/>
              </w:rPr>
            </w:pPr>
          </w:p>
          <w:p w14:paraId="02F1A4EC" w14:textId="14603FFB" w:rsidR="00FB0AAF" w:rsidRDefault="00FB0AAF" w:rsidP="00FB0AAF">
            <w:pPr>
              <w:jc w:val="both"/>
              <w:rPr>
                <w:rFonts w:ascii="Calibri Light" w:hAnsi="Calibri Light"/>
                <w:bCs w:val="0"/>
              </w:rPr>
            </w:pPr>
            <w:r>
              <w:rPr>
                <w:rFonts w:ascii="Calibri Light" w:hAnsi="Calibri Light"/>
                <w:bCs w:val="0"/>
              </w:rPr>
              <w:t>Derecho a la integridad personal respecto a los familiares de las víctimas (artículo 5 de la CADH)</w:t>
            </w:r>
          </w:p>
          <w:p w14:paraId="22A11CB6" w14:textId="77777777" w:rsidR="00FB0AAF" w:rsidRDefault="00FB0AAF" w:rsidP="00FB0AAF">
            <w:pPr>
              <w:jc w:val="both"/>
              <w:rPr>
                <w:rFonts w:ascii="Calibri Light" w:hAnsi="Calibri Light"/>
                <w:bCs w:val="0"/>
              </w:rPr>
            </w:pPr>
          </w:p>
          <w:p w14:paraId="1524260C" w14:textId="62238554" w:rsidR="00AF2CC6" w:rsidRDefault="00BD06E9" w:rsidP="00962E5D">
            <w:pPr>
              <w:jc w:val="both"/>
              <w:rPr>
                <w:rFonts w:ascii="Calibri Light" w:hAnsi="Calibri Light"/>
                <w:b w:val="0"/>
                <w:bCs w:val="0"/>
              </w:rPr>
            </w:pPr>
            <w:r>
              <w:rPr>
                <w:rFonts w:ascii="Calibri Light" w:hAnsi="Calibri Light"/>
                <w:b w:val="0"/>
                <w:bCs w:val="0"/>
              </w:rPr>
              <w:t>L</w:t>
            </w:r>
            <w:r w:rsidR="007B0D66" w:rsidRPr="00AF2CC6">
              <w:rPr>
                <w:rFonts w:ascii="Calibri Light" w:hAnsi="Calibri Light"/>
                <w:b w:val="0"/>
                <w:bCs w:val="0"/>
              </w:rPr>
              <w:t xml:space="preserve">a CIDH recuerda que la Corte IDH ha determinado que la integridad personal de los familiares de las víctimas en casos de violaciones de derechos humanos se puede ver afectada por el sufrimiento que estos padecen y las circunstancias que atraviesan. La protección de la integridad personal en estos casos se puede extender a “seres queridos”, dependiendo de las circunstancias y la cercanía con la víctima. </w:t>
            </w:r>
            <w:r w:rsidR="00F824CF" w:rsidRPr="00AF2CC6">
              <w:rPr>
                <w:rFonts w:ascii="Calibri Light" w:hAnsi="Calibri Light"/>
                <w:b w:val="0"/>
                <w:bCs w:val="0"/>
              </w:rPr>
              <w:t>Tomando en cuenta</w:t>
            </w:r>
            <w:r w:rsidR="009A196B" w:rsidRPr="00AF2CC6">
              <w:rPr>
                <w:rFonts w:ascii="Calibri Light" w:hAnsi="Calibri Light"/>
                <w:b w:val="0"/>
                <w:bCs w:val="0"/>
              </w:rPr>
              <w:t xml:space="preserve"> </w:t>
            </w:r>
            <w:r w:rsidR="00FB0AAF" w:rsidRPr="00AF2CC6">
              <w:rPr>
                <w:rFonts w:ascii="Calibri Light" w:hAnsi="Calibri Light"/>
                <w:b w:val="0"/>
                <w:bCs w:val="0"/>
              </w:rPr>
              <w:t>la</w:t>
            </w:r>
            <w:r w:rsidR="00962E5D" w:rsidRPr="00AF2CC6">
              <w:rPr>
                <w:rFonts w:ascii="Calibri Light" w:hAnsi="Calibri Light"/>
                <w:b w:val="0"/>
                <w:bCs w:val="0"/>
              </w:rPr>
              <w:t xml:space="preserve"> </w:t>
            </w:r>
            <w:r w:rsidR="00FB0AAF" w:rsidRPr="00AF2CC6">
              <w:rPr>
                <w:rFonts w:ascii="Calibri Light" w:hAnsi="Calibri Light"/>
                <w:b w:val="0"/>
                <w:bCs w:val="0"/>
              </w:rPr>
              <w:t>afectación del derecho a la integridad personal y puesta en riesgo del derech</w:t>
            </w:r>
            <w:r w:rsidR="007B0D66" w:rsidRPr="00AF2CC6">
              <w:rPr>
                <w:rFonts w:ascii="Calibri Light" w:hAnsi="Calibri Light"/>
                <w:b w:val="0"/>
                <w:bCs w:val="0"/>
              </w:rPr>
              <w:t>o a la vida de l</w:t>
            </w:r>
            <w:r w:rsidR="009A196B" w:rsidRPr="00AF2CC6">
              <w:rPr>
                <w:rFonts w:ascii="Calibri Light" w:hAnsi="Calibri Light"/>
                <w:b w:val="0"/>
                <w:bCs w:val="0"/>
              </w:rPr>
              <w:t>as 49 víctimas del cas</w:t>
            </w:r>
            <w:r w:rsidR="007B0D66" w:rsidRPr="00AF2CC6">
              <w:rPr>
                <w:rFonts w:ascii="Calibri Light" w:hAnsi="Calibri Light"/>
                <w:b w:val="0"/>
                <w:bCs w:val="0"/>
              </w:rPr>
              <w:t>o</w:t>
            </w:r>
            <w:r w:rsidR="00FB0AAF" w:rsidRPr="00AF2CC6">
              <w:rPr>
                <w:rFonts w:ascii="Calibri Light" w:hAnsi="Calibri Light"/>
                <w:b w:val="0"/>
                <w:bCs w:val="0"/>
              </w:rPr>
              <w:t>, la CIDH declar</w:t>
            </w:r>
            <w:r w:rsidR="00F824CF" w:rsidRPr="00AF2CC6">
              <w:rPr>
                <w:rFonts w:ascii="Calibri Light" w:hAnsi="Calibri Light"/>
                <w:b w:val="0"/>
                <w:bCs w:val="0"/>
              </w:rPr>
              <w:t>ó</w:t>
            </w:r>
            <w:r>
              <w:rPr>
                <w:rFonts w:ascii="Calibri Light" w:hAnsi="Calibri Light"/>
                <w:b w:val="0"/>
                <w:bCs w:val="0"/>
              </w:rPr>
              <w:t xml:space="preserve"> también</w:t>
            </w:r>
            <w:r w:rsidR="00FB0AAF" w:rsidRPr="00AF2CC6">
              <w:rPr>
                <w:rFonts w:ascii="Calibri Light" w:hAnsi="Calibri Light"/>
                <w:b w:val="0"/>
                <w:bCs w:val="0"/>
              </w:rPr>
              <w:t xml:space="preserve"> la responsabilidad del Estado también re</w:t>
            </w:r>
            <w:r w:rsidR="008B74F5" w:rsidRPr="00AF2CC6">
              <w:rPr>
                <w:rFonts w:ascii="Calibri Light" w:hAnsi="Calibri Light"/>
                <w:b w:val="0"/>
                <w:bCs w:val="0"/>
              </w:rPr>
              <w:t>specto a los familiares</w:t>
            </w:r>
            <w:r w:rsidR="007B0D66" w:rsidRPr="00AF2CC6">
              <w:rPr>
                <w:rFonts w:ascii="Calibri Light" w:hAnsi="Calibri Light"/>
                <w:b w:val="0"/>
                <w:bCs w:val="0"/>
              </w:rPr>
              <w:t xml:space="preserve"> y seres queridos de estas por la violación del artículo 5.1 de la CADH en relación con el artículo 1.1.</w:t>
            </w:r>
          </w:p>
          <w:p w14:paraId="5AA471B6" w14:textId="698457AB" w:rsidR="00A03D24" w:rsidRPr="00792810" w:rsidRDefault="00A03D24" w:rsidP="00962E5D">
            <w:pPr>
              <w:jc w:val="both"/>
              <w:rPr>
                <w:rFonts w:ascii="Calibri Light" w:hAnsi="Calibri Light"/>
                <w:b w:val="0"/>
                <w:bCs w:val="0"/>
              </w:rPr>
            </w:pPr>
          </w:p>
        </w:tc>
      </w:tr>
      <w:tr w:rsidR="005173CF" w:rsidRPr="004533E5" w14:paraId="0FBFBB6F" w14:textId="77777777" w:rsidTr="00941AC7">
        <w:trPr>
          <w:trHeight w:val="567"/>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510D8BF9" w14:textId="1F6496A0" w:rsidR="00AC6F31" w:rsidRPr="00941AC7" w:rsidRDefault="007A6C56" w:rsidP="00941AC7">
            <w:pPr>
              <w:pStyle w:val="ListParagraph"/>
              <w:numPr>
                <w:ilvl w:val="0"/>
                <w:numId w:val="2"/>
              </w:numPr>
              <w:jc w:val="center"/>
              <w:rPr>
                <w:rFonts w:ascii="Calibri Light" w:hAnsi="Calibri Light"/>
              </w:rPr>
            </w:pPr>
            <w:r w:rsidRPr="004533E5">
              <w:rPr>
                <w:rFonts w:ascii="Calibri Light" w:hAnsi="Calibri Light"/>
              </w:rPr>
              <w:lastRenderedPageBreak/>
              <w:t>Recomendaciones</w:t>
            </w:r>
            <w:r w:rsidR="003639F6">
              <w:rPr>
                <w:rFonts w:ascii="Calibri Light" w:hAnsi="Calibri Light"/>
              </w:rPr>
              <w:t xml:space="preserve"> de la CIDH al Estado</w:t>
            </w:r>
          </w:p>
        </w:tc>
      </w:tr>
      <w:tr w:rsidR="007A6C56" w:rsidRPr="004533E5" w14:paraId="3D91AF16" w14:textId="77777777" w:rsidTr="00A94EE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80C0C5" w14:textId="63DB4CDC" w:rsidR="00AC6F31" w:rsidRDefault="00AC6F31" w:rsidP="00A226B4">
            <w:pPr>
              <w:pStyle w:val="ListParagraph"/>
              <w:ind w:left="0"/>
              <w:jc w:val="both"/>
              <w:rPr>
                <w:rFonts w:ascii="Calibri Light" w:hAnsi="Calibri Light"/>
                <w:b w:val="0"/>
              </w:rPr>
            </w:pPr>
          </w:p>
          <w:p w14:paraId="70CEBFE8" w14:textId="77777777" w:rsidR="00A226B4" w:rsidRPr="00A226B4" w:rsidRDefault="00AF20C4" w:rsidP="00A226B4">
            <w:pPr>
              <w:pStyle w:val="ListParagraph"/>
              <w:numPr>
                <w:ilvl w:val="0"/>
                <w:numId w:val="4"/>
              </w:numPr>
              <w:jc w:val="both"/>
              <w:rPr>
                <w:rFonts w:ascii="Calibri Light" w:hAnsi="Calibri Light"/>
                <w:b w:val="0"/>
              </w:rPr>
            </w:pPr>
            <w:r w:rsidRPr="00A226B4">
              <w:rPr>
                <w:rFonts w:ascii="Calibri Light" w:hAnsi="Calibri Light"/>
                <w:b w:val="0"/>
              </w:rPr>
              <w:lastRenderedPageBreak/>
              <w:t>Reparar integralmente a las víctimas y a sus familiares y seres queridos por las violaciones</w:t>
            </w:r>
            <w:r w:rsidR="00A226B4" w:rsidRPr="00A226B4">
              <w:rPr>
                <w:rFonts w:ascii="Calibri Light" w:hAnsi="Calibri Light"/>
                <w:b w:val="0"/>
              </w:rPr>
              <w:t xml:space="preserve"> de derechos humanos declaradas.</w:t>
            </w:r>
          </w:p>
          <w:p w14:paraId="7FB8F40A" w14:textId="2C444FE9" w:rsidR="00AF2CC6" w:rsidRPr="00A226B4" w:rsidRDefault="00AF20C4" w:rsidP="00A226B4">
            <w:pPr>
              <w:pStyle w:val="ListParagraph"/>
              <w:numPr>
                <w:ilvl w:val="0"/>
                <w:numId w:val="4"/>
              </w:numPr>
              <w:jc w:val="both"/>
              <w:rPr>
                <w:rFonts w:ascii="Calibri Light" w:hAnsi="Calibri Light"/>
              </w:rPr>
            </w:pPr>
            <w:r w:rsidRPr="00A226B4">
              <w:rPr>
                <w:rFonts w:ascii="Calibri Light" w:hAnsi="Calibri Light"/>
                <w:b w:val="0"/>
              </w:rPr>
              <w:t xml:space="preserve">Adoptar medidas para asegurar que a todas las víctimas sobrevivientes se les brinde una atención médica integral que se encuentre acorde a los estándares internacionales sobre el tema y que, como mínimo, </w:t>
            </w:r>
            <w:r w:rsidR="00393E5C" w:rsidRPr="00A226B4">
              <w:rPr>
                <w:rFonts w:ascii="Calibri Light" w:hAnsi="Calibri Light"/>
                <w:b w:val="0"/>
              </w:rPr>
              <w:t>incluya la realización de diagnósticos completos y exámenes de seguimiento, provisión permanente de los medicamentos antiretrovirales, atención en salud mental si así lo requieren o desean, y la atención diferenciada requerida por las víctimas mujeres.</w:t>
            </w:r>
          </w:p>
          <w:p w14:paraId="09E748AD" w14:textId="05BE515D" w:rsidR="00A226B4" w:rsidRPr="00A226B4" w:rsidRDefault="00393E5C" w:rsidP="00A226B4">
            <w:pPr>
              <w:pStyle w:val="ListParagraph"/>
              <w:numPr>
                <w:ilvl w:val="0"/>
                <w:numId w:val="4"/>
              </w:numPr>
              <w:jc w:val="both"/>
              <w:rPr>
                <w:rFonts w:ascii="Calibri Light" w:hAnsi="Calibri Light"/>
                <w:b w:val="0"/>
              </w:rPr>
            </w:pPr>
            <w:r w:rsidRPr="00AF2CC6">
              <w:rPr>
                <w:rFonts w:ascii="Calibri Light" w:hAnsi="Calibri Light"/>
                <w:b w:val="0"/>
              </w:rPr>
              <w:t>Disponer mecanismos de no repetición que incluyan, entre otras medidas, provisión de tratamiento y atención integral acorde a los estándares internacionales, la implementación de mecanismos de supervisión y fiscalización, e implementación de programas de capacitación al personal en hospitales públicos para que su desempeño se dé acorde a los parámetros internacionales correspondientes.</w:t>
            </w:r>
          </w:p>
          <w:p w14:paraId="49863AFC" w14:textId="209142B6" w:rsidR="00AF2CC6" w:rsidRPr="00AF2CC6" w:rsidRDefault="00AF2CC6" w:rsidP="00A226B4">
            <w:pPr>
              <w:jc w:val="both"/>
              <w:rPr>
                <w:rFonts w:ascii="Calibri Light" w:hAnsi="Calibri Light"/>
              </w:rPr>
            </w:pPr>
          </w:p>
        </w:tc>
      </w:tr>
      <w:tr w:rsidR="00F464EC" w:rsidRPr="004533E5" w14:paraId="0B7CC98E" w14:textId="77777777" w:rsidTr="00A226B4">
        <w:trPr>
          <w:trHeight w:val="567"/>
        </w:trPr>
        <w:tc>
          <w:tcPr>
            <w:cnfStyle w:val="001000000000" w:firstRow="0" w:lastRow="0" w:firstColumn="1" w:lastColumn="0" w:oddVBand="0" w:evenVBand="0" w:oddHBand="0" w:evenHBand="0" w:firstRowFirstColumn="0" w:firstRowLastColumn="0" w:lastRowFirstColumn="0" w:lastRowLastColumn="0"/>
            <w:tcW w:w="8721" w:type="dxa"/>
            <w:gridSpan w:val="3"/>
            <w:vAlign w:val="bottom"/>
          </w:tcPr>
          <w:p w14:paraId="3C93C1C0" w14:textId="44CC97A2" w:rsidR="00F464EC" w:rsidRPr="00A226B4" w:rsidRDefault="00F464EC" w:rsidP="00A226B4">
            <w:pPr>
              <w:pStyle w:val="ListParagraph"/>
              <w:numPr>
                <w:ilvl w:val="0"/>
                <w:numId w:val="2"/>
              </w:numPr>
              <w:spacing w:after="200" w:line="276" w:lineRule="auto"/>
              <w:jc w:val="center"/>
              <w:rPr>
                <w:rFonts w:ascii="Calibri Light" w:hAnsi="Calibri Light"/>
              </w:rPr>
            </w:pPr>
            <w:r>
              <w:rPr>
                <w:rFonts w:ascii="Calibri Light" w:hAnsi="Calibri Light"/>
              </w:rPr>
              <w:lastRenderedPageBreak/>
              <w:t>Análisis de cumplimiento de las recomendaciones</w:t>
            </w:r>
          </w:p>
        </w:tc>
      </w:tr>
      <w:tr w:rsidR="00F464EC" w:rsidRPr="004533E5" w14:paraId="41FA15A1" w14:textId="77777777" w:rsidTr="00A94EE7">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4AAFA1A0" w14:textId="77777777" w:rsidR="00F464EC" w:rsidRDefault="00F464EC" w:rsidP="004B1311">
            <w:pPr>
              <w:pStyle w:val="ListParagraph"/>
              <w:ind w:left="0"/>
              <w:jc w:val="both"/>
              <w:rPr>
                <w:rFonts w:ascii="Calibri Light" w:hAnsi="Calibri Light"/>
                <w:b w:val="0"/>
              </w:rPr>
            </w:pPr>
          </w:p>
          <w:p w14:paraId="59C6DB00" w14:textId="77777777" w:rsidR="00826869" w:rsidRDefault="00826869" w:rsidP="00826869">
            <w:pPr>
              <w:pStyle w:val="ListParagraph"/>
              <w:ind w:left="0"/>
              <w:jc w:val="center"/>
              <w:rPr>
                <w:rFonts w:ascii="Calibri Light" w:hAnsi="Calibri Light"/>
                <w:b w:val="0"/>
              </w:rPr>
            </w:pPr>
            <w:r w:rsidRPr="00826869">
              <w:rPr>
                <w:rFonts w:ascii="Calibri Light" w:hAnsi="Calibri Light"/>
                <w:b w:val="0"/>
              </w:rPr>
              <w:t>-</w:t>
            </w:r>
          </w:p>
          <w:p w14:paraId="1F3EA985" w14:textId="4ED84473" w:rsidR="00826869" w:rsidRDefault="00826869" w:rsidP="00826869">
            <w:pPr>
              <w:pStyle w:val="ListParagraph"/>
              <w:ind w:left="0"/>
              <w:jc w:val="center"/>
              <w:rPr>
                <w:rFonts w:ascii="Calibri Light" w:hAnsi="Calibri Light"/>
                <w:b w:val="0"/>
              </w:rPr>
            </w:pPr>
          </w:p>
        </w:tc>
      </w:tr>
    </w:tbl>
    <w:p w14:paraId="23A9A3C3" w14:textId="77777777" w:rsidR="00714E42" w:rsidRDefault="00714E42" w:rsidP="00A65231"/>
    <w:sectPr w:rsidR="00714E42" w:rsidSect="00A65231">
      <w:footerReference w:type="default" r:id="rId16"/>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31EA2" w14:textId="77777777" w:rsidR="003122EB" w:rsidRDefault="003122EB" w:rsidP="00A65231">
      <w:pPr>
        <w:spacing w:after="0" w:line="240" w:lineRule="auto"/>
      </w:pPr>
      <w:r>
        <w:separator/>
      </w:r>
    </w:p>
  </w:endnote>
  <w:endnote w:type="continuationSeparator" w:id="0">
    <w:p w14:paraId="5FDE733C" w14:textId="77777777" w:rsidR="003122EB" w:rsidRDefault="003122EB"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1937"/>
      <w:docPartObj>
        <w:docPartGallery w:val="Page Numbers (Bottom of Page)"/>
        <w:docPartUnique/>
      </w:docPartObj>
    </w:sdtPr>
    <w:sdtEndPr/>
    <w:sdtContent>
      <w:p w14:paraId="23A746CC" w14:textId="6C3AF229" w:rsidR="00EB47E0" w:rsidRDefault="00EB47E0">
        <w:pPr>
          <w:pStyle w:val="Footer"/>
          <w:jc w:val="right"/>
        </w:pPr>
        <w:r>
          <w:fldChar w:fldCharType="begin"/>
        </w:r>
        <w:r>
          <w:instrText>PAGE   \* MERGEFORMAT</w:instrText>
        </w:r>
        <w:r>
          <w:fldChar w:fldCharType="separate"/>
        </w:r>
        <w:r w:rsidR="00873505" w:rsidRPr="00873505">
          <w:rPr>
            <w:noProof/>
            <w:lang w:val="es-ES"/>
          </w:rPr>
          <w:t>6</w:t>
        </w:r>
        <w:r>
          <w:fldChar w:fldCharType="end"/>
        </w:r>
      </w:p>
    </w:sdtContent>
  </w:sdt>
  <w:p w14:paraId="6353BB13" w14:textId="77777777" w:rsidR="00EB47E0" w:rsidRDefault="00EB4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9DA15" w14:textId="77777777" w:rsidR="003122EB" w:rsidRDefault="003122EB" w:rsidP="00A65231">
      <w:pPr>
        <w:spacing w:after="0" w:line="240" w:lineRule="auto"/>
      </w:pPr>
      <w:r>
        <w:separator/>
      </w:r>
    </w:p>
  </w:footnote>
  <w:footnote w:type="continuationSeparator" w:id="0">
    <w:p w14:paraId="6510FBA1" w14:textId="77777777" w:rsidR="003122EB" w:rsidRDefault="003122EB"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EBA"/>
    <w:multiLevelType w:val="hybridMultilevel"/>
    <w:tmpl w:val="39DE7A64"/>
    <w:lvl w:ilvl="0" w:tplc="F208B1FA">
      <w:start w:val="1"/>
      <w:numFmt w:val="decimal"/>
      <w:lvlText w:val="%1."/>
      <w:lvlJc w:val="left"/>
      <w:pPr>
        <w:ind w:left="360" w:hanging="360"/>
      </w:pPr>
      <w:rPr>
        <w:rFonts w:ascii="Calibri Light" w:hAnsi="Calibri Light"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261234EA"/>
    <w:multiLevelType w:val="hybridMultilevel"/>
    <w:tmpl w:val="4C3AB1B8"/>
    <w:lvl w:ilvl="0" w:tplc="0246725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05A010C"/>
    <w:multiLevelType w:val="hybridMultilevel"/>
    <w:tmpl w:val="F280DE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B3C6EF6"/>
    <w:multiLevelType w:val="hybridMultilevel"/>
    <w:tmpl w:val="56C8CD10"/>
    <w:lvl w:ilvl="0" w:tplc="0246725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79742C6C"/>
    <w:multiLevelType w:val="hybridMultilevel"/>
    <w:tmpl w:val="51F8012A"/>
    <w:lvl w:ilvl="0" w:tplc="1DEC523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4"/>
  </w:num>
  <w:num w:numId="6">
    <w:abstractNumId w:val="7"/>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03F8C"/>
    <w:rsid w:val="000113F1"/>
    <w:rsid w:val="00017486"/>
    <w:rsid w:val="00027257"/>
    <w:rsid w:val="00045619"/>
    <w:rsid w:val="00057B84"/>
    <w:rsid w:val="0006120A"/>
    <w:rsid w:val="00061242"/>
    <w:rsid w:val="0008203A"/>
    <w:rsid w:val="000A2044"/>
    <w:rsid w:val="000A46B0"/>
    <w:rsid w:val="000A75C5"/>
    <w:rsid w:val="000A7899"/>
    <w:rsid w:val="000C2ED1"/>
    <w:rsid w:val="000C5A72"/>
    <w:rsid w:val="000D3CF2"/>
    <w:rsid w:val="000F2C70"/>
    <w:rsid w:val="001077C9"/>
    <w:rsid w:val="001225D1"/>
    <w:rsid w:val="0012413D"/>
    <w:rsid w:val="001268DC"/>
    <w:rsid w:val="001317E6"/>
    <w:rsid w:val="00134C34"/>
    <w:rsid w:val="00141628"/>
    <w:rsid w:val="00143414"/>
    <w:rsid w:val="001502C6"/>
    <w:rsid w:val="00173845"/>
    <w:rsid w:val="00176BBA"/>
    <w:rsid w:val="00185808"/>
    <w:rsid w:val="0018665E"/>
    <w:rsid w:val="001A14F7"/>
    <w:rsid w:val="001A15D9"/>
    <w:rsid w:val="001B0290"/>
    <w:rsid w:val="001C0DB7"/>
    <w:rsid w:val="001C28EC"/>
    <w:rsid w:val="001E3B1A"/>
    <w:rsid w:val="001E785E"/>
    <w:rsid w:val="00202AFA"/>
    <w:rsid w:val="00212F62"/>
    <w:rsid w:val="00213757"/>
    <w:rsid w:val="00220B75"/>
    <w:rsid w:val="002213E1"/>
    <w:rsid w:val="00222591"/>
    <w:rsid w:val="00237D69"/>
    <w:rsid w:val="00237E09"/>
    <w:rsid w:val="002412AD"/>
    <w:rsid w:val="002433BA"/>
    <w:rsid w:val="00243435"/>
    <w:rsid w:val="00243C42"/>
    <w:rsid w:val="00257EC9"/>
    <w:rsid w:val="00261070"/>
    <w:rsid w:val="0029049D"/>
    <w:rsid w:val="0029671B"/>
    <w:rsid w:val="002A16C9"/>
    <w:rsid w:val="002A2AE4"/>
    <w:rsid w:val="002B3816"/>
    <w:rsid w:val="002B7CCE"/>
    <w:rsid w:val="002C4CED"/>
    <w:rsid w:val="002D1D2F"/>
    <w:rsid w:val="002D5158"/>
    <w:rsid w:val="002D7016"/>
    <w:rsid w:val="002D7F8F"/>
    <w:rsid w:val="002E4141"/>
    <w:rsid w:val="002F007F"/>
    <w:rsid w:val="002F12C3"/>
    <w:rsid w:val="002F2804"/>
    <w:rsid w:val="0030365C"/>
    <w:rsid w:val="003111DB"/>
    <w:rsid w:val="003122EB"/>
    <w:rsid w:val="003147E7"/>
    <w:rsid w:val="00317EE5"/>
    <w:rsid w:val="003309B4"/>
    <w:rsid w:val="003324C6"/>
    <w:rsid w:val="00335399"/>
    <w:rsid w:val="00342CE4"/>
    <w:rsid w:val="003501C8"/>
    <w:rsid w:val="0036394E"/>
    <w:rsid w:val="003639F6"/>
    <w:rsid w:val="00364072"/>
    <w:rsid w:val="0036672C"/>
    <w:rsid w:val="0039117D"/>
    <w:rsid w:val="003920AF"/>
    <w:rsid w:val="00393E5C"/>
    <w:rsid w:val="003B094D"/>
    <w:rsid w:val="003B0A2C"/>
    <w:rsid w:val="003B4BB4"/>
    <w:rsid w:val="003B588F"/>
    <w:rsid w:val="003C3928"/>
    <w:rsid w:val="003C7680"/>
    <w:rsid w:val="003D3EB3"/>
    <w:rsid w:val="003E023D"/>
    <w:rsid w:val="003E2B29"/>
    <w:rsid w:val="003E6AB8"/>
    <w:rsid w:val="00411A74"/>
    <w:rsid w:val="0041366B"/>
    <w:rsid w:val="00420440"/>
    <w:rsid w:val="00421D6C"/>
    <w:rsid w:val="00426E88"/>
    <w:rsid w:val="00427169"/>
    <w:rsid w:val="00450230"/>
    <w:rsid w:val="00451809"/>
    <w:rsid w:val="00451E49"/>
    <w:rsid w:val="00452AA6"/>
    <w:rsid w:val="004533E5"/>
    <w:rsid w:val="00464CAC"/>
    <w:rsid w:val="00465B2B"/>
    <w:rsid w:val="004807A4"/>
    <w:rsid w:val="004858A8"/>
    <w:rsid w:val="004861D8"/>
    <w:rsid w:val="004A3193"/>
    <w:rsid w:val="004B1311"/>
    <w:rsid w:val="004C01CC"/>
    <w:rsid w:val="004D6011"/>
    <w:rsid w:val="004E678F"/>
    <w:rsid w:val="004F061A"/>
    <w:rsid w:val="004F7DAE"/>
    <w:rsid w:val="00504CB6"/>
    <w:rsid w:val="00512E12"/>
    <w:rsid w:val="00514642"/>
    <w:rsid w:val="005173CF"/>
    <w:rsid w:val="0053142E"/>
    <w:rsid w:val="00544457"/>
    <w:rsid w:val="00556AA0"/>
    <w:rsid w:val="00557BCA"/>
    <w:rsid w:val="00557C90"/>
    <w:rsid w:val="00561359"/>
    <w:rsid w:val="005649FE"/>
    <w:rsid w:val="005753F6"/>
    <w:rsid w:val="005770BC"/>
    <w:rsid w:val="0058709C"/>
    <w:rsid w:val="00595C66"/>
    <w:rsid w:val="005A4E91"/>
    <w:rsid w:val="005C1F76"/>
    <w:rsid w:val="005C23F8"/>
    <w:rsid w:val="005C3229"/>
    <w:rsid w:val="005C4775"/>
    <w:rsid w:val="005D4FDF"/>
    <w:rsid w:val="006007A4"/>
    <w:rsid w:val="006070D1"/>
    <w:rsid w:val="00613D24"/>
    <w:rsid w:val="00615465"/>
    <w:rsid w:val="0061682D"/>
    <w:rsid w:val="00616ED8"/>
    <w:rsid w:val="0063029C"/>
    <w:rsid w:val="00634CC9"/>
    <w:rsid w:val="0063551B"/>
    <w:rsid w:val="006407DD"/>
    <w:rsid w:val="00650E82"/>
    <w:rsid w:val="00675B84"/>
    <w:rsid w:val="00676230"/>
    <w:rsid w:val="00681D45"/>
    <w:rsid w:val="006853B3"/>
    <w:rsid w:val="00685F04"/>
    <w:rsid w:val="006A3F5E"/>
    <w:rsid w:val="006A4E40"/>
    <w:rsid w:val="006B4855"/>
    <w:rsid w:val="006C01D6"/>
    <w:rsid w:val="006C064F"/>
    <w:rsid w:val="006C65A8"/>
    <w:rsid w:val="006C66A6"/>
    <w:rsid w:val="006D488A"/>
    <w:rsid w:val="006D4CB9"/>
    <w:rsid w:val="006E5992"/>
    <w:rsid w:val="007021F3"/>
    <w:rsid w:val="0070524A"/>
    <w:rsid w:val="00710995"/>
    <w:rsid w:val="00714E42"/>
    <w:rsid w:val="0071729C"/>
    <w:rsid w:val="00717F27"/>
    <w:rsid w:val="007246C7"/>
    <w:rsid w:val="00724C02"/>
    <w:rsid w:val="0073272E"/>
    <w:rsid w:val="00732BC0"/>
    <w:rsid w:val="00733E0F"/>
    <w:rsid w:val="00733F35"/>
    <w:rsid w:val="00736FDD"/>
    <w:rsid w:val="007372FE"/>
    <w:rsid w:val="00747E22"/>
    <w:rsid w:val="007518FD"/>
    <w:rsid w:val="0075290A"/>
    <w:rsid w:val="00752BAD"/>
    <w:rsid w:val="00753E13"/>
    <w:rsid w:val="007572E9"/>
    <w:rsid w:val="00762213"/>
    <w:rsid w:val="00763E6A"/>
    <w:rsid w:val="0077567E"/>
    <w:rsid w:val="0078143D"/>
    <w:rsid w:val="00786F20"/>
    <w:rsid w:val="00792810"/>
    <w:rsid w:val="0079477F"/>
    <w:rsid w:val="007A6C08"/>
    <w:rsid w:val="007A6C56"/>
    <w:rsid w:val="007B0D66"/>
    <w:rsid w:val="007B1131"/>
    <w:rsid w:val="007B2811"/>
    <w:rsid w:val="007B39E9"/>
    <w:rsid w:val="007B7ED8"/>
    <w:rsid w:val="007C2FD1"/>
    <w:rsid w:val="007E0395"/>
    <w:rsid w:val="007E382B"/>
    <w:rsid w:val="007F5769"/>
    <w:rsid w:val="008036E7"/>
    <w:rsid w:val="00803879"/>
    <w:rsid w:val="0082243A"/>
    <w:rsid w:val="00824730"/>
    <w:rsid w:val="00826869"/>
    <w:rsid w:val="0083191A"/>
    <w:rsid w:val="0083300D"/>
    <w:rsid w:val="00835A80"/>
    <w:rsid w:val="008368B0"/>
    <w:rsid w:val="00841B0E"/>
    <w:rsid w:val="00844D9C"/>
    <w:rsid w:val="008454AD"/>
    <w:rsid w:val="00847292"/>
    <w:rsid w:val="00850A45"/>
    <w:rsid w:val="00865DD3"/>
    <w:rsid w:val="00866A4D"/>
    <w:rsid w:val="00871530"/>
    <w:rsid w:val="00873505"/>
    <w:rsid w:val="00894D7E"/>
    <w:rsid w:val="008A2A55"/>
    <w:rsid w:val="008B6937"/>
    <w:rsid w:val="008B74F5"/>
    <w:rsid w:val="008D0186"/>
    <w:rsid w:val="008D1B19"/>
    <w:rsid w:val="0090367F"/>
    <w:rsid w:val="00912173"/>
    <w:rsid w:val="00917261"/>
    <w:rsid w:val="00921EB9"/>
    <w:rsid w:val="009241BD"/>
    <w:rsid w:val="009261E2"/>
    <w:rsid w:val="00927350"/>
    <w:rsid w:val="00931244"/>
    <w:rsid w:val="009363AD"/>
    <w:rsid w:val="00941099"/>
    <w:rsid w:val="00941AC7"/>
    <w:rsid w:val="00951713"/>
    <w:rsid w:val="0095401B"/>
    <w:rsid w:val="00954741"/>
    <w:rsid w:val="00954E20"/>
    <w:rsid w:val="00957CCF"/>
    <w:rsid w:val="00962E5D"/>
    <w:rsid w:val="00970941"/>
    <w:rsid w:val="00975D0F"/>
    <w:rsid w:val="009811B3"/>
    <w:rsid w:val="00985B3B"/>
    <w:rsid w:val="009953BC"/>
    <w:rsid w:val="009966B6"/>
    <w:rsid w:val="00996958"/>
    <w:rsid w:val="009978DE"/>
    <w:rsid w:val="009A196B"/>
    <w:rsid w:val="009B0A86"/>
    <w:rsid w:val="009B1D1A"/>
    <w:rsid w:val="009B431D"/>
    <w:rsid w:val="009B66C8"/>
    <w:rsid w:val="009C2C05"/>
    <w:rsid w:val="009D3325"/>
    <w:rsid w:val="009D393F"/>
    <w:rsid w:val="009E5778"/>
    <w:rsid w:val="009E6CE0"/>
    <w:rsid w:val="009F3933"/>
    <w:rsid w:val="009F6931"/>
    <w:rsid w:val="00A03D24"/>
    <w:rsid w:val="00A06F98"/>
    <w:rsid w:val="00A1057C"/>
    <w:rsid w:val="00A133CC"/>
    <w:rsid w:val="00A226B4"/>
    <w:rsid w:val="00A22CEA"/>
    <w:rsid w:val="00A26B4D"/>
    <w:rsid w:val="00A271BF"/>
    <w:rsid w:val="00A342AF"/>
    <w:rsid w:val="00A355DF"/>
    <w:rsid w:val="00A4435A"/>
    <w:rsid w:val="00A4747C"/>
    <w:rsid w:val="00A514A0"/>
    <w:rsid w:val="00A5581A"/>
    <w:rsid w:val="00A60087"/>
    <w:rsid w:val="00A65231"/>
    <w:rsid w:val="00A76BE2"/>
    <w:rsid w:val="00A851A6"/>
    <w:rsid w:val="00A85413"/>
    <w:rsid w:val="00A85DC9"/>
    <w:rsid w:val="00A91B24"/>
    <w:rsid w:val="00A94EE7"/>
    <w:rsid w:val="00AA6D5B"/>
    <w:rsid w:val="00AB246A"/>
    <w:rsid w:val="00AC5A6A"/>
    <w:rsid w:val="00AC6F31"/>
    <w:rsid w:val="00AD1A8F"/>
    <w:rsid w:val="00AD36B4"/>
    <w:rsid w:val="00AE233F"/>
    <w:rsid w:val="00AE31D9"/>
    <w:rsid w:val="00AF20C4"/>
    <w:rsid w:val="00AF2CC6"/>
    <w:rsid w:val="00B02B3D"/>
    <w:rsid w:val="00B0582B"/>
    <w:rsid w:val="00B05D3E"/>
    <w:rsid w:val="00B07E72"/>
    <w:rsid w:val="00B10FF9"/>
    <w:rsid w:val="00B11135"/>
    <w:rsid w:val="00B37588"/>
    <w:rsid w:val="00B43E87"/>
    <w:rsid w:val="00B6265F"/>
    <w:rsid w:val="00B64904"/>
    <w:rsid w:val="00B663E2"/>
    <w:rsid w:val="00B71498"/>
    <w:rsid w:val="00B71B8C"/>
    <w:rsid w:val="00B771B5"/>
    <w:rsid w:val="00B80A14"/>
    <w:rsid w:val="00B93CB9"/>
    <w:rsid w:val="00BB61C6"/>
    <w:rsid w:val="00BC14E1"/>
    <w:rsid w:val="00BC520E"/>
    <w:rsid w:val="00BD06E9"/>
    <w:rsid w:val="00BD48E5"/>
    <w:rsid w:val="00BD6071"/>
    <w:rsid w:val="00BE6FA1"/>
    <w:rsid w:val="00BF2A00"/>
    <w:rsid w:val="00C00DA2"/>
    <w:rsid w:val="00C038A1"/>
    <w:rsid w:val="00C10BC5"/>
    <w:rsid w:val="00C12A07"/>
    <w:rsid w:val="00C21C46"/>
    <w:rsid w:val="00C24C7E"/>
    <w:rsid w:val="00C25675"/>
    <w:rsid w:val="00C31246"/>
    <w:rsid w:val="00C31DFF"/>
    <w:rsid w:val="00C463EE"/>
    <w:rsid w:val="00C53230"/>
    <w:rsid w:val="00C557B8"/>
    <w:rsid w:val="00C63B25"/>
    <w:rsid w:val="00C643A8"/>
    <w:rsid w:val="00C72CF5"/>
    <w:rsid w:val="00C77EB6"/>
    <w:rsid w:val="00C9455E"/>
    <w:rsid w:val="00CA0EA3"/>
    <w:rsid w:val="00CA6462"/>
    <w:rsid w:val="00CB180B"/>
    <w:rsid w:val="00CC717F"/>
    <w:rsid w:val="00CE272E"/>
    <w:rsid w:val="00CF2D40"/>
    <w:rsid w:val="00D0349D"/>
    <w:rsid w:val="00D051F6"/>
    <w:rsid w:val="00D0696E"/>
    <w:rsid w:val="00D10449"/>
    <w:rsid w:val="00D14988"/>
    <w:rsid w:val="00D41CBE"/>
    <w:rsid w:val="00D51658"/>
    <w:rsid w:val="00D71180"/>
    <w:rsid w:val="00DA3271"/>
    <w:rsid w:val="00DA38F5"/>
    <w:rsid w:val="00DB0CE5"/>
    <w:rsid w:val="00DB1B7E"/>
    <w:rsid w:val="00DC299D"/>
    <w:rsid w:val="00DC32D2"/>
    <w:rsid w:val="00DD2DE8"/>
    <w:rsid w:val="00DD3C7C"/>
    <w:rsid w:val="00DE3CA1"/>
    <w:rsid w:val="00DF0CA6"/>
    <w:rsid w:val="00DF2AFB"/>
    <w:rsid w:val="00E05E8B"/>
    <w:rsid w:val="00E15CBB"/>
    <w:rsid w:val="00E166F4"/>
    <w:rsid w:val="00E17CD1"/>
    <w:rsid w:val="00E24863"/>
    <w:rsid w:val="00E27140"/>
    <w:rsid w:val="00E33844"/>
    <w:rsid w:val="00E33D42"/>
    <w:rsid w:val="00E35FF7"/>
    <w:rsid w:val="00E36046"/>
    <w:rsid w:val="00E374E5"/>
    <w:rsid w:val="00E46176"/>
    <w:rsid w:val="00E66CB0"/>
    <w:rsid w:val="00E70716"/>
    <w:rsid w:val="00E82017"/>
    <w:rsid w:val="00E82999"/>
    <w:rsid w:val="00EA1BBD"/>
    <w:rsid w:val="00EA5A2D"/>
    <w:rsid w:val="00EB2E9A"/>
    <w:rsid w:val="00EB47E0"/>
    <w:rsid w:val="00EB4A76"/>
    <w:rsid w:val="00EB5DCC"/>
    <w:rsid w:val="00EC4E9F"/>
    <w:rsid w:val="00ED1B65"/>
    <w:rsid w:val="00ED5C80"/>
    <w:rsid w:val="00ED6BCB"/>
    <w:rsid w:val="00EF258B"/>
    <w:rsid w:val="00EF53AC"/>
    <w:rsid w:val="00F06184"/>
    <w:rsid w:val="00F07CF4"/>
    <w:rsid w:val="00F219DC"/>
    <w:rsid w:val="00F24F85"/>
    <w:rsid w:val="00F26DDB"/>
    <w:rsid w:val="00F31F6B"/>
    <w:rsid w:val="00F35633"/>
    <w:rsid w:val="00F42D6E"/>
    <w:rsid w:val="00F464EC"/>
    <w:rsid w:val="00F51576"/>
    <w:rsid w:val="00F52A85"/>
    <w:rsid w:val="00F53444"/>
    <w:rsid w:val="00F55CD0"/>
    <w:rsid w:val="00F60C38"/>
    <w:rsid w:val="00F61A8F"/>
    <w:rsid w:val="00F63F01"/>
    <w:rsid w:val="00F67E15"/>
    <w:rsid w:val="00F70307"/>
    <w:rsid w:val="00F725A5"/>
    <w:rsid w:val="00F725FC"/>
    <w:rsid w:val="00F824CF"/>
    <w:rsid w:val="00F83405"/>
    <w:rsid w:val="00F920C4"/>
    <w:rsid w:val="00FA7860"/>
    <w:rsid w:val="00FB0AAF"/>
    <w:rsid w:val="00FB0F60"/>
    <w:rsid w:val="00FB1A15"/>
    <w:rsid w:val="00FB1A43"/>
    <w:rsid w:val="00FB1D17"/>
    <w:rsid w:val="00FB35C6"/>
    <w:rsid w:val="00FC661A"/>
    <w:rsid w:val="00FD78EA"/>
    <w:rsid w:val="00FE2BA4"/>
    <w:rsid w:val="00FE7756"/>
    <w:rsid w:val="00FF131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1077C9"/>
    <w:rPr>
      <w:color w:val="0000FF" w:themeColor="hyperlink"/>
      <w:u w:val="single"/>
    </w:rPr>
  </w:style>
  <w:style w:type="paragraph" w:styleId="FootnoteText">
    <w:name w:val="footnote text"/>
    <w:basedOn w:val="Normal"/>
    <w:link w:val="FootnoteTextChar"/>
    <w:uiPriority w:val="99"/>
    <w:semiHidden/>
    <w:unhideWhenUsed/>
    <w:rsid w:val="00736F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6FDD"/>
    <w:rPr>
      <w:rFonts w:ascii="Calibri" w:eastAsia="Calibri" w:hAnsi="Calibri" w:cs="Times New Roman"/>
      <w:sz w:val="20"/>
      <w:szCs w:val="20"/>
      <w:lang w:val="es-MX"/>
    </w:rPr>
  </w:style>
  <w:style w:type="character" w:styleId="FootnoteReference">
    <w:name w:val="footnote reference"/>
    <w:basedOn w:val="DefaultParagraphFont"/>
    <w:uiPriority w:val="99"/>
    <w:semiHidden/>
    <w:unhideWhenUsed/>
    <w:rsid w:val="00736F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dh.oas.org/annualrep/2005sp/Guatemala642.03sp.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imgs/pdf.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corteidh.or.cr/docs/casos/articulos/seriec_359_esp.pdf"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www.cidh.org/medidas/2002.sp.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8370C-B714-48D8-9BEB-241B2616F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2664</Words>
  <Characters>15188</Characters>
  <Application>Microsoft Office Word</Application>
  <DocSecurity>0</DocSecurity>
  <Lines>126</Lines>
  <Paragraphs>35</Paragraphs>
  <ScaleCrop>false</ScaleCrop>
  <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2021-02-11T09:46:00Z</dcterms:created>
  <dcterms:modified xsi:type="dcterms:W3CDTF">2021-02-11T09:46:00Z</dcterms:modified>
</cp:coreProperties>
</file>