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167748"/>
    <w:bookmarkStart w:id="1" w:name="_Hlk82097561"/>
    <w:p w14:paraId="11289B20" w14:textId="57F7A499" w:rsidR="00C02C7F" w:rsidRDefault="00035FF1" w:rsidP="003B790E">
      <w:pPr>
        <w:pStyle w:val="BodyText"/>
        <w:rPr>
          <w:rFonts w:ascii="Times New Roman"/>
          <w:sz w:val="9"/>
        </w:rPr>
      </w:pPr>
      <w:r>
        <w:rPr>
          <w:noProof/>
        </w:rPr>
        <mc:AlternateContent>
          <mc:Choice Requires="wps">
            <w:drawing>
              <wp:anchor distT="0" distB="0" distL="114300" distR="114300" simplePos="0" relativeHeight="251657216" behindDoc="0" locked="0" layoutInCell="1" allowOverlap="1" wp14:anchorId="5F6C74EE" wp14:editId="25E4DCCE">
                <wp:simplePos x="0" y="0"/>
                <wp:positionH relativeFrom="page">
                  <wp:posOffset>498475</wp:posOffset>
                </wp:positionH>
                <wp:positionV relativeFrom="page">
                  <wp:posOffset>474980</wp:posOffset>
                </wp:positionV>
                <wp:extent cx="1543050" cy="909637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298F" w14:textId="77777777" w:rsidR="00371496" w:rsidRDefault="00371496">
                            <w:pPr>
                              <w:pStyle w:val="BodyText"/>
                              <w:rPr>
                                <w:sz w:val="22"/>
                              </w:rPr>
                            </w:pPr>
                          </w:p>
                          <w:p w14:paraId="68352512" w14:textId="77777777" w:rsidR="00371496" w:rsidRDefault="00371496">
                            <w:pPr>
                              <w:pStyle w:val="BodyText"/>
                              <w:rPr>
                                <w:sz w:val="22"/>
                              </w:rPr>
                            </w:pPr>
                          </w:p>
                          <w:p w14:paraId="59DC0060" w14:textId="77777777" w:rsidR="00371496" w:rsidRDefault="00371496">
                            <w:pPr>
                              <w:pStyle w:val="BodyText"/>
                              <w:rPr>
                                <w:sz w:val="22"/>
                              </w:rPr>
                            </w:pPr>
                          </w:p>
                          <w:p w14:paraId="68073EBC" w14:textId="77777777" w:rsidR="00371496" w:rsidRDefault="00371496">
                            <w:pPr>
                              <w:pStyle w:val="BodyText"/>
                              <w:rPr>
                                <w:sz w:val="22"/>
                              </w:rPr>
                            </w:pPr>
                          </w:p>
                          <w:p w14:paraId="78FEA6A8" w14:textId="77777777" w:rsidR="00371496" w:rsidRDefault="00371496">
                            <w:pPr>
                              <w:pStyle w:val="BodyText"/>
                              <w:rPr>
                                <w:sz w:val="22"/>
                              </w:rPr>
                            </w:pPr>
                          </w:p>
                          <w:p w14:paraId="5C4C7E9B" w14:textId="77777777" w:rsidR="00371496" w:rsidRDefault="00371496">
                            <w:pPr>
                              <w:pStyle w:val="BodyText"/>
                              <w:rPr>
                                <w:sz w:val="22"/>
                              </w:rPr>
                            </w:pPr>
                          </w:p>
                          <w:p w14:paraId="7DA1D8A5" w14:textId="77777777" w:rsidR="00371496" w:rsidRDefault="00371496">
                            <w:pPr>
                              <w:pStyle w:val="BodyText"/>
                              <w:rPr>
                                <w:sz w:val="22"/>
                              </w:rPr>
                            </w:pPr>
                          </w:p>
                          <w:p w14:paraId="45013810" w14:textId="77777777" w:rsidR="00371496" w:rsidRDefault="00371496">
                            <w:pPr>
                              <w:pStyle w:val="BodyText"/>
                              <w:rPr>
                                <w:sz w:val="22"/>
                              </w:rPr>
                            </w:pPr>
                          </w:p>
                          <w:p w14:paraId="5AD09D0C" w14:textId="77777777" w:rsidR="00371496" w:rsidRDefault="00371496">
                            <w:pPr>
                              <w:pStyle w:val="BodyText"/>
                              <w:rPr>
                                <w:sz w:val="22"/>
                              </w:rPr>
                            </w:pPr>
                          </w:p>
                          <w:p w14:paraId="1025AA08" w14:textId="77777777" w:rsidR="00371496" w:rsidRDefault="00371496">
                            <w:pPr>
                              <w:pStyle w:val="BodyText"/>
                              <w:rPr>
                                <w:sz w:val="22"/>
                              </w:rPr>
                            </w:pPr>
                          </w:p>
                          <w:p w14:paraId="0FF8B220" w14:textId="77777777" w:rsidR="00371496" w:rsidRDefault="00371496">
                            <w:pPr>
                              <w:pStyle w:val="BodyText"/>
                              <w:rPr>
                                <w:sz w:val="22"/>
                              </w:rPr>
                            </w:pPr>
                          </w:p>
                          <w:p w14:paraId="52D63876" w14:textId="77777777" w:rsidR="00371496" w:rsidRDefault="00371496">
                            <w:pPr>
                              <w:pStyle w:val="BodyText"/>
                              <w:rPr>
                                <w:sz w:val="22"/>
                              </w:rPr>
                            </w:pPr>
                          </w:p>
                          <w:p w14:paraId="7F40E19A" w14:textId="77777777" w:rsidR="00371496" w:rsidRDefault="00371496">
                            <w:pPr>
                              <w:pStyle w:val="BodyText"/>
                              <w:rPr>
                                <w:sz w:val="22"/>
                              </w:rPr>
                            </w:pPr>
                          </w:p>
                          <w:p w14:paraId="771BCFDF" w14:textId="77777777" w:rsidR="00371496" w:rsidRDefault="00371496">
                            <w:pPr>
                              <w:pStyle w:val="BodyText"/>
                              <w:rPr>
                                <w:sz w:val="22"/>
                              </w:rPr>
                            </w:pPr>
                          </w:p>
                          <w:p w14:paraId="010292D4" w14:textId="77777777" w:rsidR="00371496" w:rsidRDefault="00371496">
                            <w:pPr>
                              <w:pStyle w:val="BodyText"/>
                              <w:rPr>
                                <w:sz w:val="22"/>
                              </w:rPr>
                            </w:pPr>
                          </w:p>
                          <w:p w14:paraId="5AC78962" w14:textId="77777777" w:rsidR="00371496" w:rsidRDefault="00371496">
                            <w:pPr>
                              <w:pStyle w:val="BodyText"/>
                              <w:rPr>
                                <w:sz w:val="22"/>
                              </w:rPr>
                            </w:pPr>
                          </w:p>
                          <w:p w14:paraId="33EE618D" w14:textId="77777777" w:rsidR="00371496" w:rsidRDefault="00371496">
                            <w:pPr>
                              <w:pStyle w:val="BodyText"/>
                              <w:spacing w:before="4"/>
                              <w:rPr>
                                <w:sz w:val="21"/>
                              </w:rPr>
                            </w:pPr>
                          </w:p>
                          <w:p w14:paraId="5B212135" w14:textId="762DF8C8" w:rsidR="00371496" w:rsidRPr="001066AD" w:rsidRDefault="00371496">
                            <w:pPr>
                              <w:spacing w:before="1"/>
                              <w:ind w:left="794"/>
                              <w:rPr>
                                <w:rFonts w:ascii="Calibri"/>
                                <w:lang w:val="es-419"/>
                              </w:rPr>
                            </w:pPr>
                            <w:r w:rsidRPr="001066AD">
                              <w:rPr>
                                <w:rFonts w:ascii="Calibri"/>
                                <w:color w:val="FFFFFF"/>
                                <w:lang w:val="es-419"/>
                              </w:rPr>
                              <w:t>OEA/Ser.L/V/II</w:t>
                            </w:r>
                          </w:p>
                          <w:p w14:paraId="2103D6EE" w14:textId="03BE241D" w:rsidR="00371496" w:rsidRPr="000F3D97" w:rsidRDefault="00371496">
                            <w:pPr>
                              <w:spacing w:before="41"/>
                              <w:ind w:right="271"/>
                              <w:jc w:val="right"/>
                              <w:rPr>
                                <w:rFonts w:ascii="Calibri"/>
                                <w:lang w:val="es-419"/>
                              </w:rPr>
                            </w:pPr>
                            <w:r w:rsidRPr="000F3D97">
                              <w:rPr>
                                <w:rFonts w:ascii="Calibri"/>
                                <w:color w:val="FFFFFF"/>
                                <w:lang w:val="es-419"/>
                              </w:rPr>
                              <w:t>Doc.</w:t>
                            </w:r>
                            <w:r w:rsidRPr="000F3D97">
                              <w:rPr>
                                <w:rFonts w:ascii="Calibri"/>
                                <w:color w:val="FFFFFF"/>
                                <w:spacing w:val="-2"/>
                                <w:lang w:val="es-419"/>
                              </w:rPr>
                              <w:t xml:space="preserve"> </w:t>
                            </w:r>
                            <w:r w:rsidR="000F3D97" w:rsidRPr="000F3D97">
                              <w:rPr>
                                <w:rFonts w:ascii="Calibri"/>
                                <w:color w:val="FFFFFF"/>
                                <w:lang w:val="es-419"/>
                              </w:rPr>
                              <w:t>53</w:t>
                            </w:r>
                          </w:p>
                          <w:p w14:paraId="2B5938C9" w14:textId="153A0542" w:rsidR="00371496" w:rsidRPr="000F3D97" w:rsidRDefault="00920F7F">
                            <w:pPr>
                              <w:spacing w:before="38" w:line="278" w:lineRule="auto"/>
                              <w:ind w:left="650" w:right="270" w:hanging="286"/>
                              <w:jc w:val="right"/>
                              <w:rPr>
                                <w:rFonts w:ascii="Calibri" w:hAnsi="Calibri"/>
                                <w:lang w:val="es-419"/>
                              </w:rPr>
                            </w:pPr>
                            <w:r>
                              <w:rPr>
                                <w:rFonts w:ascii="Calibri" w:hAnsi="Calibri"/>
                                <w:color w:val="FFFFFF"/>
                                <w:lang w:val="es-419"/>
                              </w:rPr>
                              <w:t>13 marzo</w:t>
                            </w:r>
                            <w:r w:rsidR="00371496" w:rsidRPr="000F3D97">
                              <w:rPr>
                                <w:rFonts w:ascii="Calibri" w:hAnsi="Calibri"/>
                                <w:color w:val="FFFFFF"/>
                                <w:spacing w:val="-5"/>
                                <w:lang w:val="es-419"/>
                              </w:rPr>
                              <w:t xml:space="preserve"> </w:t>
                            </w:r>
                            <w:r w:rsidR="00371496" w:rsidRPr="000F3D97">
                              <w:rPr>
                                <w:rFonts w:ascii="Calibri" w:hAnsi="Calibri"/>
                                <w:color w:val="FFFFFF"/>
                                <w:lang w:val="es-419"/>
                              </w:rPr>
                              <w:t>202</w:t>
                            </w:r>
                            <w:r w:rsidR="00D15F36" w:rsidRPr="000F3D97">
                              <w:rPr>
                                <w:rFonts w:ascii="Calibri" w:hAnsi="Calibri"/>
                                <w:color w:val="FFFFFF"/>
                                <w:lang w:val="es-419"/>
                              </w:rPr>
                              <w:t xml:space="preserve">2 </w:t>
                            </w:r>
                            <w:r w:rsidR="00371496" w:rsidRPr="000F3D97">
                              <w:rPr>
                                <w:rFonts w:ascii="Calibri" w:hAnsi="Calibri"/>
                                <w:color w:val="FFFFFF"/>
                                <w:lang w:val="es-419"/>
                              </w:rPr>
                              <w:t>Original:</w:t>
                            </w:r>
                            <w:r w:rsidR="00371496" w:rsidRPr="000F3D97">
                              <w:rPr>
                                <w:rFonts w:ascii="Calibri" w:hAnsi="Calibri"/>
                                <w:color w:val="FFFFFF"/>
                                <w:spacing w:val="-6"/>
                                <w:lang w:val="es-419"/>
                              </w:rPr>
                              <w:t xml:space="preserve"> </w:t>
                            </w:r>
                            <w:r w:rsidR="00371496" w:rsidRPr="000F3D97">
                              <w:rPr>
                                <w:rFonts w:ascii="Calibri" w:hAnsi="Calibri"/>
                                <w:color w:val="FFFFFF"/>
                                <w:lang w:val="es-419"/>
                              </w:rPr>
                              <w:t>español</w:t>
                            </w:r>
                          </w:p>
                          <w:p w14:paraId="18E44612" w14:textId="77777777" w:rsidR="00371496" w:rsidRPr="000F3D97" w:rsidRDefault="00371496">
                            <w:pPr>
                              <w:pStyle w:val="BodyText"/>
                              <w:rPr>
                                <w:sz w:val="22"/>
                                <w:lang w:val="es-419"/>
                              </w:rPr>
                            </w:pPr>
                          </w:p>
                          <w:p w14:paraId="0860EC38" w14:textId="77777777" w:rsidR="00371496" w:rsidRPr="000F3D97" w:rsidRDefault="00371496">
                            <w:pPr>
                              <w:pStyle w:val="BodyText"/>
                              <w:rPr>
                                <w:sz w:val="22"/>
                                <w:lang w:val="es-419"/>
                              </w:rPr>
                            </w:pPr>
                          </w:p>
                          <w:p w14:paraId="0952E55B" w14:textId="77777777" w:rsidR="00371496" w:rsidRPr="000F3D97" w:rsidRDefault="00371496">
                            <w:pPr>
                              <w:pStyle w:val="BodyText"/>
                              <w:rPr>
                                <w:sz w:val="22"/>
                                <w:lang w:val="es-419"/>
                              </w:rPr>
                            </w:pPr>
                          </w:p>
                          <w:p w14:paraId="4C3592B3" w14:textId="77777777" w:rsidR="00371496" w:rsidRPr="000F3D97" w:rsidRDefault="00371496">
                            <w:pPr>
                              <w:pStyle w:val="BodyText"/>
                              <w:rPr>
                                <w:sz w:val="22"/>
                                <w:lang w:val="es-419"/>
                              </w:rPr>
                            </w:pPr>
                          </w:p>
                          <w:p w14:paraId="3E49B12C" w14:textId="77777777" w:rsidR="00371496" w:rsidRPr="000F3D97" w:rsidRDefault="00371496">
                            <w:pPr>
                              <w:pStyle w:val="BodyText"/>
                              <w:rPr>
                                <w:sz w:val="22"/>
                                <w:lang w:val="es-419"/>
                              </w:rPr>
                            </w:pPr>
                          </w:p>
                          <w:p w14:paraId="2C1EBE27" w14:textId="77777777" w:rsidR="00371496" w:rsidRPr="000F3D97" w:rsidRDefault="00371496">
                            <w:pPr>
                              <w:pStyle w:val="BodyText"/>
                              <w:rPr>
                                <w:sz w:val="22"/>
                                <w:lang w:val="es-419"/>
                              </w:rPr>
                            </w:pPr>
                          </w:p>
                          <w:p w14:paraId="3271977D" w14:textId="77777777" w:rsidR="00371496" w:rsidRPr="000F3D97" w:rsidRDefault="00371496">
                            <w:pPr>
                              <w:pStyle w:val="BodyText"/>
                              <w:rPr>
                                <w:sz w:val="22"/>
                                <w:lang w:val="es-419"/>
                              </w:rPr>
                            </w:pPr>
                          </w:p>
                          <w:p w14:paraId="4ACD6E87" w14:textId="77777777" w:rsidR="00371496" w:rsidRPr="000F3D97" w:rsidRDefault="00371496">
                            <w:pPr>
                              <w:pStyle w:val="BodyText"/>
                              <w:rPr>
                                <w:sz w:val="22"/>
                                <w:lang w:val="es-419"/>
                              </w:rPr>
                            </w:pPr>
                          </w:p>
                          <w:p w14:paraId="4615FBE5" w14:textId="77777777" w:rsidR="00371496" w:rsidRPr="000F3D97" w:rsidRDefault="00371496">
                            <w:pPr>
                              <w:pStyle w:val="BodyText"/>
                              <w:rPr>
                                <w:sz w:val="22"/>
                                <w:lang w:val="es-419"/>
                              </w:rPr>
                            </w:pPr>
                          </w:p>
                          <w:p w14:paraId="546D6BA3" w14:textId="77777777" w:rsidR="00371496" w:rsidRPr="000F3D97" w:rsidRDefault="00371496">
                            <w:pPr>
                              <w:pStyle w:val="BodyText"/>
                              <w:rPr>
                                <w:sz w:val="22"/>
                                <w:lang w:val="es-419"/>
                              </w:rPr>
                            </w:pPr>
                          </w:p>
                          <w:p w14:paraId="04C73831" w14:textId="77777777" w:rsidR="00371496" w:rsidRPr="000F3D97" w:rsidRDefault="00371496">
                            <w:pPr>
                              <w:pStyle w:val="BodyText"/>
                              <w:rPr>
                                <w:sz w:val="22"/>
                                <w:lang w:val="es-419"/>
                              </w:rPr>
                            </w:pPr>
                          </w:p>
                          <w:p w14:paraId="69C35975" w14:textId="77777777" w:rsidR="00371496" w:rsidRPr="000F3D97" w:rsidRDefault="00371496">
                            <w:pPr>
                              <w:pStyle w:val="BodyText"/>
                              <w:rPr>
                                <w:sz w:val="22"/>
                                <w:lang w:val="es-419"/>
                              </w:rPr>
                            </w:pPr>
                          </w:p>
                          <w:p w14:paraId="064BDD69" w14:textId="77777777" w:rsidR="00371496" w:rsidRPr="000F3D97" w:rsidRDefault="00371496">
                            <w:pPr>
                              <w:pStyle w:val="BodyText"/>
                              <w:rPr>
                                <w:sz w:val="22"/>
                                <w:lang w:val="es-419"/>
                              </w:rPr>
                            </w:pPr>
                          </w:p>
                          <w:p w14:paraId="2779BAF2" w14:textId="77777777" w:rsidR="00371496" w:rsidRPr="000F3D97" w:rsidRDefault="00371496">
                            <w:pPr>
                              <w:pStyle w:val="BodyText"/>
                              <w:rPr>
                                <w:sz w:val="22"/>
                                <w:lang w:val="es-419"/>
                              </w:rPr>
                            </w:pPr>
                          </w:p>
                          <w:p w14:paraId="0405996E" w14:textId="77777777" w:rsidR="00371496" w:rsidRPr="000F3D97" w:rsidRDefault="00371496">
                            <w:pPr>
                              <w:pStyle w:val="BodyText"/>
                              <w:rPr>
                                <w:sz w:val="22"/>
                                <w:lang w:val="es-419"/>
                              </w:rPr>
                            </w:pPr>
                          </w:p>
                          <w:p w14:paraId="65DBB752" w14:textId="77777777" w:rsidR="00371496" w:rsidRPr="000F3D97" w:rsidRDefault="00371496">
                            <w:pPr>
                              <w:pStyle w:val="BodyText"/>
                              <w:rPr>
                                <w:sz w:val="22"/>
                                <w:lang w:val="es-419"/>
                              </w:rPr>
                            </w:pPr>
                          </w:p>
                          <w:p w14:paraId="3914C4FE" w14:textId="77777777" w:rsidR="00371496" w:rsidRPr="000F3D97" w:rsidRDefault="00371496">
                            <w:pPr>
                              <w:pStyle w:val="BodyText"/>
                              <w:rPr>
                                <w:sz w:val="22"/>
                                <w:lang w:val="es-419"/>
                              </w:rPr>
                            </w:pPr>
                          </w:p>
                          <w:p w14:paraId="6CD615F1" w14:textId="77777777" w:rsidR="00371496" w:rsidRPr="000F3D97" w:rsidRDefault="00371496">
                            <w:pPr>
                              <w:pStyle w:val="BodyText"/>
                              <w:rPr>
                                <w:sz w:val="22"/>
                                <w:lang w:val="es-419"/>
                              </w:rPr>
                            </w:pPr>
                          </w:p>
                          <w:p w14:paraId="6C14BE4D" w14:textId="77777777" w:rsidR="00371496" w:rsidRPr="000F3D97" w:rsidRDefault="00371496">
                            <w:pPr>
                              <w:pStyle w:val="BodyText"/>
                              <w:rPr>
                                <w:sz w:val="22"/>
                                <w:lang w:val="es-419"/>
                              </w:rPr>
                            </w:pPr>
                          </w:p>
                          <w:p w14:paraId="72D584A2" w14:textId="77777777" w:rsidR="00371496" w:rsidRPr="000F3D97" w:rsidRDefault="00371496">
                            <w:pPr>
                              <w:pStyle w:val="BodyText"/>
                              <w:rPr>
                                <w:sz w:val="22"/>
                                <w:lang w:val="es-419"/>
                              </w:rPr>
                            </w:pPr>
                          </w:p>
                          <w:p w14:paraId="044E3404" w14:textId="77777777" w:rsidR="00371496" w:rsidRPr="000F3D97" w:rsidRDefault="00371496">
                            <w:pPr>
                              <w:pStyle w:val="BodyText"/>
                              <w:rPr>
                                <w:sz w:val="22"/>
                                <w:lang w:val="es-419"/>
                              </w:rPr>
                            </w:pPr>
                          </w:p>
                          <w:p w14:paraId="472E25FD" w14:textId="77777777" w:rsidR="00371496" w:rsidRPr="000F3D97" w:rsidRDefault="00371496">
                            <w:pPr>
                              <w:pStyle w:val="BodyText"/>
                              <w:rPr>
                                <w:sz w:val="22"/>
                                <w:lang w:val="es-419"/>
                              </w:rPr>
                            </w:pPr>
                          </w:p>
                          <w:p w14:paraId="50743F04" w14:textId="77777777" w:rsidR="00371496" w:rsidRPr="000F3D97" w:rsidRDefault="00371496">
                            <w:pPr>
                              <w:pStyle w:val="BodyText"/>
                              <w:rPr>
                                <w:sz w:val="22"/>
                                <w:lang w:val="es-419"/>
                              </w:rPr>
                            </w:pPr>
                          </w:p>
                          <w:p w14:paraId="16A249B5" w14:textId="77777777" w:rsidR="00371496" w:rsidRPr="000F3D97" w:rsidRDefault="00371496">
                            <w:pPr>
                              <w:pStyle w:val="BodyText"/>
                              <w:rPr>
                                <w:sz w:val="22"/>
                                <w:lang w:val="es-419"/>
                              </w:rPr>
                            </w:pPr>
                          </w:p>
                          <w:p w14:paraId="6AF262A4" w14:textId="77777777" w:rsidR="00371496" w:rsidRPr="000F3D97" w:rsidRDefault="00371496">
                            <w:pPr>
                              <w:pStyle w:val="BodyText"/>
                              <w:rPr>
                                <w:sz w:val="22"/>
                                <w:lang w:val="es-419"/>
                              </w:rPr>
                            </w:pPr>
                          </w:p>
                          <w:p w14:paraId="6FBF2F20" w14:textId="77777777" w:rsidR="00371496" w:rsidRPr="000F3D97" w:rsidRDefault="00371496">
                            <w:pPr>
                              <w:pStyle w:val="BodyText"/>
                              <w:rPr>
                                <w:sz w:val="22"/>
                                <w:lang w:val="es-419"/>
                              </w:rPr>
                            </w:pPr>
                          </w:p>
                          <w:p w14:paraId="147FE114" w14:textId="77777777" w:rsidR="00371496" w:rsidRPr="000F3D97" w:rsidRDefault="00371496">
                            <w:pPr>
                              <w:pStyle w:val="BodyText"/>
                              <w:rPr>
                                <w:sz w:val="22"/>
                                <w:lang w:val="es-419"/>
                              </w:rPr>
                            </w:pPr>
                          </w:p>
                          <w:p w14:paraId="08EA78E3" w14:textId="77777777" w:rsidR="00371496" w:rsidRPr="000F3D97" w:rsidRDefault="00371496">
                            <w:pPr>
                              <w:pStyle w:val="BodyText"/>
                              <w:rPr>
                                <w:sz w:val="22"/>
                                <w:lang w:val="es-419"/>
                              </w:rPr>
                            </w:pPr>
                          </w:p>
                          <w:p w14:paraId="262C4DEB" w14:textId="77777777" w:rsidR="00371496" w:rsidRPr="000F3D97" w:rsidRDefault="00371496">
                            <w:pPr>
                              <w:pStyle w:val="BodyText"/>
                              <w:rPr>
                                <w:sz w:val="22"/>
                                <w:lang w:val="es-419"/>
                              </w:rPr>
                            </w:pPr>
                          </w:p>
                          <w:p w14:paraId="0CB605B8" w14:textId="77777777" w:rsidR="00371496" w:rsidRPr="000F3D97" w:rsidRDefault="00371496">
                            <w:pPr>
                              <w:pStyle w:val="BodyText"/>
                              <w:rPr>
                                <w:sz w:val="22"/>
                                <w:lang w:val="es-419"/>
                              </w:rPr>
                            </w:pPr>
                          </w:p>
                          <w:p w14:paraId="3E06130D" w14:textId="77777777" w:rsidR="00371496" w:rsidRPr="000F3D97" w:rsidRDefault="00371496">
                            <w:pPr>
                              <w:pStyle w:val="BodyText"/>
                              <w:rPr>
                                <w:sz w:val="22"/>
                                <w:lang w:val="es-419"/>
                              </w:rPr>
                            </w:pPr>
                          </w:p>
                          <w:p w14:paraId="0A159DD6" w14:textId="77777777" w:rsidR="00371496" w:rsidRPr="000F3D97" w:rsidRDefault="00371496">
                            <w:pPr>
                              <w:pStyle w:val="BodyText"/>
                              <w:spacing w:before="3"/>
                              <w:rPr>
                                <w:sz w:val="21"/>
                                <w:lang w:val="es-419"/>
                              </w:rPr>
                            </w:pPr>
                          </w:p>
                          <w:p w14:paraId="7A54D27C" w14:textId="77777777" w:rsidR="00371496" w:rsidRPr="00EE7BDA" w:rsidRDefault="00311283">
                            <w:pPr>
                              <w:spacing w:before="1"/>
                              <w:ind w:left="453"/>
                              <w:rPr>
                                <w:rFonts w:ascii="Calibri"/>
                                <w:b/>
                                <w:sz w:val="24"/>
                                <w:lang w:val="pt-BR"/>
                              </w:rPr>
                            </w:pPr>
                            <w:hyperlink r:id="rId8">
                              <w:r w:rsidR="00371496" w:rsidRPr="00EE7BDA">
                                <w:rPr>
                                  <w:rFonts w:ascii="Calibri"/>
                                  <w:b/>
                                  <w:color w:val="FFFFFF"/>
                                  <w:sz w:val="24"/>
                                  <w:lang w:val="pt-BR"/>
                                </w:rPr>
                                <w:t>www.cidh.org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74EE" id="_x0000_t202" coordsize="21600,21600" o:spt="202" path="m,l,21600r21600,l21600,xe">
                <v:stroke joinstyle="miter"/>
                <v:path gradientshapeok="t" o:connecttype="rect"/>
              </v:shapetype>
              <v:shape id="Text Box 4" o:spid="_x0000_s1026" type="#_x0000_t202" style="position:absolute;margin-left:39.25pt;margin-top:37.4pt;width:121.5pt;height:7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" fillcolor="#4a7194" stroked="f">
                <v:textbox inset="0,0,0,0">
                  <w:txbxContent>
                    <w:p w14:paraId="57C6298F" w14:textId="77777777" w:rsidR="00371496" w:rsidRDefault="00371496">
                      <w:pPr>
                        <w:pStyle w:val="BodyText"/>
                        <w:rPr>
                          <w:sz w:val="22"/>
                        </w:rPr>
                      </w:pPr>
                    </w:p>
                    <w:p w14:paraId="68352512" w14:textId="77777777" w:rsidR="00371496" w:rsidRDefault="00371496">
                      <w:pPr>
                        <w:pStyle w:val="BodyText"/>
                        <w:rPr>
                          <w:sz w:val="22"/>
                        </w:rPr>
                      </w:pPr>
                    </w:p>
                    <w:p w14:paraId="59DC0060" w14:textId="77777777" w:rsidR="00371496" w:rsidRDefault="00371496">
                      <w:pPr>
                        <w:pStyle w:val="BodyText"/>
                        <w:rPr>
                          <w:sz w:val="22"/>
                        </w:rPr>
                      </w:pPr>
                    </w:p>
                    <w:p w14:paraId="68073EBC" w14:textId="77777777" w:rsidR="00371496" w:rsidRDefault="00371496">
                      <w:pPr>
                        <w:pStyle w:val="BodyText"/>
                        <w:rPr>
                          <w:sz w:val="22"/>
                        </w:rPr>
                      </w:pPr>
                    </w:p>
                    <w:p w14:paraId="78FEA6A8" w14:textId="77777777" w:rsidR="00371496" w:rsidRDefault="00371496">
                      <w:pPr>
                        <w:pStyle w:val="BodyText"/>
                        <w:rPr>
                          <w:sz w:val="22"/>
                        </w:rPr>
                      </w:pPr>
                    </w:p>
                    <w:p w14:paraId="5C4C7E9B" w14:textId="77777777" w:rsidR="00371496" w:rsidRDefault="00371496">
                      <w:pPr>
                        <w:pStyle w:val="BodyText"/>
                        <w:rPr>
                          <w:sz w:val="22"/>
                        </w:rPr>
                      </w:pPr>
                    </w:p>
                    <w:p w14:paraId="7DA1D8A5" w14:textId="77777777" w:rsidR="00371496" w:rsidRDefault="00371496">
                      <w:pPr>
                        <w:pStyle w:val="BodyText"/>
                        <w:rPr>
                          <w:sz w:val="22"/>
                        </w:rPr>
                      </w:pPr>
                    </w:p>
                    <w:p w14:paraId="45013810" w14:textId="77777777" w:rsidR="00371496" w:rsidRDefault="00371496">
                      <w:pPr>
                        <w:pStyle w:val="BodyText"/>
                        <w:rPr>
                          <w:sz w:val="22"/>
                        </w:rPr>
                      </w:pPr>
                    </w:p>
                    <w:p w14:paraId="5AD09D0C" w14:textId="77777777" w:rsidR="00371496" w:rsidRDefault="00371496">
                      <w:pPr>
                        <w:pStyle w:val="BodyText"/>
                        <w:rPr>
                          <w:sz w:val="22"/>
                        </w:rPr>
                      </w:pPr>
                    </w:p>
                    <w:p w14:paraId="1025AA08" w14:textId="77777777" w:rsidR="00371496" w:rsidRDefault="00371496">
                      <w:pPr>
                        <w:pStyle w:val="BodyText"/>
                        <w:rPr>
                          <w:sz w:val="22"/>
                        </w:rPr>
                      </w:pPr>
                    </w:p>
                    <w:p w14:paraId="0FF8B220" w14:textId="77777777" w:rsidR="00371496" w:rsidRDefault="00371496">
                      <w:pPr>
                        <w:pStyle w:val="BodyText"/>
                        <w:rPr>
                          <w:sz w:val="22"/>
                        </w:rPr>
                      </w:pPr>
                    </w:p>
                    <w:p w14:paraId="52D63876" w14:textId="77777777" w:rsidR="00371496" w:rsidRDefault="00371496">
                      <w:pPr>
                        <w:pStyle w:val="BodyText"/>
                        <w:rPr>
                          <w:sz w:val="22"/>
                        </w:rPr>
                      </w:pPr>
                    </w:p>
                    <w:p w14:paraId="7F40E19A" w14:textId="77777777" w:rsidR="00371496" w:rsidRDefault="00371496">
                      <w:pPr>
                        <w:pStyle w:val="BodyText"/>
                        <w:rPr>
                          <w:sz w:val="22"/>
                        </w:rPr>
                      </w:pPr>
                    </w:p>
                    <w:p w14:paraId="771BCFDF" w14:textId="77777777" w:rsidR="00371496" w:rsidRDefault="00371496">
                      <w:pPr>
                        <w:pStyle w:val="BodyText"/>
                        <w:rPr>
                          <w:sz w:val="22"/>
                        </w:rPr>
                      </w:pPr>
                    </w:p>
                    <w:p w14:paraId="010292D4" w14:textId="77777777" w:rsidR="00371496" w:rsidRDefault="00371496">
                      <w:pPr>
                        <w:pStyle w:val="BodyText"/>
                        <w:rPr>
                          <w:sz w:val="22"/>
                        </w:rPr>
                      </w:pPr>
                    </w:p>
                    <w:p w14:paraId="5AC78962" w14:textId="77777777" w:rsidR="00371496" w:rsidRDefault="00371496">
                      <w:pPr>
                        <w:pStyle w:val="BodyText"/>
                        <w:rPr>
                          <w:sz w:val="22"/>
                        </w:rPr>
                      </w:pPr>
                    </w:p>
                    <w:p w14:paraId="33EE618D" w14:textId="77777777" w:rsidR="00371496" w:rsidRDefault="00371496">
                      <w:pPr>
                        <w:pStyle w:val="BodyText"/>
                        <w:spacing w:before="4"/>
                        <w:rPr>
                          <w:sz w:val="21"/>
                        </w:rPr>
                      </w:pPr>
                    </w:p>
                    <w:p w14:paraId="5B212135" w14:textId="762DF8C8" w:rsidR="00371496" w:rsidRPr="001066AD" w:rsidRDefault="00371496">
                      <w:pPr>
                        <w:spacing w:before="1"/>
                        <w:ind w:left="794"/>
                        <w:rPr>
                          <w:rFonts w:ascii="Calibri"/>
                          <w:lang w:val="es-419"/>
                        </w:rPr>
                      </w:pPr>
                      <w:r w:rsidRPr="001066AD">
                        <w:rPr>
                          <w:rFonts w:ascii="Calibri"/>
                          <w:color w:val="FFFFFF"/>
                          <w:lang w:val="es-419"/>
                        </w:rPr>
                        <w:t>OEA/Ser.L/V/II</w:t>
                      </w:r>
                    </w:p>
                    <w:p w14:paraId="2103D6EE" w14:textId="03BE241D" w:rsidR="00371496" w:rsidRPr="000F3D97" w:rsidRDefault="00371496">
                      <w:pPr>
                        <w:spacing w:before="41"/>
                        <w:ind w:right="271"/>
                        <w:jc w:val="right"/>
                        <w:rPr>
                          <w:rFonts w:ascii="Calibri"/>
                          <w:lang w:val="es-419"/>
                        </w:rPr>
                      </w:pPr>
                      <w:r w:rsidRPr="000F3D97">
                        <w:rPr>
                          <w:rFonts w:ascii="Calibri"/>
                          <w:color w:val="FFFFFF"/>
                          <w:lang w:val="es-419"/>
                        </w:rPr>
                        <w:t>Doc.</w:t>
                      </w:r>
                      <w:r w:rsidRPr="000F3D97">
                        <w:rPr>
                          <w:rFonts w:ascii="Calibri"/>
                          <w:color w:val="FFFFFF"/>
                          <w:spacing w:val="-2"/>
                          <w:lang w:val="es-419"/>
                        </w:rPr>
                        <w:t xml:space="preserve"> </w:t>
                      </w:r>
                      <w:r w:rsidR="000F3D97" w:rsidRPr="000F3D97">
                        <w:rPr>
                          <w:rFonts w:ascii="Calibri"/>
                          <w:color w:val="FFFFFF"/>
                          <w:lang w:val="es-419"/>
                        </w:rPr>
                        <w:t>53</w:t>
                      </w:r>
                    </w:p>
                    <w:p w14:paraId="2B5938C9" w14:textId="153A0542" w:rsidR="00371496" w:rsidRPr="000F3D97" w:rsidRDefault="00920F7F">
                      <w:pPr>
                        <w:spacing w:before="38" w:line="278" w:lineRule="auto"/>
                        <w:ind w:left="650" w:right="270" w:hanging="286"/>
                        <w:jc w:val="right"/>
                        <w:rPr>
                          <w:rFonts w:ascii="Calibri" w:hAnsi="Calibri"/>
                          <w:lang w:val="es-419"/>
                        </w:rPr>
                      </w:pPr>
                      <w:r>
                        <w:rPr>
                          <w:rFonts w:ascii="Calibri" w:hAnsi="Calibri"/>
                          <w:color w:val="FFFFFF"/>
                          <w:lang w:val="es-419"/>
                        </w:rPr>
                        <w:t>13 marzo</w:t>
                      </w:r>
                      <w:r w:rsidR="00371496" w:rsidRPr="000F3D97">
                        <w:rPr>
                          <w:rFonts w:ascii="Calibri" w:hAnsi="Calibri"/>
                          <w:color w:val="FFFFFF"/>
                          <w:spacing w:val="-5"/>
                          <w:lang w:val="es-419"/>
                        </w:rPr>
                        <w:t xml:space="preserve"> </w:t>
                      </w:r>
                      <w:r w:rsidR="00371496" w:rsidRPr="000F3D97">
                        <w:rPr>
                          <w:rFonts w:ascii="Calibri" w:hAnsi="Calibri"/>
                          <w:color w:val="FFFFFF"/>
                          <w:lang w:val="es-419"/>
                        </w:rPr>
                        <w:t>202</w:t>
                      </w:r>
                      <w:r w:rsidR="00D15F36" w:rsidRPr="000F3D97">
                        <w:rPr>
                          <w:rFonts w:ascii="Calibri" w:hAnsi="Calibri"/>
                          <w:color w:val="FFFFFF"/>
                          <w:lang w:val="es-419"/>
                        </w:rPr>
                        <w:t xml:space="preserve">2 </w:t>
                      </w:r>
                      <w:r w:rsidR="00371496" w:rsidRPr="000F3D97">
                        <w:rPr>
                          <w:rFonts w:ascii="Calibri" w:hAnsi="Calibri"/>
                          <w:color w:val="FFFFFF"/>
                          <w:lang w:val="es-419"/>
                        </w:rPr>
                        <w:t>Original:</w:t>
                      </w:r>
                      <w:r w:rsidR="00371496" w:rsidRPr="000F3D97">
                        <w:rPr>
                          <w:rFonts w:ascii="Calibri" w:hAnsi="Calibri"/>
                          <w:color w:val="FFFFFF"/>
                          <w:spacing w:val="-6"/>
                          <w:lang w:val="es-419"/>
                        </w:rPr>
                        <w:t xml:space="preserve"> </w:t>
                      </w:r>
                      <w:r w:rsidR="00371496" w:rsidRPr="000F3D97">
                        <w:rPr>
                          <w:rFonts w:ascii="Calibri" w:hAnsi="Calibri"/>
                          <w:color w:val="FFFFFF"/>
                          <w:lang w:val="es-419"/>
                        </w:rPr>
                        <w:t>español</w:t>
                      </w:r>
                    </w:p>
                    <w:p w14:paraId="18E44612" w14:textId="77777777" w:rsidR="00371496" w:rsidRPr="000F3D97" w:rsidRDefault="00371496">
                      <w:pPr>
                        <w:pStyle w:val="BodyText"/>
                        <w:rPr>
                          <w:sz w:val="22"/>
                          <w:lang w:val="es-419"/>
                        </w:rPr>
                      </w:pPr>
                    </w:p>
                    <w:p w14:paraId="0860EC38" w14:textId="77777777" w:rsidR="00371496" w:rsidRPr="000F3D97" w:rsidRDefault="00371496">
                      <w:pPr>
                        <w:pStyle w:val="BodyText"/>
                        <w:rPr>
                          <w:sz w:val="22"/>
                          <w:lang w:val="es-419"/>
                        </w:rPr>
                      </w:pPr>
                    </w:p>
                    <w:p w14:paraId="0952E55B" w14:textId="77777777" w:rsidR="00371496" w:rsidRPr="000F3D97" w:rsidRDefault="00371496">
                      <w:pPr>
                        <w:pStyle w:val="BodyText"/>
                        <w:rPr>
                          <w:sz w:val="22"/>
                          <w:lang w:val="es-419"/>
                        </w:rPr>
                      </w:pPr>
                    </w:p>
                    <w:p w14:paraId="4C3592B3" w14:textId="77777777" w:rsidR="00371496" w:rsidRPr="000F3D97" w:rsidRDefault="00371496">
                      <w:pPr>
                        <w:pStyle w:val="BodyText"/>
                        <w:rPr>
                          <w:sz w:val="22"/>
                          <w:lang w:val="es-419"/>
                        </w:rPr>
                      </w:pPr>
                    </w:p>
                    <w:p w14:paraId="3E49B12C" w14:textId="77777777" w:rsidR="00371496" w:rsidRPr="000F3D97" w:rsidRDefault="00371496">
                      <w:pPr>
                        <w:pStyle w:val="BodyText"/>
                        <w:rPr>
                          <w:sz w:val="22"/>
                          <w:lang w:val="es-419"/>
                        </w:rPr>
                      </w:pPr>
                    </w:p>
                    <w:p w14:paraId="2C1EBE27" w14:textId="77777777" w:rsidR="00371496" w:rsidRPr="000F3D97" w:rsidRDefault="00371496">
                      <w:pPr>
                        <w:pStyle w:val="BodyText"/>
                        <w:rPr>
                          <w:sz w:val="22"/>
                          <w:lang w:val="es-419"/>
                        </w:rPr>
                      </w:pPr>
                    </w:p>
                    <w:p w14:paraId="3271977D" w14:textId="77777777" w:rsidR="00371496" w:rsidRPr="000F3D97" w:rsidRDefault="00371496">
                      <w:pPr>
                        <w:pStyle w:val="BodyText"/>
                        <w:rPr>
                          <w:sz w:val="22"/>
                          <w:lang w:val="es-419"/>
                        </w:rPr>
                      </w:pPr>
                    </w:p>
                    <w:p w14:paraId="4ACD6E87" w14:textId="77777777" w:rsidR="00371496" w:rsidRPr="000F3D97" w:rsidRDefault="00371496">
                      <w:pPr>
                        <w:pStyle w:val="BodyText"/>
                        <w:rPr>
                          <w:sz w:val="22"/>
                          <w:lang w:val="es-419"/>
                        </w:rPr>
                      </w:pPr>
                    </w:p>
                    <w:p w14:paraId="4615FBE5" w14:textId="77777777" w:rsidR="00371496" w:rsidRPr="000F3D97" w:rsidRDefault="00371496">
                      <w:pPr>
                        <w:pStyle w:val="BodyText"/>
                        <w:rPr>
                          <w:sz w:val="22"/>
                          <w:lang w:val="es-419"/>
                        </w:rPr>
                      </w:pPr>
                    </w:p>
                    <w:p w14:paraId="546D6BA3" w14:textId="77777777" w:rsidR="00371496" w:rsidRPr="000F3D97" w:rsidRDefault="00371496">
                      <w:pPr>
                        <w:pStyle w:val="BodyText"/>
                        <w:rPr>
                          <w:sz w:val="22"/>
                          <w:lang w:val="es-419"/>
                        </w:rPr>
                      </w:pPr>
                    </w:p>
                    <w:p w14:paraId="04C73831" w14:textId="77777777" w:rsidR="00371496" w:rsidRPr="000F3D97" w:rsidRDefault="00371496">
                      <w:pPr>
                        <w:pStyle w:val="BodyText"/>
                        <w:rPr>
                          <w:sz w:val="22"/>
                          <w:lang w:val="es-419"/>
                        </w:rPr>
                      </w:pPr>
                    </w:p>
                    <w:p w14:paraId="69C35975" w14:textId="77777777" w:rsidR="00371496" w:rsidRPr="000F3D97" w:rsidRDefault="00371496">
                      <w:pPr>
                        <w:pStyle w:val="BodyText"/>
                        <w:rPr>
                          <w:sz w:val="22"/>
                          <w:lang w:val="es-419"/>
                        </w:rPr>
                      </w:pPr>
                    </w:p>
                    <w:p w14:paraId="064BDD69" w14:textId="77777777" w:rsidR="00371496" w:rsidRPr="000F3D97" w:rsidRDefault="00371496">
                      <w:pPr>
                        <w:pStyle w:val="BodyText"/>
                        <w:rPr>
                          <w:sz w:val="22"/>
                          <w:lang w:val="es-419"/>
                        </w:rPr>
                      </w:pPr>
                    </w:p>
                    <w:p w14:paraId="2779BAF2" w14:textId="77777777" w:rsidR="00371496" w:rsidRPr="000F3D97" w:rsidRDefault="00371496">
                      <w:pPr>
                        <w:pStyle w:val="BodyText"/>
                        <w:rPr>
                          <w:sz w:val="22"/>
                          <w:lang w:val="es-419"/>
                        </w:rPr>
                      </w:pPr>
                    </w:p>
                    <w:p w14:paraId="0405996E" w14:textId="77777777" w:rsidR="00371496" w:rsidRPr="000F3D97" w:rsidRDefault="00371496">
                      <w:pPr>
                        <w:pStyle w:val="BodyText"/>
                        <w:rPr>
                          <w:sz w:val="22"/>
                          <w:lang w:val="es-419"/>
                        </w:rPr>
                      </w:pPr>
                    </w:p>
                    <w:p w14:paraId="65DBB752" w14:textId="77777777" w:rsidR="00371496" w:rsidRPr="000F3D97" w:rsidRDefault="00371496">
                      <w:pPr>
                        <w:pStyle w:val="BodyText"/>
                        <w:rPr>
                          <w:sz w:val="22"/>
                          <w:lang w:val="es-419"/>
                        </w:rPr>
                      </w:pPr>
                    </w:p>
                    <w:p w14:paraId="3914C4FE" w14:textId="77777777" w:rsidR="00371496" w:rsidRPr="000F3D97" w:rsidRDefault="00371496">
                      <w:pPr>
                        <w:pStyle w:val="BodyText"/>
                        <w:rPr>
                          <w:sz w:val="22"/>
                          <w:lang w:val="es-419"/>
                        </w:rPr>
                      </w:pPr>
                    </w:p>
                    <w:p w14:paraId="6CD615F1" w14:textId="77777777" w:rsidR="00371496" w:rsidRPr="000F3D97" w:rsidRDefault="00371496">
                      <w:pPr>
                        <w:pStyle w:val="BodyText"/>
                        <w:rPr>
                          <w:sz w:val="22"/>
                          <w:lang w:val="es-419"/>
                        </w:rPr>
                      </w:pPr>
                    </w:p>
                    <w:p w14:paraId="6C14BE4D" w14:textId="77777777" w:rsidR="00371496" w:rsidRPr="000F3D97" w:rsidRDefault="00371496">
                      <w:pPr>
                        <w:pStyle w:val="BodyText"/>
                        <w:rPr>
                          <w:sz w:val="22"/>
                          <w:lang w:val="es-419"/>
                        </w:rPr>
                      </w:pPr>
                    </w:p>
                    <w:p w14:paraId="72D584A2" w14:textId="77777777" w:rsidR="00371496" w:rsidRPr="000F3D97" w:rsidRDefault="00371496">
                      <w:pPr>
                        <w:pStyle w:val="BodyText"/>
                        <w:rPr>
                          <w:sz w:val="22"/>
                          <w:lang w:val="es-419"/>
                        </w:rPr>
                      </w:pPr>
                    </w:p>
                    <w:p w14:paraId="044E3404" w14:textId="77777777" w:rsidR="00371496" w:rsidRPr="000F3D97" w:rsidRDefault="00371496">
                      <w:pPr>
                        <w:pStyle w:val="BodyText"/>
                        <w:rPr>
                          <w:sz w:val="22"/>
                          <w:lang w:val="es-419"/>
                        </w:rPr>
                      </w:pPr>
                    </w:p>
                    <w:p w14:paraId="472E25FD" w14:textId="77777777" w:rsidR="00371496" w:rsidRPr="000F3D97" w:rsidRDefault="00371496">
                      <w:pPr>
                        <w:pStyle w:val="BodyText"/>
                        <w:rPr>
                          <w:sz w:val="22"/>
                          <w:lang w:val="es-419"/>
                        </w:rPr>
                      </w:pPr>
                    </w:p>
                    <w:p w14:paraId="50743F04" w14:textId="77777777" w:rsidR="00371496" w:rsidRPr="000F3D97" w:rsidRDefault="00371496">
                      <w:pPr>
                        <w:pStyle w:val="BodyText"/>
                        <w:rPr>
                          <w:sz w:val="22"/>
                          <w:lang w:val="es-419"/>
                        </w:rPr>
                      </w:pPr>
                    </w:p>
                    <w:p w14:paraId="16A249B5" w14:textId="77777777" w:rsidR="00371496" w:rsidRPr="000F3D97" w:rsidRDefault="00371496">
                      <w:pPr>
                        <w:pStyle w:val="BodyText"/>
                        <w:rPr>
                          <w:sz w:val="22"/>
                          <w:lang w:val="es-419"/>
                        </w:rPr>
                      </w:pPr>
                    </w:p>
                    <w:p w14:paraId="6AF262A4" w14:textId="77777777" w:rsidR="00371496" w:rsidRPr="000F3D97" w:rsidRDefault="00371496">
                      <w:pPr>
                        <w:pStyle w:val="BodyText"/>
                        <w:rPr>
                          <w:sz w:val="22"/>
                          <w:lang w:val="es-419"/>
                        </w:rPr>
                      </w:pPr>
                    </w:p>
                    <w:p w14:paraId="6FBF2F20" w14:textId="77777777" w:rsidR="00371496" w:rsidRPr="000F3D97" w:rsidRDefault="00371496">
                      <w:pPr>
                        <w:pStyle w:val="BodyText"/>
                        <w:rPr>
                          <w:sz w:val="22"/>
                          <w:lang w:val="es-419"/>
                        </w:rPr>
                      </w:pPr>
                    </w:p>
                    <w:p w14:paraId="147FE114" w14:textId="77777777" w:rsidR="00371496" w:rsidRPr="000F3D97" w:rsidRDefault="00371496">
                      <w:pPr>
                        <w:pStyle w:val="BodyText"/>
                        <w:rPr>
                          <w:sz w:val="22"/>
                          <w:lang w:val="es-419"/>
                        </w:rPr>
                      </w:pPr>
                    </w:p>
                    <w:p w14:paraId="08EA78E3" w14:textId="77777777" w:rsidR="00371496" w:rsidRPr="000F3D97" w:rsidRDefault="00371496">
                      <w:pPr>
                        <w:pStyle w:val="BodyText"/>
                        <w:rPr>
                          <w:sz w:val="22"/>
                          <w:lang w:val="es-419"/>
                        </w:rPr>
                      </w:pPr>
                    </w:p>
                    <w:p w14:paraId="262C4DEB" w14:textId="77777777" w:rsidR="00371496" w:rsidRPr="000F3D97" w:rsidRDefault="00371496">
                      <w:pPr>
                        <w:pStyle w:val="BodyText"/>
                        <w:rPr>
                          <w:sz w:val="22"/>
                          <w:lang w:val="es-419"/>
                        </w:rPr>
                      </w:pPr>
                    </w:p>
                    <w:p w14:paraId="0CB605B8" w14:textId="77777777" w:rsidR="00371496" w:rsidRPr="000F3D97" w:rsidRDefault="00371496">
                      <w:pPr>
                        <w:pStyle w:val="BodyText"/>
                        <w:rPr>
                          <w:sz w:val="22"/>
                          <w:lang w:val="es-419"/>
                        </w:rPr>
                      </w:pPr>
                    </w:p>
                    <w:p w14:paraId="3E06130D" w14:textId="77777777" w:rsidR="00371496" w:rsidRPr="000F3D97" w:rsidRDefault="00371496">
                      <w:pPr>
                        <w:pStyle w:val="BodyText"/>
                        <w:rPr>
                          <w:sz w:val="22"/>
                          <w:lang w:val="es-419"/>
                        </w:rPr>
                      </w:pPr>
                    </w:p>
                    <w:p w14:paraId="0A159DD6" w14:textId="77777777" w:rsidR="00371496" w:rsidRPr="000F3D97" w:rsidRDefault="00371496">
                      <w:pPr>
                        <w:pStyle w:val="BodyText"/>
                        <w:spacing w:before="3"/>
                        <w:rPr>
                          <w:sz w:val="21"/>
                          <w:lang w:val="es-419"/>
                        </w:rPr>
                      </w:pPr>
                    </w:p>
                    <w:p w14:paraId="7A54D27C" w14:textId="77777777" w:rsidR="00371496" w:rsidRPr="00EE7BDA" w:rsidRDefault="009A0BF5">
                      <w:pPr>
                        <w:spacing w:before="1"/>
                        <w:ind w:left="453"/>
                        <w:rPr>
                          <w:rFonts w:ascii="Calibri"/>
                          <w:b/>
                          <w:sz w:val="24"/>
                          <w:lang w:val="pt-BR"/>
                        </w:rPr>
                      </w:pPr>
                      <w:hyperlink r:id="rId12">
                        <w:r w:rsidR="00371496" w:rsidRPr="00EE7BDA">
                          <w:rPr>
                            <w:rFonts w:ascii="Calibri"/>
                            <w:b/>
                            <w:color w:val="FFFFFF"/>
                            <w:sz w:val="24"/>
                            <w:lang w:val="pt-BR"/>
                          </w:rPr>
                          <w:t>www.cidh.org</w:t>
                        </w:r>
                      </w:hyperlink>
                    </w:p>
                  </w:txbxContent>
                </v:textbox>
                <w10:wrap anchorx="page" anchory="page"/>
              </v:shape>
            </w:pict>
          </mc:Fallback>
        </mc:AlternateContent>
      </w:r>
    </w:p>
    <w:p w14:paraId="5DD3CB1A" w14:textId="77777777" w:rsidR="00C02C7F" w:rsidRDefault="001223F2" w:rsidP="003B790E">
      <w:pPr>
        <w:pStyle w:val="BodyText"/>
        <w:ind w:left="3011"/>
        <w:rPr>
          <w:rFonts w:ascii="Times New Roman"/>
        </w:rPr>
      </w:pPr>
      <w:r>
        <w:rPr>
          <w:rFonts w:ascii="Times New Roman"/>
          <w:noProof/>
        </w:rPr>
        <w:drawing>
          <wp:inline distT="0" distB="0" distL="0" distR="0" wp14:anchorId="5ECEBE8E" wp14:editId="3C7128B3">
            <wp:extent cx="2525632" cy="473201"/>
            <wp:effectExtent l="0" t="0" r="0" b="0"/>
            <wp:docPr id="1" name="image1.jpeg"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25632" cy="473201"/>
                    </a:xfrm>
                    <a:prstGeom prst="rect">
                      <a:avLst/>
                    </a:prstGeom>
                  </pic:spPr>
                </pic:pic>
              </a:graphicData>
            </a:graphic>
          </wp:inline>
        </w:drawing>
      </w:r>
    </w:p>
    <w:p w14:paraId="2123924B" w14:textId="77777777" w:rsidR="00C02C7F" w:rsidRDefault="00C02C7F" w:rsidP="003B790E">
      <w:pPr>
        <w:pStyle w:val="BodyText"/>
        <w:rPr>
          <w:rFonts w:ascii="Times New Roman"/>
        </w:rPr>
      </w:pPr>
    </w:p>
    <w:p w14:paraId="6CB005A9" w14:textId="77777777" w:rsidR="00C02C7F" w:rsidRDefault="00C02C7F" w:rsidP="003B790E">
      <w:pPr>
        <w:pStyle w:val="BodyText"/>
        <w:rPr>
          <w:rFonts w:ascii="Times New Roman"/>
        </w:rPr>
      </w:pPr>
    </w:p>
    <w:p w14:paraId="37D60A00" w14:textId="77777777" w:rsidR="00C02C7F" w:rsidRDefault="00C02C7F" w:rsidP="003B790E">
      <w:pPr>
        <w:pStyle w:val="BodyText"/>
        <w:rPr>
          <w:rFonts w:ascii="Times New Roman"/>
        </w:rPr>
      </w:pPr>
    </w:p>
    <w:p w14:paraId="294A612B" w14:textId="77777777" w:rsidR="00C02C7F" w:rsidRDefault="00C02C7F" w:rsidP="003B790E">
      <w:pPr>
        <w:pStyle w:val="BodyText"/>
        <w:rPr>
          <w:rFonts w:ascii="Times New Roman"/>
        </w:rPr>
      </w:pPr>
    </w:p>
    <w:p w14:paraId="257E66D2" w14:textId="77777777" w:rsidR="00C02C7F" w:rsidRDefault="00C02C7F" w:rsidP="003B790E">
      <w:pPr>
        <w:pStyle w:val="BodyText"/>
        <w:rPr>
          <w:rFonts w:ascii="Times New Roman"/>
        </w:rPr>
      </w:pPr>
    </w:p>
    <w:p w14:paraId="7D3B429A" w14:textId="77777777" w:rsidR="00C02C7F" w:rsidRDefault="00C02C7F" w:rsidP="003B790E">
      <w:pPr>
        <w:pStyle w:val="BodyText"/>
        <w:rPr>
          <w:rFonts w:ascii="Times New Roman"/>
        </w:rPr>
      </w:pPr>
    </w:p>
    <w:p w14:paraId="6577169D" w14:textId="77777777" w:rsidR="00C02C7F" w:rsidRDefault="00C02C7F" w:rsidP="003B790E">
      <w:pPr>
        <w:pStyle w:val="BodyText"/>
        <w:rPr>
          <w:rFonts w:ascii="Times New Roman"/>
        </w:rPr>
      </w:pPr>
    </w:p>
    <w:p w14:paraId="24AB6ADD" w14:textId="77777777" w:rsidR="00C02C7F" w:rsidRDefault="00C02C7F" w:rsidP="003B790E">
      <w:pPr>
        <w:pStyle w:val="BodyText"/>
        <w:rPr>
          <w:rFonts w:ascii="Times New Roman"/>
        </w:rPr>
      </w:pPr>
    </w:p>
    <w:p w14:paraId="5F2F745A" w14:textId="77777777" w:rsidR="00C02C7F" w:rsidRDefault="00C02C7F" w:rsidP="003B790E">
      <w:pPr>
        <w:pStyle w:val="BodyText"/>
        <w:rPr>
          <w:rFonts w:ascii="Times New Roman"/>
        </w:rPr>
      </w:pPr>
    </w:p>
    <w:p w14:paraId="3A8F9941" w14:textId="77777777" w:rsidR="00C02C7F" w:rsidRDefault="00C02C7F" w:rsidP="003B790E">
      <w:pPr>
        <w:pStyle w:val="BodyText"/>
        <w:rPr>
          <w:rFonts w:ascii="Times New Roman"/>
        </w:rPr>
      </w:pPr>
    </w:p>
    <w:p w14:paraId="31F7366B" w14:textId="77777777" w:rsidR="00C02C7F" w:rsidRDefault="00C02C7F" w:rsidP="003B790E">
      <w:pPr>
        <w:pStyle w:val="BodyText"/>
        <w:rPr>
          <w:rFonts w:ascii="Times New Roman"/>
        </w:rPr>
      </w:pPr>
    </w:p>
    <w:p w14:paraId="73EF7E9C" w14:textId="77777777" w:rsidR="00C02C7F" w:rsidRDefault="00C02C7F" w:rsidP="003B790E">
      <w:pPr>
        <w:pStyle w:val="BodyText"/>
        <w:rPr>
          <w:rFonts w:ascii="Times New Roman"/>
        </w:rPr>
      </w:pPr>
    </w:p>
    <w:p w14:paraId="45D91B69" w14:textId="77777777" w:rsidR="00C02C7F" w:rsidRDefault="00C02C7F" w:rsidP="003B790E">
      <w:pPr>
        <w:pStyle w:val="BodyText"/>
        <w:rPr>
          <w:rFonts w:ascii="Times New Roman"/>
        </w:rPr>
      </w:pPr>
    </w:p>
    <w:p w14:paraId="34FD64FC" w14:textId="77777777" w:rsidR="00C02C7F" w:rsidRDefault="00C02C7F" w:rsidP="003B790E">
      <w:pPr>
        <w:pStyle w:val="BodyText"/>
        <w:rPr>
          <w:rFonts w:ascii="Times New Roman"/>
        </w:rPr>
      </w:pPr>
    </w:p>
    <w:p w14:paraId="7C78A75A" w14:textId="77777777" w:rsidR="008C719B" w:rsidRDefault="001223F2" w:rsidP="003B790E">
      <w:pPr>
        <w:ind w:left="3040" w:right="2236"/>
        <w:rPr>
          <w:b/>
          <w:color w:val="050505"/>
          <w:spacing w:val="-3"/>
          <w:sz w:val="36"/>
        </w:rPr>
      </w:pPr>
      <w:r w:rsidRPr="003B0E17">
        <w:rPr>
          <w:b/>
          <w:color w:val="050505"/>
          <w:sz w:val="36"/>
        </w:rPr>
        <w:t xml:space="preserve">INFORME No. </w:t>
      </w:r>
      <w:r w:rsidR="008C719B">
        <w:rPr>
          <w:b/>
          <w:color w:val="050505"/>
          <w:spacing w:val="-3"/>
          <w:sz w:val="36"/>
        </w:rPr>
        <w:t>51</w:t>
      </w:r>
      <w:r w:rsidRPr="003B0E17">
        <w:rPr>
          <w:b/>
          <w:color w:val="050505"/>
          <w:spacing w:val="-3"/>
          <w:sz w:val="36"/>
        </w:rPr>
        <w:t>/2</w:t>
      </w:r>
      <w:r w:rsidR="00D15F36">
        <w:rPr>
          <w:b/>
          <w:color w:val="050505"/>
          <w:spacing w:val="-3"/>
          <w:sz w:val="36"/>
        </w:rPr>
        <w:t>2</w:t>
      </w:r>
      <w:r w:rsidRPr="003B0E17">
        <w:rPr>
          <w:b/>
          <w:color w:val="050505"/>
          <w:spacing w:val="-3"/>
          <w:sz w:val="36"/>
        </w:rPr>
        <w:t xml:space="preserve"> </w:t>
      </w:r>
    </w:p>
    <w:p w14:paraId="7817E937" w14:textId="7300B04E" w:rsidR="00C02C7F" w:rsidRDefault="001223F2" w:rsidP="003B790E">
      <w:pPr>
        <w:ind w:left="3040" w:right="2236"/>
        <w:rPr>
          <w:b/>
          <w:sz w:val="36"/>
        </w:rPr>
      </w:pPr>
      <w:r w:rsidRPr="003B0E17">
        <w:rPr>
          <w:b/>
          <w:color w:val="050505"/>
          <w:sz w:val="36"/>
        </w:rPr>
        <w:t>PETICIÓN</w:t>
      </w:r>
      <w:r w:rsidRPr="003B0E17">
        <w:rPr>
          <w:b/>
          <w:color w:val="050505"/>
          <w:spacing w:val="-2"/>
          <w:sz w:val="36"/>
        </w:rPr>
        <w:t xml:space="preserve"> </w:t>
      </w:r>
      <w:r w:rsidR="00D861A8">
        <w:rPr>
          <w:b/>
          <w:color w:val="050505"/>
          <w:sz w:val="36"/>
        </w:rPr>
        <w:t>982-12</w:t>
      </w:r>
    </w:p>
    <w:p w14:paraId="485AE2BC" w14:textId="77777777" w:rsidR="00C02C7F" w:rsidRDefault="001223F2" w:rsidP="003B790E">
      <w:pPr>
        <w:pStyle w:val="Heading1"/>
      </w:pPr>
      <w:r>
        <w:rPr>
          <w:color w:val="050505"/>
        </w:rPr>
        <w:t>INFORME DE</w:t>
      </w:r>
      <w:r>
        <w:rPr>
          <w:color w:val="050505"/>
          <w:spacing w:val="-15"/>
        </w:rPr>
        <w:t xml:space="preserve"> </w:t>
      </w:r>
      <w:r>
        <w:rPr>
          <w:color w:val="050505"/>
        </w:rPr>
        <w:t>ADMISIBILIDAD</w:t>
      </w:r>
    </w:p>
    <w:p w14:paraId="61B91498" w14:textId="77777777" w:rsidR="00C02C7F" w:rsidRDefault="00C02C7F" w:rsidP="003B790E">
      <w:pPr>
        <w:pStyle w:val="BodyText"/>
        <w:rPr>
          <w:sz w:val="31"/>
        </w:rPr>
      </w:pPr>
    </w:p>
    <w:p w14:paraId="305B4801" w14:textId="77777777" w:rsidR="000F2AEE" w:rsidRDefault="002B4F21" w:rsidP="003B790E">
      <w:pPr>
        <w:ind w:left="3040" w:right="579"/>
        <w:rPr>
          <w:color w:val="050505"/>
          <w:sz w:val="24"/>
        </w:rPr>
      </w:pPr>
      <w:r>
        <w:rPr>
          <w:color w:val="050505"/>
          <w:sz w:val="24"/>
        </w:rPr>
        <w:t xml:space="preserve">MERCEDES AGUILAR DE CALDERÓN Y </w:t>
      </w:r>
      <w:r w:rsidR="00B27F58">
        <w:rPr>
          <w:color w:val="050505"/>
          <w:sz w:val="24"/>
        </w:rPr>
        <w:t>FAMILIARES</w:t>
      </w:r>
      <w:r w:rsidR="00D861A8">
        <w:rPr>
          <w:color w:val="050505"/>
          <w:sz w:val="24"/>
        </w:rPr>
        <w:t xml:space="preserve"> </w:t>
      </w:r>
    </w:p>
    <w:p w14:paraId="58FCEC4E" w14:textId="30510C8D" w:rsidR="00664365" w:rsidRPr="00B27F58" w:rsidRDefault="00D861A8" w:rsidP="003B790E">
      <w:pPr>
        <w:ind w:left="3040" w:right="579"/>
        <w:rPr>
          <w:color w:val="050505"/>
          <w:sz w:val="24"/>
        </w:rPr>
      </w:pPr>
      <w:r>
        <w:rPr>
          <w:color w:val="050505"/>
          <w:sz w:val="24"/>
        </w:rPr>
        <w:t xml:space="preserve">DE </w:t>
      </w:r>
      <w:r w:rsidR="003B790E">
        <w:rPr>
          <w:color w:val="050505"/>
          <w:sz w:val="24"/>
        </w:rPr>
        <w:t xml:space="preserve">PERSONAS </w:t>
      </w:r>
      <w:r>
        <w:rPr>
          <w:color w:val="050505"/>
          <w:sz w:val="24"/>
        </w:rPr>
        <w:t>EXTRABAJADOR</w:t>
      </w:r>
      <w:r w:rsidR="003B790E">
        <w:rPr>
          <w:color w:val="050505"/>
          <w:sz w:val="24"/>
        </w:rPr>
        <w:t>A</w:t>
      </w:r>
      <w:r>
        <w:rPr>
          <w:color w:val="050505"/>
          <w:sz w:val="24"/>
        </w:rPr>
        <w:t>S DEL IRHE</w:t>
      </w:r>
    </w:p>
    <w:p w14:paraId="1458044E" w14:textId="066279EA" w:rsidR="00C02C7F" w:rsidRPr="00B27F58" w:rsidRDefault="00D861A8" w:rsidP="003B790E">
      <w:pPr>
        <w:ind w:left="3040" w:right="4155"/>
        <w:rPr>
          <w:sz w:val="24"/>
        </w:rPr>
      </w:pPr>
      <w:r>
        <w:rPr>
          <w:color w:val="050505"/>
          <w:sz w:val="24"/>
        </w:rPr>
        <w:t>PANAMÁ</w:t>
      </w:r>
    </w:p>
    <w:p w14:paraId="0FA9EC32" w14:textId="77777777" w:rsidR="00C02C7F" w:rsidRPr="00B27F58" w:rsidRDefault="00C02C7F" w:rsidP="003B790E">
      <w:pPr>
        <w:pStyle w:val="BodyText"/>
        <w:rPr>
          <w:sz w:val="28"/>
        </w:rPr>
      </w:pPr>
    </w:p>
    <w:p w14:paraId="04D6F510" w14:textId="77777777" w:rsidR="00C02C7F" w:rsidRPr="00B27F58" w:rsidRDefault="00C02C7F" w:rsidP="003B790E">
      <w:pPr>
        <w:pStyle w:val="BodyText"/>
        <w:rPr>
          <w:sz w:val="28"/>
        </w:rPr>
      </w:pPr>
    </w:p>
    <w:p w14:paraId="45841172" w14:textId="77777777" w:rsidR="00C02C7F" w:rsidRPr="00B27F58" w:rsidRDefault="00C02C7F" w:rsidP="003B790E">
      <w:pPr>
        <w:pStyle w:val="BodyText"/>
        <w:rPr>
          <w:sz w:val="28"/>
        </w:rPr>
      </w:pPr>
    </w:p>
    <w:p w14:paraId="769E29D0" w14:textId="77777777" w:rsidR="00C02C7F" w:rsidRPr="00B27F58" w:rsidRDefault="00C02C7F" w:rsidP="003B790E">
      <w:pPr>
        <w:pStyle w:val="BodyText"/>
        <w:rPr>
          <w:sz w:val="28"/>
        </w:rPr>
      </w:pPr>
    </w:p>
    <w:p w14:paraId="2CB703E1" w14:textId="77777777" w:rsidR="00C02C7F" w:rsidRPr="00B27F58" w:rsidRDefault="00C02C7F" w:rsidP="003B790E">
      <w:pPr>
        <w:pStyle w:val="BodyText"/>
        <w:rPr>
          <w:sz w:val="28"/>
        </w:rPr>
      </w:pPr>
    </w:p>
    <w:p w14:paraId="041C9733" w14:textId="77777777" w:rsidR="00C02C7F" w:rsidRPr="00B27F58" w:rsidRDefault="00C02C7F" w:rsidP="003B790E">
      <w:pPr>
        <w:pStyle w:val="BodyText"/>
        <w:rPr>
          <w:sz w:val="28"/>
        </w:rPr>
      </w:pPr>
    </w:p>
    <w:p w14:paraId="57E12571" w14:textId="77777777" w:rsidR="00C02C7F" w:rsidRPr="00B27F58" w:rsidRDefault="00C02C7F" w:rsidP="003B790E">
      <w:pPr>
        <w:pStyle w:val="BodyText"/>
        <w:rPr>
          <w:sz w:val="28"/>
        </w:rPr>
      </w:pPr>
    </w:p>
    <w:p w14:paraId="73663671" w14:textId="77777777" w:rsidR="00C02C7F" w:rsidRPr="00B27F58" w:rsidRDefault="00C02C7F" w:rsidP="003B790E">
      <w:pPr>
        <w:pStyle w:val="BodyText"/>
        <w:rPr>
          <w:sz w:val="28"/>
        </w:rPr>
      </w:pPr>
    </w:p>
    <w:p w14:paraId="33437773" w14:textId="77777777" w:rsidR="00C02C7F" w:rsidRPr="00B27F58" w:rsidRDefault="00C02C7F" w:rsidP="003B790E">
      <w:pPr>
        <w:pStyle w:val="BodyText"/>
        <w:rPr>
          <w:sz w:val="28"/>
        </w:rPr>
      </w:pPr>
    </w:p>
    <w:p w14:paraId="3E4A4DEB" w14:textId="77777777" w:rsidR="00C02C7F" w:rsidRPr="00B27F58" w:rsidRDefault="00C02C7F" w:rsidP="003B790E">
      <w:pPr>
        <w:pStyle w:val="BodyText"/>
        <w:rPr>
          <w:sz w:val="28"/>
        </w:rPr>
      </w:pPr>
    </w:p>
    <w:p w14:paraId="439C13BA" w14:textId="77777777" w:rsidR="00C02C7F" w:rsidRPr="00B27F58" w:rsidRDefault="00C02C7F" w:rsidP="003B790E">
      <w:pPr>
        <w:pStyle w:val="BodyText"/>
        <w:rPr>
          <w:sz w:val="28"/>
        </w:rPr>
      </w:pPr>
    </w:p>
    <w:p w14:paraId="55AD9ADD" w14:textId="77777777" w:rsidR="00C02C7F" w:rsidRPr="00B27F58" w:rsidRDefault="00C02C7F" w:rsidP="003B790E">
      <w:pPr>
        <w:pStyle w:val="BodyText"/>
        <w:rPr>
          <w:sz w:val="28"/>
        </w:rPr>
      </w:pPr>
    </w:p>
    <w:p w14:paraId="001AF764" w14:textId="77777777" w:rsidR="00C02C7F" w:rsidRPr="00B27F58" w:rsidRDefault="00C02C7F" w:rsidP="003B790E">
      <w:pPr>
        <w:pStyle w:val="BodyText"/>
        <w:rPr>
          <w:sz w:val="28"/>
        </w:rPr>
      </w:pPr>
    </w:p>
    <w:p w14:paraId="25916868" w14:textId="5B0B8A33" w:rsidR="00C02C7F" w:rsidRPr="00726DAC" w:rsidRDefault="001223F2" w:rsidP="003B790E">
      <w:pPr>
        <w:ind w:left="3023"/>
        <w:rPr>
          <w:sz w:val="18"/>
        </w:rPr>
      </w:pPr>
      <w:r w:rsidRPr="00726DAC">
        <w:rPr>
          <w:color w:val="050505"/>
          <w:sz w:val="18"/>
        </w:rPr>
        <w:t xml:space="preserve">Aprobado electrónicamente por la Comisión el </w:t>
      </w:r>
      <w:r w:rsidR="00920F7F">
        <w:rPr>
          <w:color w:val="050505"/>
          <w:sz w:val="18"/>
        </w:rPr>
        <w:t>13</w:t>
      </w:r>
      <w:r w:rsidRPr="00726DAC">
        <w:rPr>
          <w:color w:val="050505"/>
          <w:sz w:val="18"/>
        </w:rPr>
        <w:t xml:space="preserve"> de </w:t>
      </w:r>
      <w:r w:rsidR="00920F7F">
        <w:rPr>
          <w:color w:val="050505"/>
          <w:sz w:val="18"/>
        </w:rPr>
        <w:t>marzo</w:t>
      </w:r>
      <w:r w:rsidRPr="00726DAC">
        <w:rPr>
          <w:color w:val="050505"/>
          <w:sz w:val="18"/>
        </w:rPr>
        <w:t xml:space="preserve"> de 202</w:t>
      </w:r>
      <w:r w:rsidR="00D15F36">
        <w:rPr>
          <w:color w:val="050505"/>
          <w:sz w:val="18"/>
        </w:rPr>
        <w:t>2</w:t>
      </w:r>
      <w:r w:rsidRPr="00726DAC">
        <w:rPr>
          <w:color w:val="050505"/>
          <w:sz w:val="18"/>
        </w:rPr>
        <w:t>.</w:t>
      </w:r>
    </w:p>
    <w:p w14:paraId="565F36A6" w14:textId="77777777" w:rsidR="00C02C7F" w:rsidRPr="00726DAC" w:rsidRDefault="00C02C7F" w:rsidP="003B790E">
      <w:pPr>
        <w:pStyle w:val="BodyText"/>
      </w:pPr>
    </w:p>
    <w:p w14:paraId="1DC05081" w14:textId="77777777" w:rsidR="00C02C7F" w:rsidRPr="00726DAC" w:rsidRDefault="00C02C7F" w:rsidP="003B790E">
      <w:pPr>
        <w:pStyle w:val="BodyText"/>
      </w:pPr>
    </w:p>
    <w:p w14:paraId="75DD224D" w14:textId="77777777" w:rsidR="00C02C7F" w:rsidRPr="00726DAC" w:rsidRDefault="00C02C7F" w:rsidP="003B790E">
      <w:pPr>
        <w:pStyle w:val="BodyText"/>
        <w:rPr>
          <w:sz w:val="16"/>
        </w:rPr>
      </w:pPr>
    </w:p>
    <w:p w14:paraId="3F79E214" w14:textId="2687D215" w:rsidR="00C02C7F" w:rsidRDefault="001223F2" w:rsidP="003B790E">
      <w:pPr>
        <w:ind w:left="3008" w:right="328"/>
        <w:rPr>
          <w:sz w:val="18"/>
        </w:rPr>
      </w:pPr>
      <w:r w:rsidRPr="00726DAC">
        <w:rPr>
          <w:b/>
          <w:color w:val="595958"/>
          <w:sz w:val="18"/>
          <w:lang w:val="pt-BR"/>
        </w:rPr>
        <w:t xml:space="preserve">Citar como: </w:t>
      </w:r>
      <w:r w:rsidRPr="00726DAC">
        <w:rPr>
          <w:color w:val="595958"/>
          <w:sz w:val="18"/>
          <w:lang w:val="pt-BR"/>
        </w:rPr>
        <w:t xml:space="preserve">CIDH, Informe No. </w:t>
      </w:r>
      <w:r w:rsidR="00920F7F" w:rsidRPr="00920F7F">
        <w:rPr>
          <w:color w:val="595958"/>
          <w:sz w:val="18"/>
          <w:lang w:val="pt-BR"/>
        </w:rPr>
        <w:t>51</w:t>
      </w:r>
      <w:r w:rsidRPr="00920F7F">
        <w:rPr>
          <w:color w:val="595958"/>
          <w:sz w:val="18"/>
          <w:lang w:val="pt-BR"/>
        </w:rPr>
        <w:t>/2</w:t>
      </w:r>
      <w:r w:rsidR="00550EEA" w:rsidRPr="00920F7F">
        <w:rPr>
          <w:color w:val="595958"/>
          <w:sz w:val="18"/>
          <w:lang w:val="pt-BR"/>
        </w:rPr>
        <w:t>2</w:t>
      </w:r>
      <w:r w:rsidRPr="00920F7F">
        <w:rPr>
          <w:color w:val="595958"/>
          <w:sz w:val="18"/>
          <w:lang w:val="pt-BR"/>
        </w:rPr>
        <w:t xml:space="preserve">. </w:t>
      </w:r>
      <w:r w:rsidRPr="00726DAC">
        <w:rPr>
          <w:color w:val="595958"/>
          <w:sz w:val="18"/>
        </w:rPr>
        <w:t xml:space="preserve">Petición </w:t>
      </w:r>
      <w:r w:rsidR="00D861A8">
        <w:rPr>
          <w:color w:val="595958"/>
          <w:sz w:val="18"/>
        </w:rPr>
        <w:t>982-12</w:t>
      </w:r>
      <w:r w:rsidRPr="00726DAC">
        <w:rPr>
          <w:color w:val="595958"/>
          <w:sz w:val="18"/>
        </w:rPr>
        <w:t>. Admisibilidad.</w:t>
      </w:r>
      <w:r w:rsidR="00D861A8">
        <w:rPr>
          <w:color w:val="595958"/>
          <w:sz w:val="18"/>
        </w:rPr>
        <w:t xml:space="preserve"> </w:t>
      </w:r>
      <w:r w:rsidR="00987D7B">
        <w:rPr>
          <w:color w:val="595958"/>
          <w:sz w:val="18"/>
        </w:rPr>
        <w:t>Mercedes Aguilar de Calderón y f</w:t>
      </w:r>
      <w:r w:rsidR="00D861A8">
        <w:rPr>
          <w:color w:val="595958"/>
          <w:sz w:val="18"/>
        </w:rPr>
        <w:t xml:space="preserve">amiliares de </w:t>
      </w:r>
      <w:r w:rsidR="00987D7B">
        <w:rPr>
          <w:color w:val="595958"/>
          <w:sz w:val="18"/>
        </w:rPr>
        <w:t>personas</w:t>
      </w:r>
      <w:r w:rsidR="00D861A8">
        <w:rPr>
          <w:color w:val="595958"/>
          <w:sz w:val="18"/>
        </w:rPr>
        <w:t xml:space="preserve"> extrabajador</w:t>
      </w:r>
      <w:r w:rsidR="00987D7B">
        <w:rPr>
          <w:color w:val="595958"/>
          <w:sz w:val="18"/>
        </w:rPr>
        <w:t>as</w:t>
      </w:r>
      <w:r w:rsidR="00D861A8">
        <w:rPr>
          <w:color w:val="595958"/>
          <w:sz w:val="18"/>
        </w:rPr>
        <w:t xml:space="preserve"> de la IRHE.</w:t>
      </w:r>
      <w:r w:rsidRPr="00726DAC">
        <w:rPr>
          <w:color w:val="595958"/>
          <w:sz w:val="18"/>
        </w:rPr>
        <w:t xml:space="preserve"> </w:t>
      </w:r>
      <w:r w:rsidR="00D861A8">
        <w:rPr>
          <w:color w:val="595958"/>
          <w:sz w:val="18"/>
        </w:rPr>
        <w:t>Panamá</w:t>
      </w:r>
      <w:r w:rsidRPr="00726DAC">
        <w:rPr>
          <w:color w:val="595958"/>
          <w:sz w:val="18"/>
        </w:rPr>
        <w:t xml:space="preserve">. </w:t>
      </w:r>
      <w:r w:rsidR="004E280F">
        <w:rPr>
          <w:color w:val="595958"/>
          <w:sz w:val="18"/>
        </w:rPr>
        <w:t>13</w:t>
      </w:r>
      <w:r w:rsidRPr="00726DAC">
        <w:rPr>
          <w:color w:val="595958"/>
          <w:sz w:val="18"/>
        </w:rPr>
        <w:t xml:space="preserve"> de </w:t>
      </w:r>
      <w:r w:rsidR="004E280F">
        <w:rPr>
          <w:color w:val="595958"/>
          <w:sz w:val="18"/>
        </w:rPr>
        <w:t>marzo</w:t>
      </w:r>
      <w:r w:rsidRPr="00726DAC">
        <w:rPr>
          <w:color w:val="595958"/>
          <w:sz w:val="18"/>
        </w:rPr>
        <w:t xml:space="preserve"> de 202</w:t>
      </w:r>
      <w:r w:rsidR="00D15F36">
        <w:rPr>
          <w:color w:val="595958"/>
          <w:sz w:val="18"/>
        </w:rPr>
        <w:t>2</w:t>
      </w:r>
      <w:r w:rsidRPr="00726DAC">
        <w:rPr>
          <w:color w:val="595958"/>
          <w:sz w:val="18"/>
        </w:rPr>
        <w:t>.</w:t>
      </w:r>
    </w:p>
    <w:p w14:paraId="41E2E7B7" w14:textId="77777777" w:rsidR="00C02C7F" w:rsidRDefault="00C02C7F" w:rsidP="003B790E">
      <w:pPr>
        <w:pStyle w:val="BodyText"/>
      </w:pPr>
    </w:p>
    <w:p w14:paraId="38E03824" w14:textId="77777777" w:rsidR="00C02C7F" w:rsidRDefault="00C02C7F" w:rsidP="003B790E">
      <w:pPr>
        <w:pStyle w:val="BodyText"/>
      </w:pPr>
    </w:p>
    <w:p w14:paraId="0CD67CB2" w14:textId="77777777" w:rsidR="00C02C7F" w:rsidRDefault="00C02C7F" w:rsidP="003B790E">
      <w:pPr>
        <w:pStyle w:val="BodyText"/>
      </w:pPr>
    </w:p>
    <w:p w14:paraId="1B7A744F" w14:textId="77777777" w:rsidR="00C02C7F" w:rsidRDefault="001223F2" w:rsidP="003B790E">
      <w:pPr>
        <w:pStyle w:val="BodyText"/>
        <w:rPr>
          <w:sz w:val="16"/>
        </w:rPr>
      </w:pPr>
      <w:r>
        <w:rPr>
          <w:noProof/>
        </w:rPr>
        <w:drawing>
          <wp:anchor distT="0" distB="0" distL="0" distR="0" simplePos="0" relativeHeight="251656192" behindDoc="0" locked="0" layoutInCell="1" allowOverlap="1" wp14:anchorId="5C333012" wp14:editId="5E7A3200">
            <wp:simplePos x="0" y="0"/>
            <wp:positionH relativeFrom="page">
              <wp:posOffset>2338705</wp:posOffset>
            </wp:positionH>
            <wp:positionV relativeFrom="paragraph">
              <wp:posOffset>461736</wp:posOffset>
            </wp:positionV>
            <wp:extent cx="1772183" cy="456056"/>
            <wp:effectExtent l="0" t="0" r="0" b="127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72183" cy="456056"/>
                    </a:xfrm>
                    <a:prstGeom prst="rect">
                      <a:avLst/>
                    </a:prstGeom>
                  </pic:spPr>
                </pic:pic>
              </a:graphicData>
            </a:graphic>
          </wp:anchor>
        </w:drawing>
      </w:r>
    </w:p>
    <w:p w14:paraId="43CCC4A7" w14:textId="77777777" w:rsidR="00C02C7F" w:rsidRDefault="00C02C7F" w:rsidP="003B790E">
      <w:pPr>
        <w:rPr>
          <w:sz w:val="16"/>
        </w:rPr>
        <w:sectPr w:rsidR="00C02C7F" w:rsidSect="00812339">
          <w:headerReference w:type="default" r:id="rId15"/>
          <w:type w:val="continuous"/>
          <w:pgSz w:w="12240" w:h="15840"/>
          <w:pgMar w:top="740" w:right="1200" w:bottom="280" w:left="680" w:header="720" w:footer="720" w:gutter="0"/>
          <w:cols w:space="720"/>
          <w:titlePg/>
          <w:docGrid w:linePitch="299"/>
        </w:sectPr>
      </w:pPr>
    </w:p>
    <w:p w14:paraId="3D379E68" w14:textId="77777777" w:rsidR="00C02C7F" w:rsidRDefault="001223F2" w:rsidP="003B790E">
      <w:pPr>
        <w:pStyle w:val="Heading2"/>
        <w:numPr>
          <w:ilvl w:val="0"/>
          <w:numId w:val="3"/>
        </w:numPr>
        <w:spacing w:before="0"/>
        <w:ind w:firstLine="270"/>
      </w:pPr>
      <w:bookmarkStart w:id="2" w:name="_bookmark4"/>
      <w:bookmarkEnd w:id="2"/>
      <w:r>
        <w:lastRenderedPageBreak/>
        <w:t>DATOS DE LA</w:t>
      </w:r>
      <w:r>
        <w:rPr>
          <w:spacing w:val="1"/>
        </w:rPr>
        <w:t xml:space="preserve"> </w:t>
      </w:r>
      <w:r>
        <w:t>PETICIÓN</w:t>
      </w:r>
    </w:p>
    <w:p w14:paraId="19C4C750" w14:textId="77777777" w:rsidR="00C02C7F" w:rsidRDefault="00C02C7F" w:rsidP="003B790E">
      <w:pPr>
        <w:pStyle w:val="BodyText"/>
        <w:rPr>
          <w:b/>
          <w:sz w:val="1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6569"/>
      </w:tblGrid>
      <w:tr w:rsidR="00C02C7F" w:rsidRPr="007206F8" w14:paraId="2E06C8FB" w14:textId="77777777" w:rsidTr="00E967F5">
        <w:trPr>
          <w:trHeight w:val="222"/>
        </w:trPr>
        <w:tc>
          <w:tcPr>
            <w:tcW w:w="2954" w:type="dxa"/>
            <w:tcBorders>
              <w:bottom w:val="single" w:sz="6" w:space="0" w:color="000000"/>
              <w:right w:val="single" w:sz="6" w:space="0" w:color="000000"/>
            </w:tcBorders>
            <w:shd w:val="clear" w:color="auto" w:fill="386294"/>
          </w:tcPr>
          <w:p w14:paraId="2D1EFF23" w14:textId="77777777" w:rsidR="00C02C7F" w:rsidRPr="00D70F1B" w:rsidRDefault="001223F2" w:rsidP="003B790E">
            <w:pPr>
              <w:pStyle w:val="TableParagraph"/>
              <w:spacing w:line="240" w:lineRule="auto"/>
              <w:ind w:left="175" w:right="164"/>
              <w:jc w:val="center"/>
              <w:rPr>
                <w:b/>
                <w:bCs/>
                <w:sz w:val="20"/>
                <w:szCs w:val="20"/>
              </w:rPr>
            </w:pPr>
            <w:r w:rsidRPr="00D70F1B">
              <w:rPr>
                <w:b/>
                <w:bCs/>
                <w:color w:val="FFFFFF"/>
                <w:sz w:val="20"/>
                <w:szCs w:val="20"/>
              </w:rPr>
              <w:t>Parte peticionaria</w:t>
            </w:r>
          </w:p>
        </w:tc>
        <w:tc>
          <w:tcPr>
            <w:tcW w:w="6569" w:type="dxa"/>
            <w:tcBorders>
              <w:left w:val="single" w:sz="6" w:space="0" w:color="000000"/>
              <w:bottom w:val="single" w:sz="6" w:space="0" w:color="000000"/>
            </w:tcBorders>
          </w:tcPr>
          <w:p w14:paraId="192EA89A" w14:textId="0941E8D3" w:rsidR="00C02C7F" w:rsidRPr="00D70F1B" w:rsidRDefault="00504274" w:rsidP="003B790E">
            <w:pPr>
              <w:pStyle w:val="TableParagraph"/>
              <w:spacing w:line="240" w:lineRule="auto"/>
              <w:ind w:right="65"/>
              <w:jc w:val="both"/>
              <w:rPr>
                <w:sz w:val="20"/>
                <w:szCs w:val="20"/>
              </w:rPr>
            </w:pPr>
            <w:r w:rsidRPr="00D70F1B">
              <w:rPr>
                <w:sz w:val="20"/>
                <w:szCs w:val="20"/>
                <w:lang w:val="es-419"/>
              </w:rPr>
              <w:t>Santander Tristán Donoso</w:t>
            </w:r>
          </w:p>
        </w:tc>
      </w:tr>
      <w:tr w:rsidR="00C02C7F" w:rsidRPr="0012547F" w14:paraId="78BCB745" w14:textId="77777777" w:rsidTr="00E967F5">
        <w:trPr>
          <w:trHeight w:val="222"/>
        </w:trPr>
        <w:tc>
          <w:tcPr>
            <w:tcW w:w="2954" w:type="dxa"/>
            <w:tcBorders>
              <w:top w:val="single" w:sz="6" w:space="0" w:color="000000"/>
              <w:bottom w:val="single" w:sz="6" w:space="0" w:color="000000"/>
              <w:right w:val="single" w:sz="6" w:space="0" w:color="000000"/>
            </w:tcBorders>
            <w:shd w:val="clear" w:color="auto" w:fill="386294"/>
          </w:tcPr>
          <w:p w14:paraId="5558FF07" w14:textId="020AEE9F" w:rsidR="00C02C7F" w:rsidRPr="00D70F1B" w:rsidRDefault="001223F2" w:rsidP="003B790E">
            <w:pPr>
              <w:pStyle w:val="TableParagraph"/>
              <w:spacing w:line="240" w:lineRule="auto"/>
              <w:ind w:left="175" w:right="167"/>
              <w:jc w:val="center"/>
              <w:rPr>
                <w:b/>
                <w:bCs/>
                <w:sz w:val="20"/>
                <w:szCs w:val="20"/>
              </w:rPr>
            </w:pPr>
            <w:r w:rsidRPr="00D70F1B">
              <w:rPr>
                <w:b/>
                <w:bCs/>
                <w:color w:val="FFFFFF"/>
                <w:sz w:val="20"/>
                <w:szCs w:val="20"/>
              </w:rPr>
              <w:t>Presunta</w:t>
            </w:r>
            <w:r w:rsidR="00664365" w:rsidRPr="00D70F1B">
              <w:rPr>
                <w:b/>
                <w:bCs/>
                <w:color w:val="FFFFFF"/>
                <w:sz w:val="20"/>
                <w:szCs w:val="20"/>
              </w:rPr>
              <w:t>s</w:t>
            </w:r>
            <w:r w:rsidRPr="00D70F1B">
              <w:rPr>
                <w:b/>
                <w:bCs/>
                <w:color w:val="FFFFFF"/>
                <w:sz w:val="20"/>
                <w:szCs w:val="20"/>
              </w:rPr>
              <w:t xml:space="preserve"> víctima</w:t>
            </w:r>
            <w:r w:rsidR="00664365" w:rsidRPr="00D70F1B">
              <w:rPr>
                <w:b/>
                <w:bCs/>
                <w:color w:val="FFFFFF"/>
                <w:sz w:val="20"/>
                <w:szCs w:val="20"/>
              </w:rPr>
              <w:t>s</w:t>
            </w:r>
          </w:p>
        </w:tc>
        <w:tc>
          <w:tcPr>
            <w:tcW w:w="6569" w:type="dxa"/>
            <w:tcBorders>
              <w:top w:val="single" w:sz="6" w:space="0" w:color="000000"/>
              <w:left w:val="single" w:sz="6" w:space="0" w:color="000000"/>
              <w:bottom w:val="single" w:sz="6" w:space="0" w:color="000000"/>
            </w:tcBorders>
          </w:tcPr>
          <w:p w14:paraId="523C9213" w14:textId="49DB53EF" w:rsidR="00C4539B" w:rsidRPr="00D70F1B" w:rsidRDefault="00842D7E" w:rsidP="003B790E">
            <w:pPr>
              <w:pStyle w:val="TableParagraph"/>
              <w:spacing w:line="240" w:lineRule="auto"/>
              <w:ind w:right="175"/>
              <w:jc w:val="both"/>
              <w:rPr>
                <w:caps/>
                <w:sz w:val="20"/>
                <w:szCs w:val="20"/>
              </w:rPr>
            </w:pPr>
            <w:r w:rsidRPr="00D70F1B">
              <w:rPr>
                <w:sz w:val="20"/>
                <w:szCs w:val="20"/>
              </w:rPr>
              <w:t xml:space="preserve">Mercedes Aguilar de Calderón y </w:t>
            </w:r>
            <w:r w:rsidR="00B057D4" w:rsidRPr="00D70F1B">
              <w:rPr>
                <w:sz w:val="20"/>
                <w:szCs w:val="20"/>
              </w:rPr>
              <w:t>familiares de personas extrabajadoras del IRHE</w:t>
            </w:r>
            <w:r w:rsidR="002B4F21" w:rsidRPr="00D70F1B">
              <w:rPr>
                <w:rStyle w:val="FootnoteReference"/>
                <w:sz w:val="20"/>
                <w:szCs w:val="20"/>
              </w:rPr>
              <w:footnoteReference w:id="1"/>
            </w:r>
          </w:p>
        </w:tc>
      </w:tr>
      <w:tr w:rsidR="00C02C7F" w14:paraId="2D2B5C75" w14:textId="77777777" w:rsidTr="00E967F5">
        <w:trPr>
          <w:trHeight w:val="222"/>
        </w:trPr>
        <w:tc>
          <w:tcPr>
            <w:tcW w:w="2954" w:type="dxa"/>
            <w:tcBorders>
              <w:top w:val="single" w:sz="6" w:space="0" w:color="000000"/>
              <w:bottom w:val="single" w:sz="6" w:space="0" w:color="000000"/>
              <w:right w:val="single" w:sz="6" w:space="0" w:color="000000"/>
            </w:tcBorders>
            <w:shd w:val="clear" w:color="auto" w:fill="386294"/>
          </w:tcPr>
          <w:p w14:paraId="7ACFC022" w14:textId="77777777" w:rsidR="00C02C7F" w:rsidRPr="00D70F1B" w:rsidRDefault="001223F2" w:rsidP="003B790E">
            <w:pPr>
              <w:pStyle w:val="TableParagraph"/>
              <w:spacing w:line="240" w:lineRule="auto"/>
              <w:ind w:left="175" w:right="168"/>
              <w:jc w:val="center"/>
              <w:rPr>
                <w:b/>
                <w:bCs/>
                <w:sz w:val="20"/>
                <w:szCs w:val="20"/>
              </w:rPr>
            </w:pPr>
            <w:r w:rsidRPr="00D70F1B">
              <w:rPr>
                <w:b/>
                <w:bCs/>
                <w:color w:val="FFFFFF"/>
                <w:sz w:val="20"/>
                <w:szCs w:val="20"/>
              </w:rPr>
              <w:t>Estado denunciado</w:t>
            </w:r>
          </w:p>
        </w:tc>
        <w:tc>
          <w:tcPr>
            <w:tcW w:w="6569" w:type="dxa"/>
            <w:tcBorders>
              <w:top w:val="single" w:sz="6" w:space="0" w:color="000000"/>
              <w:left w:val="single" w:sz="6" w:space="0" w:color="000000"/>
              <w:bottom w:val="single" w:sz="6" w:space="0" w:color="000000"/>
            </w:tcBorders>
          </w:tcPr>
          <w:p w14:paraId="0F0AD21D" w14:textId="18F83C83" w:rsidR="00C02C7F" w:rsidRPr="00D70F1B" w:rsidRDefault="00504274" w:rsidP="003B790E">
            <w:pPr>
              <w:pStyle w:val="TableParagraph"/>
              <w:spacing w:line="240" w:lineRule="auto"/>
              <w:jc w:val="both"/>
              <w:rPr>
                <w:sz w:val="20"/>
                <w:szCs w:val="20"/>
              </w:rPr>
            </w:pPr>
            <w:r w:rsidRPr="00D70F1B">
              <w:rPr>
                <w:sz w:val="20"/>
                <w:szCs w:val="20"/>
              </w:rPr>
              <w:t>Panamá</w:t>
            </w:r>
            <w:r w:rsidR="001066AD">
              <w:rPr>
                <w:rStyle w:val="FootnoteReference"/>
                <w:sz w:val="20"/>
                <w:szCs w:val="20"/>
              </w:rPr>
              <w:footnoteReference w:id="2"/>
            </w:r>
          </w:p>
        </w:tc>
      </w:tr>
      <w:tr w:rsidR="00C02C7F" w14:paraId="7B4FADA0" w14:textId="77777777" w:rsidTr="003267BE">
        <w:trPr>
          <w:trHeight w:val="648"/>
        </w:trPr>
        <w:tc>
          <w:tcPr>
            <w:tcW w:w="2954" w:type="dxa"/>
            <w:tcBorders>
              <w:top w:val="single" w:sz="6" w:space="0" w:color="000000"/>
              <w:bottom w:val="single" w:sz="6" w:space="0" w:color="000000"/>
              <w:right w:val="single" w:sz="6" w:space="0" w:color="000000"/>
            </w:tcBorders>
            <w:shd w:val="clear" w:color="auto" w:fill="386294"/>
          </w:tcPr>
          <w:p w14:paraId="7386B7A3" w14:textId="77777777" w:rsidR="00C02C7F" w:rsidRPr="00D70F1B" w:rsidRDefault="00C02C7F" w:rsidP="003B790E">
            <w:pPr>
              <w:pStyle w:val="TableParagraph"/>
              <w:spacing w:line="240" w:lineRule="auto"/>
              <w:ind w:left="0"/>
              <w:rPr>
                <w:b/>
                <w:bCs/>
                <w:sz w:val="20"/>
                <w:szCs w:val="20"/>
              </w:rPr>
            </w:pPr>
          </w:p>
          <w:p w14:paraId="123FDED4" w14:textId="77777777" w:rsidR="00C02C7F" w:rsidRPr="00D70F1B" w:rsidRDefault="001223F2" w:rsidP="003B790E">
            <w:pPr>
              <w:pStyle w:val="TableParagraph"/>
              <w:spacing w:line="240" w:lineRule="auto"/>
              <w:ind w:left="175" w:right="163"/>
              <w:jc w:val="center"/>
              <w:rPr>
                <w:b/>
                <w:bCs/>
                <w:sz w:val="20"/>
                <w:szCs w:val="20"/>
              </w:rPr>
            </w:pPr>
            <w:r w:rsidRPr="00D70F1B">
              <w:rPr>
                <w:b/>
                <w:bCs/>
                <w:color w:val="FFFFFF"/>
                <w:sz w:val="20"/>
                <w:szCs w:val="20"/>
              </w:rPr>
              <w:t>Derechos invocados</w:t>
            </w:r>
          </w:p>
        </w:tc>
        <w:tc>
          <w:tcPr>
            <w:tcW w:w="6569" w:type="dxa"/>
            <w:tcBorders>
              <w:top w:val="single" w:sz="6" w:space="0" w:color="000000"/>
              <w:left w:val="single" w:sz="6" w:space="0" w:color="000000"/>
            </w:tcBorders>
          </w:tcPr>
          <w:p w14:paraId="343BF5C1" w14:textId="008E4313" w:rsidR="00C02C7F" w:rsidRPr="00D70F1B" w:rsidRDefault="00504274" w:rsidP="003B790E">
            <w:pPr>
              <w:pStyle w:val="TableParagraph"/>
              <w:spacing w:line="240" w:lineRule="auto"/>
              <w:ind w:right="34"/>
              <w:jc w:val="both"/>
              <w:rPr>
                <w:sz w:val="20"/>
                <w:szCs w:val="20"/>
              </w:rPr>
            </w:pPr>
            <w:r w:rsidRPr="00D70F1B">
              <w:rPr>
                <w:sz w:val="20"/>
                <w:szCs w:val="20"/>
              </w:rPr>
              <w:t>Artículos 8 (garantías judiciales), 10 (indemnización), 24 (igualdad ante la ley) y 25 (protección judicial) de la Convención Americana sobre Derechos</w:t>
            </w:r>
            <w:r w:rsidR="00B11460" w:rsidRPr="00D70F1B">
              <w:rPr>
                <w:sz w:val="20"/>
                <w:szCs w:val="20"/>
              </w:rPr>
              <w:t xml:space="preserve"> </w:t>
            </w:r>
            <w:r w:rsidRPr="00D70F1B">
              <w:rPr>
                <w:sz w:val="20"/>
                <w:szCs w:val="20"/>
              </w:rPr>
              <w:t>Humanos</w:t>
            </w:r>
            <w:r w:rsidR="002B4F21" w:rsidRPr="00D70F1B">
              <w:rPr>
                <w:rStyle w:val="FootnoteReference"/>
                <w:sz w:val="20"/>
                <w:szCs w:val="20"/>
              </w:rPr>
              <w:footnoteReference w:id="3"/>
            </w:r>
          </w:p>
        </w:tc>
      </w:tr>
    </w:tbl>
    <w:p w14:paraId="7FFAEE7C" w14:textId="77777777" w:rsidR="003267BE" w:rsidRPr="003267BE" w:rsidRDefault="003267BE" w:rsidP="003267BE">
      <w:pPr>
        <w:pStyle w:val="ListParagraph"/>
        <w:spacing w:before="0"/>
        <w:ind w:left="2200" w:firstLine="0"/>
        <w:rPr>
          <w:b/>
          <w:sz w:val="13"/>
        </w:rPr>
      </w:pPr>
    </w:p>
    <w:p w14:paraId="3AC4BC06" w14:textId="557EE3ED" w:rsidR="00C02C7F" w:rsidRDefault="001223F2" w:rsidP="003B790E">
      <w:pPr>
        <w:pStyle w:val="ListParagraph"/>
        <w:numPr>
          <w:ilvl w:val="0"/>
          <w:numId w:val="3"/>
        </w:numPr>
        <w:spacing w:before="0"/>
        <w:ind w:left="2200" w:hanging="721"/>
        <w:rPr>
          <w:b/>
          <w:sz w:val="13"/>
        </w:rPr>
      </w:pPr>
      <w:r>
        <w:rPr>
          <w:b/>
          <w:sz w:val="20"/>
        </w:rPr>
        <w:t>TRÁMITE ANTE LA</w:t>
      </w:r>
      <w:r>
        <w:rPr>
          <w:b/>
          <w:spacing w:val="-2"/>
          <w:sz w:val="20"/>
        </w:rPr>
        <w:t xml:space="preserve"> </w:t>
      </w:r>
      <w:r>
        <w:rPr>
          <w:b/>
          <w:spacing w:val="2"/>
          <w:sz w:val="20"/>
        </w:rPr>
        <w:t>CIDH</w:t>
      </w:r>
    </w:p>
    <w:p w14:paraId="286E1769" w14:textId="77777777" w:rsidR="00C02C7F" w:rsidRDefault="00C02C7F" w:rsidP="003B790E">
      <w:pPr>
        <w:pStyle w:val="BodyText"/>
        <w:rPr>
          <w:b/>
          <w:sz w:val="9"/>
        </w:rPr>
      </w:pPr>
    </w:p>
    <w:tbl>
      <w:tblPr>
        <w:tblStyle w:val="TableNormal1"/>
        <w:tblW w:w="0" w:type="auto"/>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54"/>
        <w:gridCol w:w="6569"/>
      </w:tblGrid>
      <w:tr w:rsidR="00497664" w:rsidRPr="00CE19C2" w14:paraId="3325FE85" w14:textId="77777777" w:rsidTr="00E967F5">
        <w:trPr>
          <w:trHeight w:val="225"/>
        </w:trPr>
        <w:tc>
          <w:tcPr>
            <w:tcW w:w="2954" w:type="dxa"/>
            <w:tcBorders>
              <w:left w:val="single" w:sz="4" w:space="0" w:color="000000"/>
            </w:tcBorders>
            <w:shd w:val="clear" w:color="auto" w:fill="386294"/>
          </w:tcPr>
          <w:p w14:paraId="2284D9D5" w14:textId="77777777" w:rsidR="00497664" w:rsidRPr="00D70F1B" w:rsidRDefault="00497664" w:rsidP="003B790E">
            <w:pPr>
              <w:pStyle w:val="TableParagraph"/>
              <w:spacing w:line="240" w:lineRule="auto"/>
              <w:ind w:left="175" w:right="165"/>
              <w:jc w:val="center"/>
              <w:rPr>
                <w:b/>
                <w:bCs/>
                <w:sz w:val="20"/>
                <w:szCs w:val="20"/>
              </w:rPr>
            </w:pPr>
            <w:r w:rsidRPr="00D70F1B">
              <w:rPr>
                <w:b/>
                <w:bCs/>
                <w:color w:val="FFFFFF"/>
                <w:sz w:val="20"/>
                <w:szCs w:val="20"/>
              </w:rPr>
              <w:t>Recepción de la petición</w:t>
            </w:r>
          </w:p>
        </w:tc>
        <w:tc>
          <w:tcPr>
            <w:tcW w:w="6569" w:type="dxa"/>
            <w:tcBorders>
              <w:top w:val="single" w:sz="4" w:space="0" w:color="000000"/>
              <w:right w:val="single" w:sz="4" w:space="0" w:color="000000"/>
            </w:tcBorders>
          </w:tcPr>
          <w:p w14:paraId="5DA58D2E" w14:textId="22C59A22" w:rsidR="00497664" w:rsidRPr="00D70F1B" w:rsidRDefault="00D324EA" w:rsidP="003B790E">
            <w:pPr>
              <w:pStyle w:val="TableParagraph"/>
              <w:spacing w:line="240" w:lineRule="auto"/>
              <w:rPr>
                <w:sz w:val="20"/>
                <w:szCs w:val="20"/>
              </w:rPr>
            </w:pPr>
            <w:r w:rsidRPr="00D70F1B">
              <w:rPr>
                <w:sz w:val="20"/>
                <w:szCs w:val="20"/>
              </w:rPr>
              <w:t>22 de mayo de 2012</w:t>
            </w:r>
          </w:p>
        </w:tc>
      </w:tr>
      <w:tr w:rsidR="00497664" w14:paraId="32759362" w14:textId="77777777" w:rsidTr="00E967F5">
        <w:trPr>
          <w:trHeight w:val="222"/>
        </w:trPr>
        <w:tc>
          <w:tcPr>
            <w:tcW w:w="2954" w:type="dxa"/>
            <w:tcBorders>
              <w:left w:val="single" w:sz="4" w:space="0" w:color="000000"/>
            </w:tcBorders>
            <w:shd w:val="clear" w:color="auto" w:fill="386294"/>
          </w:tcPr>
          <w:p w14:paraId="017B6122" w14:textId="77777777" w:rsidR="00497664" w:rsidRPr="00D70F1B" w:rsidRDefault="00497664" w:rsidP="003B790E">
            <w:pPr>
              <w:pStyle w:val="TableParagraph"/>
              <w:spacing w:line="240" w:lineRule="auto"/>
              <w:ind w:left="175" w:right="168"/>
              <w:jc w:val="center"/>
              <w:rPr>
                <w:b/>
                <w:bCs/>
                <w:sz w:val="20"/>
                <w:szCs w:val="20"/>
              </w:rPr>
            </w:pPr>
            <w:r w:rsidRPr="00D70F1B">
              <w:rPr>
                <w:b/>
                <w:bCs/>
                <w:color w:val="FFFFFF"/>
                <w:sz w:val="20"/>
                <w:szCs w:val="20"/>
              </w:rPr>
              <w:t>Notificación de la petición</w:t>
            </w:r>
          </w:p>
        </w:tc>
        <w:tc>
          <w:tcPr>
            <w:tcW w:w="6569" w:type="dxa"/>
            <w:tcBorders>
              <w:right w:val="single" w:sz="4" w:space="0" w:color="000000"/>
            </w:tcBorders>
          </w:tcPr>
          <w:p w14:paraId="7549FCD6" w14:textId="367EED68" w:rsidR="00497664" w:rsidRPr="00D70F1B" w:rsidRDefault="00D324EA" w:rsidP="003B790E">
            <w:pPr>
              <w:pStyle w:val="TableParagraph"/>
              <w:spacing w:line="240" w:lineRule="auto"/>
              <w:rPr>
                <w:sz w:val="20"/>
                <w:szCs w:val="20"/>
              </w:rPr>
            </w:pPr>
            <w:r w:rsidRPr="00D70F1B">
              <w:rPr>
                <w:sz w:val="20"/>
                <w:szCs w:val="20"/>
              </w:rPr>
              <w:t>25 de julio de 2017</w:t>
            </w:r>
          </w:p>
        </w:tc>
      </w:tr>
      <w:tr w:rsidR="00497664" w14:paraId="41A7E7E6" w14:textId="77777777" w:rsidTr="00E967F5">
        <w:trPr>
          <w:trHeight w:val="222"/>
        </w:trPr>
        <w:tc>
          <w:tcPr>
            <w:tcW w:w="2954" w:type="dxa"/>
            <w:tcBorders>
              <w:left w:val="single" w:sz="4" w:space="0" w:color="000000"/>
            </w:tcBorders>
            <w:shd w:val="clear" w:color="auto" w:fill="386294"/>
          </w:tcPr>
          <w:p w14:paraId="63A3DC5C" w14:textId="77777777" w:rsidR="00497664" w:rsidRPr="00D70F1B" w:rsidRDefault="00497664" w:rsidP="003B790E">
            <w:pPr>
              <w:pStyle w:val="TableParagraph"/>
              <w:spacing w:line="240" w:lineRule="auto"/>
              <w:ind w:left="175" w:right="166"/>
              <w:jc w:val="center"/>
              <w:rPr>
                <w:b/>
                <w:bCs/>
                <w:sz w:val="20"/>
                <w:szCs w:val="20"/>
              </w:rPr>
            </w:pPr>
            <w:r w:rsidRPr="00D70F1B">
              <w:rPr>
                <w:b/>
                <w:bCs/>
                <w:color w:val="FFFFFF"/>
                <w:sz w:val="20"/>
                <w:szCs w:val="20"/>
              </w:rPr>
              <w:t>Primera respuesta del Estado</w:t>
            </w:r>
          </w:p>
        </w:tc>
        <w:tc>
          <w:tcPr>
            <w:tcW w:w="6569" w:type="dxa"/>
            <w:tcBorders>
              <w:right w:val="single" w:sz="4" w:space="0" w:color="000000"/>
            </w:tcBorders>
          </w:tcPr>
          <w:p w14:paraId="20499362" w14:textId="5A168C2A" w:rsidR="00497664" w:rsidRPr="00D70F1B" w:rsidRDefault="00796D49" w:rsidP="003B790E">
            <w:pPr>
              <w:pStyle w:val="TableParagraph"/>
              <w:spacing w:line="240" w:lineRule="auto"/>
              <w:rPr>
                <w:sz w:val="20"/>
                <w:szCs w:val="20"/>
              </w:rPr>
            </w:pPr>
            <w:r w:rsidRPr="00D70F1B">
              <w:rPr>
                <w:sz w:val="20"/>
                <w:szCs w:val="20"/>
              </w:rPr>
              <w:t>20 de octubre de 2017</w:t>
            </w:r>
          </w:p>
        </w:tc>
      </w:tr>
      <w:tr w:rsidR="00497664" w:rsidRPr="005E59AB" w14:paraId="2D8E3796" w14:textId="77777777" w:rsidTr="00E967F5">
        <w:trPr>
          <w:trHeight w:val="222"/>
        </w:trPr>
        <w:tc>
          <w:tcPr>
            <w:tcW w:w="2954" w:type="dxa"/>
            <w:tcBorders>
              <w:left w:val="single" w:sz="4" w:space="0" w:color="000000"/>
            </w:tcBorders>
            <w:shd w:val="clear" w:color="auto" w:fill="386294"/>
          </w:tcPr>
          <w:p w14:paraId="65D5D43B" w14:textId="4728A9D4" w:rsidR="00497664" w:rsidRPr="00D70F1B" w:rsidRDefault="00497664" w:rsidP="003B790E">
            <w:pPr>
              <w:pStyle w:val="TableParagraph"/>
              <w:spacing w:line="240" w:lineRule="auto"/>
              <w:ind w:left="175" w:right="166"/>
              <w:jc w:val="center"/>
              <w:rPr>
                <w:b/>
                <w:bCs/>
                <w:color w:val="FFFFFF"/>
                <w:sz w:val="20"/>
                <w:szCs w:val="20"/>
              </w:rPr>
            </w:pPr>
            <w:r w:rsidRPr="00D70F1B">
              <w:rPr>
                <w:b/>
                <w:bCs/>
                <w:color w:val="FFFFFF"/>
                <w:sz w:val="20"/>
                <w:szCs w:val="20"/>
              </w:rPr>
              <w:t xml:space="preserve">Información adicional de </w:t>
            </w:r>
            <w:r w:rsidR="00B057D4" w:rsidRPr="00D70F1B">
              <w:rPr>
                <w:b/>
                <w:bCs/>
                <w:color w:val="FFFFFF"/>
                <w:sz w:val="20"/>
                <w:szCs w:val="20"/>
              </w:rPr>
              <w:t>el peticionario</w:t>
            </w:r>
          </w:p>
        </w:tc>
        <w:tc>
          <w:tcPr>
            <w:tcW w:w="6569" w:type="dxa"/>
            <w:tcBorders>
              <w:right w:val="single" w:sz="4" w:space="0" w:color="000000"/>
            </w:tcBorders>
          </w:tcPr>
          <w:p w14:paraId="573BD604" w14:textId="46645281" w:rsidR="00497664" w:rsidRPr="00D70F1B" w:rsidRDefault="00D324EA" w:rsidP="003B790E">
            <w:pPr>
              <w:pStyle w:val="TableParagraph"/>
              <w:spacing w:line="240" w:lineRule="auto"/>
              <w:rPr>
                <w:sz w:val="20"/>
                <w:szCs w:val="20"/>
              </w:rPr>
            </w:pPr>
            <w:r w:rsidRPr="00D70F1B">
              <w:rPr>
                <w:sz w:val="20"/>
                <w:szCs w:val="20"/>
              </w:rPr>
              <w:t>3 de febrero de 2017, 7 de julio de 2017, 31 de enero de 2018, 12 de febrero de 2018, 21 de octubre de 2019</w:t>
            </w:r>
          </w:p>
        </w:tc>
      </w:tr>
      <w:tr w:rsidR="00497664" w:rsidRPr="005E59AB" w14:paraId="6178CB4C" w14:textId="77777777" w:rsidTr="00E967F5">
        <w:trPr>
          <w:trHeight w:val="222"/>
        </w:trPr>
        <w:tc>
          <w:tcPr>
            <w:tcW w:w="2954" w:type="dxa"/>
            <w:tcBorders>
              <w:left w:val="single" w:sz="4" w:space="0" w:color="000000"/>
            </w:tcBorders>
            <w:shd w:val="clear" w:color="auto" w:fill="386294"/>
          </w:tcPr>
          <w:p w14:paraId="2D31B325" w14:textId="34FBC8CE" w:rsidR="00497664" w:rsidRPr="00D70F1B" w:rsidRDefault="00497664" w:rsidP="003B790E">
            <w:pPr>
              <w:pStyle w:val="TableParagraph"/>
              <w:spacing w:line="240" w:lineRule="auto"/>
              <w:ind w:left="175" w:right="166"/>
              <w:jc w:val="center"/>
              <w:rPr>
                <w:b/>
                <w:bCs/>
                <w:color w:val="FFFFFF"/>
                <w:sz w:val="20"/>
                <w:szCs w:val="20"/>
              </w:rPr>
            </w:pPr>
            <w:r w:rsidRPr="00D70F1B">
              <w:rPr>
                <w:b/>
                <w:bCs/>
                <w:color w:val="FFFFFF"/>
                <w:sz w:val="20"/>
                <w:szCs w:val="20"/>
              </w:rPr>
              <w:t>Información adicional del Estado</w:t>
            </w:r>
          </w:p>
        </w:tc>
        <w:tc>
          <w:tcPr>
            <w:tcW w:w="6569" w:type="dxa"/>
            <w:tcBorders>
              <w:right w:val="single" w:sz="4" w:space="0" w:color="000000"/>
            </w:tcBorders>
          </w:tcPr>
          <w:p w14:paraId="66B24E75" w14:textId="6BC6061F" w:rsidR="00497664" w:rsidRPr="00D70F1B" w:rsidRDefault="00D324EA" w:rsidP="003B790E">
            <w:pPr>
              <w:pStyle w:val="TableParagraph"/>
              <w:spacing w:line="240" w:lineRule="auto"/>
              <w:rPr>
                <w:sz w:val="20"/>
                <w:szCs w:val="20"/>
              </w:rPr>
            </w:pPr>
            <w:r w:rsidRPr="00D70F1B">
              <w:rPr>
                <w:sz w:val="20"/>
                <w:szCs w:val="20"/>
              </w:rPr>
              <w:t>18 de septiembre de 2019</w:t>
            </w:r>
          </w:p>
        </w:tc>
      </w:tr>
    </w:tbl>
    <w:p w14:paraId="73D5FA19" w14:textId="77777777" w:rsidR="003267BE" w:rsidRDefault="003267BE" w:rsidP="003267BE">
      <w:pPr>
        <w:pStyle w:val="ListParagraph"/>
        <w:spacing w:before="0"/>
        <w:ind w:left="1530" w:firstLine="0"/>
        <w:rPr>
          <w:b/>
          <w:sz w:val="20"/>
        </w:rPr>
      </w:pPr>
    </w:p>
    <w:p w14:paraId="3CBF9A68" w14:textId="589C00C2" w:rsidR="00C02C7F" w:rsidRDefault="001223F2" w:rsidP="003B790E">
      <w:pPr>
        <w:pStyle w:val="ListParagraph"/>
        <w:numPr>
          <w:ilvl w:val="0"/>
          <w:numId w:val="3"/>
        </w:numPr>
        <w:spacing w:before="0"/>
        <w:ind w:firstLine="360"/>
        <w:rPr>
          <w:b/>
          <w:sz w:val="20"/>
        </w:rPr>
      </w:pPr>
      <w:r>
        <w:rPr>
          <w:b/>
          <w:sz w:val="20"/>
        </w:rPr>
        <w:t>COMPETENCIA</w:t>
      </w:r>
    </w:p>
    <w:p w14:paraId="1D935329" w14:textId="77777777" w:rsidR="00C02C7F" w:rsidRDefault="00C02C7F" w:rsidP="003B790E">
      <w:pPr>
        <w:pStyle w:val="BodyText"/>
        <w:rPr>
          <w:b/>
          <w:sz w:val="1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3"/>
        <w:gridCol w:w="6563"/>
      </w:tblGrid>
      <w:tr w:rsidR="00C02C7F" w14:paraId="7BD6E492" w14:textId="77777777" w:rsidTr="00E967F5">
        <w:trPr>
          <w:trHeight w:val="222"/>
        </w:trPr>
        <w:tc>
          <w:tcPr>
            <w:tcW w:w="2923" w:type="dxa"/>
            <w:tcBorders>
              <w:bottom w:val="single" w:sz="6" w:space="0" w:color="000000"/>
              <w:right w:val="single" w:sz="6" w:space="0" w:color="000000"/>
            </w:tcBorders>
            <w:shd w:val="clear" w:color="auto" w:fill="386294"/>
          </w:tcPr>
          <w:p w14:paraId="37EA1B65" w14:textId="77777777" w:rsidR="00C02C7F" w:rsidRPr="00D70F1B" w:rsidRDefault="001223F2" w:rsidP="003B790E">
            <w:pPr>
              <w:pStyle w:val="TableParagraph"/>
              <w:spacing w:line="240" w:lineRule="auto"/>
              <w:ind w:left="669" w:right="660"/>
              <w:jc w:val="center"/>
              <w:rPr>
                <w:b/>
                <w:bCs/>
                <w:i/>
                <w:sz w:val="20"/>
                <w:szCs w:val="20"/>
              </w:rPr>
            </w:pPr>
            <w:r w:rsidRPr="00D70F1B">
              <w:rPr>
                <w:b/>
                <w:bCs/>
                <w:i/>
                <w:color w:val="FFFFFF"/>
                <w:sz w:val="20"/>
                <w:szCs w:val="20"/>
              </w:rPr>
              <w:t>Ratione personae</w:t>
            </w:r>
          </w:p>
        </w:tc>
        <w:tc>
          <w:tcPr>
            <w:tcW w:w="6563" w:type="dxa"/>
            <w:tcBorders>
              <w:left w:val="single" w:sz="6" w:space="0" w:color="000000"/>
              <w:bottom w:val="single" w:sz="6" w:space="0" w:color="000000"/>
            </w:tcBorders>
          </w:tcPr>
          <w:p w14:paraId="2B29C0D1" w14:textId="77777777" w:rsidR="00C02C7F" w:rsidRPr="00D70F1B" w:rsidRDefault="001223F2" w:rsidP="003B790E">
            <w:pPr>
              <w:pStyle w:val="TableParagraph"/>
              <w:spacing w:line="240" w:lineRule="auto"/>
              <w:rPr>
                <w:sz w:val="20"/>
                <w:szCs w:val="20"/>
              </w:rPr>
            </w:pPr>
            <w:r w:rsidRPr="00D70F1B">
              <w:rPr>
                <w:sz w:val="20"/>
                <w:szCs w:val="20"/>
              </w:rPr>
              <w:t>Sí</w:t>
            </w:r>
          </w:p>
        </w:tc>
      </w:tr>
      <w:tr w:rsidR="00C02C7F" w14:paraId="6F84A2C7" w14:textId="77777777" w:rsidTr="00E967F5">
        <w:trPr>
          <w:trHeight w:val="222"/>
        </w:trPr>
        <w:tc>
          <w:tcPr>
            <w:tcW w:w="2923" w:type="dxa"/>
            <w:tcBorders>
              <w:top w:val="single" w:sz="6" w:space="0" w:color="000000"/>
              <w:bottom w:val="single" w:sz="6" w:space="0" w:color="000000"/>
              <w:right w:val="single" w:sz="6" w:space="0" w:color="000000"/>
            </w:tcBorders>
            <w:shd w:val="clear" w:color="auto" w:fill="386294"/>
          </w:tcPr>
          <w:p w14:paraId="7E0B9C49" w14:textId="77777777" w:rsidR="00C02C7F" w:rsidRPr="00D70F1B" w:rsidRDefault="001223F2" w:rsidP="003B790E">
            <w:pPr>
              <w:pStyle w:val="TableParagraph"/>
              <w:spacing w:line="240" w:lineRule="auto"/>
              <w:ind w:left="669" w:right="659"/>
              <w:jc w:val="center"/>
              <w:rPr>
                <w:b/>
                <w:bCs/>
                <w:i/>
                <w:sz w:val="20"/>
                <w:szCs w:val="20"/>
              </w:rPr>
            </w:pPr>
            <w:r w:rsidRPr="00D70F1B">
              <w:rPr>
                <w:b/>
                <w:bCs/>
                <w:i/>
                <w:color w:val="FFFFFF"/>
                <w:sz w:val="20"/>
                <w:szCs w:val="20"/>
              </w:rPr>
              <w:t>Ratione loci</w:t>
            </w:r>
          </w:p>
        </w:tc>
        <w:tc>
          <w:tcPr>
            <w:tcW w:w="6563" w:type="dxa"/>
            <w:tcBorders>
              <w:top w:val="single" w:sz="6" w:space="0" w:color="000000"/>
              <w:left w:val="single" w:sz="6" w:space="0" w:color="000000"/>
              <w:bottom w:val="single" w:sz="6" w:space="0" w:color="000000"/>
            </w:tcBorders>
          </w:tcPr>
          <w:p w14:paraId="1E77A86A" w14:textId="77777777" w:rsidR="00C02C7F" w:rsidRPr="00D70F1B" w:rsidRDefault="001223F2" w:rsidP="003B790E">
            <w:pPr>
              <w:pStyle w:val="TableParagraph"/>
              <w:spacing w:line="240" w:lineRule="auto"/>
              <w:rPr>
                <w:sz w:val="20"/>
                <w:szCs w:val="20"/>
              </w:rPr>
            </w:pPr>
            <w:r w:rsidRPr="00D70F1B">
              <w:rPr>
                <w:sz w:val="20"/>
                <w:szCs w:val="20"/>
              </w:rPr>
              <w:t>Sí</w:t>
            </w:r>
          </w:p>
        </w:tc>
      </w:tr>
      <w:tr w:rsidR="00C02C7F" w14:paraId="78FEFE3D" w14:textId="77777777" w:rsidTr="00E967F5">
        <w:trPr>
          <w:trHeight w:val="222"/>
        </w:trPr>
        <w:tc>
          <w:tcPr>
            <w:tcW w:w="2923" w:type="dxa"/>
            <w:tcBorders>
              <w:top w:val="single" w:sz="6" w:space="0" w:color="000000"/>
              <w:bottom w:val="single" w:sz="6" w:space="0" w:color="000000"/>
              <w:right w:val="single" w:sz="6" w:space="0" w:color="000000"/>
            </w:tcBorders>
            <w:shd w:val="clear" w:color="auto" w:fill="386294"/>
          </w:tcPr>
          <w:p w14:paraId="4E6595F1" w14:textId="77777777" w:rsidR="00C02C7F" w:rsidRPr="00D70F1B" w:rsidRDefault="001223F2" w:rsidP="003B790E">
            <w:pPr>
              <w:pStyle w:val="TableParagraph"/>
              <w:spacing w:line="240" w:lineRule="auto"/>
              <w:ind w:left="669" w:right="659"/>
              <w:jc w:val="center"/>
              <w:rPr>
                <w:b/>
                <w:bCs/>
                <w:i/>
                <w:sz w:val="20"/>
                <w:szCs w:val="20"/>
              </w:rPr>
            </w:pPr>
            <w:r w:rsidRPr="00D70F1B">
              <w:rPr>
                <w:b/>
                <w:bCs/>
                <w:i/>
                <w:color w:val="FFFFFF"/>
                <w:sz w:val="20"/>
                <w:szCs w:val="20"/>
              </w:rPr>
              <w:t>Ratione temporis</w:t>
            </w:r>
          </w:p>
        </w:tc>
        <w:tc>
          <w:tcPr>
            <w:tcW w:w="6563" w:type="dxa"/>
            <w:tcBorders>
              <w:top w:val="single" w:sz="6" w:space="0" w:color="000000"/>
              <w:left w:val="single" w:sz="6" w:space="0" w:color="000000"/>
              <w:bottom w:val="single" w:sz="6" w:space="0" w:color="000000"/>
            </w:tcBorders>
          </w:tcPr>
          <w:p w14:paraId="2A361CE3" w14:textId="77777777" w:rsidR="00C02C7F" w:rsidRPr="00D70F1B" w:rsidRDefault="001223F2" w:rsidP="003B790E">
            <w:pPr>
              <w:pStyle w:val="TableParagraph"/>
              <w:spacing w:line="240" w:lineRule="auto"/>
              <w:rPr>
                <w:sz w:val="20"/>
                <w:szCs w:val="20"/>
              </w:rPr>
            </w:pPr>
            <w:r w:rsidRPr="00D70F1B">
              <w:rPr>
                <w:sz w:val="20"/>
                <w:szCs w:val="20"/>
              </w:rPr>
              <w:t>Sí</w:t>
            </w:r>
          </w:p>
        </w:tc>
      </w:tr>
      <w:tr w:rsidR="00C02C7F" w14:paraId="099011DD" w14:textId="77777777" w:rsidTr="00E967F5">
        <w:trPr>
          <w:trHeight w:val="443"/>
        </w:trPr>
        <w:tc>
          <w:tcPr>
            <w:tcW w:w="2923" w:type="dxa"/>
            <w:tcBorders>
              <w:top w:val="single" w:sz="6" w:space="0" w:color="000000"/>
              <w:bottom w:val="single" w:sz="6" w:space="0" w:color="000000"/>
              <w:right w:val="single" w:sz="6" w:space="0" w:color="000000"/>
            </w:tcBorders>
            <w:shd w:val="clear" w:color="auto" w:fill="386294"/>
          </w:tcPr>
          <w:p w14:paraId="696C58D4" w14:textId="77777777" w:rsidR="00C02C7F" w:rsidRPr="00D70F1B" w:rsidRDefault="001223F2" w:rsidP="003B790E">
            <w:pPr>
              <w:pStyle w:val="TableParagraph"/>
              <w:spacing w:line="240" w:lineRule="auto"/>
              <w:ind w:left="667" w:right="660"/>
              <w:jc w:val="center"/>
              <w:rPr>
                <w:b/>
                <w:bCs/>
                <w:i/>
                <w:sz w:val="20"/>
                <w:szCs w:val="20"/>
              </w:rPr>
            </w:pPr>
            <w:r w:rsidRPr="00D70F1B">
              <w:rPr>
                <w:b/>
                <w:bCs/>
                <w:i/>
                <w:color w:val="FFFFFF"/>
                <w:sz w:val="20"/>
                <w:szCs w:val="20"/>
              </w:rPr>
              <w:t>Ratione materiae</w:t>
            </w:r>
          </w:p>
        </w:tc>
        <w:tc>
          <w:tcPr>
            <w:tcW w:w="6563" w:type="dxa"/>
            <w:tcBorders>
              <w:top w:val="single" w:sz="6" w:space="0" w:color="000000"/>
              <w:left w:val="single" w:sz="6" w:space="0" w:color="000000"/>
            </w:tcBorders>
          </w:tcPr>
          <w:p w14:paraId="0683CE5A" w14:textId="4DAB252E" w:rsidR="00C02C7F" w:rsidRPr="00D70F1B" w:rsidRDefault="006B0350" w:rsidP="003B790E">
            <w:pPr>
              <w:pStyle w:val="TableParagraph"/>
              <w:spacing w:line="240" w:lineRule="auto"/>
              <w:ind w:right="126"/>
              <w:jc w:val="both"/>
              <w:rPr>
                <w:sz w:val="20"/>
                <w:szCs w:val="20"/>
              </w:rPr>
            </w:pPr>
            <w:r w:rsidRPr="00D70F1B">
              <w:rPr>
                <w:sz w:val="20"/>
                <w:szCs w:val="20"/>
              </w:rPr>
              <w:t xml:space="preserve">Sí, </w:t>
            </w:r>
            <w:r w:rsidR="000F04E0" w:rsidRPr="00D70F1B">
              <w:rPr>
                <w:sz w:val="20"/>
                <w:szCs w:val="20"/>
              </w:rPr>
              <w:t>Convención Americana (depósito del instrumento de ratificación realizado el 22 de junio de 1978)</w:t>
            </w:r>
          </w:p>
        </w:tc>
      </w:tr>
    </w:tbl>
    <w:p w14:paraId="604E0180" w14:textId="77777777" w:rsidR="003267BE" w:rsidRDefault="003267BE" w:rsidP="003267BE">
      <w:pPr>
        <w:pStyle w:val="ListParagraph"/>
        <w:spacing w:before="0"/>
        <w:ind w:left="2160" w:right="242" w:firstLine="0"/>
        <w:rPr>
          <w:b/>
          <w:sz w:val="20"/>
        </w:rPr>
      </w:pPr>
    </w:p>
    <w:p w14:paraId="770A037A" w14:textId="72E8994D" w:rsidR="00C02C7F" w:rsidRDefault="001223F2" w:rsidP="003B790E">
      <w:pPr>
        <w:pStyle w:val="ListParagraph"/>
        <w:numPr>
          <w:ilvl w:val="0"/>
          <w:numId w:val="3"/>
        </w:numPr>
        <w:spacing w:before="0"/>
        <w:ind w:left="2160" w:right="242" w:hanging="681"/>
        <w:rPr>
          <w:b/>
          <w:sz w:val="20"/>
        </w:rPr>
      </w:pPr>
      <w:r>
        <w:rPr>
          <w:b/>
          <w:sz w:val="20"/>
        </w:rPr>
        <w:t>DUPLICACIÓN DE PROCEDIMIENTOS Y COSA JUZGADA INTERNACIONAL, CARACTERIZACIÓN, AGOTAMIENTO DE LOS RECURSOS INTERNOS Y PLAZO DE</w:t>
      </w:r>
      <w:r>
        <w:rPr>
          <w:b/>
          <w:spacing w:val="-10"/>
          <w:sz w:val="20"/>
        </w:rPr>
        <w:t xml:space="preserve"> </w:t>
      </w:r>
      <w:r>
        <w:rPr>
          <w:b/>
          <w:sz w:val="20"/>
        </w:rPr>
        <w:t>PRESENTACIÓN</w:t>
      </w:r>
    </w:p>
    <w:p w14:paraId="5634685D" w14:textId="77777777" w:rsidR="00C02C7F" w:rsidRDefault="00C02C7F" w:rsidP="003B790E">
      <w:pPr>
        <w:pStyle w:val="BodyText"/>
        <w:rPr>
          <w:b/>
          <w:sz w:val="1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6558"/>
      </w:tblGrid>
      <w:tr w:rsidR="00C02C7F" w14:paraId="68B4CAD7" w14:textId="77777777" w:rsidTr="00E967F5">
        <w:trPr>
          <w:trHeight w:val="443"/>
        </w:trPr>
        <w:tc>
          <w:tcPr>
            <w:tcW w:w="2928" w:type="dxa"/>
            <w:tcBorders>
              <w:bottom w:val="single" w:sz="6" w:space="0" w:color="000000"/>
              <w:right w:val="single" w:sz="6" w:space="0" w:color="000000"/>
            </w:tcBorders>
            <w:shd w:val="clear" w:color="auto" w:fill="386294"/>
          </w:tcPr>
          <w:p w14:paraId="33949A2B" w14:textId="77777777" w:rsidR="00C02C7F" w:rsidRPr="003267BE" w:rsidRDefault="001223F2" w:rsidP="003B790E">
            <w:pPr>
              <w:pStyle w:val="TableParagraph"/>
              <w:spacing w:line="240" w:lineRule="auto"/>
              <w:ind w:left="142" w:right="134"/>
              <w:jc w:val="center"/>
              <w:rPr>
                <w:b/>
                <w:bCs/>
                <w:sz w:val="19"/>
              </w:rPr>
            </w:pPr>
            <w:r w:rsidRPr="003267BE">
              <w:rPr>
                <w:b/>
                <w:bCs/>
                <w:color w:val="FFFFFF"/>
                <w:sz w:val="19"/>
              </w:rPr>
              <w:t>Duplicación y cosa juzgada</w:t>
            </w:r>
          </w:p>
          <w:p w14:paraId="66EB2A0D" w14:textId="77777777" w:rsidR="00C02C7F" w:rsidRPr="003267BE" w:rsidRDefault="001223F2" w:rsidP="003B790E">
            <w:pPr>
              <w:pStyle w:val="TableParagraph"/>
              <w:spacing w:line="240" w:lineRule="auto"/>
              <w:ind w:left="146" w:right="131"/>
              <w:jc w:val="center"/>
              <w:rPr>
                <w:b/>
                <w:bCs/>
                <w:sz w:val="19"/>
              </w:rPr>
            </w:pPr>
            <w:r w:rsidRPr="003267BE">
              <w:rPr>
                <w:b/>
                <w:bCs/>
                <w:color w:val="FFFFFF"/>
                <w:sz w:val="19"/>
              </w:rPr>
              <w:t>internacional</w:t>
            </w:r>
          </w:p>
        </w:tc>
        <w:tc>
          <w:tcPr>
            <w:tcW w:w="6558" w:type="dxa"/>
            <w:tcBorders>
              <w:left w:val="single" w:sz="6" w:space="0" w:color="000000"/>
              <w:bottom w:val="single" w:sz="6" w:space="0" w:color="000000"/>
            </w:tcBorders>
          </w:tcPr>
          <w:p w14:paraId="66B92B08" w14:textId="77777777" w:rsidR="00C02C7F" w:rsidRDefault="001223F2" w:rsidP="003B790E">
            <w:pPr>
              <w:pStyle w:val="TableParagraph"/>
              <w:spacing w:line="240" w:lineRule="auto"/>
              <w:rPr>
                <w:sz w:val="19"/>
              </w:rPr>
            </w:pPr>
            <w:r>
              <w:rPr>
                <w:sz w:val="19"/>
              </w:rPr>
              <w:t>No</w:t>
            </w:r>
          </w:p>
        </w:tc>
      </w:tr>
      <w:tr w:rsidR="00C02C7F" w14:paraId="1357AF01" w14:textId="77777777" w:rsidTr="00E967F5">
        <w:trPr>
          <w:trHeight w:val="892"/>
        </w:trPr>
        <w:tc>
          <w:tcPr>
            <w:tcW w:w="2928" w:type="dxa"/>
            <w:tcBorders>
              <w:top w:val="single" w:sz="6" w:space="0" w:color="000000"/>
              <w:bottom w:val="single" w:sz="6" w:space="0" w:color="000000"/>
              <w:right w:val="single" w:sz="6" w:space="0" w:color="000000"/>
            </w:tcBorders>
            <w:shd w:val="clear" w:color="auto" w:fill="386294"/>
          </w:tcPr>
          <w:p w14:paraId="7AD67A63" w14:textId="77777777" w:rsidR="00C02C7F" w:rsidRPr="003267BE" w:rsidRDefault="00C02C7F" w:rsidP="003B790E">
            <w:pPr>
              <w:pStyle w:val="TableParagraph"/>
              <w:spacing w:line="240" w:lineRule="auto"/>
              <w:ind w:left="0"/>
              <w:rPr>
                <w:b/>
                <w:bCs/>
                <w:sz w:val="18"/>
              </w:rPr>
            </w:pPr>
          </w:p>
          <w:p w14:paraId="11221178" w14:textId="77777777" w:rsidR="00C02C7F" w:rsidRPr="003267BE" w:rsidRDefault="001223F2" w:rsidP="003B790E">
            <w:pPr>
              <w:pStyle w:val="TableParagraph"/>
              <w:spacing w:line="240" w:lineRule="auto"/>
              <w:ind w:left="945" w:right="507" w:hanging="408"/>
              <w:rPr>
                <w:b/>
                <w:bCs/>
                <w:sz w:val="19"/>
              </w:rPr>
            </w:pPr>
            <w:r w:rsidRPr="003267BE">
              <w:rPr>
                <w:b/>
                <w:bCs/>
                <w:color w:val="FFFFFF"/>
                <w:sz w:val="19"/>
              </w:rPr>
              <w:t>Derechos declarados admisibles</w:t>
            </w:r>
          </w:p>
        </w:tc>
        <w:tc>
          <w:tcPr>
            <w:tcW w:w="6558" w:type="dxa"/>
            <w:tcBorders>
              <w:top w:val="single" w:sz="6" w:space="0" w:color="000000"/>
              <w:left w:val="single" w:sz="6" w:space="0" w:color="000000"/>
              <w:bottom w:val="single" w:sz="6" w:space="0" w:color="000000"/>
            </w:tcBorders>
          </w:tcPr>
          <w:p w14:paraId="7854F17A" w14:textId="77777777" w:rsidR="00664365" w:rsidRPr="00664365" w:rsidRDefault="00664365" w:rsidP="003B790E">
            <w:pPr>
              <w:pStyle w:val="TableParagraph"/>
              <w:spacing w:line="240" w:lineRule="auto"/>
              <w:ind w:left="108" w:right="136"/>
              <w:jc w:val="both"/>
              <w:rPr>
                <w:sz w:val="8"/>
                <w:szCs w:val="8"/>
              </w:rPr>
            </w:pPr>
          </w:p>
          <w:p w14:paraId="4B0B80C4" w14:textId="288D4D9E" w:rsidR="00664365" w:rsidRPr="00664365" w:rsidRDefault="00877238" w:rsidP="003B790E">
            <w:pPr>
              <w:pStyle w:val="TableParagraph"/>
              <w:spacing w:line="240" w:lineRule="auto"/>
              <w:ind w:left="108" w:right="136"/>
              <w:jc w:val="both"/>
              <w:rPr>
                <w:sz w:val="8"/>
                <w:szCs w:val="8"/>
              </w:rPr>
            </w:pPr>
            <w:r>
              <w:rPr>
                <w:sz w:val="19"/>
                <w:szCs w:val="19"/>
              </w:rPr>
              <w:t>Artículos 8 (garantías judiciales), 24 (igualdad ante la ley)</w:t>
            </w:r>
            <w:r w:rsidR="008130B9">
              <w:rPr>
                <w:sz w:val="19"/>
                <w:szCs w:val="19"/>
              </w:rPr>
              <w:t>,</w:t>
            </w:r>
            <w:r>
              <w:rPr>
                <w:sz w:val="19"/>
                <w:szCs w:val="19"/>
              </w:rPr>
              <w:t xml:space="preserve"> 25 (protección judicial)</w:t>
            </w:r>
            <w:r w:rsidR="008130B9">
              <w:rPr>
                <w:sz w:val="19"/>
                <w:szCs w:val="19"/>
              </w:rPr>
              <w:t xml:space="preserve"> y 26 (derecho al trabajo)</w:t>
            </w:r>
            <w:r>
              <w:rPr>
                <w:sz w:val="19"/>
                <w:szCs w:val="19"/>
              </w:rPr>
              <w:t xml:space="preserve"> de la Convención Americana</w:t>
            </w:r>
          </w:p>
        </w:tc>
      </w:tr>
      <w:tr w:rsidR="00C02C7F" w14:paraId="6D15123B" w14:textId="77777777" w:rsidTr="00E967F5">
        <w:trPr>
          <w:trHeight w:val="445"/>
        </w:trPr>
        <w:tc>
          <w:tcPr>
            <w:tcW w:w="2928" w:type="dxa"/>
            <w:tcBorders>
              <w:top w:val="single" w:sz="6" w:space="0" w:color="000000"/>
              <w:bottom w:val="single" w:sz="6" w:space="0" w:color="000000"/>
              <w:right w:val="single" w:sz="6" w:space="0" w:color="000000"/>
            </w:tcBorders>
            <w:shd w:val="clear" w:color="auto" w:fill="386294"/>
          </w:tcPr>
          <w:p w14:paraId="25E17E00" w14:textId="77777777" w:rsidR="00C02C7F" w:rsidRPr="003267BE" w:rsidRDefault="001223F2" w:rsidP="003B790E">
            <w:pPr>
              <w:pStyle w:val="TableParagraph"/>
              <w:spacing w:line="240" w:lineRule="auto"/>
              <w:ind w:left="145" w:right="134"/>
              <w:jc w:val="center"/>
              <w:rPr>
                <w:b/>
                <w:bCs/>
                <w:sz w:val="19"/>
              </w:rPr>
            </w:pPr>
            <w:r w:rsidRPr="003267BE">
              <w:rPr>
                <w:b/>
                <w:bCs/>
                <w:color w:val="FFFFFF"/>
                <w:sz w:val="19"/>
              </w:rPr>
              <w:t>Agotamiento de recursos o</w:t>
            </w:r>
          </w:p>
          <w:p w14:paraId="56AB8829" w14:textId="77777777" w:rsidR="00C02C7F" w:rsidRPr="003267BE" w:rsidRDefault="001223F2" w:rsidP="003B790E">
            <w:pPr>
              <w:pStyle w:val="TableParagraph"/>
              <w:spacing w:line="240" w:lineRule="auto"/>
              <w:ind w:left="146" w:right="134"/>
              <w:jc w:val="center"/>
              <w:rPr>
                <w:b/>
                <w:bCs/>
                <w:sz w:val="19"/>
              </w:rPr>
            </w:pPr>
            <w:r w:rsidRPr="003267BE">
              <w:rPr>
                <w:b/>
                <w:bCs/>
                <w:color w:val="FFFFFF"/>
                <w:sz w:val="19"/>
              </w:rPr>
              <w:t>procedencia de una excepción</w:t>
            </w:r>
          </w:p>
        </w:tc>
        <w:tc>
          <w:tcPr>
            <w:tcW w:w="6558" w:type="dxa"/>
            <w:tcBorders>
              <w:top w:val="single" w:sz="6" w:space="0" w:color="000000"/>
              <w:left w:val="single" w:sz="6" w:space="0" w:color="000000"/>
              <w:bottom w:val="single" w:sz="6" w:space="0" w:color="000000"/>
            </w:tcBorders>
          </w:tcPr>
          <w:p w14:paraId="0D9375A6" w14:textId="0D39A374" w:rsidR="00C02C7F" w:rsidRDefault="00F05A65" w:rsidP="003B790E">
            <w:pPr>
              <w:pStyle w:val="TableParagraph"/>
              <w:spacing w:line="240" w:lineRule="auto"/>
              <w:rPr>
                <w:sz w:val="19"/>
              </w:rPr>
            </w:pPr>
            <w:r>
              <w:rPr>
                <w:sz w:val="19"/>
              </w:rPr>
              <w:t xml:space="preserve">Sí, cf. razones </w:t>
            </w:r>
            <w:r w:rsidRPr="009C4491">
              <w:rPr>
                <w:i/>
                <w:iCs/>
                <w:sz w:val="19"/>
              </w:rPr>
              <w:t>infra</w:t>
            </w:r>
            <w:r>
              <w:rPr>
                <w:sz w:val="19"/>
              </w:rPr>
              <w:t>.</w:t>
            </w:r>
          </w:p>
        </w:tc>
      </w:tr>
      <w:tr w:rsidR="00C02C7F" w14:paraId="00883C9E" w14:textId="77777777" w:rsidTr="00E967F5">
        <w:trPr>
          <w:trHeight w:val="220"/>
        </w:trPr>
        <w:tc>
          <w:tcPr>
            <w:tcW w:w="2928" w:type="dxa"/>
            <w:tcBorders>
              <w:top w:val="single" w:sz="6" w:space="0" w:color="000000"/>
              <w:bottom w:val="single" w:sz="6" w:space="0" w:color="000000"/>
              <w:right w:val="single" w:sz="6" w:space="0" w:color="000000"/>
            </w:tcBorders>
            <w:shd w:val="clear" w:color="auto" w:fill="386294"/>
          </w:tcPr>
          <w:p w14:paraId="5C6952B9" w14:textId="77777777" w:rsidR="00C02C7F" w:rsidRPr="003267BE" w:rsidRDefault="001223F2" w:rsidP="003B790E">
            <w:pPr>
              <w:pStyle w:val="TableParagraph"/>
              <w:spacing w:line="240" w:lineRule="auto"/>
              <w:ind w:left="196"/>
              <w:rPr>
                <w:b/>
                <w:bCs/>
                <w:sz w:val="19"/>
              </w:rPr>
            </w:pPr>
            <w:r w:rsidRPr="003267BE">
              <w:rPr>
                <w:b/>
                <w:bCs/>
                <w:color w:val="FFFFFF"/>
                <w:sz w:val="19"/>
              </w:rPr>
              <w:t>Presentación dentro de plazo</w:t>
            </w:r>
          </w:p>
        </w:tc>
        <w:tc>
          <w:tcPr>
            <w:tcW w:w="6558" w:type="dxa"/>
            <w:tcBorders>
              <w:top w:val="single" w:sz="6" w:space="0" w:color="000000"/>
              <w:left w:val="single" w:sz="6" w:space="0" w:color="000000"/>
            </w:tcBorders>
          </w:tcPr>
          <w:p w14:paraId="4F97759F" w14:textId="40B2041C" w:rsidR="00C02C7F" w:rsidRDefault="009C4491" w:rsidP="003B790E">
            <w:pPr>
              <w:pStyle w:val="TableParagraph"/>
              <w:spacing w:line="240" w:lineRule="auto"/>
              <w:rPr>
                <w:sz w:val="19"/>
              </w:rPr>
            </w:pPr>
            <w:r>
              <w:rPr>
                <w:sz w:val="19"/>
              </w:rPr>
              <w:t xml:space="preserve">Sí, cf. razones </w:t>
            </w:r>
            <w:r w:rsidRPr="009C4491">
              <w:rPr>
                <w:i/>
                <w:iCs/>
                <w:sz w:val="19"/>
              </w:rPr>
              <w:t>infra</w:t>
            </w:r>
            <w:r>
              <w:rPr>
                <w:sz w:val="19"/>
              </w:rPr>
              <w:t>.</w:t>
            </w:r>
          </w:p>
        </w:tc>
      </w:tr>
    </w:tbl>
    <w:p w14:paraId="19FD1EDB" w14:textId="77777777" w:rsidR="00B057D4" w:rsidRDefault="00B057D4" w:rsidP="00B057D4">
      <w:pPr>
        <w:pStyle w:val="ListParagraph"/>
        <w:spacing w:before="0"/>
        <w:ind w:left="1440" w:firstLine="0"/>
        <w:rPr>
          <w:b/>
          <w:sz w:val="20"/>
          <w:szCs w:val="20"/>
        </w:rPr>
      </w:pPr>
    </w:p>
    <w:p w14:paraId="058A2370" w14:textId="338BEC83" w:rsidR="00C02C7F" w:rsidRPr="00113C4F" w:rsidRDefault="001223F2" w:rsidP="003B790E">
      <w:pPr>
        <w:pStyle w:val="ListParagraph"/>
        <w:numPr>
          <w:ilvl w:val="0"/>
          <w:numId w:val="3"/>
        </w:numPr>
        <w:spacing w:before="0"/>
        <w:ind w:left="810" w:firstLine="630"/>
        <w:rPr>
          <w:b/>
          <w:sz w:val="20"/>
          <w:szCs w:val="20"/>
        </w:rPr>
      </w:pPr>
      <w:r w:rsidRPr="00113C4F">
        <w:rPr>
          <w:b/>
          <w:sz w:val="20"/>
          <w:szCs w:val="20"/>
        </w:rPr>
        <w:t>RESUMEN DE LOS HECHOS ALEGADOS</w:t>
      </w:r>
    </w:p>
    <w:p w14:paraId="666B9C1A" w14:textId="77777777" w:rsidR="00B057D4" w:rsidRDefault="00B057D4" w:rsidP="00B057D4">
      <w:pPr>
        <w:pStyle w:val="ListParagraph"/>
        <w:spacing w:before="0"/>
        <w:ind w:left="1440" w:right="280" w:firstLine="0"/>
        <w:rPr>
          <w:sz w:val="20"/>
          <w:szCs w:val="20"/>
        </w:rPr>
      </w:pPr>
      <w:bookmarkStart w:id="3" w:name="_Hlk90038434"/>
      <w:bookmarkEnd w:id="0"/>
    </w:p>
    <w:p w14:paraId="79AEE114" w14:textId="144A3026" w:rsidR="00867E4A" w:rsidRPr="009638C3" w:rsidRDefault="00B057D4" w:rsidP="003B790E">
      <w:pPr>
        <w:pStyle w:val="ListParagraph"/>
        <w:numPr>
          <w:ilvl w:val="0"/>
          <w:numId w:val="2"/>
        </w:numPr>
        <w:spacing w:before="0"/>
        <w:ind w:left="720" w:right="280" w:firstLine="720"/>
        <w:rPr>
          <w:sz w:val="20"/>
          <w:szCs w:val="20"/>
        </w:rPr>
      </w:pPr>
      <w:r>
        <w:rPr>
          <w:sz w:val="20"/>
          <w:szCs w:val="20"/>
        </w:rPr>
        <w:t xml:space="preserve">El peticionario denuncia </w:t>
      </w:r>
      <w:r w:rsidR="00867E4A" w:rsidRPr="009638C3">
        <w:rPr>
          <w:sz w:val="20"/>
          <w:szCs w:val="20"/>
          <w:lang w:val="es-419"/>
        </w:rPr>
        <w:t xml:space="preserve">el erróneo cálculo de las prestaciones laborales debidas a las </w:t>
      </w:r>
      <w:r>
        <w:rPr>
          <w:sz w:val="20"/>
          <w:szCs w:val="20"/>
          <w:lang w:val="es-419"/>
        </w:rPr>
        <w:t xml:space="preserve">personas </w:t>
      </w:r>
      <w:r w:rsidR="00867E4A" w:rsidRPr="009638C3">
        <w:rPr>
          <w:sz w:val="20"/>
          <w:szCs w:val="20"/>
          <w:lang w:val="es-419"/>
        </w:rPr>
        <w:t>extrabajador</w:t>
      </w:r>
      <w:r>
        <w:rPr>
          <w:sz w:val="20"/>
          <w:szCs w:val="20"/>
          <w:lang w:val="es-419"/>
        </w:rPr>
        <w:t>a</w:t>
      </w:r>
      <w:r w:rsidR="00867E4A" w:rsidRPr="009638C3">
        <w:rPr>
          <w:sz w:val="20"/>
          <w:szCs w:val="20"/>
          <w:lang w:val="es-419"/>
        </w:rPr>
        <w:t xml:space="preserve">s del antiguo </w:t>
      </w:r>
      <w:r w:rsidR="00867E4A" w:rsidRPr="009638C3">
        <w:rPr>
          <w:sz w:val="20"/>
          <w:szCs w:val="20"/>
        </w:rPr>
        <w:t xml:space="preserve">Instituto de Recursos Hidráulicos y Electrificación (IRHE) </w:t>
      </w:r>
      <w:r>
        <w:rPr>
          <w:sz w:val="20"/>
          <w:szCs w:val="20"/>
        </w:rPr>
        <w:t xml:space="preserve">de Panamá </w:t>
      </w:r>
      <w:r w:rsidR="00867E4A" w:rsidRPr="009638C3">
        <w:rPr>
          <w:sz w:val="20"/>
          <w:szCs w:val="20"/>
        </w:rPr>
        <w:t xml:space="preserve">y </w:t>
      </w:r>
      <w:r>
        <w:rPr>
          <w:sz w:val="20"/>
          <w:szCs w:val="20"/>
        </w:rPr>
        <w:t xml:space="preserve">a las personas </w:t>
      </w:r>
      <w:r w:rsidR="00867E4A" w:rsidRPr="009638C3">
        <w:rPr>
          <w:sz w:val="20"/>
          <w:szCs w:val="20"/>
        </w:rPr>
        <w:t>hereder</w:t>
      </w:r>
      <w:r>
        <w:rPr>
          <w:sz w:val="20"/>
          <w:szCs w:val="20"/>
        </w:rPr>
        <w:t>a</w:t>
      </w:r>
      <w:r w:rsidR="00867E4A" w:rsidRPr="009638C3">
        <w:rPr>
          <w:sz w:val="20"/>
          <w:szCs w:val="20"/>
        </w:rPr>
        <w:t xml:space="preserve">s </w:t>
      </w:r>
      <w:r>
        <w:rPr>
          <w:sz w:val="20"/>
          <w:szCs w:val="20"/>
        </w:rPr>
        <w:t xml:space="preserve">de las </w:t>
      </w:r>
      <w:r w:rsidR="00867E4A" w:rsidRPr="009638C3">
        <w:rPr>
          <w:sz w:val="20"/>
          <w:szCs w:val="20"/>
        </w:rPr>
        <w:t>extrabajador</w:t>
      </w:r>
      <w:r>
        <w:rPr>
          <w:sz w:val="20"/>
          <w:szCs w:val="20"/>
        </w:rPr>
        <w:t>a</w:t>
      </w:r>
      <w:r w:rsidR="00867E4A" w:rsidRPr="009638C3">
        <w:rPr>
          <w:sz w:val="20"/>
          <w:szCs w:val="20"/>
        </w:rPr>
        <w:t>s ya fallecid</w:t>
      </w:r>
      <w:r>
        <w:rPr>
          <w:sz w:val="20"/>
          <w:szCs w:val="20"/>
        </w:rPr>
        <w:t>a</w:t>
      </w:r>
      <w:r w:rsidR="00867E4A" w:rsidRPr="009638C3">
        <w:rPr>
          <w:sz w:val="20"/>
          <w:szCs w:val="20"/>
        </w:rPr>
        <w:t>s</w:t>
      </w:r>
      <w:r w:rsidR="003B05AD">
        <w:rPr>
          <w:sz w:val="20"/>
          <w:szCs w:val="20"/>
        </w:rPr>
        <w:t xml:space="preserve"> (en adelante “las presuntas víctimas”)</w:t>
      </w:r>
      <w:r w:rsidR="00867E4A" w:rsidRPr="009638C3">
        <w:rPr>
          <w:sz w:val="20"/>
          <w:szCs w:val="20"/>
        </w:rPr>
        <w:t xml:space="preserve">. </w:t>
      </w:r>
      <w:r>
        <w:rPr>
          <w:sz w:val="20"/>
          <w:szCs w:val="20"/>
        </w:rPr>
        <w:t>Alega que l</w:t>
      </w:r>
      <w:r w:rsidR="00867E4A" w:rsidRPr="009638C3">
        <w:rPr>
          <w:sz w:val="20"/>
          <w:szCs w:val="20"/>
        </w:rPr>
        <w:t xml:space="preserve">a mora en cuestión se produjo de manera discriminatoria, </w:t>
      </w:r>
      <w:r>
        <w:rPr>
          <w:sz w:val="20"/>
          <w:szCs w:val="20"/>
        </w:rPr>
        <w:t xml:space="preserve">ya </w:t>
      </w:r>
      <w:r w:rsidR="00867E4A" w:rsidRPr="009638C3">
        <w:rPr>
          <w:sz w:val="20"/>
          <w:szCs w:val="20"/>
        </w:rPr>
        <w:t xml:space="preserve">vez que </w:t>
      </w:r>
      <w:r>
        <w:rPr>
          <w:sz w:val="20"/>
          <w:szCs w:val="20"/>
        </w:rPr>
        <w:t>no siguió e</w:t>
      </w:r>
      <w:r w:rsidR="00867E4A" w:rsidRPr="009638C3">
        <w:rPr>
          <w:sz w:val="20"/>
          <w:szCs w:val="20"/>
        </w:rPr>
        <w:t xml:space="preserve">l criterio de cálculo </w:t>
      </w:r>
      <w:r w:rsidR="00E468E7" w:rsidRPr="009638C3">
        <w:rPr>
          <w:sz w:val="20"/>
          <w:szCs w:val="20"/>
        </w:rPr>
        <w:t>derivado de una determinación de nulidad de la Corte Suprema de Justicia.</w:t>
      </w:r>
    </w:p>
    <w:p w14:paraId="3007E079" w14:textId="77777777" w:rsidR="00B057D4" w:rsidRPr="00B057D4" w:rsidRDefault="00B057D4" w:rsidP="00B057D4">
      <w:pPr>
        <w:pStyle w:val="ListParagraph"/>
        <w:spacing w:before="0"/>
        <w:ind w:left="1440" w:right="278" w:firstLine="0"/>
        <w:rPr>
          <w:sz w:val="20"/>
          <w:szCs w:val="20"/>
          <w:lang w:val="es-419"/>
        </w:rPr>
      </w:pPr>
    </w:p>
    <w:p w14:paraId="206AB441" w14:textId="0FC88593" w:rsidR="009638C3" w:rsidRDefault="00B057D4" w:rsidP="0014509C">
      <w:pPr>
        <w:pStyle w:val="ListParagraph"/>
        <w:numPr>
          <w:ilvl w:val="0"/>
          <w:numId w:val="2"/>
        </w:numPr>
        <w:spacing w:before="0"/>
        <w:ind w:left="720" w:right="278" w:firstLine="720"/>
        <w:rPr>
          <w:sz w:val="20"/>
          <w:szCs w:val="20"/>
        </w:rPr>
      </w:pPr>
      <w:r w:rsidRPr="000B3CC5">
        <w:rPr>
          <w:sz w:val="20"/>
          <w:szCs w:val="20"/>
        </w:rPr>
        <w:t>Refiere que</w:t>
      </w:r>
      <w:r w:rsidR="00EB5F68" w:rsidRPr="000B3CC5">
        <w:rPr>
          <w:sz w:val="20"/>
          <w:szCs w:val="20"/>
        </w:rPr>
        <w:t xml:space="preserve"> </w:t>
      </w:r>
      <w:r w:rsidR="009638C3" w:rsidRPr="000B3CC5">
        <w:rPr>
          <w:sz w:val="20"/>
          <w:szCs w:val="20"/>
        </w:rPr>
        <w:t xml:space="preserve">el servicio de generación, distribución, comercialización y trasmisión de energía </w:t>
      </w:r>
      <w:r w:rsidR="009638C3" w:rsidRPr="000B3CC5">
        <w:rPr>
          <w:sz w:val="20"/>
          <w:szCs w:val="20"/>
        </w:rPr>
        <w:lastRenderedPageBreak/>
        <w:t xml:space="preserve">eléctrica </w:t>
      </w:r>
      <w:r w:rsidRPr="000B3CC5">
        <w:rPr>
          <w:sz w:val="20"/>
          <w:szCs w:val="20"/>
        </w:rPr>
        <w:t xml:space="preserve">estaba a cargo </w:t>
      </w:r>
      <w:r w:rsidR="000B3CC5" w:rsidRPr="000B3CC5">
        <w:rPr>
          <w:sz w:val="20"/>
          <w:szCs w:val="20"/>
        </w:rPr>
        <w:t xml:space="preserve">del Estado panameño por intermedio </w:t>
      </w:r>
      <w:r w:rsidRPr="000B3CC5">
        <w:rPr>
          <w:sz w:val="20"/>
          <w:szCs w:val="20"/>
        </w:rPr>
        <w:t xml:space="preserve">del </w:t>
      </w:r>
      <w:bookmarkStart w:id="4" w:name="_Hlk92741494"/>
      <w:r w:rsidR="009638C3" w:rsidRPr="000B3CC5">
        <w:rPr>
          <w:sz w:val="20"/>
          <w:szCs w:val="20"/>
        </w:rPr>
        <w:t>IRHE</w:t>
      </w:r>
      <w:bookmarkEnd w:id="4"/>
      <w:r w:rsidR="000B3CC5" w:rsidRPr="000B3CC5">
        <w:rPr>
          <w:sz w:val="20"/>
          <w:szCs w:val="20"/>
        </w:rPr>
        <w:t xml:space="preserve"> hasta el 3 de febrero de 1997, en que dicha empresa fue privatizada</w:t>
      </w:r>
      <w:r w:rsidR="009638C3" w:rsidRPr="000B3CC5">
        <w:rPr>
          <w:sz w:val="20"/>
          <w:szCs w:val="20"/>
        </w:rPr>
        <w:t xml:space="preserve">. La Ley 6 </w:t>
      </w:r>
      <w:r w:rsidR="000B3CC5" w:rsidRPr="000B3CC5">
        <w:rPr>
          <w:sz w:val="20"/>
          <w:szCs w:val="20"/>
        </w:rPr>
        <w:t xml:space="preserve">que </w:t>
      </w:r>
      <w:r w:rsidR="009638C3" w:rsidRPr="000B3CC5">
        <w:rPr>
          <w:sz w:val="20"/>
          <w:szCs w:val="20"/>
        </w:rPr>
        <w:t xml:space="preserve">determinó </w:t>
      </w:r>
      <w:r w:rsidR="000B3CC5" w:rsidRPr="000B3CC5">
        <w:rPr>
          <w:sz w:val="20"/>
          <w:szCs w:val="20"/>
        </w:rPr>
        <w:t>la</w:t>
      </w:r>
      <w:r w:rsidR="009638C3" w:rsidRPr="000B3CC5">
        <w:rPr>
          <w:sz w:val="20"/>
          <w:szCs w:val="20"/>
        </w:rPr>
        <w:t xml:space="preserve"> privatización establec</w:t>
      </w:r>
      <w:r w:rsidR="000B3CC5" w:rsidRPr="000B3CC5">
        <w:rPr>
          <w:sz w:val="20"/>
          <w:szCs w:val="20"/>
        </w:rPr>
        <w:t>e</w:t>
      </w:r>
      <w:r w:rsidR="009638C3" w:rsidRPr="000B3CC5">
        <w:rPr>
          <w:sz w:val="20"/>
          <w:szCs w:val="20"/>
        </w:rPr>
        <w:t xml:space="preserve"> en sus artículos 169 y 170 el procedimiento para el pago de las prestaciones laborales por parte del Estado </w:t>
      </w:r>
      <w:r w:rsidR="000B3CC5" w:rsidRPr="000B3CC5">
        <w:rPr>
          <w:sz w:val="20"/>
          <w:szCs w:val="20"/>
        </w:rPr>
        <w:t>a</w:t>
      </w:r>
      <w:r w:rsidR="009638C3" w:rsidRPr="000B3CC5">
        <w:rPr>
          <w:sz w:val="20"/>
          <w:szCs w:val="20"/>
        </w:rPr>
        <w:t xml:space="preserve"> aquell</w:t>
      </w:r>
      <w:r w:rsidR="000B3CC5" w:rsidRPr="000B3CC5">
        <w:rPr>
          <w:sz w:val="20"/>
          <w:szCs w:val="20"/>
        </w:rPr>
        <w:t>a</w:t>
      </w:r>
      <w:r w:rsidR="009638C3" w:rsidRPr="000B3CC5">
        <w:rPr>
          <w:sz w:val="20"/>
          <w:szCs w:val="20"/>
        </w:rPr>
        <w:t>s</w:t>
      </w:r>
      <w:r w:rsidR="000B3CC5" w:rsidRPr="000B3CC5">
        <w:rPr>
          <w:sz w:val="20"/>
          <w:szCs w:val="20"/>
        </w:rPr>
        <w:t xml:space="preserve"> personas</w:t>
      </w:r>
      <w:r w:rsidR="009638C3" w:rsidRPr="000B3CC5">
        <w:rPr>
          <w:sz w:val="20"/>
          <w:szCs w:val="20"/>
        </w:rPr>
        <w:t xml:space="preserve"> trabajador</w:t>
      </w:r>
      <w:r w:rsidR="000B3CC5" w:rsidRPr="000B3CC5">
        <w:rPr>
          <w:sz w:val="20"/>
          <w:szCs w:val="20"/>
        </w:rPr>
        <w:t>a</w:t>
      </w:r>
      <w:r w:rsidR="009638C3" w:rsidRPr="000B3CC5">
        <w:rPr>
          <w:sz w:val="20"/>
          <w:szCs w:val="20"/>
        </w:rPr>
        <w:t>s que se acogieron a la terminación definitiva de sus servicios.</w:t>
      </w:r>
      <w:r w:rsidR="000B3CC5" w:rsidRPr="000B3CC5">
        <w:rPr>
          <w:sz w:val="20"/>
          <w:szCs w:val="20"/>
        </w:rPr>
        <w:t xml:space="preserve"> El mencionado artículo 170 fue reglamentado por </w:t>
      </w:r>
      <w:r w:rsidR="009638C3" w:rsidRPr="000B3CC5">
        <w:rPr>
          <w:sz w:val="20"/>
          <w:szCs w:val="20"/>
        </w:rPr>
        <w:t xml:space="preserve">el Decreto Ejecutivo No. 42 de 27 de agosto de 1998, </w:t>
      </w:r>
      <w:r w:rsidR="000B3CC5">
        <w:rPr>
          <w:sz w:val="20"/>
          <w:szCs w:val="20"/>
        </w:rPr>
        <w:t xml:space="preserve">que dispone </w:t>
      </w:r>
      <w:r w:rsidR="009638C3" w:rsidRPr="000B3CC5">
        <w:rPr>
          <w:sz w:val="20"/>
          <w:szCs w:val="20"/>
        </w:rPr>
        <w:t xml:space="preserve">que la indemnización </w:t>
      </w:r>
      <w:r w:rsidR="003B05AD">
        <w:rPr>
          <w:sz w:val="20"/>
          <w:szCs w:val="20"/>
        </w:rPr>
        <w:t xml:space="preserve">a ser pagada </w:t>
      </w:r>
      <w:r w:rsidR="009638C3" w:rsidRPr="000B3CC5">
        <w:rPr>
          <w:sz w:val="20"/>
          <w:szCs w:val="20"/>
        </w:rPr>
        <w:t>a los ex trabajadores del IRHE debía calcularse con base en el artículo 225 del Código de Trabajo</w:t>
      </w:r>
      <w:r w:rsidR="003B05AD">
        <w:rPr>
          <w:sz w:val="20"/>
          <w:szCs w:val="20"/>
        </w:rPr>
        <w:t>;</w:t>
      </w:r>
      <w:r w:rsidR="009638C3" w:rsidRPr="000B3CC5">
        <w:rPr>
          <w:sz w:val="20"/>
          <w:szCs w:val="20"/>
        </w:rPr>
        <w:t xml:space="preserve"> </w:t>
      </w:r>
      <w:r w:rsidR="003B05AD">
        <w:rPr>
          <w:sz w:val="20"/>
          <w:szCs w:val="20"/>
        </w:rPr>
        <w:t>este</w:t>
      </w:r>
      <w:r w:rsidR="009638C3" w:rsidRPr="000B3CC5">
        <w:rPr>
          <w:sz w:val="20"/>
          <w:szCs w:val="20"/>
        </w:rPr>
        <w:t xml:space="preserve"> establece una fórmula que, al aplicarse al caso específico de </w:t>
      </w:r>
      <w:r w:rsidR="003B05AD">
        <w:rPr>
          <w:sz w:val="20"/>
          <w:szCs w:val="20"/>
        </w:rPr>
        <w:t>las presuntas víctimas</w:t>
      </w:r>
      <w:r w:rsidR="009638C3" w:rsidRPr="000B3CC5">
        <w:rPr>
          <w:sz w:val="20"/>
          <w:szCs w:val="20"/>
        </w:rPr>
        <w:t xml:space="preserve">, </w:t>
      </w:r>
      <w:r w:rsidR="003B05AD">
        <w:rPr>
          <w:sz w:val="20"/>
          <w:szCs w:val="20"/>
        </w:rPr>
        <w:t xml:space="preserve">arroja un </w:t>
      </w:r>
      <w:r w:rsidR="009638C3" w:rsidRPr="000B3CC5">
        <w:rPr>
          <w:sz w:val="20"/>
          <w:szCs w:val="20"/>
        </w:rPr>
        <w:t xml:space="preserve">monto de indemnización inferior al cálculo especial </w:t>
      </w:r>
      <w:r w:rsidR="003B05AD">
        <w:rPr>
          <w:sz w:val="20"/>
          <w:szCs w:val="20"/>
        </w:rPr>
        <w:t>d</w:t>
      </w:r>
      <w:r w:rsidR="009638C3" w:rsidRPr="000B3CC5">
        <w:rPr>
          <w:sz w:val="20"/>
          <w:szCs w:val="20"/>
        </w:rPr>
        <w:t xml:space="preserve">e la referida ley. </w:t>
      </w:r>
    </w:p>
    <w:p w14:paraId="310D6996" w14:textId="77777777" w:rsidR="002B4F21" w:rsidRDefault="002B4F21" w:rsidP="002B4F21">
      <w:pPr>
        <w:pStyle w:val="ListParagraph"/>
        <w:spacing w:before="0"/>
        <w:ind w:left="1440" w:right="278" w:firstLine="0"/>
        <w:rPr>
          <w:sz w:val="20"/>
          <w:szCs w:val="20"/>
        </w:rPr>
      </w:pPr>
    </w:p>
    <w:p w14:paraId="3891E4AD" w14:textId="58AC4164" w:rsidR="009638C3" w:rsidRDefault="006F2A29" w:rsidP="003B790E">
      <w:pPr>
        <w:pStyle w:val="ListParagraph"/>
        <w:numPr>
          <w:ilvl w:val="0"/>
          <w:numId w:val="2"/>
        </w:numPr>
        <w:spacing w:before="0"/>
        <w:ind w:left="720" w:right="278" w:firstLine="720"/>
        <w:rPr>
          <w:sz w:val="20"/>
          <w:szCs w:val="20"/>
        </w:rPr>
      </w:pPr>
      <w:r>
        <w:rPr>
          <w:sz w:val="20"/>
          <w:szCs w:val="20"/>
        </w:rPr>
        <w:t>E</w:t>
      </w:r>
      <w:r w:rsidR="009638C3" w:rsidRPr="009638C3">
        <w:rPr>
          <w:sz w:val="20"/>
          <w:szCs w:val="20"/>
        </w:rPr>
        <w:t xml:space="preserve">l Decreto Ejecutivo No. 42 fue cuestionado </w:t>
      </w:r>
      <w:r w:rsidR="009273E4">
        <w:rPr>
          <w:sz w:val="20"/>
          <w:szCs w:val="20"/>
        </w:rPr>
        <w:t xml:space="preserve">por </w:t>
      </w:r>
      <w:r w:rsidR="009638C3" w:rsidRPr="009638C3">
        <w:rPr>
          <w:sz w:val="20"/>
          <w:szCs w:val="20"/>
        </w:rPr>
        <w:t xml:space="preserve">una </w:t>
      </w:r>
      <w:r w:rsidR="009273E4">
        <w:rPr>
          <w:sz w:val="20"/>
          <w:szCs w:val="20"/>
        </w:rPr>
        <w:t>a</w:t>
      </w:r>
      <w:r w:rsidR="009638C3" w:rsidRPr="009638C3">
        <w:rPr>
          <w:sz w:val="20"/>
          <w:szCs w:val="20"/>
        </w:rPr>
        <w:t xml:space="preserve">cción </w:t>
      </w:r>
      <w:r w:rsidR="009273E4">
        <w:rPr>
          <w:sz w:val="20"/>
          <w:szCs w:val="20"/>
        </w:rPr>
        <w:t>p</w:t>
      </w:r>
      <w:r w:rsidR="009638C3" w:rsidRPr="009638C3">
        <w:rPr>
          <w:sz w:val="20"/>
          <w:szCs w:val="20"/>
        </w:rPr>
        <w:t xml:space="preserve">opular </w:t>
      </w:r>
      <w:r>
        <w:rPr>
          <w:sz w:val="20"/>
          <w:szCs w:val="20"/>
        </w:rPr>
        <w:t>planteada e</w:t>
      </w:r>
      <w:r w:rsidRPr="009638C3">
        <w:rPr>
          <w:sz w:val="20"/>
          <w:szCs w:val="20"/>
        </w:rPr>
        <w:t>l 22 de junio de 2005</w:t>
      </w:r>
      <w:r>
        <w:rPr>
          <w:sz w:val="20"/>
          <w:szCs w:val="20"/>
        </w:rPr>
        <w:t xml:space="preserve"> </w:t>
      </w:r>
      <w:r w:rsidR="009638C3" w:rsidRPr="009638C3">
        <w:rPr>
          <w:sz w:val="20"/>
          <w:szCs w:val="20"/>
        </w:rPr>
        <w:t>ante la Sala Tercera de lo Contencioso Administrativo de la Corte Suprema de Justicia. El 5 de mayo de 2006</w:t>
      </w:r>
      <w:r w:rsidR="009273E4">
        <w:rPr>
          <w:sz w:val="20"/>
          <w:szCs w:val="20"/>
        </w:rPr>
        <w:t xml:space="preserve"> dicha</w:t>
      </w:r>
      <w:r w:rsidR="009638C3" w:rsidRPr="009638C3">
        <w:rPr>
          <w:sz w:val="20"/>
          <w:szCs w:val="20"/>
        </w:rPr>
        <w:t xml:space="preserve"> Sala resolvió que era nula la frase </w:t>
      </w:r>
      <w:r w:rsidR="00A26F8F" w:rsidRPr="009638C3">
        <w:rPr>
          <w:sz w:val="20"/>
          <w:szCs w:val="20"/>
        </w:rPr>
        <w:t>“el pago de la indemnización según el artículo 225 del Código de Trabajo”</w:t>
      </w:r>
      <w:r w:rsidR="00A26F8F">
        <w:rPr>
          <w:sz w:val="20"/>
          <w:szCs w:val="20"/>
        </w:rPr>
        <w:t xml:space="preserve"> contenida en </w:t>
      </w:r>
      <w:r w:rsidR="009638C3" w:rsidRPr="009638C3">
        <w:rPr>
          <w:sz w:val="20"/>
          <w:szCs w:val="20"/>
        </w:rPr>
        <w:t>el Decreto Ejecutivo No. 42</w:t>
      </w:r>
      <w:r w:rsidR="00A26F8F">
        <w:rPr>
          <w:sz w:val="20"/>
          <w:szCs w:val="20"/>
        </w:rPr>
        <w:t>;</w:t>
      </w:r>
      <w:r w:rsidR="009638C3" w:rsidRPr="009638C3">
        <w:rPr>
          <w:sz w:val="20"/>
          <w:szCs w:val="20"/>
        </w:rPr>
        <w:t xml:space="preserve"> y que no era nula o ilegal la frase “cualquier diferencia que surja del cálculo de estas liquidaciones, será responsabilidad del Estado”. </w:t>
      </w:r>
      <w:r w:rsidR="00A26F8F">
        <w:rPr>
          <w:sz w:val="20"/>
          <w:szCs w:val="20"/>
        </w:rPr>
        <w:t>Por lo tanto, e</w:t>
      </w:r>
      <w:r w:rsidR="009638C3" w:rsidRPr="009638C3">
        <w:rPr>
          <w:sz w:val="20"/>
          <w:szCs w:val="20"/>
        </w:rPr>
        <w:t xml:space="preserve">l fallo </w:t>
      </w:r>
      <w:r w:rsidR="00A26F8F">
        <w:rPr>
          <w:sz w:val="20"/>
          <w:szCs w:val="20"/>
        </w:rPr>
        <w:t>determin</w:t>
      </w:r>
      <w:r w:rsidR="009638C3" w:rsidRPr="009638C3">
        <w:rPr>
          <w:sz w:val="20"/>
          <w:szCs w:val="20"/>
        </w:rPr>
        <w:t xml:space="preserve">ó que el Estado </w:t>
      </w:r>
      <w:r w:rsidR="00A26F8F">
        <w:rPr>
          <w:sz w:val="20"/>
          <w:szCs w:val="20"/>
        </w:rPr>
        <w:t>p</w:t>
      </w:r>
      <w:r w:rsidR="009638C3" w:rsidRPr="009638C3">
        <w:rPr>
          <w:sz w:val="20"/>
          <w:szCs w:val="20"/>
        </w:rPr>
        <w:t>anameño es responsable por cualquier diferencia que surgiera en el cálculo de las liquidaciones</w:t>
      </w:r>
      <w:r w:rsidR="00A26F8F">
        <w:rPr>
          <w:sz w:val="20"/>
          <w:szCs w:val="20"/>
        </w:rPr>
        <w:t>;</w:t>
      </w:r>
      <w:r w:rsidR="009638C3" w:rsidRPr="009638C3">
        <w:rPr>
          <w:sz w:val="20"/>
          <w:szCs w:val="20"/>
        </w:rPr>
        <w:t xml:space="preserve"> </w:t>
      </w:r>
      <w:r w:rsidR="00A26F8F">
        <w:rPr>
          <w:sz w:val="20"/>
          <w:szCs w:val="20"/>
        </w:rPr>
        <w:t>s</w:t>
      </w:r>
      <w:r w:rsidR="009638C3" w:rsidRPr="009638C3">
        <w:rPr>
          <w:sz w:val="20"/>
          <w:szCs w:val="20"/>
        </w:rPr>
        <w:t xml:space="preserve">in embargo, no indicó </w:t>
      </w:r>
      <w:r w:rsidR="00A26F8F">
        <w:rPr>
          <w:sz w:val="20"/>
          <w:szCs w:val="20"/>
        </w:rPr>
        <w:t xml:space="preserve">cual era el </w:t>
      </w:r>
      <w:r w:rsidR="00A26F8F" w:rsidRPr="009638C3">
        <w:rPr>
          <w:sz w:val="20"/>
          <w:szCs w:val="20"/>
        </w:rPr>
        <w:t xml:space="preserve">procedimiento </w:t>
      </w:r>
      <w:r w:rsidR="00A26F8F">
        <w:rPr>
          <w:sz w:val="20"/>
          <w:szCs w:val="20"/>
        </w:rPr>
        <w:t>por seguir para tal efecto</w:t>
      </w:r>
      <w:r w:rsidR="009638C3" w:rsidRPr="009638C3">
        <w:rPr>
          <w:sz w:val="20"/>
          <w:szCs w:val="20"/>
        </w:rPr>
        <w:t>.</w:t>
      </w:r>
    </w:p>
    <w:p w14:paraId="48C46001" w14:textId="77777777" w:rsidR="003B05AD" w:rsidRPr="003B05AD" w:rsidRDefault="003B05AD" w:rsidP="003B05AD">
      <w:pPr>
        <w:ind w:right="278"/>
        <w:rPr>
          <w:sz w:val="20"/>
          <w:szCs w:val="20"/>
        </w:rPr>
      </w:pPr>
    </w:p>
    <w:p w14:paraId="4FFE8A20" w14:textId="5E02A528" w:rsidR="009638C3" w:rsidRPr="009638C3" w:rsidRDefault="008A33E7" w:rsidP="003B790E">
      <w:pPr>
        <w:pStyle w:val="ListParagraph"/>
        <w:numPr>
          <w:ilvl w:val="0"/>
          <w:numId w:val="2"/>
        </w:numPr>
        <w:spacing w:before="0"/>
        <w:ind w:left="720" w:right="278" w:firstLine="720"/>
        <w:rPr>
          <w:sz w:val="20"/>
          <w:szCs w:val="20"/>
          <w:lang w:val="es-419"/>
        </w:rPr>
      </w:pPr>
      <w:r>
        <w:rPr>
          <w:sz w:val="20"/>
          <w:szCs w:val="20"/>
        </w:rPr>
        <w:t>A continuación</w:t>
      </w:r>
      <w:r w:rsidR="009638C3" w:rsidRPr="009638C3">
        <w:rPr>
          <w:sz w:val="20"/>
          <w:szCs w:val="20"/>
        </w:rPr>
        <w:t xml:space="preserve">, un grupo de </w:t>
      </w:r>
      <w:r>
        <w:rPr>
          <w:sz w:val="20"/>
          <w:szCs w:val="20"/>
        </w:rPr>
        <w:t>familiares</w:t>
      </w:r>
      <w:r w:rsidR="009638C3" w:rsidRPr="009638C3">
        <w:rPr>
          <w:sz w:val="20"/>
          <w:szCs w:val="20"/>
        </w:rPr>
        <w:t xml:space="preserve"> de </w:t>
      </w:r>
      <w:r w:rsidR="00A26F8F">
        <w:rPr>
          <w:sz w:val="20"/>
          <w:szCs w:val="20"/>
        </w:rPr>
        <w:t xml:space="preserve">personas </w:t>
      </w:r>
      <w:r w:rsidR="009638C3" w:rsidRPr="009638C3">
        <w:rPr>
          <w:sz w:val="20"/>
          <w:szCs w:val="20"/>
        </w:rPr>
        <w:t>extrabajador</w:t>
      </w:r>
      <w:r w:rsidR="00A26F8F">
        <w:rPr>
          <w:sz w:val="20"/>
          <w:szCs w:val="20"/>
        </w:rPr>
        <w:t>a</w:t>
      </w:r>
      <w:r w:rsidR="009638C3" w:rsidRPr="009638C3">
        <w:rPr>
          <w:sz w:val="20"/>
          <w:szCs w:val="20"/>
        </w:rPr>
        <w:t>s fallecid</w:t>
      </w:r>
      <w:r w:rsidR="00A26F8F">
        <w:rPr>
          <w:sz w:val="20"/>
          <w:szCs w:val="20"/>
        </w:rPr>
        <w:t>a</w:t>
      </w:r>
      <w:r w:rsidR="009638C3" w:rsidRPr="009638C3">
        <w:rPr>
          <w:sz w:val="20"/>
          <w:szCs w:val="20"/>
        </w:rPr>
        <w:t xml:space="preserve">s </w:t>
      </w:r>
      <w:r w:rsidR="009273E4">
        <w:rPr>
          <w:sz w:val="20"/>
          <w:szCs w:val="20"/>
        </w:rPr>
        <w:t>presentó</w:t>
      </w:r>
      <w:r w:rsidR="009638C3" w:rsidRPr="009638C3">
        <w:rPr>
          <w:sz w:val="20"/>
          <w:szCs w:val="20"/>
        </w:rPr>
        <w:t xml:space="preserve"> una </w:t>
      </w:r>
      <w:r w:rsidR="009273E4">
        <w:rPr>
          <w:sz w:val="20"/>
          <w:szCs w:val="20"/>
        </w:rPr>
        <w:t>d</w:t>
      </w:r>
      <w:r w:rsidR="009638C3" w:rsidRPr="009638C3">
        <w:rPr>
          <w:sz w:val="20"/>
          <w:szCs w:val="20"/>
        </w:rPr>
        <w:t>emanda ante la Sala Contencioso Administrativo de la Corte Suprema de Justicia con el objeto de obtener reparaciones directas por los perjuicios resultantes del Decreto Ejecutivo No. 42. El Estado también fue demandado separad</w:t>
      </w:r>
      <w:r w:rsidR="009273E4">
        <w:rPr>
          <w:sz w:val="20"/>
          <w:szCs w:val="20"/>
        </w:rPr>
        <w:t>amente</w:t>
      </w:r>
      <w:r w:rsidR="009638C3" w:rsidRPr="009638C3">
        <w:rPr>
          <w:sz w:val="20"/>
          <w:szCs w:val="20"/>
        </w:rPr>
        <w:t xml:space="preserve"> por otros grupos de </w:t>
      </w:r>
      <w:r w:rsidR="009273E4">
        <w:rPr>
          <w:sz w:val="20"/>
          <w:szCs w:val="20"/>
        </w:rPr>
        <w:t xml:space="preserve">personas </w:t>
      </w:r>
      <w:r w:rsidR="009638C3" w:rsidRPr="009638C3">
        <w:rPr>
          <w:sz w:val="20"/>
          <w:szCs w:val="20"/>
        </w:rPr>
        <w:t>extrabajador</w:t>
      </w:r>
      <w:r w:rsidR="009273E4">
        <w:rPr>
          <w:sz w:val="20"/>
          <w:szCs w:val="20"/>
        </w:rPr>
        <w:t>a</w:t>
      </w:r>
      <w:r w:rsidR="009638C3" w:rsidRPr="009638C3">
        <w:rPr>
          <w:sz w:val="20"/>
          <w:szCs w:val="20"/>
        </w:rPr>
        <w:t xml:space="preserve">s y </w:t>
      </w:r>
      <w:r>
        <w:rPr>
          <w:sz w:val="20"/>
          <w:szCs w:val="20"/>
        </w:rPr>
        <w:t xml:space="preserve">familiares </w:t>
      </w:r>
      <w:r w:rsidR="009638C3" w:rsidRPr="009638C3">
        <w:rPr>
          <w:sz w:val="20"/>
          <w:szCs w:val="20"/>
        </w:rPr>
        <w:t>de extrabajador</w:t>
      </w:r>
      <w:r w:rsidR="009273E4">
        <w:rPr>
          <w:sz w:val="20"/>
          <w:szCs w:val="20"/>
        </w:rPr>
        <w:t>a</w:t>
      </w:r>
      <w:r w:rsidR="009638C3" w:rsidRPr="009638C3">
        <w:rPr>
          <w:sz w:val="20"/>
          <w:szCs w:val="20"/>
        </w:rPr>
        <w:t>s fallecidos.</w:t>
      </w:r>
    </w:p>
    <w:p w14:paraId="7BFA35D7" w14:textId="77777777" w:rsidR="003B05AD" w:rsidRPr="009273E4" w:rsidRDefault="003B05AD" w:rsidP="009273E4">
      <w:pPr>
        <w:ind w:left="720" w:right="278"/>
        <w:rPr>
          <w:sz w:val="20"/>
          <w:szCs w:val="20"/>
          <w:lang w:val="es-419"/>
        </w:rPr>
      </w:pPr>
    </w:p>
    <w:p w14:paraId="4376873A" w14:textId="686540E5" w:rsidR="009638C3" w:rsidRPr="003D1B77" w:rsidRDefault="009638C3" w:rsidP="00FB5408">
      <w:pPr>
        <w:pStyle w:val="ListParagraph"/>
        <w:numPr>
          <w:ilvl w:val="0"/>
          <w:numId w:val="2"/>
        </w:numPr>
        <w:spacing w:before="0"/>
        <w:ind w:left="720" w:right="278" w:firstLine="720"/>
        <w:rPr>
          <w:sz w:val="20"/>
          <w:szCs w:val="20"/>
        </w:rPr>
      </w:pPr>
      <w:r w:rsidRPr="003D1B77">
        <w:rPr>
          <w:sz w:val="20"/>
          <w:szCs w:val="20"/>
        </w:rPr>
        <w:t xml:space="preserve">En el Proceso No. 272-07 interpuesto en representación de Rolando Cubilla, Marta González y otros, mediante </w:t>
      </w:r>
      <w:r w:rsidR="003D1B77" w:rsidRPr="003D1B77">
        <w:rPr>
          <w:sz w:val="20"/>
          <w:szCs w:val="20"/>
        </w:rPr>
        <w:t>r</w:t>
      </w:r>
      <w:r w:rsidRPr="003D1B77">
        <w:rPr>
          <w:sz w:val="20"/>
          <w:szCs w:val="20"/>
        </w:rPr>
        <w:t xml:space="preserve">esolución de 15 de junio de 2009 el Estado fue condenado a indemnizar a 122 ex trabajadores del IRHE por daños y perjuicios </w:t>
      </w:r>
      <w:r w:rsidR="003D1B77" w:rsidRPr="003D1B77">
        <w:rPr>
          <w:sz w:val="20"/>
          <w:szCs w:val="20"/>
        </w:rPr>
        <w:t xml:space="preserve">debido a </w:t>
      </w:r>
      <w:r w:rsidRPr="003D1B77">
        <w:rPr>
          <w:sz w:val="20"/>
          <w:szCs w:val="20"/>
        </w:rPr>
        <w:t>la emisión del Decreto Ejecutivo No.</w:t>
      </w:r>
      <w:r w:rsidR="003D1B77" w:rsidRPr="003D1B77">
        <w:rPr>
          <w:sz w:val="20"/>
          <w:szCs w:val="20"/>
        </w:rPr>
        <w:t xml:space="preserve"> </w:t>
      </w:r>
      <w:r w:rsidRPr="003D1B77">
        <w:rPr>
          <w:sz w:val="20"/>
          <w:szCs w:val="20"/>
        </w:rPr>
        <w:t xml:space="preserve">42 de 1998. </w:t>
      </w:r>
      <w:r w:rsidR="003D1B77">
        <w:rPr>
          <w:sz w:val="20"/>
          <w:szCs w:val="20"/>
        </w:rPr>
        <w:t xml:space="preserve">Por otra parte, en el </w:t>
      </w:r>
      <w:r w:rsidRPr="003D1B77">
        <w:rPr>
          <w:sz w:val="20"/>
          <w:szCs w:val="20"/>
        </w:rPr>
        <w:t xml:space="preserve">Proceso No. 276-07 interpuesto en representación de Abraham Cumbreras, Adelina de Egea y otros, mediante </w:t>
      </w:r>
      <w:r w:rsidR="003D1B77">
        <w:rPr>
          <w:sz w:val="20"/>
          <w:szCs w:val="20"/>
        </w:rPr>
        <w:t>r</w:t>
      </w:r>
      <w:r w:rsidRPr="003D1B77">
        <w:rPr>
          <w:sz w:val="20"/>
          <w:szCs w:val="20"/>
        </w:rPr>
        <w:t>esolución de fecha 19 de noviembre de 2009, el Estado Panameño fue condenado a indemnizar por los daños y perjuicios causados por la emisión del Decreto Ejecutivo No.</w:t>
      </w:r>
      <w:r w:rsidR="003D1B77">
        <w:rPr>
          <w:sz w:val="20"/>
          <w:szCs w:val="20"/>
        </w:rPr>
        <w:t xml:space="preserve"> </w:t>
      </w:r>
      <w:r w:rsidRPr="003D1B77">
        <w:rPr>
          <w:sz w:val="20"/>
          <w:szCs w:val="20"/>
        </w:rPr>
        <w:t>42 de 27 de agosto de 1998 a l</w:t>
      </w:r>
      <w:r w:rsidR="003D1B77">
        <w:rPr>
          <w:sz w:val="20"/>
          <w:szCs w:val="20"/>
        </w:rPr>
        <w:t>a</w:t>
      </w:r>
      <w:r w:rsidRPr="003D1B77">
        <w:rPr>
          <w:sz w:val="20"/>
          <w:szCs w:val="20"/>
        </w:rPr>
        <w:t xml:space="preserve">s 1,129 </w:t>
      </w:r>
      <w:r w:rsidR="003D1B77">
        <w:rPr>
          <w:sz w:val="20"/>
          <w:szCs w:val="20"/>
        </w:rPr>
        <w:t xml:space="preserve">personas </w:t>
      </w:r>
      <w:r w:rsidRPr="003D1B77">
        <w:rPr>
          <w:sz w:val="20"/>
          <w:szCs w:val="20"/>
        </w:rPr>
        <w:t>ex</w:t>
      </w:r>
      <w:r w:rsidR="003D1B77">
        <w:rPr>
          <w:sz w:val="20"/>
          <w:szCs w:val="20"/>
        </w:rPr>
        <w:t>trabajadoras</w:t>
      </w:r>
      <w:r w:rsidRPr="003D1B77">
        <w:rPr>
          <w:sz w:val="20"/>
          <w:szCs w:val="20"/>
        </w:rPr>
        <w:t xml:space="preserve"> del antiguo IRHE.</w:t>
      </w:r>
    </w:p>
    <w:p w14:paraId="120BFC95" w14:textId="77777777" w:rsidR="003B05AD" w:rsidRPr="003B05AD" w:rsidRDefault="003B05AD" w:rsidP="003B05AD">
      <w:pPr>
        <w:pStyle w:val="ListParagraph"/>
        <w:spacing w:before="0"/>
        <w:ind w:left="1440" w:right="278" w:firstLine="0"/>
        <w:rPr>
          <w:sz w:val="20"/>
          <w:szCs w:val="20"/>
          <w:lang w:val="es-419"/>
        </w:rPr>
      </w:pPr>
    </w:p>
    <w:p w14:paraId="5021CE51" w14:textId="673E2445" w:rsidR="008A33E7" w:rsidRPr="008A33E7" w:rsidRDefault="009638C3" w:rsidP="003B790E">
      <w:pPr>
        <w:pStyle w:val="ListParagraph"/>
        <w:numPr>
          <w:ilvl w:val="0"/>
          <w:numId w:val="2"/>
        </w:numPr>
        <w:spacing w:before="0"/>
        <w:ind w:left="720" w:right="278" w:firstLine="720"/>
        <w:rPr>
          <w:sz w:val="20"/>
          <w:szCs w:val="20"/>
          <w:lang w:val="es-419"/>
        </w:rPr>
      </w:pPr>
      <w:r w:rsidRPr="009638C3">
        <w:rPr>
          <w:sz w:val="20"/>
          <w:szCs w:val="20"/>
        </w:rPr>
        <w:t xml:space="preserve">En el </w:t>
      </w:r>
      <w:r w:rsidR="008A33E7" w:rsidRPr="008A33E7">
        <w:rPr>
          <w:sz w:val="20"/>
          <w:szCs w:val="20"/>
        </w:rPr>
        <w:t>P</w:t>
      </w:r>
      <w:r w:rsidRPr="009638C3">
        <w:rPr>
          <w:sz w:val="20"/>
          <w:szCs w:val="20"/>
        </w:rPr>
        <w:t>roceso No. 279-07</w:t>
      </w:r>
      <w:r w:rsidR="008A33E7" w:rsidRPr="008A33E7">
        <w:rPr>
          <w:sz w:val="20"/>
          <w:szCs w:val="20"/>
        </w:rPr>
        <w:t xml:space="preserve"> </w:t>
      </w:r>
      <w:r w:rsidRPr="009638C3">
        <w:rPr>
          <w:sz w:val="20"/>
          <w:szCs w:val="20"/>
        </w:rPr>
        <w:t xml:space="preserve">interpuesto </w:t>
      </w:r>
      <w:r w:rsidR="008A33E7" w:rsidRPr="008A33E7">
        <w:rPr>
          <w:sz w:val="20"/>
          <w:szCs w:val="20"/>
        </w:rPr>
        <w:t>en mayo de 2007</w:t>
      </w:r>
      <w:r w:rsidRPr="009638C3">
        <w:rPr>
          <w:sz w:val="20"/>
          <w:szCs w:val="20"/>
        </w:rPr>
        <w:t xml:space="preserve"> en representación de Maria Vergara de Asprilla y otros, mediante </w:t>
      </w:r>
      <w:r w:rsidR="003D1B77">
        <w:rPr>
          <w:sz w:val="20"/>
          <w:szCs w:val="20"/>
        </w:rPr>
        <w:t>r</w:t>
      </w:r>
      <w:r w:rsidRPr="009638C3">
        <w:rPr>
          <w:sz w:val="20"/>
          <w:szCs w:val="20"/>
        </w:rPr>
        <w:t>esolución de 21 de noviembre de 2011, la Sala Tercera de lo Contencioso Administrativo resolvió que “no accede a las pretensiones de los demandantes”</w:t>
      </w:r>
      <w:r w:rsidR="003D1B77">
        <w:rPr>
          <w:sz w:val="20"/>
          <w:szCs w:val="20"/>
        </w:rPr>
        <w:t>.</w:t>
      </w:r>
      <w:r w:rsidRPr="009638C3">
        <w:rPr>
          <w:sz w:val="20"/>
          <w:szCs w:val="20"/>
        </w:rPr>
        <w:t xml:space="preserve"> </w:t>
      </w:r>
      <w:r w:rsidR="003D1B77">
        <w:rPr>
          <w:sz w:val="20"/>
          <w:szCs w:val="20"/>
        </w:rPr>
        <w:t xml:space="preserve">El motivo esgrimido fue </w:t>
      </w:r>
      <w:r w:rsidRPr="009638C3">
        <w:rPr>
          <w:sz w:val="20"/>
          <w:szCs w:val="20"/>
        </w:rPr>
        <w:t>que se trata</w:t>
      </w:r>
      <w:r w:rsidR="003D1B77">
        <w:rPr>
          <w:sz w:val="20"/>
          <w:szCs w:val="20"/>
        </w:rPr>
        <w:t>ba</w:t>
      </w:r>
      <w:r w:rsidRPr="009638C3">
        <w:rPr>
          <w:sz w:val="20"/>
          <w:szCs w:val="20"/>
        </w:rPr>
        <w:t xml:space="preserve"> de supuestas prestaciones laborales adeudadas</w:t>
      </w:r>
      <w:r w:rsidR="003D1B77">
        <w:rPr>
          <w:sz w:val="20"/>
          <w:szCs w:val="20"/>
        </w:rPr>
        <w:t>,</w:t>
      </w:r>
      <w:r w:rsidRPr="009638C3">
        <w:rPr>
          <w:sz w:val="20"/>
          <w:szCs w:val="20"/>
        </w:rPr>
        <w:t xml:space="preserve"> y que </w:t>
      </w:r>
      <w:r w:rsidR="003D1B77">
        <w:rPr>
          <w:sz w:val="20"/>
          <w:szCs w:val="20"/>
        </w:rPr>
        <w:t xml:space="preserve">tal Sala </w:t>
      </w:r>
      <w:r w:rsidRPr="009638C3">
        <w:rPr>
          <w:sz w:val="20"/>
          <w:szCs w:val="20"/>
        </w:rPr>
        <w:t>no era la competente para conocer del caso porque no se trataba de perjuicios sino de diferencia en el pago de prestaciones laborales.</w:t>
      </w:r>
      <w:r w:rsidR="008A33E7" w:rsidRPr="008A33E7">
        <w:rPr>
          <w:sz w:val="20"/>
          <w:szCs w:val="20"/>
        </w:rPr>
        <w:t xml:space="preserve"> </w:t>
      </w:r>
    </w:p>
    <w:p w14:paraId="33174A93" w14:textId="77777777" w:rsidR="003B05AD" w:rsidRPr="003B05AD" w:rsidRDefault="003B05AD" w:rsidP="003B05AD">
      <w:pPr>
        <w:pStyle w:val="ListParagraph"/>
        <w:spacing w:before="0"/>
        <w:ind w:left="1440" w:right="278" w:firstLine="0"/>
        <w:rPr>
          <w:sz w:val="20"/>
          <w:szCs w:val="20"/>
          <w:lang w:val="es-419"/>
        </w:rPr>
      </w:pPr>
    </w:p>
    <w:p w14:paraId="54937BD6" w14:textId="3F65C34C" w:rsidR="009638C3" w:rsidRPr="003B05AD" w:rsidRDefault="009638C3" w:rsidP="003B790E">
      <w:pPr>
        <w:pStyle w:val="ListParagraph"/>
        <w:numPr>
          <w:ilvl w:val="0"/>
          <w:numId w:val="2"/>
        </w:numPr>
        <w:spacing w:before="0"/>
        <w:ind w:left="720" w:right="278" w:firstLine="720"/>
        <w:rPr>
          <w:sz w:val="20"/>
          <w:szCs w:val="20"/>
          <w:lang w:val="es-419"/>
        </w:rPr>
      </w:pPr>
      <w:r w:rsidRPr="009638C3">
        <w:rPr>
          <w:sz w:val="20"/>
          <w:szCs w:val="20"/>
        </w:rPr>
        <w:t xml:space="preserve">Según </w:t>
      </w:r>
      <w:r w:rsidR="00B057D4">
        <w:rPr>
          <w:sz w:val="20"/>
          <w:szCs w:val="20"/>
        </w:rPr>
        <w:t>el peticionario</w:t>
      </w:r>
      <w:r w:rsidRPr="009638C3">
        <w:rPr>
          <w:sz w:val="20"/>
          <w:szCs w:val="20"/>
        </w:rPr>
        <w:t>, las viudas de los extrabajadores concurrieron a la Sala Tercera de la Corte Suprema de Justicia de Panamá, donde los fallos son inapelables</w:t>
      </w:r>
      <w:r w:rsidR="00A42177">
        <w:rPr>
          <w:sz w:val="20"/>
          <w:szCs w:val="20"/>
        </w:rPr>
        <w:t xml:space="preserve"> y</w:t>
      </w:r>
      <w:r w:rsidRPr="009638C3">
        <w:rPr>
          <w:sz w:val="20"/>
          <w:szCs w:val="20"/>
        </w:rPr>
        <w:t xml:space="preserve"> definitivos, por lo que en el plano interno</w:t>
      </w:r>
      <w:r w:rsidR="00A42177">
        <w:rPr>
          <w:sz w:val="20"/>
          <w:szCs w:val="20"/>
        </w:rPr>
        <w:t xml:space="preserve"> sus</w:t>
      </w:r>
      <w:r w:rsidRPr="009638C3">
        <w:rPr>
          <w:sz w:val="20"/>
          <w:szCs w:val="20"/>
        </w:rPr>
        <w:t xml:space="preserve"> derechos han sido conculcados para siempre. Por otra parte, el Estado no estableció otros mecanismos internos viables, no contenciosos, para solucionar los efectos de la violación del Decreto Ejecutivo No. 42 de 1997, </w:t>
      </w:r>
      <w:r w:rsidR="00A42177">
        <w:rPr>
          <w:sz w:val="20"/>
          <w:szCs w:val="20"/>
        </w:rPr>
        <w:t>ni</w:t>
      </w:r>
      <w:r w:rsidRPr="009638C3">
        <w:rPr>
          <w:sz w:val="20"/>
          <w:szCs w:val="20"/>
        </w:rPr>
        <w:t xml:space="preserve"> acciones sencillas y rápidas, sin costos onerosos. Así, argumenta </w:t>
      </w:r>
      <w:r w:rsidR="00B057D4">
        <w:rPr>
          <w:sz w:val="20"/>
          <w:szCs w:val="20"/>
        </w:rPr>
        <w:t>el peticionario</w:t>
      </w:r>
      <w:r w:rsidRPr="009638C3">
        <w:rPr>
          <w:sz w:val="20"/>
          <w:szCs w:val="20"/>
        </w:rPr>
        <w:t>, no se proporcionó recursos efectivos e idóneos para solucionar el problema.</w:t>
      </w:r>
    </w:p>
    <w:p w14:paraId="291E72AE" w14:textId="77777777" w:rsidR="003B05AD" w:rsidRPr="003B05AD" w:rsidRDefault="003B05AD" w:rsidP="003B05AD">
      <w:pPr>
        <w:ind w:right="278"/>
        <w:rPr>
          <w:sz w:val="20"/>
          <w:szCs w:val="20"/>
          <w:lang w:val="es-419"/>
        </w:rPr>
      </w:pPr>
    </w:p>
    <w:p w14:paraId="0A654AB6" w14:textId="77243BDF" w:rsidR="00EB5F68" w:rsidRPr="003B05AD" w:rsidRDefault="00C70DE6" w:rsidP="003B790E">
      <w:pPr>
        <w:pStyle w:val="ListParagraph"/>
        <w:numPr>
          <w:ilvl w:val="0"/>
          <w:numId w:val="2"/>
        </w:numPr>
        <w:spacing w:before="0"/>
        <w:ind w:left="720" w:right="278" w:firstLine="720"/>
        <w:rPr>
          <w:sz w:val="20"/>
          <w:szCs w:val="20"/>
          <w:lang w:val="es-419"/>
        </w:rPr>
      </w:pPr>
      <w:r>
        <w:rPr>
          <w:sz w:val="20"/>
          <w:szCs w:val="20"/>
          <w:lang w:val="es-419"/>
        </w:rPr>
        <w:t>Sostiene a</w:t>
      </w:r>
      <w:r w:rsidR="009638C3" w:rsidRPr="009638C3">
        <w:rPr>
          <w:sz w:val="20"/>
          <w:szCs w:val="20"/>
          <w:lang w:val="es-419"/>
        </w:rPr>
        <w:t>simismo que e</w:t>
      </w:r>
      <w:r w:rsidR="009638C3" w:rsidRPr="009638C3">
        <w:rPr>
          <w:sz w:val="20"/>
          <w:szCs w:val="20"/>
        </w:rPr>
        <w:t>n las sentencias de mayo y noviembre 2009, se asumió una posición contra la decisión de la Sala Tercera que condenó al Estado y se respetó el criterio de la sentencia 369-05 donde el Estado declaró su responsabilidad frente los ex trabajadores del IHRE, pero sin definir el procedimiento para exigir el pasivo laboral la indemnización correspondiente. En la sentencia de 21 de noviembre de 2011,</w:t>
      </w:r>
      <w:r w:rsidR="008A33E7">
        <w:rPr>
          <w:sz w:val="20"/>
          <w:szCs w:val="20"/>
        </w:rPr>
        <w:t xml:space="preserve"> argumenta </w:t>
      </w:r>
      <w:r w:rsidR="00B057D4">
        <w:rPr>
          <w:sz w:val="20"/>
          <w:szCs w:val="20"/>
        </w:rPr>
        <w:t>el peticionario</w:t>
      </w:r>
      <w:r w:rsidR="008A33E7">
        <w:rPr>
          <w:sz w:val="20"/>
          <w:szCs w:val="20"/>
        </w:rPr>
        <w:t>,</w:t>
      </w:r>
      <w:r w:rsidR="009638C3" w:rsidRPr="009638C3">
        <w:rPr>
          <w:sz w:val="20"/>
          <w:szCs w:val="20"/>
        </w:rPr>
        <w:t xml:space="preserve"> la </w:t>
      </w:r>
      <w:r w:rsidRPr="009638C3">
        <w:rPr>
          <w:sz w:val="20"/>
          <w:szCs w:val="20"/>
        </w:rPr>
        <w:t xml:space="preserve">nueva composición </w:t>
      </w:r>
      <w:r>
        <w:rPr>
          <w:sz w:val="20"/>
          <w:szCs w:val="20"/>
        </w:rPr>
        <w:t xml:space="preserve">de la </w:t>
      </w:r>
      <w:r w:rsidR="009638C3" w:rsidRPr="009638C3">
        <w:rPr>
          <w:sz w:val="20"/>
          <w:szCs w:val="20"/>
        </w:rPr>
        <w:t xml:space="preserve">Sala Tercera </w:t>
      </w:r>
      <w:r w:rsidR="008A33E7">
        <w:rPr>
          <w:sz w:val="20"/>
          <w:szCs w:val="20"/>
        </w:rPr>
        <w:t>desc</w:t>
      </w:r>
      <w:r>
        <w:rPr>
          <w:sz w:val="20"/>
          <w:szCs w:val="20"/>
        </w:rPr>
        <w:t xml:space="preserve">artó </w:t>
      </w:r>
      <w:r w:rsidR="008A33E7">
        <w:rPr>
          <w:sz w:val="20"/>
          <w:szCs w:val="20"/>
        </w:rPr>
        <w:t>la</w:t>
      </w:r>
      <w:r w:rsidR="009638C3" w:rsidRPr="009638C3">
        <w:rPr>
          <w:sz w:val="20"/>
          <w:szCs w:val="20"/>
        </w:rPr>
        <w:t xml:space="preserve"> jurisprudencia sólida anterior, el principio de cosa juzgada, la responsabilidad del Estado previamente declarada, el salvamento de voto de un </w:t>
      </w:r>
      <w:r>
        <w:rPr>
          <w:sz w:val="20"/>
          <w:szCs w:val="20"/>
        </w:rPr>
        <w:t>m</w:t>
      </w:r>
      <w:r w:rsidR="009638C3" w:rsidRPr="009638C3">
        <w:rPr>
          <w:sz w:val="20"/>
          <w:szCs w:val="20"/>
        </w:rPr>
        <w:t xml:space="preserve">agistrado de la Sala anterior, </w:t>
      </w:r>
      <w:r>
        <w:rPr>
          <w:sz w:val="20"/>
          <w:szCs w:val="20"/>
        </w:rPr>
        <w:t xml:space="preserve">y </w:t>
      </w:r>
      <w:r w:rsidR="009638C3" w:rsidRPr="009638C3">
        <w:rPr>
          <w:sz w:val="20"/>
          <w:szCs w:val="20"/>
        </w:rPr>
        <w:t xml:space="preserve">el carácter institucional del sistema. </w:t>
      </w:r>
    </w:p>
    <w:p w14:paraId="0C15CEC3" w14:textId="77777777" w:rsidR="003B05AD" w:rsidRPr="003B05AD" w:rsidRDefault="003B05AD" w:rsidP="003B05AD">
      <w:pPr>
        <w:ind w:right="278"/>
        <w:rPr>
          <w:sz w:val="20"/>
          <w:szCs w:val="20"/>
          <w:lang w:val="es-419"/>
        </w:rPr>
      </w:pPr>
    </w:p>
    <w:p w14:paraId="6463CE9D" w14:textId="1159910A" w:rsidR="00867E4A" w:rsidRPr="002669E6" w:rsidRDefault="00867E4A" w:rsidP="00207D6B">
      <w:pPr>
        <w:pStyle w:val="ListParagraph"/>
        <w:numPr>
          <w:ilvl w:val="0"/>
          <w:numId w:val="2"/>
        </w:numPr>
        <w:spacing w:before="0"/>
        <w:ind w:left="720" w:right="278" w:firstLine="720"/>
        <w:rPr>
          <w:sz w:val="20"/>
          <w:szCs w:val="20"/>
          <w:lang w:val="es-419"/>
        </w:rPr>
      </w:pPr>
      <w:r w:rsidRPr="002669E6">
        <w:rPr>
          <w:sz w:val="20"/>
          <w:szCs w:val="20"/>
          <w:lang w:val="es-419"/>
        </w:rPr>
        <w:t>El Estado, de su parte, informa que la demanda tiene su génesis en los perjuicios ocasiona</w:t>
      </w:r>
      <w:r w:rsidR="00C70DE6" w:rsidRPr="002669E6">
        <w:rPr>
          <w:sz w:val="20"/>
          <w:szCs w:val="20"/>
          <w:lang w:val="es-419"/>
        </w:rPr>
        <w:t>dos</w:t>
      </w:r>
      <w:r w:rsidRPr="002669E6">
        <w:rPr>
          <w:sz w:val="20"/>
          <w:szCs w:val="20"/>
          <w:lang w:val="es-419"/>
        </w:rPr>
        <w:t xml:space="preserve"> a </w:t>
      </w:r>
      <w:r w:rsidR="00C70DE6" w:rsidRPr="002669E6">
        <w:rPr>
          <w:sz w:val="20"/>
          <w:szCs w:val="20"/>
          <w:lang w:val="es-419"/>
        </w:rPr>
        <w:t xml:space="preserve">las personas </w:t>
      </w:r>
      <w:r w:rsidRPr="002669E6">
        <w:rPr>
          <w:sz w:val="20"/>
          <w:szCs w:val="20"/>
          <w:lang w:val="es-419"/>
        </w:rPr>
        <w:t>ex trabajador</w:t>
      </w:r>
      <w:r w:rsidR="00C70DE6" w:rsidRPr="002669E6">
        <w:rPr>
          <w:sz w:val="20"/>
          <w:szCs w:val="20"/>
          <w:lang w:val="es-419"/>
        </w:rPr>
        <w:t>a</w:t>
      </w:r>
      <w:r w:rsidRPr="002669E6">
        <w:rPr>
          <w:sz w:val="20"/>
          <w:szCs w:val="20"/>
          <w:lang w:val="es-419"/>
        </w:rPr>
        <w:t xml:space="preserve">s del IRHE </w:t>
      </w:r>
      <w:r w:rsidR="00C70DE6" w:rsidRPr="002669E6">
        <w:rPr>
          <w:sz w:val="20"/>
          <w:szCs w:val="20"/>
          <w:lang w:val="es-419"/>
        </w:rPr>
        <w:t xml:space="preserve">por </w:t>
      </w:r>
      <w:r w:rsidRPr="002669E6">
        <w:rPr>
          <w:sz w:val="20"/>
          <w:szCs w:val="20"/>
          <w:lang w:val="es-419"/>
        </w:rPr>
        <w:t xml:space="preserve">aplicación del artículo 3º del Decreto Ejecutivo No. 42 de 27 de agosto de 1998. </w:t>
      </w:r>
      <w:r w:rsidR="00C70DE6" w:rsidRPr="002669E6">
        <w:rPr>
          <w:sz w:val="20"/>
          <w:szCs w:val="20"/>
          <w:lang w:val="es-419"/>
        </w:rPr>
        <w:t xml:space="preserve">Señala que los </w:t>
      </w:r>
      <w:r w:rsidRPr="002669E6">
        <w:rPr>
          <w:sz w:val="20"/>
          <w:szCs w:val="20"/>
          <w:lang w:val="es-419"/>
        </w:rPr>
        <w:t xml:space="preserve">cálculos indemnizatorios resultantes fueron los que utilizó el Ministerio del </w:t>
      </w:r>
      <w:r w:rsidRPr="002669E6">
        <w:rPr>
          <w:sz w:val="20"/>
          <w:szCs w:val="20"/>
          <w:lang w:val="es-419"/>
        </w:rPr>
        <w:lastRenderedPageBreak/>
        <w:t xml:space="preserve">Trabajo para liquidar </w:t>
      </w:r>
      <w:r w:rsidR="002669E6" w:rsidRPr="002669E6">
        <w:rPr>
          <w:sz w:val="20"/>
          <w:szCs w:val="20"/>
          <w:lang w:val="es-419"/>
        </w:rPr>
        <w:t xml:space="preserve">los haberes de </w:t>
      </w:r>
      <w:r w:rsidRPr="002669E6">
        <w:rPr>
          <w:sz w:val="20"/>
          <w:szCs w:val="20"/>
          <w:lang w:val="es-419"/>
        </w:rPr>
        <w:t xml:space="preserve">las </w:t>
      </w:r>
      <w:r w:rsidR="00C70DE6" w:rsidRPr="002669E6">
        <w:rPr>
          <w:sz w:val="20"/>
          <w:szCs w:val="20"/>
          <w:lang w:val="es-419"/>
        </w:rPr>
        <w:t>personas ex</w:t>
      </w:r>
      <w:r w:rsidRPr="002669E6">
        <w:rPr>
          <w:sz w:val="20"/>
          <w:szCs w:val="20"/>
          <w:lang w:val="es-419"/>
        </w:rPr>
        <w:t>trabajador</w:t>
      </w:r>
      <w:r w:rsidR="00C70DE6" w:rsidRPr="002669E6">
        <w:rPr>
          <w:sz w:val="20"/>
          <w:szCs w:val="20"/>
          <w:lang w:val="es-419"/>
        </w:rPr>
        <w:t>a</w:t>
      </w:r>
      <w:r w:rsidRPr="002669E6">
        <w:rPr>
          <w:sz w:val="20"/>
          <w:szCs w:val="20"/>
          <w:lang w:val="es-419"/>
        </w:rPr>
        <w:t>s del IRHE</w:t>
      </w:r>
      <w:r w:rsidR="002669E6" w:rsidRPr="002669E6">
        <w:rPr>
          <w:sz w:val="20"/>
          <w:szCs w:val="20"/>
          <w:lang w:val="es-419"/>
        </w:rPr>
        <w:t xml:space="preserve">, y que la </w:t>
      </w:r>
      <w:r w:rsidRPr="002669E6">
        <w:rPr>
          <w:sz w:val="20"/>
          <w:szCs w:val="20"/>
          <w:lang w:val="es-419"/>
        </w:rPr>
        <w:t>Sala Tercera de lo Contencioso Administrativo de la Corte Suprema de Justicia resolvió la nulidad de la frase contenida en el artículo 3º del Decreto Ejecutivo No. 42</w:t>
      </w:r>
      <w:r w:rsidR="002669E6" w:rsidRPr="002669E6">
        <w:rPr>
          <w:sz w:val="20"/>
          <w:szCs w:val="20"/>
          <w:lang w:val="es-419"/>
        </w:rPr>
        <w:t xml:space="preserve"> como se señala más arriba</w:t>
      </w:r>
      <w:r w:rsidRPr="002669E6">
        <w:rPr>
          <w:sz w:val="20"/>
          <w:szCs w:val="20"/>
          <w:lang w:val="es-419"/>
        </w:rPr>
        <w:t xml:space="preserve">. </w:t>
      </w:r>
      <w:r w:rsidR="002669E6" w:rsidRPr="002669E6">
        <w:rPr>
          <w:sz w:val="20"/>
          <w:szCs w:val="20"/>
          <w:lang w:val="es-419"/>
        </w:rPr>
        <w:t xml:space="preserve">En consecuencia, </w:t>
      </w:r>
      <w:r w:rsidRPr="002669E6">
        <w:rPr>
          <w:sz w:val="20"/>
          <w:szCs w:val="20"/>
          <w:lang w:val="es-419"/>
        </w:rPr>
        <w:t xml:space="preserve">las presuntas víctimas </w:t>
      </w:r>
      <w:r w:rsidR="002669E6">
        <w:rPr>
          <w:sz w:val="20"/>
          <w:szCs w:val="20"/>
          <w:lang w:val="es-419"/>
        </w:rPr>
        <w:t xml:space="preserve">reclamaron </w:t>
      </w:r>
      <w:r w:rsidRPr="002669E6">
        <w:rPr>
          <w:sz w:val="20"/>
          <w:szCs w:val="20"/>
          <w:lang w:val="es-419"/>
        </w:rPr>
        <w:t>la diferencia entre la indemnización que efectivamente les pagó el Estado y la que debió pagarles, más una suma de 10% del interés anual con fundamento en el artículo 169 del Código Laboral</w:t>
      </w:r>
      <w:r w:rsidR="002669E6">
        <w:rPr>
          <w:sz w:val="20"/>
          <w:szCs w:val="20"/>
          <w:lang w:val="es-419"/>
        </w:rPr>
        <w:t>,</w:t>
      </w:r>
      <w:r w:rsidRPr="002669E6">
        <w:rPr>
          <w:sz w:val="20"/>
          <w:szCs w:val="20"/>
          <w:lang w:val="es-419"/>
        </w:rPr>
        <w:t xml:space="preserve"> que fija el interés anual por mora.</w:t>
      </w:r>
    </w:p>
    <w:p w14:paraId="0CABAE15" w14:textId="77777777" w:rsidR="004E54E6" w:rsidRDefault="004E54E6" w:rsidP="008135FA">
      <w:pPr>
        <w:rPr>
          <w:sz w:val="20"/>
          <w:szCs w:val="20"/>
          <w:lang w:val="es-419"/>
        </w:rPr>
      </w:pPr>
    </w:p>
    <w:p w14:paraId="63FA3A3E" w14:textId="66F3ED16" w:rsidR="00867E4A" w:rsidRPr="004E54E6" w:rsidRDefault="00867E4A" w:rsidP="004E54E6">
      <w:pPr>
        <w:pStyle w:val="ListParagraph"/>
        <w:numPr>
          <w:ilvl w:val="0"/>
          <w:numId w:val="2"/>
        </w:numPr>
        <w:spacing w:before="0"/>
        <w:ind w:left="720" w:right="278" w:firstLine="720"/>
        <w:rPr>
          <w:sz w:val="20"/>
          <w:szCs w:val="20"/>
          <w:lang w:val="es-419"/>
        </w:rPr>
      </w:pPr>
      <w:r w:rsidRPr="004E54E6">
        <w:rPr>
          <w:sz w:val="20"/>
          <w:szCs w:val="20"/>
          <w:lang w:val="es-419"/>
        </w:rPr>
        <w:t xml:space="preserve">El 2 de julio de 2007, la autoridad judicial admitió la demanda contencioso-administrativa por reparación directa. Sin embargo, la Procuraduría de la Administración interpuso </w:t>
      </w:r>
      <w:r w:rsidR="002669E6" w:rsidRPr="004E54E6">
        <w:rPr>
          <w:sz w:val="20"/>
          <w:szCs w:val="20"/>
          <w:lang w:val="es-419"/>
        </w:rPr>
        <w:t xml:space="preserve">un </w:t>
      </w:r>
      <w:r w:rsidRPr="004E54E6">
        <w:rPr>
          <w:sz w:val="20"/>
          <w:szCs w:val="20"/>
          <w:lang w:val="es-419"/>
        </w:rPr>
        <w:t xml:space="preserve">recurso de apelación bajo </w:t>
      </w:r>
      <w:r w:rsidR="002669E6" w:rsidRPr="004E54E6">
        <w:rPr>
          <w:sz w:val="20"/>
          <w:szCs w:val="20"/>
          <w:lang w:val="es-419"/>
        </w:rPr>
        <w:t>e</w:t>
      </w:r>
      <w:r w:rsidRPr="004E54E6">
        <w:rPr>
          <w:sz w:val="20"/>
          <w:szCs w:val="20"/>
          <w:lang w:val="es-419"/>
        </w:rPr>
        <w:t>l fundamento de ausencia de una norma de competencia aplicable al caso</w:t>
      </w:r>
      <w:r w:rsidR="002669E6" w:rsidRPr="004E54E6">
        <w:rPr>
          <w:sz w:val="20"/>
          <w:szCs w:val="20"/>
          <w:lang w:val="es-419"/>
        </w:rPr>
        <w:t>,</w:t>
      </w:r>
      <w:r w:rsidRPr="004E54E6">
        <w:rPr>
          <w:sz w:val="20"/>
          <w:szCs w:val="20"/>
          <w:lang w:val="es-419"/>
        </w:rPr>
        <w:t xml:space="preserve"> e imposibilidad de aplicación retroactiva de una sentencia que declara la nulidad de un acto administrativo. Según la Procuraduría, la pretensión de las presuntas víctimas no encontraba fundamento en el artículo 97 del Código Judicial, referente a materia indemnizatoria, porque </w:t>
      </w:r>
      <w:r w:rsidR="002669E6" w:rsidRPr="004E54E6">
        <w:rPr>
          <w:sz w:val="20"/>
          <w:szCs w:val="20"/>
          <w:lang w:val="es-419"/>
        </w:rPr>
        <w:t>no hab</w:t>
      </w:r>
      <w:r w:rsidRPr="004E54E6">
        <w:rPr>
          <w:sz w:val="20"/>
          <w:szCs w:val="20"/>
          <w:lang w:val="es-419"/>
        </w:rPr>
        <w:t>ría previsión legal de efecto retroactivo para el contexto de supuestos daños y perjuicios.</w:t>
      </w:r>
    </w:p>
    <w:p w14:paraId="7DB0F5A0" w14:textId="77777777" w:rsidR="003B05AD" w:rsidRPr="002669E6" w:rsidRDefault="003B05AD" w:rsidP="002669E6">
      <w:pPr>
        <w:ind w:left="720" w:right="278"/>
        <w:rPr>
          <w:sz w:val="20"/>
          <w:szCs w:val="20"/>
          <w:lang w:val="es-419"/>
        </w:rPr>
      </w:pPr>
    </w:p>
    <w:p w14:paraId="694C89BC" w14:textId="1E5BE8A4" w:rsidR="00B805CA" w:rsidRPr="002669E6" w:rsidRDefault="00867E4A" w:rsidP="0057160C">
      <w:pPr>
        <w:pStyle w:val="ListParagraph"/>
        <w:numPr>
          <w:ilvl w:val="0"/>
          <w:numId w:val="2"/>
        </w:numPr>
        <w:spacing w:before="0"/>
        <w:ind w:left="720" w:right="278" w:firstLine="720"/>
        <w:rPr>
          <w:sz w:val="20"/>
          <w:szCs w:val="20"/>
          <w:lang w:val="es-419"/>
        </w:rPr>
      </w:pPr>
      <w:r w:rsidRPr="002669E6">
        <w:rPr>
          <w:sz w:val="20"/>
          <w:szCs w:val="20"/>
          <w:lang w:val="es-419"/>
        </w:rPr>
        <w:t xml:space="preserve">El 3 de diciembre de 2007, la decisión anterior </w:t>
      </w:r>
      <w:r w:rsidR="002669E6" w:rsidRPr="002669E6">
        <w:rPr>
          <w:sz w:val="20"/>
          <w:szCs w:val="20"/>
          <w:lang w:val="es-419"/>
        </w:rPr>
        <w:t xml:space="preserve">fue </w:t>
      </w:r>
      <w:r w:rsidRPr="002669E6">
        <w:rPr>
          <w:sz w:val="20"/>
          <w:szCs w:val="20"/>
          <w:lang w:val="es-419"/>
        </w:rPr>
        <w:t xml:space="preserve">confirmada por la Sala Tercera. La demanda fue admitida y se determinó que </w:t>
      </w:r>
      <w:r w:rsidR="002669E6" w:rsidRPr="002669E6">
        <w:rPr>
          <w:sz w:val="20"/>
          <w:szCs w:val="20"/>
          <w:lang w:val="es-419"/>
        </w:rPr>
        <w:t xml:space="preserve">el Estado </w:t>
      </w:r>
      <w:r w:rsidRPr="002669E6">
        <w:rPr>
          <w:sz w:val="20"/>
          <w:szCs w:val="20"/>
          <w:lang w:val="es-419"/>
        </w:rPr>
        <w:t>pagara el monto debido a título de daños y perjuicios materiales y morales causados por el erróneo cálculo de las prestaciones laborales debidas.</w:t>
      </w:r>
      <w:r w:rsidR="002669E6" w:rsidRPr="002669E6">
        <w:rPr>
          <w:sz w:val="20"/>
          <w:szCs w:val="20"/>
          <w:lang w:val="es-419"/>
        </w:rPr>
        <w:t xml:space="preserve"> </w:t>
      </w:r>
      <w:r w:rsidRPr="002669E6">
        <w:rPr>
          <w:sz w:val="20"/>
          <w:szCs w:val="20"/>
          <w:lang w:val="es-419"/>
        </w:rPr>
        <w:t xml:space="preserve">Sin embargo, el 17 de marzo de 2008, mediante una </w:t>
      </w:r>
      <w:r w:rsidR="002669E6">
        <w:rPr>
          <w:sz w:val="20"/>
          <w:szCs w:val="20"/>
          <w:lang w:val="es-419"/>
        </w:rPr>
        <w:t>v</w:t>
      </w:r>
      <w:r w:rsidRPr="002669E6">
        <w:rPr>
          <w:sz w:val="20"/>
          <w:szCs w:val="20"/>
          <w:lang w:val="es-419"/>
        </w:rPr>
        <w:t xml:space="preserve">ista </w:t>
      </w:r>
      <w:r w:rsidR="002669E6">
        <w:rPr>
          <w:sz w:val="20"/>
          <w:szCs w:val="20"/>
          <w:lang w:val="es-419"/>
        </w:rPr>
        <w:t>f</w:t>
      </w:r>
      <w:r w:rsidRPr="002669E6">
        <w:rPr>
          <w:sz w:val="20"/>
          <w:szCs w:val="20"/>
          <w:lang w:val="es-419"/>
        </w:rPr>
        <w:t xml:space="preserve">iscal, la Procuraduría de la Administración volvió a sostener que el Estado no está obligado al pago, </w:t>
      </w:r>
      <w:r w:rsidRPr="002669E6">
        <w:rPr>
          <w:i/>
          <w:iCs/>
          <w:sz w:val="20"/>
          <w:szCs w:val="20"/>
          <w:lang w:val="es-419"/>
        </w:rPr>
        <w:t>inter alia</w:t>
      </w:r>
      <w:r w:rsidRPr="002669E6">
        <w:rPr>
          <w:sz w:val="20"/>
          <w:szCs w:val="20"/>
          <w:lang w:val="es-419"/>
        </w:rPr>
        <w:t xml:space="preserve">, en virtud de la irretroactividad de los actos administrativos. </w:t>
      </w:r>
      <w:r w:rsidR="00120369">
        <w:rPr>
          <w:sz w:val="20"/>
          <w:szCs w:val="20"/>
          <w:lang w:val="es-419"/>
        </w:rPr>
        <w:t>Finalmente</w:t>
      </w:r>
      <w:r w:rsidRPr="002669E6">
        <w:rPr>
          <w:sz w:val="20"/>
          <w:szCs w:val="20"/>
          <w:lang w:val="es-419"/>
        </w:rPr>
        <w:t xml:space="preserve">, mediante </w:t>
      </w:r>
      <w:r w:rsidR="00120369">
        <w:rPr>
          <w:sz w:val="20"/>
          <w:szCs w:val="20"/>
          <w:lang w:val="es-419"/>
        </w:rPr>
        <w:t>r</w:t>
      </w:r>
      <w:r w:rsidRPr="002669E6">
        <w:rPr>
          <w:sz w:val="20"/>
          <w:szCs w:val="20"/>
          <w:lang w:val="es-419"/>
        </w:rPr>
        <w:t xml:space="preserve">esolución </w:t>
      </w:r>
      <w:r w:rsidR="00120369">
        <w:rPr>
          <w:sz w:val="20"/>
          <w:szCs w:val="20"/>
          <w:lang w:val="es-419"/>
        </w:rPr>
        <w:t>de</w:t>
      </w:r>
      <w:r w:rsidRPr="002669E6">
        <w:rPr>
          <w:sz w:val="20"/>
          <w:szCs w:val="20"/>
          <w:lang w:val="es-419"/>
        </w:rPr>
        <w:t xml:space="preserve"> 21 de noviembre de 2011, la Sala Tercera resolvió que no accedía a las pretensiones de los demandantes para conocer del caso, toda vez que la demanda no trataba de indemnizaciones por daños y perjuicios</w:t>
      </w:r>
      <w:r w:rsidR="00120369">
        <w:rPr>
          <w:sz w:val="20"/>
          <w:szCs w:val="20"/>
          <w:lang w:val="es-419"/>
        </w:rPr>
        <w:t>,</w:t>
      </w:r>
      <w:r w:rsidRPr="002669E6">
        <w:rPr>
          <w:sz w:val="20"/>
          <w:szCs w:val="20"/>
          <w:lang w:val="es-419"/>
        </w:rPr>
        <w:t xml:space="preserve"> sino </w:t>
      </w:r>
      <w:r w:rsidR="00120369">
        <w:rPr>
          <w:sz w:val="20"/>
          <w:szCs w:val="20"/>
          <w:lang w:val="es-419"/>
        </w:rPr>
        <w:t>d</w:t>
      </w:r>
      <w:r w:rsidRPr="002669E6">
        <w:rPr>
          <w:sz w:val="20"/>
          <w:szCs w:val="20"/>
          <w:lang w:val="es-419"/>
        </w:rPr>
        <w:t>el pago de una suma de dinero que comprende un pasivo laboral que emana de la nulidad decretada por la Sala en el 2006.</w:t>
      </w:r>
    </w:p>
    <w:bookmarkEnd w:id="3"/>
    <w:p w14:paraId="5B3088A1" w14:textId="77777777" w:rsidR="003B05AD" w:rsidRDefault="003B05AD" w:rsidP="003B05AD">
      <w:pPr>
        <w:pStyle w:val="ListParagraph"/>
        <w:spacing w:before="0"/>
        <w:ind w:left="1440" w:right="278" w:firstLine="0"/>
        <w:rPr>
          <w:b/>
          <w:bCs/>
          <w:sz w:val="20"/>
          <w:szCs w:val="20"/>
        </w:rPr>
      </w:pPr>
    </w:p>
    <w:p w14:paraId="1EDFBEA1" w14:textId="490EE33D" w:rsidR="00C02C7F" w:rsidRPr="003B0E17" w:rsidRDefault="001223F2" w:rsidP="003B790E">
      <w:pPr>
        <w:pStyle w:val="ListParagraph"/>
        <w:numPr>
          <w:ilvl w:val="0"/>
          <w:numId w:val="3"/>
        </w:numPr>
        <w:spacing w:before="0"/>
        <w:ind w:left="810" w:right="278" w:firstLine="630"/>
        <w:rPr>
          <w:b/>
          <w:bCs/>
          <w:sz w:val="20"/>
          <w:szCs w:val="20"/>
        </w:rPr>
      </w:pPr>
      <w:r w:rsidRPr="003B0E17">
        <w:rPr>
          <w:b/>
          <w:bCs/>
          <w:sz w:val="20"/>
          <w:szCs w:val="20"/>
        </w:rPr>
        <w:t>AGOTAMIENTO DE LOS RECURSOS INTERNOS Y PLAZO DE PRESENTACIÓN</w:t>
      </w:r>
    </w:p>
    <w:p w14:paraId="5C51C93A" w14:textId="77777777" w:rsidR="003B05AD" w:rsidRPr="003B05AD" w:rsidRDefault="003B05AD" w:rsidP="003B05AD">
      <w:pPr>
        <w:pStyle w:val="ListParagraph"/>
        <w:spacing w:before="0"/>
        <w:ind w:left="1440" w:right="278" w:firstLine="0"/>
        <w:rPr>
          <w:sz w:val="20"/>
          <w:szCs w:val="20"/>
        </w:rPr>
      </w:pPr>
    </w:p>
    <w:p w14:paraId="2AD1FC85" w14:textId="78882ADB" w:rsidR="004A453E" w:rsidRPr="003E4AA2" w:rsidRDefault="0012481A" w:rsidP="008021CF">
      <w:pPr>
        <w:pStyle w:val="ListParagraph"/>
        <w:numPr>
          <w:ilvl w:val="0"/>
          <w:numId w:val="2"/>
        </w:numPr>
        <w:spacing w:before="0"/>
        <w:ind w:left="720" w:right="278" w:firstLine="720"/>
        <w:rPr>
          <w:sz w:val="20"/>
          <w:szCs w:val="20"/>
        </w:rPr>
      </w:pPr>
      <w:r w:rsidRPr="003E4AA2">
        <w:rPr>
          <w:sz w:val="20"/>
          <w:szCs w:val="20"/>
          <w:lang w:val="es-419"/>
        </w:rPr>
        <w:t xml:space="preserve">El Estado </w:t>
      </w:r>
      <w:r w:rsidR="00796D49" w:rsidRPr="003E4AA2">
        <w:rPr>
          <w:sz w:val="20"/>
          <w:szCs w:val="20"/>
          <w:lang w:val="es-419"/>
        </w:rPr>
        <w:t xml:space="preserve">afirma que se permitió </w:t>
      </w:r>
      <w:r w:rsidR="00120369" w:rsidRPr="003E4AA2">
        <w:rPr>
          <w:sz w:val="20"/>
          <w:szCs w:val="20"/>
          <w:lang w:val="es-419"/>
        </w:rPr>
        <w:t xml:space="preserve">que las presuntas víctimas </w:t>
      </w:r>
      <w:r w:rsidR="00796D49" w:rsidRPr="003E4AA2">
        <w:rPr>
          <w:sz w:val="20"/>
          <w:szCs w:val="20"/>
          <w:lang w:val="es-419"/>
        </w:rPr>
        <w:t>agotar</w:t>
      </w:r>
      <w:r w:rsidR="00120369" w:rsidRPr="003E4AA2">
        <w:rPr>
          <w:sz w:val="20"/>
          <w:szCs w:val="20"/>
          <w:lang w:val="es-419"/>
        </w:rPr>
        <w:t>an</w:t>
      </w:r>
      <w:r w:rsidR="00796D49" w:rsidRPr="003E4AA2">
        <w:rPr>
          <w:sz w:val="20"/>
          <w:szCs w:val="20"/>
          <w:lang w:val="es-419"/>
        </w:rPr>
        <w:t xml:space="preserve"> los recursos </w:t>
      </w:r>
      <w:r w:rsidR="003E4AA2" w:rsidRPr="003E4AA2">
        <w:rPr>
          <w:sz w:val="20"/>
          <w:szCs w:val="20"/>
          <w:lang w:val="es-419"/>
        </w:rPr>
        <w:t>internos, y</w:t>
      </w:r>
      <w:r w:rsidR="001968A3" w:rsidRPr="003E4AA2">
        <w:rPr>
          <w:sz w:val="20"/>
          <w:szCs w:val="20"/>
          <w:lang w:val="es-419"/>
        </w:rPr>
        <w:t xml:space="preserve"> que </w:t>
      </w:r>
      <w:r w:rsidRPr="003E4AA2">
        <w:rPr>
          <w:sz w:val="20"/>
          <w:szCs w:val="20"/>
          <w:lang w:val="es-419"/>
        </w:rPr>
        <w:t xml:space="preserve">ejercieron su derecho de acceso a la justicia con todas las garantías </w:t>
      </w:r>
      <w:r w:rsidR="001968A3" w:rsidRPr="003E4AA2">
        <w:rPr>
          <w:sz w:val="20"/>
          <w:szCs w:val="20"/>
          <w:lang w:val="es-419"/>
        </w:rPr>
        <w:t>de</w:t>
      </w:r>
      <w:r w:rsidRPr="003E4AA2">
        <w:rPr>
          <w:sz w:val="20"/>
          <w:szCs w:val="20"/>
          <w:lang w:val="es-419"/>
        </w:rPr>
        <w:t xml:space="preserve"> la ley y la Constitución. </w:t>
      </w:r>
      <w:r w:rsidR="00B057D4" w:rsidRPr="003E4AA2">
        <w:rPr>
          <w:sz w:val="20"/>
          <w:szCs w:val="20"/>
          <w:lang w:val="es-419"/>
        </w:rPr>
        <w:t>El peticionario</w:t>
      </w:r>
      <w:r w:rsidR="004A453E" w:rsidRPr="003E4AA2">
        <w:rPr>
          <w:sz w:val="20"/>
          <w:szCs w:val="20"/>
          <w:lang w:val="es-419"/>
        </w:rPr>
        <w:t xml:space="preserve">, </w:t>
      </w:r>
      <w:r w:rsidR="003E4AA2">
        <w:rPr>
          <w:sz w:val="20"/>
          <w:szCs w:val="20"/>
          <w:lang w:val="es-419"/>
        </w:rPr>
        <w:t>por</w:t>
      </w:r>
      <w:r w:rsidR="004A453E" w:rsidRPr="003E4AA2">
        <w:rPr>
          <w:sz w:val="20"/>
          <w:szCs w:val="20"/>
          <w:lang w:val="es-419"/>
        </w:rPr>
        <w:t xml:space="preserve"> su parte, afirma que </w:t>
      </w:r>
      <w:r w:rsidR="003E4AA2">
        <w:rPr>
          <w:sz w:val="20"/>
          <w:szCs w:val="20"/>
          <w:lang w:val="es-419"/>
        </w:rPr>
        <w:t>el Estado no cumplió con su deber de ofrecer recursos internos efectivos,</w:t>
      </w:r>
      <w:r w:rsidR="003E4AA2" w:rsidRPr="003E4AA2">
        <w:rPr>
          <w:sz w:val="20"/>
          <w:szCs w:val="20"/>
        </w:rPr>
        <w:t xml:space="preserve"> </w:t>
      </w:r>
      <w:r w:rsidR="003E4AA2" w:rsidRPr="009638C3">
        <w:rPr>
          <w:sz w:val="20"/>
          <w:szCs w:val="20"/>
        </w:rPr>
        <w:t>sencill</w:t>
      </w:r>
      <w:r w:rsidR="003E4AA2">
        <w:rPr>
          <w:sz w:val="20"/>
          <w:szCs w:val="20"/>
        </w:rPr>
        <w:t>o</w:t>
      </w:r>
      <w:r w:rsidR="003E4AA2" w:rsidRPr="009638C3">
        <w:rPr>
          <w:sz w:val="20"/>
          <w:szCs w:val="20"/>
        </w:rPr>
        <w:t>s y rápidas</w:t>
      </w:r>
      <w:r w:rsidR="003E4AA2">
        <w:rPr>
          <w:sz w:val="20"/>
          <w:szCs w:val="20"/>
        </w:rPr>
        <w:t xml:space="preserve"> </w:t>
      </w:r>
      <w:r w:rsidR="003E4AA2" w:rsidRPr="009638C3">
        <w:rPr>
          <w:sz w:val="20"/>
          <w:szCs w:val="20"/>
        </w:rPr>
        <w:t>e idóneos para solucionar el problema.</w:t>
      </w:r>
    </w:p>
    <w:p w14:paraId="36276DFE" w14:textId="77777777" w:rsidR="003B05AD" w:rsidRPr="003E4AA2" w:rsidRDefault="003B05AD" w:rsidP="003E4AA2">
      <w:pPr>
        <w:ind w:left="720" w:right="278"/>
        <w:rPr>
          <w:sz w:val="20"/>
          <w:szCs w:val="20"/>
        </w:rPr>
      </w:pPr>
    </w:p>
    <w:p w14:paraId="31B7FFB9" w14:textId="3E1881BA" w:rsidR="00280994" w:rsidRPr="00B25B11" w:rsidRDefault="004A453E" w:rsidP="003B790E">
      <w:pPr>
        <w:pStyle w:val="ListParagraph"/>
        <w:numPr>
          <w:ilvl w:val="0"/>
          <w:numId w:val="2"/>
        </w:numPr>
        <w:spacing w:before="0"/>
        <w:ind w:left="720" w:right="278" w:firstLine="720"/>
        <w:rPr>
          <w:sz w:val="20"/>
          <w:szCs w:val="20"/>
        </w:rPr>
      </w:pPr>
      <w:r w:rsidRPr="00B25B11">
        <w:rPr>
          <w:sz w:val="20"/>
          <w:szCs w:val="20"/>
          <w:lang w:val="es-419"/>
        </w:rPr>
        <w:t xml:space="preserve">La Comisión Interamericana nota que el objeto principal de la denuncia es la </w:t>
      </w:r>
      <w:r w:rsidR="008B63D5">
        <w:rPr>
          <w:sz w:val="20"/>
          <w:szCs w:val="20"/>
          <w:lang w:val="es-419"/>
        </w:rPr>
        <w:t xml:space="preserve">supuesta </w:t>
      </w:r>
      <w:r w:rsidRPr="00B25B11">
        <w:rPr>
          <w:sz w:val="20"/>
          <w:szCs w:val="20"/>
          <w:lang w:val="es-419"/>
        </w:rPr>
        <w:t xml:space="preserve">falta de pago del monto total </w:t>
      </w:r>
      <w:r w:rsidR="00B12448" w:rsidRPr="00B25B11">
        <w:rPr>
          <w:sz w:val="20"/>
          <w:szCs w:val="20"/>
          <w:lang w:val="es-419"/>
        </w:rPr>
        <w:t xml:space="preserve">referente a </w:t>
      </w:r>
      <w:r w:rsidR="009638C3" w:rsidRPr="009638C3">
        <w:rPr>
          <w:sz w:val="20"/>
          <w:szCs w:val="20"/>
        </w:rPr>
        <w:t>prestaciones laborales</w:t>
      </w:r>
      <w:r w:rsidR="00B12448" w:rsidRPr="00B25B11">
        <w:rPr>
          <w:sz w:val="20"/>
          <w:szCs w:val="20"/>
        </w:rPr>
        <w:t xml:space="preserve"> debido</w:t>
      </w:r>
      <w:r w:rsidRPr="00B25B11">
        <w:rPr>
          <w:sz w:val="20"/>
          <w:szCs w:val="20"/>
          <w:lang w:val="es-419"/>
        </w:rPr>
        <w:t xml:space="preserve"> a las</w:t>
      </w:r>
      <w:r w:rsidR="008B63D5">
        <w:rPr>
          <w:sz w:val="20"/>
          <w:szCs w:val="20"/>
          <w:lang w:val="es-419"/>
        </w:rPr>
        <w:t xml:space="preserve"> personas</w:t>
      </w:r>
      <w:r w:rsidRPr="00B25B11">
        <w:rPr>
          <w:sz w:val="20"/>
          <w:szCs w:val="20"/>
          <w:lang w:val="es-419"/>
        </w:rPr>
        <w:t xml:space="preserve"> trabajador</w:t>
      </w:r>
      <w:r w:rsidR="008B63D5">
        <w:rPr>
          <w:sz w:val="20"/>
          <w:szCs w:val="20"/>
          <w:lang w:val="es-419"/>
        </w:rPr>
        <w:t>a</w:t>
      </w:r>
      <w:r w:rsidRPr="00B25B11">
        <w:rPr>
          <w:sz w:val="20"/>
          <w:szCs w:val="20"/>
          <w:lang w:val="es-419"/>
        </w:rPr>
        <w:t>s del IRHE</w:t>
      </w:r>
      <w:r w:rsidR="009638C3" w:rsidRPr="009638C3">
        <w:rPr>
          <w:sz w:val="20"/>
          <w:szCs w:val="20"/>
        </w:rPr>
        <w:t xml:space="preserve"> que se acogieron a la terminación definitiva de sus servicios</w:t>
      </w:r>
      <w:r w:rsidR="00B12448" w:rsidRPr="00B25B11">
        <w:rPr>
          <w:sz w:val="20"/>
          <w:szCs w:val="20"/>
        </w:rPr>
        <w:t xml:space="preserve"> luego de </w:t>
      </w:r>
      <w:r w:rsidR="008B63D5">
        <w:rPr>
          <w:sz w:val="20"/>
          <w:szCs w:val="20"/>
        </w:rPr>
        <w:t>la</w:t>
      </w:r>
      <w:r w:rsidR="00B12448" w:rsidRPr="00B25B11">
        <w:rPr>
          <w:sz w:val="20"/>
          <w:szCs w:val="20"/>
        </w:rPr>
        <w:t xml:space="preserve"> privatización</w:t>
      </w:r>
      <w:r w:rsidR="008B63D5">
        <w:rPr>
          <w:sz w:val="20"/>
          <w:szCs w:val="20"/>
        </w:rPr>
        <w:t xml:space="preserve"> de dicha empresa</w:t>
      </w:r>
      <w:r w:rsidR="00B12448" w:rsidRPr="00B25B11">
        <w:rPr>
          <w:sz w:val="20"/>
          <w:szCs w:val="20"/>
        </w:rPr>
        <w:t xml:space="preserve">, </w:t>
      </w:r>
      <w:r w:rsidRPr="00B25B11">
        <w:rPr>
          <w:sz w:val="20"/>
          <w:szCs w:val="20"/>
          <w:lang w:val="es-419"/>
        </w:rPr>
        <w:t xml:space="preserve">en perjuicio de </w:t>
      </w:r>
      <w:r w:rsidR="0046033A">
        <w:rPr>
          <w:sz w:val="20"/>
          <w:szCs w:val="20"/>
          <w:lang w:val="es-419"/>
        </w:rPr>
        <w:t>aquellas</w:t>
      </w:r>
      <w:r w:rsidRPr="00B25B11">
        <w:rPr>
          <w:sz w:val="20"/>
          <w:szCs w:val="20"/>
          <w:lang w:val="es-419"/>
        </w:rPr>
        <w:t xml:space="preserve"> y sus familias.</w:t>
      </w:r>
      <w:r w:rsidR="00B12448" w:rsidRPr="00B25B11">
        <w:rPr>
          <w:sz w:val="20"/>
          <w:szCs w:val="20"/>
          <w:lang w:val="es-419"/>
        </w:rPr>
        <w:t xml:space="preserve"> Las demandas </w:t>
      </w:r>
      <w:r w:rsidR="0046033A">
        <w:rPr>
          <w:sz w:val="20"/>
          <w:szCs w:val="20"/>
          <w:lang w:val="es-419"/>
        </w:rPr>
        <w:t>de</w:t>
      </w:r>
      <w:r w:rsidR="00B12448" w:rsidRPr="00B25B11">
        <w:rPr>
          <w:sz w:val="20"/>
          <w:szCs w:val="20"/>
          <w:lang w:val="es-419"/>
        </w:rPr>
        <w:t xml:space="preserve"> </w:t>
      </w:r>
      <w:r w:rsidR="0046033A" w:rsidRPr="00B25B11">
        <w:rPr>
          <w:sz w:val="20"/>
          <w:szCs w:val="20"/>
          <w:lang w:val="es-419"/>
        </w:rPr>
        <w:t>reparación</w:t>
      </w:r>
      <w:r w:rsidR="00B12448" w:rsidRPr="00B25B11">
        <w:rPr>
          <w:sz w:val="20"/>
          <w:szCs w:val="20"/>
          <w:lang w:val="es-419"/>
        </w:rPr>
        <w:t xml:space="preserve"> directa interpuestas </w:t>
      </w:r>
      <w:r w:rsidR="0046033A" w:rsidRPr="00B25B11">
        <w:rPr>
          <w:sz w:val="20"/>
          <w:szCs w:val="20"/>
          <w:lang w:val="es-419"/>
        </w:rPr>
        <w:t xml:space="preserve">en mayo de 2007 </w:t>
      </w:r>
      <w:r w:rsidR="00B12448" w:rsidRPr="00B25B11">
        <w:rPr>
          <w:sz w:val="20"/>
          <w:szCs w:val="20"/>
          <w:lang w:val="es-419"/>
        </w:rPr>
        <w:t xml:space="preserve">por las presuntas víctimas </w:t>
      </w:r>
      <w:r w:rsidR="0046033A">
        <w:rPr>
          <w:sz w:val="20"/>
          <w:szCs w:val="20"/>
          <w:lang w:val="es-419"/>
        </w:rPr>
        <w:t>en el ámbito interno</w:t>
      </w:r>
      <w:r w:rsidR="00B12448" w:rsidRPr="00B25B11">
        <w:rPr>
          <w:sz w:val="20"/>
          <w:szCs w:val="20"/>
          <w:lang w:val="es-419"/>
        </w:rPr>
        <w:t xml:space="preserve"> permitieron al Estado conocer y remediar la situación bajo análisis. </w:t>
      </w:r>
      <w:r w:rsidR="0046033A">
        <w:rPr>
          <w:sz w:val="20"/>
          <w:szCs w:val="20"/>
          <w:lang w:val="es-419"/>
        </w:rPr>
        <w:t>Por lo tanto</w:t>
      </w:r>
      <w:r w:rsidR="00B12448" w:rsidRPr="00B25B11">
        <w:rPr>
          <w:sz w:val="20"/>
          <w:szCs w:val="20"/>
          <w:lang w:val="es-419"/>
        </w:rPr>
        <w:t>, la C</w:t>
      </w:r>
      <w:r w:rsidR="0046033A">
        <w:rPr>
          <w:sz w:val="20"/>
          <w:szCs w:val="20"/>
          <w:lang w:val="es-419"/>
        </w:rPr>
        <w:t>IDH</w:t>
      </w:r>
      <w:r w:rsidR="00B12448" w:rsidRPr="00B25B11">
        <w:rPr>
          <w:sz w:val="20"/>
          <w:szCs w:val="20"/>
          <w:lang w:val="es-419"/>
        </w:rPr>
        <w:t xml:space="preserve"> </w:t>
      </w:r>
      <w:r w:rsidR="0046033A">
        <w:rPr>
          <w:sz w:val="20"/>
          <w:szCs w:val="20"/>
          <w:lang w:val="es-419"/>
        </w:rPr>
        <w:t>estima que</w:t>
      </w:r>
      <w:r w:rsidR="00B12448" w:rsidRPr="00B25B11">
        <w:rPr>
          <w:sz w:val="20"/>
          <w:szCs w:val="20"/>
          <w:lang w:val="es-419"/>
        </w:rPr>
        <w:t xml:space="preserve"> los recursos internos </w:t>
      </w:r>
      <w:r w:rsidR="0046033A">
        <w:rPr>
          <w:sz w:val="20"/>
          <w:szCs w:val="20"/>
          <w:lang w:val="es-419"/>
        </w:rPr>
        <w:t xml:space="preserve">se agotaron </w:t>
      </w:r>
      <w:r w:rsidR="00B12448" w:rsidRPr="00B25B11">
        <w:rPr>
          <w:sz w:val="20"/>
          <w:szCs w:val="20"/>
          <w:lang w:val="es-419"/>
        </w:rPr>
        <w:t>con la mediante resolución de fecha 21 de noviembre de 2011</w:t>
      </w:r>
      <w:r w:rsidR="0046033A" w:rsidRPr="0046033A">
        <w:rPr>
          <w:sz w:val="20"/>
          <w:szCs w:val="20"/>
          <w:lang w:val="es-419"/>
        </w:rPr>
        <w:t xml:space="preserve"> </w:t>
      </w:r>
      <w:r w:rsidR="0046033A">
        <w:rPr>
          <w:sz w:val="20"/>
          <w:szCs w:val="20"/>
          <w:lang w:val="es-419"/>
        </w:rPr>
        <w:t xml:space="preserve">que </w:t>
      </w:r>
      <w:r w:rsidR="0046033A" w:rsidRPr="00B25B11">
        <w:rPr>
          <w:sz w:val="20"/>
          <w:szCs w:val="20"/>
          <w:lang w:val="es-419"/>
        </w:rPr>
        <w:t>conclu</w:t>
      </w:r>
      <w:r w:rsidR="0046033A">
        <w:rPr>
          <w:sz w:val="20"/>
          <w:szCs w:val="20"/>
          <w:lang w:val="es-419"/>
        </w:rPr>
        <w:t>y</w:t>
      </w:r>
      <w:r w:rsidR="0046033A" w:rsidRPr="00B25B11">
        <w:rPr>
          <w:sz w:val="20"/>
          <w:szCs w:val="20"/>
          <w:lang w:val="es-419"/>
        </w:rPr>
        <w:t>ó dichas demandas</w:t>
      </w:r>
      <w:r w:rsidR="00B12448" w:rsidRPr="00B25B11">
        <w:rPr>
          <w:sz w:val="20"/>
          <w:szCs w:val="20"/>
          <w:lang w:val="es-419"/>
        </w:rPr>
        <w:t xml:space="preserve">. </w:t>
      </w:r>
      <w:r w:rsidR="0046033A">
        <w:rPr>
          <w:sz w:val="20"/>
          <w:szCs w:val="20"/>
          <w:lang w:val="es-419"/>
        </w:rPr>
        <w:t>El expediente revela que la</w:t>
      </w:r>
      <w:r w:rsidR="00B12448" w:rsidRPr="00B25B11">
        <w:rPr>
          <w:sz w:val="20"/>
          <w:szCs w:val="20"/>
          <w:lang w:val="es-419"/>
        </w:rPr>
        <w:t xml:space="preserve"> resolución fue notificada </w:t>
      </w:r>
      <w:r w:rsidR="00614A26" w:rsidRPr="00B25B11">
        <w:rPr>
          <w:sz w:val="20"/>
          <w:szCs w:val="20"/>
          <w:lang w:val="es-419"/>
        </w:rPr>
        <w:t>el 25 de noviembre de 2011</w:t>
      </w:r>
      <w:r w:rsidR="0046033A">
        <w:rPr>
          <w:sz w:val="20"/>
          <w:szCs w:val="20"/>
          <w:lang w:val="es-419"/>
        </w:rPr>
        <w:t>,</w:t>
      </w:r>
      <w:r w:rsidR="00B12448" w:rsidRPr="00B25B11">
        <w:rPr>
          <w:sz w:val="20"/>
          <w:szCs w:val="20"/>
          <w:lang w:val="es-419"/>
        </w:rPr>
        <w:t xml:space="preserve"> y </w:t>
      </w:r>
      <w:r w:rsidR="0046033A">
        <w:rPr>
          <w:sz w:val="20"/>
          <w:szCs w:val="20"/>
          <w:lang w:val="es-419"/>
        </w:rPr>
        <w:t xml:space="preserve">que </w:t>
      </w:r>
      <w:r w:rsidR="00B12448" w:rsidRPr="00B25B11">
        <w:rPr>
          <w:sz w:val="20"/>
          <w:szCs w:val="20"/>
          <w:lang w:val="es-419"/>
        </w:rPr>
        <w:t xml:space="preserve">la </w:t>
      </w:r>
      <w:r w:rsidR="0046033A">
        <w:rPr>
          <w:sz w:val="20"/>
          <w:szCs w:val="20"/>
          <w:lang w:val="es-419"/>
        </w:rPr>
        <w:t xml:space="preserve">petición </w:t>
      </w:r>
      <w:r w:rsidR="00B12448" w:rsidRPr="00B25B11">
        <w:rPr>
          <w:sz w:val="20"/>
          <w:szCs w:val="20"/>
          <w:lang w:val="es-419"/>
        </w:rPr>
        <w:t>fue presentada</w:t>
      </w:r>
      <w:r w:rsidR="00B25B11" w:rsidRPr="00B25B11">
        <w:rPr>
          <w:sz w:val="20"/>
          <w:szCs w:val="20"/>
          <w:lang w:val="es-419"/>
        </w:rPr>
        <w:t xml:space="preserve"> por medio electrónico </w:t>
      </w:r>
      <w:r w:rsidR="00B12448" w:rsidRPr="00B25B11">
        <w:rPr>
          <w:sz w:val="20"/>
          <w:szCs w:val="20"/>
          <w:lang w:val="es-419"/>
        </w:rPr>
        <w:t>el 22 de mayo de 2012</w:t>
      </w:r>
      <w:r w:rsidR="00B25B11" w:rsidRPr="00B25B11">
        <w:rPr>
          <w:sz w:val="20"/>
          <w:szCs w:val="20"/>
          <w:lang w:val="es-419"/>
        </w:rPr>
        <w:t xml:space="preserve">, </w:t>
      </w:r>
      <w:r w:rsidR="0046033A">
        <w:rPr>
          <w:sz w:val="20"/>
          <w:szCs w:val="20"/>
          <w:lang w:val="es-419"/>
        </w:rPr>
        <w:t xml:space="preserve">por lo que </w:t>
      </w:r>
      <w:r w:rsidR="00B25B11" w:rsidRPr="00B25B11">
        <w:rPr>
          <w:sz w:val="20"/>
          <w:szCs w:val="20"/>
          <w:lang w:val="es-419"/>
        </w:rPr>
        <w:t>la C</w:t>
      </w:r>
      <w:r w:rsidR="0046033A">
        <w:rPr>
          <w:sz w:val="20"/>
          <w:szCs w:val="20"/>
          <w:lang w:val="es-419"/>
        </w:rPr>
        <w:t>IDH</w:t>
      </w:r>
      <w:r w:rsidR="00B25B11" w:rsidRPr="00B25B11">
        <w:rPr>
          <w:sz w:val="20"/>
          <w:szCs w:val="20"/>
          <w:lang w:val="es-419"/>
        </w:rPr>
        <w:t xml:space="preserve"> concluye que se cumplió el plazo establecido </w:t>
      </w:r>
      <w:r w:rsidR="0046033A">
        <w:rPr>
          <w:sz w:val="20"/>
          <w:szCs w:val="20"/>
          <w:lang w:val="es-419"/>
        </w:rPr>
        <w:t>en</w:t>
      </w:r>
      <w:r w:rsidR="00B25B11" w:rsidRPr="00B25B11">
        <w:rPr>
          <w:sz w:val="20"/>
          <w:szCs w:val="20"/>
          <w:lang w:val="es-419"/>
        </w:rPr>
        <w:t xml:space="preserve"> el artículo 46.1 (b) de la Convención Americana.</w:t>
      </w:r>
    </w:p>
    <w:p w14:paraId="7CFF151F" w14:textId="77777777" w:rsidR="003B05AD" w:rsidRPr="0046033A" w:rsidRDefault="003B05AD" w:rsidP="0046033A">
      <w:pPr>
        <w:ind w:left="720" w:right="280"/>
        <w:rPr>
          <w:b/>
          <w:bCs/>
          <w:sz w:val="20"/>
          <w:szCs w:val="20"/>
        </w:rPr>
      </w:pPr>
    </w:p>
    <w:p w14:paraId="38F502FD" w14:textId="6D8D83D2" w:rsidR="00BD238C" w:rsidRDefault="00BD238C" w:rsidP="003B790E">
      <w:pPr>
        <w:pStyle w:val="ListParagraph"/>
        <w:numPr>
          <w:ilvl w:val="0"/>
          <w:numId w:val="3"/>
        </w:numPr>
        <w:spacing w:before="0"/>
        <w:ind w:right="280" w:firstLine="270"/>
        <w:rPr>
          <w:b/>
          <w:bCs/>
          <w:sz w:val="20"/>
          <w:szCs w:val="20"/>
        </w:rPr>
      </w:pPr>
      <w:r w:rsidRPr="003B0E17">
        <w:rPr>
          <w:b/>
          <w:bCs/>
          <w:sz w:val="20"/>
          <w:szCs w:val="20"/>
        </w:rPr>
        <w:t>CARACTERIZACIÓN</w:t>
      </w:r>
    </w:p>
    <w:p w14:paraId="69070BD1" w14:textId="77777777" w:rsidR="003E4AA2" w:rsidRPr="003E4AA2" w:rsidRDefault="003E4AA2" w:rsidP="00C91511">
      <w:pPr>
        <w:ind w:right="280"/>
        <w:rPr>
          <w:b/>
          <w:bCs/>
          <w:sz w:val="20"/>
          <w:szCs w:val="20"/>
        </w:rPr>
      </w:pPr>
    </w:p>
    <w:p w14:paraId="7191DCCC" w14:textId="67C3F935" w:rsidR="00BB4CBB" w:rsidRDefault="0046033A" w:rsidP="003B790E">
      <w:pPr>
        <w:pStyle w:val="ListParagraph"/>
        <w:numPr>
          <w:ilvl w:val="0"/>
          <w:numId w:val="2"/>
        </w:numPr>
        <w:spacing w:before="0"/>
        <w:ind w:left="720" w:right="280" w:firstLine="720"/>
        <w:rPr>
          <w:sz w:val="20"/>
          <w:szCs w:val="20"/>
        </w:rPr>
      </w:pPr>
      <w:r>
        <w:rPr>
          <w:sz w:val="20"/>
          <w:szCs w:val="20"/>
        </w:rPr>
        <w:t>El peticionario alega la</w:t>
      </w:r>
      <w:r w:rsidR="00B25B11" w:rsidRPr="00EE15AC">
        <w:rPr>
          <w:sz w:val="20"/>
          <w:szCs w:val="20"/>
          <w:lang w:val="es-419"/>
        </w:rPr>
        <w:t xml:space="preserve"> falta de pago </w:t>
      </w:r>
      <w:r w:rsidR="00EE15AC" w:rsidRPr="00EE15AC">
        <w:rPr>
          <w:sz w:val="20"/>
          <w:szCs w:val="20"/>
          <w:lang w:val="es-419"/>
        </w:rPr>
        <w:t>de</w:t>
      </w:r>
      <w:r w:rsidR="00B25B11" w:rsidRPr="00EE15AC">
        <w:rPr>
          <w:sz w:val="20"/>
          <w:szCs w:val="20"/>
          <w:lang w:val="es-419"/>
        </w:rPr>
        <w:t xml:space="preserve"> </w:t>
      </w:r>
      <w:r w:rsidR="009638C3" w:rsidRPr="009638C3">
        <w:rPr>
          <w:sz w:val="20"/>
          <w:szCs w:val="20"/>
        </w:rPr>
        <w:t>prestaciones</w:t>
      </w:r>
      <w:r w:rsidR="00EE15AC">
        <w:rPr>
          <w:sz w:val="20"/>
          <w:szCs w:val="20"/>
        </w:rPr>
        <w:t xml:space="preserve"> de naturaleza laboral</w:t>
      </w:r>
      <w:r w:rsidR="00B11460">
        <w:rPr>
          <w:sz w:val="20"/>
          <w:szCs w:val="20"/>
        </w:rPr>
        <w:t xml:space="preserve"> asociadas a controversias sobre la validez de la legislación interna y los cálculos resultantes de </w:t>
      </w:r>
      <w:r>
        <w:rPr>
          <w:sz w:val="20"/>
          <w:szCs w:val="20"/>
        </w:rPr>
        <w:t>ella</w:t>
      </w:r>
      <w:r w:rsidR="00C91511">
        <w:rPr>
          <w:sz w:val="20"/>
          <w:szCs w:val="20"/>
        </w:rPr>
        <w:t xml:space="preserve">. Afirma asimismo </w:t>
      </w:r>
      <w:r>
        <w:rPr>
          <w:sz w:val="20"/>
          <w:szCs w:val="20"/>
        </w:rPr>
        <w:t xml:space="preserve">que tal problema no fue </w:t>
      </w:r>
      <w:r w:rsidR="00EE15AC">
        <w:rPr>
          <w:sz w:val="20"/>
          <w:szCs w:val="20"/>
        </w:rPr>
        <w:t>corre</w:t>
      </w:r>
      <w:r>
        <w:rPr>
          <w:sz w:val="20"/>
          <w:szCs w:val="20"/>
        </w:rPr>
        <w:t>gi</w:t>
      </w:r>
      <w:r w:rsidR="00C91511">
        <w:rPr>
          <w:sz w:val="20"/>
          <w:szCs w:val="20"/>
        </w:rPr>
        <w:t>d</w:t>
      </w:r>
      <w:r>
        <w:rPr>
          <w:sz w:val="20"/>
          <w:szCs w:val="20"/>
        </w:rPr>
        <w:t>o</w:t>
      </w:r>
      <w:r w:rsidR="00EE15AC">
        <w:rPr>
          <w:sz w:val="20"/>
          <w:szCs w:val="20"/>
        </w:rPr>
        <w:t xml:space="preserve"> </w:t>
      </w:r>
      <w:r w:rsidR="00C91511">
        <w:rPr>
          <w:sz w:val="20"/>
          <w:szCs w:val="20"/>
        </w:rPr>
        <w:t xml:space="preserve">por </w:t>
      </w:r>
      <w:r w:rsidR="00EE15AC">
        <w:rPr>
          <w:sz w:val="20"/>
          <w:szCs w:val="20"/>
        </w:rPr>
        <w:t>las instancias internas</w:t>
      </w:r>
      <w:r w:rsidR="00C91511">
        <w:rPr>
          <w:sz w:val="20"/>
          <w:szCs w:val="20"/>
        </w:rPr>
        <w:t>,</w:t>
      </w:r>
      <w:r w:rsidR="00EE15AC">
        <w:rPr>
          <w:sz w:val="20"/>
          <w:szCs w:val="20"/>
        </w:rPr>
        <w:t xml:space="preserve"> que no reconoc</w:t>
      </w:r>
      <w:r w:rsidR="00C91511">
        <w:rPr>
          <w:sz w:val="20"/>
          <w:szCs w:val="20"/>
        </w:rPr>
        <w:t>ieron</w:t>
      </w:r>
      <w:r w:rsidR="00EE15AC">
        <w:rPr>
          <w:sz w:val="20"/>
          <w:szCs w:val="20"/>
        </w:rPr>
        <w:t xml:space="preserve"> los derechos de las presuntas víctimas</w:t>
      </w:r>
      <w:r w:rsidR="008D5B63">
        <w:rPr>
          <w:sz w:val="20"/>
          <w:szCs w:val="20"/>
        </w:rPr>
        <w:t xml:space="preserve"> </w:t>
      </w:r>
      <w:r w:rsidR="00C91511">
        <w:rPr>
          <w:sz w:val="20"/>
          <w:szCs w:val="20"/>
        </w:rPr>
        <w:t xml:space="preserve">y </w:t>
      </w:r>
      <w:r w:rsidR="008D5B63">
        <w:rPr>
          <w:sz w:val="20"/>
          <w:szCs w:val="20"/>
        </w:rPr>
        <w:t>trataron su situación de manera distinta y discriminatoria en comparación con decisiones en casos de idéntico objeto.</w:t>
      </w:r>
      <w:r w:rsidR="00C91511" w:rsidRPr="00C91511">
        <w:rPr>
          <w:sz w:val="20"/>
          <w:szCs w:val="20"/>
          <w:lang w:val="es-419"/>
        </w:rPr>
        <w:t xml:space="preserve"> </w:t>
      </w:r>
      <w:r w:rsidR="00C91511">
        <w:rPr>
          <w:sz w:val="20"/>
          <w:szCs w:val="20"/>
          <w:lang w:val="es-419"/>
        </w:rPr>
        <w:t>Por su parte, el Estado afirma que</w:t>
      </w:r>
      <w:r w:rsidR="00C91511" w:rsidRPr="004A453E">
        <w:rPr>
          <w:sz w:val="20"/>
          <w:szCs w:val="20"/>
          <w:lang w:val="es-419"/>
        </w:rPr>
        <w:t xml:space="preserve"> la denuncia está basada en un fallo desfavorable para las presuntas víctimas</w:t>
      </w:r>
      <w:r w:rsidR="00C91511">
        <w:rPr>
          <w:sz w:val="20"/>
          <w:szCs w:val="20"/>
          <w:lang w:val="es-419"/>
        </w:rPr>
        <w:t>, y que</w:t>
      </w:r>
      <w:r w:rsidR="00C91511" w:rsidRPr="004A453E">
        <w:rPr>
          <w:sz w:val="20"/>
          <w:szCs w:val="20"/>
          <w:lang w:val="es-419"/>
        </w:rPr>
        <w:t xml:space="preserve"> la petición es inadmisible por </w:t>
      </w:r>
      <w:r w:rsidR="00C91511">
        <w:rPr>
          <w:sz w:val="20"/>
          <w:szCs w:val="20"/>
          <w:lang w:val="es-419"/>
        </w:rPr>
        <w:t xml:space="preserve">falta de </w:t>
      </w:r>
      <w:r w:rsidR="00C91511" w:rsidRPr="004A453E">
        <w:rPr>
          <w:sz w:val="20"/>
          <w:szCs w:val="20"/>
          <w:lang w:val="es-419"/>
        </w:rPr>
        <w:t xml:space="preserve">elementos que comprueben responsabilidad internacional de Panamá. </w:t>
      </w:r>
    </w:p>
    <w:p w14:paraId="380A01B8" w14:textId="77777777" w:rsidR="0046033A" w:rsidRPr="00BD1552" w:rsidRDefault="0046033A" w:rsidP="00BD1552">
      <w:pPr>
        <w:ind w:left="720" w:right="280"/>
        <w:rPr>
          <w:sz w:val="20"/>
          <w:szCs w:val="20"/>
        </w:rPr>
      </w:pPr>
    </w:p>
    <w:p w14:paraId="5341185B" w14:textId="31E867CA" w:rsidR="0046033A" w:rsidRDefault="0046033A" w:rsidP="0046033A">
      <w:pPr>
        <w:pStyle w:val="ListParagraph"/>
        <w:numPr>
          <w:ilvl w:val="0"/>
          <w:numId w:val="2"/>
        </w:numPr>
        <w:spacing w:before="0"/>
        <w:ind w:left="720" w:right="280" w:firstLine="720"/>
        <w:rPr>
          <w:sz w:val="20"/>
          <w:szCs w:val="20"/>
        </w:rPr>
      </w:pPr>
      <w:r>
        <w:rPr>
          <w:sz w:val="20"/>
          <w:szCs w:val="20"/>
        </w:rPr>
        <w:t>E</w:t>
      </w:r>
      <w:r w:rsidRPr="00B11460">
        <w:rPr>
          <w:sz w:val="20"/>
          <w:szCs w:val="20"/>
        </w:rPr>
        <w:t xml:space="preserve">n esta etapa del procedimiento </w:t>
      </w:r>
      <w:r>
        <w:rPr>
          <w:sz w:val="20"/>
          <w:szCs w:val="20"/>
        </w:rPr>
        <w:t xml:space="preserve">no corresponde </w:t>
      </w:r>
      <w:r w:rsidRPr="00B11460">
        <w:rPr>
          <w:sz w:val="20"/>
          <w:szCs w:val="20"/>
        </w:rPr>
        <w:t xml:space="preserve">establecer si se verifica o no una violación de la Convención Americana. A </w:t>
      </w:r>
      <w:r w:rsidR="00C91511">
        <w:rPr>
          <w:sz w:val="20"/>
          <w:szCs w:val="20"/>
        </w:rPr>
        <w:t xml:space="preserve">efectos </w:t>
      </w:r>
      <w:r w:rsidRPr="00B11460">
        <w:rPr>
          <w:sz w:val="20"/>
          <w:szCs w:val="20"/>
        </w:rPr>
        <w:t>de la admisibilidad, la CIDH debe decidir si los alegatos exponen hechos que podrían c</w:t>
      </w:r>
      <w:r w:rsidR="00BD1552">
        <w:rPr>
          <w:sz w:val="20"/>
          <w:szCs w:val="20"/>
        </w:rPr>
        <w:t>onstituir</w:t>
      </w:r>
      <w:r w:rsidRPr="00B11460">
        <w:rPr>
          <w:sz w:val="20"/>
          <w:szCs w:val="20"/>
        </w:rPr>
        <w:t xml:space="preserve"> una violación </w:t>
      </w:r>
      <w:r w:rsidR="00BD1552">
        <w:rPr>
          <w:sz w:val="20"/>
          <w:szCs w:val="20"/>
        </w:rPr>
        <w:t>de</w:t>
      </w:r>
      <w:r w:rsidRPr="00B11460">
        <w:rPr>
          <w:sz w:val="20"/>
          <w:szCs w:val="20"/>
        </w:rPr>
        <w:t xml:space="preserve"> la Convención Americana, según estipula su artículo 47</w:t>
      </w:r>
      <w:r w:rsidR="00BD1552">
        <w:rPr>
          <w:sz w:val="20"/>
          <w:szCs w:val="20"/>
        </w:rPr>
        <w:t>(</w:t>
      </w:r>
      <w:r w:rsidRPr="00B11460">
        <w:rPr>
          <w:sz w:val="20"/>
          <w:szCs w:val="20"/>
        </w:rPr>
        <w:t>b</w:t>
      </w:r>
      <w:r w:rsidR="00BD1552">
        <w:rPr>
          <w:sz w:val="20"/>
          <w:szCs w:val="20"/>
        </w:rPr>
        <w:t>);</w:t>
      </w:r>
      <w:r w:rsidRPr="00B11460">
        <w:rPr>
          <w:sz w:val="20"/>
          <w:szCs w:val="20"/>
        </w:rPr>
        <w:t xml:space="preserve"> y si la </w:t>
      </w:r>
      <w:r w:rsidRPr="00B11460">
        <w:rPr>
          <w:sz w:val="20"/>
          <w:szCs w:val="20"/>
        </w:rPr>
        <w:lastRenderedPageBreak/>
        <w:t>petición es manifiestamente infundada o sea evidente su total improcedencia, según el inciso (c) del mismo artículo. El estándar de apreciación de estos extremos es diferente del requerido para decidir sobre el fondo del reclamo. En la presente etapa</w:t>
      </w:r>
      <w:r w:rsidR="00BD1552">
        <w:rPr>
          <w:sz w:val="20"/>
          <w:szCs w:val="20"/>
        </w:rPr>
        <w:t>,</w:t>
      </w:r>
      <w:r w:rsidRPr="00B11460">
        <w:rPr>
          <w:sz w:val="20"/>
          <w:szCs w:val="20"/>
        </w:rPr>
        <w:t xml:space="preserve"> la </w:t>
      </w:r>
      <w:r w:rsidR="00BD1552" w:rsidRPr="00B11460">
        <w:rPr>
          <w:sz w:val="20"/>
          <w:szCs w:val="20"/>
        </w:rPr>
        <w:t>C</w:t>
      </w:r>
      <w:r w:rsidR="00BD1552">
        <w:rPr>
          <w:sz w:val="20"/>
          <w:szCs w:val="20"/>
        </w:rPr>
        <w:t xml:space="preserve">omisión Interamericana </w:t>
      </w:r>
      <w:r w:rsidRPr="00B11460">
        <w:rPr>
          <w:sz w:val="20"/>
          <w:szCs w:val="20"/>
        </w:rPr>
        <w:t xml:space="preserve">debe realizar una evaluación </w:t>
      </w:r>
      <w:r w:rsidRPr="00BD1552">
        <w:rPr>
          <w:i/>
          <w:iCs/>
          <w:sz w:val="20"/>
          <w:szCs w:val="20"/>
        </w:rPr>
        <w:t>prima facie</w:t>
      </w:r>
      <w:r w:rsidRPr="00B11460">
        <w:rPr>
          <w:sz w:val="20"/>
          <w:szCs w:val="20"/>
        </w:rPr>
        <w:t xml:space="preserve"> que no implica un juicio previo o el adelanto de una opinión sobre el fondo.  </w:t>
      </w:r>
    </w:p>
    <w:p w14:paraId="15D2B300" w14:textId="77777777" w:rsidR="003B05AD" w:rsidRDefault="003B05AD" w:rsidP="003B05AD">
      <w:pPr>
        <w:pStyle w:val="ListParagraph"/>
        <w:spacing w:before="0"/>
        <w:ind w:left="1440" w:right="280" w:firstLine="0"/>
        <w:rPr>
          <w:sz w:val="20"/>
          <w:szCs w:val="20"/>
        </w:rPr>
      </w:pPr>
    </w:p>
    <w:p w14:paraId="1DB11208" w14:textId="350D0F02" w:rsidR="003073C6" w:rsidRDefault="00BB4CBB" w:rsidP="003B790E">
      <w:pPr>
        <w:pStyle w:val="ListParagraph"/>
        <w:numPr>
          <w:ilvl w:val="0"/>
          <w:numId w:val="2"/>
        </w:numPr>
        <w:spacing w:before="0"/>
        <w:ind w:left="720" w:right="280" w:firstLine="720"/>
        <w:rPr>
          <w:sz w:val="20"/>
          <w:szCs w:val="20"/>
        </w:rPr>
      </w:pPr>
      <w:r w:rsidRPr="003073C6">
        <w:rPr>
          <w:sz w:val="20"/>
          <w:szCs w:val="20"/>
        </w:rPr>
        <w:t xml:space="preserve">La Comisión Interamericana considera que cuando las autoridades judiciales no aplican los mismos criterios para casos idénticos, </w:t>
      </w:r>
      <w:r w:rsidR="00D23873" w:rsidRPr="003073C6">
        <w:rPr>
          <w:sz w:val="20"/>
          <w:szCs w:val="20"/>
        </w:rPr>
        <w:t xml:space="preserve">la diferencia de resultado puede </w:t>
      </w:r>
      <w:r w:rsidR="00BD1552">
        <w:rPr>
          <w:sz w:val="20"/>
          <w:szCs w:val="20"/>
        </w:rPr>
        <w:t>a</w:t>
      </w:r>
      <w:r w:rsidR="00D23873" w:rsidRPr="003073C6">
        <w:rPr>
          <w:sz w:val="20"/>
          <w:szCs w:val="20"/>
        </w:rPr>
        <w:t>meritar el análisis de su compatibilidad con las normas de la Convención Americana, incluid</w:t>
      </w:r>
      <w:r w:rsidR="00BD1552">
        <w:rPr>
          <w:sz w:val="20"/>
          <w:szCs w:val="20"/>
        </w:rPr>
        <w:t>o</w:t>
      </w:r>
      <w:r w:rsidR="00D23873" w:rsidRPr="003073C6">
        <w:rPr>
          <w:sz w:val="20"/>
          <w:szCs w:val="20"/>
        </w:rPr>
        <w:t>s los derechos a las garantías judiciales, protección judicial</w:t>
      </w:r>
      <w:r w:rsidR="00BD1552">
        <w:rPr>
          <w:sz w:val="20"/>
          <w:szCs w:val="20"/>
        </w:rPr>
        <w:t>,</w:t>
      </w:r>
      <w:r w:rsidR="00D23873" w:rsidRPr="003073C6">
        <w:rPr>
          <w:sz w:val="20"/>
          <w:szCs w:val="20"/>
        </w:rPr>
        <w:t xml:space="preserve"> e igualdad y no discriminación.</w:t>
      </w:r>
      <w:r w:rsidR="00D23873" w:rsidRPr="00C608DA">
        <w:rPr>
          <w:rFonts w:asciiTheme="majorHAnsi" w:hAnsiTheme="majorHAnsi"/>
          <w:sz w:val="20"/>
          <w:szCs w:val="20"/>
          <w:vertAlign w:val="superscript"/>
          <w:lang w:val="es-ES_tradnl"/>
        </w:rPr>
        <w:footnoteReference w:id="4"/>
      </w:r>
      <w:r w:rsidR="00D23873" w:rsidRPr="003073C6">
        <w:rPr>
          <w:sz w:val="20"/>
          <w:szCs w:val="20"/>
        </w:rPr>
        <w:t xml:space="preserve"> </w:t>
      </w:r>
    </w:p>
    <w:p w14:paraId="0E7950C8" w14:textId="77777777" w:rsidR="003B05AD" w:rsidRPr="00BD1552" w:rsidRDefault="003B05AD" w:rsidP="00BD1552">
      <w:pPr>
        <w:ind w:left="720" w:right="280"/>
        <w:rPr>
          <w:sz w:val="20"/>
          <w:szCs w:val="20"/>
        </w:rPr>
      </w:pPr>
    </w:p>
    <w:p w14:paraId="1182AABF" w14:textId="6A5A0D22" w:rsidR="00D23873" w:rsidRDefault="00D23873" w:rsidP="003B790E">
      <w:pPr>
        <w:pStyle w:val="ListParagraph"/>
        <w:numPr>
          <w:ilvl w:val="0"/>
          <w:numId w:val="2"/>
        </w:numPr>
        <w:spacing w:before="0"/>
        <w:ind w:left="720" w:right="280" w:firstLine="720"/>
        <w:rPr>
          <w:sz w:val="20"/>
          <w:szCs w:val="20"/>
        </w:rPr>
      </w:pPr>
      <w:r w:rsidRPr="003073C6">
        <w:rPr>
          <w:sz w:val="20"/>
          <w:szCs w:val="20"/>
        </w:rPr>
        <w:t xml:space="preserve">Adicionalmente, </w:t>
      </w:r>
      <w:r w:rsidR="00BD1552">
        <w:rPr>
          <w:sz w:val="20"/>
          <w:szCs w:val="20"/>
        </w:rPr>
        <w:t xml:space="preserve">cabe señalar que </w:t>
      </w:r>
      <w:r w:rsidRPr="003073C6">
        <w:rPr>
          <w:sz w:val="20"/>
          <w:szCs w:val="20"/>
        </w:rPr>
        <w:t xml:space="preserve">el artículo 26 de la Convención Americana puede resultar vulnerado en contextos de falta de pago integral </w:t>
      </w:r>
      <w:r w:rsidR="00BD1552">
        <w:rPr>
          <w:sz w:val="20"/>
          <w:szCs w:val="20"/>
        </w:rPr>
        <w:t>de</w:t>
      </w:r>
      <w:r w:rsidRPr="003073C6">
        <w:rPr>
          <w:sz w:val="20"/>
          <w:szCs w:val="20"/>
        </w:rPr>
        <w:t xml:space="preserve"> prestaciones de naturaleza laboral</w:t>
      </w:r>
      <w:r w:rsidR="001542E8" w:rsidRPr="003073C6">
        <w:rPr>
          <w:sz w:val="20"/>
          <w:szCs w:val="20"/>
        </w:rPr>
        <w:t xml:space="preserve">. </w:t>
      </w:r>
      <w:r w:rsidR="00BD1552">
        <w:rPr>
          <w:sz w:val="20"/>
          <w:szCs w:val="20"/>
        </w:rPr>
        <w:t>En efecto,</w:t>
      </w:r>
      <w:r w:rsidR="001542E8" w:rsidRPr="003073C6">
        <w:rPr>
          <w:sz w:val="20"/>
          <w:szCs w:val="20"/>
        </w:rPr>
        <w:t xml:space="preserve"> el derecho al trabajo es protegido, </w:t>
      </w:r>
      <w:r w:rsidR="001542E8" w:rsidRPr="003073C6">
        <w:rPr>
          <w:i/>
          <w:iCs/>
          <w:sz w:val="20"/>
          <w:szCs w:val="20"/>
        </w:rPr>
        <w:t>inter alia</w:t>
      </w:r>
      <w:r w:rsidR="001542E8" w:rsidRPr="003073C6">
        <w:rPr>
          <w:sz w:val="20"/>
          <w:szCs w:val="20"/>
        </w:rPr>
        <w:t xml:space="preserve">, por </w:t>
      </w:r>
      <w:r w:rsidR="00BD1552">
        <w:rPr>
          <w:sz w:val="20"/>
          <w:szCs w:val="20"/>
        </w:rPr>
        <w:t xml:space="preserve">el </w:t>
      </w:r>
      <w:r w:rsidR="00BD1552" w:rsidRPr="003073C6">
        <w:rPr>
          <w:sz w:val="20"/>
          <w:szCs w:val="20"/>
        </w:rPr>
        <w:t xml:space="preserve">artículo 26 </w:t>
      </w:r>
      <w:r w:rsidR="00BD1552">
        <w:rPr>
          <w:sz w:val="20"/>
          <w:szCs w:val="20"/>
        </w:rPr>
        <w:t xml:space="preserve">de </w:t>
      </w:r>
      <w:r w:rsidR="001542E8" w:rsidRPr="003073C6">
        <w:rPr>
          <w:sz w:val="20"/>
          <w:szCs w:val="20"/>
        </w:rPr>
        <w:t xml:space="preserve">la Convención Americana </w:t>
      </w:r>
      <w:r w:rsidR="00BD1552">
        <w:rPr>
          <w:sz w:val="20"/>
          <w:szCs w:val="20"/>
        </w:rPr>
        <w:t>cuyo</w:t>
      </w:r>
      <w:r w:rsidR="001542E8" w:rsidRPr="003073C6">
        <w:rPr>
          <w:sz w:val="20"/>
          <w:szCs w:val="20"/>
        </w:rPr>
        <w:t xml:space="preserve"> contenido </w:t>
      </w:r>
      <w:r w:rsidR="00BD1552">
        <w:rPr>
          <w:sz w:val="20"/>
          <w:szCs w:val="20"/>
        </w:rPr>
        <w:t>--</w:t>
      </w:r>
      <w:r w:rsidR="001542E8" w:rsidRPr="003073C6">
        <w:rPr>
          <w:sz w:val="20"/>
          <w:szCs w:val="20"/>
        </w:rPr>
        <w:t>a la luz del acceso a la justicia</w:t>
      </w:r>
      <w:r w:rsidR="00BD1552">
        <w:rPr>
          <w:sz w:val="20"/>
          <w:szCs w:val="20"/>
        </w:rPr>
        <w:t>--</w:t>
      </w:r>
      <w:r w:rsidR="001542E8" w:rsidRPr="003073C6">
        <w:rPr>
          <w:sz w:val="20"/>
          <w:szCs w:val="20"/>
        </w:rPr>
        <w:t xml:space="preserve"> incluye el </w:t>
      </w:r>
      <w:r w:rsidR="002A6666" w:rsidRPr="003073C6">
        <w:rPr>
          <w:sz w:val="20"/>
          <w:szCs w:val="20"/>
        </w:rPr>
        <w:t>derecho al pago integral de lo que correspond</w:t>
      </w:r>
      <w:r w:rsidR="00BD1552">
        <w:rPr>
          <w:sz w:val="20"/>
          <w:szCs w:val="20"/>
        </w:rPr>
        <w:t>e</w:t>
      </w:r>
      <w:r w:rsidR="002A6666" w:rsidRPr="003073C6">
        <w:rPr>
          <w:sz w:val="20"/>
          <w:szCs w:val="20"/>
        </w:rPr>
        <w:t xml:space="preserve"> a la persona trabajadora </w:t>
      </w:r>
      <w:r w:rsidR="009B226A" w:rsidRPr="003073C6">
        <w:rPr>
          <w:sz w:val="20"/>
          <w:szCs w:val="20"/>
        </w:rPr>
        <w:t>a partir d</w:t>
      </w:r>
      <w:r w:rsidR="002A6666" w:rsidRPr="003073C6">
        <w:rPr>
          <w:sz w:val="20"/>
          <w:szCs w:val="20"/>
        </w:rPr>
        <w:t>el fin de su vínculo con una entidad privada o pública</w:t>
      </w:r>
      <w:r w:rsidR="00BD1552" w:rsidRPr="00C608DA">
        <w:rPr>
          <w:rFonts w:asciiTheme="majorHAnsi" w:hAnsiTheme="majorHAnsi"/>
          <w:sz w:val="20"/>
          <w:szCs w:val="20"/>
          <w:vertAlign w:val="superscript"/>
          <w:lang w:val="es-ES_tradnl"/>
        </w:rPr>
        <w:footnoteReference w:id="5"/>
      </w:r>
      <w:r w:rsidR="002A6666" w:rsidRPr="003073C6">
        <w:rPr>
          <w:sz w:val="20"/>
          <w:szCs w:val="20"/>
        </w:rPr>
        <w:t>.</w:t>
      </w:r>
    </w:p>
    <w:p w14:paraId="64CA4A13" w14:textId="77777777" w:rsidR="002B4F21" w:rsidRDefault="002B4F21" w:rsidP="002B4F21">
      <w:pPr>
        <w:pStyle w:val="ListParagraph"/>
        <w:spacing w:before="0"/>
        <w:ind w:left="1440" w:right="280" w:firstLine="0"/>
        <w:rPr>
          <w:sz w:val="20"/>
          <w:szCs w:val="20"/>
        </w:rPr>
      </w:pPr>
    </w:p>
    <w:p w14:paraId="79EA76C2" w14:textId="3B72C1DE" w:rsidR="003073C6" w:rsidRPr="002B4F21" w:rsidRDefault="003073C6" w:rsidP="002B4F21">
      <w:pPr>
        <w:pStyle w:val="ListParagraph"/>
        <w:numPr>
          <w:ilvl w:val="0"/>
          <w:numId w:val="2"/>
        </w:numPr>
        <w:spacing w:before="0"/>
        <w:ind w:left="720" w:right="280" w:firstLine="720"/>
        <w:rPr>
          <w:sz w:val="20"/>
          <w:szCs w:val="20"/>
        </w:rPr>
      </w:pPr>
      <w:r w:rsidRPr="002B4F21">
        <w:rPr>
          <w:sz w:val="20"/>
          <w:szCs w:val="20"/>
        </w:rPr>
        <w:t xml:space="preserve">Por otro lado, el derecho a indemnización del artículo 10 de la Convención Americana aducido por </w:t>
      </w:r>
      <w:r w:rsidR="00B057D4" w:rsidRPr="002B4F21">
        <w:rPr>
          <w:sz w:val="20"/>
          <w:szCs w:val="20"/>
        </w:rPr>
        <w:t>el peticionario</w:t>
      </w:r>
      <w:r w:rsidRPr="002B4F21">
        <w:rPr>
          <w:sz w:val="20"/>
          <w:szCs w:val="20"/>
        </w:rPr>
        <w:t xml:space="preserve"> no se aplica al presente caso. Esta norma</w:t>
      </w:r>
      <w:r w:rsidR="00C228AB" w:rsidRPr="002B4F21">
        <w:rPr>
          <w:sz w:val="20"/>
          <w:szCs w:val="20"/>
        </w:rPr>
        <w:t xml:space="preserve"> se refiere a personas condenadas en sentencia firme por error judicial</w:t>
      </w:r>
      <w:r w:rsidR="00377C3C">
        <w:rPr>
          <w:sz w:val="20"/>
          <w:szCs w:val="20"/>
        </w:rPr>
        <w:t>,</w:t>
      </w:r>
      <w:r w:rsidR="00C228AB" w:rsidRPr="002B4F21">
        <w:rPr>
          <w:sz w:val="20"/>
          <w:szCs w:val="20"/>
        </w:rPr>
        <w:t xml:space="preserve"> situación diferente de la </w:t>
      </w:r>
      <w:r w:rsidR="00377C3C">
        <w:rPr>
          <w:sz w:val="20"/>
          <w:szCs w:val="20"/>
        </w:rPr>
        <w:t>que se halla bajo análisis</w:t>
      </w:r>
      <w:r w:rsidR="00C228AB" w:rsidRPr="002B4F21">
        <w:rPr>
          <w:sz w:val="20"/>
          <w:szCs w:val="20"/>
        </w:rPr>
        <w:t>. La indemnización aquí reclamada es de otra naturaleza.</w:t>
      </w:r>
    </w:p>
    <w:p w14:paraId="7B22D09E" w14:textId="77777777" w:rsidR="002B4F21" w:rsidRPr="00377C3C" w:rsidRDefault="002B4F21" w:rsidP="00377C3C">
      <w:pPr>
        <w:ind w:left="720" w:right="280"/>
        <w:rPr>
          <w:sz w:val="20"/>
          <w:szCs w:val="20"/>
        </w:rPr>
      </w:pPr>
    </w:p>
    <w:p w14:paraId="62D9A674" w14:textId="37E86D9F" w:rsidR="00EE15AC" w:rsidRPr="00BB4CBB" w:rsidRDefault="00BB4CBB" w:rsidP="003B790E">
      <w:pPr>
        <w:pStyle w:val="ListParagraph"/>
        <w:numPr>
          <w:ilvl w:val="0"/>
          <w:numId w:val="2"/>
        </w:numPr>
        <w:spacing w:before="0"/>
        <w:ind w:left="720" w:right="280" w:firstLine="720"/>
        <w:rPr>
          <w:sz w:val="20"/>
          <w:szCs w:val="20"/>
        </w:rPr>
      </w:pPr>
      <w:r>
        <w:rPr>
          <w:sz w:val="20"/>
          <w:szCs w:val="20"/>
        </w:rPr>
        <w:t xml:space="preserve">Ante el expuesto, </w:t>
      </w:r>
      <w:proofErr w:type="gramStart"/>
      <w:r w:rsidR="00C228AB">
        <w:rPr>
          <w:sz w:val="20"/>
          <w:szCs w:val="20"/>
        </w:rPr>
        <w:t>y</w:t>
      </w:r>
      <w:proofErr w:type="gramEnd"/>
      <w:r w:rsidR="00C228AB">
        <w:rPr>
          <w:sz w:val="20"/>
          <w:szCs w:val="20"/>
        </w:rPr>
        <w:t xml:space="preserve"> en conclusión, </w:t>
      </w:r>
      <w:r>
        <w:rPr>
          <w:sz w:val="20"/>
          <w:szCs w:val="20"/>
        </w:rPr>
        <w:t>l</w:t>
      </w:r>
      <w:r w:rsidRPr="00BB4CBB">
        <w:rPr>
          <w:sz w:val="20"/>
          <w:szCs w:val="20"/>
        </w:rPr>
        <w:t>a Comisión estima que de ser probados los hechos alegados</w:t>
      </w:r>
      <w:r>
        <w:rPr>
          <w:sz w:val="20"/>
          <w:szCs w:val="20"/>
        </w:rPr>
        <w:t xml:space="preserve"> </w:t>
      </w:r>
      <w:r w:rsidRPr="00BB4CBB">
        <w:rPr>
          <w:rFonts w:eastAsiaTheme="minorHAnsi"/>
          <w:sz w:val="20"/>
          <w:szCs w:val="20"/>
          <w:lang w:eastAsia="en-US" w:bidi="ar-SA"/>
        </w:rPr>
        <w:t xml:space="preserve">podrían tender a caracterizar una violación </w:t>
      </w:r>
      <w:r w:rsidR="006F2A29">
        <w:rPr>
          <w:rFonts w:eastAsiaTheme="minorHAnsi"/>
          <w:sz w:val="20"/>
          <w:szCs w:val="20"/>
          <w:lang w:eastAsia="en-US" w:bidi="ar-SA"/>
        </w:rPr>
        <w:t xml:space="preserve">de los derechos reconocidos en </w:t>
      </w:r>
      <w:r w:rsidRPr="00BB4CBB">
        <w:rPr>
          <w:rFonts w:eastAsiaTheme="minorHAnsi"/>
          <w:sz w:val="20"/>
          <w:szCs w:val="20"/>
          <w:lang w:eastAsia="en-US" w:bidi="ar-SA"/>
        </w:rPr>
        <w:t>los artículos 8</w:t>
      </w:r>
      <w:r w:rsidR="006F2A29">
        <w:rPr>
          <w:rFonts w:eastAsiaTheme="minorHAnsi"/>
          <w:sz w:val="20"/>
          <w:szCs w:val="20"/>
          <w:lang w:eastAsia="en-US" w:bidi="ar-SA"/>
        </w:rPr>
        <w:t xml:space="preserve"> (garantías judiciales)</w:t>
      </w:r>
      <w:r>
        <w:rPr>
          <w:rFonts w:eastAsiaTheme="minorHAnsi"/>
          <w:sz w:val="20"/>
          <w:szCs w:val="20"/>
          <w:lang w:eastAsia="en-US" w:bidi="ar-SA"/>
        </w:rPr>
        <w:t>, 24</w:t>
      </w:r>
      <w:r w:rsidR="006F2A29">
        <w:rPr>
          <w:rFonts w:eastAsiaTheme="minorHAnsi"/>
          <w:sz w:val="20"/>
          <w:szCs w:val="20"/>
          <w:lang w:eastAsia="en-US" w:bidi="ar-SA"/>
        </w:rPr>
        <w:t xml:space="preserve"> (igualdad ante la ley)</w:t>
      </w:r>
      <w:r>
        <w:rPr>
          <w:rFonts w:eastAsiaTheme="minorHAnsi"/>
          <w:sz w:val="20"/>
          <w:szCs w:val="20"/>
          <w:lang w:eastAsia="en-US" w:bidi="ar-SA"/>
        </w:rPr>
        <w:t>,</w:t>
      </w:r>
      <w:r w:rsidRPr="00BB4CBB">
        <w:rPr>
          <w:rFonts w:eastAsiaTheme="minorHAnsi"/>
          <w:sz w:val="20"/>
          <w:szCs w:val="20"/>
          <w:lang w:eastAsia="en-US" w:bidi="ar-SA"/>
        </w:rPr>
        <w:t xml:space="preserve"> 25</w:t>
      </w:r>
      <w:r>
        <w:rPr>
          <w:rFonts w:eastAsiaTheme="minorHAnsi"/>
          <w:sz w:val="20"/>
          <w:szCs w:val="20"/>
          <w:lang w:eastAsia="en-US" w:bidi="ar-SA"/>
        </w:rPr>
        <w:t xml:space="preserve"> </w:t>
      </w:r>
      <w:r w:rsidR="006F2A29">
        <w:rPr>
          <w:rFonts w:eastAsiaTheme="minorHAnsi"/>
          <w:sz w:val="20"/>
          <w:szCs w:val="20"/>
          <w:lang w:eastAsia="en-US" w:bidi="ar-SA"/>
        </w:rPr>
        <w:t xml:space="preserve">(protección judicial) </w:t>
      </w:r>
      <w:r>
        <w:rPr>
          <w:rFonts w:eastAsiaTheme="minorHAnsi"/>
          <w:sz w:val="20"/>
          <w:szCs w:val="20"/>
          <w:lang w:eastAsia="en-US" w:bidi="ar-SA"/>
        </w:rPr>
        <w:t>y 26</w:t>
      </w:r>
      <w:r w:rsidRPr="00BB4CBB">
        <w:rPr>
          <w:rFonts w:eastAsiaTheme="minorHAnsi"/>
          <w:sz w:val="20"/>
          <w:szCs w:val="20"/>
          <w:lang w:eastAsia="en-US" w:bidi="ar-SA"/>
        </w:rPr>
        <w:t xml:space="preserve"> </w:t>
      </w:r>
      <w:r w:rsidR="006F2A29">
        <w:rPr>
          <w:rFonts w:eastAsiaTheme="minorHAnsi"/>
          <w:sz w:val="20"/>
          <w:szCs w:val="20"/>
          <w:lang w:eastAsia="en-US" w:bidi="ar-SA"/>
        </w:rPr>
        <w:t xml:space="preserve">(desarrollo progresivo) </w:t>
      </w:r>
      <w:r w:rsidRPr="00BB4CBB">
        <w:rPr>
          <w:rFonts w:eastAsiaTheme="minorHAnsi"/>
          <w:sz w:val="20"/>
          <w:szCs w:val="20"/>
          <w:lang w:eastAsia="en-US" w:bidi="ar-SA"/>
        </w:rPr>
        <w:t>de la Convención Americana, en</w:t>
      </w:r>
      <w:r>
        <w:rPr>
          <w:rFonts w:eastAsiaTheme="minorHAnsi"/>
          <w:sz w:val="20"/>
          <w:szCs w:val="20"/>
          <w:lang w:eastAsia="en-US" w:bidi="ar-SA"/>
        </w:rPr>
        <w:t xml:space="preserve"> </w:t>
      </w:r>
      <w:r w:rsidRPr="00BB4CBB">
        <w:rPr>
          <w:rFonts w:eastAsiaTheme="minorHAnsi"/>
          <w:sz w:val="20"/>
          <w:szCs w:val="20"/>
          <w:lang w:eastAsia="en-US" w:bidi="ar-SA"/>
        </w:rPr>
        <w:t xml:space="preserve">conexión </w:t>
      </w:r>
      <w:r w:rsidR="006F2A29">
        <w:rPr>
          <w:rFonts w:eastAsiaTheme="minorHAnsi"/>
          <w:sz w:val="20"/>
          <w:szCs w:val="20"/>
          <w:lang w:eastAsia="en-US" w:bidi="ar-SA"/>
        </w:rPr>
        <w:t>con</w:t>
      </w:r>
      <w:r w:rsidRPr="00BB4CBB">
        <w:rPr>
          <w:rFonts w:eastAsiaTheme="minorHAnsi"/>
          <w:sz w:val="20"/>
          <w:szCs w:val="20"/>
          <w:lang w:eastAsia="en-US" w:bidi="ar-SA"/>
        </w:rPr>
        <w:t xml:space="preserve"> las obligaciones generales previstas en los artículos 1 y 2 de dicho instrumento</w:t>
      </w:r>
      <w:r>
        <w:rPr>
          <w:rFonts w:eastAsiaTheme="minorHAnsi"/>
          <w:sz w:val="20"/>
          <w:szCs w:val="20"/>
          <w:lang w:eastAsia="en-US" w:bidi="ar-SA"/>
        </w:rPr>
        <w:t xml:space="preserve">. </w:t>
      </w:r>
    </w:p>
    <w:p w14:paraId="77BCF4B6" w14:textId="77777777" w:rsidR="002B4F21" w:rsidRDefault="002B4F21" w:rsidP="002B4F21">
      <w:pPr>
        <w:pStyle w:val="ListParagraph"/>
        <w:spacing w:before="0"/>
        <w:ind w:left="1440" w:right="280" w:firstLine="0"/>
        <w:rPr>
          <w:b/>
          <w:bCs/>
          <w:sz w:val="20"/>
          <w:szCs w:val="20"/>
        </w:rPr>
      </w:pPr>
    </w:p>
    <w:p w14:paraId="4C0322DB" w14:textId="01AA2793" w:rsidR="00C02C7F" w:rsidRPr="003B0E17" w:rsidRDefault="001223F2" w:rsidP="003B790E">
      <w:pPr>
        <w:pStyle w:val="ListParagraph"/>
        <w:numPr>
          <w:ilvl w:val="0"/>
          <w:numId w:val="3"/>
        </w:numPr>
        <w:spacing w:before="0"/>
        <w:ind w:right="280" w:firstLine="270"/>
        <w:rPr>
          <w:b/>
          <w:bCs/>
          <w:sz w:val="20"/>
          <w:szCs w:val="20"/>
        </w:rPr>
      </w:pPr>
      <w:r w:rsidRPr="003B0E17">
        <w:rPr>
          <w:b/>
          <w:bCs/>
          <w:sz w:val="20"/>
          <w:szCs w:val="20"/>
        </w:rPr>
        <w:t>DECISIÓN</w:t>
      </w:r>
    </w:p>
    <w:p w14:paraId="0131196E" w14:textId="77777777" w:rsidR="002B4F21" w:rsidRDefault="002B4F21" w:rsidP="002B4F21">
      <w:pPr>
        <w:pStyle w:val="ListParagraph"/>
        <w:spacing w:before="0"/>
        <w:ind w:left="1440" w:right="280" w:firstLine="0"/>
        <w:rPr>
          <w:sz w:val="20"/>
          <w:szCs w:val="20"/>
        </w:rPr>
      </w:pPr>
    </w:p>
    <w:p w14:paraId="2F5D1BBA" w14:textId="002F238B" w:rsidR="00C02C7F" w:rsidRDefault="001223F2" w:rsidP="003B790E">
      <w:pPr>
        <w:pStyle w:val="ListParagraph"/>
        <w:numPr>
          <w:ilvl w:val="0"/>
          <w:numId w:val="10"/>
        </w:numPr>
        <w:spacing w:before="0"/>
        <w:ind w:left="720" w:right="280" w:firstLine="720"/>
        <w:rPr>
          <w:sz w:val="20"/>
          <w:szCs w:val="20"/>
        </w:rPr>
      </w:pPr>
      <w:r w:rsidRPr="003B0E17">
        <w:rPr>
          <w:sz w:val="20"/>
          <w:szCs w:val="20"/>
        </w:rPr>
        <w:t xml:space="preserve">Declarar admisible la presente petición en relación con los </w:t>
      </w:r>
      <w:r w:rsidR="00CE5E47" w:rsidRPr="00B308DE">
        <w:rPr>
          <w:sz w:val="20"/>
          <w:szCs w:val="20"/>
        </w:rPr>
        <w:t xml:space="preserve">artículos </w:t>
      </w:r>
      <w:r w:rsidR="003073C6" w:rsidRPr="00BB4CBB">
        <w:rPr>
          <w:rFonts w:eastAsiaTheme="minorHAnsi"/>
          <w:sz w:val="20"/>
          <w:szCs w:val="20"/>
          <w:lang w:eastAsia="en-US" w:bidi="ar-SA"/>
        </w:rPr>
        <w:t>8</w:t>
      </w:r>
      <w:r w:rsidR="003073C6">
        <w:rPr>
          <w:rFonts w:eastAsiaTheme="minorHAnsi"/>
          <w:sz w:val="20"/>
          <w:szCs w:val="20"/>
          <w:lang w:eastAsia="en-US" w:bidi="ar-SA"/>
        </w:rPr>
        <w:t>, 24,</w:t>
      </w:r>
      <w:r w:rsidR="003073C6" w:rsidRPr="00BB4CBB">
        <w:rPr>
          <w:rFonts w:eastAsiaTheme="minorHAnsi"/>
          <w:sz w:val="20"/>
          <w:szCs w:val="20"/>
          <w:lang w:eastAsia="en-US" w:bidi="ar-SA"/>
        </w:rPr>
        <w:t xml:space="preserve"> 25</w:t>
      </w:r>
      <w:r w:rsidR="003073C6">
        <w:rPr>
          <w:rFonts w:eastAsiaTheme="minorHAnsi"/>
          <w:sz w:val="20"/>
          <w:szCs w:val="20"/>
          <w:lang w:eastAsia="en-US" w:bidi="ar-SA"/>
        </w:rPr>
        <w:t xml:space="preserve"> y 26</w:t>
      </w:r>
      <w:r w:rsidR="003073C6" w:rsidRPr="00BB4CBB">
        <w:rPr>
          <w:rFonts w:eastAsiaTheme="minorHAnsi"/>
          <w:sz w:val="20"/>
          <w:szCs w:val="20"/>
          <w:lang w:eastAsia="en-US" w:bidi="ar-SA"/>
        </w:rPr>
        <w:t xml:space="preserve"> </w:t>
      </w:r>
      <w:r w:rsidR="00CE5E47" w:rsidRPr="00B308DE">
        <w:rPr>
          <w:sz w:val="20"/>
          <w:szCs w:val="20"/>
        </w:rPr>
        <w:t>de la Convención</w:t>
      </w:r>
      <w:r w:rsidR="00BD0EA9">
        <w:rPr>
          <w:sz w:val="20"/>
          <w:szCs w:val="20"/>
        </w:rPr>
        <w:t xml:space="preserve"> Americana</w:t>
      </w:r>
      <w:r w:rsidR="00CE5E47" w:rsidRPr="00B308DE">
        <w:rPr>
          <w:sz w:val="20"/>
          <w:szCs w:val="20"/>
        </w:rPr>
        <w:t xml:space="preserve">, en concordancia con </w:t>
      </w:r>
      <w:r w:rsidR="00CE5E47">
        <w:rPr>
          <w:sz w:val="20"/>
          <w:szCs w:val="20"/>
        </w:rPr>
        <w:t>su</w:t>
      </w:r>
      <w:r w:rsidR="003073C6">
        <w:rPr>
          <w:sz w:val="20"/>
          <w:szCs w:val="20"/>
        </w:rPr>
        <w:t>s</w:t>
      </w:r>
      <w:r w:rsidR="00CE5E47">
        <w:rPr>
          <w:sz w:val="20"/>
          <w:szCs w:val="20"/>
        </w:rPr>
        <w:t xml:space="preserve"> </w:t>
      </w:r>
      <w:r w:rsidR="00CE5E47" w:rsidRPr="00B308DE">
        <w:rPr>
          <w:sz w:val="20"/>
          <w:szCs w:val="20"/>
        </w:rPr>
        <w:t>artículo</w:t>
      </w:r>
      <w:r w:rsidR="00BD0EA9">
        <w:rPr>
          <w:sz w:val="20"/>
          <w:szCs w:val="20"/>
        </w:rPr>
        <w:t>s</w:t>
      </w:r>
      <w:r w:rsidR="00CE5E47" w:rsidRPr="00B308DE">
        <w:rPr>
          <w:sz w:val="20"/>
          <w:szCs w:val="20"/>
        </w:rPr>
        <w:t xml:space="preserve"> 1.1</w:t>
      </w:r>
      <w:r w:rsidR="003073C6">
        <w:rPr>
          <w:sz w:val="20"/>
          <w:szCs w:val="20"/>
        </w:rPr>
        <w:t xml:space="preserve"> y 2</w:t>
      </w:r>
      <w:r w:rsidR="00E677DC">
        <w:rPr>
          <w:sz w:val="20"/>
          <w:szCs w:val="20"/>
        </w:rPr>
        <w:t>;</w:t>
      </w:r>
    </w:p>
    <w:p w14:paraId="1D6BC89E" w14:textId="77777777" w:rsidR="002B4F21" w:rsidRDefault="002B4F21" w:rsidP="002B4F21">
      <w:pPr>
        <w:pStyle w:val="ListParagraph"/>
        <w:spacing w:before="0"/>
        <w:ind w:left="1440" w:right="280" w:firstLine="0"/>
        <w:rPr>
          <w:sz w:val="20"/>
          <w:szCs w:val="20"/>
        </w:rPr>
      </w:pPr>
    </w:p>
    <w:p w14:paraId="043541CF" w14:textId="4331E4DD" w:rsidR="00BD0EA9" w:rsidRDefault="00BD0EA9" w:rsidP="003B790E">
      <w:pPr>
        <w:pStyle w:val="ListParagraph"/>
        <w:numPr>
          <w:ilvl w:val="0"/>
          <w:numId w:val="10"/>
        </w:numPr>
        <w:spacing w:before="0"/>
        <w:ind w:left="720" w:right="280" w:firstLine="720"/>
        <w:rPr>
          <w:sz w:val="20"/>
          <w:szCs w:val="20"/>
        </w:rPr>
      </w:pPr>
      <w:r>
        <w:rPr>
          <w:sz w:val="20"/>
          <w:szCs w:val="20"/>
        </w:rPr>
        <w:t>Declarar inadmisible la petición en relación con el artículo 10 de la Convención</w:t>
      </w:r>
      <w:r w:rsidR="002B4F21">
        <w:rPr>
          <w:sz w:val="20"/>
          <w:szCs w:val="20"/>
        </w:rPr>
        <w:t xml:space="preserve"> Americana</w:t>
      </w:r>
      <w:r w:rsidR="00E677DC">
        <w:rPr>
          <w:sz w:val="20"/>
          <w:szCs w:val="20"/>
        </w:rPr>
        <w:t>, y;</w:t>
      </w:r>
    </w:p>
    <w:p w14:paraId="427744D7" w14:textId="77777777" w:rsidR="002B4F21" w:rsidRDefault="002B4F21" w:rsidP="002B4F21">
      <w:pPr>
        <w:pStyle w:val="ListParagraph"/>
        <w:spacing w:before="0"/>
        <w:ind w:left="1440" w:right="280" w:firstLine="0"/>
        <w:rPr>
          <w:sz w:val="20"/>
          <w:szCs w:val="20"/>
        </w:rPr>
      </w:pPr>
    </w:p>
    <w:p w14:paraId="15EB5B61" w14:textId="4AFC0C78" w:rsidR="003B790E" w:rsidRDefault="001223F2" w:rsidP="003B790E">
      <w:pPr>
        <w:pStyle w:val="ListParagraph"/>
        <w:numPr>
          <w:ilvl w:val="0"/>
          <w:numId w:val="10"/>
        </w:numPr>
        <w:spacing w:before="0"/>
        <w:ind w:left="720" w:right="280" w:firstLine="720"/>
        <w:rPr>
          <w:sz w:val="20"/>
          <w:szCs w:val="20"/>
        </w:rPr>
      </w:pPr>
      <w:r w:rsidRPr="00D67BD7">
        <w:rPr>
          <w:sz w:val="20"/>
          <w:szCs w:val="20"/>
        </w:rPr>
        <w:t>Notificar a las partes la presente decisión; continuar con el análisis del fondo de la cuestión; y publicar esta decisión e incluirla en su Informe Anual a la Asamblea General de la Organización de los Estados Americanos.</w:t>
      </w:r>
      <w:bookmarkEnd w:id="1"/>
    </w:p>
    <w:p w14:paraId="3F322FED" w14:textId="77777777" w:rsidR="00D31EAC" w:rsidRDefault="00D31EAC" w:rsidP="00D31EAC">
      <w:pPr>
        <w:pStyle w:val="ListParagraph"/>
        <w:spacing w:before="0"/>
        <w:ind w:left="1440" w:right="280" w:firstLine="0"/>
        <w:rPr>
          <w:sz w:val="20"/>
          <w:szCs w:val="20"/>
        </w:rPr>
      </w:pPr>
    </w:p>
    <w:p w14:paraId="444AEF23" w14:textId="1533E86A" w:rsidR="00D31EAC" w:rsidRPr="00A37B82" w:rsidRDefault="00D31EAC" w:rsidP="002C2A51">
      <w:pPr>
        <w:tabs>
          <w:tab w:val="left" w:pos="10080"/>
        </w:tabs>
        <w:ind w:left="720" w:right="280" w:firstLine="720"/>
        <w:jc w:val="both"/>
        <w:rPr>
          <w:rFonts w:asciiTheme="majorHAnsi" w:hAnsiTheme="majorHAnsi" w:cs="Arial"/>
          <w:noProof/>
          <w:spacing w:val="-2"/>
          <w:sz w:val="20"/>
          <w:szCs w:val="20"/>
          <w:lang w:val="es-CL"/>
        </w:rPr>
      </w:pPr>
      <w:bookmarkStart w:id="5" w:name="_Hlk95209781"/>
      <w:bookmarkStart w:id="6"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21091F">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sidR="00F34EE8">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Roberta Clarke y Carlos Bernal Pulido,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5"/>
    </w:p>
    <w:p w14:paraId="09C4F932" w14:textId="77777777" w:rsidR="00D31EAC" w:rsidRPr="00A37B82" w:rsidRDefault="00D31EAC" w:rsidP="002C2A51">
      <w:pPr>
        <w:tabs>
          <w:tab w:val="left" w:pos="10080"/>
        </w:tabs>
        <w:suppressAutoHyphens/>
        <w:ind w:left="720" w:right="280" w:firstLine="720"/>
        <w:jc w:val="both"/>
        <w:rPr>
          <w:rFonts w:asciiTheme="majorHAnsi" w:hAnsiTheme="majorHAnsi" w:cs="Arial"/>
          <w:noProof/>
          <w:spacing w:val="-2"/>
          <w:sz w:val="20"/>
          <w:szCs w:val="20"/>
          <w:lang w:val="es-CL"/>
        </w:rPr>
      </w:pPr>
    </w:p>
    <w:p w14:paraId="20016ECF" w14:textId="77777777" w:rsidR="00C8477D" w:rsidRDefault="00C8477D" w:rsidP="002C2A51">
      <w:pPr>
        <w:tabs>
          <w:tab w:val="left" w:pos="10080"/>
        </w:tabs>
        <w:ind w:left="720" w:right="280" w:firstLine="720"/>
        <w:jc w:val="both"/>
        <w:rPr>
          <w:rFonts w:cs="Arial"/>
          <w:noProof/>
          <w:sz w:val="20"/>
          <w:szCs w:val="20"/>
          <w:lang w:val="es-CL"/>
        </w:rPr>
      </w:pPr>
    </w:p>
    <w:p w14:paraId="3C376BC8" w14:textId="77777777" w:rsidR="00C8477D" w:rsidRDefault="00C8477D" w:rsidP="002C2A51">
      <w:pPr>
        <w:tabs>
          <w:tab w:val="left" w:pos="10080"/>
        </w:tabs>
        <w:ind w:left="720" w:right="280" w:firstLine="720"/>
        <w:jc w:val="both"/>
        <w:rPr>
          <w:rFonts w:cs="Arial"/>
          <w:noProof/>
          <w:sz w:val="20"/>
          <w:szCs w:val="20"/>
          <w:lang w:val="es-CL"/>
        </w:rPr>
      </w:pPr>
    </w:p>
    <w:p w14:paraId="5C3C5CB8" w14:textId="77777777" w:rsidR="00C8477D" w:rsidRDefault="00C8477D" w:rsidP="002C2A51">
      <w:pPr>
        <w:tabs>
          <w:tab w:val="left" w:pos="10080"/>
        </w:tabs>
        <w:ind w:left="720" w:right="280" w:firstLine="720"/>
        <w:jc w:val="both"/>
        <w:rPr>
          <w:rFonts w:cs="Arial"/>
          <w:noProof/>
          <w:sz w:val="20"/>
          <w:szCs w:val="20"/>
          <w:lang w:val="es-CL"/>
        </w:rPr>
      </w:pPr>
    </w:p>
    <w:p w14:paraId="1BAF5AE6" w14:textId="77777777" w:rsidR="00C8477D" w:rsidRDefault="00C8477D" w:rsidP="002C2A51">
      <w:pPr>
        <w:tabs>
          <w:tab w:val="left" w:pos="10080"/>
        </w:tabs>
        <w:ind w:left="720" w:right="280" w:firstLine="720"/>
        <w:jc w:val="both"/>
        <w:rPr>
          <w:rFonts w:cs="Arial"/>
          <w:noProof/>
          <w:sz w:val="20"/>
          <w:szCs w:val="20"/>
          <w:lang w:val="es-CL"/>
        </w:rPr>
      </w:pPr>
    </w:p>
    <w:p w14:paraId="5669EE48" w14:textId="77777777" w:rsidR="00C8477D" w:rsidRDefault="00C8477D" w:rsidP="002C2A51">
      <w:pPr>
        <w:tabs>
          <w:tab w:val="left" w:pos="10080"/>
        </w:tabs>
        <w:ind w:left="720" w:right="280" w:firstLine="720"/>
        <w:jc w:val="both"/>
        <w:rPr>
          <w:rFonts w:cs="Arial"/>
          <w:noProof/>
          <w:sz w:val="20"/>
          <w:szCs w:val="20"/>
          <w:lang w:val="es-CL"/>
        </w:rPr>
      </w:pPr>
    </w:p>
    <w:p w14:paraId="453CE161" w14:textId="77777777" w:rsidR="005D5DAA" w:rsidRDefault="005D5DAA" w:rsidP="002C2A51">
      <w:pPr>
        <w:tabs>
          <w:tab w:val="left" w:pos="10080"/>
        </w:tabs>
        <w:ind w:left="720" w:right="280" w:firstLine="720"/>
        <w:jc w:val="both"/>
        <w:rPr>
          <w:rFonts w:cs="Arial"/>
          <w:noProof/>
          <w:sz w:val="20"/>
          <w:szCs w:val="20"/>
          <w:lang w:val="es-CL"/>
        </w:rPr>
      </w:pPr>
    </w:p>
    <w:p w14:paraId="14D19DD4" w14:textId="77777777" w:rsidR="00C8477D" w:rsidRDefault="00C8477D" w:rsidP="002C2A51">
      <w:pPr>
        <w:tabs>
          <w:tab w:val="left" w:pos="10080"/>
        </w:tabs>
        <w:ind w:left="720" w:right="280" w:firstLine="720"/>
        <w:jc w:val="both"/>
        <w:rPr>
          <w:rFonts w:cs="Arial"/>
          <w:noProof/>
          <w:sz w:val="20"/>
          <w:szCs w:val="20"/>
          <w:lang w:val="es-CL"/>
        </w:rPr>
      </w:pPr>
    </w:p>
    <w:p w14:paraId="52FBB4C5" w14:textId="77777777" w:rsidR="00C8477D" w:rsidRDefault="00C8477D" w:rsidP="002C2A51">
      <w:pPr>
        <w:tabs>
          <w:tab w:val="left" w:pos="10080"/>
        </w:tabs>
        <w:ind w:left="720" w:right="280" w:firstLine="720"/>
        <w:jc w:val="both"/>
        <w:rPr>
          <w:rFonts w:cs="Arial"/>
          <w:noProof/>
          <w:sz w:val="20"/>
          <w:szCs w:val="20"/>
          <w:lang w:val="es-CL"/>
        </w:rPr>
      </w:pPr>
    </w:p>
    <w:p w14:paraId="0B1F3E75" w14:textId="77777777" w:rsidR="00C8477D" w:rsidRDefault="00C8477D" w:rsidP="002C2A51">
      <w:pPr>
        <w:tabs>
          <w:tab w:val="left" w:pos="10080"/>
        </w:tabs>
        <w:ind w:left="720" w:right="280" w:firstLine="720"/>
        <w:jc w:val="both"/>
        <w:rPr>
          <w:rFonts w:cs="Arial"/>
          <w:noProof/>
          <w:sz w:val="20"/>
          <w:szCs w:val="20"/>
          <w:lang w:val="es-CL"/>
        </w:rPr>
      </w:pPr>
    </w:p>
    <w:p w14:paraId="002C4CA3" w14:textId="77777777" w:rsidR="00C8477D" w:rsidRDefault="00C8477D" w:rsidP="002C2A51">
      <w:pPr>
        <w:tabs>
          <w:tab w:val="left" w:pos="10080"/>
        </w:tabs>
        <w:ind w:left="720" w:right="280" w:firstLine="720"/>
        <w:jc w:val="both"/>
        <w:rPr>
          <w:rFonts w:cs="Arial"/>
          <w:noProof/>
          <w:sz w:val="20"/>
          <w:szCs w:val="20"/>
          <w:lang w:val="es-CL"/>
        </w:rPr>
      </w:pPr>
    </w:p>
    <w:bookmarkEnd w:id="6"/>
    <w:p w14:paraId="4B16BC34" w14:textId="0A999B6C" w:rsidR="003B790E" w:rsidRDefault="003B790E" w:rsidP="003B790E">
      <w:pPr>
        <w:rPr>
          <w:sz w:val="20"/>
          <w:szCs w:val="20"/>
        </w:rPr>
      </w:pPr>
    </w:p>
    <w:p w14:paraId="6BECCE78" w14:textId="204632FE" w:rsidR="003B790E" w:rsidRDefault="003B790E" w:rsidP="000C4596">
      <w:pPr>
        <w:pStyle w:val="ListParagraph"/>
        <w:spacing w:before="0"/>
        <w:ind w:left="720" w:right="280" w:firstLine="0"/>
        <w:jc w:val="center"/>
        <w:rPr>
          <w:b/>
          <w:bCs/>
          <w:sz w:val="20"/>
          <w:szCs w:val="20"/>
        </w:rPr>
      </w:pPr>
      <w:r>
        <w:rPr>
          <w:b/>
          <w:bCs/>
          <w:sz w:val="20"/>
          <w:szCs w:val="20"/>
        </w:rPr>
        <w:t>ANEXO</w:t>
      </w:r>
    </w:p>
    <w:p w14:paraId="2C113FD2" w14:textId="77777777" w:rsidR="00A33195" w:rsidRDefault="00A33195" w:rsidP="000C4596">
      <w:pPr>
        <w:pStyle w:val="ListParagraph"/>
        <w:spacing w:before="0"/>
        <w:ind w:left="720" w:right="280" w:firstLine="0"/>
        <w:jc w:val="center"/>
        <w:rPr>
          <w:b/>
          <w:bCs/>
          <w:sz w:val="20"/>
          <w:szCs w:val="20"/>
        </w:rPr>
      </w:pPr>
    </w:p>
    <w:p w14:paraId="3C3889D2" w14:textId="232F62C4" w:rsidR="00C02C7F" w:rsidRPr="003B790E" w:rsidRDefault="003B790E" w:rsidP="000C4596">
      <w:pPr>
        <w:pStyle w:val="ListParagraph"/>
        <w:spacing w:before="0"/>
        <w:ind w:left="720" w:right="280" w:firstLine="0"/>
        <w:jc w:val="center"/>
        <w:rPr>
          <w:b/>
          <w:bCs/>
          <w:sz w:val="20"/>
          <w:szCs w:val="20"/>
        </w:rPr>
      </w:pPr>
      <w:r>
        <w:rPr>
          <w:b/>
          <w:bCs/>
          <w:sz w:val="20"/>
          <w:szCs w:val="20"/>
        </w:rPr>
        <w:t xml:space="preserve">LISTA DE </w:t>
      </w:r>
      <w:r w:rsidRPr="003B790E">
        <w:rPr>
          <w:b/>
          <w:bCs/>
          <w:sz w:val="20"/>
          <w:szCs w:val="20"/>
        </w:rPr>
        <w:t>PRESUNTAS V</w:t>
      </w:r>
      <w:r>
        <w:rPr>
          <w:b/>
          <w:bCs/>
          <w:sz w:val="20"/>
          <w:szCs w:val="20"/>
        </w:rPr>
        <w:t>Í</w:t>
      </w:r>
      <w:r w:rsidRPr="003B790E">
        <w:rPr>
          <w:b/>
          <w:bCs/>
          <w:sz w:val="20"/>
          <w:szCs w:val="20"/>
        </w:rPr>
        <w:t>CTIMAS</w:t>
      </w:r>
    </w:p>
    <w:p w14:paraId="57239578" w14:textId="0B29FD2E" w:rsidR="003B790E" w:rsidRDefault="003B790E" w:rsidP="006706D9">
      <w:pPr>
        <w:pStyle w:val="ListParagraph"/>
        <w:spacing w:before="0" w:after="120"/>
        <w:ind w:left="1440" w:right="274" w:firstLine="0"/>
        <w:rPr>
          <w:sz w:val="20"/>
          <w:szCs w:val="20"/>
        </w:rPr>
      </w:pPr>
    </w:p>
    <w:p w14:paraId="2BDBD8A3" w14:textId="77777777" w:rsidR="00842D7E" w:rsidRPr="003B0E17" w:rsidRDefault="00842D7E" w:rsidP="006706D9">
      <w:pPr>
        <w:pStyle w:val="ListParagraph"/>
        <w:numPr>
          <w:ilvl w:val="0"/>
          <w:numId w:val="11"/>
        </w:numPr>
        <w:spacing w:before="0" w:after="120"/>
        <w:ind w:left="1440" w:right="274" w:hanging="720"/>
        <w:rPr>
          <w:sz w:val="20"/>
          <w:szCs w:val="20"/>
        </w:rPr>
      </w:pPr>
      <w:r w:rsidRPr="00424E9E">
        <w:rPr>
          <w:sz w:val="19"/>
          <w:szCs w:val="19"/>
        </w:rPr>
        <w:t>Mercedes Aguilar de Calderó</w:t>
      </w:r>
      <w:r>
        <w:rPr>
          <w:sz w:val="19"/>
          <w:szCs w:val="19"/>
        </w:rPr>
        <w:t>n (viuda de Fernando Augusto Calderón Ruíz)</w:t>
      </w:r>
    </w:p>
    <w:p w14:paraId="00D12793" w14:textId="77777777" w:rsidR="00556BCC" w:rsidRPr="00556BCC" w:rsidRDefault="00556BCC" w:rsidP="006706D9">
      <w:pPr>
        <w:pStyle w:val="ListParagraph"/>
        <w:numPr>
          <w:ilvl w:val="0"/>
          <w:numId w:val="11"/>
        </w:numPr>
        <w:spacing w:before="0" w:after="120"/>
        <w:ind w:left="1440" w:right="274" w:hanging="720"/>
        <w:rPr>
          <w:sz w:val="20"/>
          <w:szCs w:val="20"/>
        </w:rPr>
      </w:pPr>
      <w:r>
        <w:rPr>
          <w:sz w:val="19"/>
          <w:szCs w:val="19"/>
        </w:rPr>
        <w:t>Evelyne Eucarys Alvarado Arauz (familiar de Victorino Adrián Ledezma Becerra)</w:t>
      </w:r>
    </w:p>
    <w:p w14:paraId="0627DA2D" w14:textId="77777777" w:rsidR="00842D7E" w:rsidRPr="00556BCC" w:rsidRDefault="00842D7E" w:rsidP="006706D9">
      <w:pPr>
        <w:pStyle w:val="ListParagraph"/>
        <w:numPr>
          <w:ilvl w:val="0"/>
          <w:numId w:val="11"/>
        </w:numPr>
        <w:spacing w:before="0" w:after="120"/>
        <w:ind w:left="1440" w:right="274" w:hanging="720"/>
        <w:rPr>
          <w:sz w:val="20"/>
          <w:szCs w:val="20"/>
        </w:rPr>
      </w:pPr>
      <w:r>
        <w:rPr>
          <w:sz w:val="19"/>
          <w:szCs w:val="19"/>
        </w:rPr>
        <w:t>Berna Cabrera de Cabrera (viuda de Marcelo Cabrera Tocamo)</w:t>
      </w:r>
    </w:p>
    <w:p w14:paraId="4BE2DA85" w14:textId="77777777" w:rsidR="00842D7E" w:rsidRPr="00556BCC" w:rsidRDefault="00842D7E" w:rsidP="006706D9">
      <w:pPr>
        <w:pStyle w:val="ListParagraph"/>
        <w:numPr>
          <w:ilvl w:val="0"/>
          <w:numId w:val="11"/>
        </w:numPr>
        <w:spacing w:before="0" w:after="120"/>
        <w:ind w:left="1440" w:right="274" w:hanging="720"/>
        <w:rPr>
          <w:sz w:val="20"/>
          <w:szCs w:val="20"/>
        </w:rPr>
      </w:pPr>
      <w:r>
        <w:rPr>
          <w:sz w:val="19"/>
          <w:szCs w:val="19"/>
        </w:rPr>
        <w:t>Juseimme Saul Casis Pimentel (hijo de Ramón Enrique Casis Mendieta)</w:t>
      </w:r>
    </w:p>
    <w:p w14:paraId="166DAE10" w14:textId="7777777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 xml:space="preserve">Emiteria Angela Georget Salazar (familiar de </w:t>
      </w:r>
      <w:r w:rsidRPr="003464F2">
        <w:rPr>
          <w:sz w:val="19"/>
          <w:szCs w:val="19"/>
        </w:rPr>
        <w:t>Locario Vicente Smith Ogan</w:t>
      </w:r>
      <w:r>
        <w:rPr>
          <w:sz w:val="19"/>
          <w:szCs w:val="19"/>
        </w:rPr>
        <w:t>)</w:t>
      </w:r>
    </w:p>
    <w:p w14:paraId="07F94D94" w14:textId="77777777" w:rsidR="00556BCC" w:rsidRPr="003B790E" w:rsidRDefault="00556BCC" w:rsidP="006706D9">
      <w:pPr>
        <w:pStyle w:val="ListParagraph"/>
        <w:numPr>
          <w:ilvl w:val="0"/>
          <w:numId w:val="11"/>
        </w:numPr>
        <w:spacing w:before="0" w:after="120"/>
        <w:ind w:left="1440" w:right="274" w:hanging="720"/>
        <w:rPr>
          <w:sz w:val="20"/>
          <w:szCs w:val="20"/>
        </w:rPr>
      </w:pPr>
      <w:r w:rsidRPr="00424E9E">
        <w:rPr>
          <w:sz w:val="19"/>
          <w:szCs w:val="19"/>
        </w:rPr>
        <w:t>Maria Rosario Gonz</w:t>
      </w:r>
      <w:r>
        <w:rPr>
          <w:sz w:val="19"/>
          <w:szCs w:val="19"/>
        </w:rPr>
        <w:t>á</w:t>
      </w:r>
      <w:r w:rsidRPr="00424E9E">
        <w:rPr>
          <w:sz w:val="19"/>
          <w:szCs w:val="19"/>
        </w:rPr>
        <w:t>lez de Wilson</w:t>
      </w:r>
      <w:r>
        <w:rPr>
          <w:sz w:val="19"/>
          <w:szCs w:val="19"/>
        </w:rPr>
        <w:t xml:space="preserve"> (viuda de Marlon Wilberto Wilson Brooks)</w:t>
      </w:r>
    </w:p>
    <w:p w14:paraId="5CFC5731" w14:textId="7777777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Ana Aurora Lucero de Meneses (viuda de Cecilio Meneses de Gracia)</w:t>
      </w:r>
    </w:p>
    <w:p w14:paraId="786C23A0" w14:textId="5595B8E6"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 xml:space="preserve">Nieves </w:t>
      </w:r>
      <w:r w:rsidR="00842D7E">
        <w:rPr>
          <w:sz w:val="19"/>
          <w:szCs w:val="19"/>
        </w:rPr>
        <w:t>Quirós</w:t>
      </w:r>
      <w:r>
        <w:rPr>
          <w:sz w:val="19"/>
          <w:szCs w:val="19"/>
        </w:rPr>
        <w:t xml:space="preserve"> Gonzalez de Sibauste (viuda de Francisco Alfonso Sibauste Tachar)</w:t>
      </w:r>
    </w:p>
    <w:p w14:paraId="61FF4E9A" w14:textId="77777777" w:rsidR="00842D7E" w:rsidRPr="00556BCC" w:rsidRDefault="00842D7E" w:rsidP="006706D9">
      <w:pPr>
        <w:pStyle w:val="ListParagraph"/>
        <w:numPr>
          <w:ilvl w:val="0"/>
          <w:numId w:val="11"/>
        </w:numPr>
        <w:spacing w:before="0" w:after="120"/>
        <w:ind w:left="1440" w:right="274" w:hanging="720"/>
        <w:rPr>
          <w:sz w:val="20"/>
          <w:szCs w:val="20"/>
        </w:rPr>
      </w:pPr>
      <w:r>
        <w:rPr>
          <w:sz w:val="19"/>
          <w:szCs w:val="19"/>
        </w:rPr>
        <w:t>Elizabeth Evelyne Ledezma Alvarado (familiar de Victorino Adrián Ledezma Becerra)</w:t>
      </w:r>
    </w:p>
    <w:p w14:paraId="1A774416" w14:textId="77777777" w:rsidR="00842D7E" w:rsidRPr="00842D7E" w:rsidRDefault="00842D7E" w:rsidP="006706D9">
      <w:pPr>
        <w:pStyle w:val="ListParagraph"/>
        <w:numPr>
          <w:ilvl w:val="0"/>
          <w:numId w:val="11"/>
        </w:numPr>
        <w:spacing w:before="0" w:after="120"/>
        <w:ind w:left="1440" w:right="274" w:hanging="720"/>
        <w:rPr>
          <w:sz w:val="20"/>
          <w:szCs w:val="20"/>
        </w:rPr>
      </w:pPr>
      <w:r>
        <w:rPr>
          <w:sz w:val="19"/>
          <w:szCs w:val="19"/>
        </w:rPr>
        <w:t>Luis Alejandro Ledezma Alvarado (familiar de Victorino Adrián Ledezma Becerra)</w:t>
      </w:r>
    </w:p>
    <w:p w14:paraId="6C7BC72C" w14:textId="77777777" w:rsidR="00842D7E" w:rsidRPr="003B790E" w:rsidRDefault="00842D7E" w:rsidP="006706D9">
      <w:pPr>
        <w:pStyle w:val="ListParagraph"/>
        <w:numPr>
          <w:ilvl w:val="0"/>
          <w:numId w:val="11"/>
        </w:numPr>
        <w:spacing w:before="0" w:after="120"/>
        <w:ind w:left="1440" w:right="274" w:hanging="720"/>
        <w:rPr>
          <w:sz w:val="20"/>
          <w:szCs w:val="20"/>
        </w:rPr>
      </w:pPr>
      <w:r>
        <w:rPr>
          <w:sz w:val="19"/>
          <w:szCs w:val="19"/>
        </w:rPr>
        <w:t>Victorino Adrián Ledezma Alvarado (familiar de Victorino Adrián Ledezma Becerra)</w:t>
      </w:r>
    </w:p>
    <w:p w14:paraId="7AFDFB20" w14:textId="095EA658" w:rsidR="00842D7E" w:rsidRPr="00556BCC" w:rsidRDefault="00842D7E" w:rsidP="006706D9">
      <w:pPr>
        <w:pStyle w:val="ListParagraph"/>
        <w:numPr>
          <w:ilvl w:val="0"/>
          <w:numId w:val="11"/>
        </w:numPr>
        <w:spacing w:before="0" w:after="120"/>
        <w:ind w:left="1440" w:right="274" w:hanging="720"/>
        <w:rPr>
          <w:sz w:val="20"/>
          <w:szCs w:val="20"/>
        </w:rPr>
      </w:pPr>
      <w:r w:rsidRPr="00EF1375">
        <w:rPr>
          <w:sz w:val="19"/>
          <w:szCs w:val="19"/>
        </w:rPr>
        <w:t>M</w:t>
      </w:r>
      <w:r w:rsidRPr="00EF1375">
        <w:rPr>
          <w:rFonts w:hint="eastAsia"/>
          <w:sz w:val="19"/>
          <w:szCs w:val="19"/>
        </w:rPr>
        <w:t>é</w:t>
      </w:r>
      <w:r w:rsidRPr="00EF1375">
        <w:rPr>
          <w:sz w:val="19"/>
          <w:szCs w:val="19"/>
        </w:rPr>
        <w:t>lida E</w:t>
      </w:r>
      <w:r w:rsidRPr="003464F2">
        <w:rPr>
          <w:sz w:val="19"/>
          <w:szCs w:val="19"/>
        </w:rPr>
        <w:t xml:space="preserve">sther </w:t>
      </w:r>
      <w:r w:rsidRPr="00EF1375">
        <w:rPr>
          <w:sz w:val="19"/>
          <w:szCs w:val="19"/>
        </w:rPr>
        <w:t>Madrid de</w:t>
      </w:r>
      <w:r w:rsidRPr="003464F2">
        <w:rPr>
          <w:sz w:val="19"/>
          <w:szCs w:val="19"/>
        </w:rPr>
        <w:t xml:space="preserve"> </w:t>
      </w:r>
      <w:r w:rsidRPr="00EF1375">
        <w:rPr>
          <w:sz w:val="19"/>
          <w:szCs w:val="19"/>
        </w:rPr>
        <w:t>Dom</w:t>
      </w:r>
      <w:r w:rsidRPr="00EF1375">
        <w:rPr>
          <w:rFonts w:hint="eastAsia"/>
          <w:sz w:val="19"/>
          <w:szCs w:val="19"/>
        </w:rPr>
        <w:t>í</w:t>
      </w:r>
      <w:r w:rsidRPr="00EF1375">
        <w:rPr>
          <w:sz w:val="19"/>
          <w:szCs w:val="19"/>
        </w:rPr>
        <w:t>nguez</w:t>
      </w:r>
      <w:r>
        <w:rPr>
          <w:sz w:val="19"/>
          <w:szCs w:val="19"/>
        </w:rPr>
        <w:t xml:space="preserve"> (viuda de Victorino Domínguez Reyes)</w:t>
      </w:r>
    </w:p>
    <w:p w14:paraId="43C2D68C" w14:textId="77777777" w:rsidR="00842D7E" w:rsidRPr="00556BCC" w:rsidRDefault="00842D7E" w:rsidP="006706D9">
      <w:pPr>
        <w:pStyle w:val="ListParagraph"/>
        <w:numPr>
          <w:ilvl w:val="0"/>
          <w:numId w:val="11"/>
        </w:numPr>
        <w:spacing w:before="0" w:after="120"/>
        <w:ind w:left="1440" w:right="274" w:hanging="720"/>
        <w:rPr>
          <w:sz w:val="20"/>
          <w:szCs w:val="20"/>
          <w:lang w:val="pt-BR"/>
        </w:rPr>
      </w:pPr>
      <w:r w:rsidRPr="00556BCC">
        <w:rPr>
          <w:sz w:val="19"/>
          <w:szCs w:val="19"/>
          <w:lang w:val="pt-BR"/>
        </w:rPr>
        <w:t>Myriam Deyanira Manuel de Powlett (viuda de Humberto Leonardo Powlett Drakes)</w:t>
      </w:r>
    </w:p>
    <w:p w14:paraId="64B8F9ED" w14:textId="77777777" w:rsidR="00842D7E" w:rsidRPr="00556BCC" w:rsidRDefault="00842D7E" w:rsidP="006706D9">
      <w:pPr>
        <w:pStyle w:val="ListParagraph"/>
        <w:numPr>
          <w:ilvl w:val="0"/>
          <w:numId w:val="11"/>
        </w:numPr>
        <w:spacing w:before="0" w:after="120"/>
        <w:ind w:left="1440" w:right="274" w:hanging="720"/>
        <w:rPr>
          <w:sz w:val="20"/>
          <w:szCs w:val="20"/>
        </w:rPr>
      </w:pPr>
      <w:r>
        <w:rPr>
          <w:sz w:val="19"/>
          <w:szCs w:val="19"/>
        </w:rPr>
        <w:t>Guadalupe Irene Martínez de Castro (viuda de Osvaldo Castro Rodríguez)</w:t>
      </w:r>
    </w:p>
    <w:p w14:paraId="24AD8729" w14:textId="77777777" w:rsidR="00842D7E" w:rsidRPr="003B790E" w:rsidRDefault="00842D7E" w:rsidP="006706D9">
      <w:pPr>
        <w:pStyle w:val="ListParagraph"/>
        <w:numPr>
          <w:ilvl w:val="0"/>
          <w:numId w:val="11"/>
        </w:numPr>
        <w:spacing w:before="0" w:after="120"/>
        <w:ind w:left="1440" w:right="274" w:hanging="720"/>
        <w:rPr>
          <w:sz w:val="20"/>
          <w:szCs w:val="20"/>
        </w:rPr>
      </w:pPr>
      <w:r>
        <w:rPr>
          <w:sz w:val="19"/>
          <w:szCs w:val="19"/>
        </w:rPr>
        <w:t>Nicole Michelle Mendoza Racine (familiar de Rodolfo Antonio Mendoza Carvajal)</w:t>
      </w:r>
    </w:p>
    <w:p w14:paraId="3027029E" w14:textId="77777777" w:rsidR="00842D7E" w:rsidRPr="003B790E" w:rsidRDefault="00842D7E" w:rsidP="006706D9">
      <w:pPr>
        <w:pStyle w:val="ListParagraph"/>
        <w:numPr>
          <w:ilvl w:val="0"/>
          <w:numId w:val="11"/>
        </w:numPr>
        <w:spacing w:before="0" w:after="120"/>
        <w:ind w:left="1440" w:right="274" w:hanging="720"/>
        <w:rPr>
          <w:sz w:val="20"/>
          <w:szCs w:val="20"/>
        </w:rPr>
      </w:pPr>
      <w:r>
        <w:rPr>
          <w:sz w:val="19"/>
          <w:szCs w:val="19"/>
        </w:rPr>
        <w:t>Oscar Antonio Mendoza Racine, (familiar de Rodolfo Antonio Mendoza Carvajal)</w:t>
      </w:r>
    </w:p>
    <w:p w14:paraId="639C2F41" w14:textId="77777777" w:rsidR="00842D7E" w:rsidRPr="003B790E" w:rsidRDefault="00842D7E" w:rsidP="006706D9">
      <w:pPr>
        <w:pStyle w:val="ListParagraph"/>
        <w:numPr>
          <w:ilvl w:val="0"/>
          <w:numId w:val="11"/>
        </w:numPr>
        <w:spacing w:before="0" w:after="120"/>
        <w:ind w:left="1440" w:right="274" w:hanging="720"/>
        <w:rPr>
          <w:sz w:val="20"/>
          <w:szCs w:val="20"/>
        </w:rPr>
      </w:pPr>
      <w:r>
        <w:rPr>
          <w:sz w:val="19"/>
          <w:szCs w:val="19"/>
        </w:rPr>
        <w:t>Rodolfo Antonio Mendoza Racine, (familiar de Rodolfo Antonio Mendoza Carvajal)</w:t>
      </w:r>
    </w:p>
    <w:p w14:paraId="79CDB1DE" w14:textId="77777777" w:rsidR="00842D7E" w:rsidRPr="003B790E" w:rsidRDefault="00842D7E" w:rsidP="006706D9">
      <w:pPr>
        <w:pStyle w:val="ListParagraph"/>
        <w:numPr>
          <w:ilvl w:val="0"/>
          <w:numId w:val="11"/>
        </w:numPr>
        <w:spacing w:before="0" w:after="120"/>
        <w:ind w:left="1440" w:right="274" w:hanging="720"/>
        <w:rPr>
          <w:sz w:val="20"/>
          <w:szCs w:val="20"/>
        </w:rPr>
      </w:pPr>
      <w:r>
        <w:rPr>
          <w:sz w:val="19"/>
          <w:szCs w:val="19"/>
        </w:rPr>
        <w:t>Marisol Yamileth Miranda Caballero de Higgins (hija de Eloy Miranda Rosas)</w:t>
      </w:r>
    </w:p>
    <w:p w14:paraId="632D8902" w14:textId="64EDF933" w:rsidR="00842D7E" w:rsidRPr="00842D7E" w:rsidRDefault="00842D7E" w:rsidP="006706D9">
      <w:pPr>
        <w:pStyle w:val="ListParagraph"/>
        <w:numPr>
          <w:ilvl w:val="0"/>
          <w:numId w:val="11"/>
        </w:numPr>
        <w:spacing w:before="0" w:after="120"/>
        <w:ind w:left="1440" w:right="274" w:hanging="720"/>
        <w:rPr>
          <w:sz w:val="20"/>
          <w:szCs w:val="20"/>
        </w:rPr>
      </w:pPr>
      <w:r>
        <w:rPr>
          <w:sz w:val="19"/>
          <w:szCs w:val="19"/>
        </w:rPr>
        <w:t>Dayana Yaribel Montes Sanchez</w:t>
      </w:r>
    </w:p>
    <w:p w14:paraId="37F46129" w14:textId="7777777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Ana Luisa Elena Racine Mendoza (familiar de Rodolfo Antonio Mendoza Carvajal)</w:t>
      </w:r>
    </w:p>
    <w:p w14:paraId="41F28802" w14:textId="7777777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Pablo Reyes Reyes (hijo de Pablo Reyes Ruiz)</w:t>
      </w:r>
    </w:p>
    <w:p w14:paraId="176023E1" w14:textId="056A1159" w:rsidR="00556BCC" w:rsidRPr="00556BCC" w:rsidRDefault="00556BCC" w:rsidP="006706D9">
      <w:pPr>
        <w:pStyle w:val="ListParagraph"/>
        <w:numPr>
          <w:ilvl w:val="0"/>
          <w:numId w:val="11"/>
        </w:numPr>
        <w:spacing w:before="0" w:after="120"/>
        <w:ind w:left="1440" w:right="274" w:hanging="720"/>
        <w:rPr>
          <w:sz w:val="20"/>
          <w:szCs w:val="20"/>
        </w:rPr>
      </w:pPr>
      <w:r>
        <w:rPr>
          <w:sz w:val="19"/>
          <w:szCs w:val="19"/>
        </w:rPr>
        <w:t xml:space="preserve">Efigenia Sánchez de Montes (viuda de José </w:t>
      </w:r>
      <w:r w:rsidR="00842D7E">
        <w:rPr>
          <w:sz w:val="19"/>
          <w:szCs w:val="19"/>
        </w:rPr>
        <w:t>Ángel</w:t>
      </w:r>
      <w:r>
        <w:rPr>
          <w:sz w:val="19"/>
          <w:szCs w:val="19"/>
        </w:rPr>
        <w:t xml:space="preserve"> Montes Santamaría)</w:t>
      </w:r>
    </w:p>
    <w:p w14:paraId="1ECB41FF" w14:textId="77777777" w:rsidR="00556BCC" w:rsidRPr="00556BCC" w:rsidRDefault="00556BCC" w:rsidP="006706D9">
      <w:pPr>
        <w:pStyle w:val="ListParagraph"/>
        <w:numPr>
          <w:ilvl w:val="0"/>
          <w:numId w:val="11"/>
        </w:numPr>
        <w:spacing w:before="0" w:after="120"/>
        <w:ind w:left="1440" w:right="274" w:hanging="720"/>
        <w:rPr>
          <w:sz w:val="20"/>
          <w:szCs w:val="20"/>
          <w:lang w:val="en-US"/>
        </w:rPr>
      </w:pPr>
      <w:r w:rsidRPr="00556BCC">
        <w:rPr>
          <w:sz w:val="19"/>
          <w:szCs w:val="19"/>
          <w:lang w:val="en-US"/>
        </w:rPr>
        <w:t>Liliana Katherine Smith Georget (familiar de Locario Vicente Smith Ogan)</w:t>
      </w:r>
    </w:p>
    <w:p w14:paraId="2B6C806F" w14:textId="7777777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Mariel Edith Vásquez de Guevara (hija de Mitzia Aracelis Paredes Gramelos)</w:t>
      </w:r>
    </w:p>
    <w:p w14:paraId="161706AD" w14:textId="5E4D2D01" w:rsidR="003B790E" w:rsidRPr="003B790E" w:rsidRDefault="003B790E" w:rsidP="006706D9">
      <w:pPr>
        <w:pStyle w:val="ListParagraph"/>
        <w:numPr>
          <w:ilvl w:val="0"/>
          <w:numId w:val="11"/>
        </w:numPr>
        <w:spacing w:before="0" w:after="120"/>
        <w:ind w:left="1440" w:right="274" w:hanging="720"/>
        <w:rPr>
          <w:sz w:val="20"/>
          <w:szCs w:val="20"/>
        </w:rPr>
      </w:pPr>
      <w:r w:rsidRPr="00424E9E">
        <w:rPr>
          <w:sz w:val="19"/>
          <w:szCs w:val="19"/>
        </w:rPr>
        <w:t>Maria Briceida Vergara Cáceres de Asprilla</w:t>
      </w:r>
      <w:r>
        <w:rPr>
          <w:sz w:val="19"/>
          <w:szCs w:val="19"/>
        </w:rPr>
        <w:t xml:space="preserve"> (viuda de Héctor Asprilla)</w:t>
      </w:r>
    </w:p>
    <w:p w14:paraId="70D75904" w14:textId="0FC2ABC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 xml:space="preserve">Miguel </w:t>
      </w:r>
      <w:r w:rsidR="00842D7E">
        <w:rPr>
          <w:sz w:val="19"/>
          <w:szCs w:val="19"/>
        </w:rPr>
        <w:t>Ángel</w:t>
      </w:r>
      <w:r>
        <w:rPr>
          <w:sz w:val="19"/>
          <w:szCs w:val="19"/>
        </w:rPr>
        <w:t xml:space="preserve"> Vergara Madrid (hijo de </w:t>
      </w:r>
      <w:r w:rsidR="00842D7E">
        <w:rPr>
          <w:sz w:val="19"/>
          <w:szCs w:val="19"/>
        </w:rPr>
        <w:t>Ángel</w:t>
      </w:r>
      <w:r>
        <w:rPr>
          <w:sz w:val="19"/>
          <w:szCs w:val="19"/>
        </w:rPr>
        <w:t xml:space="preserve"> Paulino Vergara </w:t>
      </w:r>
      <w:r w:rsidR="00842D7E">
        <w:rPr>
          <w:sz w:val="19"/>
          <w:szCs w:val="19"/>
        </w:rPr>
        <w:t>Jaén</w:t>
      </w:r>
      <w:r>
        <w:rPr>
          <w:sz w:val="19"/>
          <w:szCs w:val="19"/>
        </w:rPr>
        <w:t>)</w:t>
      </w:r>
    </w:p>
    <w:p w14:paraId="2861EE0B" w14:textId="77777777" w:rsidR="00556BCC" w:rsidRPr="003B790E" w:rsidRDefault="00556BCC" w:rsidP="006706D9">
      <w:pPr>
        <w:pStyle w:val="ListParagraph"/>
        <w:numPr>
          <w:ilvl w:val="0"/>
          <w:numId w:val="11"/>
        </w:numPr>
        <w:spacing w:before="0" w:after="120"/>
        <w:ind w:left="1440" w:right="274" w:hanging="720"/>
        <w:rPr>
          <w:sz w:val="20"/>
          <w:szCs w:val="20"/>
        </w:rPr>
      </w:pPr>
      <w:r>
        <w:rPr>
          <w:sz w:val="19"/>
          <w:szCs w:val="19"/>
        </w:rPr>
        <w:t>Isenic del Carmen Wittgreen Murgas (viuda de Ricardo Antonio Silvera Cambra)</w:t>
      </w:r>
    </w:p>
    <w:p w14:paraId="5C152464" w14:textId="77777777" w:rsidR="00842D7E" w:rsidRPr="00842D7E" w:rsidRDefault="00842D7E" w:rsidP="006706D9">
      <w:pPr>
        <w:spacing w:after="120"/>
        <w:ind w:right="274"/>
        <w:rPr>
          <w:sz w:val="20"/>
          <w:szCs w:val="20"/>
        </w:rPr>
      </w:pPr>
    </w:p>
    <w:sectPr w:rsidR="00842D7E" w:rsidRPr="00842D7E">
      <w:footerReference w:type="default" r:id="rId16"/>
      <w:pgSz w:w="12240" w:h="15840"/>
      <w:pgMar w:top="1200" w:right="1200" w:bottom="1180" w:left="680" w:header="82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3F86" w14:textId="77777777" w:rsidR="00311283" w:rsidRDefault="00311283">
      <w:r>
        <w:separator/>
      </w:r>
    </w:p>
  </w:endnote>
  <w:endnote w:type="continuationSeparator" w:id="0">
    <w:p w14:paraId="7C1D4D85" w14:textId="77777777" w:rsidR="00311283" w:rsidRDefault="0031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E212" w14:textId="53F9104C" w:rsidR="00371496" w:rsidRDefault="00371496">
    <w:pPr>
      <w:pStyle w:val="BodyText"/>
      <w:spacing w:line="14" w:lineRule="auto"/>
    </w:pPr>
    <w:r>
      <w:rPr>
        <w:noProof/>
      </w:rPr>
      <mc:AlternateContent>
        <mc:Choice Requires="wps">
          <w:drawing>
            <wp:anchor distT="0" distB="0" distL="114300" distR="114300" simplePos="0" relativeHeight="251274240" behindDoc="1" locked="0" layoutInCell="1" allowOverlap="1" wp14:anchorId="22DEC8B2" wp14:editId="2DEC0E9B">
              <wp:simplePos x="0" y="0"/>
              <wp:positionH relativeFrom="page">
                <wp:posOffset>3831590</wp:posOffset>
              </wp:positionH>
              <wp:positionV relativeFrom="page">
                <wp:posOffset>9290050</wp:posOffset>
              </wp:positionV>
              <wp:extent cx="10795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00E4" w14:textId="77777777" w:rsidR="00371496" w:rsidRDefault="00371496">
                          <w:pPr>
                            <w:spacing w:before="20"/>
                            <w:ind w:left="40"/>
                            <w:rPr>
                              <w:sz w:val="16"/>
                            </w:rPr>
                          </w:pP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C8B2" id="_x0000_t202" coordsize="21600,21600" o:spt="202" path="m,l,21600r21600,l21600,xe">
              <v:stroke joinstyle="miter"/>
              <v:path gradientshapeok="t" o:connecttype="rect"/>
            </v:shapetype>
            <v:shape id="Text Box 1" o:spid="_x0000_s1027" type="#_x0000_t202" style="position:absolute;margin-left:301.7pt;margin-top:731.5pt;width:8.5pt;height:11.4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" filled="f" stroked="f">
              <v:textbox inset="0,0,0,0">
                <w:txbxContent>
                  <w:p w14:paraId="020200E4" w14:textId="77777777" w:rsidR="00371496" w:rsidRDefault="00371496">
                    <w:pPr>
                      <w:spacing w:before="20"/>
                      <w:ind w:left="40"/>
                      <w:rPr>
                        <w:sz w:val="16"/>
                      </w:rPr>
                    </w:pPr>
                    <w:r>
                      <w:fldChar w:fldCharType="begin"/>
                    </w:r>
                    <w:r>
                      <w:rPr>
                        <w:sz w:val="16"/>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F0B9" w14:textId="77777777" w:rsidR="00311283" w:rsidRDefault="00311283">
      <w:r>
        <w:separator/>
      </w:r>
    </w:p>
  </w:footnote>
  <w:footnote w:type="continuationSeparator" w:id="0">
    <w:p w14:paraId="4D866194" w14:textId="77777777" w:rsidR="00311283" w:rsidRDefault="00311283">
      <w:r>
        <w:continuationSeparator/>
      </w:r>
    </w:p>
  </w:footnote>
  <w:footnote w:id="1">
    <w:p w14:paraId="7E2FE09C" w14:textId="7D237E31" w:rsidR="002B4F21" w:rsidRPr="000C06CD" w:rsidRDefault="002B4F21" w:rsidP="00A33195">
      <w:pPr>
        <w:pStyle w:val="FootnoteText"/>
        <w:ind w:left="720" w:firstLine="720"/>
        <w:rPr>
          <w:sz w:val="16"/>
          <w:szCs w:val="16"/>
          <w:lang w:val="es-US"/>
        </w:rPr>
      </w:pPr>
      <w:r w:rsidRPr="002B4F21">
        <w:rPr>
          <w:rStyle w:val="FootnoteReference"/>
          <w:sz w:val="16"/>
          <w:szCs w:val="16"/>
        </w:rPr>
        <w:footnoteRef/>
      </w:r>
      <w:r w:rsidRPr="000C06CD">
        <w:rPr>
          <w:sz w:val="16"/>
          <w:szCs w:val="16"/>
          <w:lang w:val="es-US"/>
        </w:rPr>
        <w:t xml:space="preserve"> Ver lista </w:t>
      </w:r>
      <w:r w:rsidR="000C06CD">
        <w:rPr>
          <w:sz w:val="16"/>
          <w:szCs w:val="16"/>
          <w:lang w:val="es-US"/>
        </w:rPr>
        <w:t xml:space="preserve">de presuntas víctimas </w:t>
      </w:r>
      <w:r w:rsidRPr="000C06CD">
        <w:rPr>
          <w:sz w:val="16"/>
          <w:szCs w:val="16"/>
          <w:lang w:val="es-US"/>
        </w:rPr>
        <w:t>anexa al presente informe.</w:t>
      </w:r>
    </w:p>
  </w:footnote>
  <w:footnote w:id="2">
    <w:p w14:paraId="06363FB7" w14:textId="59FD2E6F" w:rsidR="001066AD" w:rsidRPr="004674B4" w:rsidRDefault="0068647A">
      <w:pPr>
        <w:pStyle w:val="FootnoteText"/>
        <w:rPr>
          <w:lang w:val="es-419"/>
        </w:rPr>
      </w:pPr>
      <w:r>
        <w:tab/>
      </w:r>
      <w:r>
        <w:tab/>
      </w:r>
      <w:r w:rsidR="001066AD" w:rsidRPr="009A0BF5">
        <w:rPr>
          <w:rStyle w:val="FootnoteReference"/>
          <w:sz w:val="16"/>
          <w:szCs w:val="16"/>
        </w:rPr>
        <w:footnoteRef/>
      </w:r>
      <w:r>
        <w:t xml:space="preserve"> </w:t>
      </w:r>
      <w:r w:rsidR="004674B4" w:rsidRPr="00B705AF">
        <w:rPr>
          <w:rFonts w:asciiTheme="majorHAnsi" w:hAnsiTheme="majorHAnsi"/>
          <w:sz w:val="16"/>
          <w:szCs w:val="16"/>
        </w:rPr>
        <w:t xml:space="preserve">Conforme a lo dispuesto en el artículo 17.2.a del Reglamento de la Comisión, la Comisionada </w:t>
      </w:r>
      <w:r w:rsidR="004674B4" w:rsidRPr="00B705AF">
        <w:rPr>
          <w:rFonts w:asciiTheme="majorHAnsi" w:hAnsiTheme="majorHAnsi"/>
          <w:sz w:val="16"/>
          <w:szCs w:val="16"/>
          <w:lang w:val="es-AR"/>
        </w:rPr>
        <w:t xml:space="preserve">Esmeralda Arosemena de </w:t>
      </w:r>
      <w:proofErr w:type="spellStart"/>
      <w:r w:rsidR="004674B4" w:rsidRPr="00B705AF">
        <w:rPr>
          <w:rFonts w:asciiTheme="majorHAnsi" w:hAnsiTheme="majorHAnsi"/>
          <w:sz w:val="16"/>
          <w:szCs w:val="16"/>
          <w:lang w:val="es-AR"/>
        </w:rPr>
        <w:t>Troitiño</w:t>
      </w:r>
      <w:proofErr w:type="spellEnd"/>
      <w:r w:rsidR="004674B4" w:rsidRPr="00B705AF">
        <w:rPr>
          <w:rFonts w:asciiTheme="majorHAnsi" w:hAnsiTheme="majorHAnsi"/>
          <w:sz w:val="16"/>
          <w:szCs w:val="16"/>
        </w:rPr>
        <w:t>, de nacionalidad panameña, no participó en el debate ni en la decisión del presente asunto.</w:t>
      </w:r>
      <w:r w:rsidR="001066AD">
        <w:t xml:space="preserve"> </w:t>
      </w:r>
    </w:p>
  </w:footnote>
  <w:footnote w:id="3">
    <w:p w14:paraId="6CAFE95F" w14:textId="1B7418DB" w:rsidR="002B4F21" w:rsidRPr="002B4F21" w:rsidRDefault="002B4F21" w:rsidP="00A33195">
      <w:pPr>
        <w:pStyle w:val="FootnoteText"/>
        <w:ind w:left="720" w:firstLine="720"/>
        <w:rPr>
          <w:sz w:val="16"/>
          <w:szCs w:val="16"/>
          <w:lang w:val="es-US"/>
        </w:rPr>
      </w:pPr>
      <w:r w:rsidRPr="002B4F21">
        <w:rPr>
          <w:rStyle w:val="FootnoteReference"/>
          <w:sz w:val="16"/>
          <w:szCs w:val="16"/>
        </w:rPr>
        <w:footnoteRef/>
      </w:r>
      <w:r w:rsidRPr="002B4F21">
        <w:rPr>
          <w:sz w:val="16"/>
          <w:szCs w:val="16"/>
          <w:lang w:val="es-US"/>
        </w:rPr>
        <w:t xml:space="preserve"> </w:t>
      </w:r>
      <w:r w:rsidRPr="000C06CD">
        <w:rPr>
          <w:sz w:val="16"/>
          <w:szCs w:val="16"/>
          <w:lang w:val="es-US"/>
        </w:rPr>
        <w:t>En adelante “la Convención Americana”.</w:t>
      </w:r>
    </w:p>
  </w:footnote>
  <w:footnote w:id="4">
    <w:p w14:paraId="58034F4B" w14:textId="43677B03" w:rsidR="00D23873" w:rsidRPr="002B4F21" w:rsidRDefault="00D23873" w:rsidP="00A33195">
      <w:pPr>
        <w:ind w:left="720" w:firstLine="720"/>
        <w:jc w:val="both"/>
        <w:rPr>
          <w:rFonts w:asciiTheme="majorHAnsi" w:hAnsiTheme="majorHAnsi"/>
          <w:sz w:val="16"/>
          <w:szCs w:val="16"/>
          <w:lang w:val="es-US" w:eastAsia="fr-FR"/>
        </w:rPr>
      </w:pPr>
      <w:r w:rsidRPr="002B4F21">
        <w:rPr>
          <w:rStyle w:val="FootnoteReference"/>
          <w:rFonts w:asciiTheme="majorHAnsi" w:hAnsiTheme="majorHAnsi"/>
          <w:sz w:val="16"/>
          <w:szCs w:val="16"/>
        </w:rPr>
        <w:footnoteRef/>
      </w:r>
      <w:r w:rsidRPr="000C06CD">
        <w:rPr>
          <w:rFonts w:asciiTheme="majorHAnsi" w:hAnsiTheme="majorHAnsi"/>
          <w:sz w:val="16"/>
          <w:szCs w:val="16"/>
          <w:lang w:val="pt-BR"/>
        </w:rPr>
        <w:t xml:space="preserve"> </w:t>
      </w:r>
      <w:r w:rsidRPr="000C06CD">
        <w:rPr>
          <w:rFonts w:asciiTheme="majorHAnsi" w:hAnsiTheme="majorHAnsi"/>
          <w:sz w:val="16"/>
          <w:szCs w:val="16"/>
          <w:lang w:val="pt-BR" w:eastAsia="fr-FR"/>
        </w:rPr>
        <w:t xml:space="preserve">Véase, </w:t>
      </w:r>
      <w:r w:rsidRPr="000C06CD">
        <w:rPr>
          <w:rFonts w:asciiTheme="majorHAnsi" w:hAnsiTheme="majorHAnsi"/>
          <w:i/>
          <w:iCs/>
          <w:sz w:val="16"/>
          <w:szCs w:val="16"/>
          <w:lang w:val="pt-BR" w:eastAsia="fr-FR"/>
        </w:rPr>
        <w:t>e.g.</w:t>
      </w:r>
      <w:r w:rsidRPr="000C06CD">
        <w:rPr>
          <w:rFonts w:asciiTheme="majorHAnsi" w:hAnsiTheme="majorHAnsi"/>
          <w:sz w:val="16"/>
          <w:szCs w:val="16"/>
          <w:lang w:val="pt-BR" w:eastAsia="fr-FR"/>
        </w:rPr>
        <w:t xml:space="preserve">, </w:t>
      </w:r>
      <w:r w:rsidRPr="000C06CD">
        <w:rPr>
          <w:rFonts w:asciiTheme="majorHAnsi" w:hAnsiTheme="majorHAnsi"/>
          <w:sz w:val="16"/>
          <w:szCs w:val="16"/>
          <w:lang w:val="pt-BR" w:eastAsia="fr-FR"/>
        </w:rPr>
        <w:t>CIDH</w:t>
      </w:r>
      <w:r w:rsidR="001252E8">
        <w:fldChar w:fldCharType="begin"/>
      </w:r>
      <w:r w:rsidR="001252E8" w:rsidRPr="000C06CD">
        <w:rPr>
          <w:lang w:val="pt-BR"/>
        </w:rPr>
        <w:instrText xml:space="preserve"> HYPERLINK "https://www.oas.org/es/cidh/decisiones/2021/ARAD1548-10ES.pdf" </w:instrText>
      </w:r>
      <w:r w:rsidR="001252E8">
        <w:fldChar w:fldCharType="separate"/>
      </w:r>
      <w:r w:rsidRPr="000C06CD">
        <w:rPr>
          <w:rStyle w:val="Hyperlink"/>
          <w:rFonts w:asciiTheme="majorHAnsi" w:hAnsiTheme="majorHAnsi"/>
          <w:sz w:val="16"/>
          <w:szCs w:val="16"/>
          <w:lang w:val="pt-BR" w:eastAsia="fr-FR"/>
        </w:rPr>
        <w:t xml:space="preserve">. </w:t>
      </w:r>
      <w:r w:rsidRPr="002B4F21">
        <w:rPr>
          <w:rStyle w:val="Hyperlink"/>
          <w:rFonts w:asciiTheme="majorHAnsi" w:hAnsiTheme="majorHAnsi"/>
          <w:sz w:val="16"/>
          <w:szCs w:val="16"/>
          <w:lang w:val="pt-BR" w:eastAsia="fr-FR"/>
        </w:rPr>
        <w:t>Informe No. 58/21</w:t>
      </w:r>
      <w:r w:rsidR="001252E8">
        <w:rPr>
          <w:rStyle w:val="Hyperlink"/>
          <w:rFonts w:asciiTheme="majorHAnsi" w:hAnsiTheme="majorHAnsi"/>
          <w:sz w:val="16"/>
          <w:szCs w:val="16"/>
          <w:lang w:val="pt-BR" w:eastAsia="fr-FR"/>
        </w:rPr>
        <w:fldChar w:fldCharType="end"/>
      </w:r>
      <w:r w:rsidRPr="002B4F21">
        <w:rPr>
          <w:rFonts w:asciiTheme="majorHAnsi" w:hAnsiTheme="majorHAnsi"/>
          <w:sz w:val="16"/>
          <w:szCs w:val="16"/>
          <w:lang w:val="pt-BR" w:eastAsia="fr-FR"/>
        </w:rPr>
        <w:t xml:space="preserve">. </w:t>
      </w:r>
      <w:r w:rsidRPr="002B4F21">
        <w:rPr>
          <w:rFonts w:asciiTheme="majorHAnsi" w:hAnsiTheme="majorHAnsi"/>
          <w:sz w:val="16"/>
          <w:szCs w:val="16"/>
          <w:lang w:val="es-US" w:eastAsia="fr-FR"/>
        </w:rPr>
        <w:t>Admisibilidad. Petición 1548-10. Eduardo Hugo Molina Zequeira. Argentina. 9 de marzo de 2021, párrafos 9-10.</w:t>
      </w:r>
    </w:p>
  </w:footnote>
  <w:footnote w:id="5">
    <w:p w14:paraId="0D5DDA85" w14:textId="77777777" w:rsidR="00BD1552" w:rsidRPr="002B4F21" w:rsidRDefault="00BD1552" w:rsidP="00A33195">
      <w:pPr>
        <w:ind w:left="720" w:firstLine="720"/>
        <w:jc w:val="both"/>
        <w:rPr>
          <w:rFonts w:asciiTheme="majorHAnsi" w:hAnsiTheme="majorHAnsi"/>
          <w:sz w:val="16"/>
          <w:szCs w:val="16"/>
          <w:lang w:eastAsia="fr-FR"/>
        </w:rPr>
      </w:pPr>
      <w:r w:rsidRPr="002B4F21">
        <w:rPr>
          <w:rStyle w:val="FootnoteReference"/>
          <w:rFonts w:asciiTheme="majorHAnsi" w:hAnsiTheme="majorHAnsi"/>
          <w:sz w:val="16"/>
          <w:szCs w:val="16"/>
        </w:rPr>
        <w:footnoteRef/>
      </w:r>
      <w:r w:rsidRPr="000C06CD">
        <w:rPr>
          <w:rFonts w:asciiTheme="majorHAnsi" w:hAnsiTheme="majorHAnsi"/>
          <w:sz w:val="16"/>
          <w:szCs w:val="16"/>
          <w:lang w:val="es-US"/>
        </w:rPr>
        <w:t xml:space="preserve"> </w:t>
      </w:r>
      <w:r w:rsidRPr="000C06CD">
        <w:rPr>
          <w:rFonts w:asciiTheme="majorHAnsi" w:hAnsiTheme="majorHAnsi"/>
          <w:sz w:val="16"/>
          <w:szCs w:val="16"/>
          <w:lang w:val="es-US" w:eastAsia="fr-FR"/>
        </w:rPr>
        <w:t xml:space="preserve">Véase, </w:t>
      </w:r>
      <w:r w:rsidRPr="000C06CD">
        <w:rPr>
          <w:rFonts w:asciiTheme="majorHAnsi" w:hAnsiTheme="majorHAnsi"/>
          <w:i/>
          <w:iCs/>
          <w:sz w:val="16"/>
          <w:szCs w:val="16"/>
          <w:lang w:val="es-US" w:eastAsia="fr-FR"/>
        </w:rPr>
        <w:t>e.g.</w:t>
      </w:r>
      <w:r w:rsidRPr="000C06CD">
        <w:rPr>
          <w:rFonts w:asciiTheme="majorHAnsi" w:hAnsiTheme="majorHAnsi"/>
          <w:sz w:val="16"/>
          <w:szCs w:val="16"/>
          <w:lang w:val="es-US" w:eastAsia="fr-FR"/>
        </w:rPr>
        <w:t>, CIDH</w:t>
      </w:r>
      <w:hyperlink r:id="rId1" w:history="1">
        <w:r w:rsidRPr="000C06CD">
          <w:rPr>
            <w:rStyle w:val="Hyperlink"/>
            <w:rFonts w:asciiTheme="majorHAnsi" w:hAnsiTheme="majorHAnsi"/>
            <w:sz w:val="16"/>
            <w:szCs w:val="16"/>
            <w:lang w:val="es-US" w:eastAsia="fr-FR"/>
          </w:rPr>
          <w:t xml:space="preserve">. Informe No. 25/18. </w:t>
        </w:r>
        <w:r w:rsidRPr="002B4F21">
          <w:rPr>
            <w:rStyle w:val="Hyperlink"/>
            <w:rFonts w:asciiTheme="majorHAnsi" w:hAnsiTheme="majorHAnsi"/>
            <w:sz w:val="16"/>
            <w:szCs w:val="16"/>
            <w:lang w:eastAsia="fr-FR"/>
          </w:rPr>
          <w:t xml:space="preserve">Caso 12.248. Admisibilidad y Fondo. Empleados de la Fábrica de Fuegos en Santo </w:t>
        </w:r>
        <w:proofErr w:type="spellStart"/>
        <w:r w:rsidRPr="002B4F21">
          <w:rPr>
            <w:rStyle w:val="Hyperlink"/>
            <w:rFonts w:asciiTheme="majorHAnsi" w:hAnsiTheme="majorHAnsi"/>
            <w:sz w:val="16"/>
            <w:szCs w:val="16"/>
            <w:lang w:eastAsia="fr-FR"/>
          </w:rPr>
          <w:t>Antônio</w:t>
        </w:r>
        <w:proofErr w:type="spellEnd"/>
        <w:r w:rsidRPr="002B4F21">
          <w:rPr>
            <w:rStyle w:val="Hyperlink"/>
            <w:rFonts w:asciiTheme="majorHAnsi" w:hAnsiTheme="majorHAnsi"/>
            <w:sz w:val="16"/>
            <w:szCs w:val="16"/>
            <w:lang w:eastAsia="fr-FR"/>
          </w:rPr>
          <w:t xml:space="preserve"> de </w:t>
        </w:r>
        <w:proofErr w:type="spellStart"/>
        <w:r w:rsidRPr="002B4F21">
          <w:rPr>
            <w:rStyle w:val="Hyperlink"/>
            <w:rFonts w:asciiTheme="majorHAnsi" w:hAnsiTheme="majorHAnsi"/>
            <w:sz w:val="16"/>
            <w:szCs w:val="16"/>
            <w:lang w:eastAsia="fr-FR"/>
          </w:rPr>
          <w:t>Jesus</w:t>
        </w:r>
        <w:proofErr w:type="spellEnd"/>
        <w:r w:rsidRPr="002B4F21">
          <w:rPr>
            <w:rStyle w:val="Hyperlink"/>
            <w:rFonts w:asciiTheme="majorHAnsi" w:hAnsiTheme="majorHAnsi"/>
            <w:sz w:val="16"/>
            <w:szCs w:val="16"/>
            <w:lang w:eastAsia="fr-FR"/>
          </w:rPr>
          <w:t xml:space="preserve"> y sus familiares. Brasil</w:t>
        </w:r>
      </w:hyperlink>
      <w:r w:rsidRPr="002B4F21">
        <w:rPr>
          <w:rFonts w:asciiTheme="majorHAnsi" w:hAnsiTheme="majorHAnsi"/>
          <w:sz w:val="16"/>
          <w:szCs w:val="16"/>
          <w:lang w:eastAsia="fr-FR"/>
        </w:rPr>
        <w:t>. 2 de marzo de 2018, párrafos 27, 126-135.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3BE7" w14:textId="77777777" w:rsidR="00105451" w:rsidRDefault="00105451" w:rsidP="00105451">
    <w:pPr>
      <w:pStyle w:val="Header"/>
      <w:jc w:val="center"/>
    </w:pPr>
    <w:r>
      <w:rPr>
        <w:noProof/>
      </w:rPr>
      <w:drawing>
        <wp:inline distT="0" distB="0" distL="0" distR="0" wp14:anchorId="7FADCD5C" wp14:editId="49AC4326">
          <wp:extent cx="1972237" cy="104775"/>
          <wp:effectExtent l="0" t="0" r="9525" b="0"/>
          <wp:docPr id="26" name="Picture 2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A0AE988" w14:textId="77777777" w:rsidR="00105451" w:rsidRPr="00EC7D62" w:rsidRDefault="00311283" w:rsidP="00105451">
    <w:pPr>
      <w:pStyle w:val="Header"/>
      <w:jc w:val="center"/>
    </w:pPr>
    <w:r>
      <w:pict w14:anchorId="2E74119B">
        <v:rect id="_x0000_i1025" style="width:0;height:1.5pt" o:hralign="center" o:hrstd="t" o:hr="t" fillcolor="#a0a0a0" stroked="f"/>
      </w:pict>
    </w:r>
  </w:p>
  <w:p w14:paraId="01338B24" w14:textId="77777777" w:rsidR="00105451" w:rsidRDefault="0010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5D"/>
    <w:multiLevelType w:val="hybridMultilevel"/>
    <w:tmpl w:val="90081536"/>
    <w:lvl w:ilvl="0" w:tplc="4DFE5B5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6015C6"/>
    <w:multiLevelType w:val="hybridMultilevel"/>
    <w:tmpl w:val="E65E2B94"/>
    <w:lvl w:ilvl="0" w:tplc="581E13C0">
      <w:start w:val="15"/>
      <w:numFmt w:val="upperRoman"/>
      <w:lvlText w:val="%1."/>
      <w:lvlJc w:val="left"/>
      <w:pPr>
        <w:ind w:left="1170" w:hanging="720"/>
      </w:pPr>
      <w:rPr>
        <w:rFonts w:ascii="Cambria" w:eastAsia="Cambria" w:hAnsi="Cambria" w:cs="Cambria"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3" w15:restartNumberingAfterBreak="0">
    <w:nsid w:val="1AA60F95"/>
    <w:multiLevelType w:val="hybridMultilevel"/>
    <w:tmpl w:val="0C6E3040"/>
    <w:lvl w:ilvl="0" w:tplc="535E9C72">
      <w:start w:val="1"/>
      <w:numFmt w:val="decimal"/>
      <w:lvlText w:val="%1."/>
      <w:lvlJc w:val="left"/>
      <w:pPr>
        <w:ind w:left="759" w:hanging="720"/>
      </w:pPr>
      <w:rPr>
        <w:rFonts w:hint="default"/>
        <w:w w:val="99"/>
        <w:lang w:val="es-ES" w:eastAsia="es-ES" w:bidi="es-ES"/>
      </w:rPr>
    </w:lvl>
    <w:lvl w:ilvl="1" w:tplc="5DA4F3E2">
      <w:numFmt w:val="bullet"/>
      <w:lvlText w:val="•"/>
      <w:lvlJc w:val="left"/>
      <w:pPr>
        <w:ind w:left="1726" w:hanging="720"/>
      </w:pPr>
      <w:rPr>
        <w:rFonts w:hint="default"/>
        <w:lang w:val="es-ES" w:eastAsia="es-ES" w:bidi="es-ES"/>
      </w:rPr>
    </w:lvl>
    <w:lvl w:ilvl="2" w:tplc="CB9EF8D2">
      <w:numFmt w:val="bullet"/>
      <w:lvlText w:val="•"/>
      <w:lvlJc w:val="left"/>
      <w:pPr>
        <w:ind w:left="2692" w:hanging="720"/>
      </w:pPr>
      <w:rPr>
        <w:rFonts w:hint="default"/>
        <w:lang w:val="es-ES" w:eastAsia="es-ES" w:bidi="es-ES"/>
      </w:rPr>
    </w:lvl>
    <w:lvl w:ilvl="3" w:tplc="2C04E2E8">
      <w:numFmt w:val="bullet"/>
      <w:lvlText w:val="•"/>
      <w:lvlJc w:val="left"/>
      <w:pPr>
        <w:ind w:left="3658" w:hanging="720"/>
      </w:pPr>
      <w:rPr>
        <w:rFonts w:hint="default"/>
        <w:lang w:val="es-ES" w:eastAsia="es-ES" w:bidi="es-ES"/>
      </w:rPr>
    </w:lvl>
    <w:lvl w:ilvl="4" w:tplc="84D8DBA4">
      <w:numFmt w:val="bullet"/>
      <w:lvlText w:val="•"/>
      <w:lvlJc w:val="left"/>
      <w:pPr>
        <w:ind w:left="4624" w:hanging="720"/>
      </w:pPr>
      <w:rPr>
        <w:rFonts w:hint="default"/>
        <w:lang w:val="es-ES" w:eastAsia="es-ES" w:bidi="es-ES"/>
      </w:rPr>
    </w:lvl>
    <w:lvl w:ilvl="5" w:tplc="D890C6F6">
      <w:numFmt w:val="bullet"/>
      <w:lvlText w:val="•"/>
      <w:lvlJc w:val="left"/>
      <w:pPr>
        <w:ind w:left="5590" w:hanging="720"/>
      </w:pPr>
      <w:rPr>
        <w:rFonts w:hint="default"/>
        <w:lang w:val="es-ES" w:eastAsia="es-ES" w:bidi="es-ES"/>
      </w:rPr>
    </w:lvl>
    <w:lvl w:ilvl="6" w:tplc="49885676">
      <w:numFmt w:val="bullet"/>
      <w:lvlText w:val="•"/>
      <w:lvlJc w:val="left"/>
      <w:pPr>
        <w:ind w:left="6556" w:hanging="720"/>
      </w:pPr>
      <w:rPr>
        <w:rFonts w:hint="default"/>
        <w:lang w:val="es-ES" w:eastAsia="es-ES" w:bidi="es-ES"/>
      </w:rPr>
    </w:lvl>
    <w:lvl w:ilvl="7" w:tplc="8132EC28">
      <w:numFmt w:val="bullet"/>
      <w:lvlText w:val="•"/>
      <w:lvlJc w:val="left"/>
      <w:pPr>
        <w:ind w:left="7522" w:hanging="720"/>
      </w:pPr>
      <w:rPr>
        <w:rFonts w:hint="default"/>
        <w:lang w:val="es-ES" w:eastAsia="es-ES" w:bidi="es-ES"/>
      </w:rPr>
    </w:lvl>
    <w:lvl w:ilvl="8" w:tplc="6A825AF6">
      <w:numFmt w:val="bullet"/>
      <w:lvlText w:val="•"/>
      <w:lvlJc w:val="left"/>
      <w:pPr>
        <w:ind w:left="8488" w:hanging="720"/>
      </w:pPr>
      <w:rPr>
        <w:rFonts w:hint="default"/>
        <w:lang w:val="es-ES" w:eastAsia="es-ES" w:bidi="es-ES"/>
      </w:rPr>
    </w:lvl>
  </w:abstractNum>
  <w:abstractNum w:abstractNumId="4" w15:restartNumberingAfterBreak="0">
    <w:nsid w:val="1BEF6253"/>
    <w:multiLevelType w:val="hybridMultilevel"/>
    <w:tmpl w:val="92F40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01E7E47"/>
    <w:multiLevelType w:val="hybridMultilevel"/>
    <w:tmpl w:val="926E0B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4E467AF"/>
    <w:multiLevelType w:val="hybridMultilevel"/>
    <w:tmpl w:val="ADD8CD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8" w15:restartNumberingAfterBreak="0">
    <w:nsid w:val="64486C16"/>
    <w:multiLevelType w:val="hybridMultilevel"/>
    <w:tmpl w:val="16FE8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1C060A"/>
    <w:multiLevelType w:val="hybridMultilevel"/>
    <w:tmpl w:val="C8E82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1" w15:restartNumberingAfterBreak="0">
    <w:nsid w:val="7E001150"/>
    <w:multiLevelType w:val="hybridMultilevel"/>
    <w:tmpl w:val="039E1F7C"/>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16cid:durableId="563682554">
    <w:abstractNumId w:val="2"/>
  </w:num>
  <w:num w:numId="2" w16cid:durableId="437454652">
    <w:abstractNumId w:val="11"/>
  </w:num>
  <w:num w:numId="3" w16cid:durableId="1087533947">
    <w:abstractNumId w:val="7"/>
  </w:num>
  <w:num w:numId="4" w16cid:durableId="1756785486">
    <w:abstractNumId w:val="8"/>
  </w:num>
  <w:num w:numId="5" w16cid:durableId="628240867">
    <w:abstractNumId w:val="3"/>
  </w:num>
  <w:num w:numId="6" w16cid:durableId="1526677566">
    <w:abstractNumId w:val="4"/>
  </w:num>
  <w:num w:numId="7" w16cid:durableId="848299561">
    <w:abstractNumId w:val="0"/>
  </w:num>
  <w:num w:numId="8" w16cid:durableId="1646619523">
    <w:abstractNumId w:val="1"/>
  </w:num>
  <w:num w:numId="9" w16cid:durableId="1294020405">
    <w:abstractNumId w:val="6"/>
  </w:num>
  <w:num w:numId="10" w16cid:durableId="430929234">
    <w:abstractNumId w:val="10"/>
  </w:num>
  <w:num w:numId="11" w16cid:durableId="703291420">
    <w:abstractNumId w:val="5"/>
  </w:num>
  <w:num w:numId="12" w16cid:durableId="314408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7F"/>
    <w:rsid w:val="00001ECC"/>
    <w:rsid w:val="00022A0F"/>
    <w:rsid w:val="00035FF1"/>
    <w:rsid w:val="00036E4C"/>
    <w:rsid w:val="00044C57"/>
    <w:rsid w:val="000712A8"/>
    <w:rsid w:val="00085CAD"/>
    <w:rsid w:val="000B0EA8"/>
    <w:rsid w:val="000B3CC5"/>
    <w:rsid w:val="000C06CD"/>
    <w:rsid w:val="000C372A"/>
    <w:rsid w:val="000C4596"/>
    <w:rsid w:val="000D1E31"/>
    <w:rsid w:val="000D72B4"/>
    <w:rsid w:val="000D7C43"/>
    <w:rsid w:val="000E4A13"/>
    <w:rsid w:val="000E5323"/>
    <w:rsid w:val="000F04E0"/>
    <w:rsid w:val="000F1EF6"/>
    <w:rsid w:val="000F2AEE"/>
    <w:rsid w:val="000F3D97"/>
    <w:rsid w:val="000F61B8"/>
    <w:rsid w:val="0010455A"/>
    <w:rsid w:val="00105451"/>
    <w:rsid w:val="001066AD"/>
    <w:rsid w:val="00113C4F"/>
    <w:rsid w:val="00116B0C"/>
    <w:rsid w:val="00120369"/>
    <w:rsid w:val="001223F2"/>
    <w:rsid w:val="0012481A"/>
    <w:rsid w:val="001252E8"/>
    <w:rsid w:val="0012547F"/>
    <w:rsid w:val="001365D7"/>
    <w:rsid w:val="001403CE"/>
    <w:rsid w:val="001446AE"/>
    <w:rsid w:val="00152A4A"/>
    <w:rsid w:val="001542E8"/>
    <w:rsid w:val="00154FA6"/>
    <w:rsid w:val="00156031"/>
    <w:rsid w:val="001732A9"/>
    <w:rsid w:val="00182D26"/>
    <w:rsid w:val="00187FC4"/>
    <w:rsid w:val="001968A3"/>
    <w:rsid w:val="001A3697"/>
    <w:rsid w:val="001B6F60"/>
    <w:rsid w:val="001C678C"/>
    <w:rsid w:val="001D06C9"/>
    <w:rsid w:val="001E152B"/>
    <w:rsid w:val="001E71D5"/>
    <w:rsid w:val="001E7929"/>
    <w:rsid w:val="00207DE1"/>
    <w:rsid w:val="0021091F"/>
    <w:rsid w:val="00211892"/>
    <w:rsid w:val="002126CD"/>
    <w:rsid w:val="00220FFB"/>
    <w:rsid w:val="0023152F"/>
    <w:rsid w:val="002569D9"/>
    <w:rsid w:val="0026469F"/>
    <w:rsid w:val="002656BF"/>
    <w:rsid w:val="002669E6"/>
    <w:rsid w:val="002750C4"/>
    <w:rsid w:val="00280994"/>
    <w:rsid w:val="002A6666"/>
    <w:rsid w:val="002B20F1"/>
    <w:rsid w:val="002B2699"/>
    <w:rsid w:val="002B49D5"/>
    <w:rsid w:val="002B4F21"/>
    <w:rsid w:val="002C2A51"/>
    <w:rsid w:val="002D63E7"/>
    <w:rsid w:val="002E3ABF"/>
    <w:rsid w:val="002E6E9E"/>
    <w:rsid w:val="00301B59"/>
    <w:rsid w:val="003073C6"/>
    <w:rsid w:val="00311283"/>
    <w:rsid w:val="0031450D"/>
    <w:rsid w:val="00317E06"/>
    <w:rsid w:val="003217D2"/>
    <w:rsid w:val="0032337A"/>
    <w:rsid w:val="00323C5D"/>
    <w:rsid w:val="003267BE"/>
    <w:rsid w:val="00327A12"/>
    <w:rsid w:val="00333914"/>
    <w:rsid w:val="003411B6"/>
    <w:rsid w:val="00342746"/>
    <w:rsid w:val="00344681"/>
    <w:rsid w:val="003464F2"/>
    <w:rsid w:val="00350045"/>
    <w:rsid w:val="00356753"/>
    <w:rsid w:val="00362ADC"/>
    <w:rsid w:val="003679D0"/>
    <w:rsid w:val="00371496"/>
    <w:rsid w:val="00371D67"/>
    <w:rsid w:val="00373BFD"/>
    <w:rsid w:val="00377C3C"/>
    <w:rsid w:val="00384195"/>
    <w:rsid w:val="00384697"/>
    <w:rsid w:val="0039606D"/>
    <w:rsid w:val="003B05AD"/>
    <w:rsid w:val="003B0E17"/>
    <w:rsid w:val="003B548D"/>
    <w:rsid w:val="003B790E"/>
    <w:rsid w:val="003D1B77"/>
    <w:rsid w:val="003D3B9E"/>
    <w:rsid w:val="003E4AA2"/>
    <w:rsid w:val="003F2DC7"/>
    <w:rsid w:val="00424E9E"/>
    <w:rsid w:val="0042609C"/>
    <w:rsid w:val="0042620A"/>
    <w:rsid w:val="0043732C"/>
    <w:rsid w:val="00452EE6"/>
    <w:rsid w:val="0046033A"/>
    <w:rsid w:val="004674B4"/>
    <w:rsid w:val="00480AD1"/>
    <w:rsid w:val="00484D2D"/>
    <w:rsid w:val="00486513"/>
    <w:rsid w:val="00497664"/>
    <w:rsid w:val="004A453E"/>
    <w:rsid w:val="004A4F3A"/>
    <w:rsid w:val="004A6717"/>
    <w:rsid w:val="004A6D26"/>
    <w:rsid w:val="004D58D3"/>
    <w:rsid w:val="004E22EB"/>
    <w:rsid w:val="004E27B7"/>
    <w:rsid w:val="004E280F"/>
    <w:rsid w:val="004E54E6"/>
    <w:rsid w:val="004E5E93"/>
    <w:rsid w:val="004E61BD"/>
    <w:rsid w:val="00504274"/>
    <w:rsid w:val="0053334E"/>
    <w:rsid w:val="00536852"/>
    <w:rsid w:val="0054166D"/>
    <w:rsid w:val="0054336E"/>
    <w:rsid w:val="00550EEA"/>
    <w:rsid w:val="00556BCC"/>
    <w:rsid w:val="00564824"/>
    <w:rsid w:val="0059052A"/>
    <w:rsid w:val="005906B2"/>
    <w:rsid w:val="005A08F5"/>
    <w:rsid w:val="005A12C8"/>
    <w:rsid w:val="005A23E7"/>
    <w:rsid w:val="005A605B"/>
    <w:rsid w:val="005D5DAA"/>
    <w:rsid w:val="005E4037"/>
    <w:rsid w:val="005E59AB"/>
    <w:rsid w:val="005F5DC3"/>
    <w:rsid w:val="00606B84"/>
    <w:rsid w:val="00614A26"/>
    <w:rsid w:val="00623266"/>
    <w:rsid w:val="0064504C"/>
    <w:rsid w:val="00646F36"/>
    <w:rsid w:val="00652350"/>
    <w:rsid w:val="00653AE5"/>
    <w:rsid w:val="00662AAC"/>
    <w:rsid w:val="00664365"/>
    <w:rsid w:val="006706D9"/>
    <w:rsid w:val="006832C4"/>
    <w:rsid w:val="006844C1"/>
    <w:rsid w:val="0068552D"/>
    <w:rsid w:val="006856C3"/>
    <w:rsid w:val="0068647A"/>
    <w:rsid w:val="00696FF2"/>
    <w:rsid w:val="006A6072"/>
    <w:rsid w:val="006B0350"/>
    <w:rsid w:val="006C32F9"/>
    <w:rsid w:val="006C7155"/>
    <w:rsid w:val="006D0980"/>
    <w:rsid w:val="006D0A03"/>
    <w:rsid w:val="006D532C"/>
    <w:rsid w:val="006F2A29"/>
    <w:rsid w:val="006F6C0E"/>
    <w:rsid w:val="0071323A"/>
    <w:rsid w:val="007206F8"/>
    <w:rsid w:val="00726DAC"/>
    <w:rsid w:val="0073451E"/>
    <w:rsid w:val="00740D91"/>
    <w:rsid w:val="0075545F"/>
    <w:rsid w:val="00784549"/>
    <w:rsid w:val="00796D49"/>
    <w:rsid w:val="007A336B"/>
    <w:rsid w:val="007A5EB7"/>
    <w:rsid w:val="007C701B"/>
    <w:rsid w:val="007D4CB4"/>
    <w:rsid w:val="007E5BC2"/>
    <w:rsid w:val="007E7632"/>
    <w:rsid w:val="0080195B"/>
    <w:rsid w:val="00807BF6"/>
    <w:rsid w:val="00812339"/>
    <w:rsid w:val="00812B49"/>
    <w:rsid w:val="008130B9"/>
    <w:rsid w:val="008135FA"/>
    <w:rsid w:val="0083080F"/>
    <w:rsid w:val="008313CB"/>
    <w:rsid w:val="008373BB"/>
    <w:rsid w:val="00842D7E"/>
    <w:rsid w:val="00867E4A"/>
    <w:rsid w:val="00877238"/>
    <w:rsid w:val="008818E3"/>
    <w:rsid w:val="00892869"/>
    <w:rsid w:val="00895E89"/>
    <w:rsid w:val="008A1C63"/>
    <w:rsid w:val="008A33E7"/>
    <w:rsid w:val="008B2A7C"/>
    <w:rsid w:val="008B63D5"/>
    <w:rsid w:val="008C719B"/>
    <w:rsid w:val="008D0910"/>
    <w:rsid w:val="008D5132"/>
    <w:rsid w:val="008D5B63"/>
    <w:rsid w:val="008D724B"/>
    <w:rsid w:val="008D7368"/>
    <w:rsid w:val="0090139E"/>
    <w:rsid w:val="00904A45"/>
    <w:rsid w:val="00910A7B"/>
    <w:rsid w:val="0091162B"/>
    <w:rsid w:val="00916D1F"/>
    <w:rsid w:val="009176FC"/>
    <w:rsid w:val="00920309"/>
    <w:rsid w:val="00920F7F"/>
    <w:rsid w:val="00925902"/>
    <w:rsid w:val="00926AA5"/>
    <w:rsid w:val="009273E4"/>
    <w:rsid w:val="00931306"/>
    <w:rsid w:val="009470E8"/>
    <w:rsid w:val="009638C3"/>
    <w:rsid w:val="00974C2D"/>
    <w:rsid w:val="00987AEF"/>
    <w:rsid w:val="00987D7B"/>
    <w:rsid w:val="009919B7"/>
    <w:rsid w:val="009A0BF5"/>
    <w:rsid w:val="009A3D5B"/>
    <w:rsid w:val="009A7017"/>
    <w:rsid w:val="009A77EF"/>
    <w:rsid w:val="009B226A"/>
    <w:rsid w:val="009B2EA2"/>
    <w:rsid w:val="009C4491"/>
    <w:rsid w:val="009D1656"/>
    <w:rsid w:val="009E39F2"/>
    <w:rsid w:val="009F4238"/>
    <w:rsid w:val="00A11353"/>
    <w:rsid w:val="00A228FD"/>
    <w:rsid w:val="00A26F8F"/>
    <w:rsid w:val="00A27F5F"/>
    <w:rsid w:val="00A30CFC"/>
    <w:rsid w:val="00A33195"/>
    <w:rsid w:val="00A37B78"/>
    <w:rsid w:val="00A407A3"/>
    <w:rsid w:val="00A42177"/>
    <w:rsid w:val="00A54733"/>
    <w:rsid w:val="00A62F6D"/>
    <w:rsid w:val="00A65F54"/>
    <w:rsid w:val="00A660B6"/>
    <w:rsid w:val="00A71D96"/>
    <w:rsid w:val="00A73885"/>
    <w:rsid w:val="00A8251C"/>
    <w:rsid w:val="00A86810"/>
    <w:rsid w:val="00A917ED"/>
    <w:rsid w:val="00AE33A2"/>
    <w:rsid w:val="00AE6BA9"/>
    <w:rsid w:val="00B057D4"/>
    <w:rsid w:val="00B11460"/>
    <w:rsid w:val="00B12448"/>
    <w:rsid w:val="00B25B11"/>
    <w:rsid w:val="00B2648A"/>
    <w:rsid w:val="00B26D9D"/>
    <w:rsid w:val="00B27F58"/>
    <w:rsid w:val="00B308DE"/>
    <w:rsid w:val="00B40AED"/>
    <w:rsid w:val="00B459C6"/>
    <w:rsid w:val="00B47795"/>
    <w:rsid w:val="00B610FB"/>
    <w:rsid w:val="00B73687"/>
    <w:rsid w:val="00B805CA"/>
    <w:rsid w:val="00B805EB"/>
    <w:rsid w:val="00BA6930"/>
    <w:rsid w:val="00BB0A0E"/>
    <w:rsid w:val="00BB4CBB"/>
    <w:rsid w:val="00BB561C"/>
    <w:rsid w:val="00BC44EA"/>
    <w:rsid w:val="00BD0EA9"/>
    <w:rsid w:val="00BD1552"/>
    <w:rsid w:val="00BD238C"/>
    <w:rsid w:val="00BD68A8"/>
    <w:rsid w:val="00BE5630"/>
    <w:rsid w:val="00BF3560"/>
    <w:rsid w:val="00C02C7F"/>
    <w:rsid w:val="00C047D8"/>
    <w:rsid w:val="00C11705"/>
    <w:rsid w:val="00C13107"/>
    <w:rsid w:val="00C228AB"/>
    <w:rsid w:val="00C26CC5"/>
    <w:rsid w:val="00C32EED"/>
    <w:rsid w:val="00C42F6F"/>
    <w:rsid w:val="00C4539B"/>
    <w:rsid w:val="00C63D9F"/>
    <w:rsid w:val="00C70DE6"/>
    <w:rsid w:val="00C7527C"/>
    <w:rsid w:val="00C7562F"/>
    <w:rsid w:val="00C76963"/>
    <w:rsid w:val="00C8477D"/>
    <w:rsid w:val="00C91511"/>
    <w:rsid w:val="00C93CAD"/>
    <w:rsid w:val="00CA4FB9"/>
    <w:rsid w:val="00CA608F"/>
    <w:rsid w:val="00CC04A1"/>
    <w:rsid w:val="00CD00E9"/>
    <w:rsid w:val="00CE19C2"/>
    <w:rsid w:val="00CE2971"/>
    <w:rsid w:val="00CE5E47"/>
    <w:rsid w:val="00CF138C"/>
    <w:rsid w:val="00CF2A97"/>
    <w:rsid w:val="00CF6E5B"/>
    <w:rsid w:val="00D07F20"/>
    <w:rsid w:val="00D15F36"/>
    <w:rsid w:val="00D23873"/>
    <w:rsid w:val="00D31EAC"/>
    <w:rsid w:val="00D324EA"/>
    <w:rsid w:val="00D36EB2"/>
    <w:rsid w:val="00D406D7"/>
    <w:rsid w:val="00D435E8"/>
    <w:rsid w:val="00D45647"/>
    <w:rsid w:val="00D460BB"/>
    <w:rsid w:val="00D67BD7"/>
    <w:rsid w:val="00D70F1B"/>
    <w:rsid w:val="00D805E4"/>
    <w:rsid w:val="00D82C50"/>
    <w:rsid w:val="00D861A8"/>
    <w:rsid w:val="00D95948"/>
    <w:rsid w:val="00DA43AF"/>
    <w:rsid w:val="00DD1A15"/>
    <w:rsid w:val="00DD7D3D"/>
    <w:rsid w:val="00DE582E"/>
    <w:rsid w:val="00E05DC5"/>
    <w:rsid w:val="00E13DB9"/>
    <w:rsid w:val="00E1686D"/>
    <w:rsid w:val="00E17626"/>
    <w:rsid w:val="00E468E7"/>
    <w:rsid w:val="00E46D49"/>
    <w:rsid w:val="00E54756"/>
    <w:rsid w:val="00E677DC"/>
    <w:rsid w:val="00E7382B"/>
    <w:rsid w:val="00E7546C"/>
    <w:rsid w:val="00E80E1F"/>
    <w:rsid w:val="00E818F9"/>
    <w:rsid w:val="00E8638A"/>
    <w:rsid w:val="00E86A6E"/>
    <w:rsid w:val="00E91AC4"/>
    <w:rsid w:val="00E967F5"/>
    <w:rsid w:val="00EB5F68"/>
    <w:rsid w:val="00EC0904"/>
    <w:rsid w:val="00ED2C9A"/>
    <w:rsid w:val="00ED5706"/>
    <w:rsid w:val="00EE15AC"/>
    <w:rsid w:val="00EE7BDA"/>
    <w:rsid w:val="00EF1375"/>
    <w:rsid w:val="00EF4CDC"/>
    <w:rsid w:val="00F05A65"/>
    <w:rsid w:val="00F14654"/>
    <w:rsid w:val="00F34EE8"/>
    <w:rsid w:val="00F42355"/>
    <w:rsid w:val="00F579FA"/>
    <w:rsid w:val="00F64563"/>
    <w:rsid w:val="00F75FF5"/>
    <w:rsid w:val="00F764B0"/>
    <w:rsid w:val="00F77600"/>
    <w:rsid w:val="00F8328C"/>
    <w:rsid w:val="00F87D22"/>
    <w:rsid w:val="00FE595D"/>
    <w:rsid w:val="00FF4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eastAsia="es-ES" w:bidi="es-ES"/>
    </w:rPr>
  </w:style>
  <w:style w:type="paragraph" w:styleId="Heading1">
    <w:name w:val="heading 1"/>
    <w:basedOn w:val="Normal"/>
    <w:uiPriority w:val="9"/>
    <w:qFormat/>
    <w:pPr>
      <w:ind w:left="3040"/>
      <w:outlineLvl w:val="0"/>
    </w:pPr>
    <w:rPr>
      <w:sz w:val="24"/>
      <w:szCs w:val="24"/>
    </w:rPr>
  </w:style>
  <w:style w:type="paragraph" w:styleId="Heading2">
    <w:name w:val="heading 2"/>
    <w:basedOn w:val="Normal"/>
    <w:uiPriority w:val="9"/>
    <w:unhideWhenUsed/>
    <w:qFormat/>
    <w:pPr>
      <w:spacing w:before="122"/>
      <w:ind w:left="2199"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758" w:hanging="721"/>
      <w:jc w:val="both"/>
    </w:pPr>
  </w:style>
  <w:style w:type="paragraph" w:customStyle="1" w:styleId="TableParagraph">
    <w:name w:val="Table Paragraph"/>
    <w:basedOn w:val="Normal"/>
    <w:uiPriority w:val="1"/>
    <w:qFormat/>
    <w:pPr>
      <w:spacing w:line="203" w:lineRule="exact"/>
      <w:ind w:left="105"/>
    </w:pPr>
  </w:style>
  <w:style w:type="paragraph" w:styleId="Header">
    <w:name w:val="header"/>
    <w:aliases w:val="encabezado"/>
    <w:basedOn w:val="Normal"/>
    <w:link w:val="HeaderChar"/>
    <w:unhideWhenUsed/>
    <w:rsid w:val="00035FF1"/>
    <w:pPr>
      <w:tabs>
        <w:tab w:val="center" w:pos="4252"/>
        <w:tab w:val="right" w:pos="8504"/>
      </w:tabs>
    </w:pPr>
  </w:style>
  <w:style w:type="character" w:customStyle="1" w:styleId="HeaderChar">
    <w:name w:val="Header Char"/>
    <w:aliases w:val="encabezado Char"/>
    <w:basedOn w:val="DefaultParagraphFont"/>
    <w:link w:val="Header"/>
    <w:rsid w:val="00035FF1"/>
    <w:rPr>
      <w:rFonts w:ascii="Cambria" w:eastAsia="Cambria" w:hAnsi="Cambria" w:cs="Cambria"/>
      <w:lang w:val="es-ES" w:eastAsia="es-ES" w:bidi="es-ES"/>
    </w:rPr>
  </w:style>
  <w:style w:type="paragraph" w:styleId="Footer">
    <w:name w:val="footer"/>
    <w:basedOn w:val="Normal"/>
    <w:link w:val="FooterChar"/>
    <w:uiPriority w:val="99"/>
    <w:unhideWhenUsed/>
    <w:rsid w:val="00035FF1"/>
    <w:pPr>
      <w:tabs>
        <w:tab w:val="center" w:pos="4252"/>
        <w:tab w:val="right" w:pos="8504"/>
      </w:tabs>
    </w:pPr>
  </w:style>
  <w:style w:type="character" w:customStyle="1" w:styleId="FooterChar">
    <w:name w:val="Footer Char"/>
    <w:basedOn w:val="DefaultParagraphFont"/>
    <w:link w:val="Footer"/>
    <w:uiPriority w:val="99"/>
    <w:rsid w:val="00035FF1"/>
    <w:rPr>
      <w:rFonts w:ascii="Cambria" w:eastAsia="Cambria" w:hAnsi="Cambria" w:cs="Cambria"/>
      <w:lang w:val="es-ES" w:eastAsia="es-ES" w:bidi="es-ES"/>
    </w:rPr>
  </w:style>
  <w:style w:type="paragraph" w:styleId="FootnoteText">
    <w:name w:val="footnote text"/>
    <w:basedOn w:val="Normal"/>
    <w:link w:val="FootnoteTextChar"/>
    <w:uiPriority w:val="99"/>
    <w:semiHidden/>
    <w:unhideWhenUsed/>
    <w:rsid w:val="00536852"/>
    <w:rPr>
      <w:sz w:val="20"/>
      <w:szCs w:val="20"/>
    </w:rPr>
  </w:style>
  <w:style w:type="character" w:customStyle="1" w:styleId="FootnoteTextChar">
    <w:name w:val="Footnote Text Char"/>
    <w:basedOn w:val="DefaultParagraphFont"/>
    <w:link w:val="FootnoteText"/>
    <w:uiPriority w:val="99"/>
    <w:semiHidden/>
    <w:rsid w:val="00536852"/>
    <w:rPr>
      <w:rFonts w:ascii="Cambria" w:eastAsia="Cambria" w:hAnsi="Cambria" w:cs="Cambria"/>
      <w:sz w:val="20"/>
      <w:szCs w:val="20"/>
      <w:lang w:val="es-ES" w:eastAsia="es-ES" w:bidi="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536852"/>
    <w:rPr>
      <w:vertAlign w:val="superscript"/>
    </w:rPr>
  </w:style>
  <w:style w:type="character" w:styleId="Hyperlink">
    <w:name w:val="Hyperlink"/>
    <w:basedOn w:val="DefaultParagraphFont"/>
    <w:uiPriority w:val="99"/>
    <w:unhideWhenUsed/>
    <w:rsid w:val="00664365"/>
    <w:rPr>
      <w:color w:val="0000FF" w:themeColor="hyperlink"/>
      <w:u w:val="single"/>
    </w:rPr>
  </w:style>
  <w:style w:type="character" w:styleId="UnresolvedMention">
    <w:name w:val="Unresolved Mention"/>
    <w:basedOn w:val="DefaultParagraphFont"/>
    <w:uiPriority w:val="99"/>
    <w:semiHidden/>
    <w:unhideWhenUsed/>
    <w:rsid w:val="00664365"/>
    <w:rPr>
      <w:color w:val="605E5C"/>
      <w:shd w:val="clear" w:color="auto" w:fill="E1DFDD"/>
    </w:rPr>
  </w:style>
  <w:style w:type="paragraph" w:styleId="BodyTextIndent3">
    <w:name w:val="Body Text Indent 3"/>
    <w:basedOn w:val="Normal"/>
    <w:link w:val="BodyTextIndent3Char"/>
    <w:uiPriority w:val="99"/>
    <w:semiHidden/>
    <w:unhideWhenUsed/>
    <w:rsid w:val="00EC09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0904"/>
    <w:rPr>
      <w:rFonts w:ascii="Cambria" w:eastAsia="Cambria" w:hAnsi="Cambria" w:cs="Cambria"/>
      <w:sz w:val="16"/>
      <w:szCs w:val="16"/>
      <w:lang w:val="es-ES" w:eastAsia="es-ES" w:bidi="es-ES"/>
    </w:rPr>
  </w:style>
  <w:style w:type="character" w:styleId="FollowedHyperlink">
    <w:name w:val="FollowedHyperlink"/>
    <w:basedOn w:val="DefaultParagraphFont"/>
    <w:uiPriority w:val="99"/>
    <w:semiHidden/>
    <w:unhideWhenUsed/>
    <w:rsid w:val="006D0980"/>
    <w:rPr>
      <w:color w:val="800080"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B4CBB"/>
    <w:pPr>
      <w:widowControl/>
      <w:autoSpaceDE/>
      <w:autoSpaceDN/>
      <w:jc w:val="both"/>
    </w:pPr>
    <w:rPr>
      <w:rFonts w:asciiTheme="minorHAnsi" w:eastAsiaTheme="minorHAnsi" w:hAnsiTheme="minorHAnsi" w:cstheme="minorBidi"/>
      <w:vertAlign w:val="superscript"/>
      <w:lang w:val="en-US" w:eastAsia="en-US" w:bidi="ar-SA"/>
    </w:rPr>
  </w:style>
  <w:style w:type="paragraph" w:styleId="EndnoteText">
    <w:name w:val="endnote text"/>
    <w:basedOn w:val="Normal"/>
    <w:link w:val="EndnoteTextChar"/>
    <w:uiPriority w:val="99"/>
    <w:semiHidden/>
    <w:unhideWhenUsed/>
    <w:rsid w:val="002B4F21"/>
    <w:rPr>
      <w:sz w:val="20"/>
      <w:szCs w:val="20"/>
    </w:rPr>
  </w:style>
  <w:style w:type="character" w:customStyle="1" w:styleId="EndnoteTextChar">
    <w:name w:val="Endnote Text Char"/>
    <w:basedOn w:val="DefaultParagraphFont"/>
    <w:link w:val="EndnoteText"/>
    <w:uiPriority w:val="99"/>
    <w:semiHidden/>
    <w:rsid w:val="002B4F21"/>
    <w:rPr>
      <w:rFonts w:ascii="Cambria" w:eastAsia="Cambria" w:hAnsi="Cambria" w:cs="Cambria"/>
      <w:sz w:val="20"/>
      <w:szCs w:val="20"/>
      <w:lang w:val="es-ES" w:eastAsia="es-ES" w:bidi="es-ES"/>
    </w:rPr>
  </w:style>
  <w:style w:type="character" w:styleId="EndnoteReference">
    <w:name w:val="endnote reference"/>
    <w:basedOn w:val="DefaultParagraphFont"/>
    <w:uiPriority w:val="99"/>
    <w:semiHidden/>
    <w:unhideWhenUsed/>
    <w:rsid w:val="002B4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8740">
      <w:bodyDiv w:val="1"/>
      <w:marLeft w:val="0"/>
      <w:marRight w:val="0"/>
      <w:marTop w:val="0"/>
      <w:marBottom w:val="0"/>
      <w:divBdr>
        <w:top w:val="none" w:sz="0" w:space="0" w:color="auto"/>
        <w:left w:val="none" w:sz="0" w:space="0" w:color="auto"/>
        <w:bottom w:val="none" w:sz="0" w:space="0" w:color="auto"/>
        <w:right w:val="none" w:sz="0" w:space="0" w:color="auto"/>
      </w:divBdr>
    </w:div>
    <w:div w:id="788544722">
      <w:bodyDiv w:val="1"/>
      <w:marLeft w:val="0"/>
      <w:marRight w:val="0"/>
      <w:marTop w:val="0"/>
      <w:marBottom w:val="0"/>
      <w:divBdr>
        <w:top w:val="none" w:sz="0" w:space="0" w:color="auto"/>
        <w:left w:val="none" w:sz="0" w:space="0" w:color="auto"/>
        <w:bottom w:val="none" w:sz="0" w:space="0" w:color="auto"/>
        <w:right w:val="none" w:sz="0" w:space="0" w:color="auto"/>
      </w:divBdr>
    </w:div>
    <w:div w:id="867570036">
      <w:bodyDiv w:val="1"/>
      <w:marLeft w:val="0"/>
      <w:marRight w:val="0"/>
      <w:marTop w:val="0"/>
      <w:marBottom w:val="0"/>
      <w:divBdr>
        <w:top w:val="none" w:sz="0" w:space="0" w:color="auto"/>
        <w:left w:val="none" w:sz="0" w:space="0" w:color="auto"/>
        <w:bottom w:val="none" w:sz="0" w:space="0" w:color="auto"/>
        <w:right w:val="none" w:sz="0" w:space="0" w:color="auto"/>
      </w:divBdr>
    </w:div>
    <w:div w:id="1542861999">
      <w:bodyDiv w:val="1"/>
      <w:marLeft w:val="0"/>
      <w:marRight w:val="0"/>
      <w:marTop w:val="0"/>
      <w:marBottom w:val="0"/>
      <w:divBdr>
        <w:top w:val="none" w:sz="0" w:space="0" w:color="auto"/>
        <w:left w:val="none" w:sz="0" w:space="0" w:color="auto"/>
        <w:bottom w:val="none" w:sz="0" w:space="0" w:color="auto"/>
        <w:right w:val="none" w:sz="0" w:space="0" w:color="auto"/>
      </w:divBdr>
    </w:div>
    <w:div w:id="186339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rg/"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d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corte/2018/12428Fondo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C56A-AA18-43C0-8DA5-06CE23D9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2679</Words>
  <Characters>13745</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51/22</dc:title>
  <dc:creator/>
  <cp:lastModifiedBy/>
  <cp:revision>1</cp:revision>
  <dcterms:created xsi:type="dcterms:W3CDTF">2022-05-11T13:49:00Z</dcterms:created>
  <dcterms:modified xsi:type="dcterms:W3CDTF">2022-05-11T13:49:00Z</dcterms:modified>
</cp:coreProperties>
</file>