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ED7E91" w:rsidRDefault="00D306D1" w:rsidP="00627C9F">
      <w:pPr>
        <w:jc w:val="both"/>
        <w:rPr>
          <w:rFonts w:asciiTheme="majorHAnsi" w:hAnsiTheme="majorHAnsi" w:cs="Univers"/>
          <w:b/>
          <w:bCs/>
          <w:sz w:val="22"/>
          <w:szCs w:val="22"/>
          <w:lang w:val="es-ES_tradnl"/>
        </w:rPr>
      </w:pPr>
      <w:r w:rsidRPr="00ED7E91">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FF29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E91">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D72FB" w:rsidRDefault="00AD72FB"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AD72FB" w:rsidRDefault="00AD72FB"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ED7E91" w:rsidRDefault="00040C3A" w:rsidP="00040C3A">
      <w:pPr>
        <w:tabs>
          <w:tab w:val="center" w:pos="5400"/>
        </w:tabs>
        <w:suppressAutoHyphens/>
        <w:jc w:val="both"/>
        <w:rPr>
          <w:rFonts w:asciiTheme="majorHAnsi" w:hAnsiTheme="majorHAnsi"/>
          <w:sz w:val="22"/>
          <w:szCs w:val="22"/>
        </w:rPr>
      </w:pPr>
    </w:p>
    <w:p w14:paraId="5A87E141" w14:textId="77777777" w:rsidR="00040C3A" w:rsidRPr="00ED7E91" w:rsidRDefault="00040C3A" w:rsidP="00040C3A">
      <w:pPr>
        <w:tabs>
          <w:tab w:val="center" w:pos="5400"/>
        </w:tabs>
        <w:suppressAutoHyphens/>
        <w:jc w:val="both"/>
        <w:rPr>
          <w:rFonts w:asciiTheme="majorHAnsi" w:hAnsiTheme="majorHAnsi"/>
          <w:sz w:val="22"/>
          <w:szCs w:val="22"/>
        </w:rPr>
      </w:pPr>
    </w:p>
    <w:p w14:paraId="29D95BCC" w14:textId="77777777" w:rsidR="005128E4" w:rsidRPr="00ED7E91"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ED7E91"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ED7E91"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ED7E91"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ED7E91"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ED7E91"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ED7E91"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ED7E91"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ED7E91" w:rsidRDefault="003D3BC2" w:rsidP="00040C3A">
      <w:pPr>
        <w:tabs>
          <w:tab w:val="center" w:pos="5400"/>
        </w:tabs>
        <w:suppressAutoHyphens/>
        <w:jc w:val="center"/>
        <w:rPr>
          <w:rFonts w:asciiTheme="majorHAnsi" w:hAnsiTheme="majorHAnsi"/>
          <w:sz w:val="22"/>
          <w:szCs w:val="22"/>
          <w:lang w:val="es-ES_tradnl"/>
        </w:rPr>
      </w:pPr>
      <w:r w:rsidRPr="00ED7E91">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C4BA7F0" w:rsidR="00AD72FB" w:rsidRPr="004E2649" w:rsidRDefault="00AD72F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B7846">
                              <w:rPr>
                                <w:rFonts w:asciiTheme="majorHAnsi" w:hAnsiTheme="majorHAnsi" w:cs="Arial"/>
                                <w:b/>
                                <w:bCs/>
                                <w:sz w:val="36"/>
                                <w:szCs w:val="22"/>
                                <w:lang w:val="es-ES_tradnl"/>
                              </w:rPr>
                              <w:t>50</w:t>
                            </w:r>
                            <w:r w:rsidRPr="00137E88">
                              <w:rPr>
                                <w:rFonts w:asciiTheme="majorHAnsi" w:hAnsiTheme="majorHAnsi" w:cs="Arial"/>
                                <w:b/>
                                <w:bCs/>
                                <w:sz w:val="36"/>
                                <w:szCs w:val="22"/>
                                <w:lang w:val="es-ES_tradnl"/>
                              </w:rPr>
                              <w:t>/</w:t>
                            </w:r>
                            <w:r w:rsidR="00D234B0" w:rsidRPr="00137E88">
                              <w:rPr>
                                <w:rFonts w:asciiTheme="majorHAnsi" w:hAnsiTheme="majorHAnsi" w:cs="Arial"/>
                                <w:b/>
                                <w:bCs/>
                                <w:sz w:val="36"/>
                                <w:szCs w:val="22"/>
                                <w:lang w:val="es-ES_tradnl"/>
                              </w:rPr>
                              <w:t>2</w:t>
                            </w:r>
                            <w:r w:rsidR="00CB7846">
                              <w:rPr>
                                <w:rFonts w:asciiTheme="majorHAnsi" w:hAnsiTheme="majorHAnsi" w:cs="Arial"/>
                                <w:b/>
                                <w:bCs/>
                                <w:sz w:val="36"/>
                                <w:szCs w:val="22"/>
                                <w:lang w:val="es-ES_tradnl"/>
                              </w:rPr>
                              <w:t>2</w:t>
                            </w:r>
                          </w:p>
                          <w:p w14:paraId="09C54AB3" w14:textId="63E99564" w:rsidR="00AD72FB" w:rsidRDefault="00AD72F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1144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40FAECE6" w:rsidR="00AD72FB" w:rsidRPr="0010736F" w:rsidRDefault="00AD72F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AD72FB" w:rsidRPr="0010736F" w:rsidRDefault="00AD72FB"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EAA6447" w:rsidR="00AD72FB" w:rsidRPr="0010736F" w:rsidRDefault="00AF7E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ÁNGEL DE LA CRUZ </w:t>
                            </w:r>
                            <w:r w:rsidR="00AD72FB">
                              <w:rPr>
                                <w:rFonts w:asciiTheme="majorHAnsi" w:hAnsiTheme="majorHAnsi" w:cs="Arial"/>
                                <w:color w:val="0D0D0D" w:themeColor="text1" w:themeTint="F2"/>
                                <w:szCs w:val="22"/>
                                <w:lang w:val="es-ES_tradnl"/>
                              </w:rPr>
                              <w:t xml:space="preserve">SOTO </w:t>
                            </w:r>
                          </w:p>
                          <w:bookmarkEnd w:id="0"/>
                          <w:p w14:paraId="35068D0D" w14:textId="03345076" w:rsidR="00AD72FB" w:rsidRPr="0010736F" w:rsidRDefault="00AD72F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PANAMÁ</w:t>
                            </w:r>
                          </w:p>
                          <w:p w14:paraId="575DFD52" w14:textId="77777777" w:rsidR="00AD72FB" w:rsidRPr="00AE5488" w:rsidRDefault="00AD72F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C4BA7F0" w:rsidR="00AD72FB" w:rsidRPr="004E2649" w:rsidRDefault="00AD72F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B7846">
                        <w:rPr>
                          <w:rFonts w:asciiTheme="majorHAnsi" w:hAnsiTheme="majorHAnsi" w:cs="Arial"/>
                          <w:b/>
                          <w:bCs/>
                          <w:sz w:val="36"/>
                          <w:szCs w:val="22"/>
                          <w:lang w:val="es-ES_tradnl"/>
                        </w:rPr>
                        <w:t>50</w:t>
                      </w:r>
                      <w:r w:rsidRPr="00137E88">
                        <w:rPr>
                          <w:rFonts w:asciiTheme="majorHAnsi" w:hAnsiTheme="majorHAnsi" w:cs="Arial"/>
                          <w:b/>
                          <w:bCs/>
                          <w:sz w:val="36"/>
                          <w:szCs w:val="22"/>
                          <w:lang w:val="es-ES_tradnl"/>
                        </w:rPr>
                        <w:t>/</w:t>
                      </w:r>
                      <w:r w:rsidR="00D234B0" w:rsidRPr="00137E88">
                        <w:rPr>
                          <w:rFonts w:asciiTheme="majorHAnsi" w:hAnsiTheme="majorHAnsi" w:cs="Arial"/>
                          <w:b/>
                          <w:bCs/>
                          <w:sz w:val="36"/>
                          <w:szCs w:val="22"/>
                          <w:lang w:val="es-ES_tradnl"/>
                        </w:rPr>
                        <w:t>2</w:t>
                      </w:r>
                      <w:r w:rsidR="00CB7846">
                        <w:rPr>
                          <w:rFonts w:asciiTheme="majorHAnsi" w:hAnsiTheme="majorHAnsi" w:cs="Arial"/>
                          <w:b/>
                          <w:bCs/>
                          <w:sz w:val="36"/>
                          <w:szCs w:val="22"/>
                          <w:lang w:val="es-ES_tradnl"/>
                        </w:rPr>
                        <w:t>2</w:t>
                      </w:r>
                    </w:p>
                    <w:p w14:paraId="09C54AB3" w14:textId="63E99564" w:rsidR="00AD72FB" w:rsidRDefault="00AD72F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1144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40FAECE6" w:rsidR="00AD72FB" w:rsidRPr="0010736F" w:rsidRDefault="00AD72F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AD72FB" w:rsidRPr="0010736F" w:rsidRDefault="00AD72FB"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EAA6447" w:rsidR="00AD72FB" w:rsidRPr="0010736F" w:rsidRDefault="00AF7E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ÁNGEL DE LA CRUZ </w:t>
                      </w:r>
                      <w:r w:rsidR="00AD72FB">
                        <w:rPr>
                          <w:rFonts w:asciiTheme="majorHAnsi" w:hAnsiTheme="majorHAnsi" w:cs="Arial"/>
                          <w:color w:val="0D0D0D" w:themeColor="text1" w:themeTint="F2"/>
                          <w:szCs w:val="22"/>
                          <w:lang w:val="es-ES_tradnl"/>
                        </w:rPr>
                        <w:t xml:space="preserve">SOTO </w:t>
                      </w:r>
                    </w:p>
                    <w:bookmarkEnd w:id="1"/>
                    <w:p w14:paraId="35068D0D" w14:textId="03345076" w:rsidR="00AD72FB" w:rsidRPr="0010736F" w:rsidRDefault="00AD72F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PANAMÁ</w:t>
                      </w:r>
                    </w:p>
                    <w:p w14:paraId="575DFD52" w14:textId="77777777" w:rsidR="00AD72FB" w:rsidRPr="00AE5488" w:rsidRDefault="00AD72FB" w:rsidP="007A5817">
                      <w:pPr>
                        <w:rPr>
                          <w:color w:val="0D0D0D" w:themeColor="text1" w:themeTint="F2"/>
                          <w:lang w:val="es-ES_tradnl"/>
                        </w:rPr>
                      </w:pPr>
                    </w:p>
                  </w:txbxContent>
                </v:textbox>
              </v:shape>
            </w:pict>
          </mc:Fallback>
        </mc:AlternateContent>
      </w:r>
      <w:r w:rsidR="004E2649" w:rsidRPr="00ED7E91">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20BA90A" w:rsidR="00AD72FB" w:rsidRPr="0022574C" w:rsidRDefault="00AD72FB" w:rsidP="007A5817">
                            <w:pPr>
                              <w:spacing w:line="276" w:lineRule="auto"/>
                              <w:jc w:val="right"/>
                              <w:rPr>
                                <w:rFonts w:asciiTheme="minorHAnsi" w:hAnsiTheme="minorHAnsi"/>
                                <w:color w:val="FFFFFF" w:themeColor="background1"/>
                                <w:sz w:val="22"/>
                                <w:lang w:val="es-419"/>
                              </w:rPr>
                            </w:pPr>
                            <w:r w:rsidRPr="0022574C">
                              <w:rPr>
                                <w:rFonts w:asciiTheme="minorHAnsi" w:hAnsiTheme="minorHAnsi"/>
                                <w:color w:val="FFFFFF" w:themeColor="background1"/>
                                <w:sz w:val="22"/>
                                <w:lang w:val="es-419"/>
                              </w:rPr>
                              <w:t>OEA/</w:t>
                            </w:r>
                            <w:proofErr w:type="spellStart"/>
                            <w:r w:rsidRPr="0022574C">
                              <w:rPr>
                                <w:rFonts w:asciiTheme="minorHAnsi" w:hAnsiTheme="minorHAnsi"/>
                                <w:color w:val="FFFFFF" w:themeColor="background1"/>
                                <w:sz w:val="22"/>
                                <w:lang w:val="es-419"/>
                              </w:rPr>
                              <w:t>Ser.L</w:t>
                            </w:r>
                            <w:proofErr w:type="spellEnd"/>
                            <w:r w:rsidRPr="0022574C">
                              <w:rPr>
                                <w:rFonts w:asciiTheme="minorHAnsi" w:hAnsiTheme="minorHAnsi"/>
                                <w:color w:val="FFFFFF" w:themeColor="background1"/>
                                <w:sz w:val="22"/>
                                <w:lang w:val="es-419"/>
                              </w:rPr>
                              <w:t>/V/II</w:t>
                            </w:r>
                          </w:p>
                          <w:p w14:paraId="6A41611B" w14:textId="2D3BE208" w:rsidR="00AD72FB" w:rsidRPr="0022574C" w:rsidRDefault="00AD72FB" w:rsidP="007A5817">
                            <w:pPr>
                              <w:spacing w:line="276" w:lineRule="auto"/>
                              <w:jc w:val="right"/>
                              <w:rPr>
                                <w:rFonts w:asciiTheme="minorHAnsi" w:hAnsiTheme="minorHAnsi"/>
                                <w:color w:val="FFFFFF" w:themeColor="background1"/>
                                <w:sz w:val="22"/>
                                <w:lang w:val="es-419"/>
                              </w:rPr>
                            </w:pPr>
                            <w:r w:rsidRPr="0022574C">
                              <w:rPr>
                                <w:rFonts w:asciiTheme="minorHAnsi" w:hAnsiTheme="minorHAnsi"/>
                                <w:color w:val="FFFFFF" w:themeColor="background1"/>
                                <w:sz w:val="22"/>
                                <w:lang w:val="es-419"/>
                              </w:rPr>
                              <w:t xml:space="preserve">Doc. </w:t>
                            </w:r>
                            <w:r w:rsidR="00E618BD" w:rsidRPr="0022574C">
                              <w:rPr>
                                <w:rFonts w:asciiTheme="minorHAnsi" w:hAnsiTheme="minorHAnsi"/>
                                <w:color w:val="FFFFFF" w:themeColor="background1"/>
                                <w:sz w:val="22"/>
                                <w:lang w:val="es-419"/>
                              </w:rPr>
                              <w:t>52</w:t>
                            </w:r>
                          </w:p>
                          <w:p w14:paraId="69373ED2" w14:textId="3847478C" w:rsidR="00AD72FB" w:rsidRPr="004E2649" w:rsidRDefault="00520CD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 marzo</w:t>
                            </w:r>
                            <w:r w:rsidR="00AD72FB" w:rsidRPr="004E2649">
                              <w:rPr>
                                <w:rFonts w:asciiTheme="minorHAnsi" w:hAnsiTheme="minorHAnsi"/>
                                <w:color w:val="FFFFFF" w:themeColor="background1"/>
                                <w:sz w:val="22"/>
                              </w:rPr>
                              <w:t xml:space="preserve"> 20</w:t>
                            </w:r>
                            <w:r w:rsidR="00E618BD">
                              <w:rPr>
                                <w:rFonts w:asciiTheme="minorHAnsi" w:hAnsiTheme="minorHAnsi"/>
                                <w:color w:val="FFFFFF" w:themeColor="background1"/>
                                <w:sz w:val="22"/>
                              </w:rPr>
                              <w:t>22</w:t>
                            </w:r>
                          </w:p>
                          <w:p w14:paraId="0771DB5B" w14:textId="77777777" w:rsidR="00AD72FB" w:rsidRPr="004E2649" w:rsidRDefault="00AD72F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20BA90A" w:rsidR="00AD72FB" w:rsidRPr="0022574C" w:rsidRDefault="00AD72FB" w:rsidP="007A5817">
                      <w:pPr>
                        <w:spacing w:line="276" w:lineRule="auto"/>
                        <w:jc w:val="right"/>
                        <w:rPr>
                          <w:rFonts w:asciiTheme="minorHAnsi" w:hAnsiTheme="minorHAnsi"/>
                          <w:color w:val="FFFFFF" w:themeColor="background1"/>
                          <w:sz w:val="22"/>
                          <w:lang w:val="es-419"/>
                        </w:rPr>
                      </w:pPr>
                      <w:r w:rsidRPr="0022574C">
                        <w:rPr>
                          <w:rFonts w:asciiTheme="minorHAnsi" w:hAnsiTheme="minorHAnsi"/>
                          <w:color w:val="FFFFFF" w:themeColor="background1"/>
                          <w:sz w:val="22"/>
                          <w:lang w:val="es-419"/>
                        </w:rPr>
                        <w:t>OEA/Ser.L/V/II</w:t>
                      </w:r>
                    </w:p>
                    <w:p w14:paraId="6A41611B" w14:textId="2D3BE208" w:rsidR="00AD72FB" w:rsidRPr="0022574C" w:rsidRDefault="00AD72FB" w:rsidP="007A5817">
                      <w:pPr>
                        <w:spacing w:line="276" w:lineRule="auto"/>
                        <w:jc w:val="right"/>
                        <w:rPr>
                          <w:rFonts w:asciiTheme="minorHAnsi" w:hAnsiTheme="minorHAnsi"/>
                          <w:color w:val="FFFFFF" w:themeColor="background1"/>
                          <w:sz w:val="22"/>
                          <w:lang w:val="es-419"/>
                        </w:rPr>
                      </w:pPr>
                      <w:r w:rsidRPr="0022574C">
                        <w:rPr>
                          <w:rFonts w:asciiTheme="minorHAnsi" w:hAnsiTheme="minorHAnsi"/>
                          <w:color w:val="FFFFFF" w:themeColor="background1"/>
                          <w:sz w:val="22"/>
                          <w:lang w:val="es-419"/>
                        </w:rPr>
                        <w:t xml:space="preserve">Doc. </w:t>
                      </w:r>
                      <w:r w:rsidR="00E618BD" w:rsidRPr="0022574C">
                        <w:rPr>
                          <w:rFonts w:asciiTheme="minorHAnsi" w:hAnsiTheme="minorHAnsi"/>
                          <w:color w:val="FFFFFF" w:themeColor="background1"/>
                          <w:sz w:val="22"/>
                          <w:lang w:val="es-419"/>
                        </w:rPr>
                        <w:t>52</w:t>
                      </w:r>
                    </w:p>
                    <w:p w14:paraId="69373ED2" w14:textId="3847478C" w:rsidR="00AD72FB" w:rsidRPr="004E2649" w:rsidRDefault="00520CD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 marzo</w:t>
                      </w:r>
                      <w:r w:rsidR="00AD72FB" w:rsidRPr="004E2649">
                        <w:rPr>
                          <w:rFonts w:asciiTheme="minorHAnsi" w:hAnsiTheme="minorHAnsi"/>
                          <w:color w:val="FFFFFF" w:themeColor="background1"/>
                          <w:sz w:val="22"/>
                        </w:rPr>
                        <w:t xml:space="preserve"> 20</w:t>
                      </w:r>
                      <w:r w:rsidR="00E618BD">
                        <w:rPr>
                          <w:rFonts w:asciiTheme="minorHAnsi" w:hAnsiTheme="minorHAnsi"/>
                          <w:color w:val="FFFFFF" w:themeColor="background1"/>
                          <w:sz w:val="22"/>
                        </w:rPr>
                        <w:t>22</w:t>
                      </w:r>
                    </w:p>
                    <w:p w14:paraId="0771DB5B" w14:textId="77777777" w:rsidR="00AD72FB" w:rsidRPr="004E2649" w:rsidRDefault="00AD72F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ED7E91"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ED7E91"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ED7E91"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ED7E91"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ED7E91"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ED7E91"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ED7E91" w:rsidRDefault="00A50FCF" w:rsidP="00040C3A">
      <w:pPr>
        <w:tabs>
          <w:tab w:val="center" w:pos="5400"/>
        </w:tabs>
        <w:suppressAutoHyphens/>
        <w:jc w:val="center"/>
        <w:rPr>
          <w:rFonts w:asciiTheme="majorHAnsi" w:hAnsiTheme="majorHAnsi"/>
          <w:sz w:val="18"/>
          <w:szCs w:val="22"/>
        </w:rPr>
      </w:pPr>
    </w:p>
    <w:p w14:paraId="045D9AC1"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ED7E91" w:rsidRDefault="0090270B" w:rsidP="00040C3A">
      <w:pPr>
        <w:tabs>
          <w:tab w:val="center" w:pos="5400"/>
        </w:tabs>
        <w:suppressAutoHyphens/>
        <w:jc w:val="center"/>
        <w:rPr>
          <w:rFonts w:asciiTheme="majorHAnsi" w:hAnsiTheme="majorHAnsi"/>
          <w:sz w:val="18"/>
          <w:szCs w:val="22"/>
          <w:lang w:val="es-ES_tradnl"/>
        </w:rPr>
      </w:pPr>
      <w:r w:rsidRPr="00ED7E91">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3B084D9" w:rsidR="00AD72FB" w:rsidRPr="00137E88" w:rsidRDefault="00AD72FB" w:rsidP="00DD3D86">
                            <w:pPr>
                              <w:tabs>
                                <w:tab w:val="center" w:pos="5400"/>
                              </w:tabs>
                              <w:suppressAutoHyphens/>
                              <w:spacing w:before="60"/>
                              <w:rPr>
                                <w:rFonts w:asciiTheme="majorHAnsi" w:hAnsiTheme="majorHAnsi"/>
                                <w:sz w:val="18"/>
                                <w:szCs w:val="22"/>
                              </w:rPr>
                            </w:pPr>
                            <w:r w:rsidRPr="00137E88">
                              <w:rPr>
                                <w:rFonts w:asciiTheme="majorHAnsi" w:hAnsiTheme="majorHAnsi"/>
                                <w:sz w:val="18"/>
                                <w:szCs w:val="22"/>
                              </w:rPr>
                              <w:t xml:space="preserve">Aprobado </w:t>
                            </w:r>
                            <w:proofErr w:type="spellStart"/>
                            <w:r w:rsidRPr="00137E88">
                              <w:rPr>
                                <w:rFonts w:asciiTheme="majorHAnsi" w:hAnsiTheme="majorHAnsi"/>
                                <w:sz w:val="18"/>
                                <w:szCs w:val="22"/>
                              </w:rPr>
                              <w:t>electr</w:t>
                            </w:r>
                            <w:r w:rsidRPr="00137E88">
                              <w:rPr>
                                <w:rFonts w:asciiTheme="majorHAnsi" w:hAnsiTheme="majorHAnsi"/>
                                <w:sz w:val="18"/>
                                <w:szCs w:val="22"/>
                                <w:lang w:val="es-ES_tradnl"/>
                              </w:rPr>
                              <w:t>ónicamente</w:t>
                            </w:r>
                            <w:proofErr w:type="spellEnd"/>
                            <w:r w:rsidRPr="00137E88">
                              <w:rPr>
                                <w:rFonts w:asciiTheme="majorHAnsi" w:hAnsiTheme="majorHAnsi"/>
                                <w:sz w:val="18"/>
                                <w:szCs w:val="22"/>
                              </w:rPr>
                              <w:t xml:space="preserve"> por la Comisión el </w:t>
                            </w:r>
                            <w:r w:rsidR="00520CD1">
                              <w:rPr>
                                <w:rFonts w:asciiTheme="majorHAnsi" w:hAnsiTheme="majorHAnsi"/>
                                <w:sz w:val="18"/>
                                <w:szCs w:val="22"/>
                              </w:rPr>
                              <w:t>1</w:t>
                            </w:r>
                            <w:r w:rsidR="001B00FC">
                              <w:rPr>
                                <w:rFonts w:asciiTheme="majorHAnsi" w:hAnsiTheme="majorHAnsi"/>
                                <w:sz w:val="18"/>
                                <w:szCs w:val="22"/>
                              </w:rPr>
                              <w:t xml:space="preserve">º </w:t>
                            </w:r>
                            <w:r w:rsidRPr="00137E88">
                              <w:rPr>
                                <w:rFonts w:asciiTheme="majorHAnsi" w:hAnsiTheme="majorHAnsi"/>
                                <w:sz w:val="18"/>
                                <w:szCs w:val="22"/>
                              </w:rPr>
                              <w:t xml:space="preserve">de </w:t>
                            </w:r>
                            <w:r w:rsidR="00520CD1">
                              <w:rPr>
                                <w:rFonts w:asciiTheme="majorHAnsi" w:hAnsiTheme="majorHAnsi"/>
                                <w:sz w:val="18"/>
                                <w:szCs w:val="22"/>
                              </w:rPr>
                              <w:t>marzo</w:t>
                            </w:r>
                            <w:r w:rsidRPr="00137E88">
                              <w:rPr>
                                <w:rFonts w:asciiTheme="majorHAnsi" w:hAnsiTheme="majorHAnsi"/>
                                <w:sz w:val="18"/>
                                <w:szCs w:val="22"/>
                              </w:rPr>
                              <w:t xml:space="preserve"> </w:t>
                            </w:r>
                            <w:r w:rsidR="00D234B0" w:rsidRPr="00137E88">
                              <w:rPr>
                                <w:rFonts w:asciiTheme="majorHAnsi" w:hAnsiTheme="majorHAnsi"/>
                                <w:sz w:val="18"/>
                                <w:szCs w:val="22"/>
                              </w:rPr>
                              <w:t>de 202</w:t>
                            </w:r>
                            <w:r w:rsidR="00520CD1">
                              <w:rPr>
                                <w:rFonts w:asciiTheme="majorHAnsi" w:hAnsiTheme="majorHAnsi"/>
                                <w:sz w:val="18"/>
                                <w:szCs w:val="22"/>
                              </w:rPr>
                              <w:t>2</w:t>
                            </w:r>
                            <w:r w:rsidR="0022574C">
                              <w:rPr>
                                <w:rFonts w:asciiTheme="majorHAnsi" w:hAnsiTheme="majorHAnsi"/>
                                <w:sz w:val="18"/>
                                <w:szCs w:val="22"/>
                              </w:rPr>
                              <w:t>.</w:t>
                            </w:r>
                          </w:p>
                          <w:p w14:paraId="4BDF3581" w14:textId="77777777" w:rsidR="00AD72FB" w:rsidRPr="007A5817" w:rsidRDefault="00AD72FB"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AD72FB" w:rsidRPr="00167A34" w:rsidRDefault="00AD72FB"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3B084D9" w:rsidR="00AD72FB" w:rsidRPr="00137E88" w:rsidRDefault="00AD72FB" w:rsidP="00DD3D86">
                      <w:pPr>
                        <w:tabs>
                          <w:tab w:val="center" w:pos="5400"/>
                        </w:tabs>
                        <w:suppressAutoHyphens/>
                        <w:spacing w:before="60"/>
                        <w:rPr>
                          <w:rFonts w:asciiTheme="majorHAnsi" w:hAnsiTheme="majorHAnsi"/>
                          <w:sz w:val="18"/>
                          <w:szCs w:val="22"/>
                        </w:rPr>
                      </w:pPr>
                      <w:r w:rsidRPr="00137E88">
                        <w:rPr>
                          <w:rFonts w:asciiTheme="majorHAnsi" w:hAnsiTheme="majorHAnsi"/>
                          <w:sz w:val="18"/>
                          <w:szCs w:val="22"/>
                        </w:rPr>
                        <w:t>Aprobado electr</w:t>
                      </w:r>
                      <w:r w:rsidRPr="00137E88">
                        <w:rPr>
                          <w:rFonts w:asciiTheme="majorHAnsi" w:hAnsiTheme="majorHAnsi"/>
                          <w:sz w:val="18"/>
                          <w:szCs w:val="22"/>
                          <w:lang w:val="es-ES_tradnl"/>
                        </w:rPr>
                        <w:t>ónicamente</w:t>
                      </w:r>
                      <w:r w:rsidRPr="00137E88">
                        <w:rPr>
                          <w:rFonts w:asciiTheme="majorHAnsi" w:hAnsiTheme="majorHAnsi"/>
                          <w:sz w:val="18"/>
                          <w:szCs w:val="22"/>
                        </w:rPr>
                        <w:t xml:space="preserve"> por la Comisión el </w:t>
                      </w:r>
                      <w:r w:rsidR="00520CD1">
                        <w:rPr>
                          <w:rFonts w:asciiTheme="majorHAnsi" w:hAnsiTheme="majorHAnsi"/>
                          <w:sz w:val="18"/>
                          <w:szCs w:val="22"/>
                        </w:rPr>
                        <w:t>1</w:t>
                      </w:r>
                      <w:r w:rsidR="001B00FC">
                        <w:rPr>
                          <w:rFonts w:asciiTheme="majorHAnsi" w:hAnsiTheme="majorHAnsi"/>
                          <w:sz w:val="18"/>
                          <w:szCs w:val="22"/>
                        </w:rPr>
                        <w:t xml:space="preserve">º </w:t>
                      </w:r>
                      <w:r w:rsidRPr="00137E88">
                        <w:rPr>
                          <w:rFonts w:asciiTheme="majorHAnsi" w:hAnsiTheme="majorHAnsi"/>
                          <w:sz w:val="18"/>
                          <w:szCs w:val="22"/>
                        </w:rPr>
                        <w:t xml:space="preserve">de </w:t>
                      </w:r>
                      <w:r w:rsidR="00520CD1">
                        <w:rPr>
                          <w:rFonts w:asciiTheme="majorHAnsi" w:hAnsiTheme="majorHAnsi"/>
                          <w:sz w:val="18"/>
                          <w:szCs w:val="22"/>
                        </w:rPr>
                        <w:t>marzo</w:t>
                      </w:r>
                      <w:r w:rsidRPr="00137E88">
                        <w:rPr>
                          <w:rFonts w:asciiTheme="majorHAnsi" w:hAnsiTheme="majorHAnsi"/>
                          <w:sz w:val="18"/>
                          <w:szCs w:val="22"/>
                        </w:rPr>
                        <w:t xml:space="preserve"> </w:t>
                      </w:r>
                      <w:r w:rsidR="00D234B0" w:rsidRPr="00137E88">
                        <w:rPr>
                          <w:rFonts w:asciiTheme="majorHAnsi" w:hAnsiTheme="majorHAnsi"/>
                          <w:sz w:val="18"/>
                          <w:szCs w:val="22"/>
                        </w:rPr>
                        <w:t>de 202</w:t>
                      </w:r>
                      <w:r w:rsidR="00520CD1">
                        <w:rPr>
                          <w:rFonts w:asciiTheme="majorHAnsi" w:hAnsiTheme="majorHAnsi"/>
                          <w:sz w:val="18"/>
                          <w:szCs w:val="22"/>
                        </w:rPr>
                        <w:t>2</w:t>
                      </w:r>
                      <w:r w:rsidR="0022574C">
                        <w:rPr>
                          <w:rFonts w:asciiTheme="majorHAnsi" w:hAnsiTheme="majorHAnsi"/>
                          <w:sz w:val="18"/>
                          <w:szCs w:val="22"/>
                        </w:rPr>
                        <w:t>.</w:t>
                      </w:r>
                    </w:p>
                    <w:p w14:paraId="4BDF3581" w14:textId="77777777" w:rsidR="00AD72FB" w:rsidRPr="007A5817" w:rsidRDefault="00AD72FB"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AD72FB" w:rsidRPr="00167A34" w:rsidRDefault="00AD72FB"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ED7E91" w:rsidRDefault="0090270B" w:rsidP="00040C3A">
      <w:pPr>
        <w:tabs>
          <w:tab w:val="center" w:pos="5400"/>
        </w:tabs>
        <w:suppressAutoHyphens/>
        <w:jc w:val="center"/>
        <w:rPr>
          <w:rFonts w:asciiTheme="majorHAnsi" w:hAnsiTheme="majorHAnsi"/>
          <w:sz w:val="18"/>
          <w:szCs w:val="22"/>
          <w:lang w:val="es-ES_tradnl"/>
        </w:rPr>
      </w:pPr>
      <w:r w:rsidRPr="00ED7E91">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D08C849" w:rsidR="00AD72FB" w:rsidRPr="007B05C4" w:rsidRDefault="00AD72FB"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0CD1" w:rsidRPr="0022574C">
                              <w:rPr>
                                <w:rFonts w:asciiTheme="majorHAnsi" w:hAnsiTheme="majorHAnsi"/>
                                <w:color w:val="595959" w:themeColor="text1" w:themeTint="A6"/>
                                <w:sz w:val="18"/>
                                <w:szCs w:val="18"/>
                                <w:lang w:val="pt-BR"/>
                              </w:rPr>
                              <w:t>50</w:t>
                            </w:r>
                            <w:r w:rsidRPr="0022574C">
                              <w:rPr>
                                <w:rFonts w:asciiTheme="majorHAnsi" w:hAnsiTheme="majorHAnsi"/>
                                <w:color w:val="595959" w:themeColor="text1" w:themeTint="A6"/>
                                <w:sz w:val="18"/>
                                <w:szCs w:val="18"/>
                                <w:lang w:val="pt-BR"/>
                              </w:rPr>
                              <w:t>/</w:t>
                            </w:r>
                            <w:r w:rsidR="00520CD1" w:rsidRPr="0022574C">
                              <w:rPr>
                                <w:rFonts w:asciiTheme="majorHAnsi" w:hAnsiTheme="majorHAnsi"/>
                                <w:color w:val="595959" w:themeColor="text1" w:themeTint="A6"/>
                                <w:sz w:val="18"/>
                                <w:szCs w:val="18"/>
                                <w:lang w:val="pt-BR"/>
                              </w:rPr>
                              <w:t>22</w:t>
                            </w:r>
                            <w:r w:rsidRPr="0022574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4A14CB">
                              <w:rPr>
                                <w:rFonts w:asciiTheme="majorHAnsi" w:hAnsiTheme="majorHAnsi"/>
                                <w:color w:val="595959" w:themeColor="text1" w:themeTint="A6"/>
                                <w:sz w:val="18"/>
                                <w:szCs w:val="18"/>
                              </w:rPr>
                              <w:t>1144</w:t>
                            </w:r>
                            <w:r>
                              <w:rPr>
                                <w:rFonts w:asciiTheme="majorHAnsi" w:hAnsiTheme="majorHAnsi"/>
                                <w:color w:val="595959" w:themeColor="text1" w:themeTint="A6"/>
                                <w:sz w:val="18"/>
                                <w:szCs w:val="18"/>
                              </w:rPr>
                              <w:t>-</w:t>
                            </w:r>
                            <w:r w:rsidR="004A14CB">
                              <w:rPr>
                                <w:rFonts w:asciiTheme="majorHAnsi" w:hAnsiTheme="majorHAnsi"/>
                                <w:color w:val="595959" w:themeColor="text1" w:themeTint="A6"/>
                                <w:sz w:val="18"/>
                                <w:szCs w:val="18"/>
                              </w:rPr>
                              <w:t>10</w:t>
                            </w:r>
                            <w:r>
                              <w:rPr>
                                <w:rFonts w:asciiTheme="majorHAnsi" w:hAnsiTheme="majorHAnsi"/>
                                <w:color w:val="595959" w:themeColor="text1" w:themeTint="A6"/>
                                <w:sz w:val="18"/>
                                <w:szCs w:val="18"/>
                              </w:rPr>
                              <w:t xml:space="preserve">. </w:t>
                            </w:r>
                            <w:r w:rsidR="004A14CB">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A14CB">
                              <w:rPr>
                                <w:rFonts w:asciiTheme="majorHAnsi" w:hAnsiTheme="majorHAnsi"/>
                                <w:color w:val="595959" w:themeColor="text1" w:themeTint="A6"/>
                                <w:sz w:val="18"/>
                                <w:szCs w:val="18"/>
                                <w:lang w:val="es-ES_tradnl"/>
                              </w:rPr>
                              <w:t>Ángel de la Cruz Soto</w:t>
                            </w:r>
                            <w:r w:rsidRPr="00890650">
                              <w:rPr>
                                <w:rFonts w:asciiTheme="majorHAnsi" w:hAnsiTheme="majorHAnsi"/>
                                <w:color w:val="595959" w:themeColor="text1" w:themeTint="A6"/>
                                <w:sz w:val="18"/>
                                <w:szCs w:val="18"/>
                                <w:lang w:val="es-ES_tradnl"/>
                              </w:rPr>
                              <w:t xml:space="preserve">. </w:t>
                            </w:r>
                            <w:r w:rsidR="004A14CB">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1B00FC">
                              <w:rPr>
                                <w:rFonts w:asciiTheme="majorHAnsi" w:hAnsiTheme="majorHAnsi"/>
                                <w:color w:val="595959" w:themeColor="text1" w:themeTint="A6"/>
                                <w:sz w:val="18"/>
                                <w:szCs w:val="18"/>
                              </w:rPr>
                              <w:t>1º de marzo de 2022</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D08C849" w:rsidR="00AD72FB" w:rsidRPr="007B05C4" w:rsidRDefault="00AD72FB"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0CD1" w:rsidRPr="0022574C">
                        <w:rPr>
                          <w:rFonts w:asciiTheme="majorHAnsi" w:hAnsiTheme="majorHAnsi"/>
                          <w:color w:val="595959" w:themeColor="text1" w:themeTint="A6"/>
                          <w:sz w:val="18"/>
                          <w:szCs w:val="18"/>
                          <w:lang w:val="pt-BR"/>
                        </w:rPr>
                        <w:t>50</w:t>
                      </w:r>
                      <w:r w:rsidRPr="0022574C">
                        <w:rPr>
                          <w:rFonts w:asciiTheme="majorHAnsi" w:hAnsiTheme="majorHAnsi"/>
                          <w:color w:val="595959" w:themeColor="text1" w:themeTint="A6"/>
                          <w:sz w:val="18"/>
                          <w:szCs w:val="18"/>
                          <w:lang w:val="pt-BR"/>
                        </w:rPr>
                        <w:t>/</w:t>
                      </w:r>
                      <w:r w:rsidR="00520CD1" w:rsidRPr="0022574C">
                        <w:rPr>
                          <w:rFonts w:asciiTheme="majorHAnsi" w:hAnsiTheme="majorHAnsi"/>
                          <w:color w:val="595959" w:themeColor="text1" w:themeTint="A6"/>
                          <w:sz w:val="18"/>
                          <w:szCs w:val="18"/>
                          <w:lang w:val="pt-BR"/>
                        </w:rPr>
                        <w:t>22</w:t>
                      </w:r>
                      <w:r w:rsidRPr="0022574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4A14CB">
                        <w:rPr>
                          <w:rFonts w:asciiTheme="majorHAnsi" w:hAnsiTheme="majorHAnsi"/>
                          <w:color w:val="595959" w:themeColor="text1" w:themeTint="A6"/>
                          <w:sz w:val="18"/>
                          <w:szCs w:val="18"/>
                        </w:rPr>
                        <w:t>1144</w:t>
                      </w:r>
                      <w:r>
                        <w:rPr>
                          <w:rFonts w:asciiTheme="majorHAnsi" w:hAnsiTheme="majorHAnsi"/>
                          <w:color w:val="595959" w:themeColor="text1" w:themeTint="A6"/>
                          <w:sz w:val="18"/>
                          <w:szCs w:val="18"/>
                        </w:rPr>
                        <w:t>-</w:t>
                      </w:r>
                      <w:r w:rsidR="004A14CB">
                        <w:rPr>
                          <w:rFonts w:asciiTheme="majorHAnsi" w:hAnsiTheme="majorHAnsi"/>
                          <w:color w:val="595959" w:themeColor="text1" w:themeTint="A6"/>
                          <w:sz w:val="18"/>
                          <w:szCs w:val="18"/>
                        </w:rPr>
                        <w:t>10</w:t>
                      </w:r>
                      <w:r>
                        <w:rPr>
                          <w:rFonts w:asciiTheme="majorHAnsi" w:hAnsiTheme="majorHAnsi"/>
                          <w:color w:val="595959" w:themeColor="text1" w:themeTint="A6"/>
                          <w:sz w:val="18"/>
                          <w:szCs w:val="18"/>
                        </w:rPr>
                        <w:t xml:space="preserve">. </w:t>
                      </w:r>
                      <w:r w:rsidR="004A14CB">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A14CB">
                        <w:rPr>
                          <w:rFonts w:asciiTheme="majorHAnsi" w:hAnsiTheme="majorHAnsi"/>
                          <w:color w:val="595959" w:themeColor="text1" w:themeTint="A6"/>
                          <w:sz w:val="18"/>
                          <w:szCs w:val="18"/>
                          <w:lang w:val="es-ES_tradnl"/>
                        </w:rPr>
                        <w:t>Ángel de la Cruz Soto</w:t>
                      </w:r>
                      <w:r w:rsidRPr="00890650">
                        <w:rPr>
                          <w:rFonts w:asciiTheme="majorHAnsi" w:hAnsiTheme="majorHAnsi"/>
                          <w:color w:val="595959" w:themeColor="text1" w:themeTint="A6"/>
                          <w:sz w:val="18"/>
                          <w:szCs w:val="18"/>
                          <w:lang w:val="es-ES_tradnl"/>
                        </w:rPr>
                        <w:t xml:space="preserve">. </w:t>
                      </w:r>
                      <w:r w:rsidR="004A14CB">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1B00FC">
                        <w:rPr>
                          <w:rFonts w:asciiTheme="majorHAnsi" w:hAnsiTheme="majorHAnsi"/>
                          <w:color w:val="595959" w:themeColor="text1" w:themeTint="A6"/>
                          <w:sz w:val="18"/>
                          <w:szCs w:val="18"/>
                        </w:rPr>
                        <w:t>1º de marzo de 2022</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ED7E91" w:rsidRDefault="00A50FCF" w:rsidP="00040C3A">
      <w:pPr>
        <w:tabs>
          <w:tab w:val="center" w:pos="5400"/>
        </w:tabs>
        <w:suppressAutoHyphens/>
        <w:jc w:val="center"/>
        <w:rPr>
          <w:rFonts w:asciiTheme="majorHAnsi" w:hAnsiTheme="majorHAnsi"/>
          <w:sz w:val="18"/>
          <w:szCs w:val="22"/>
          <w:lang w:val="es-ES_tradnl"/>
        </w:rPr>
      </w:pPr>
    </w:p>
    <w:p w14:paraId="1DA07629" w14:textId="1F6ED290" w:rsidR="0090270B" w:rsidRPr="00ED7E91" w:rsidRDefault="0090270B" w:rsidP="005516A1">
      <w:pPr>
        <w:tabs>
          <w:tab w:val="center" w:pos="5400"/>
        </w:tabs>
        <w:suppressAutoHyphens/>
        <w:jc w:val="center"/>
        <w:rPr>
          <w:rFonts w:asciiTheme="majorHAnsi" w:hAnsiTheme="majorHAnsi"/>
          <w:b/>
          <w:sz w:val="20"/>
          <w:lang w:val="es-ES_tradnl"/>
        </w:rPr>
      </w:pPr>
    </w:p>
    <w:p w14:paraId="2FE1B253" w14:textId="7990A7E4" w:rsidR="0070697F" w:rsidRPr="00ED7E91" w:rsidRDefault="00C8771D" w:rsidP="005516A1">
      <w:pPr>
        <w:tabs>
          <w:tab w:val="center" w:pos="5400"/>
        </w:tabs>
        <w:suppressAutoHyphens/>
        <w:jc w:val="center"/>
        <w:rPr>
          <w:rFonts w:asciiTheme="majorHAnsi" w:hAnsiTheme="majorHAnsi"/>
          <w:b/>
          <w:sz w:val="20"/>
          <w:lang w:val="es-ES_tradnl"/>
        </w:rPr>
        <w:sectPr w:rsidR="0070697F" w:rsidRPr="00ED7E91"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ED7E91">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6F81DF21">
                <wp:simplePos x="0" y="0"/>
                <wp:positionH relativeFrom="column">
                  <wp:posOffset>-271780</wp:posOffset>
                </wp:positionH>
                <wp:positionV relativeFrom="paragraph">
                  <wp:posOffset>720362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D72FB" w:rsidRPr="004B7EB6" w:rsidRDefault="00AD72F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6.7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" filled="f" stroked="f" strokeweight=".5pt">
                <v:textbox>
                  <w:txbxContent>
                    <w:p w14:paraId="6EA0DBC3" w14:textId="77777777" w:rsidR="00AD72FB" w:rsidRPr="004B7EB6" w:rsidRDefault="00AD72F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F041F3" w:rsidRPr="00ED7E91">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1B6E6093">
                <wp:simplePos x="0" y="0"/>
                <wp:positionH relativeFrom="column">
                  <wp:posOffset>1329690</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09A6AFE" w:rsidR="00AD72FB" w:rsidRPr="00D72DC6" w:rsidRDefault="00F041F3" w:rsidP="00F02AD1">
                            <w:pPr>
                              <w:rPr>
                                <w:color w:val="FFFFFF" w:themeColor="background1"/>
                                <w14:textFill>
                                  <w14:noFill/>
                                </w14:textFill>
                              </w:rPr>
                            </w:pPr>
                            <w:r>
                              <w:rPr>
                                <w:noProof/>
                                <w:color w:val="FFFFFF" w:themeColor="background1"/>
                              </w:rPr>
                              <w:drawing>
                                <wp:inline distT="0" distB="0" distL="0" distR="0" wp14:anchorId="0F07453A" wp14:editId="24F78954">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" fillcolor="white [3201]" stroked="f" strokeweight=".5pt">
                <v:textbox>
                  <w:txbxContent>
                    <w:p w14:paraId="2A1ECD3C" w14:textId="109A6AFE" w:rsidR="00AD72FB" w:rsidRPr="00D72DC6" w:rsidRDefault="00F041F3" w:rsidP="00F02AD1">
                      <w:pPr>
                        <w:rPr>
                          <w:color w:val="FFFFFF" w:themeColor="background1"/>
                          <w14:textFill>
                            <w14:noFill/>
                          </w14:textFill>
                        </w:rPr>
                      </w:pPr>
                      <w:r>
                        <w:rPr>
                          <w:noProof/>
                          <w:color w:val="FFFFFF" w:themeColor="background1"/>
                        </w:rPr>
                        <w:drawing>
                          <wp:inline distT="0" distB="0" distL="0" distR="0" wp14:anchorId="0F07453A" wp14:editId="24F78954">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ED7E91">
        <w:rPr>
          <w:rFonts w:asciiTheme="majorHAnsi" w:hAnsiTheme="majorHAnsi"/>
          <w:b/>
          <w:sz w:val="20"/>
          <w:lang w:val="es-ES_tradnl"/>
        </w:rPr>
        <w:tab/>
      </w:r>
    </w:p>
    <w:p w14:paraId="376DDC8B" w14:textId="77777777" w:rsidR="003239B8" w:rsidRPr="00ED7E91" w:rsidRDefault="003239B8" w:rsidP="004A6A54">
      <w:pPr>
        <w:spacing w:after="240"/>
        <w:ind w:firstLine="720"/>
        <w:jc w:val="both"/>
        <w:rPr>
          <w:rFonts w:asciiTheme="majorHAnsi" w:hAnsiTheme="majorHAnsi"/>
          <w:b/>
          <w:bCs/>
          <w:sz w:val="20"/>
          <w:szCs w:val="20"/>
        </w:rPr>
      </w:pPr>
      <w:r w:rsidRPr="00ED7E91">
        <w:rPr>
          <w:rFonts w:asciiTheme="majorHAnsi" w:hAnsiTheme="majorHAnsi"/>
          <w:b/>
          <w:bCs/>
          <w:sz w:val="20"/>
          <w:szCs w:val="20"/>
        </w:rPr>
        <w:lastRenderedPageBreak/>
        <w:t>I.</w:t>
      </w:r>
      <w:r w:rsidRPr="00ED7E91">
        <w:rPr>
          <w:rFonts w:asciiTheme="majorHAnsi" w:hAnsiTheme="majorHAnsi"/>
          <w:b/>
          <w:bCs/>
          <w:sz w:val="20"/>
          <w:szCs w:val="20"/>
        </w:rPr>
        <w:tab/>
        <w:t xml:space="preserve">DATOS DE LA PETICIÓN </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13"/>
        <w:gridCol w:w="5647"/>
      </w:tblGrid>
      <w:tr w:rsidR="00ED7E91" w:rsidRPr="00ED7E91" w14:paraId="5A79D1F7" w14:textId="77777777" w:rsidTr="00C803DC">
        <w:tc>
          <w:tcPr>
            <w:tcW w:w="3713" w:type="dxa"/>
            <w:tcBorders>
              <w:top w:val="single" w:sz="4" w:space="0" w:color="auto"/>
              <w:bottom w:val="single" w:sz="6" w:space="0" w:color="auto"/>
            </w:tcBorders>
            <w:shd w:val="clear" w:color="auto" w:fill="4A7194"/>
            <w:vAlign w:val="center"/>
          </w:tcPr>
          <w:p w14:paraId="0CB2A43B" w14:textId="77777777" w:rsidR="003239B8" w:rsidRPr="00C8771D" w:rsidRDefault="003239B8"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Parte peticionaria:</w:t>
            </w:r>
          </w:p>
        </w:tc>
        <w:tc>
          <w:tcPr>
            <w:tcW w:w="5647" w:type="dxa"/>
            <w:vAlign w:val="center"/>
          </w:tcPr>
          <w:p w14:paraId="3C5315D8" w14:textId="6D5FD390" w:rsidR="00EF6686" w:rsidRPr="00ED7E91" w:rsidRDefault="00EF6686" w:rsidP="00AD72FB">
            <w:pPr>
              <w:jc w:val="both"/>
              <w:rPr>
                <w:rFonts w:ascii="Cambria" w:hAnsi="Cambria"/>
                <w:bCs/>
                <w:sz w:val="20"/>
                <w:szCs w:val="20"/>
              </w:rPr>
            </w:pPr>
            <w:r w:rsidRPr="00ED7E91">
              <w:rPr>
                <w:rFonts w:ascii="Cambria" w:hAnsi="Cambria"/>
                <w:bCs/>
                <w:sz w:val="20"/>
                <w:szCs w:val="20"/>
                <w:lang w:val="es-AR"/>
              </w:rPr>
              <w:t>Ángel de la Cruz Soto</w:t>
            </w:r>
          </w:p>
        </w:tc>
      </w:tr>
      <w:tr w:rsidR="00ED7E91" w:rsidRPr="00ED7E91" w14:paraId="593A7E45" w14:textId="77777777" w:rsidTr="00C803DC">
        <w:tc>
          <w:tcPr>
            <w:tcW w:w="3713" w:type="dxa"/>
            <w:tcBorders>
              <w:top w:val="single" w:sz="6" w:space="0" w:color="auto"/>
              <w:bottom w:val="single" w:sz="6" w:space="0" w:color="auto"/>
            </w:tcBorders>
            <w:shd w:val="clear" w:color="auto" w:fill="4A7194"/>
            <w:vAlign w:val="center"/>
          </w:tcPr>
          <w:p w14:paraId="0E78CA0C" w14:textId="77777777" w:rsidR="00EF6686" w:rsidRPr="00C8771D" w:rsidRDefault="00B31AC2" w:rsidP="00AD72F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8C1E1FAFEC424A862167173CD470AA"/>
                </w:placeholder>
                <w:dropDownList>
                  <w:listItem w:value="Choose an item."/>
                  <w:listItem w:displayText="Presunta víctima" w:value="Presunta víctima"/>
                  <w:listItem w:displayText="Presuntas víctimas" w:value="Presuntas víctimas"/>
                </w:dropDownList>
              </w:sdtPr>
              <w:sdtEndPr/>
              <w:sdtContent>
                <w:r w:rsidR="00EF6686" w:rsidRPr="00C8771D">
                  <w:rPr>
                    <w:rFonts w:ascii="Cambria" w:hAnsi="Cambria"/>
                    <w:b/>
                    <w:bCs/>
                    <w:color w:val="FFFFFF" w:themeColor="background1"/>
                    <w:sz w:val="20"/>
                    <w:szCs w:val="20"/>
                  </w:rPr>
                  <w:t>Presunta víctima</w:t>
                </w:r>
              </w:sdtContent>
            </w:sdt>
            <w:r w:rsidR="00EF6686" w:rsidRPr="00C8771D">
              <w:rPr>
                <w:rFonts w:ascii="Cambria" w:hAnsi="Cambria"/>
                <w:b/>
                <w:bCs/>
                <w:color w:val="FFFFFF" w:themeColor="background1"/>
                <w:sz w:val="20"/>
                <w:szCs w:val="20"/>
              </w:rPr>
              <w:t>:</w:t>
            </w:r>
          </w:p>
        </w:tc>
        <w:tc>
          <w:tcPr>
            <w:tcW w:w="5647" w:type="dxa"/>
            <w:vAlign w:val="center"/>
          </w:tcPr>
          <w:p w14:paraId="4AEBF59E" w14:textId="010C51F8" w:rsidR="00EF6686" w:rsidRPr="00ED7E91" w:rsidRDefault="00EF6686" w:rsidP="00AD72FB">
            <w:pPr>
              <w:jc w:val="both"/>
              <w:rPr>
                <w:rFonts w:ascii="Cambria" w:hAnsi="Cambria"/>
                <w:bCs/>
                <w:sz w:val="20"/>
                <w:szCs w:val="20"/>
                <w:lang w:val="es-ES_tradnl"/>
              </w:rPr>
            </w:pPr>
            <w:r w:rsidRPr="00ED7E91">
              <w:rPr>
                <w:rFonts w:ascii="Cambria" w:hAnsi="Cambria"/>
                <w:bCs/>
                <w:sz w:val="20"/>
                <w:szCs w:val="20"/>
                <w:lang w:val="es-AR"/>
              </w:rPr>
              <w:t>Ángel de la Cruz Soto</w:t>
            </w:r>
          </w:p>
        </w:tc>
      </w:tr>
      <w:tr w:rsidR="00ED7E91" w:rsidRPr="00ED7E91" w14:paraId="3E62E1D3" w14:textId="77777777" w:rsidTr="00C803DC">
        <w:tc>
          <w:tcPr>
            <w:tcW w:w="3713" w:type="dxa"/>
            <w:tcBorders>
              <w:top w:val="single" w:sz="6" w:space="0" w:color="auto"/>
              <w:bottom w:val="single" w:sz="6" w:space="0" w:color="auto"/>
            </w:tcBorders>
            <w:shd w:val="clear" w:color="auto" w:fill="4A7194"/>
            <w:vAlign w:val="center"/>
          </w:tcPr>
          <w:p w14:paraId="340B0F09" w14:textId="77777777" w:rsidR="00EF6686" w:rsidRPr="00C8771D" w:rsidRDefault="00EF6686"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Estado denunciado:</w:t>
            </w:r>
          </w:p>
        </w:tc>
        <w:tc>
          <w:tcPr>
            <w:tcW w:w="5647" w:type="dxa"/>
            <w:vAlign w:val="center"/>
          </w:tcPr>
          <w:p w14:paraId="274C8A50" w14:textId="7DEDB1A6" w:rsidR="00EF6686" w:rsidRPr="00ED7E91" w:rsidRDefault="00EF6686" w:rsidP="00AD72FB">
            <w:pPr>
              <w:jc w:val="both"/>
              <w:rPr>
                <w:rFonts w:ascii="Cambria" w:hAnsi="Cambria"/>
                <w:bCs/>
                <w:sz w:val="20"/>
                <w:szCs w:val="20"/>
              </w:rPr>
            </w:pPr>
            <w:r w:rsidRPr="00ED7E91">
              <w:rPr>
                <w:rFonts w:ascii="Cambria" w:hAnsi="Cambria"/>
                <w:bCs/>
                <w:sz w:val="20"/>
                <w:szCs w:val="20"/>
              </w:rPr>
              <w:t>Panamá</w:t>
            </w:r>
            <w:r w:rsidRPr="00ED7E91">
              <w:rPr>
                <w:rStyle w:val="FootnoteReference"/>
                <w:rFonts w:ascii="Cambria" w:hAnsi="Cambria"/>
                <w:bCs/>
                <w:sz w:val="20"/>
                <w:szCs w:val="20"/>
              </w:rPr>
              <w:footnoteReference w:id="2"/>
            </w:r>
          </w:p>
        </w:tc>
      </w:tr>
      <w:tr w:rsidR="00ED7E91" w:rsidRPr="00ED7E91" w14:paraId="632511BC" w14:textId="77777777" w:rsidTr="00C803DC">
        <w:tc>
          <w:tcPr>
            <w:tcW w:w="3713" w:type="dxa"/>
            <w:tcBorders>
              <w:top w:val="single" w:sz="6" w:space="0" w:color="auto"/>
              <w:bottom w:val="single" w:sz="6" w:space="0" w:color="auto"/>
            </w:tcBorders>
            <w:shd w:val="clear" w:color="auto" w:fill="4A7194"/>
            <w:vAlign w:val="center"/>
          </w:tcPr>
          <w:p w14:paraId="727E2F6B" w14:textId="60AEE329" w:rsidR="00EF6686" w:rsidRPr="00C8771D" w:rsidRDefault="00EF6686" w:rsidP="00E4118C">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Derechos invocados:</w:t>
            </w:r>
          </w:p>
        </w:tc>
        <w:tc>
          <w:tcPr>
            <w:tcW w:w="5647" w:type="dxa"/>
            <w:vAlign w:val="center"/>
          </w:tcPr>
          <w:p w14:paraId="6DEE1EEB" w14:textId="38898BAE" w:rsidR="00EF6686" w:rsidRPr="00ED7E91" w:rsidRDefault="00EF6686" w:rsidP="00FC35C4">
            <w:pPr>
              <w:jc w:val="both"/>
              <w:rPr>
                <w:rFonts w:ascii="Cambria" w:hAnsi="Cambria"/>
                <w:bCs/>
                <w:sz w:val="20"/>
                <w:szCs w:val="20"/>
                <w:lang w:val="es-AR"/>
              </w:rPr>
            </w:pPr>
            <w:r w:rsidRPr="00ED7E91">
              <w:rPr>
                <w:rFonts w:ascii="Cambria" w:hAnsi="Cambria"/>
                <w:bCs/>
                <w:sz w:val="20"/>
                <w:szCs w:val="20"/>
                <w:lang w:val="es-CO"/>
              </w:rPr>
              <w:t>Artículos 7</w:t>
            </w:r>
            <w:r w:rsidR="00F74BE6" w:rsidRPr="00ED7E91">
              <w:rPr>
                <w:rFonts w:ascii="Cambria" w:hAnsi="Cambria"/>
                <w:bCs/>
                <w:sz w:val="20"/>
                <w:szCs w:val="20"/>
                <w:lang w:val="es-CO"/>
              </w:rPr>
              <w:t xml:space="preserve"> (libertad personal)</w:t>
            </w:r>
            <w:r w:rsidRPr="00ED7E91">
              <w:rPr>
                <w:rFonts w:ascii="Cambria" w:hAnsi="Cambria"/>
                <w:bCs/>
                <w:sz w:val="20"/>
                <w:szCs w:val="20"/>
                <w:lang w:val="es-CO"/>
              </w:rPr>
              <w:t>, 8</w:t>
            </w:r>
            <w:r w:rsidR="00F74BE6" w:rsidRPr="00ED7E91">
              <w:rPr>
                <w:rFonts w:ascii="Cambria" w:hAnsi="Cambria"/>
                <w:bCs/>
                <w:sz w:val="20"/>
                <w:szCs w:val="20"/>
                <w:lang w:val="es-CO"/>
              </w:rPr>
              <w:t xml:space="preserve"> (garantías judiciales)</w:t>
            </w:r>
            <w:r w:rsidRPr="00ED7E91">
              <w:rPr>
                <w:rFonts w:ascii="Cambria" w:hAnsi="Cambria"/>
                <w:bCs/>
                <w:sz w:val="20"/>
                <w:szCs w:val="20"/>
                <w:lang w:val="es-CO"/>
              </w:rPr>
              <w:t xml:space="preserve"> y 25 </w:t>
            </w:r>
            <w:r w:rsidR="00F74BE6" w:rsidRPr="00ED7E91">
              <w:rPr>
                <w:rFonts w:ascii="Cambria" w:hAnsi="Cambria"/>
                <w:bCs/>
                <w:sz w:val="20"/>
                <w:szCs w:val="20"/>
                <w:lang w:val="es-CO"/>
              </w:rPr>
              <w:t xml:space="preserve">(protección judicial) </w:t>
            </w:r>
            <w:r w:rsidRPr="00ED7E91">
              <w:rPr>
                <w:rFonts w:ascii="Cambria" w:hAnsi="Cambria"/>
                <w:bCs/>
                <w:sz w:val="20"/>
                <w:szCs w:val="20"/>
                <w:lang w:val="es-CO"/>
              </w:rPr>
              <w:t>de la Convención Americana sobre Derechos Humanos</w:t>
            </w:r>
            <w:r w:rsidRPr="00ED7E91">
              <w:rPr>
                <w:rStyle w:val="FootnoteReference"/>
                <w:rFonts w:ascii="Cambria" w:hAnsi="Cambria"/>
                <w:bCs/>
                <w:sz w:val="20"/>
                <w:szCs w:val="20"/>
              </w:rPr>
              <w:footnoteReference w:id="3"/>
            </w:r>
          </w:p>
        </w:tc>
      </w:tr>
    </w:tbl>
    <w:p w14:paraId="20263696" w14:textId="77777777" w:rsidR="003239B8" w:rsidRPr="00ED7E91" w:rsidRDefault="003239B8" w:rsidP="003239B8">
      <w:pPr>
        <w:spacing w:before="240" w:after="240"/>
        <w:ind w:firstLine="720"/>
        <w:jc w:val="both"/>
        <w:rPr>
          <w:rFonts w:asciiTheme="majorHAnsi" w:hAnsiTheme="majorHAnsi"/>
          <w:b/>
          <w:bCs/>
          <w:sz w:val="20"/>
          <w:szCs w:val="20"/>
          <w:lang w:val="es-CO"/>
        </w:rPr>
      </w:pPr>
      <w:r w:rsidRPr="00ED7E91">
        <w:rPr>
          <w:rFonts w:asciiTheme="majorHAnsi" w:hAnsiTheme="majorHAnsi"/>
          <w:b/>
          <w:bCs/>
          <w:sz w:val="20"/>
          <w:szCs w:val="20"/>
        </w:rPr>
        <w:t>II.</w:t>
      </w:r>
      <w:r w:rsidRPr="00ED7E91">
        <w:rPr>
          <w:rFonts w:asciiTheme="majorHAnsi" w:hAnsiTheme="majorHAnsi"/>
          <w:b/>
          <w:bCs/>
          <w:sz w:val="20"/>
          <w:szCs w:val="20"/>
        </w:rPr>
        <w:tab/>
        <w:t>TRÁMITE ANTE LA CIDH</w:t>
      </w:r>
      <w:r w:rsidR="008E3BFE" w:rsidRPr="00ED7E91">
        <w:rPr>
          <w:rStyle w:val="FootnoteReference"/>
          <w:rFonts w:ascii="Cambria" w:hAnsi="Cambria"/>
          <w:b/>
          <w:sz w:val="20"/>
          <w:szCs w:val="20"/>
        </w:rPr>
        <w:footnoteReference w:id="4"/>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13"/>
        <w:gridCol w:w="5647"/>
      </w:tblGrid>
      <w:tr w:rsidR="00ED7E91" w:rsidRPr="00ED7E91" w14:paraId="306EFCB0" w14:textId="77777777" w:rsidTr="00C803DC">
        <w:tc>
          <w:tcPr>
            <w:tcW w:w="3713" w:type="dxa"/>
            <w:tcBorders>
              <w:top w:val="single" w:sz="6" w:space="0" w:color="auto"/>
              <w:bottom w:val="single" w:sz="6" w:space="0" w:color="auto"/>
            </w:tcBorders>
            <w:shd w:val="clear" w:color="auto" w:fill="4A7194"/>
            <w:vAlign w:val="center"/>
          </w:tcPr>
          <w:p w14:paraId="7508D16F" w14:textId="653461D7" w:rsidR="004C2312" w:rsidRPr="00C8771D" w:rsidRDefault="004A6A54" w:rsidP="004A6A54">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P</w:t>
            </w:r>
            <w:r w:rsidR="004C2312" w:rsidRPr="00C8771D">
              <w:rPr>
                <w:rFonts w:ascii="Cambria" w:hAnsi="Cambria"/>
                <w:b/>
                <w:bCs/>
                <w:color w:val="FFFFFF" w:themeColor="background1"/>
                <w:sz w:val="20"/>
                <w:szCs w:val="20"/>
              </w:rPr>
              <w:t>resentación de la petición:</w:t>
            </w:r>
          </w:p>
        </w:tc>
        <w:tc>
          <w:tcPr>
            <w:tcW w:w="5647" w:type="dxa"/>
            <w:vAlign w:val="center"/>
          </w:tcPr>
          <w:p w14:paraId="6E579153" w14:textId="4281CD04" w:rsidR="004C2312" w:rsidRPr="00ED7E91" w:rsidRDefault="00EF6686" w:rsidP="00AD72FB">
            <w:pPr>
              <w:jc w:val="both"/>
              <w:rPr>
                <w:rFonts w:ascii="Cambria" w:hAnsi="Cambria"/>
                <w:bCs/>
                <w:sz w:val="20"/>
                <w:szCs w:val="20"/>
              </w:rPr>
            </w:pPr>
            <w:r w:rsidRPr="00ED7E91">
              <w:rPr>
                <w:rFonts w:ascii="Cambria" w:hAnsi="Cambria"/>
                <w:bCs/>
                <w:sz w:val="20"/>
                <w:szCs w:val="20"/>
              </w:rPr>
              <w:t>10 de agosto de 2010</w:t>
            </w:r>
          </w:p>
        </w:tc>
      </w:tr>
      <w:tr w:rsidR="00ED7E91" w:rsidRPr="00ED7E91" w14:paraId="5D96B7DC" w14:textId="77777777" w:rsidTr="00C803DC">
        <w:tc>
          <w:tcPr>
            <w:tcW w:w="3713" w:type="dxa"/>
            <w:tcBorders>
              <w:top w:val="single" w:sz="6" w:space="0" w:color="auto"/>
              <w:bottom w:val="single" w:sz="6" w:space="0" w:color="auto"/>
            </w:tcBorders>
            <w:shd w:val="clear" w:color="auto" w:fill="4A7194"/>
            <w:vAlign w:val="center"/>
          </w:tcPr>
          <w:p w14:paraId="2CE0B631" w14:textId="77777777" w:rsidR="001E49E7" w:rsidRPr="00C8771D" w:rsidRDefault="001E49E7" w:rsidP="001E49E7">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Información adicional recibida durante la etapa de estudio:</w:t>
            </w:r>
          </w:p>
        </w:tc>
        <w:tc>
          <w:tcPr>
            <w:tcW w:w="5647" w:type="dxa"/>
            <w:vAlign w:val="center"/>
          </w:tcPr>
          <w:p w14:paraId="43BA4FDD" w14:textId="68A9C42B" w:rsidR="001E49E7" w:rsidRPr="00ED7E91" w:rsidRDefault="00550A2F" w:rsidP="00586FDF">
            <w:pPr>
              <w:rPr>
                <w:rFonts w:ascii="Cambria" w:hAnsi="Cambria"/>
                <w:bCs/>
                <w:sz w:val="20"/>
                <w:szCs w:val="20"/>
                <w:lang w:val="es-AR"/>
              </w:rPr>
            </w:pPr>
            <w:r w:rsidRPr="00ED7E91">
              <w:rPr>
                <w:rFonts w:ascii="Cambria" w:hAnsi="Cambria"/>
                <w:bCs/>
                <w:sz w:val="20"/>
                <w:szCs w:val="20"/>
                <w:lang w:val="es-AR"/>
              </w:rPr>
              <w:t>19 de abril de 2011</w:t>
            </w:r>
            <w:r w:rsidR="00586FDF" w:rsidRPr="00ED7E91">
              <w:rPr>
                <w:rFonts w:ascii="Cambria" w:hAnsi="Cambria"/>
                <w:bCs/>
                <w:sz w:val="20"/>
                <w:szCs w:val="20"/>
                <w:lang w:val="es-AR"/>
              </w:rPr>
              <w:t xml:space="preserve"> y </w:t>
            </w:r>
            <w:r w:rsidR="001B141D" w:rsidRPr="00ED7E91">
              <w:rPr>
                <w:rFonts w:ascii="Cambria" w:hAnsi="Cambria"/>
                <w:bCs/>
                <w:sz w:val="20"/>
                <w:szCs w:val="20"/>
                <w:lang w:val="es-AR"/>
              </w:rPr>
              <w:t>20 de junio de 2012</w:t>
            </w:r>
          </w:p>
        </w:tc>
      </w:tr>
      <w:tr w:rsidR="00ED7E91" w:rsidRPr="00ED7E91" w14:paraId="1BDCD5C6" w14:textId="77777777" w:rsidTr="00C803DC">
        <w:tc>
          <w:tcPr>
            <w:tcW w:w="3713" w:type="dxa"/>
            <w:tcBorders>
              <w:top w:val="single" w:sz="6" w:space="0" w:color="auto"/>
              <w:bottom w:val="single" w:sz="6" w:space="0" w:color="auto"/>
            </w:tcBorders>
            <w:shd w:val="clear" w:color="auto" w:fill="4A7194"/>
            <w:vAlign w:val="center"/>
          </w:tcPr>
          <w:p w14:paraId="7A18664F" w14:textId="73FE510C" w:rsidR="004C2312" w:rsidRPr="00C8771D" w:rsidRDefault="004A6A54" w:rsidP="004A6A54">
            <w:pPr>
              <w:jc w:val="center"/>
              <w:rPr>
                <w:rFonts w:ascii="Cambria" w:hAnsi="Cambria"/>
                <w:b/>
                <w:bCs/>
                <w:color w:val="FFFFFF" w:themeColor="background1"/>
                <w:sz w:val="20"/>
                <w:szCs w:val="20"/>
              </w:rPr>
            </w:pPr>
            <w:r w:rsidRPr="00C8771D">
              <w:rPr>
                <w:rFonts w:ascii="Cambria" w:hAnsi="Cambria"/>
                <w:b/>
                <w:color w:val="FFFFFF" w:themeColor="background1"/>
                <w:sz w:val="20"/>
                <w:szCs w:val="20"/>
              </w:rPr>
              <w:t>N</w:t>
            </w:r>
            <w:r w:rsidR="004C2312" w:rsidRPr="00C8771D">
              <w:rPr>
                <w:rFonts w:ascii="Cambria" w:hAnsi="Cambria"/>
                <w:b/>
                <w:color w:val="FFFFFF" w:themeColor="background1"/>
                <w:sz w:val="20"/>
                <w:szCs w:val="20"/>
              </w:rPr>
              <w:t>otificación de la petición al Estado:</w:t>
            </w:r>
          </w:p>
        </w:tc>
        <w:tc>
          <w:tcPr>
            <w:tcW w:w="5647" w:type="dxa"/>
            <w:vAlign w:val="center"/>
          </w:tcPr>
          <w:p w14:paraId="1519DA6A" w14:textId="6E474B63" w:rsidR="004C2312" w:rsidRPr="00ED7E91" w:rsidRDefault="001B141D" w:rsidP="00AD72FB">
            <w:pPr>
              <w:jc w:val="both"/>
              <w:rPr>
                <w:rFonts w:ascii="Cambria" w:hAnsi="Cambria"/>
                <w:bCs/>
                <w:sz w:val="20"/>
                <w:szCs w:val="20"/>
              </w:rPr>
            </w:pPr>
            <w:r w:rsidRPr="00ED7E91">
              <w:rPr>
                <w:rFonts w:ascii="Cambria" w:hAnsi="Cambria"/>
                <w:bCs/>
                <w:sz w:val="20"/>
                <w:szCs w:val="20"/>
              </w:rPr>
              <w:t>19 de octubre de 2012</w:t>
            </w:r>
          </w:p>
        </w:tc>
      </w:tr>
      <w:tr w:rsidR="00ED7E91" w:rsidRPr="00ED7E91" w14:paraId="6147A8D5" w14:textId="77777777" w:rsidTr="00C803DC">
        <w:tc>
          <w:tcPr>
            <w:tcW w:w="3713" w:type="dxa"/>
            <w:tcBorders>
              <w:top w:val="single" w:sz="6" w:space="0" w:color="auto"/>
              <w:bottom w:val="single" w:sz="6" w:space="0" w:color="auto"/>
            </w:tcBorders>
            <w:shd w:val="clear" w:color="auto" w:fill="4A7194"/>
            <w:vAlign w:val="center"/>
          </w:tcPr>
          <w:p w14:paraId="0201C86D" w14:textId="4A5EC6F9" w:rsidR="004C2312" w:rsidRPr="00C8771D" w:rsidRDefault="004A6A54" w:rsidP="004A6A54">
            <w:pPr>
              <w:jc w:val="center"/>
              <w:rPr>
                <w:rFonts w:ascii="Cambria" w:hAnsi="Cambria"/>
                <w:b/>
                <w:bCs/>
                <w:color w:val="FFFFFF" w:themeColor="background1"/>
                <w:sz w:val="20"/>
                <w:szCs w:val="20"/>
              </w:rPr>
            </w:pPr>
            <w:r w:rsidRPr="00C8771D">
              <w:rPr>
                <w:rFonts w:ascii="Cambria" w:hAnsi="Cambria"/>
                <w:b/>
                <w:color w:val="FFFFFF" w:themeColor="background1"/>
                <w:sz w:val="20"/>
                <w:szCs w:val="20"/>
              </w:rPr>
              <w:t>P</w:t>
            </w:r>
            <w:r w:rsidR="004C2312" w:rsidRPr="00C8771D">
              <w:rPr>
                <w:rFonts w:ascii="Cambria" w:hAnsi="Cambria"/>
                <w:b/>
                <w:color w:val="FFFFFF" w:themeColor="background1"/>
                <w:sz w:val="20"/>
                <w:szCs w:val="20"/>
              </w:rPr>
              <w:t>rimera respuesta del Estado:</w:t>
            </w:r>
          </w:p>
        </w:tc>
        <w:tc>
          <w:tcPr>
            <w:tcW w:w="5647" w:type="dxa"/>
            <w:vAlign w:val="center"/>
          </w:tcPr>
          <w:p w14:paraId="1972B99E" w14:textId="4219AABB" w:rsidR="004C2312" w:rsidRPr="00ED7E91" w:rsidRDefault="00B557AE" w:rsidP="00AD72FB">
            <w:pPr>
              <w:jc w:val="both"/>
              <w:rPr>
                <w:rFonts w:ascii="Cambria" w:hAnsi="Cambria"/>
                <w:bCs/>
                <w:sz w:val="20"/>
                <w:szCs w:val="20"/>
              </w:rPr>
            </w:pPr>
            <w:r w:rsidRPr="00ED7E91">
              <w:rPr>
                <w:rFonts w:ascii="Cambria" w:hAnsi="Cambria"/>
                <w:bCs/>
                <w:sz w:val="20"/>
                <w:szCs w:val="20"/>
              </w:rPr>
              <w:t xml:space="preserve">26 y </w:t>
            </w:r>
            <w:r w:rsidR="00755B43" w:rsidRPr="00ED7E91">
              <w:rPr>
                <w:rFonts w:ascii="Cambria" w:hAnsi="Cambria"/>
                <w:bCs/>
                <w:sz w:val="20"/>
                <w:szCs w:val="20"/>
              </w:rPr>
              <w:t>31 de octubre</w:t>
            </w:r>
            <w:r w:rsidRPr="00ED7E91">
              <w:rPr>
                <w:rFonts w:ascii="Cambria" w:hAnsi="Cambria"/>
                <w:bCs/>
                <w:sz w:val="20"/>
                <w:szCs w:val="20"/>
              </w:rPr>
              <w:t xml:space="preserve"> y 19 de noviembre</w:t>
            </w:r>
            <w:r w:rsidR="00755B43" w:rsidRPr="00ED7E91">
              <w:rPr>
                <w:rFonts w:ascii="Cambria" w:hAnsi="Cambria"/>
                <w:bCs/>
                <w:sz w:val="20"/>
                <w:szCs w:val="20"/>
              </w:rPr>
              <w:t xml:space="preserve"> de 2012</w:t>
            </w:r>
          </w:p>
        </w:tc>
      </w:tr>
      <w:tr w:rsidR="00ED7E91" w:rsidRPr="00ED7E91" w14:paraId="322668B6" w14:textId="77777777" w:rsidTr="00C803DC">
        <w:tc>
          <w:tcPr>
            <w:tcW w:w="3713" w:type="dxa"/>
            <w:tcBorders>
              <w:top w:val="single" w:sz="6" w:space="0" w:color="auto"/>
              <w:bottom w:val="single" w:sz="6" w:space="0" w:color="auto"/>
            </w:tcBorders>
            <w:shd w:val="clear" w:color="auto" w:fill="4A7194"/>
            <w:vAlign w:val="center"/>
          </w:tcPr>
          <w:p w14:paraId="1524DA55" w14:textId="77777777" w:rsidR="004C2312" w:rsidRPr="00C8771D" w:rsidRDefault="008E3BFE" w:rsidP="008E3BFE">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Observaciones adicionales de la parte peticionaria:</w:t>
            </w:r>
          </w:p>
        </w:tc>
        <w:tc>
          <w:tcPr>
            <w:tcW w:w="5647" w:type="dxa"/>
            <w:vAlign w:val="center"/>
          </w:tcPr>
          <w:p w14:paraId="41D8B862" w14:textId="6D507D88" w:rsidR="004C2312" w:rsidRPr="00ED7E91" w:rsidRDefault="00F74BE6" w:rsidP="00B557AE">
            <w:pPr>
              <w:jc w:val="both"/>
              <w:rPr>
                <w:rFonts w:ascii="Cambria" w:hAnsi="Cambria"/>
                <w:bCs/>
                <w:sz w:val="20"/>
                <w:szCs w:val="20"/>
              </w:rPr>
            </w:pPr>
            <w:r w:rsidRPr="00ED7E91">
              <w:rPr>
                <w:rFonts w:ascii="Cambria" w:hAnsi="Cambria"/>
                <w:bCs/>
                <w:sz w:val="20"/>
                <w:szCs w:val="20"/>
              </w:rPr>
              <w:t>19 de octubre de 2016</w:t>
            </w:r>
            <w:r w:rsidR="00B557AE" w:rsidRPr="00ED7E91">
              <w:rPr>
                <w:rFonts w:ascii="Cambria" w:hAnsi="Cambria"/>
                <w:bCs/>
                <w:sz w:val="20"/>
                <w:szCs w:val="20"/>
              </w:rPr>
              <w:t>; 23 de octubre y 17 de diciembre de 2017</w:t>
            </w:r>
            <w:r w:rsidR="00D234B0" w:rsidRPr="00ED7E91">
              <w:rPr>
                <w:rFonts w:ascii="Cambria" w:hAnsi="Cambria"/>
                <w:bCs/>
                <w:sz w:val="20"/>
                <w:szCs w:val="20"/>
              </w:rPr>
              <w:t>; 24 y 29 de octubre y 5 de noviembre de 2019; y 2 de febrero de 2020</w:t>
            </w:r>
          </w:p>
        </w:tc>
      </w:tr>
      <w:tr w:rsidR="00ED7E91" w:rsidRPr="00ED7E91" w14:paraId="291ACE7A" w14:textId="77777777" w:rsidTr="00C803DC">
        <w:tc>
          <w:tcPr>
            <w:tcW w:w="3713" w:type="dxa"/>
            <w:tcBorders>
              <w:top w:val="single" w:sz="6" w:space="0" w:color="auto"/>
              <w:bottom w:val="single" w:sz="6" w:space="0" w:color="auto"/>
            </w:tcBorders>
            <w:shd w:val="clear" w:color="auto" w:fill="4A7194"/>
            <w:vAlign w:val="center"/>
          </w:tcPr>
          <w:p w14:paraId="068BD12F" w14:textId="77777777" w:rsidR="004C2312" w:rsidRPr="00C8771D" w:rsidRDefault="004C2312" w:rsidP="008E3BFE">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Observaciones adicionales del Estado:</w:t>
            </w:r>
          </w:p>
        </w:tc>
        <w:tc>
          <w:tcPr>
            <w:tcW w:w="5647" w:type="dxa"/>
            <w:vAlign w:val="center"/>
          </w:tcPr>
          <w:p w14:paraId="3CE49AFE" w14:textId="3205B390" w:rsidR="004C2312" w:rsidRPr="00ED7E91" w:rsidRDefault="00B557AE" w:rsidP="00AD72FB">
            <w:pPr>
              <w:jc w:val="both"/>
              <w:rPr>
                <w:rFonts w:ascii="Cambria" w:hAnsi="Cambria"/>
                <w:bCs/>
                <w:sz w:val="20"/>
                <w:szCs w:val="20"/>
              </w:rPr>
            </w:pPr>
            <w:r w:rsidRPr="00ED7E91">
              <w:rPr>
                <w:rFonts w:ascii="Cambria" w:hAnsi="Cambria"/>
                <w:bCs/>
                <w:sz w:val="20"/>
                <w:szCs w:val="20"/>
              </w:rPr>
              <w:t>21</w:t>
            </w:r>
            <w:r w:rsidR="00D44723" w:rsidRPr="00ED7E91">
              <w:rPr>
                <w:rFonts w:ascii="Cambria" w:hAnsi="Cambria"/>
                <w:bCs/>
                <w:sz w:val="20"/>
                <w:szCs w:val="20"/>
              </w:rPr>
              <w:t xml:space="preserve"> de julio 2017</w:t>
            </w:r>
          </w:p>
        </w:tc>
      </w:tr>
    </w:tbl>
    <w:p w14:paraId="21DAA666" w14:textId="77777777" w:rsidR="003239B8" w:rsidRPr="00ED7E91" w:rsidRDefault="003239B8" w:rsidP="003239B8">
      <w:pPr>
        <w:spacing w:before="240" w:after="240"/>
        <w:ind w:firstLine="720"/>
        <w:jc w:val="both"/>
        <w:rPr>
          <w:rFonts w:asciiTheme="majorHAnsi" w:hAnsiTheme="majorHAnsi"/>
          <w:b/>
          <w:bCs/>
          <w:sz w:val="20"/>
          <w:szCs w:val="20"/>
        </w:rPr>
      </w:pPr>
      <w:r w:rsidRPr="00ED7E91">
        <w:rPr>
          <w:rFonts w:asciiTheme="majorHAnsi" w:hAnsiTheme="majorHAnsi"/>
          <w:b/>
          <w:bCs/>
          <w:sz w:val="20"/>
          <w:szCs w:val="20"/>
        </w:rPr>
        <w:t xml:space="preserve">III. </w:t>
      </w:r>
      <w:r w:rsidRPr="00ED7E91">
        <w:rPr>
          <w:rFonts w:asciiTheme="majorHAnsi" w:hAnsiTheme="majorHAnsi"/>
          <w:b/>
          <w:bCs/>
          <w:sz w:val="20"/>
          <w:szCs w:val="20"/>
        </w:rPr>
        <w:tab/>
        <w:t>COMPETENCIA</w:t>
      </w:r>
      <w:r w:rsidR="00EE00E9" w:rsidRPr="00ED7E91">
        <w:rPr>
          <w:rFonts w:asciiTheme="majorHAnsi" w:hAnsiTheme="majorHAnsi"/>
          <w:b/>
          <w:bCs/>
          <w:sz w:val="20"/>
          <w:szCs w:val="20"/>
        </w:rPr>
        <w:t xml:space="preserve"> </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3674"/>
        <w:gridCol w:w="5681"/>
      </w:tblGrid>
      <w:tr w:rsidR="00ED7E91" w:rsidRPr="00ED7E91" w14:paraId="072532AD" w14:textId="77777777" w:rsidTr="00C803DC">
        <w:trPr>
          <w:cantSplit/>
        </w:trPr>
        <w:tc>
          <w:tcPr>
            <w:tcW w:w="3674" w:type="dxa"/>
            <w:tcBorders>
              <w:top w:val="single" w:sz="4" w:space="0" w:color="auto"/>
              <w:bottom w:val="single" w:sz="6" w:space="0" w:color="auto"/>
            </w:tcBorders>
            <w:shd w:val="clear" w:color="auto" w:fill="4A7194"/>
            <w:vAlign w:val="center"/>
          </w:tcPr>
          <w:p w14:paraId="5C2E4B34" w14:textId="77777777" w:rsidR="003239B8" w:rsidRPr="00C8771D" w:rsidRDefault="003239B8" w:rsidP="00AD72FB">
            <w:pPr>
              <w:jc w:val="center"/>
              <w:rPr>
                <w:rFonts w:ascii="Cambria" w:hAnsi="Cambria"/>
                <w:b/>
                <w:bCs/>
                <w:i/>
                <w:color w:val="FFFFFF" w:themeColor="background1"/>
                <w:sz w:val="20"/>
                <w:szCs w:val="20"/>
              </w:rPr>
            </w:pPr>
            <w:r w:rsidRPr="00C8771D">
              <w:rPr>
                <w:rFonts w:ascii="Cambria" w:hAnsi="Cambria"/>
                <w:b/>
                <w:bCs/>
                <w:color w:val="FFFFFF" w:themeColor="background1"/>
                <w:sz w:val="20"/>
                <w:szCs w:val="20"/>
              </w:rPr>
              <w:t>Competencia</w:t>
            </w:r>
            <w:r w:rsidRPr="00C8771D">
              <w:rPr>
                <w:rFonts w:ascii="Cambria" w:hAnsi="Cambria"/>
                <w:b/>
                <w:bCs/>
                <w:i/>
                <w:color w:val="FFFFFF" w:themeColor="background1"/>
                <w:sz w:val="20"/>
                <w:szCs w:val="20"/>
              </w:rPr>
              <w:t xml:space="preserve"> </w:t>
            </w:r>
            <w:proofErr w:type="spellStart"/>
            <w:r w:rsidRPr="00C8771D">
              <w:rPr>
                <w:rFonts w:ascii="Cambria" w:hAnsi="Cambria"/>
                <w:b/>
                <w:bCs/>
                <w:i/>
                <w:color w:val="FFFFFF" w:themeColor="background1"/>
                <w:sz w:val="20"/>
                <w:szCs w:val="20"/>
              </w:rPr>
              <w:t>Ratione</w:t>
            </w:r>
            <w:proofErr w:type="spellEnd"/>
            <w:r w:rsidRPr="00C8771D">
              <w:rPr>
                <w:rFonts w:ascii="Cambria" w:hAnsi="Cambria"/>
                <w:b/>
                <w:bCs/>
                <w:i/>
                <w:color w:val="FFFFFF" w:themeColor="background1"/>
                <w:sz w:val="20"/>
                <w:szCs w:val="20"/>
              </w:rPr>
              <w:t xml:space="preserve"> </w:t>
            </w:r>
            <w:proofErr w:type="spellStart"/>
            <w:r w:rsidRPr="00C8771D">
              <w:rPr>
                <w:rFonts w:ascii="Cambria" w:hAnsi="Cambria"/>
                <w:b/>
                <w:bCs/>
                <w:i/>
                <w:color w:val="FFFFFF" w:themeColor="background1"/>
                <w:sz w:val="20"/>
                <w:szCs w:val="20"/>
              </w:rPr>
              <w:t>personae</w:t>
            </w:r>
            <w:proofErr w:type="spellEnd"/>
            <w:r w:rsidRPr="00C8771D">
              <w:rPr>
                <w:rFonts w:ascii="Cambria" w:hAnsi="Cambria"/>
                <w:b/>
                <w:bCs/>
                <w:i/>
                <w:color w:val="FFFFFF" w:themeColor="background1"/>
                <w:sz w:val="20"/>
                <w:szCs w:val="20"/>
              </w:rPr>
              <w:t>:</w:t>
            </w:r>
          </w:p>
        </w:tc>
        <w:tc>
          <w:tcPr>
            <w:tcW w:w="5681" w:type="dxa"/>
            <w:vAlign w:val="center"/>
          </w:tcPr>
          <w:p w14:paraId="7707F3E9" w14:textId="61FE576A" w:rsidR="003239B8" w:rsidRPr="00ED7E91" w:rsidRDefault="00F74BE6" w:rsidP="00AD72FB">
            <w:pPr>
              <w:rPr>
                <w:rFonts w:ascii="Cambria" w:hAnsi="Cambria"/>
                <w:bCs/>
                <w:sz w:val="20"/>
                <w:szCs w:val="20"/>
              </w:rPr>
            </w:pPr>
            <w:r w:rsidRPr="00ED7E91">
              <w:rPr>
                <w:rFonts w:ascii="Cambria" w:hAnsi="Cambria"/>
                <w:bCs/>
                <w:sz w:val="20"/>
                <w:szCs w:val="20"/>
              </w:rPr>
              <w:t>Sí</w:t>
            </w:r>
          </w:p>
        </w:tc>
      </w:tr>
      <w:tr w:rsidR="00ED7E91" w:rsidRPr="00ED7E91" w14:paraId="4B8802DA" w14:textId="77777777" w:rsidTr="00C803DC">
        <w:trPr>
          <w:cantSplit/>
        </w:trPr>
        <w:tc>
          <w:tcPr>
            <w:tcW w:w="3674" w:type="dxa"/>
            <w:tcBorders>
              <w:top w:val="single" w:sz="6" w:space="0" w:color="auto"/>
              <w:bottom w:val="single" w:sz="6" w:space="0" w:color="auto"/>
            </w:tcBorders>
            <w:shd w:val="clear" w:color="auto" w:fill="4A7194"/>
            <w:vAlign w:val="center"/>
          </w:tcPr>
          <w:p w14:paraId="3915C23B" w14:textId="77777777" w:rsidR="003239B8" w:rsidRPr="00C8771D" w:rsidRDefault="003239B8"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Competencia</w:t>
            </w:r>
            <w:r w:rsidRPr="00C8771D">
              <w:rPr>
                <w:rFonts w:ascii="Cambria" w:hAnsi="Cambria"/>
                <w:b/>
                <w:bCs/>
                <w:i/>
                <w:color w:val="FFFFFF" w:themeColor="background1"/>
                <w:sz w:val="20"/>
                <w:szCs w:val="20"/>
              </w:rPr>
              <w:t xml:space="preserve"> </w:t>
            </w:r>
            <w:proofErr w:type="spellStart"/>
            <w:r w:rsidRPr="00C8771D">
              <w:rPr>
                <w:rFonts w:ascii="Cambria" w:hAnsi="Cambria"/>
                <w:b/>
                <w:bCs/>
                <w:i/>
                <w:color w:val="FFFFFF" w:themeColor="background1"/>
                <w:sz w:val="20"/>
                <w:szCs w:val="20"/>
              </w:rPr>
              <w:t>Ratione</w:t>
            </w:r>
            <w:proofErr w:type="spellEnd"/>
            <w:r w:rsidRPr="00C8771D">
              <w:rPr>
                <w:rFonts w:ascii="Cambria" w:hAnsi="Cambria"/>
                <w:b/>
                <w:bCs/>
                <w:i/>
                <w:color w:val="FFFFFF" w:themeColor="background1"/>
                <w:sz w:val="20"/>
                <w:szCs w:val="20"/>
              </w:rPr>
              <w:t xml:space="preserve"> loci</w:t>
            </w:r>
            <w:r w:rsidRPr="00C8771D">
              <w:rPr>
                <w:rFonts w:ascii="Cambria" w:hAnsi="Cambria"/>
                <w:b/>
                <w:bCs/>
                <w:color w:val="FFFFFF" w:themeColor="background1"/>
                <w:sz w:val="20"/>
                <w:szCs w:val="20"/>
              </w:rPr>
              <w:t>:</w:t>
            </w:r>
          </w:p>
        </w:tc>
        <w:tc>
          <w:tcPr>
            <w:tcW w:w="5681" w:type="dxa"/>
            <w:vAlign w:val="center"/>
          </w:tcPr>
          <w:p w14:paraId="12C931CB" w14:textId="70AAD128" w:rsidR="003239B8" w:rsidRPr="00ED7E91" w:rsidRDefault="00F74BE6" w:rsidP="00AD72FB">
            <w:pPr>
              <w:rPr>
                <w:rFonts w:ascii="Cambria" w:hAnsi="Cambria"/>
                <w:bCs/>
                <w:sz w:val="20"/>
                <w:szCs w:val="20"/>
              </w:rPr>
            </w:pPr>
            <w:r w:rsidRPr="00ED7E91">
              <w:rPr>
                <w:rFonts w:ascii="Cambria" w:hAnsi="Cambria"/>
                <w:bCs/>
                <w:sz w:val="20"/>
                <w:szCs w:val="20"/>
              </w:rPr>
              <w:t>Sí</w:t>
            </w:r>
          </w:p>
        </w:tc>
      </w:tr>
      <w:tr w:rsidR="00ED7E91" w:rsidRPr="00ED7E91" w14:paraId="4362FDF3" w14:textId="77777777" w:rsidTr="00C803DC">
        <w:trPr>
          <w:cantSplit/>
        </w:trPr>
        <w:tc>
          <w:tcPr>
            <w:tcW w:w="3674" w:type="dxa"/>
            <w:tcBorders>
              <w:top w:val="single" w:sz="6" w:space="0" w:color="auto"/>
              <w:bottom w:val="single" w:sz="6" w:space="0" w:color="auto"/>
            </w:tcBorders>
            <w:shd w:val="clear" w:color="auto" w:fill="4A7194"/>
            <w:vAlign w:val="center"/>
          </w:tcPr>
          <w:p w14:paraId="3BE23153" w14:textId="77777777" w:rsidR="003239B8" w:rsidRPr="00C8771D" w:rsidRDefault="003239B8"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Competencia</w:t>
            </w:r>
            <w:r w:rsidRPr="00C8771D">
              <w:rPr>
                <w:rFonts w:ascii="Cambria" w:hAnsi="Cambria"/>
                <w:b/>
                <w:bCs/>
                <w:i/>
                <w:color w:val="FFFFFF" w:themeColor="background1"/>
                <w:sz w:val="20"/>
                <w:szCs w:val="20"/>
              </w:rPr>
              <w:t xml:space="preserve"> </w:t>
            </w:r>
            <w:proofErr w:type="spellStart"/>
            <w:r w:rsidRPr="00C8771D">
              <w:rPr>
                <w:rFonts w:ascii="Cambria" w:hAnsi="Cambria"/>
                <w:b/>
                <w:bCs/>
                <w:i/>
                <w:color w:val="FFFFFF" w:themeColor="background1"/>
                <w:sz w:val="20"/>
                <w:szCs w:val="20"/>
              </w:rPr>
              <w:t>Ratione</w:t>
            </w:r>
            <w:proofErr w:type="spellEnd"/>
            <w:r w:rsidRPr="00C8771D">
              <w:rPr>
                <w:rFonts w:ascii="Cambria" w:hAnsi="Cambria"/>
                <w:b/>
                <w:bCs/>
                <w:i/>
                <w:color w:val="FFFFFF" w:themeColor="background1"/>
                <w:sz w:val="20"/>
                <w:szCs w:val="20"/>
              </w:rPr>
              <w:t xml:space="preserve"> </w:t>
            </w:r>
            <w:proofErr w:type="spellStart"/>
            <w:r w:rsidRPr="00C8771D">
              <w:rPr>
                <w:rFonts w:ascii="Cambria" w:hAnsi="Cambria"/>
                <w:b/>
                <w:bCs/>
                <w:i/>
                <w:color w:val="FFFFFF" w:themeColor="background1"/>
                <w:sz w:val="20"/>
                <w:szCs w:val="20"/>
              </w:rPr>
              <w:t>temporis</w:t>
            </w:r>
            <w:proofErr w:type="spellEnd"/>
            <w:r w:rsidRPr="00C8771D">
              <w:rPr>
                <w:rFonts w:ascii="Cambria" w:hAnsi="Cambria"/>
                <w:b/>
                <w:bCs/>
                <w:color w:val="FFFFFF" w:themeColor="background1"/>
                <w:sz w:val="20"/>
                <w:szCs w:val="20"/>
              </w:rPr>
              <w:t>:</w:t>
            </w:r>
          </w:p>
        </w:tc>
        <w:tc>
          <w:tcPr>
            <w:tcW w:w="5681" w:type="dxa"/>
            <w:vAlign w:val="center"/>
          </w:tcPr>
          <w:p w14:paraId="6F8B059B" w14:textId="32CFF7A6" w:rsidR="003239B8" w:rsidRPr="00ED7E91" w:rsidRDefault="00F74BE6" w:rsidP="00AD72FB">
            <w:pPr>
              <w:rPr>
                <w:rFonts w:ascii="Cambria" w:hAnsi="Cambria"/>
                <w:bCs/>
                <w:sz w:val="20"/>
                <w:szCs w:val="20"/>
              </w:rPr>
            </w:pPr>
            <w:r w:rsidRPr="00ED7E91">
              <w:rPr>
                <w:rFonts w:ascii="Cambria" w:hAnsi="Cambria"/>
                <w:bCs/>
                <w:sz w:val="20"/>
                <w:szCs w:val="20"/>
              </w:rPr>
              <w:t>Sí</w:t>
            </w:r>
          </w:p>
        </w:tc>
      </w:tr>
      <w:tr w:rsidR="00ED7E91" w:rsidRPr="00ED7E91" w14:paraId="30ABEC3E" w14:textId="77777777" w:rsidTr="00C803DC">
        <w:trPr>
          <w:cantSplit/>
        </w:trPr>
        <w:tc>
          <w:tcPr>
            <w:tcW w:w="3674" w:type="dxa"/>
            <w:tcBorders>
              <w:top w:val="single" w:sz="6" w:space="0" w:color="auto"/>
              <w:bottom w:val="single" w:sz="6" w:space="0" w:color="auto"/>
            </w:tcBorders>
            <w:shd w:val="clear" w:color="auto" w:fill="4A7194"/>
            <w:vAlign w:val="center"/>
          </w:tcPr>
          <w:p w14:paraId="47B529D2" w14:textId="77777777" w:rsidR="003239B8" w:rsidRPr="00C8771D" w:rsidRDefault="003239B8"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Competencia</w:t>
            </w:r>
            <w:r w:rsidRPr="00C8771D">
              <w:rPr>
                <w:rFonts w:ascii="Cambria" w:hAnsi="Cambria"/>
                <w:b/>
                <w:bCs/>
                <w:i/>
                <w:color w:val="FFFFFF" w:themeColor="background1"/>
                <w:sz w:val="20"/>
                <w:szCs w:val="20"/>
              </w:rPr>
              <w:t xml:space="preserve"> </w:t>
            </w:r>
            <w:proofErr w:type="spellStart"/>
            <w:r w:rsidRPr="00C8771D">
              <w:rPr>
                <w:rFonts w:ascii="Cambria" w:hAnsi="Cambria"/>
                <w:b/>
                <w:bCs/>
                <w:i/>
                <w:color w:val="FFFFFF" w:themeColor="background1"/>
                <w:sz w:val="20"/>
                <w:szCs w:val="20"/>
              </w:rPr>
              <w:t>Ratione</w:t>
            </w:r>
            <w:proofErr w:type="spellEnd"/>
            <w:r w:rsidRPr="00C8771D">
              <w:rPr>
                <w:rFonts w:ascii="Cambria" w:hAnsi="Cambria"/>
                <w:b/>
                <w:bCs/>
                <w:i/>
                <w:color w:val="FFFFFF" w:themeColor="background1"/>
                <w:sz w:val="20"/>
                <w:szCs w:val="20"/>
              </w:rPr>
              <w:t xml:space="preserve"> </w:t>
            </w:r>
            <w:proofErr w:type="spellStart"/>
            <w:r w:rsidRPr="00C8771D">
              <w:rPr>
                <w:rFonts w:ascii="Cambria" w:hAnsi="Cambria"/>
                <w:b/>
                <w:bCs/>
                <w:i/>
                <w:color w:val="FFFFFF" w:themeColor="background1"/>
                <w:sz w:val="20"/>
                <w:szCs w:val="20"/>
              </w:rPr>
              <w:t>materia</w:t>
            </w:r>
            <w:r w:rsidR="00EE00E9" w:rsidRPr="00C8771D">
              <w:rPr>
                <w:rFonts w:ascii="Cambria" w:hAnsi="Cambria"/>
                <w:b/>
                <w:bCs/>
                <w:i/>
                <w:color w:val="FFFFFF" w:themeColor="background1"/>
                <w:sz w:val="20"/>
                <w:szCs w:val="20"/>
              </w:rPr>
              <w:t>e</w:t>
            </w:r>
            <w:proofErr w:type="spellEnd"/>
            <w:r w:rsidRPr="00C8771D">
              <w:rPr>
                <w:rFonts w:ascii="Cambria" w:hAnsi="Cambria"/>
                <w:b/>
                <w:bCs/>
                <w:color w:val="FFFFFF" w:themeColor="background1"/>
                <w:sz w:val="20"/>
                <w:szCs w:val="20"/>
              </w:rPr>
              <w:t>:</w:t>
            </w:r>
          </w:p>
        </w:tc>
        <w:tc>
          <w:tcPr>
            <w:tcW w:w="5681" w:type="dxa"/>
            <w:vAlign w:val="center"/>
          </w:tcPr>
          <w:p w14:paraId="0C122F44" w14:textId="6822C4E7" w:rsidR="003239B8" w:rsidRPr="00ED7E91" w:rsidRDefault="00F74BE6" w:rsidP="003970E6">
            <w:pPr>
              <w:jc w:val="both"/>
              <w:rPr>
                <w:rFonts w:ascii="Cambria" w:hAnsi="Cambria"/>
                <w:bCs/>
                <w:sz w:val="20"/>
                <w:szCs w:val="20"/>
              </w:rPr>
            </w:pPr>
            <w:r w:rsidRPr="00ED7E91">
              <w:rPr>
                <w:rFonts w:ascii="Cambria" w:hAnsi="Cambria"/>
                <w:bCs/>
                <w:sz w:val="20"/>
                <w:szCs w:val="20"/>
              </w:rPr>
              <w:t xml:space="preserve">Sí, Convención Americana (depósito de instrumento realizado el 22 de junio de 1978) </w:t>
            </w:r>
          </w:p>
        </w:tc>
      </w:tr>
    </w:tbl>
    <w:p w14:paraId="4E92C444" w14:textId="06D93E04" w:rsidR="003239B8" w:rsidRPr="00ED7E91" w:rsidRDefault="003239B8" w:rsidP="003239B8">
      <w:pPr>
        <w:spacing w:before="240" w:after="240"/>
        <w:ind w:firstLine="720"/>
        <w:jc w:val="both"/>
        <w:rPr>
          <w:rFonts w:asciiTheme="majorHAnsi" w:hAnsiTheme="majorHAnsi"/>
          <w:b/>
          <w:bCs/>
          <w:sz w:val="20"/>
          <w:szCs w:val="20"/>
        </w:rPr>
      </w:pPr>
      <w:r w:rsidRPr="00ED7E91">
        <w:rPr>
          <w:rFonts w:asciiTheme="majorHAnsi" w:hAnsiTheme="majorHAnsi"/>
          <w:b/>
          <w:bCs/>
          <w:sz w:val="20"/>
          <w:szCs w:val="20"/>
        </w:rPr>
        <w:t xml:space="preserve">IV. </w:t>
      </w:r>
      <w:r w:rsidRPr="00ED7E91">
        <w:rPr>
          <w:rFonts w:asciiTheme="majorHAnsi" w:hAnsiTheme="majorHAnsi"/>
          <w:b/>
          <w:bCs/>
          <w:sz w:val="20"/>
          <w:szCs w:val="20"/>
        </w:rPr>
        <w:tab/>
      </w:r>
      <w:r w:rsidR="00EE00E9" w:rsidRPr="00ED7E91">
        <w:rPr>
          <w:rFonts w:asciiTheme="majorHAnsi" w:hAnsiTheme="majorHAnsi"/>
          <w:b/>
          <w:bCs/>
          <w:sz w:val="20"/>
          <w:szCs w:val="20"/>
        </w:rPr>
        <w:t>DUPLICACIÓN DE PROCEDIMIENTOS Y COSA JUZGADA</w:t>
      </w:r>
      <w:r w:rsidR="00EE00E9" w:rsidRPr="00ED7E91">
        <w:rPr>
          <w:rFonts w:asciiTheme="majorHAnsi" w:hAnsiTheme="majorHAnsi"/>
          <w:b/>
          <w:bCs/>
          <w:i/>
          <w:sz w:val="20"/>
          <w:szCs w:val="20"/>
        </w:rPr>
        <w:t xml:space="preserve"> </w:t>
      </w:r>
      <w:r w:rsidR="001076EF" w:rsidRPr="00ED7E91">
        <w:rPr>
          <w:rFonts w:asciiTheme="majorHAnsi" w:hAnsiTheme="majorHAnsi"/>
          <w:b/>
          <w:bCs/>
          <w:sz w:val="20"/>
          <w:szCs w:val="20"/>
        </w:rPr>
        <w:t>INTERNACIONAL, CARACTERIZACIÓN</w:t>
      </w:r>
      <w:r w:rsidRPr="00ED7E91">
        <w:rPr>
          <w:rFonts w:asciiTheme="majorHAnsi" w:hAnsiTheme="majorHAnsi"/>
          <w:b/>
          <w:bCs/>
          <w:sz w:val="20"/>
          <w:szCs w:val="20"/>
        </w:rPr>
        <w:t xml:space="preserve">, </w:t>
      </w:r>
      <w:r w:rsidRPr="00ED7E91">
        <w:rPr>
          <w:rFonts w:asciiTheme="majorHAnsi" w:hAnsiTheme="majorHAnsi"/>
          <w:b/>
          <w:sz w:val="20"/>
          <w:szCs w:val="20"/>
        </w:rPr>
        <w:t>AGOTAMIENTO DE LOS RECURSOS INTERNOS Y PLAZO DE PRESENTACIÓN</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3677"/>
        <w:gridCol w:w="5678"/>
      </w:tblGrid>
      <w:tr w:rsidR="00ED7E91" w:rsidRPr="00ED7E91" w14:paraId="1231C988" w14:textId="77777777" w:rsidTr="00C803DC">
        <w:trPr>
          <w:cantSplit/>
        </w:trPr>
        <w:tc>
          <w:tcPr>
            <w:tcW w:w="3677" w:type="dxa"/>
            <w:tcBorders>
              <w:top w:val="single" w:sz="4" w:space="0" w:color="auto"/>
              <w:bottom w:val="single" w:sz="6" w:space="0" w:color="auto"/>
            </w:tcBorders>
            <w:shd w:val="clear" w:color="auto" w:fill="4A7194"/>
            <w:vAlign w:val="center"/>
          </w:tcPr>
          <w:p w14:paraId="6F8031F4" w14:textId="77777777" w:rsidR="00EE00E9" w:rsidRPr="00C8771D" w:rsidRDefault="00EE00E9"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Duplicación de procedimientos y cosa juzgada internacional:</w:t>
            </w:r>
          </w:p>
        </w:tc>
        <w:tc>
          <w:tcPr>
            <w:tcW w:w="5678" w:type="dxa"/>
            <w:vAlign w:val="center"/>
          </w:tcPr>
          <w:p w14:paraId="240941E6" w14:textId="375DE37F" w:rsidR="00EE00E9" w:rsidRPr="00ED7E91" w:rsidRDefault="00F74BE6" w:rsidP="00AD72FB">
            <w:pPr>
              <w:jc w:val="both"/>
              <w:rPr>
                <w:rFonts w:ascii="Cambria" w:hAnsi="Cambria"/>
                <w:bCs/>
                <w:sz w:val="20"/>
                <w:szCs w:val="20"/>
              </w:rPr>
            </w:pPr>
            <w:r w:rsidRPr="00ED7E91">
              <w:rPr>
                <w:rFonts w:ascii="Cambria" w:hAnsi="Cambria"/>
                <w:bCs/>
                <w:sz w:val="20"/>
                <w:szCs w:val="20"/>
              </w:rPr>
              <w:t>No</w:t>
            </w:r>
            <w:r w:rsidR="007E7276" w:rsidRPr="00ED7E91">
              <w:rPr>
                <w:rFonts w:ascii="Cambria" w:hAnsi="Cambria"/>
                <w:bCs/>
                <w:sz w:val="20"/>
                <w:szCs w:val="20"/>
              </w:rPr>
              <w:t>, en los términos de la sección VI</w:t>
            </w:r>
          </w:p>
        </w:tc>
      </w:tr>
      <w:tr w:rsidR="00ED7E91" w:rsidRPr="00ED7E91" w14:paraId="15FAA7D1" w14:textId="77777777" w:rsidTr="00C803DC">
        <w:trPr>
          <w:cantSplit/>
        </w:trPr>
        <w:tc>
          <w:tcPr>
            <w:tcW w:w="3677" w:type="dxa"/>
            <w:tcBorders>
              <w:top w:val="single" w:sz="4" w:space="0" w:color="auto"/>
              <w:bottom w:val="single" w:sz="6" w:space="0" w:color="auto"/>
            </w:tcBorders>
            <w:shd w:val="clear" w:color="auto" w:fill="4A7194"/>
            <w:vAlign w:val="center"/>
          </w:tcPr>
          <w:p w14:paraId="1B0D29FF" w14:textId="77777777" w:rsidR="003239B8" w:rsidRPr="00C8771D" w:rsidRDefault="003239B8" w:rsidP="00AD72FB">
            <w:pPr>
              <w:jc w:val="center"/>
              <w:rPr>
                <w:rFonts w:ascii="Cambria" w:hAnsi="Cambria"/>
                <w:b/>
                <w:bCs/>
                <w:i/>
                <w:color w:val="FFFFFF" w:themeColor="background1"/>
                <w:sz w:val="20"/>
                <w:szCs w:val="20"/>
              </w:rPr>
            </w:pPr>
            <w:r w:rsidRPr="00C8771D">
              <w:rPr>
                <w:rFonts w:ascii="Cambria" w:hAnsi="Cambria"/>
                <w:b/>
                <w:bCs/>
                <w:color w:val="FFFFFF" w:themeColor="background1"/>
                <w:sz w:val="20"/>
                <w:szCs w:val="20"/>
              </w:rPr>
              <w:t>Derechos declarados admisibles</w:t>
            </w:r>
            <w:r w:rsidRPr="00C8771D">
              <w:rPr>
                <w:rFonts w:ascii="Cambria" w:hAnsi="Cambria"/>
                <w:b/>
                <w:bCs/>
                <w:i/>
                <w:color w:val="FFFFFF" w:themeColor="background1"/>
                <w:sz w:val="20"/>
                <w:szCs w:val="20"/>
              </w:rPr>
              <w:t>:</w:t>
            </w:r>
          </w:p>
        </w:tc>
        <w:tc>
          <w:tcPr>
            <w:tcW w:w="5678" w:type="dxa"/>
            <w:vAlign w:val="center"/>
          </w:tcPr>
          <w:p w14:paraId="6310C8F7" w14:textId="4C5943E1" w:rsidR="003239B8" w:rsidRPr="00ED7E91" w:rsidRDefault="00540F22" w:rsidP="00822EC2">
            <w:pPr>
              <w:jc w:val="both"/>
              <w:rPr>
                <w:rFonts w:ascii="Cambria" w:hAnsi="Cambria"/>
                <w:bCs/>
                <w:sz w:val="20"/>
                <w:szCs w:val="20"/>
              </w:rPr>
            </w:pPr>
            <w:r w:rsidRPr="00ED7E91">
              <w:rPr>
                <w:rFonts w:ascii="Cambria" w:hAnsi="Cambria"/>
                <w:bCs/>
                <w:sz w:val="20"/>
                <w:szCs w:val="20"/>
                <w:lang w:val="es-CO"/>
              </w:rPr>
              <w:t>Artículos 7 (libertad personal), 8 (garantías judiciales) y 25 (protección judicial) de la Convención</w:t>
            </w:r>
            <w:r w:rsidR="00082443" w:rsidRPr="00ED7E91">
              <w:rPr>
                <w:rFonts w:ascii="Cambria" w:hAnsi="Cambria"/>
                <w:bCs/>
                <w:sz w:val="20"/>
                <w:szCs w:val="20"/>
                <w:lang w:val="es-CO"/>
              </w:rPr>
              <w:t xml:space="preserve"> Americana en concordancia con </w:t>
            </w:r>
            <w:r w:rsidR="00822EC2" w:rsidRPr="00ED7E91">
              <w:rPr>
                <w:rFonts w:ascii="Cambria" w:hAnsi="Cambria"/>
                <w:bCs/>
                <w:sz w:val="20"/>
                <w:szCs w:val="20"/>
                <w:lang w:val="es-CO"/>
              </w:rPr>
              <w:t xml:space="preserve">sus </w:t>
            </w:r>
            <w:r w:rsidR="00082443" w:rsidRPr="00ED7E91">
              <w:rPr>
                <w:rFonts w:ascii="Cambria" w:hAnsi="Cambria"/>
                <w:bCs/>
                <w:sz w:val="20"/>
                <w:szCs w:val="20"/>
                <w:lang w:val="es-CO"/>
              </w:rPr>
              <w:t>artículo</w:t>
            </w:r>
            <w:r w:rsidR="00822EC2" w:rsidRPr="00ED7E91">
              <w:rPr>
                <w:rFonts w:ascii="Cambria" w:hAnsi="Cambria"/>
                <w:bCs/>
                <w:sz w:val="20"/>
                <w:szCs w:val="20"/>
                <w:lang w:val="es-CO"/>
              </w:rPr>
              <w:t>s</w:t>
            </w:r>
            <w:r w:rsidR="00082443" w:rsidRPr="00ED7E91">
              <w:rPr>
                <w:rFonts w:ascii="Cambria" w:hAnsi="Cambria"/>
                <w:bCs/>
                <w:sz w:val="20"/>
                <w:szCs w:val="20"/>
                <w:lang w:val="es-CO"/>
              </w:rPr>
              <w:t xml:space="preserve"> 1.1</w:t>
            </w:r>
            <w:r w:rsidR="00822EC2" w:rsidRPr="00ED7E91">
              <w:rPr>
                <w:rFonts w:ascii="Cambria" w:hAnsi="Cambria"/>
                <w:bCs/>
                <w:sz w:val="20"/>
                <w:szCs w:val="20"/>
                <w:lang w:val="es-CO"/>
              </w:rPr>
              <w:t xml:space="preserve"> y 2</w:t>
            </w:r>
          </w:p>
        </w:tc>
      </w:tr>
      <w:tr w:rsidR="00ED7E91" w:rsidRPr="00ED7E91" w14:paraId="4EFD141E" w14:textId="77777777" w:rsidTr="00C803DC">
        <w:trPr>
          <w:cantSplit/>
        </w:trPr>
        <w:tc>
          <w:tcPr>
            <w:tcW w:w="3677" w:type="dxa"/>
            <w:tcBorders>
              <w:top w:val="single" w:sz="6" w:space="0" w:color="auto"/>
              <w:bottom w:val="single" w:sz="6" w:space="0" w:color="auto"/>
            </w:tcBorders>
            <w:shd w:val="clear" w:color="auto" w:fill="4A7194"/>
            <w:vAlign w:val="center"/>
          </w:tcPr>
          <w:p w14:paraId="4C04A89C" w14:textId="77777777" w:rsidR="00540F22" w:rsidRPr="00C8771D" w:rsidRDefault="00540F22"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Agotamiento de recursos internos o procedencia de una excepción:</w:t>
            </w:r>
          </w:p>
        </w:tc>
        <w:tc>
          <w:tcPr>
            <w:tcW w:w="5678" w:type="dxa"/>
            <w:vAlign w:val="center"/>
          </w:tcPr>
          <w:p w14:paraId="69C53E8A" w14:textId="185F2C04" w:rsidR="00540F22" w:rsidRPr="00ED7E91" w:rsidRDefault="00540F22" w:rsidP="00082443">
            <w:pPr>
              <w:rPr>
                <w:rFonts w:ascii="Cambria" w:hAnsi="Cambria"/>
                <w:bCs/>
                <w:sz w:val="20"/>
                <w:szCs w:val="20"/>
              </w:rPr>
            </w:pPr>
            <w:r w:rsidRPr="00ED7E91">
              <w:rPr>
                <w:rFonts w:ascii="Cambria" w:hAnsi="Cambria"/>
                <w:bCs/>
                <w:sz w:val="20"/>
                <w:szCs w:val="20"/>
              </w:rPr>
              <w:t xml:space="preserve">Sí, </w:t>
            </w:r>
            <w:r w:rsidR="00082443" w:rsidRPr="00ED7E91">
              <w:rPr>
                <w:rFonts w:ascii="Cambria" w:hAnsi="Cambria"/>
                <w:bCs/>
                <w:sz w:val="20"/>
                <w:szCs w:val="20"/>
              </w:rPr>
              <w:t>en los términos de la sección VII</w:t>
            </w:r>
          </w:p>
        </w:tc>
      </w:tr>
      <w:tr w:rsidR="00ED7E91" w:rsidRPr="00ED7E91" w14:paraId="52B5BA17" w14:textId="77777777" w:rsidTr="00C803DC">
        <w:trPr>
          <w:cantSplit/>
        </w:trPr>
        <w:tc>
          <w:tcPr>
            <w:tcW w:w="3677" w:type="dxa"/>
            <w:tcBorders>
              <w:top w:val="single" w:sz="6" w:space="0" w:color="auto"/>
              <w:bottom w:val="single" w:sz="6" w:space="0" w:color="auto"/>
            </w:tcBorders>
            <w:shd w:val="clear" w:color="auto" w:fill="4A7194"/>
            <w:vAlign w:val="center"/>
          </w:tcPr>
          <w:p w14:paraId="5DF99086" w14:textId="77777777" w:rsidR="00540F22" w:rsidRPr="00C8771D" w:rsidRDefault="00540F22" w:rsidP="00AD72FB">
            <w:pPr>
              <w:jc w:val="center"/>
              <w:rPr>
                <w:rFonts w:ascii="Cambria" w:hAnsi="Cambria"/>
                <w:b/>
                <w:bCs/>
                <w:color w:val="FFFFFF" w:themeColor="background1"/>
                <w:sz w:val="20"/>
                <w:szCs w:val="20"/>
              </w:rPr>
            </w:pPr>
            <w:r w:rsidRPr="00C8771D">
              <w:rPr>
                <w:rFonts w:ascii="Cambria" w:hAnsi="Cambria"/>
                <w:b/>
                <w:bCs/>
                <w:color w:val="FFFFFF" w:themeColor="background1"/>
                <w:sz w:val="20"/>
                <w:szCs w:val="20"/>
              </w:rPr>
              <w:t>Presentación dentro de plazo:</w:t>
            </w:r>
          </w:p>
        </w:tc>
        <w:tc>
          <w:tcPr>
            <w:tcW w:w="5678" w:type="dxa"/>
            <w:vAlign w:val="center"/>
          </w:tcPr>
          <w:p w14:paraId="4A2A4569" w14:textId="6FA0B38A" w:rsidR="00540F22" w:rsidRPr="00ED7E91" w:rsidRDefault="00540F22" w:rsidP="00AD72FB">
            <w:pPr>
              <w:rPr>
                <w:rFonts w:ascii="Cambria" w:hAnsi="Cambria"/>
                <w:bCs/>
                <w:sz w:val="20"/>
                <w:szCs w:val="20"/>
              </w:rPr>
            </w:pPr>
            <w:r w:rsidRPr="00ED7E91">
              <w:rPr>
                <w:rFonts w:ascii="Cambria" w:hAnsi="Cambria"/>
                <w:bCs/>
                <w:sz w:val="20"/>
                <w:szCs w:val="20"/>
              </w:rPr>
              <w:t>Sí, en los términos de la sección VI</w:t>
            </w:r>
            <w:r w:rsidR="00082443" w:rsidRPr="00ED7E91">
              <w:rPr>
                <w:rFonts w:ascii="Cambria" w:hAnsi="Cambria"/>
                <w:bCs/>
                <w:sz w:val="20"/>
                <w:szCs w:val="20"/>
              </w:rPr>
              <w:t>I</w:t>
            </w:r>
          </w:p>
        </w:tc>
      </w:tr>
    </w:tbl>
    <w:p w14:paraId="18E6423B" w14:textId="77777777" w:rsidR="003239B8" w:rsidRPr="00ED7E91" w:rsidRDefault="00223A29" w:rsidP="003239B8">
      <w:pPr>
        <w:spacing w:before="240" w:after="240"/>
        <w:ind w:firstLine="720"/>
        <w:jc w:val="both"/>
        <w:rPr>
          <w:rFonts w:asciiTheme="majorHAnsi" w:hAnsiTheme="majorHAnsi"/>
          <w:b/>
          <w:sz w:val="20"/>
          <w:szCs w:val="20"/>
          <w:lang w:val="es-UY"/>
        </w:rPr>
      </w:pPr>
      <w:r w:rsidRPr="00ED7E91">
        <w:rPr>
          <w:rFonts w:asciiTheme="majorHAnsi" w:hAnsiTheme="majorHAnsi"/>
          <w:b/>
          <w:sz w:val="20"/>
          <w:szCs w:val="20"/>
          <w:lang w:val="es-UY"/>
        </w:rPr>
        <w:t xml:space="preserve">V. </w:t>
      </w:r>
      <w:r w:rsidRPr="00ED7E91">
        <w:rPr>
          <w:rFonts w:asciiTheme="majorHAnsi" w:hAnsiTheme="majorHAnsi"/>
          <w:b/>
          <w:sz w:val="20"/>
          <w:szCs w:val="20"/>
          <w:lang w:val="es-UY"/>
        </w:rPr>
        <w:tab/>
      </w:r>
      <w:r w:rsidR="003239B8" w:rsidRPr="00ED7E91">
        <w:rPr>
          <w:rFonts w:asciiTheme="majorHAnsi" w:hAnsiTheme="majorHAnsi"/>
          <w:b/>
          <w:sz w:val="20"/>
          <w:szCs w:val="20"/>
          <w:lang w:val="es-UY"/>
        </w:rPr>
        <w:t xml:space="preserve">HECHOS ALEGADOS </w:t>
      </w:r>
    </w:p>
    <w:p w14:paraId="54878D86" w14:textId="7669EF4C" w:rsidR="00A11E44" w:rsidRPr="00ED7E91" w:rsidRDefault="00F66675" w:rsidP="003B7F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El señor Ángel de la Cruz Soto (en adelante “la presunta víctima”</w:t>
      </w:r>
      <w:r w:rsidR="008F0E21" w:rsidRPr="00ED7E91">
        <w:rPr>
          <w:rFonts w:ascii="Cambria" w:hAnsi="Cambria"/>
          <w:sz w:val="20"/>
          <w:szCs w:val="20"/>
        </w:rPr>
        <w:t xml:space="preserve"> o “el peticionario”</w:t>
      </w:r>
      <w:r w:rsidR="009214C7" w:rsidRPr="00ED7E91">
        <w:rPr>
          <w:rFonts w:ascii="Cambria" w:hAnsi="Cambria"/>
          <w:sz w:val="20"/>
          <w:szCs w:val="20"/>
        </w:rPr>
        <w:t xml:space="preserve">) denuncia al Estado de Panamá por </w:t>
      </w:r>
      <w:r w:rsidR="00FF7301" w:rsidRPr="00ED7E91">
        <w:rPr>
          <w:rFonts w:ascii="Cambria" w:hAnsi="Cambria"/>
          <w:sz w:val="20"/>
          <w:szCs w:val="20"/>
        </w:rPr>
        <w:t>violaciones a</w:t>
      </w:r>
      <w:r w:rsidR="00B557AE" w:rsidRPr="00ED7E91">
        <w:rPr>
          <w:rFonts w:ascii="Cambria" w:hAnsi="Cambria"/>
          <w:sz w:val="20"/>
          <w:szCs w:val="20"/>
        </w:rPr>
        <w:t xml:space="preserve"> su libertad personal</w:t>
      </w:r>
      <w:r w:rsidR="00416B70" w:rsidRPr="00ED7E91">
        <w:rPr>
          <w:rFonts w:ascii="Cambria" w:hAnsi="Cambria"/>
          <w:sz w:val="20"/>
          <w:szCs w:val="20"/>
        </w:rPr>
        <w:t xml:space="preserve">, al debido proceso y a la protección judicial </w:t>
      </w:r>
      <w:r w:rsidR="00B557AE" w:rsidRPr="00ED7E91">
        <w:rPr>
          <w:rFonts w:ascii="Cambria" w:hAnsi="Cambria"/>
          <w:sz w:val="20"/>
          <w:szCs w:val="20"/>
        </w:rPr>
        <w:t xml:space="preserve">en función de </w:t>
      </w:r>
      <w:r w:rsidR="0082634A" w:rsidRPr="00ED7E91">
        <w:rPr>
          <w:rFonts w:ascii="Cambria" w:hAnsi="Cambria"/>
          <w:sz w:val="20"/>
          <w:szCs w:val="20"/>
        </w:rPr>
        <w:t>que fue</w:t>
      </w:r>
      <w:r w:rsidR="00416B70" w:rsidRPr="00ED7E91">
        <w:rPr>
          <w:rFonts w:ascii="Cambria" w:hAnsi="Cambria"/>
          <w:sz w:val="20"/>
          <w:szCs w:val="20"/>
        </w:rPr>
        <w:t xml:space="preserve"> detenido preventivamente</w:t>
      </w:r>
      <w:r w:rsidR="0082634A" w:rsidRPr="00ED7E91">
        <w:rPr>
          <w:rFonts w:ascii="Cambria" w:hAnsi="Cambria"/>
          <w:sz w:val="20"/>
          <w:szCs w:val="20"/>
        </w:rPr>
        <w:t xml:space="preserve"> por un periodo que excedió el máximo permitido por la ley doméstica y la pena máxima del delito por el cual originalmente se le acusaba</w:t>
      </w:r>
      <w:r w:rsidR="00416B70" w:rsidRPr="00ED7E91">
        <w:rPr>
          <w:rFonts w:ascii="Cambria" w:hAnsi="Cambria"/>
          <w:sz w:val="20"/>
          <w:szCs w:val="20"/>
        </w:rPr>
        <w:t xml:space="preserve">, de </w:t>
      </w:r>
      <w:r w:rsidR="0082634A" w:rsidRPr="00ED7E91">
        <w:rPr>
          <w:rFonts w:ascii="Cambria" w:hAnsi="Cambria"/>
          <w:sz w:val="20"/>
          <w:szCs w:val="20"/>
        </w:rPr>
        <w:t>que se violó</w:t>
      </w:r>
      <w:r w:rsidR="00416B70" w:rsidRPr="00ED7E91">
        <w:rPr>
          <w:rFonts w:ascii="Cambria" w:hAnsi="Cambria"/>
          <w:sz w:val="20"/>
          <w:szCs w:val="20"/>
        </w:rPr>
        <w:t xml:space="preserve"> </w:t>
      </w:r>
      <w:r w:rsidR="0082634A" w:rsidRPr="00ED7E91">
        <w:rPr>
          <w:rFonts w:ascii="Cambria" w:hAnsi="Cambria"/>
          <w:sz w:val="20"/>
          <w:szCs w:val="20"/>
        </w:rPr>
        <w:t>su</w:t>
      </w:r>
      <w:r w:rsidR="000058B8" w:rsidRPr="00ED7E91">
        <w:rPr>
          <w:rFonts w:ascii="Cambria" w:hAnsi="Cambria"/>
          <w:sz w:val="20"/>
          <w:szCs w:val="20"/>
        </w:rPr>
        <w:t xml:space="preserve"> presunción de inocencia y</w:t>
      </w:r>
      <w:r w:rsidR="0082634A" w:rsidRPr="00ED7E91">
        <w:rPr>
          <w:rFonts w:ascii="Cambria" w:hAnsi="Cambria"/>
          <w:sz w:val="20"/>
          <w:szCs w:val="20"/>
        </w:rPr>
        <w:t xml:space="preserve"> </w:t>
      </w:r>
      <w:r w:rsidR="00416B70" w:rsidRPr="00ED7E91">
        <w:rPr>
          <w:rFonts w:ascii="Cambria" w:hAnsi="Cambria"/>
          <w:sz w:val="20"/>
          <w:szCs w:val="20"/>
        </w:rPr>
        <w:t>de</w:t>
      </w:r>
      <w:r w:rsidR="0082634A" w:rsidRPr="00ED7E91">
        <w:rPr>
          <w:rFonts w:ascii="Cambria" w:hAnsi="Cambria"/>
          <w:sz w:val="20"/>
          <w:szCs w:val="20"/>
        </w:rPr>
        <w:t xml:space="preserve"> que</w:t>
      </w:r>
      <w:r w:rsidR="00B557AE" w:rsidRPr="00ED7E91">
        <w:rPr>
          <w:rFonts w:ascii="Cambria" w:hAnsi="Cambria"/>
          <w:sz w:val="20"/>
          <w:szCs w:val="20"/>
        </w:rPr>
        <w:t xml:space="preserve"> </w:t>
      </w:r>
      <w:r w:rsidR="00CA7772" w:rsidRPr="00ED7E91">
        <w:rPr>
          <w:rFonts w:ascii="Cambria" w:hAnsi="Cambria"/>
          <w:sz w:val="20"/>
          <w:szCs w:val="20"/>
        </w:rPr>
        <w:t xml:space="preserve">no </w:t>
      </w:r>
      <w:r w:rsidR="0082634A" w:rsidRPr="00ED7E91">
        <w:rPr>
          <w:rFonts w:ascii="Cambria" w:hAnsi="Cambria"/>
          <w:sz w:val="20"/>
          <w:szCs w:val="20"/>
        </w:rPr>
        <w:t>fue</w:t>
      </w:r>
      <w:r w:rsidR="00CA7772" w:rsidRPr="00ED7E91">
        <w:rPr>
          <w:rFonts w:ascii="Cambria" w:hAnsi="Cambria"/>
          <w:sz w:val="20"/>
          <w:szCs w:val="20"/>
        </w:rPr>
        <w:t xml:space="preserve"> juzgado en un plazo razonable. </w:t>
      </w:r>
    </w:p>
    <w:p w14:paraId="1234C64C" w14:textId="2B925330" w:rsidR="003E4B27" w:rsidRPr="00ED7E91" w:rsidRDefault="0043514F" w:rsidP="003E4B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lastRenderedPageBreak/>
        <w:t xml:space="preserve">Según la presunta víctima, </w:t>
      </w:r>
      <w:r w:rsidR="00EA4421" w:rsidRPr="00ED7E91">
        <w:rPr>
          <w:rFonts w:ascii="Cambria" w:hAnsi="Cambria"/>
          <w:sz w:val="20"/>
          <w:szCs w:val="20"/>
        </w:rPr>
        <w:t xml:space="preserve">en </w:t>
      </w:r>
      <w:r w:rsidR="003C0E8D" w:rsidRPr="00ED7E91">
        <w:rPr>
          <w:rFonts w:ascii="Cambria" w:hAnsi="Cambria"/>
          <w:sz w:val="20"/>
          <w:szCs w:val="20"/>
        </w:rPr>
        <w:t>2003</w:t>
      </w:r>
      <w:r w:rsidR="00EA4421" w:rsidRPr="00ED7E91">
        <w:rPr>
          <w:rFonts w:ascii="Cambria" w:hAnsi="Cambria"/>
          <w:sz w:val="20"/>
          <w:szCs w:val="20"/>
        </w:rPr>
        <w:t xml:space="preserve"> </w:t>
      </w:r>
      <w:r w:rsidR="009214C7" w:rsidRPr="00ED7E91">
        <w:rPr>
          <w:rFonts w:ascii="Cambria" w:hAnsi="Cambria"/>
          <w:sz w:val="20"/>
          <w:szCs w:val="20"/>
        </w:rPr>
        <w:t xml:space="preserve">el Grupo Comercial </w:t>
      </w:r>
      <w:proofErr w:type="spellStart"/>
      <w:r w:rsidR="009214C7" w:rsidRPr="00ED7E91">
        <w:rPr>
          <w:rFonts w:ascii="Cambria" w:hAnsi="Cambria"/>
          <w:sz w:val="20"/>
          <w:szCs w:val="20"/>
        </w:rPr>
        <w:t>Medicom</w:t>
      </w:r>
      <w:proofErr w:type="spellEnd"/>
      <w:r w:rsidR="009214C7" w:rsidRPr="00ED7E91">
        <w:rPr>
          <w:rFonts w:ascii="Cambria" w:hAnsi="Cambria"/>
          <w:sz w:val="20"/>
          <w:szCs w:val="20"/>
        </w:rPr>
        <w:t xml:space="preserve">, </w:t>
      </w:r>
      <w:r w:rsidR="00416B70" w:rsidRPr="00ED7E91">
        <w:rPr>
          <w:rFonts w:ascii="Cambria" w:hAnsi="Cambria"/>
          <w:sz w:val="20"/>
          <w:szCs w:val="20"/>
        </w:rPr>
        <w:t xml:space="preserve">una empresa </w:t>
      </w:r>
      <w:r w:rsidRPr="00ED7E91">
        <w:rPr>
          <w:rFonts w:ascii="Cambria" w:hAnsi="Cambria"/>
          <w:sz w:val="20"/>
          <w:szCs w:val="20"/>
        </w:rPr>
        <w:t>de</w:t>
      </w:r>
      <w:r w:rsidR="00416B70" w:rsidRPr="00ED7E91">
        <w:rPr>
          <w:rFonts w:ascii="Cambria" w:hAnsi="Cambria"/>
          <w:sz w:val="20"/>
          <w:szCs w:val="20"/>
        </w:rPr>
        <w:t xml:space="preserve"> </w:t>
      </w:r>
      <w:r w:rsidRPr="00ED7E91">
        <w:rPr>
          <w:rFonts w:ascii="Cambria" w:hAnsi="Cambria"/>
          <w:sz w:val="20"/>
          <w:szCs w:val="20"/>
        </w:rPr>
        <w:t>su propiedad</w:t>
      </w:r>
      <w:r w:rsidR="00EA4421" w:rsidRPr="00ED7E91">
        <w:rPr>
          <w:rFonts w:ascii="Cambria" w:hAnsi="Cambria"/>
          <w:sz w:val="20"/>
          <w:szCs w:val="20"/>
        </w:rPr>
        <w:t xml:space="preserve"> </w:t>
      </w:r>
      <w:r w:rsidRPr="00ED7E91">
        <w:rPr>
          <w:rFonts w:ascii="Cambria" w:hAnsi="Cambria"/>
          <w:sz w:val="20"/>
          <w:szCs w:val="20"/>
        </w:rPr>
        <w:t>que</w:t>
      </w:r>
      <w:r w:rsidR="00EA4421" w:rsidRPr="00ED7E91">
        <w:rPr>
          <w:rFonts w:ascii="Cambria" w:hAnsi="Cambria"/>
          <w:sz w:val="20"/>
          <w:szCs w:val="20"/>
        </w:rPr>
        <w:t xml:space="preserve"> </w:t>
      </w:r>
      <w:r w:rsidR="00416B70" w:rsidRPr="00ED7E91">
        <w:rPr>
          <w:rFonts w:ascii="Cambria" w:hAnsi="Cambria"/>
          <w:sz w:val="20"/>
          <w:szCs w:val="20"/>
        </w:rPr>
        <w:t xml:space="preserve">se dedicaba </w:t>
      </w:r>
      <w:r w:rsidR="00313C2D" w:rsidRPr="00ED7E91">
        <w:rPr>
          <w:rFonts w:ascii="Cambria" w:hAnsi="Cambria"/>
          <w:sz w:val="20"/>
          <w:szCs w:val="20"/>
        </w:rPr>
        <w:t xml:space="preserve">a la importación y </w:t>
      </w:r>
      <w:r w:rsidR="00E64071" w:rsidRPr="00ED7E91">
        <w:rPr>
          <w:rFonts w:ascii="Cambria" w:hAnsi="Cambria"/>
          <w:sz w:val="20"/>
          <w:szCs w:val="20"/>
        </w:rPr>
        <w:t>distribución</w:t>
      </w:r>
      <w:r w:rsidR="00313C2D" w:rsidRPr="00ED7E91">
        <w:rPr>
          <w:rFonts w:ascii="Cambria" w:hAnsi="Cambria"/>
          <w:sz w:val="20"/>
          <w:szCs w:val="20"/>
        </w:rPr>
        <w:t xml:space="preserve"> de materias primas para la elaboración de </w:t>
      </w:r>
      <w:proofErr w:type="gramStart"/>
      <w:r w:rsidR="00313C2D" w:rsidRPr="00ED7E91">
        <w:rPr>
          <w:rFonts w:ascii="Cambria" w:hAnsi="Cambria"/>
          <w:sz w:val="20"/>
          <w:szCs w:val="20"/>
        </w:rPr>
        <w:t>medicamentos</w:t>
      </w:r>
      <w:r w:rsidR="00EA4421" w:rsidRPr="00ED7E91">
        <w:rPr>
          <w:rFonts w:ascii="Cambria" w:hAnsi="Cambria"/>
          <w:sz w:val="20"/>
          <w:szCs w:val="20"/>
        </w:rPr>
        <w:t>,</w:t>
      </w:r>
      <w:proofErr w:type="gramEnd"/>
      <w:r w:rsidR="00EA4421" w:rsidRPr="00ED7E91">
        <w:rPr>
          <w:rFonts w:ascii="Cambria" w:hAnsi="Cambria"/>
          <w:sz w:val="20"/>
          <w:szCs w:val="20"/>
        </w:rPr>
        <w:t xml:space="preserve"> ganó una licitación para vender a la Caja de Seguro Social</w:t>
      </w:r>
      <w:r w:rsidR="00801282" w:rsidRPr="00ED7E91">
        <w:rPr>
          <w:rFonts w:ascii="Cambria" w:hAnsi="Cambria"/>
          <w:sz w:val="20"/>
          <w:szCs w:val="20"/>
        </w:rPr>
        <w:t xml:space="preserve"> (en adelante “la C</w:t>
      </w:r>
      <w:r w:rsidR="00DC7CC5" w:rsidRPr="00ED7E91">
        <w:rPr>
          <w:rFonts w:ascii="Cambria" w:hAnsi="Cambria"/>
          <w:sz w:val="20"/>
          <w:szCs w:val="20"/>
        </w:rPr>
        <w:t>SS</w:t>
      </w:r>
      <w:r w:rsidR="00801282" w:rsidRPr="00ED7E91">
        <w:rPr>
          <w:rFonts w:ascii="Cambria" w:hAnsi="Cambria"/>
          <w:sz w:val="20"/>
          <w:szCs w:val="20"/>
        </w:rPr>
        <w:t>”)</w:t>
      </w:r>
      <w:r w:rsidRPr="00ED7E91">
        <w:rPr>
          <w:rFonts w:ascii="Cambria" w:hAnsi="Cambria"/>
          <w:sz w:val="20"/>
          <w:szCs w:val="20"/>
        </w:rPr>
        <w:t xml:space="preserve"> </w:t>
      </w:r>
      <w:r w:rsidR="00E64071" w:rsidRPr="00ED7E91">
        <w:rPr>
          <w:rFonts w:ascii="Cambria" w:hAnsi="Cambria"/>
          <w:sz w:val="20"/>
          <w:szCs w:val="20"/>
        </w:rPr>
        <w:t xml:space="preserve">9000 galones </w:t>
      </w:r>
      <w:r w:rsidR="00BA5E2F" w:rsidRPr="00ED7E91">
        <w:rPr>
          <w:rFonts w:ascii="Cambria" w:hAnsi="Cambria"/>
          <w:sz w:val="20"/>
          <w:szCs w:val="20"/>
        </w:rPr>
        <w:t xml:space="preserve">de </w:t>
      </w:r>
      <w:r w:rsidR="00EA4421" w:rsidRPr="00ED7E91">
        <w:rPr>
          <w:rFonts w:ascii="Cambria" w:hAnsi="Cambria"/>
          <w:sz w:val="20"/>
          <w:szCs w:val="20"/>
        </w:rPr>
        <w:t xml:space="preserve">glicerina </w:t>
      </w:r>
      <w:r w:rsidR="00E64071" w:rsidRPr="00ED7E91">
        <w:rPr>
          <w:rFonts w:ascii="Cambria" w:hAnsi="Cambria"/>
          <w:sz w:val="20"/>
          <w:szCs w:val="20"/>
        </w:rPr>
        <w:t xml:space="preserve">de consumo para la elaboración de medicamentos. </w:t>
      </w:r>
      <w:r w:rsidR="00EA4421" w:rsidRPr="00ED7E91">
        <w:rPr>
          <w:rFonts w:ascii="Cambria" w:hAnsi="Cambria"/>
          <w:sz w:val="20"/>
          <w:szCs w:val="20"/>
        </w:rPr>
        <w:t>La presunta víctima</w:t>
      </w:r>
      <w:r w:rsidR="00E64071" w:rsidRPr="00ED7E91">
        <w:rPr>
          <w:rFonts w:ascii="Cambria" w:hAnsi="Cambria"/>
          <w:sz w:val="20"/>
          <w:szCs w:val="20"/>
        </w:rPr>
        <w:t xml:space="preserve"> </w:t>
      </w:r>
      <w:r w:rsidRPr="00ED7E91">
        <w:rPr>
          <w:rFonts w:ascii="Cambria" w:hAnsi="Cambria"/>
          <w:sz w:val="20"/>
          <w:szCs w:val="20"/>
        </w:rPr>
        <w:t>alega haber solicitado la materia prima a la</w:t>
      </w:r>
      <w:r w:rsidR="009209F6" w:rsidRPr="00ED7E91">
        <w:rPr>
          <w:rFonts w:ascii="Cambria" w:hAnsi="Cambria"/>
          <w:sz w:val="20"/>
          <w:szCs w:val="20"/>
        </w:rPr>
        <w:t xml:space="preserve"> compañía </w:t>
      </w:r>
      <w:proofErr w:type="spellStart"/>
      <w:r w:rsidR="009209F6" w:rsidRPr="00ED7E91">
        <w:rPr>
          <w:rFonts w:ascii="Cambria" w:hAnsi="Cambria"/>
          <w:sz w:val="20"/>
          <w:szCs w:val="20"/>
        </w:rPr>
        <w:t>Rasfer</w:t>
      </w:r>
      <w:proofErr w:type="spellEnd"/>
      <w:r w:rsidR="009209F6" w:rsidRPr="00ED7E91">
        <w:rPr>
          <w:rFonts w:ascii="Cambria" w:hAnsi="Cambria"/>
          <w:sz w:val="20"/>
          <w:szCs w:val="20"/>
        </w:rPr>
        <w:t xml:space="preserve"> Internacional, con sede en España, que a su vez compró </w:t>
      </w:r>
      <w:r w:rsidRPr="00ED7E91">
        <w:rPr>
          <w:rFonts w:ascii="Cambria" w:hAnsi="Cambria"/>
          <w:sz w:val="20"/>
          <w:szCs w:val="20"/>
        </w:rPr>
        <w:t>el producto de una empresa en China</w:t>
      </w:r>
      <w:r w:rsidR="009209F6" w:rsidRPr="00ED7E91">
        <w:rPr>
          <w:rFonts w:ascii="Cambria" w:hAnsi="Cambria"/>
          <w:sz w:val="20"/>
          <w:szCs w:val="20"/>
        </w:rPr>
        <w:t xml:space="preserve">. </w:t>
      </w:r>
      <w:r w:rsidRPr="00ED7E91">
        <w:rPr>
          <w:rFonts w:ascii="Cambria" w:hAnsi="Cambria"/>
          <w:sz w:val="20"/>
          <w:szCs w:val="20"/>
        </w:rPr>
        <w:t xml:space="preserve">Afirma que él recibió el producto en Panamá </w:t>
      </w:r>
      <w:r w:rsidR="00134CC5" w:rsidRPr="00ED7E91">
        <w:rPr>
          <w:rFonts w:ascii="Cambria" w:hAnsi="Cambria"/>
          <w:sz w:val="20"/>
          <w:szCs w:val="20"/>
        </w:rPr>
        <w:t xml:space="preserve">con un certificado de </w:t>
      </w:r>
      <w:r w:rsidR="003E4B27" w:rsidRPr="00ED7E91">
        <w:rPr>
          <w:rFonts w:ascii="Cambria" w:hAnsi="Cambria"/>
          <w:sz w:val="20"/>
          <w:szCs w:val="20"/>
        </w:rPr>
        <w:t xml:space="preserve">análisis </w:t>
      </w:r>
      <w:r w:rsidR="00134CC5" w:rsidRPr="00ED7E91">
        <w:rPr>
          <w:rFonts w:ascii="Cambria" w:hAnsi="Cambria"/>
          <w:sz w:val="20"/>
          <w:szCs w:val="20"/>
        </w:rPr>
        <w:t xml:space="preserve">de la compañía </w:t>
      </w:r>
      <w:proofErr w:type="spellStart"/>
      <w:r w:rsidR="00134CC5" w:rsidRPr="00ED7E91">
        <w:rPr>
          <w:rFonts w:ascii="Cambria" w:hAnsi="Cambria"/>
          <w:sz w:val="20"/>
          <w:szCs w:val="20"/>
        </w:rPr>
        <w:t>Rasfer</w:t>
      </w:r>
      <w:proofErr w:type="spellEnd"/>
      <w:r w:rsidR="00134CC5" w:rsidRPr="00ED7E91">
        <w:rPr>
          <w:rFonts w:ascii="Cambria" w:hAnsi="Cambria"/>
          <w:sz w:val="20"/>
          <w:szCs w:val="20"/>
        </w:rPr>
        <w:t xml:space="preserve"> Internacional </w:t>
      </w:r>
      <w:r w:rsidR="003E4B27" w:rsidRPr="00ED7E91">
        <w:rPr>
          <w:rFonts w:ascii="Cambria" w:hAnsi="Cambria"/>
          <w:sz w:val="20"/>
          <w:szCs w:val="20"/>
        </w:rPr>
        <w:t>que dejaba</w:t>
      </w:r>
      <w:r w:rsidR="00134CC5" w:rsidRPr="00ED7E91">
        <w:rPr>
          <w:rFonts w:ascii="Cambria" w:hAnsi="Cambria"/>
          <w:sz w:val="20"/>
          <w:szCs w:val="20"/>
        </w:rPr>
        <w:t xml:space="preserve"> constancia </w:t>
      </w:r>
      <w:r w:rsidR="00C203DD" w:rsidRPr="00ED7E91">
        <w:rPr>
          <w:rFonts w:ascii="Cambria" w:hAnsi="Cambria"/>
          <w:sz w:val="20"/>
          <w:szCs w:val="20"/>
        </w:rPr>
        <w:t xml:space="preserve">de </w:t>
      </w:r>
      <w:r w:rsidR="00134CC5" w:rsidRPr="00ED7E91">
        <w:rPr>
          <w:rFonts w:ascii="Cambria" w:hAnsi="Cambria"/>
          <w:sz w:val="20"/>
          <w:szCs w:val="20"/>
        </w:rPr>
        <w:t>que</w:t>
      </w:r>
      <w:r w:rsidR="00C203DD" w:rsidRPr="00ED7E91">
        <w:rPr>
          <w:rFonts w:ascii="Cambria" w:hAnsi="Cambria"/>
          <w:sz w:val="20"/>
          <w:szCs w:val="20"/>
        </w:rPr>
        <w:t xml:space="preserve"> los bidones y recipientes contenían</w:t>
      </w:r>
      <w:r w:rsidR="00134CC5" w:rsidRPr="00ED7E91">
        <w:rPr>
          <w:rFonts w:ascii="Cambria" w:hAnsi="Cambria"/>
          <w:sz w:val="20"/>
          <w:szCs w:val="20"/>
        </w:rPr>
        <w:t xml:space="preserve"> glicerina pura </w:t>
      </w:r>
      <w:r w:rsidR="00C203DD" w:rsidRPr="00ED7E91">
        <w:rPr>
          <w:rFonts w:ascii="Cambria" w:hAnsi="Cambria"/>
          <w:sz w:val="20"/>
          <w:szCs w:val="20"/>
        </w:rPr>
        <w:t xml:space="preserve">que </w:t>
      </w:r>
      <w:r w:rsidR="00134CC5" w:rsidRPr="00ED7E91">
        <w:rPr>
          <w:rFonts w:ascii="Cambria" w:hAnsi="Cambria"/>
          <w:sz w:val="20"/>
          <w:szCs w:val="20"/>
        </w:rPr>
        <w:t>era</w:t>
      </w:r>
      <w:r w:rsidR="00C203DD" w:rsidRPr="00ED7E91">
        <w:rPr>
          <w:rFonts w:ascii="Cambria" w:hAnsi="Cambria"/>
          <w:sz w:val="20"/>
          <w:szCs w:val="20"/>
        </w:rPr>
        <w:t xml:space="preserve"> apta</w:t>
      </w:r>
      <w:r w:rsidR="00134CC5" w:rsidRPr="00ED7E91">
        <w:rPr>
          <w:rFonts w:ascii="Cambria" w:hAnsi="Cambria"/>
          <w:sz w:val="20"/>
          <w:szCs w:val="20"/>
        </w:rPr>
        <w:t xml:space="preserve"> para</w:t>
      </w:r>
      <w:r w:rsidR="00C203DD" w:rsidRPr="00ED7E91">
        <w:rPr>
          <w:rFonts w:ascii="Cambria" w:hAnsi="Cambria"/>
          <w:sz w:val="20"/>
          <w:szCs w:val="20"/>
        </w:rPr>
        <w:t xml:space="preserve"> el</w:t>
      </w:r>
      <w:r w:rsidR="00134CC5" w:rsidRPr="00ED7E91">
        <w:rPr>
          <w:rFonts w:ascii="Cambria" w:hAnsi="Cambria"/>
          <w:sz w:val="20"/>
          <w:szCs w:val="20"/>
        </w:rPr>
        <w:t xml:space="preserve"> consumo humano</w:t>
      </w:r>
      <w:r w:rsidR="003E4B27" w:rsidRPr="00ED7E91">
        <w:rPr>
          <w:rFonts w:ascii="Cambria" w:hAnsi="Cambria"/>
          <w:sz w:val="20"/>
          <w:szCs w:val="20"/>
        </w:rPr>
        <w:t xml:space="preserve"> y</w:t>
      </w:r>
      <w:r w:rsidR="00134CC5" w:rsidRPr="00ED7E91">
        <w:rPr>
          <w:rFonts w:ascii="Cambria" w:hAnsi="Cambria"/>
          <w:sz w:val="20"/>
          <w:szCs w:val="20"/>
        </w:rPr>
        <w:t xml:space="preserve"> </w:t>
      </w:r>
      <w:r w:rsidR="003E4B27" w:rsidRPr="00ED7E91">
        <w:rPr>
          <w:rFonts w:ascii="Cambria" w:hAnsi="Cambria"/>
          <w:sz w:val="20"/>
          <w:szCs w:val="20"/>
        </w:rPr>
        <w:t xml:space="preserve">entregó dicho producto </w:t>
      </w:r>
      <w:r w:rsidR="00134CC5" w:rsidRPr="00ED7E91">
        <w:rPr>
          <w:rFonts w:ascii="Cambria" w:hAnsi="Cambria"/>
          <w:sz w:val="20"/>
          <w:szCs w:val="20"/>
        </w:rPr>
        <w:t>a la C</w:t>
      </w:r>
      <w:r w:rsidR="00DC7CC5" w:rsidRPr="00ED7E91">
        <w:rPr>
          <w:rFonts w:ascii="Cambria" w:hAnsi="Cambria"/>
          <w:sz w:val="20"/>
          <w:szCs w:val="20"/>
        </w:rPr>
        <w:t>SS</w:t>
      </w:r>
      <w:r w:rsidR="00C203DD" w:rsidRPr="00ED7E91">
        <w:rPr>
          <w:rFonts w:ascii="Cambria" w:hAnsi="Cambria"/>
          <w:sz w:val="20"/>
          <w:szCs w:val="20"/>
        </w:rPr>
        <w:t xml:space="preserve"> que, sin </w:t>
      </w:r>
      <w:r w:rsidR="003E4B27" w:rsidRPr="00ED7E91">
        <w:rPr>
          <w:rFonts w:ascii="Cambria" w:hAnsi="Cambria"/>
          <w:sz w:val="20"/>
          <w:szCs w:val="20"/>
        </w:rPr>
        <w:t>un</w:t>
      </w:r>
      <w:r w:rsidR="00134CC5" w:rsidRPr="00ED7E91">
        <w:rPr>
          <w:rFonts w:ascii="Cambria" w:hAnsi="Cambria"/>
          <w:sz w:val="20"/>
          <w:szCs w:val="20"/>
        </w:rPr>
        <w:t xml:space="preserve"> previo análisis y sin tomar medidas correspondientes</w:t>
      </w:r>
      <w:r w:rsidR="003E4B27" w:rsidRPr="00ED7E91">
        <w:rPr>
          <w:rFonts w:ascii="Cambria" w:hAnsi="Cambria"/>
          <w:sz w:val="20"/>
          <w:szCs w:val="20"/>
        </w:rPr>
        <w:t xml:space="preserve">, inició </w:t>
      </w:r>
      <w:r w:rsidR="00134CC5" w:rsidRPr="00ED7E91">
        <w:rPr>
          <w:rFonts w:ascii="Cambria" w:hAnsi="Cambria"/>
          <w:sz w:val="20"/>
          <w:szCs w:val="20"/>
        </w:rPr>
        <w:t>la fabricaci</w:t>
      </w:r>
      <w:r w:rsidR="00C27313" w:rsidRPr="00ED7E91">
        <w:rPr>
          <w:rFonts w:ascii="Cambria" w:hAnsi="Cambria"/>
          <w:sz w:val="20"/>
          <w:szCs w:val="20"/>
        </w:rPr>
        <w:t xml:space="preserve">ón de medicamentos </w:t>
      </w:r>
      <w:r w:rsidR="003E4B27" w:rsidRPr="00ED7E91">
        <w:rPr>
          <w:rFonts w:ascii="Cambria" w:hAnsi="Cambria"/>
          <w:sz w:val="20"/>
          <w:szCs w:val="20"/>
        </w:rPr>
        <w:t>con esta sustancia</w:t>
      </w:r>
      <w:r w:rsidR="00C27313" w:rsidRPr="00ED7E91">
        <w:rPr>
          <w:rFonts w:ascii="Cambria" w:hAnsi="Cambria"/>
          <w:sz w:val="20"/>
          <w:szCs w:val="20"/>
        </w:rPr>
        <w:t xml:space="preserve">. </w:t>
      </w:r>
    </w:p>
    <w:p w14:paraId="28FBE808" w14:textId="110F8ECD" w:rsidR="00CF7C20" w:rsidRPr="00ED7E91" w:rsidRDefault="00801282" w:rsidP="008F0E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Indica que años más tarde, en función de</w:t>
      </w:r>
      <w:r w:rsidR="00CF7C20" w:rsidRPr="00ED7E91">
        <w:rPr>
          <w:rFonts w:ascii="Cambria" w:hAnsi="Cambria"/>
          <w:sz w:val="20"/>
          <w:szCs w:val="20"/>
        </w:rPr>
        <w:t xml:space="preserve"> que</w:t>
      </w:r>
      <w:r w:rsidRPr="00ED7E91">
        <w:rPr>
          <w:rFonts w:ascii="Cambria" w:hAnsi="Cambria"/>
          <w:sz w:val="20"/>
          <w:szCs w:val="20"/>
        </w:rPr>
        <w:t xml:space="preserve"> una gran cantidad de personas </w:t>
      </w:r>
      <w:r w:rsidR="00C203DD" w:rsidRPr="00ED7E91">
        <w:rPr>
          <w:rFonts w:ascii="Cambria" w:hAnsi="Cambria"/>
          <w:sz w:val="20"/>
          <w:szCs w:val="20"/>
        </w:rPr>
        <w:t>empezó</w:t>
      </w:r>
      <w:r w:rsidRPr="00ED7E91">
        <w:rPr>
          <w:rFonts w:ascii="Cambria" w:hAnsi="Cambria"/>
          <w:sz w:val="20"/>
          <w:szCs w:val="20"/>
        </w:rPr>
        <w:t xml:space="preserve"> a sufrir afectaciones a su salud tras el consumo de medicamentos producidos por la C</w:t>
      </w:r>
      <w:r w:rsidR="00DC7CC5" w:rsidRPr="00ED7E91">
        <w:rPr>
          <w:rFonts w:ascii="Cambria" w:hAnsi="Cambria"/>
          <w:sz w:val="20"/>
          <w:szCs w:val="20"/>
        </w:rPr>
        <w:t>SS</w:t>
      </w:r>
      <w:r w:rsidRPr="00ED7E91">
        <w:rPr>
          <w:rFonts w:ascii="Cambria" w:hAnsi="Cambria"/>
          <w:sz w:val="20"/>
          <w:szCs w:val="20"/>
        </w:rPr>
        <w:t xml:space="preserve">, se realizó una investigación y se constató que el producto que la presunta víctima había entregado no era glicerina pura para el consumo humano, sino una sustancia tóxica conocida </w:t>
      </w:r>
      <w:r w:rsidR="00BA5E2F" w:rsidRPr="00ED7E91">
        <w:rPr>
          <w:rFonts w:ascii="Cambria" w:hAnsi="Cambria"/>
          <w:sz w:val="20"/>
          <w:szCs w:val="20"/>
        </w:rPr>
        <w:t xml:space="preserve">como </w:t>
      </w:r>
      <w:r w:rsidR="00F5027E" w:rsidRPr="00ED7E91">
        <w:rPr>
          <w:rFonts w:ascii="Cambria" w:hAnsi="Cambria"/>
          <w:sz w:val="20"/>
          <w:szCs w:val="20"/>
        </w:rPr>
        <w:t>d</w:t>
      </w:r>
      <w:r w:rsidR="00BA5E2F" w:rsidRPr="00ED7E91">
        <w:rPr>
          <w:rFonts w:ascii="Cambria" w:hAnsi="Cambria"/>
          <w:sz w:val="20"/>
          <w:szCs w:val="20"/>
        </w:rPr>
        <w:t>ietilenglicol</w:t>
      </w:r>
      <w:r w:rsidR="00F5027E" w:rsidRPr="00ED7E91">
        <w:rPr>
          <w:rFonts w:ascii="Cambria" w:hAnsi="Cambria"/>
          <w:sz w:val="20"/>
          <w:szCs w:val="20"/>
        </w:rPr>
        <w:t xml:space="preserve">. </w:t>
      </w:r>
      <w:r w:rsidR="00274D1D" w:rsidRPr="00ED7E91">
        <w:rPr>
          <w:rFonts w:ascii="Cambria" w:hAnsi="Cambria"/>
          <w:sz w:val="20"/>
          <w:szCs w:val="20"/>
        </w:rPr>
        <w:t xml:space="preserve">Según </w:t>
      </w:r>
      <w:r w:rsidR="008F0E21" w:rsidRPr="00ED7E91">
        <w:rPr>
          <w:rFonts w:ascii="Cambria" w:hAnsi="Cambria"/>
          <w:sz w:val="20"/>
          <w:szCs w:val="20"/>
        </w:rPr>
        <w:t>el peticionario</w:t>
      </w:r>
      <w:r w:rsidR="00274D1D" w:rsidRPr="00ED7E91">
        <w:rPr>
          <w:rFonts w:ascii="Cambria" w:hAnsi="Cambria"/>
          <w:sz w:val="20"/>
          <w:szCs w:val="20"/>
        </w:rPr>
        <w:t xml:space="preserve">, una gran cantidad de personas </w:t>
      </w:r>
      <w:r w:rsidR="000D1D91" w:rsidRPr="00ED7E91">
        <w:rPr>
          <w:rFonts w:ascii="Cambria" w:hAnsi="Cambria"/>
          <w:sz w:val="20"/>
          <w:szCs w:val="20"/>
        </w:rPr>
        <w:t>falleció</w:t>
      </w:r>
      <w:r w:rsidR="00274D1D" w:rsidRPr="00ED7E91">
        <w:rPr>
          <w:rFonts w:ascii="Cambria" w:hAnsi="Cambria"/>
          <w:sz w:val="20"/>
          <w:szCs w:val="20"/>
        </w:rPr>
        <w:t xml:space="preserve"> en función del consumo de los medicamentos y </w:t>
      </w:r>
      <w:r w:rsidRPr="00ED7E91">
        <w:rPr>
          <w:rFonts w:ascii="Cambria" w:hAnsi="Cambria"/>
          <w:sz w:val="20"/>
          <w:szCs w:val="20"/>
        </w:rPr>
        <w:t xml:space="preserve">en octubre de 2006 se inició una investigación para identificar penalmente a los responsables por el delito contra la salud pública. </w:t>
      </w:r>
      <w:r w:rsidR="00274D1D" w:rsidRPr="00ED7E91">
        <w:rPr>
          <w:rFonts w:ascii="Cambria" w:hAnsi="Cambria"/>
          <w:sz w:val="20"/>
          <w:szCs w:val="20"/>
        </w:rPr>
        <w:t>Afirma que había mucha presión por parte de los consumidores afectados y sus familiares para que se encontraran los responsables y</w:t>
      </w:r>
      <w:r w:rsidR="008F0E21" w:rsidRPr="00ED7E91">
        <w:rPr>
          <w:rFonts w:ascii="Cambria" w:hAnsi="Cambria"/>
          <w:sz w:val="20"/>
          <w:szCs w:val="20"/>
        </w:rPr>
        <w:t>,</w:t>
      </w:r>
      <w:r w:rsidR="00274D1D" w:rsidRPr="00ED7E91">
        <w:rPr>
          <w:rFonts w:ascii="Cambria" w:hAnsi="Cambria"/>
          <w:sz w:val="20"/>
          <w:szCs w:val="20"/>
        </w:rPr>
        <w:t xml:space="preserve"> en este contexto</w:t>
      </w:r>
      <w:r w:rsidR="008F0E21" w:rsidRPr="00ED7E91">
        <w:rPr>
          <w:rFonts w:ascii="Cambria" w:hAnsi="Cambria"/>
          <w:sz w:val="20"/>
          <w:szCs w:val="20"/>
        </w:rPr>
        <w:t>,</w:t>
      </w:r>
      <w:r w:rsidR="00274D1D" w:rsidRPr="00ED7E91">
        <w:rPr>
          <w:rFonts w:ascii="Cambria" w:hAnsi="Cambria"/>
          <w:sz w:val="20"/>
          <w:szCs w:val="20"/>
        </w:rPr>
        <w:t xml:space="preserve"> </w:t>
      </w:r>
      <w:r w:rsidR="008F0E21" w:rsidRPr="00ED7E91">
        <w:rPr>
          <w:rFonts w:ascii="Cambria" w:hAnsi="Cambria"/>
          <w:sz w:val="20"/>
          <w:szCs w:val="20"/>
        </w:rPr>
        <w:t>el 19 de octubre de 2006 se ordenó su prisión preventiva y e</w:t>
      </w:r>
      <w:r w:rsidR="00274D1D" w:rsidRPr="00ED7E91">
        <w:rPr>
          <w:rFonts w:ascii="Cambria" w:hAnsi="Cambria"/>
          <w:sz w:val="20"/>
          <w:szCs w:val="20"/>
        </w:rPr>
        <w:t>l 17 de noviembre de 2006</w:t>
      </w:r>
      <w:r w:rsidR="008F0E21" w:rsidRPr="00ED7E91">
        <w:rPr>
          <w:rFonts w:ascii="Cambria" w:hAnsi="Cambria"/>
          <w:sz w:val="20"/>
          <w:szCs w:val="20"/>
        </w:rPr>
        <w:t xml:space="preserve"> fue arrestado</w:t>
      </w:r>
      <w:r w:rsidR="00274D1D" w:rsidRPr="00ED7E91">
        <w:rPr>
          <w:rFonts w:ascii="Cambria" w:hAnsi="Cambria"/>
          <w:sz w:val="20"/>
          <w:szCs w:val="20"/>
        </w:rPr>
        <w:t xml:space="preserve">. </w:t>
      </w:r>
    </w:p>
    <w:p w14:paraId="7CEE2731" w14:textId="7FA9A041" w:rsidR="00C656FD" w:rsidRPr="00ED7E91" w:rsidRDefault="006D4877" w:rsidP="006D48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El peticionario afirma que las autoridades judiciales no impulsaron el proceso penal de una manera diligente y que esto resultó en la prolongación</w:t>
      </w:r>
      <w:r w:rsidR="000058B8" w:rsidRPr="00ED7E91">
        <w:rPr>
          <w:rFonts w:ascii="Cambria" w:hAnsi="Cambria"/>
          <w:sz w:val="20"/>
          <w:szCs w:val="20"/>
        </w:rPr>
        <w:t>, injustificada e ilegal, de</w:t>
      </w:r>
      <w:r w:rsidRPr="00ED7E91">
        <w:rPr>
          <w:rFonts w:ascii="Cambria" w:hAnsi="Cambria"/>
          <w:sz w:val="20"/>
          <w:szCs w:val="20"/>
        </w:rPr>
        <w:t xml:space="preserve"> su prisión preventiva. En ese sentido, afirma que no fue hasta el </w:t>
      </w:r>
      <w:r w:rsidR="00A00406" w:rsidRPr="00ED7E91">
        <w:rPr>
          <w:rFonts w:ascii="Cambria" w:hAnsi="Cambria"/>
          <w:sz w:val="20"/>
          <w:szCs w:val="20"/>
        </w:rPr>
        <w:t>21 de diciembre de 2010</w:t>
      </w:r>
      <w:r w:rsidRPr="00ED7E91">
        <w:rPr>
          <w:rFonts w:ascii="Cambria" w:hAnsi="Cambria"/>
          <w:sz w:val="20"/>
          <w:szCs w:val="20"/>
        </w:rPr>
        <w:t xml:space="preserve"> que</w:t>
      </w:r>
      <w:r w:rsidR="00A00406" w:rsidRPr="00ED7E91">
        <w:rPr>
          <w:rFonts w:ascii="Cambria" w:hAnsi="Cambria"/>
          <w:sz w:val="20"/>
          <w:szCs w:val="20"/>
        </w:rPr>
        <w:t xml:space="preserve"> la Procuraduría General de Panamá formuló cargos contra la presunta víctima y otras 22 personas, incluidos otros directivos de la compañía, aunque s</w:t>
      </w:r>
      <w:r w:rsidR="000D1D91" w:rsidRPr="00ED7E91">
        <w:rPr>
          <w:rFonts w:ascii="Cambria" w:hAnsi="Cambria"/>
          <w:sz w:val="20"/>
          <w:szCs w:val="20"/>
        </w:rPr>
        <w:t>ó</w:t>
      </w:r>
      <w:r w:rsidR="00A00406" w:rsidRPr="00ED7E91">
        <w:rPr>
          <w:rFonts w:ascii="Cambria" w:hAnsi="Cambria"/>
          <w:sz w:val="20"/>
          <w:szCs w:val="20"/>
        </w:rPr>
        <w:t xml:space="preserve">lo él fue mantenido en detención. </w:t>
      </w:r>
      <w:r w:rsidRPr="00ED7E91">
        <w:rPr>
          <w:rFonts w:ascii="Cambria" w:hAnsi="Cambria"/>
          <w:sz w:val="20"/>
          <w:szCs w:val="20"/>
        </w:rPr>
        <w:t>Agrega que</w:t>
      </w:r>
      <w:r w:rsidR="00C656FD" w:rsidRPr="00ED7E91">
        <w:rPr>
          <w:rFonts w:ascii="Cambria" w:hAnsi="Cambria"/>
          <w:sz w:val="20"/>
          <w:szCs w:val="20"/>
        </w:rPr>
        <w:t xml:space="preserve"> </w:t>
      </w:r>
      <w:r w:rsidRPr="00ED7E91">
        <w:rPr>
          <w:rFonts w:ascii="Cambria" w:hAnsi="Cambria"/>
          <w:sz w:val="20"/>
          <w:szCs w:val="20"/>
        </w:rPr>
        <w:t xml:space="preserve">el </w:t>
      </w:r>
      <w:r w:rsidR="0022141A" w:rsidRPr="00ED7E91">
        <w:rPr>
          <w:rFonts w:ascii="Cambria" w:hAnsi="Cambria"/>
          <w:sz w:val="20"/>
          <w:szCs w:val="20"/>
        </w:rPr>
        <w:t>1 de mayo de 2012</w:t>
      </w:r>
      <w:r w:rsidRPr="00ED7E91">
        <w:rPr>
          <w:rFonts w:ascii="Cambria" w:hAnsi="Cambria"/>
          <w:sz w:val="20"/>
          <w:szCs w:val="20"/>
        </w:rPr>
        <w:t xml:space="preserve"> el Grupo de Trabajo de Naciones Unidas sobre la Detención Arbitraria del Consejo de Derechos Humanos (en adelante “el Grupo de Trabajo”) </w:t>
      </w:r>
      <w:r w:rsidR="004E6B48" w:rsidRPr="00ED7E91">
        <w:rPr>
          <w:rFonts w:ascii="Cambria" w:hAnsi="Cambria"/>
          <w:sz w:val="20"/>
          <w:szCs w:val="20"/>
        </w:rPr>
        <w:t xml:space="preserve">expuso </w:t>
      </w:r>
      <w:r w:rsidR="0022141A" w:rsidRPr="00ED7E91">
        <w:rPr>
          <w:rFonts w:ascii="Cambria" w:hAnsi="Cambria"/>
          <w:sz w:val="20"/>
          <w:szCs w:val="20"/>
        </w:rPr>
        <w:t>que la privación de libertad de la presunta víctima por un plazo de más de 5 años de pr</w:t>
      </w:r>
      <w:r w:rsidR="0082634A" w:rsidRPr="00ED7E91">
        <w:rPr>
          <w:rFonts w:ascii="Cambria" w:hAnsi="Cambria"/>
          <w:sz w:val="20"/>
          <w:szCs w:val="20"/>
        </w:rPr>
        <w:t>isión preventiva sin ser juzgado</w:t>
      </w:r>
      <w:r w:rsidR="0022141A" w:rsidRPr="00ED7E91">
        <w:rPr>
          <w:rFonts w:ascii="Cambria" w:hAnsi="Cambria"/>
          <w:sz w:val="20"/>
          <w:szCs w:val="20"/>
        </w:rPr>
        <w:t xml:space="preserve"> </w:t>
      </w:r>
      <w:r w:rsidR="004E6B48" w:rsidRPr="00ED7E91">
        <w:rPr>
          <w:rFonts w:ascii="Cambria" w:hAnsi="Cambria"/>
          <w:sz w:val="20"/>
          <w:szCs w:val="20"/>
        </w:rPr>
        <w:t xml:space="preserve">era </w:t>
      </w:r>
      <w:r w:rsidR="0022141A" w:rsidRPr="00ED7E91">
        <w:rPr>
          <w:rFonts w:ascii="Cambria" w:hAnsi="Cambria"/>
          <w:sz w:val="20"/>
          <w:szCs w:val="20"/>
        </w:rPr>
        <w:t xml:space="preserve">arbitraria </w:t>
      </w:r>
      <w:r w:rsidR="004E6B48" w:rsidRPr="00ED7E91">
        <w:rPr>
          <w:rFonts w:ascii="Cambria" w:hAnsi="Cambria"/>
          <w:sz w:val="20"/>
          <w:szCs w:val="20"/>
        </w:rPr>
        <w:t>y</w:t>
      </w:r>
      <w:r w:rsidRPr="00ED7E91">
        <w:rPr>
          <w:rFonts w:ascii="Cambria" w:hAnsi="Cambria"/>
          <w:sz w:val="20"/>
          <w:szCs w:val="20"/>
        </w:rPr>
        <w:t xml:space="preserve"> recomendó</w:t>
      </w:r>
      <w:r w:rsidR="00C656FD" w:rsidRPr="00ED7E91">
        <w:rPr>
          <w:rFonts w:ascii="Cambria" w:hAnsi="Cambria"/>
          <w:sz w:val="20"/>
          <w:szCs w:val="20"/>
        </w:rPr>
        <w:t xml:space="preserve"> al Estado</w:t>
      </w:r>
      <w:r w:rsidR="004E6B48" w:rsidRPr="00ED7E91">
        <w:rPr>
          <w:rFonts w:ascii="Cambria" w:hAnsi="Cambria"/>
          <w:sz w:val="20"/>
          <w:szCs w:val="20"/>
        </w:rPr>
        <w:t xml:space="preserve"> adoptar las medidas necesarias para el inicio del juicio</w:t>
      </w:r>
      <w:r w:rsidRPr="00ED7E91">
        <w:rPr>
          <w:rFonts w:ascii="Cambria" w:hAnsi="Cambria"/>
          <w:sz w:val="20"/>
          <w:szCs w:val="20"/>
        </w:rPr>
        <w:t xml:space="preserve"> y para sustituir la </w:t>
      </w:r>
      <w:r w:rsidR="00C656FD" w:rsidRPr="00ED7E91">
        <w:rPr>
          <w:rFonts w:ascii="Cambria" w:hAnsi="Cambria"/>
          <w:sz w:val="20"/>
          <w:szCs w:val="20"/>
        </w:rPr>
        <w:t>privación de libertad</w:t>
      </w:r>
      <w:r w:rsidRPr="00ED7E91">
        <w:rPr>
          <w:rFonts w:ascii="Cambria" w:hAnsi="Cambria"/>
          <w:sz w:val="20"/>
          <w:szCs w:val="20"/>
        </w:rPr>
        <w:t xml:space="preserve"> por otra medida cautelar</w:t>
      </w:r>
      <w:r w:rsidR="004E6B48" w:rsidRPr="00ED7E91">
        <w:rPr>
          <w:rFonts w:ascii="Cambria" w:hAnsi="Cambria"/>
          <w:sz w:val="20"/>
          <w:szCs w:val="20"/>
        </w:rPr>
        <w:t xml:space="preserve">. </w:t>
      </w:r>
      <w:r w:rsidR="001235AA" w:rsidRPr="00ED7E91">
        <w:rPr>
          <w:rFonts w:ascii="Cambria" w:hAnsi="Cambria"/>
          <w:sz w:val="20"/>
          <w:szCs w:val="20"/>
        </w:rPr>
        <w:t>El 3 de septiembre de 2012 la presunta víctima se declaró en huelga de hambre dada la prolongación de su prisión preve</w:t>
      </w:r>
      <w:r w:rsidR="008C3444" w:rsidRPr="00ED7E91">
        <w:rPr>
          <w:rFonts w:ascii="Cambria" w:hAnsi="Cambria"/>
          <w:sz w:val="20"/>
          <w:szCs w:val="20"/>
        </w:rPr>
        <w:t>ntiva y la demora en el juicio; l</w:t>
      </w:r>
      <w:r w:rsidR="00C83D34" w:rsidRPr="00ED7E91">
        <w:rPr>
          <w:rFonts w:ascii="Cambria" w:hAnsi="Cambria"/>
          <w:sz w:val="20"/>
          <w:szCs w:val="20"/>
        </w:rPr>
        <w:t xml:space="preserve">a misma </w:t>
      </w:r>
      <w:r w:rsidR="008C3444" w:rsidRPr="00ED7E91">
        <w:rPr>
          <w:rFonts w:ascii="Cambria" w:hAnsi="Cambria"/>
          <w:sz w:val="20"/>
          <w:szCs w:val="20"/>
        </w:rPr>
        <w:t>se extendió</w:t>
      </w:r>
      <w:r w:rsidR="00C83D34" w:rsidRPr="00ED7E91">
        <w:rPr>
          <w:rFonts w:ascii="Cambria" w:hAnsi="Cambria"/>
          <w:sz w:val="20"/>
          <w:szCs w:val="20"/>
        </w:rPr>
        <w:t xml:space="preserve"> por el período de 1 mes. </w:t>
      </w:r>
      <w:r w:rsidR="00C656FD" w:rsidRPr="00ED7E91">
        <w:rPr>
          <w:rFonts w:ascii="Cambria" w:hAnsi="Cambria"/>
          <w:sz w:val="20"/>
          <w:szCs w:val="20"/>
        </w:rPr>
        <w:t xml:space="preserve">Según información aportada por las partes, </w:t>
      </w:r>
      <w:r w:rsidR="002B3C46" w:rsidRPr="00ED7E91">
        <w:rPr>
          <w:rFonts w:ascii="Cambria" w:hAnsi="Cambria"/>
          <w:sz w:val="20"/>
          <w:szCs w:val="20"/>
        </w:rPr>
        <w:t>en</w:t>
      </w:r>
      <w:r w:rsidR="00C656FD" w:rsidRPr="00ED7E91">
        <w:rPr>
          <w:rFonts w:ascii="Cambria" w:hAnsi="Cambria"/>
          <w:sz w:val="20"/>
          <w:szCs w:val="20"/>
        </w:rPr>
        <w:t xml:space="preserve"> noviembre de 2012 la Corte Suprema de Justicia de Panamá </w:t>
      </w:r>
      <w:r w:rsidR="004C6C32" w:rsidRPr="00ED7E91">
        <w:rPr>
          <w:rFonts w:ascii="Cambria" w:hAnsi="Cambria"/>
          <w:sz w:val="20"/>
          <w:szCs w:val="20"/>
        </w:rPr>
        <w:t xml:space="preserve">(en adelante “la Corte Suprema”) </w:t>
      </w:r>
      <w:r w:rsidR="00C656FD" w:rsidRPr="00ED7E91">
        <w:rPr>
          <w:rFonts w:ascii="Cambria" w:hAnsi="Cambria"/>
          <w:sz w:val="20"/>
          <w:szCs w:val="20"/>
        </w:rPr>
        <w:t>modific</w:t>
      </w:r>
      <w:r w:rsidR="004C6C32" w:rsidRPr="00ED7E91">
        <w:rPr>
          <w:rFonts w:ascii="Cambria" w:hAnsi="Cambria"/>
          <w:sz w:val="20"/>
          <w:szCs w:val="20"/>
        </w:rPr>
        <w:t>ó</w:t>
      </w:r>
      <w:r w:rsidR="00C656FD" w:rsidRPr="00ED7E91">
        <w:rPr>
          <w:rFonts w:ascii="Cambria" w:hAnsi="Cambria"/>
          <w:sz w:val="20"/>
          <w:szCs w:val="20"/>
        </w:rPr>
        <w:t xml:space="preserve"> la prisión preventiva por la medida cautelar de </w:t>
      </w:r>
      <w:r w:rsidR="0082634A" w:rsidRPr="00ED7E91">
        <w:rPr>
          <w:rFonts w:ascii="Cambria" w:hAnsi="Cambria"/>
          <w:sz w:val="20"/>
          <w:szCs w:val="20"/>
        </w:rPr>
        <w:t xml:space="preserve">comparecer a firmar dos veces por mes y prohibición de abandonar su residencia. </w:t>
      </w:r>
    </w:p>
    <w:p w14:paraId="18192692" w14:textId="388EAE0C" w:rsidR="00FC1200" w:rsidRPr="00ED7E91" w:rsidRDefault="00680A70" w:rsidP="006D48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 xml:space="preserve">Según la información del expediente, el </w:t>
      </w:r>
      <w:r w:rsidR="00950E04" w:rsidRPr="00ED7E91">
        <w:rPr>
          <w:rFonts w:ascii="Cambria" w:hAnsi="Cambria"/>
          <w:sz w:val="20"/>
          <w:szCs w:val="20"/>
        </w:rPr>
        <w:t xml:space="preserve">26 de julio de 2016, el Tribunal Superior de Justicia del Primer Distrito Judicial de Panamá </w:t>
      </w:r>
      <w:r w:rsidR="00785867" w:rsidRPr="00ED7E91">
        <w:rPr>
          <w:rFonts w:ascii="Cambria" w:hAnsi="Cambria"/>
          <w:sz w:val="20"/>
          <w:szCs w:val="20"/>
        </w:rPr>
        <w:t xml:space="preserve">condenó </w:t>
      </w:r>
      <w:r w:rsidR="00950E04" w:rsidRPr="00ED7E91">
        <w:rPr>
          <w:rFonts w:ascii="Cambria" w:hAnsi="Cambria"/>
          <w:sz w:val="20"/>
          <w:szCs w:val="20"/>
        </w:rPr>
        <w:t>a la presunta víctima a la pena de 5 años de prisión</w:t>
      </w:r>
      <w:r w:rsidR="00785867" w:rsidRPr="00ED7E91">
        <w:rPr>
          <w:rFonts w:ascii="Cambria" w:hAnsi="Cambria"/>
          <w:sz w:val="20"/>
          <w:szCs w:val="20"/>
        </w:rPr>
        <w:t xml:space="preserve"> por el delito contra la salud en su modalidad culposa</w:t>
      </w:r>
      <w:r w:rsidR="00950E04" w:rsidRPr="00ED7E91">
        <w:rPr>
          <w:rFonts w:ascii="Cambria" w:hAnsi="Cambria"/>
          <w:sz w:val="20"/>
          <w:szCs w:val="20"/>
        </w:rPr>
        <w:t xml:space="preserve">. </w:t>
      </w:r>
      <w:r w:rsidR="00657721" w:rsidRPr="00ED7E91">
        <w:rPr>
          <w:rFonts w:ascii="Cambria" w:hAnsi="Cambria"/>
          <w:sz w:val="20"/>
          <w:szCs w:val="20"/>
        </w:rPr>
        <w:t xml:space="preserve">Esta sentencia fue apelada por el Ministerio Público y por la comunidad de querellantes </w:t>
      </w:r>
      <w:r w:rsidRPr="00ED7E91">
        <w:rPr>
          <w:rFonts w:ascii="Cambria" w:hAnsi="Cambria"/>
          <w:sz w:val="20"/>
          <w:szCs w:val="20"/>
        </w:rPr>
        <w:t>en representación de las víctimas</w:t>
      </w:r>
      <w:r w:rsidR="00657721" w:rsidRPr="00ED7E91">
        <w:rPr>
          <w:rFonts w:ascii="Cambria" w:hAnsi="Cambria"/>
          <w:sz w:val="20"/>
          <w:szCs w:val="20"/>
        </w:rPr>
        <w:t xml:space="preserve">. </w:t>
      </w:r>
      <w:r w:rsidRPr="00ED7E91">
        <w:rPr>
          <w:rFonts w:ascii="Cambria" w:hAnsi="Cambria"/>
          <w:sz w:val="20"/>
          <w:szCs w:val="20"/>
        </w:rPr>
        <w:t>El</w:t>
      </w:r>
      <w:r w:rsidR="00657721" w:rsidRPr="00ED7E91">
        <w:rPr>
          <w:rFonts w:ascii="Cambria" w:hAnsi="Cambria"/>
          <w:sz w:val="20"/>
          <w:szCs w:val="20"/>
        </w:rPr>
        <w:t xml:space="preserve"> 11 de abril de 2017</w:t>
      </w:r>
      <w:r w:rsidRPr="00ED7E91">
        <w:rPr>
          <w:rFonts w:ascii="Cambria" w:hAnsi="Cambria"/>
          <w:sz w:val="20"/>
          <w:szCs w:val="20"/>
        </w:rPr>
        <w:t xml:space="preserve"> la Sala Penal de la Corte Suprema modificó la sentencia de primera instancia</w:t>
      </w:r>
      <w:r w:rsidR="00657721" w:rsidRPr="00ED7E91">
        <w:rPr>
          <w:rFonts w:ascii="Cambria" w:hAnsi="Cambria"/>
          <w:sz w:val="20"/>
          <w:szCs w:val="20"/>
        </w:rPr>
        <w:t xml:space="preserve">, </w:t>
      </w:r>
      <w:r w:rsidRPr="00ED7E91">
        <w:rPr>
          <w:rFonts w:ascii="Cambria" w:hAnsi="Cambria"/>
          <w:sz w:val="20"/>
          <w:szCs w:val="20"/>
        </w:rPr>
        <w:t>imponiendo a la presunta víctima</w:t>
      </w:r>
      <w:r w:rsidR="00657721" w:rsidRPr="00ED7E91">
        <w:rPr>
          <w:rFonts w:ascii="Cambria" w:hAnsi="Cambria"/>
          <w:sz w:val="20"/>
          <w:szCs w:val="20"/>
        </w:rPr>
        <w:t xml:space="preserve"> la pena de 15 años de prisión</w:t>
      </w:r>
      <w:r w:rsidR="00785867" w:rsidRPr="00ED7E91">
        <w:rPr>
          <w:rFonts w:ascii="Cambria" w:hAnsi="Cambria"/>
          <w:sz w:val="20"/>
          <w:szCs w:val="20"/>
        </w:rPr>
        <w:t xml:space="preserve"> por la modalidad dolosa del delito contra la salud pública</w:t>
      </w:r>
      <w:r w:rsidR="00657721" w:rsidRPr="00ED7E91">
        <w:rPr>
          <w:rFonts w:ascii="Cambria" w:hAnsi="Cambria"/>
          <w:sz w:val="20"/>
          <w:szCs w:val="20"/>
        </w:rPr>
        <w:t xml:space="preserve">. </w:t>
      </w:r>
      <w:r w:rsidR="00061ED8" w:rsidRPr="00ED7E91">
        <w:rPr>
          <w:rFonts w:ascii="Cambria" w:hAnsi="Cambria"/>
          <w:sz w:val="20"/>
          <w:szCs w:val="20"/>
        </w:rPr>
        <w:t>Según</w:t>
      </w:r>
      <w:r w:rsidR="00061ED8" w:rsidRPr="00ED7E91">
        <w:rPr>
          <w:rFonts w:ascii="Cambria" w:hAnsi="Cambria"/>
          <w:sz w:val="20"/>
          <w:szCs w:val="20"/>
          <w:lang w:val="es-PA"/>
        </w:rPr>
        <w:t xml:space="preserve"> las últimas comunicaciones de la parte peticionaria, recibidas en octubre y noviembre de 2019 y febrero de 2020, la presunta víctima se encontraría</w:t>
      </w:r>
      <w:r w:rsidR="00170782" w:rsidRPr="00ED7E91">
        <w:rPr>
          <w:rFonts w:ascii="Cambria" w:hAnsi="Cambria"/>
          <w:sz w:val="20"/>
          <w:szCs w:val="20"/>
          <w:lang w:val="es-PA"/>
        </w:rPr>
        <w:t xml:space="preserve"> privada de libertad cumpliendo la condena</w:t>
      </w:r>
      <w:r w:rsidR="00C36458" w:rsidRPr="00ED7E91">
        <w:rPr>
          <w:rFonts w:ascii="Cambria" w:hAnsi="Cambria"/>
          <w:sz w:val="20"/>
          <w:szCs w:val="20"/>
          <w:lang w:val="es-PA"/>
        </w:rPr>
        <w:t xml:space="preserve"> que le fue</w:t>
      </w:r>
      <w:r w:rsidR="00170782" w:rsidRPr="00ED7E91">
        <w:rPr>
          <w:rFonts w:ascii="Cambria" w:hAnsi="Cambria"/>
          <w:sz w:val="20"/>
          <w:szCs w:val="20"/>
          <w:lang w:val="es-PA"/>
        </w:rPr>
        <w:t xml:space="preserve"> impuesta en segunda instancia</w:t>
      </w:r>
      <w:r w:rsidR="00061ED8" w:rsidRPr="00ED7E91">
        <w:rPr>
          <w:rFonts w:ascii="Cambria" w:hAnsi="Cambria"/>
          <w:sz w:val="20"/>
          <w:szCs w:val="20"/>
          <w:lang w:val="es-PA"/>
        </w:rPr>
        <w:t xml:space="preserve">, </w:t>
      </w:r>
    </w:p>
    <w:p w14:paraId="7C68A934" w14:textId="3AFEAA9B" w:rsidR="005017FB" w:rsidRPr="00ED7E91" w:rsidRDefault="005017FB" w:rsidP="00F7149D">
      <w:pPr>
        <w:pStyle w:val="ListParagraph"/>
        <w:numPr>
          <w:ilvl w:val="0"/>
          <w:numId w:val="103"/>
        </w:numPr>
        <w:jc w:val="both"/>
        <w:rPr>
          <w:rFonts w:asciiTheme="majorHAnsi" w:eastAsiaTheme="minorHAnsi" w:hAnsiTheme="majorHAnsi" w:cs="Times New Roman"/>
          <w:color w:val="auto"/>
          <w:sz w:val="20"/>
          <w:szCs w:val="20"/>
          <w:bdr w:val="none" w:sz="0" w:space="0" w:color="auto"/>
          <w:lang w:val="es-ES" w:eastAsia="es-AR"/>
        </w:rPr>
      </w:pPr>
      <w:r w:rsidRPr="00ED7E91">
        <w:rPr>
          <w:rFonts w:asciiTheme="majorHAnsi" w:hAnsiTheme="majorHAnsi"/>
          <w:color w:val="auto"/>
          <w:sz w:val="20"/>
          <w:szCs w:val="20"/>
          <w:lang w:val="es-AR"/>
        </w:rPr>
        <w:t xml:space="preserve">La presunta víctima </w:t>
      </w:r>
      <w:r w:rsidR="00680A70" w:rsidRPr="00ED7E91">
        <w:rPr>
          <w:rFonts w:asciiTheme="majorHAnsi" w:hAnsiTheme="majorHAnsi"/>
          <w:color w:val="auto"/>
          <w:sz w:val="20"/>
          <w:szCs w:val="20"/>
          <w:lang w:val="es-AR"/>
        </w:rPr>
        <w:t xml:space="preserve">alega irregularidades e ilegalidades en el proceso penal. En ese sentido, afirma que </w:t>
      </w:r>
      <w:r w:rsidR="009B507A" w:rsidRPr="00ED7E91">
        <w:rPr>
          <w:rFonts w:asciiTheme="majorHAnsi" w:hAnsiTheme="majorHAnsi"/>
          <w:color w:val="auto"/>
          <w:sz w:val="20"/>
          <w:szCs w:val="20"/>
          <w:lang w:val="es-ES"/>
        </w:rPr>
        <w:t xml:space="preserve">luego de </w:t>
      </w:r>
      <w:r w:rsidR="00ED7E91" w:rsidRPr="00ED7E91">
        <w:rPr>
          <w:rFonts w:asciiTheme="majorHAnsi" w:hAnsiTheme="majorHAnsi"/>
          <w:color w:val="auto"/>
          <w:sz w:val="20"/>
          <w:szCs w:val="20"/>
          <w:lang w:val="es-ES"/>
        </w:rPr>
        <w:t xml:space="preserve">la </w:t>
      </w:r>
      <w:r w:rsidR="009B507A" w:rsidRPr="00ED7E91">
        <w:rPr>
          <w:rFonts w:asciiTheme="majorHAnsi" w:hAnsiTheme="majorHAnsi"/>
          <w:color w:val="auto"/>
          <w:sz w:val="20"/>
          <w:szCs w:val="20"/>
          <w:lang w:val="es-ES"/>
        </w:rPr>
        <w:t xml:space="preserve">apelación se </w:t>
      </w:r>
      <w:r w:rsidR="009B507A" w:rsidRPr="00ED7E91">
        <w:rPr>
          <w:rFonts w:asciiTheme="majorHAnsi" w:eastAsiaTheme="minorHAnsi" w:hAnsiTheme="majorHAnsi" w:cs="Times New Roman"/>
          <w:color w:val="auto"/>
          <w:sz w:val="20"/>
          <w:szCs w:val="20"/>
          <w:bdr w:val="none" w:sz="0" w:space="0" w:color="auto"/>
          <w:lang w:val="es-ES" w:eastAsia="es-AR"/>
        </w:rPr>
        <w:t xml:space="preserve">cambió el delito por el cual se lo acusaba desde el inicio de las investigaciones a fin de poder ampliar los años de condena y atender a la presión de la opinión pública. Afirma que </w:t>
      </w:r>
      <w:r w:rsidR="00680A70" w:rsidRPr="00ED7E91">
        <w:rPr>
          <w:rFonts w:asciiTheme="majorHAnsi" w:hAnsiTheme="majorHAnsi"/>
          <w:color w:val="auto"/>
          <w:sz w:val="20"/>
          <w:szCs w:val="20"/>
          <w:lang w:val="es-AR"/>
        </w:rPr>
        <w:t>inicialmente</w:t>
      </w:r>
      <w:r w:rsidRPr="00ED7E91">
        <w:rPr>
          <w:rFonts w:asciiTheme="majorHAnsi" w:hAnsiTheme="majorHAnsi"/>
          <w:color w:val="auto"/>
          <w:sz w:val="20"/>
          <w:szCs w:val="20"/>
          <w:lang w:val="es-AR"/>
        </w:rPr>
        <w:t xml:space="preserve"> </w:t>
      </w:r>
      <w:r w:rsidR="009B507A" w:rsidRPr="00ED7E91">
        <w:rPr>
          <w:rFonts w:asciiTheme="majorHAnsi" w:hAnsiTheme="majorHAnsi"/>
          <w:color w:val="auto"/>
          <w:sz w:val="20"/>
          <w:szCs w:val="20"/>
          <w:lang w:val="es-AR"/>
        </w:rPr>
        <w:t>fue condenado por la modalidad</w:t>
      </w:r>
      <w:r w:rsidRPr="00ED7E91">
        <w:rPr>
          <w:rFonts w:asciiTheme="majorHAnsi" w:hAnsiTheme="majorHAnsi"/>
          <w:color w:val="auto"/>
          <w:sz w:val="20"/>
          <w:szCs w:val="20"/>
          <w:lang w:val="es-AR"/>
        </w:rPr>
        <w:t xml:space="preserve"> </w:t>
      </w:r>
      <w:r w:rsidR="009B507A" w:rsidRPr="00ED7E91">
        <w:rPr>
          <w:rFonts w:asciiTheme="majorHAnsi" w:hAnsiTheme="majorHAnsi"/>
          <w:color w:val="auto"/>
          <w:sz w:val="20"/>
          <w:szCs w:val="20"/>
          <w:lang w:val="es-AR"/>
        </w:rPr>
        <w:t xml:space="preserve">culposa del delito contra la salud pública y que luego modificaron la condena a la modalidad dolosa cuando no estaba demostrada la existencia de un dolo. Además, afirma que nunca se procesaron los verdaderos responsables del delito, como los dirigentes de la empresa española que había rotulado mal los bidones y </w:t>
      </w:r>
      <w:r w:rsidR="003937A2" w:rsidRPr="00ED7E91">
        <w:rPr>
          <w:rFonts w:asciiTheme="majorHAnsi" w:hAnsiTheme="majorHAnsi"/>
          <w:color w:val="auto"/>
          <w:sz w:val="20"/>
          <w:szCs w:val="20"/>
          <w:lang w:val="es-AR"/>
        </w:rPr>
        <w:t xml:space="preserve">tanques recipientes y que sólo trataron de buscar un </w:t>
      </w:r>
      <w:r w:rsidR="003937A2" w:rsidRPr="00ED7E91">
        <w:rPr>
          <w:rFonts w:asciiTheme="majorHAnsi" w:eastAsiaTheme="minorHAnsi" w:hAnsiTheme="majorHAnsi" w:cs="Times New Roman"/>
          <w:color w:val="auto"/>
          <w:sz w:val="20"/>
          <w:szCs w:val="20"/>
          <w:bdr w:val="none" w:sz="0" w:space="0" w:color="auto"/>
          <w:lang w:val="es-ES" w:eastAsia="es-AR"/>
        </w:rPr>
        <w:t>“chivo expiatorio</w:t>
      </w:r>
      <w:r w:rsidR="003937A2" w:rsidRPr="00ED7E91">
        <w:rPr>
          <w:rFonts w:asciiTheme="majorHAnsi" w:hAnsiTheme="majorHAnsi"/>
          <w:color w:val="auto"/>
          <w:sz w:val="20"/>
          <w:szCs w:val="20"/>
          <w:lang w:val="es-AR"/>
        </w:rPr>
        <w:t>” para asumir la responsabilidad por el delito.</w:t>
      </w:r>
      <w:r w:rsidR="000058B8" w:rsidRPr="00ED7E91">
        <w:rPr>
          <w:rFonts w:asciiTheme="majorHAnsi" w:hAnsiTheme="majorHAnsi"/>
          <w:color w:val="auto"/>
          <w:sz w:val="20"/>
          <w:szCs w:val="20"/>
          <w:lang w:val="es-AR"/>
        </w:rPr>
        <w:t xml:space="preserve"> Sostiene además que la prolongación de su prisión preventiva por más de 6 años fue ilegal dado que excedió la pena m</w:t>
      </w:r>
      <w:r w:rsidR="00627BBB" w:rsidRPr="00ED7E91">
        <w:rPr>
          <w:rFonts w:asciiTheme="majorHAnsi" w:hAnsiTheme="majorHAnsi"/>
          <w:color w:val="auto"/>
          <w:sz w:val="20"/>
          <w:szCs w:val="20"/>
          <w:lang w:val="es-AR"/>
        </w:rPr>
        <w:t xml:space="preserve">áxima de 5 años aplicable para el delito culposo que originalmente se le </w:t>
      </w:r>
      <w:r w:rsidR="001076EF" w:rsidRPr="00ED7E91">
        <w:rPr>
          <w:rFonts w:asciiTheme="majorHAnsi" w:hAnsiTheme="majorHAnsi"/>
          <w:color w:val="auto"/>
          <w:sz w:val="20"/>
          <w:szCs w:val="20"/>
          <w:lang w:val="es-AR"/>
        </w:rPr>
        <w:t>imputaba,</w:t>
      </w:r>
      <w:r w:rsidR="00627BBB" w:rsidRPr="00ED7E91">
        <w:rPr>
          <w:rFonts w:asciiTheme="majorHAnsi" w:hAnsiTheme="majorHAnsi"/>
          <w:color w:val="auto"/>
          <w:sz w:val="20"/>
          <w:szCs w:val="20"/>
          <w:lang w:val="es-AR"/>
        </w:rPr>
        <w:t xml:space="preserve"> así como la condena que recibió en primera instancia.</w:t>
      </w:r>
    </w:p>
    <w:p w14:paraId="06DB24DC" w14:textId="77777777" w:rsidR="003B7F22" w:rsidRPr="00ED7E91" w:rsidRDefault="003B7F22" w:rsidP="003B7F22">
      <w:pPr>
        <w:pStyle w:val="ListParagraph"/>
        <w:jc w:val="both"/>
        <w:rPr>
          <w:rFonts w:asciiTheme="majorHAnsi" w:eastAsiaTheme="minorHAnsi" w:hAnsiTheme="majorHAnsi" w:cs="Times New Roman"/>
          <w:color w:val="auto"/>
          <w:sz w:val="20"/>
          <w:szCs w:val="20"/>
          <w:bdr w:val="none" w:sz="0" w:space="0" w:color="auto"/>
          <w:lang w:val="es-ES" w:eastAsia="es-AR"/>
        </w:rPr>
      </w:pPr>
    </w:p>
    <w:p w14:paraId="725A08A8" w14:textId="40A604C6" w:rsidR="001366E2" w:rsidRPr="00ED7E91" w:rsidRDefault="001366E2" w:rsidP="0040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lastRenderedPageBreak/>
        <w:t>Por su parte, el Estado controvierte los hechos expuestos por la presunta víctima</w:t>
      </w:r>
      <w:r w:rsidR="001176CD" w:rsidRPr="00ED7E91">
        <w:rPr>
          <w:rFonts w:ascii="Cambria" w:hAnsi="Cambria"/>
          <w:sz w:val="20"/>
          <w:szCs w:val="20"/>
        </w:rPr>
        <w:t xml:space="preserve"> y aduce</w:t>
      </w:r>
      <w:r w:rsidRPr="00ED7E91">
        <w:rPr>
          <w:rFonts w:ascii="Cambria" w:hAnsi="Cambria"/>
          <w:sz w:val="20"/>
          <w:szCs w:val="20"/>
        </w:rPr>
        <w:t xml:space="preserve"> que la </w:t>
      </w:r>
      <w:r w:rsidR="001176CD" w:rsidRPr="00ED7E91">
        <w:rPr>
          <w:rFonts w:ascii="Cambria" w:hAnsi="Cambria"/>
          <w:sz w:val="20"/>
          <w:szCs w:val="20"/>
        </w:rPr>
        <w:t xml:space="preserve">investigación penal ha demostrado que la empresa </w:t>
      </w:r>
      <w:proofErr w:type="spellStart"/>
      <w:r w:rsidR="001176CD" w:rsidRPr="00ED7E91">
        <w:rPr>
          <w:rFonts w:ascii="Cambria" w:hAnsi="Cambria"/>
          <w:sz w:val="20"/>
          <w:szCs w:val="20"/>
        </w:rPr>
        <w:t>Rasfer</w:t>
      </w:r>
      <w:proofErr w:type="spellEnd"/>
      <w:r w:rsidR="001176CD" w:rsidRPr="00ED7E91">
        <w:rPr>
          <w:rFonts w:ascii="Cambria" w:hAnsi="Cambria"/>
          <w:sz w:val="20"/>
          <w:szCs w:val="20"/>
        </w:rPr>
        <w:t xml:space="preserve"> Internacional había certificado que el producto entregado al peticionario</w:t>
      </w:r>
      <w:r w:rsidR="0066622E" w:rsidRPr="00ED7E91">
        <w:rPr>
          <w:rFonts w:ascii="Cambria" w:hAnsi="Cambria"/>
          <w:sz w:val="20"/>
          <w:szCs w:val="20"/>
        </w:rPr>
        <w:t xml:space="preserve"> no era apto para el consumo humano </w:t>
      </w:r>
      <w:r w:rsidR="001176CD" w:rsidRPr="00ED7E91">
        <w:rPr>
          <w:rFonts w:ascii="Cambria" w:hAnsi="Cambria"/>
          <w:sz w:val="20"/>
          <w:szCs w:val="20"/>
        </w:rPr>
        <w:t>y que él adulteró los rótulos y fecha de caducidad del producto antes de transferirlo a la C</w:t>
      </w:r>
      <w:r w:rsidR="006B278E" w:rsidRPr="00ED7E91">
        <w:rPr>
          <w:rFonts w:ascii="Cambria" w:hAnsi="Cambria"/>
          <w:sz w:val="20"/>
          <w:szCs w:val="20"/>
        </w:rPr>
        <w:t>SS</w:t>
      </w:r>
      <w:r w:rsidR="001176CD" w:rsidRPr="00ED7E91">
        <w:rPr>
          <w:rFonts w:ascii="Cambria" w:hAnsi="Cambria"/>
          <w:sz w:val="20"/>
          <w:szCs w:val="20"/>
        </w:rPr>
        <w:t xml:space="preserve">. </w:t>
      </w:r>
      <w:r w:rsidR="00C10F3B" w:rsidRPr="00ED7E91">
        <w:rPr>
          <w:rFonts w:ascii="Cambria" w:hAnsi="Cambria"/>
          <w:sz w:val="20"/>
          <w:szCs w:val="20"/>
        </w:rPr>
        <w:t xml:space="preserve">Dicho producto fue utilizado en la fabricación de medicamentos </w:t>
      </w:r>
      <w:r w:rsidR="0066622E" w:rsidRPr="00ED7E91">
        <w:rPr>
          <w:rFonts w:ascii="Cambria" w:hAnsi="Cambria"/>
          <w:sz w:val="20"/>
          <w:szCs w:val="20"/>
        </w:rPr>
        <w:t xml:space="preserve">y </w:t>
      </w:r>
      <w:r w:rsidR="00C10F3B" w:rsidRPr="00ED7E91">
        <w:rPr>
          <w:rFonts w:ascii="Cambria" w:hAnsi="Cambria"/>
          <w:sz w:val="20"/>
          <w:szCs w:val="20"/>
        </w:rPr>
        <w:t>más de 1000 personas sufrieron afectaciones a su salud, incluso la muerte de más de 300 personas.</w:t>
      </w:r>
      <w:r w:rsidR="0066622E" w:rsidRPr="00ED7E91">
        <w:rPr>
          <w:rFonts w:ascii="Cambria" w:hAnsi="Cambria"/>
          <w:sz w:val="20"/>
          <w:szCs w:val="20"/>
        </w:rPr>
        <w:t xml:space="preserve"> Alega que la responsabilidad penal del peticionario ha quedado demostrada en el proceso que fue realizado con total apego a las normas de procedimiento, respetando todos los derechos fundamentales de todos los sindicados.</w:t>
      </w:r>
      <w:r w:rsidR="00C10F3B" w:rsidRPr="00ED7E91">
        <w:rPr>
          <w:rFonts w:ascii="Cambria" w:hAnsi="Cambria"/>
          <w:sz w:val="20"/>
          <w:szCs w:val="20"/>
        </w:rPr>
        <w:t xml:space="preserve"> </w:t>
      </w:r>
    </w:p>
    <w:p w14:paraId="628568E9" w14:textId="3C12029C" w:rsidR="009722A5" w:rsidRPr="00ED7E91" w:rsidRDefault="00C10F3B" w:rsidP="003025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El</w:t>
      </w:r>
      <w:r w:rsidR="00CD403D" w:rsidRPr="00ED7E91">
        <w:rPr>
          <w:rFonts w:ascii="Cambria" w:hAnsi="Cambria"/>
          <w:sz w:val="20"/>
          <w:szCs w:val="20"/>
        </w:rPr>
        <w:t xml:space="preserve"> Estado </w:t>
      </w:r>
      <w:r w:rsidR="0066622E" w:rsidRPr="00ED7E91">
        <w:rPr>
          <w:rFonts w:ascii="Cambria" w:hAnsi="Cambria"/>
          <w:sz w:val="20"/>
          <w:szCs w:val="20"/>
        </w:rPr>
        <w:t xml:space="preserve">también </w:t>
      </w:r>
      <w:r w:rsidR="00CD403D" w:rsidRPr="00ED7E91">
        <w:rPr>
          <w:rFonts w:ascii="Cambria" w:hAnsi="Cambria"/>
          <w:sz w:val="20"/>
          <w:szCs w:val="20"/>
        </w:rPr>
        <w:t>indica</w:t>
      </w:r>
      <w:r w:rsidR="0066622E" w:rsidRPr="00ED7E91">
        <w:rPr>
          <w:rFonts w:ascii="Cambria" w:hAnsi="Cambria"/>
          <w:sz w:val="20"/>
          <w:szCs w:val="20"/>
        </w:rPr>
        <w:t xml:space="preserve"> que</w:t>
      </w:r>
      <w:r w:rsidR="00CD403D" w:rsidRPr="00ED7E91">
        <w:rPr>
          <w:rFonts w:ascii="Cambria" w:hAnsi="Cambria"/>
          <w:sz w:val="20"/>
          <w:szCs w:val="20"/>
        </w:rPr>
        <w:t xml:space="preserve"> </w:t>
      </w:r>
      <w:r w:rsidRPr="00ED7E91">
        <w:rPr>
          <w:rFonts w:ascii="Cambria" w:hAnsi="Cambria"/>
          <w:sz w:val="20"/>
          <w:szCs w:val="20"/>
        </w:rPr>
        <w:t xml:space="preserve">la prisión preventiva </w:t>
      </w:r>
      <w:r w:rsidR="0066622E" w:rsidRPr="00ED7E91">
        <w:rPr>
          <w:rFonts w:ascii="Cambria" w:hAnsi="Cambria"/>
          <w:sz w:val="20"/>
          <w:szCs w:val="20"/>
        </w:rPr>
        <w:t xml:space="preserve">del peticionario fue necesaria </w:t>
      </w:r>
      <w:r w:rsidR="00CD403D" w:rsidRPr="00ED7E91">
        <w:rPr>
          <w:rFonts w:ascii="Cambria" w:hAnsi="Cambria"/>
          <w:sz w:val="20"/>
          <w:szCs w:val="20"/>
        </w:rPr>
        <w:t xml:space="preserve">debido a la gravedad de las imputaciones, las consecuencias </w:t>
      </w:r>
      <w:r w:rsidR="0066622E" w:rsidRPr="00ED7E91">
        <w:rPr>
          <w:rFonts w:ascii="Cambria" w:hAnsi="Cambria"/>
          <w:sz w:val="20"/>
          <w:szCs w:val="20"/>
        </w:rPr>
        <w:t>provocadas y la</w:t>
      </w:r>
      <w:r w:rsidR="00CD403D" w:rsidRPr="00ED7E91">
        <w:rPr>
          <w:rFonts w:ascii="Cambria" w:hAnsi="Cambria"/>
          <w:sz w:val="20"/>
          <w:szCs w:val="20"/>
        </w:rPr>
        <w:t xml:space="preserve"> conducta evasiva de la presunta víctima</w:t>
      </w:r>
      <w:r w:rsidR="00E81C40" w:rsidRPr="00ED7E91">
        <w:rPr>
          <w:rFonts w:ascii="Cambria" w:hAnsi="Cambria"/>
          <w:sz w:val="20"/>
          <w:szCs w:val="20"/>
        </w:rPr>
        <w:t>. En relación con este último aspecto, señala</w:t>
      </w:r>
      <w:r w:rsidR="0030256F" w:rsidRPr="00ED7E91">
        <w:rPr>
          <w:rFonts w:ascii="Cambria" w:hAnsi="Cambria"/>
          <w:sz w:val="20"/>
          <w:szCs w:val="20"/>
        </w:rPr>
        <w:t xml:space="preserve"> que en la fase investigativa se requirió la presentación del peticionario a declarar y él fue evasivo. Ante </w:t>
      </w:r>
      <w:r w:rsidR="009722A5" w:rsidRPr="00ED7E91">
        <w:rPr>
          <w:rFonts w:ascii="Cambria" w:hAnsi="Cambria"/>
          <w:sz w:val="20"/>
          <w:szCs w:val="20"/>
        </w:rPr>
        <w:t>su</w:t>
      </w:r>
      <w:r w:rsidR="0030256F" w:rsidRPr="00ED7E91">
        <w:rPr>
          <w:rFonts w:ascii="Cambria" w:hAnsi="Cambria"/>
          <w:sz w:val="20"/>
          <w:szCs w:val="20"/>
        </w:rPr>
        <w:t xml:space="preserve"> postura, se dictó una orden de prisión preventiva en su contra, se autorizó el allanamiento de una residencia de un tercero para buscar</w:t>
      </w:r>
      <w:r w:rsidR="009722A5" w:rsidRPr="00ED7E91">
        <w:rPr>
          <w:rFonts w:ascii="Cambria" w:hAnsi="Cambria"/>
          <w:sz w:val="20"/>
          <w:szCs w:val="20"/>
        </w:rPr>
        <w:t xml:space="preserve">le </w:t>
      </w:r>
      <w:r w:rsidR="0030256F" w:rsidRPr="00ED7E91">
        <w:rPr>
          <w:rFonts w:ascii="Cambria" w:hAnsi="Cambria"/>
          <w:sz w:val="20"/>
          <w:szCs w:val="20"/>
        </w:rPr>
        <w:t xml:space="preserve">y durante el allanamiento </w:t>
      </w:r>
      <w:r w:rsidR="009722A5" w:rsidRPr="00ED7E91">
        <w:rPr>
          <w:rFonts w:ascii="Cambria" w:hAnsi="Cambria"/>
          <w:sz w:val="20"/>
          <w:szCs w:val="20"/>
        </w:rPr>
        <w:t>el peticionario</w:t>
      </w:r>
      <w:r w:rsidR="0030256F" w:rsidRPr="00ED7E91">
        <w:rPr>
          <w:rFonts w:ascii="Cambria" w:hAnsi="Cambria"/>
          <w:sz w:val="20"/>
          <w:szCs w:val="20"/>
        </w:rPr>
        <w:t xml:space="preserve"> intentó ocultarse, darse a la fuga y fue capturado escaleras arriba por unidades de la policía, fuera del inmueble a allanar. Añade que la prisión preventiva</w:t>
      </w:r>
      <w:r w:rsidR="00C2014E" w:rsidRPr="00ED7E91">
        <w:rPr>
          <w:rFonts w:ascii="Cambria" w:hAnsi="Cambria"/>
          <w:sz w:val="20"/>
          <w:szCs w:val="20"/>
        </w:rPr>
        <w:t xml:space="preserve"> fue revisada múltiples veces </w:t>
      </w:r>
      <w:r w:rsidR="0030256F" w:rsidRPr="00ED7E91">
        <w:rPr>
          <w:rFonts w:ascii="Cambria" w:hAnsi="Cambria"/>
          <w:sz w:val="20"/>
          <w:szCs w:val="20"/>
        </w:rPr>
        <w:t xml:space="preserve">durante el proceso </w:t>
      </w:r>
      <w:r w:rsidR="00C2014E" w:rsidRPr="00ED7E91">
        <w:rPr>
          <w:rFonts w:ascii="Cambria" w:hAnsi="Cambria"/>
          <w:sz w:val="20"/>
          <w:szCs w:val="20"/>
        </w:rPr>
        <w:t xml:space="preserve">y que en ellas se </w:t>
      </w:r>
      <w:r w:rsidR="0030256F" w:rsidRPr="00ED7E91">
        <w:rPr>
          <w:rFonts w:ascii="Cambria" w:hAnsi="Cambria"/>
          <w:sz w:val="20"/>
          <w:szCs w:val="20"/>
        </w:rPr>
        <w:t xml:space="preserve">reiteró </w:t>
      </w:r>
      <w:r w:rsidR="00C2014E" w:rsidRPr="00ED7E91">
        <w:rPr>
          <w:rFonts w:ascii="Cambria" w:hAnsi="Cambria"/>
          <w:sz w:val="20"/>
          <w:szCs w:val="20"/>
        </w:rPr>
        <w:t xml:space="preserve">la necesidad </w:t>
      </w:r>
      <w:r w:rsidR="009722A5" w:rsidRPr="00ED7E91">
        <w:rPr>
          <w:rFonts w:ascii="Cambria" w:hAnsi="Cambria"/>
          <w:sz w:val="20"/>
          <w:szCs w:val="20"/>
        </w:rPr>
        <w:t>de mantener</w:t>
      </w:r>
      <w:r w:rsidR="002B301D" w:rsidRPr="00ED7E91">
        <w:rPr>
          <w:rFonts w:ascii="Cambria" w:hAnsi="Cambria"/>
          <w:sz w:val="20"/>
          <w:szCs w:val="20"/>
        </w:rPr>
        <w:t xml:space="preserve"> </w:t>
      </w:r>
      <w:r w:rsidR="00C2014E" w:rsidRPr="00ED7E91">
        <w:rPr>
          <w:rFonts w:ascii="Cambria" w:hAnsi="Cambria"/>
          <w:sz w:val="20"/>
          <w:szCs w:val="20"/>
        </w:rPr>
        <w:t xml:space="preserve">las medidas procesales </w:t>
      </w:r>
      <w:r w:rsidR="009722A5" w:rsidRPr="00ED7E91">
        <w:rPr>
          <w:rFonts w:ascii="Cambria" w:hAnsi="Cambria"/>
          <w:sz w:val="20"/>
          <w:szCs w:val="20"/>
        </w:rPr>
        <w:t>para el desarrollo del proceso</w:t>
      </w:r>
      <w:r w:rsidR="00C2014E" w:rsidRPr="00ED7E91">
        <w:rPr>
          <w:rFonts w:ascii="Cambria" w:hAnsi="Cambria"/>
          <w:sz w:val="20"/>
          <w:szCs w:val="20"/>
        </w:rPr>
        <w:t xml:space="preserve">. </w:t>
      </w:r>
    </w:p>
    <w:p w14:paraId="0042BD61" w14:textId="7A99E5A4" w:rsidR="005017FB" w:rsidRPr="00ED7E91" w:rsidRDefault="009722A5" w:rsidP="003025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Asimismo, indica que el</w:t>
      </w:r>
      <w:r w:rsidR="00AB5D36" w:rsidRPr="00ED7E91">
        <w:rPr>
          <w:rFonts w:ascii="Cambria" w:hAnsi="Cambria"/>
          <w:sz w:val="20"/>
          <w:szCs w:val="20"/>
        </w:rPr>
        <w:t xml:space="preserve"> 1 de noviembre de 2012</w:t>
      </w:r>
      <w:r w:rsidR="00627BBB" w:rsidRPr="00ED7E91">
        <w:rPr>
          <w:rFonts w:ascii="Cambria" w:hAnsi="Cambria"/>
          <w:sz w:val="20"/>
          <w:szCs w:val="20"/>
        </w:rPr>
        <w:t xml:space="preserve"> la Corte Suprema en pleno emitió sentencia en respuesta a una acción de habeas corpus presentada por el peticionario. En esta sentencia, la Corte concluyó que la detención preventiva del peticionario no había sido ilegal ni arbitraria pues, aunque el tiempo pasado en prisión preventiva excedía la pena máxima de uno de los delitos que se le imputaba, el proceso no era solo por ese delito sino por un concurso de varios delitos. Pese a ello y valorando</w:t>
      </w:r>
      <w:r w:rsidR="001818F6" w:rsidRPr="00ED7E91">
        <w:rPr>
          <w:rFonts w:ascii="Cambria" w:hAnsi="Cambria"/>
          <w:sz w:val="20"/>
          <w:szCs w:val="20"/>
        </w:rPr>
        <w:t xml:space="preserve"> que aún no se había decidido la causa,</w:t>
      </w:r>
      <w:r w:rsidRPr="00ED7E91">
        <w:rPr>
          <w:rFonts w:ascii="Cambria" w:hAnsi="Cambria"/>
          <w:sz w:val="20"/>
          <w:szCs w:val="20"/>
        </w:rPr>
        <w:t xml:space="preserve"> la Corte Suprema</w:t>
      </w:r>
      <w:r w:rsidR="00AB5D36" w:rsidRPr="00ED7E91">
        <w:rPr>
          <w:rFonts w:ascii="Cambria" w:hAnsi="Cambria"/>
          <w:sz w:val="20"/>
          <w:szCs w:val="20"/>
        </w:rPr>
        <w:t xml:space="preserve"> sustituyó la pena privativa de la libertad </w:t>
      </w:r>
      <w:r w:rsidR="001818F6" w:rsidRPr="00ED7E91">
        <w:rPr>
          <w:rFonts w:ascii="Cambria" w:hAnsi="Cambria"/>
          <w:sz w:val="20"/>
          <w:szCs w:val="20"/>
        </w:rPr>
        <w:t xml:space="preserve">por </w:t>
      </w:r>
      <w:r w:rsidR="00AB5D36" w:rsidRPr="00ED7E91">
        <w:rPr>
          <w:rFonts w:ascii="Cambria" w:hAnsi="Cambria"/>
          <w:sz w:val="20"/>
          <w:szCs w:val="20"/>
        </w:rPr>
        <w:t xml:space="preserve">la prohibición de abandonar el territorio nacional sin previa autorización judicial, el deber de presentarse los días 15 y 30 de cada mes ante la autoridad competente, la obligación de residir dentro de la jurisdicción distrital y no abandonar su residencia. </w:t>
      </w:r>
      <w:r w:rsidR="001818F6" w:rsidRPr="00ED7E91">
        <w:rPr>
          <w:rFonts w:ascii="Cambria" w:hAnsi="Cambria"/>
          <w:sz w:val="20"/>
          <w:szCs w:val="20"/>
        </w:rPr>
        <w:t xml:space="preserve">Agrega </w:t>
      </w:r>
      <w:r w:rsidR="001076EF" w:rsidRPr="00ED7E91">
        <w:rPr>
          <w:rFonts w:ascii="Cambria" w:hAnsi="Cambria"/>
          <w:sz w:val="20"/>
          <w:szCs w:val="20"/>
        </w:rPr>
        <w:t>que,</w:t>
      </w:r>
      <w:r w:rsidR="001818F6" w:rsidRPr="00ED7E91">
        <w:rPr>
          <w:rFonts w:ascii="Cambria" w:hAnsi="Cambria"/>
          <w:sz w:val="20"/>
          <w:szCs w:val="20"/>
        </w:rPr>
        <w:t xml:space="preserve"> tras la condena en segunda instancia, en julio de 2017 las autoridades </w:t>
      </w:r>
      <w:r w:rsidR="00CF2B27" w:rsidRPr="00ED7E91">
        <w:rPr>
          <w:rFonts w:ascii="Cambria" w:hAnsi="Cambria"/>
          <w:sz w:val="20"/>
          <w:szCs w:val="20"/>
        </w:rPr>
        <w:t>no habían logrado</w:t>
      </w:r>
      <w:r w:rsidR="001818F6" w:rsidRPr="00ED7E91">
        <w:rPr>
          <w:rFonts w:ascii="Cambria" w:hAnsi="Cambria"/>
          <w:sz w:val="20"/>
          <w:szCs w:val="20"/>
        </w:rPr>
        <w:t xml:space="preserve"> </w:t>
      </w:r>
      <w:r w:rsidR="00CF2B27" w:rsidRPr="00ED7E91">
        <w:rPr>
          <w:rFonts w:ascii="Cambria" w:hAnsi="Cambria"/>
          <w:sz w:val="20"/>
          <w:szCs w:val="20"/>
        </w:rPr>
        <w:t xml:space="preserve">todavía </w:t>
      </w:r>
      <w:r w:rsidR="001818F6" w:rsidRPr="00ED7E91">
        <w:rPr>
          <w:rFonts w:ascii="Cambria" w:hAnsi="Cambria"/>
          <w:sz w:val="20"/>
          <w:szCs w:val="20"/>
        </w:rPr>
        <w:t xml:space="preserve">notificar al peticionario de la decisión dado que él había dejado de comparecer en cumplimiento de las medidas cautelares impuestas y no había sido ubicado.   </w:t>
      </w:r>
    </w:p>
    <w:p w14:paraId="2A152190" w14:textId="78124405" w:rsidR="00CD403D" w:rsidRPr="00ED7E91" w:rsidRDefault="000F307D" w:rsidP="000F30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En cuanto a la</w:t>
      </w:r>
      <w:r w:rsidR="001818F6" w:rsidRPr="00ED7E91">
        <w:rPr>
          <w:rFonts w:ascii="Cambria" w:hAnsi="Cambria"/>
          <w:sz w:val="20"/>
          <w:szCs w:val="20"/>
        </w:rPr>
        <w:t xml:space="preserve"> salud del peticionario durante la privación de libertad, más específicamente durante la</w:t>
      </w:r>
      <w:r w:rsidRPr="00ED7E91">
        <w:rPr>
          <w:rFonts w:ascii="Cambria" w:hAnsi="Cambria"/>
          <w:sz w:val="20"/>
          <w:szCs w:val="20"/>
        </w:rPr>
        <w:t xml:space="preserve"> huelga de hambre, el Estado aduce que </w:t>
      </w:r>
      <w:r w:rsidR="00AD72FB" w:rsidRPr="00ED7E91">
        <w:rPr>
          <w:rFonts w:ascii="Cambria" w:hAnsi="Cambria"/>
          <w:sz w:val="20"/>
          <w:szCs w:val="20"/>
        </w:rPr>
        <w:t xml:space="preserve">brindó atención médica siempre que él lo permitía. No obstante, alega que </w:t>
      </w:r>
      <w:r w:rsidRPr="00ED7E91">
        <w:rPr>
          <w:rFonts w:ascii="Cambria" w:hAnsi="Cambria"/>
          <w:sz w:val="20"/>
          <w:szCs w:val="20"/>
        </w:rPr>
        <w:t xml:space="preserve">en varias ocasiones </w:t>
      </w:r>
      <w:r w:rsidR="00AD72FB" w:rsidRPr="00ED7E91">
        <w:rPr>
          <w:rFonts w:ascii="Cambria" w:hAnsi="Cambria"/>
          <w:sz w:val="20"/>
          <w:szCs w:val="20"/>
        </w:rPr>
        <w:t xml:space="preserve">él se negó </w:t>
      </w:r>
      <w:r w:rsidRPr="00ED7E91">
        <w:rPr>
          <w:rFonts w:ascii="Cambria" w:hAnsi="Cambria"/>
          <w:sz w:val="20"/>
          <w:szCs w:val="20"/>
        </w:rPr>
        <w:t>a recibir atenciones médicas y a ser trasladado a los hospitales correspondientes para realizarle exámenes médicos</w:t>
      </w:r>
      <w:r w:rsidR="00AD72FB" w:rsidRPr="00ED7E91">
        <w:rPr>
          <w:rFonts w:ascii="Cambria" w:hAnsi="Cambria"/>
          <w:sz w:val="20"/>
          <w:szCs w:val="20"/>
        </w:rPr>
        <w:t xml:space="preserve"> </w:t>
      </w:r>
      <w:r w:rsidRPr="00ED7E91">
        <w:rPr>
          <w:rFonts w:ascii="Cambria" w:hAnsi="Cambria"/>
          <w:sz w:val="20"/>
          <w:szCs w:val="20"/>
        </w:rPr>
        <w:t xml:space="preserve"> </w:t>
      </w:r>
    </w:p>
    <w:p w14:paraId="5966796D" w14:textId="1AC94429" w:rsidR="00EB7D9F" w:rsidRPr="00ED7E91" w:rsidRDefault="00EB7D9F" w:rsidP="00EB7D9F">
      <w:pPr>
        <w:spacing w:before="240" w:after="240"/>
        <w:ind w:firstLine="720"/>
        <w:jc w:val="both"/>
        <w:rPr>
          <w:rFonts w:asciiTheme="majorHAnsi" w:eastAsia="Cambria" w:hAnsiTheme="majorHAnsi" w:cs="Cambria"/>
          <w:b/>
          <w:bCs/>
          <w:sz w:val="20"/>
          <w:szCs w:val="20"/>
          <w:u w:color="000000"/>
          <w:lang w:eastAsia="es-ES"/>
        </w:rPr>
      </w:pPr>
      <w:r w:rsidRPr="00ED7E91">
        <w:rPr>
          <w:rFonts w:asciiTheme="majorHAnsi" w:hAnsiTheme="majorHAnsi"/>
          <w:b/>
          <w:bCs/>
          <w:sz w:val="20"/>
          <w:szCs w:val="20"/>
          <w:lang w:val="es-ES_tradnl"/>
        </w:rPr>
        <w:t>VI.</w:t>
      </w:r>
      <w:r w:rsidRPr="00ED7E91">
        <w:rPr>
          <w:rFonts w:asciiTheme="majorHAnsi" w:hAnsiTheme="majorHAnsi"/>
          <w:b/>
          <w:bCs/>
          <w:sz w:val="20"/>
          <w:szCs w:val="20"/>
          <w:lang w:val="es-ES_tradnl"/>
        </w:rPr>
        <w:tab/>
      </w:r>
      <w:r w:rsidR="00723B3D" w:rsidRPr="00ED7E91">
        <w:rPr>
          <w:rFonts w:asciiTheme="majorHAnsi" w:hAnsiTheme="majorHAnsi"/>
          <w:b/>
          <w:bCs/>
          <w:sz w:val="20"/>
          <w:szCs w:val="20"/>
          <w:lang w:val="es-ES_tradnl"/>
        </w:rPr>
        <w:t>AN</w:t>
      </w:r>
      <w:r w:rsidR="00137E88">
        <w:rPr>
          <w:rFonts w:asciiTheme="majorHAnsi" w:hAnsiTheme="majorHAnsi"/>
          <w:b/>
          <w:bCs/>
          <w:sz w:val="20"/>
          <w:szCs w:val="20"/>
          <w:lang w:val="es-ES_tradnl"/>
        </w:rPr>
        <w:t>Á</w:t>
      </w:r>
      <w:r w:rsidR="00723B3D" w:rsidRPr="00ED7E91">
        <w:rPr>
          <w:rFonts w:asciiTheme="majorHAnsi" w:hAnsiTheme="majorHAnsi"/>
          <w:b/>
          <w:bCs/>
          <w:sz w:val="20"/>
          <w:szCs w:val="20"/>
          <w:lang w:val="es-ES_tradnl"/>
        </w:rPr>
        <w:t>L</w:t>
      </w:r>
      <w:r w:rsidR="00137E88">
        <w:rPr>
          <w:rFonts w:asciiTheme="majorHAnsi" w:hAnsiTheme="majorHAnsi"/>
          <w:b/>
          <w:bCs/>
          <w:sz w:val="20"/>
          <w:szCs w:val="20"/>
          <w:lang w:val="es-ES_tradnl"/>
        </w:rPr>
        <w:t>I</w:t>
      </w:r>
      <w:r w:rsidR="00723B3D" w:rsidRPr="00ED7E91">
        <w:rPr>
          <w:rFonts w:asciiTheme="majorHAnsi" w:hAnsiTheme="majorHAnsi"/>
          <w:b/>
          <w:bCs/>
          <w:sz w:val="20"/>
          <w:szCs w:val="20"/>
          <w:lang w:val="es-ES_tradnl"/>
        </w:rPr>
        <w:t xml:space="preserve">SIS SOBRE </w:t>
      </w:r>
      <w:r w:rsidRPr="00ED7E91">
        <w:rPr>
          <w:rFonts w:asciiTheme="majorHAnsi" w:hAnsiTheme="majorHAnsi"/>
          <w:b/>
          <w:sz w:val="20"/>
          <w:szCs w:val="20"/>
        </w:rPr>
        <w:t>DUPLICACIÓN DE PROCEDIMIENTOS INTERNACIONALES</w:t>
      </w:r>
    </w:p>
    <w:p w14:paraId="4D9ED906" w14:textId="77777777" w:rsidR="00D920E2" w:rsidRPr="00ED7E91" w:rsidRDefault="00946B56" w:rsidP="00EB7D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lang w:val="es-CL"/>
        </w:rPr>
        <w:t xml:space="preserve">A los efectos de declarar admisible una petición, la Convención exige en su artículo 46.1.c, que la materia de </w:t>
      </w:r>
      <w:proofErr w:type="gramStart"/>
      <w:r w:rsidRPr="00ED7E91">
        <w:rPr>
          <w:rFonts w:ascii="Cambria" w:hAnsi="Cambria"/>
          <w:sz w:val="20"/>
          <w:szCs w:val="20"/>
          <w:lang w:val="es-CL"/>
        </w:rPr>
        <w:t>la misma</w:t>
      </w:r>
      <w:proofErr w:type="gramEnd"/>
      <w:r w:rsidRPr="00ED7E91">
        <w:rPr>
          <w:rFonts w:ascii="Cambria" w:hAnsi="Cambria"/>
          <w:sz w:val="20"/>
          <w:szCs w:val="20"/>
          <w:lang w:val="es-CL"/>
        </w:rPr>
        <w:t xml:space="preserve"> no esté pendiente de otro procedimiento de arreglo internacional y, en su artículo 47.d, que no reproduzca el contenido de una petición ya examinada por éste u otro organismo internacional. De la información aportada por el peticionario, la CIDH nota que </w:t>
      </w:r>
      <w:r w:rsidRPr="00ED7E91">
        <w:rPr>
          <w:rFonts w:ascii="Cambria" w:hAnsi="Cambria"/>
          <w:sz w:val="20"/>
          <w:szCs w:val="20"/>
        </w:rPr>
        <w:t xml:space="preserve">el Grupo de Trabajo sobre la Detención Arbitraria emitió una opinión el 1 de mayo de 2012 en la que manifestó que la detención de la presunta víctima era arbitraria, y solicitó al Estado adoptar “de inmediato las medidas necesarias para el pronto inicio del juicio, disponiéndose la libertad provisional de esta persona, si es necesario con las garantías necesarias para asegurar su comparecencia al juicio, a todas las diligencias que requieran de su presencia y a la ejecución de la sentencia ejecutoriada”, bien como disponer “las medidas conducentes para que el juicio sea resuelto en el más breve plazo, atendido al tiempo transcurrido </w:t>
      </w:r>
      <w:r w:rsidR="00D920E2" w:rsidRPr="00ED7E91">
        <w:rPr>
          <w:rFonts w:ascii="Cambria" w:hAnsi="Cambria"/>
          <w:sz w:val="20"/>
          <w:szCs w:val="20"/>
        </w:rPr>
        <w:t xml:space="preserve">desde la privación de libertad [de la presunta víctima]”. </w:t>
      </w:r>
      <w:r w:rsidRPr="00ED7E91">
        <w:rPr>
          <w:rFonts w:ascii="Cambria" w:hAnsi="Cambria"/>
          <w:sz w:val="20"/>
          <w:szCs w:val="20"/>
        </w:rPr>
        <w:t xml:space="preserve">Por su parte, el Estado no </w:t>
      </w:r>
      <w:r w:rsidR="00D920E2" w:rsidRPr="00ED7E91">
        <w:rPr>
          <w:rFonts w:ascii="Cambria" w:hAnsi="Cambria"/>
          <w:sz w:val="20"/>
          <w:szCs w:val="20"/>
        </w:rPr>
        <w:t>alega</w:t>
      </w:r>
      <w:r w:rsidRPr="00ED7E91">
        <w:rPr>
          <w:rFonts w:ascii="Cambria" w:hAnsi="Cambria"/>
          <w:sz w:val="20"/>
          <w:szCs w:val="20"/>
        </w:rPr>
        <w:t xml:space="preserve"> que </w:t>
      </w:r>
      <w:r w:rsidR="00D920E2" w:rsidRPr="00ED7E91">
        <w:rPr>
          <w:rFonts w:ascii="Cambria" w:hAnsi="Cambria"/>
          <w:sz w:val="20"/>
          <w:szCs w:val="20"/>
        </w:rPr>
        <w:t>e</w:t>
      </w:r>
      <w:r w:rsidRPr="00ED7E91">
        <w:rPr>
          <w:rFonts w:ascii="Cambria" w:hAnsi="Cambria"/>
          <w:sz w:val="20"/>
          <w:szCs w:val="20"/>
        </w:rPr>
        <w:t>xista duplicación de procedimientos o cosa juzgada internacional</w:t>
      </w:r>
      <w:r w:rsidR="00D920E2" w:rsidRPr="00ED7E91">
        <w:rPr>
          <w:rFonts w:ascii="Cambria" w:hAnsi="Cambria"/>
          <w:sz w:val="20"/>
          <w:szCs w:val="20"/>
        </w:rPr>
        <w:t>.</w:t>
      </w:r>
    </w:p>
    <w:p w14:paraId="4A06C08C" w14:textId="68924865" w:rsidR="00D920E2" w:rsidRPr="00ED7E91" w:rsidRDefault="00D920E2" w:rsidP="00D0708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lang w:val="es-ES"/>
        </w:rPr>
      </w:pPr>
      <w:r w:rsidRPr="00ED7E91">
        <w:rPr>
          <w:rFonts w:asciiTheme="majorHAnsi" w:eastAsia="Times New Roman" w:hAnsiTheme="majorHAnsi"/>
          <w:color w:val="auto"/>
          <w:sz w:val="20"/>
          <w:szCs w:val="20"/>
          <w:bdr w:val="none" w:sz="0" w:space="0" w:color="auto" w:frame="1"/>
          <w:lang w:val="es-ES_tradnl"/>
        </w:rPr>
        <w:t>Para que se considere que en un caso hay duplicación o cosa juzgada internacional,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006E47F5" w:rsidRPr="00ED7E91">
        <w:rPr>
          <w:rFonts w:asciiTheme="majorHAnsi" w:eastAsia="Times New Roman" w:hAnsiTheme="majorHAnsi"/>
          <w:color w:val="auto"/>
          <w:sz w:val="20"/>
          <w:szCs w:val="20"/>
          <w:bdr w:val="none" w:sz="0" w:space="0" w:color="auto" w:frame="1"/>
          <w:lang w:val="es-ES_tradnl"/>
        </w:rPr>
        <w:t xml:space="preserve"> </w:t>
      </w:r>
      <w:r w:rsidRPr="00ED7E91">
        <w:rPr>
          <w:color w:val="auto"/>
          <w:sz w:val="20"/>
          <w:szCs w:val="20"/>
          <w:lang w:val="es-ES"/>
        </w:rPr>
        <w:t xml:space="preserve">En la especie, la Comisión observa que, según las normas que rigen este mecanismo, el Grupo de Trabajo fue establecido en virtud de la resolución 1991/42 como Procedimiento Especial y cumple con el mandato de </w:t>
      </w:r>
      <w:r w:rsidRPr="00ED7E91">
        <w:rPr>
          <w:color w:val="auto"/>
          <w:sz w:val="20"/>
          <w:szCs w:val="20"/>
          <w:lang w:val="es-ES"/>
        </w:rPr>
        <w:lastRenderedPageBreak/>
        <w:t>investigar casos de detención impuesta arbitrariamente. Por otro lado, el mandato de la Comisión Interamericana de Derechos Humanos en este caso deriva de una fuente convencional, la Convención Americana sobre Derechos Humanos</w:t>
      </w:r>
      <w:r w:rsidR="006E47F5" w:rsidRPr="00ED7E91">
        <w:rPr>
          <w:rStyle w:val="FootnoteReference"/>
          <w:rFonts w:cs="Calibri"/>
          <w:color w:val="auto"/>
          <w:sz w:val="20"/>
          <w:szCs w:val="20"/>
        </w:rPr>
        <w:footnoteReference w:id="5"/>
      </w:r>
      <w:r w:rsidRPr="00ED7E91">
        <w:rPr>
          <w:color w:val="auto"/>
          <w:sz w:val="20"/>
          <w:szCs w:val="20"/>
          <w:lang w:val="es-ES"/>
        </w:rPr>
        <w:t>.</w:t>
      </w:r>
    </w:p>
    <w:p w14:paraId="1573A7C1" w14:textId="601539E5" w:rsidR="00EB7D9F" w:rsidRPr="00ED7E91" w:rsidRDefault="00D920E2" w:rsidP="00CE71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 xml:space="preserve">Establecido lo anterior, la Comisión encuentra </w:t>
      </w:r>
      <w:r w:rsidRPr="00ED7E91">
        <w:rPr>
          <w:rFonts w:ascii="Cambria" w:hAnsi="Cambria"/>
          <w:sz w:val="20"/>
          <w:szCs w:val="20"/>
          <w:lang w:val="es-ES_tradnl"/>
        </w:rPr>
        <w:t xml:space="preserve">que </w:t>
      </w:r>
      <w:r w:rsidRPr="00ED7E91">
        <w:rPr>
          <w:rFonts w:ascii="Cambria" w:hAnsi="Cambria"/>
          <w:sz w:val="20"/>
          <w:szCs w:val="20"/>
        </w:rPr>
        <w:t xml:space="preserve">el presente caso no se refiere solamente a la detención arbitraria de la presunta víctima, sino también a la presunta violación de otros derechos, los cuales no constituyeron objeto de pronunciamiento por parte del Grupo de Trabajo, toda vez que se trataría de presuntas violaciones que no son de competencia de dicho organismo. </w:t>
      </w:r>
      <w:r w:rsidR="00BB4C03" w:rsidRPr="00ED7E91">
        <w:rPr>
          <w:rFonts w:ascii="Cambria" w:hAnsi="Cambria"/>
          <w:sz w:val="20"/>
          <w:szCs w:val="20"/>
        </w:rPr>
        <w:t xml:space="preserve">En adición, la Comisión observa que la detención preventiva del peticionario se extendió por 6 meses adicionales luego de emitido el pronunciamiento del Grupo de Trabajo </w:t>
      </w:r>
      <w:r w:rsidR="00CE7188" w:rsidRPr="00ED7E91">
        <w:rPr>
          <w:rFonts w:ascii="Cambria" w:hAnsi="Cambria"/>
          <w:sz w:val="20"/>
          <w:szCs w:val="20"/>
        </w:rPr>
        <w:t>y que la decisión final por la c</w:t>
      </w:r>
      <w:r w:rsidR="00BB4C03" w:rsidRPr="00ED7E91">
        <w:rPr>
          <w:rFonts w:ascii="Cambria" w:hAnsi="Cambria"/>
          <w:sz w:val="20"/>
          <w:szCs w:val="20"/>
        </w:rPr>
        <w:t>ual la Corte Suprema concluyó que la detención preventiva del peticionario no había sido ilegal ni arbitraria se emitió con posterioridad a dicho pronunciamiento</w:t>
      </w:r>
      <w:r w:rsidR="00CE7188" w:rsidRPr="00ED7E91">
        <w:rPr>
          <w:rFonts w:ascii="Cambria" w:hAnsi="Cambria"/>
          <w:sz w:val="20"/>
          <w:szCs w:val="20"/>
        </w:rPr>
        <w:t xml:space="preserve">.  </w:t>
      </w:r>
      <w:r w:rsidR="00AF7E06" w:rsidRPr="00ED7E91">
        <w:rPr>
          <w:rFonts w:ascii="Cambria" w:hAnsi="Cambria"/>
          <w:sz w:val="20"/>
          <w:szCs w:val="20"/>
        </w:rPr>
        <w:t>Por esta razón, concluye que</w:t>
      </w:r>
      <w:r w:rsidR="00BF3CA2" w:rsidRPr="00ED7E91">
        <w:rPr>
          <w:rFonts w:ascii="Cambria" w:hAnsi="Cambria"/>
          <w:sz w:val="20"/>
          <w:szCs w:val="20"/>
        </w:rPr>
        <w:t xml:space="preserve"> </w:t>
      </w:r>
      <w:r w:rsidR="00BF3CA2" w:rsidRPr="00ED7E91">
        <w:rPr>
          <w:rFonts w:ascii="Cambria" w:hAnsi="Cambria"/>
          <w:sz w:val="20"/>
          <w:szCs w:val="20"/>
          <w:lang w:val="es-CL"/>
        </w:rPr>
        <w:t xml:space="preserve">no se han configurado los requisitos para determinar la inadmisibilidad de la petición, en base a los artículos </w:t>
      </w:r>
      <w:r w:rsidR="00BF3CA2" w:rsidRPr="00ED7E91">
        <w:rPr>
          <w:rFonts w:ascii="Cambria" w:hAnsi="Cambria"/>
          <w:sz w:val="20"/>
          <w:szCs w:val="20"/>
          <w:lang w:val="es-UY"/>
        </w:rPr>
        <w:t>46.1.c y 47.d</w:t>
      </w:r>
      <w:r w:rsidR="00BF3CA2" w:rsidRPr="00ED7E91">
        <w:rPr>
          <w:rFonts w:ascii="Cambria" w:hAnsi="Cambria"/>
          <w:sz w:val="20"/>
          <w:szCs w:val="20"/>
          <w:lang w:val="es-CL"/>
        </w:rPr>
        <w:t xml:space="preserve"> de la Convención y del artículo 33 del Reglamento de la CIDH.</w:t>
      </w:r>
    </w:p>
    <w:p w14:paraId="6F4D4171" w14:textId="605ED712" w:rsidR="003239B8" w:rsidRPr="00ED7E91" w:rsidRDefault="003239B8" w:rsidP="000F307D">
      <w:pPr>
        <w:spacing w:before="240" w:after="240"/>
        <w:ind w:firstLine="720"/>
        <w:jc w:val="both"/>
        <w:rPr>
          <w:rFonts w:asciiTheme="majorHAnsi" w:eastAsia="Cambria" w:hAnsiTheme="majorHAnsi" w:cs="Cambria"/>
          <w:b/>
          <w:bCs/>
          <w:sz w:val="20"/>
          <w:szCs w:val="20"/>
          <w:u w:color="000000"/>
          <w:lang w:eastAsia="es-ES"/>
        </w:rPr>
      </w:pPr>
      <w:r w:rsidRPr="00ED7E91">
        <w:rPr>
          <w:rFonts w:asciiTheme="majorHAnsi" w:eastAsia="Cambria" w:hAnsiTheme="majorHAnsi" w:cs="Cambria"/>
          <w:b/>
          <w:bCs/>
          <w:sz w:val="20"/>
          <w:szCs w:val="20"/>
          <w:u w:color="000000"/>
          <w:lang w:eastAsia="es-ES"/>
        </w:rPr>
        <w:t>VI</w:t>
      </w:r>
      <w:r w:rsidR="00082443" w:rsidRPr="00ED7E91">
        <w:rPr>
          <w:rFonts w:asciiTheme="majorHAnsi" w:eastAsia="Cambria" w:hAnsiTheme="majorHAnsi" w:cs="Cambria"/>
          <w:b/>
          <w:bCs/>
          <w:sz w:val="20"/>
          <w:szCs w:val="20"/>
          <w:u w:color="000000"/>
          <w:lang w:eastAsia="es-ES"/>
        </w:rPr>
        <w:t>I</w:t>
      </w:r>
      <w:r w:rsidRPr="00ED7E91">
        <w:rPr>
          <w:rFonts w:asciiTheme="majorHAnsi" w:eastAsia="Cambria" w:hAnsiTheme="majorHAnsi" w:cs="Cambria"/>
          <w:b/>
          <w:bCs/>
          <w:sz w:val="20"/>
          <w:szCs w:val="20"/>
          <w:u w:color="000000"/>
          <w:lang w:eastAsia="es-ES"/>
        </w:rPr>
        <w:t>.</w:t>
      </w:r>
      <w:r w:rsidRPr="00ED7E91">
        <w:rPr>
          <w:rFonts w:asciiTheme="majorHAnsi" w:eastAsia="Cambria" w:hAnsiTheme="majorHAnsi" w:cs="Cambria"/>
          <w:b/>
          <w:bCs/>
          <w:sz w:val="20"/>
          <w:szCs w:val="20"/>
          <w:u w:color="000000"/>
          <w:lang w:eastAsia="es-ES"/>
        </w:rPr>
        <w:tab/>
      </w:r>
      <w:r w:rsidR="004A6A54" w:rsidRPr="00ED7E91">
        <w:rPr>
          <w:rFonts w:asciiTheme="majorHAnsi" w:hAnsiTheme="majorHAnsi"/>
          <w:b/>
          <w:bCs/>
          <w:sz w:val="20"/>
          <w:szCs w:val="20"/>
          <w:lang w:val="es-ES_tradnl"/>
        </w:rPr>
        <w:t xml:space="preserve">ANÁLISIS DE </w:t>
      </w:r>
      <w:r w:rsidR="00C21FEF" w:rsidRPr="00ED7E91">
        <w:rPr>
          <w:rFonts w:asciiTheme="majorHAnsi" w:hAnsiTheme="majorHAnsi"/>
          <w:b/>
          <w:sz w:val="20"/>
          <w:szCs w:val="20"/>
        </w:rPr>
        <w:t>AGOTAMIENTO DE LOS RECURSOS INTERNOS PLAZO DE PRESENTACIÓN</w:t>
      </w:r>
      <w:r w:rsidR="00C21FEF" w:rsidRPr="00ED7E91">
        <w:rPr>
          <w:rFonts w:asciiTheme="majorHAnsi" w:eastAsia="Cambria" w:hAnsiTheme="majorHAnsi" w:cs="Cambria"/>
          <w:b/>
          <w:bCs/>
          <w:sz w:val="20"/>
          <w:szCs w:val="20"/>
          <w:u w:color="000000"/>
          <w:lang w:eastAsia="es-ES"/>
        </w:rPr>
        <w:t xml:space="preserve"> </w:t>
      </w:r>
      <w:r w:rsidR="00B15EEC" w:rsidRPr="00ED7E91">
        <w:rPr>
          <w:rFonts w:asciiTheme="majorHAnsi" w:eastAsia="Cambria" w:hAnsiTheme="majorHAnsi" w:cs="Cambria"/>
          <w:b/>
          <w:bCs/>
          <w:sz w:val="20"/>
          <w:szCs w:val="20"/>
          <w:u w:color="000000"/>
          <w:lang w:eastAsia="es-ES"/>
        </w:rPr>
        <w:t xml:space="preserve">  </w:t>
      </w:r>
    </w:p>
    <w:p w14:paraId="45D8D28A" w14:textId="4D81182A" w:rsidR="00627BBB" w:rsidRPr="00ED7E91" w:rsidRDefault="00627BBB" w:rsidP="003C0E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La Comisión toma nota que ninguna de las part</w:t>
      </w:r>
      <w:r w:rsidR="007F4F83" w:rsidRPr="00ED7E91">
        <w:rPr>
          <w:rFonts w:ascii="Cambria" w:hAnsi="Cambria"/>
          <w:sz w:val="20"/>
          <w:szCs w:val="20"/>
        </w:rPr>
        <w:t>es ha</w:t>
      </w:r>
      <w:r w:rsidRPr="00ED7E91">
        <w:rPr>
          <w:rFonts w:ascii="Cambria" w:hAnsi="Cambria"/>
          <w:sz w:val="20"/>
          <w:szCs w:val="20"/>
        </w:rPr>
        <w:t xml:space="preserve"> presentado observaciones con respecto a si la petición</w:t>
      </w:r>
      <w:r w:rsidR="007F4F83" w:rsidRPr="00ED7E91">
        <w:rPr>
          <w:rFonts w:ascii="Cambria" w:hAnsi="Cambria"/>
          <w:sz w:val="20"/>
          <w:szCs w:val="20"/>
        </w:rPr>
        <w:t xml:space="preserve"> cumple o no con los requisitos de agotamiento de los recursos y presentación dentro de plazo.</w:t>
      </w:r>
      <w:r w:rsidR="00AF7E06" w:rsidRPr="00ED7E91">
        <w:rPr>
          <w:rFonts w:ascii="Cambria" w:hAnsi="Cambria"/>
          <w:sz w:val="20"/>
          <w:szCs w:val="20"/>
        </w:rPr>
        <w:t xml:space="preserve"> Pese a ello, la Comisión ha realizado un análisis de la información en expediente a fines de evaluar si la petición cumple con estos requisitos. </w:t>
      </w:r>
    </w:p>
    <w:p w14:paraId="200E198A" w14:textId="3D374EC9" w:rsidR="00404131" w:rsidRPr="00ED7E91" w:rsidRDefault="007F4F83" w:rsidP="003C0E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Cambria" w:hAnsi="Cambria"/>
          <w:sz w:val="20"/>
          <w:szCs w:val="20"/>
        </w:rPr>
        <w:t>En lo relativo a la detención preventiva de la presunta víctima, l</w:t>
      </w:r>
      <w:r w:rsidR="00833CFD" w:rsidRPr="00ED7E91">
        <w:rPr>
          <w:rFonts w:ascii="Cambria" w:hAnsi="Cambria"/>
          <w:sz w:val="20"/>
          <w:szCs w:val="20"/>
        </w:rPr>
        <w:t xml:space="preserve">a CIDH observa que </w:t>
      </w:r>
      <w:r w:rsidRPr="00ED7E91">
        <w:rPr>
          <w:rFonts w:ascii="Cambria" w:hAnsi="Cambria"/>
          <w:sz w:val="20"/>
          <w:szCs w:val="20"/>
        </w:rPr>
        <w:t>esta medida fue cuestionada estando en vigencia mediante la interposición de una acción</w:t>
      </w:r>
      <w:r w:rsidR="00AD72FB" w:rsidRPr="00ED7E91">
        <w:rPr>
          <w:rFonts w:ascii="Cambria" w:hAnsi="Cambria"/>
          <w:sz w:val="20"/>
          <w:szCs w:val="20"/>
        </w:rPr>
        <w:t xml:space="preserve"> de </w:t>
      </w:r>
      <w:r w:rsidR="00AD72FB" w:rsidRPr="00ED7E91">
        <w:rPr>
          <w:rFonts w:ascii="Cambria" w:hAnsi="Cambria"/>
          <w:i/>
          <w:sz w:val="20"/>
          <w:szCs w:val="20"/>
        </w:rPr>
        <w:t>habeas corpus</w:t>
      </w:r>
      <w:r w:rsidRPr="00ED7E91">
        <w:rPr>
          <w:rFonts w:ascii="Cambria" w:hAnsi="Cambria"/>
          <w:sz w:val="20"/>
          <w:szCs w:val="20"/>
        </w:rPr>
        <w:t>.</w:t>
      </w:r>
      <w:r w:rsidR="00AD72FB" w:rsidRPr="00ED7E91">
        <w:rPr>
          <w:rFonts w:ascii="Cambria" w:hAnsi="Cambria"/>
          <w:i/>
          <w:sz w:val="20"/>
          <w:szCs w:val="20"/>
        </w:rPr>
        <w:t xml:space="preserve"> </w:t>
      </w:r>
      <w:r w:rsidRPr="00ED7E91">
        <w:rPr>
          <w:rFonts w:ascii="Cambria" w:hAnsi="Cambria"/>
          <w:sz w:val="20"/>
          <w:szCs w:val="20"/>
        </w:rPr>
        <w:t>Surge del expediente que esta acción</w:t>
      </w:r>
      <w:r w:rsidR="00AD72FB" w:rsidRPr="00ED7E91">
        <w:rPr>
          <w:rFonts w:ascii="Cambria" w:hAnsi="Cambria"/>
          <w:i/>
          <w:sz w:val="20"/>
          <w:szCs w:val="20"/>
        </w:rPr>
        <w:t xml:space="preserve"> </w:t>
      </w:r>
      <w:r w:rsidRPr="00ED7E91">
        <w:rPr>
          <w:rFonts w:ascii="Cambria" w:hAnsi="Cambria"/>
          <w:sz w:val="20"/>
          <w:szCs w:val="20"/>
        </w:rPr>
        <w:t>fue decidida</w:t>
      </w:r>
      <w:r w:rsidR="002B3C46" w:rsidRPr="00ED7E91">
        <w:rPr>
          <w:rFonts w:ascii="Cambria" w:hAnsi="Cambria"/>
          <w:sz w:val="20"/>
          <w:szCs w:val="20"/>
        </w:rPr>
        <w:t xml:space="preserve"> el 1 de noviembre de 2012</w:t>
      </w:r>
      <w:r w:rsidRPr="00ED7E91">
        <w:rPr>
          <w:rFonts w:ascii="Cambria" w:hAnsi="Cambria"/>
          <w:sz w:val="20"/>
          <w:szCs w:val="20"/>
        </w:rPr>
        <w:t xml:space="preserve"> por la Corte Suprema quien</w:t>
      </w:r>
      <w:r w:rsidR="002B3C46" w:rsidRPr="00ED7E91">
        <w:rPr>
          <w:rFonts w:ascii="Cambria" w:hAnsi="Cambria"/>
          <w:sz w:val="20"/>
          <w:szCs w:val="20"/>
        </w:rPr>
        <w:t xml:space="preserve"> decidió sustituir la prisión preventiva por otras medidas cautelares</w:t>
      </w:r>
      <w:r w:rsidRPr="00ED7E91">
        <w:rPr>
          <w:rFonts w:ascii="Cambria" w:hAnsi="Cambria"/>
          <w:sz w:val="20"/>
          <w:szCs w:val="20"/>
        </w:rPr>
        <w:t>, pero ratificó que la detención preventiva del peticionario desde 2006 hasta esa fecha no había sido ilegal ni arbitraria</w:t>
      </w:r>
      <w:r w:rsidR="002B3C46" w:rsidRPr="00ED7E91">
        <w:rPr>
          <w:rFonts w:ascii="Cambria" w:hAnsi="Cambria"/>
          <w:sz w:val="20"/>
          <w:szCs w:val="20"/>
        </w:rPr>
        <w:t xml:space="preserve">. </w:t>
      </w:r>
      <w:r w:rsidR="00A769DF" w:rsidRPr="00ED7E91">
        <w:rPr>
          <w:rFonts w:ascii="Cambria" w:hAnsi="Cambria"/>
          <w:sz w:val="20"/>
          <w:szCs w:val="20"/>
        </w:rPr>
        <w:t>La Comisión toma nota</w:t>
      </w:r>
      <w:r w:rsidRPr="00ED7E91">
        <w:rPr>
          <w:rFonts w:ascii="Cambria" w:hAnsi="Cambria"/>
          <w:sz w:val="20"/>
          <w:szCs w:val="20"/>
        </w:rPr>
        <w:t xml:space="preserve"> que el Estado no ha hecho referencia ni surge del expediente la existencia de otros recursos internos no agotados que pudieran ser idóneos para que las reclamaciones del peticionario con respecto a la ilegalidad y arbitrariedad de la prolongación de su detención preventiva</w:t>
      </w:r>
      <w:r w:rsidR="00A769DF" w:rsidRPr="00ED7E91">
        <w:rPr>
          <w:rFonts w:ascii="Cambria" w:hAnsi="Cambria"/>
          <w:sz w:val="20"/>
          <w:szCs w:val="20"/>
        </w:rPr>
        <w:t xml:space="preserve"> sean atendidas a nivel doméstico. Por esta razón,</w:t>
      </w:r>
      <w:r w:rsidRPr="00ED7E91">
        <w:rPr>
          <w:rFonts w:ascii="Cambria" w:hAnsi="Cambria"/>
          <w:sz w:val="20"/>
          <w:szCs w:val="20"/>
        </w:rPr>
        <w:t xml:space="preserve"> </w:t>
      </w:r>
      <w:r w:rsidR="002B3C46" w:rsidRPr="00ED7E91">
        <w:rPr>
          <w:rFonts w:ascii="Cambria" w:hAnsi="Cambria"/>
          <w:sz w:val="20"/>
          <w:szCs w:val="20"/>
        </w:rPr>
        <w:t xml:space="preserve">la CIDH concluye que los recursos internos fueron agotados </w:t>
      </w:r>
      <w:r w:rsidRPr="00ED7E91">
        <w:rPr>
          <w:rFonts w:ascii="Cambria" w:hAnsi="Cambria"/>
          <w:sz w:val="20"/>
          <w:szCs w:val="20"/>
        </w:rPr>
        <w:t xml:space="preserve">con respecto a este extremo de la petición </w:t>
      </w:r>
      <w:r w:rsidR="002B3C46" w:rsidRPr="00ED7E91">
        <w:rPr>
          <w:rFonts w:ascii="Cambria" w:hAnsi="Cambria"/>
          <w:sz w:val="20"/>
          <w:szCs w:val="20"/>
        </w:rPr>
        <w:t>en noviembre de 2012 mientras que la petición ya se encontraba bajo el análisis de la Comisión. En estas circunstancias, corresponde dar por satisfechos los requisitos de los artículos 46.1</w:t>
      </w:r>
      <w:r w:rsidR="003C0E8D" w:rsidRPr="00ED7E91">
        <w:rPr>
          <w:rFonts w:ascii="Cambria" w:hAnsi="Cambria"/>
          <w:sz w:val="20"/>
          <w:szCs w:val="20"/>
        </w:rPr>
        <w:t>a</w:t>
      </w:r>
      <w:r w:rsidR="002B3C46" w:rsidRPr="00ED7E91">
        <w:rPr>
          <w:rFonts w:ascii="Cambria" w:hAnsi="Cambria"/>
          <w:sz w:val="20"/>
          <w:szCs w:val="20"/>
        </w:rPr>
        <w:t xml:space="preserve"> y 46.1.b de la Convención Americana</w:t>
      </w:r>
      <w:r w:rsidR="00A769DF" w:rsidRPr="00ED7E91">
        <w:rPr>
          <w:rFonts w:ascii="Cambria" w:hAnsi="Cambria"/>
          <w:sz w:val="20"/>
          <w:szCs w:val="20"/>
        </w:rPr>
        <w:t xml:space="preserve"> con respecto a este extremo</w:t>
      </w:r>
      <w:r w:rsidR="002B3C46" w:rsidRPr="00ED7E91">
        <w:rPr>
          <w:rFonts w:ascii="Cambria" w:hAnsi="Cambria"/>
          <w:sz w:val="20"/>
          <w:szCs w:val="20"/>
        </w:rPr>
        <w:t xml:space="preserve">. </w:t>
      </w:r>
    </w:p>
    <w:p w14:paraId="0729A881" w14:textId="6F665B53" w:rsidR="00CF2B27" w:rsidRPr="00ED7E91" w:rsidRDefault="006E47F5" w:rsidP="00037C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rPr>
      </w:pPr>
      <w:r w:rsidRPr="00ED7E91">
        <w:rPr>
          <w:rFonts w:ascii="Cambria" w:hAnsi="Cambria"/>
          <w:sz w:val="20"/>
          <w:szCs w:val="20"/>
        </w:rPr>
        <w:t xml:space="preserve">En relación con </w:t>
      </w:r>
      <w:r w:rsidR="00C137CA" w:rsidRPr="00ED7E91">
        <w:rPr>
          <w:rFonts w:ascii="Cambria" w:hAnsi="Cambria"/>
          <w:sz w:val="20"/>
          <w:szCs w:val="20"/>
        </w:rPr>
        <w:t>la supuesta violación del plazo razonable y otras alegadas violaciones al debido proceso en el desarrollo d</w:t>
      </w:r>
      <w:r w:rsidRPr="00ED7E91">
        <w:rPr>
          <w:rFonts w:ascii="Cambria" w:hAnsi="Cambria"/>
          <w:sz w:val="20"/>
          <w:szCs w:val="20"/>
        </w:rPr>
        <w:t>el proceso penal</w:t>
      </w:r>
      <w:r w:rsidR="00C137CA" w:rsidRPr="00ED7E91">
        <w:rPr>
          <w:rFonts w:ascii="Cambria" w:hAnsi="Cambria"/>
          <w:sz w:val="20"/>
          <w:szCs w:val="20"/>
        </w:rPr>
        <w:t xml:space="preserve"> contra la presunta víctima</w:t>
      </w:r>
      <w:r w:rsidRPr="00ED7E91">
        <w:rPr>
          <w:rFonts w:ascii="Cambria" w:hAnsi="Cambria"/>
          <w:sz w:val="20"/>
          <w:szCs w:val="20"/>
        </w:rPr>
        <w:t>, la CIDH</w:t>
      </w:r>
      <w:r w:rsidR="00CF2B27" w:rsidRPr="00ED7E91">
        <w:rPr>
          <w:rFonts w:ascii="Cambria" w:hAnsi="Cambria"/>
          <w:sz w:val="20"/>
          <w:szCs w:val="20"/>
        </w:rPr>
        <w:t xml:space="preserve"> observa que el Estado no ha alegado ni surge del expediente que existen recursos internos no agotados que pudieran ser idóneos para que la presunta víctima recurra la Sentencia condenatoria de segunda instancia emitida por la Sala Penal de la Corte Suprema. Dado que la sentencia condenatoria definitiva fue emitida el 11 de abril de 2017 y la petición presentada el 10 de agosto de 2010, la Comisión concluye que estos aspectos de la petición también cumplen con los requisitos del artículo 46.1(a) y (b) de la Convención Americana. </w:t>
      </w:r>
    </w:p>
    <w:p w14:paraId="4FFBE378" w14:textId="207016DC" w:rsidR="003239B8" w:rsidRPr="00ED7E91" w:rsidRDefault="003239B8" w:rsidP="00CF2B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rPr>
      </w:pPr>
      <w:r w:rsidRPr="00ED7E91">
        <w:rPr>
          <w:rFonts w:asciiTheme="majorHAnsi" w:hAnsiTheme="majorHAnsi"/>
          <w:b/>
          <w:bCs/>
          <w:sz w:val="20"/>
          <w:szCs w:val="20"/>
        </w:rPr>
        <w:t>VI</w:t>
      </w:r>
      <w:r w:rsidR="00082443" w:rsidRPr="00ED7E91">
        <w:rPr>
          <w:rFonts w:asciiTheme="majorHAnsi" w:hAnsiTheme="majorHAnsi"/>
          <w:b/>
          <w:bCs/>
          <w:sz w:val="20"/>
          <w:szCs w:val="20"/>
        </w:rPr>
        <w:t>I</w:t>
      </w:r>
      <w:r w:rsidRPr="00ED7E91">
        <w:rPr>
          <w:rFonts w:asciiTheme="majorHAnsi" w:hAnsiTheme="majorHAnsi"/>
          <w:b/>
          <w:bCs/>
          <w:sz w:val="20"/>
          <w:szCs w:val="20"/>
        </w:rPr>
        <w:t>I.</w:t>
      </w:r>
      <w:r w:rsidRPr="00ED7E91">
        <w:rPr>
          <w:rFonts w:asciiTheme="majorHAnsi" w:hAnsiTheme="majorHAnsi"/>
          <w:b/>
          <w:bCs/>
          <w:sz w:val="20"/>
          <w:szCs w:val="20"/>
        </w:rPr>
        <w:tab/>
      </w:r>
      <w:r w:rsidR="004A6A54" w:rsidRPr="00ED7E91">
        <w:rPr>
          <w:rFonts w:asciiTheme="majorHAnsi" w:hAnsiTheme="majorHAnsi"/>
          <w:b/>
          <w:bCs/>
          <w:sz w:val="20"/>
          <w:szCs w:val="20"/>
          <w:lang w:val="es-ES_tradnl"/>
        </w:rPr>
        <w:t xml:space="preserve">ANÁLISIS DE </w:t>
      </w:r>
      <w:r w:rsidR="00C21FEF" w:rsidRPr="00ED7E91">
        <w:rPr>
          <w:rFonts w:asciiTheme="majorHAnsi" w:hAnsiTheme="majorHAnsi"/>
          <w:b/>
          <w:bCs/>
          <w:sz w:val="20"/>
          <w:szCs w:val="20"/>
        </w:rPr>
        <w:t xml:space="preserve">CARACTERIZACIÓN </w:t>
      </w:r>
      <w:r w:rsidR="00C21FEF" w:rsidRPr="00ED7E91">
        <w:rPr>
          <w:rFonts w:asciiTheme="majorHAnsi" w:hAnsiTheme="majorHAnsi"/>
          <w:b/>
          <w:bCs/>
          <w:sz w:val="20"/>
          <w:szCs w:val="20"/>
          <w:lang w:val="es-UY"/>
        </w:rPr>
        <w:t>DE LOS HECHOS ALEGADOS</w:t>
      </w:r>
    </w:p>
    <w:p w14:paraId="0ACB7853" w14:textId="77777777" w:rsidR="00CF2B27" w:rsidRPr="00ED7E91" w:rsidRDefault="00CF2B27" w:rsidP="00950E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D7E91">
        <w:rPr>
          <w:rFonts w:asciiTheme="majorHAnsi" w:hAnsiTheme="majorHAnsi"/>
          <w:sz w:val="20"/>
          <w:szCs w:val="20"/>
        </w:rPr>
        <w:t>La Comisión observa que la presente petición incluye alegaciones con respecto a que el peticionario fue sujeto a prisión preventiva por un tiempo injustificadamente prolongado que excedió la pena máxima del delito que se le imputaba; así como a que el proceso penal contra el peticionario se prolongó injustificadamente por más de 10 años durante la mayoría los cuales el peticionario estuvo sometido a prisión preventiva o medida cautelar de impedimento de abandonar su residencia.</w:t>
      </w:r>
    </w:p>
    <w:p w14:paraId="06472A2E" w14:textId="0F7B125F" w:rsidR="00861D2D" w:rsidRPr="00ED7E91" w:rsidRDefault="00D344FE" w:rsidP="00861D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D7E91">
        <w:rPr>
          <w:rFonts w:asciiTheme="majorHAnsi" w:hAnsiTheme="majorHAnsi"/>
          <w:sz w:val="20"/>
          <w:szCs w:val="20"/>
        </w:rPr>
        <w:t xml:space="preserve">Dada la naturaleza de las alegaciones, la Comisión considera pertinente recordar que la Corte Interamericana ha concluido que “aun cuando medien razones para mantener a una persona en prisión </w:t>
      </w:r>
      <w:r w:rsidRPr="00ED7E91">
        <w:rPr>
          <w:rFonts w:asciiTheme="majorHAnsi" w:hAnsiTheme="majorHAnsi"/>
          <w:sz w:val="20"/>
          <w:szCs w:val="20"/>
        </w:rPr>
        <w:lastRenderedPageBreak/>
        <w:t>preventiva, el artículo 7.5 garantiza que aquella sea liberada si el periodo de la detención ha excedido el límite de lo razonable”</w:t>
      </w:r>
      <w:r w:rsidRPr="00ED7E91">
        <w:rPr>
          <w:rStyle w:val="FootnoteReference"/>
          <w:rFonts w:asciiTheme="majorHAnsi" w:hAnsiTheme="majorHAnsi"/>
          <w:sz w:val="20"/>
          <w:szCs w:val="20"/>
        </w:rPr>
        <w:footnoteReference w:id="6"/>
      </w:r>
      <w:r w:rsidRPr="00ED7E91">
        <w:rPr>
          <w:rFonts w:asciiTheme="majorHAnsi" w:hAnsiTheme="majorHAnsi"/>
          <w:sz w:val="20"/>
          <w:szCs w:val="20"/>
        </w:rPr>
        <w:t>. De igual manera, que la C</w:t>
      </w:r>
      <w:r w:rsidR="00861D2D" w:rsidRPr="00ED7E91">
        <w:rPr>
          <w:rFonts w:asciiTheme="majorHAnsi" w:hAnsiTheme="majorHAnsi"/>
          <w:sz w:val="20"/>
          <w:szCs w:val="20"/>
        </w:rPr>
        <w:t>orte Interamericana ha establecido que una demora prolongada puede llegar a constituir por sí misma una violación de las garantías judiciales</w:t>
      </w:r>
      <w:r w:rsidR="00861D2D" w:rsidRPr="00ED7E91">
        <w:rPr>
          <w:rStyle w:val="FootnoteReference"/>
          <w:rFonts w:asciiTheme="majorHAnsi" w:hAnsiTheme="majorHAnsi"/>
          <w:sz w:val="20"/>
          <w:szCs w:val="20"/>
        </w:rPr>
        <w:footnoteReference w:id="7"/>
      </w:r>
      <w:r w:rsidR="00861D2D" w:rsidRPr="00ED7E91">
        <w:rPr>
          <w:rFonts w:asciiTheme="majorHAnsi" w:hAnsiTheme="majorHAnsi"/>
          <w:sz w:val="20"/>
          <w:szCs w:val="20"/>
        </w:rPr>
        <w:t xml:space="preserve">. </w:t>
      </w:r>
    </w:p>
    <w:p w14:paraId="5EB29B53" w14:textId="5543D30D" w:rsidR="00950E04" w:rsidRPr="00ED7E91" w:rsidRDefault="00861D2D" w:rsidP="00950E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D7E91">
        <w:rPr>
          <w:rFonts w:ascii="Cambria" w:hAnsi="Cambria" w:cs="Arial"/>
          <w:sz w:val="20"/>
          <w:szCs w:val="20"/>
          <w:lang w:val="es-VE"/>
        </w:rPr>
        <w:t>En atención a estas consideraciones y tras examinar los elementos de hecho y de derecho expuestos por las partes la Comisión estima que las alegaciones de la parte peticionaria no resultan manifiestamente infundadas y requieren un estudio de fondo pues lo hechos alegados, de corroborarse como ciertos, podrían caracterizar violaciones a los artículos</w:t>
      </w:r>
      <w:r w:rsidR="00A14860" w:rsidRPr="00ED7E91">
        <w:rPr>
          <w:rFonts w:asciiTheme="majorHAnsi" w:hAnsiTheme="majorHAnsi"/>
          <w:sz w:val="20"/>
          <w:szCs w:val="20"/>
        </w:rPr>
        <w:t xml:space="preserve"> 7 (libertad personal), 8 (garantías judiciales) y 25 (protección judicial) de </w:t>
      </w:r>
      <w:r w:rsidR="00082443" w:rsidRPr="00ED7E91">
        <w:rPr>
          <w:rFonts w:asciiTheme="majorHAnsi" w:hAnsiTheme="majorHAnsi"/>
          <w:sz w:val="20"/>
          <w:szCs w:val="20"/>
        </w:rPr>
        <w:t>la Conven</w:t>
      </w:r>
      <w:r w:rsidRPr="00ED7E91">
        <w:rPr>
          <w:rFonts w:asciiTheme="majorHAnsi" w:hAnsiTheme="majorHAnsi"/>
          <w:sz w:val="20"/>
          <w:szCs w:val="20"/>
        </w:rPr>
        <w:t xml:space="preserve">ción Americana en relación son </w:t>
      </w:r>
      <w:r w:rsidR="00822EC2" w:rsidRPr="00ED7E91">
        <w:rPr>
          <w:rFonts w:asciiTheme="majorHAnsi" w:hAnsiTheme="majorHAnsi"/>
          <w:sz w:val="20"/>
          <w:szCs w:val="20"/>
        </w:rPr>
        <w:t xml:space="preserve">sus </w:t>
      </w:r>
      <w:r w:rsidR="00082443" w:rsidRPr="00ED7E91">
        <w:rPr>
          <w:rFonts w:asciiTheme="majorHAnsi" w:hAnsiTheme="majorHAnsi"/>
          <w:sz w:val="20"/>
          <w:szCs w:val="20"/>
        </w:rPr>
        <w:t>artículo</w:t>
      </w:r>
      <w:r w:rsidR="00822EC2" w:rsidRPr="00ED7E91">
        <w:rPr>
          <w:rFonts w:asciiTheme="majorHAnsi" w:hAnsiTheme="majorHAnsi"/>
          <w:sz w:val="20"/>
          <w:szCs w:val="20"/>
        </w:rPr>
        <w:t>s</w:t>
      </w:r>
      <w:r w:rsidR="00082443" w:rsidRPr="00ED7E91">
        <w:rPr>
          <w:rFonts w:asciiTheme="majorHAnsi" w:hAnsiTheme="majorHAnsi"/>
          <w:sz w:val="20"/>
          <w:szCs w:val="20"/>
        </w:rPr>
        <w:t xml:space="preserve"> 1.1</w:t>
      </w:r>
      <w:r w:rsidRPr="00ED7E91">
        <w:rPr>
          <w:rFonts w:asciiTheme="majorHAnsi" w:hAnsiTheme="majorHAnsi"/>
          <w:sz w:val="20"/>
          <w:szCs w:val="20"/>
        </w:rPr>
        <w:t xml:space="preserve"> (obligación de respetar los derechos) </w:t>
      </w:r>
      <w:r w:rsidR="00822EC2" w:rsidRPr="00ED7E91">
        <w:rPr>
          <w:rFonts w:asciiTheme="majorHAnsi" w:hAnsiTheme="majorHAnsi"/>
          <w:sz w:val="20"/>
          <w:szCs w:val="20"/>
        </w:rPr>
        <w:t xml:space="preserve"> y 2</w:t>
      </w:r>
      <w:r w:rsidRPr="00ED7E91">
        <w:rPr>
          <w:rFonts w:asciiTheme="majorHAnsi" w:hAnsiTheme="majorHAnsi"/>
          <w:sz w:val="20"/>
          <w:szCs w:val="20"/>
        </w:rPr>
        <w:t xml:space="preserve"> (deber de adoptar disposiciones de derecho interno</w:t>
      </w:r>
      <w:r w:rsidR="00241ACE">
        <w:rPr>
          <w:rFonts w:asciiTheme="majorHAnsi" w:hAnsiTheme="majorHAnsi"/>
          <w:sz w:val="20"/>
          <w:szCs w:val="20"/>
        </w:rPr>
        <w:t>)</w:t>
      </w:r>
      <w:r w:rsidRPr="00ED7E91">
        <w:rPr>
          <w:rFonts w:asciiTheme="majorHAnsi" w:hAnsiTheme="majorHAnsi"/>
          <w:sz w:val="20"/>
          <w:szCs w:val="20"/>
        </w:rPr>
        <w:t>.</w:t>
      </w:r>
    </w:p>
    <w:p w14:paraId="29BB41F5" w14:textId="799CE37F" w:rsidR="003239B8" w:rsidRPr="00ED7E91" w:rsidRDefault="00082443" w:rsidP="003239B8">
      <w:pPr>
        <w:spacing w:before="240" w:after="240"/>
        <w:jc w:val="both"/>
        <w:rPr>
          <w:rFonts w:asciiTheme="majorHAnsi" w:hAnsiTheme="majorHAnsi"/>
          <w:b/>
          <w:bCs/>
          <w:sz w:val="20"/>
          <w:szCs w:val="20"/>
        </w:rPr>
      </w:pPr>
      <w:r w:rsidRPr="00ED7E91">
        <w:rPr>
          <w:rFonts w:asciiTheme="majorHAnsi" w:hAnsiTheme="majorHAnsi"/>
          <w:b/>
          <w:bCs/>
          <w:sz w:val="20"/>
          <w:szCs w:val="20"/>
        </w:rPr>
        <w:tab/>
        <w:t>IX</w:t>
      </w:r>
      <w:r w:rsidR="003239B8" w:rsidRPr="00ED7E91">
        <w:rPr>
          <w:rFonts w:asciiTheme="majorHAnsi" w:hAnsiTheme="majorHAnsi"/>
          <w:b/>
          <w:bCs/>
          <w:sz w:val="20"/>
          <w:szCs w:val="20"/>
        </w:rPr>
        <w:t xml:space="preserve">. </w:t>
      </w:r>
      <w:r w:rsidR="003239B8" w:rsidRPr="00ED7E91">
        <w:rPr>
          <w:rFonts w:asciiTheme="majorHAnsi" w:hAnsiTheme="majorHAnsi"/>
          <w:b/>
          <w:bCs/>
          <w:sz w:val="20"/>
          <w:szCs w:val="20"/>
        </w:rPr>
        <w:tab/>
        <w:t>DECISIÓN</w:t>
      </w:r>
    </w:p>
    <w:p w14:paraId="41AA5BF6" w14:textId="4F092622" w:rsidR="000419AD" w:rsidRPr="00ED7E91"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E91">
        <w:rPr>
          <w:rFonts w:asciiTheme="majorHAnsi" w:hAnsiTheme="majorHAnsi"/>
          <w:sz w:val="20"/>
          <w:szCs w:val="20"/>
        </w:rPr>
        <w:t>Declarar admisible la presente petición en relación con</w:t>
      </w:r>
      <w:r w:rsidR="00E60092" w:rsidRPr="00ED7E91">
        <w:rPr>
          <w:rFonts w:asciiTheme="majorHAnsi" w:hAnsiTheme="majorHAnsi"/>
          <w:sz w:val="20"/>
          <w:szCs w:val="20"/>
        </w:rPr>
        <w:t xml:space="preserve"> los</w:t>
      </w:r>
      <w:r w:rsidRPr="00ED7E91">
        <w:rPr>
          <w:rFonts w:asciiTheme="majorHAnsi" w:hAnsiTheme="majorHAnsi"/>
          <w:sz w:val="20"/>
          <w:szCs w:val="20"/>
        </w:rPr>
        <w:t xml:space="preserve"> </w:t>
      </w:r>
      <w:r w:rsidR="00E60092" w:rsidRPr="00ED7E91">
        <w:rPr>
          <w:rFonts w:ascii="Cambria" w:hAnsi="Cambria"/>
          <w:bCs/>
          <w:sz w:val="20"/>
          <w:szCs w:val="20"/>
          <w:lang w:val="es-CO"/>
        </w:rPr>
        <w:t>artículos 7, 8 y 25 de la Convención</w:t>
      </w:r>
      <w:r w:rsidR="00404131" w:rsidRPr="00ED7E91">
        <w:rPr>
          <w:rFonts w:ascii="Cambria" w:hAnsi="Cambria"/>
          <w:bCs/>
          <w:sz w:val="20"/>
          <w:szCs w:val="20"/>
          <w:lang w:val="es-CO"/>
        </w:rPr>
        <w:t xml:space="preserve"> en </w:t>
      </w:r>
      <w:r w:rsidR="002D44CC">
        <w:rPr>
          <w:rFonts w:ascii="Cambria" w:hAnsi="Cambria"/>
          <w:bCs/>
          <w:sz w:val="20"/>
          <w:szCs w:val="20"/>
          <w:lang w:val="es-CO"/>
        </w:rPr>
        <w:t>concordancia</w:t>
      </w:r>
      <w:r w:rsidR="00404131" w:rsidRPr="00ED7E91">
        <w:rPr>
          <w:rFonts w:ascii="Cambria" w:hAnsi="Cambria"/>
          <w:bCs/>
          <w:sz w:val="20"/>
          <w:szCs w:val="20"/>
          <w:lang w:val="es-CO"/>
        </w:rPr>
        <w:t xml:space="preserve"> con </w:t>
      </w:r>
      <w:r w:rsidR="00822EC2" w:rsidRPr="00ED7E91">
        <w:rPr>
          <w:rFonts w:ascii="Cambria" w:hAnsi="Cambria"/>
          <w:bCs/>
          <w:sz w:val="20"/>
          <w:szCs w:val="20"/>
          <w:lang w:val="es-CO"/>
        </w:rPr>
        <w:t>los</w:t>
      </w:r>
      <w:r w:rsidR="00404131" w:rsidRPr="00ED7E91">
        <w:rPr>
          <w:rFonts w:ascii="Cambria" w:hAnsi="Cambria"/>
          <w:bCs/>
          <w:sz w:val="20"/>
          <w:szCs w:val="20"/>
          <w:lang w:val="es-CO"/>
        </w:rPr>
        <w:t xml:space="preserve"> artículo</w:t>
      </w:r>
      <w:r w:rsidR="00822EC2" w:rsidRPr="00ED7E91">
        <w:rPr>
          <w:rFonts w:ascii="Cambria" w:hAnsi="Cambria"/>
          <w:bCs/>
          <w:sz w:val="20"/>
          <w:szCs w:val="20"/>
          <w:lang w:val="es-CO"/>
        </w:rPr>
        <w:t>s</w:t>
      </w:r>
      <w:r w:rsidR="00404131" w:rsidRPr="00ED7E91">
        <w:rPr>
          <w:rFonts w:ascii="Cambria" w:hAnsi="Cambria"/>
          <w:bCs/>
          <w:sz w:val="20"/>
          <w:szCs w:val="20"/>
          <w:lang w:val="es-CO"/>
        </w:rPr>
        <w:t xml:space="preserve"> 1.1</w:t>
      </w:r>
      <w:r w:rsidR="00822EC2" w:rsidRPr="00ED7E91">
        <w:rPr>
          <w:rFonts w:ascii="Cambria" w:hAnsi="Cambria"/>
          <w:bCs/>
          <w:sz w:val="20"/>
          <w:szCs w:val="20"/>
          <w:lang w:val="es-CO"/>
        </w:rPr>
        <w:t xml:space="preserve"> y 2 </w:t>
      </w:r>
      <w:r w:rsidR="00404131" w:rsidRPr="00ED7E91">
        <w:rPr>
          <w:rFonts w:ascii="Cambria" w:hAnsi="Cambria"/>
          <w:bCs/>
          <w:sz w:val="20"/>
          <w:szCs w:val="20"/>
          <w:lang w:val="es-CO"/>
        </w:rPr>
        <w:t>del mismo instrumento</w:t>
      </w:r>
      <w:r w:rsidR="008D0DD8">
        <w:rPr>
          <w:rFonts w:ascii="Cambria" w:hAnsi="Cambria"/>
          <w:bCs/>
          <w:sz w:val="20"/>
          <w:szCs w:val="20"/>
          <w:lang w:val="es-CO"/>
        </w:rPr>
        <w:t>; y</w:t>
      </w:r>
    </w:p>
    <w:p w14:paraId="5935A03B" w14:textId="29492AD2" w:rsidR="00722C9F" w:rsidRDefault="004A6A54" w:rsidP="0008244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Calibri"/>
          <w:sz w:val="20"/>
          <w:szCs w:val="20"/>
        </w:rPr>
      </w:pPr>
      <w:r w:rsidRPr="00ED7E91">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r w:rsidR="00082443" w:rsidRPr="00ED7E91">
        <w:rPr>
          <w:rFonts w:ascii="Cambria" w:hAnsi="Cambria" w:cs="Calibri"/>
          <w:sz w:val="20"/>
          <w:szCs w:val="20"/>
        </w:rPr>
        <w:t xml:space="preserve"> </w:t>
      </w:r>
    </w:p>
    <w:p w14:paraId="3882224F" w14:textId="0E79001D" w:rsidR="00AA17A4" w:rsidRDefault="00AA17A4" w:rsidP="00AA17A4">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Aprobado por la Comisión Interamericana de Derechos Humanos  al primer día del mes de marzo de 2022.  (Firmado): Julissa Mantilla Falcón, Presidenta; Margarette May Macaulay, Segunda Vicepresidenta; Roberta Clarke y Carlos Bernal Pulido, Miembros de la Comisión.</w:t>
      </w:r>
      <w:r>
        <w:rPr>
          <w:rFonts w:asciiTheme="majorHAnsi" w:hAnsiTheme="majorHAnsi" w:cs="Arial"/>
          <w:noProof/>
          <w:sz w:val="20"/>
          <w:szCs w:val="20"/>
          <w:lang w:val="es-CL"/>
        </w:rPr>
        <w:t xml:space="preserve"> </w:t>
      </w:r>
      <w:bookmarkEnd w:id="1"/>
    </w:p>
    <w:bookmarkEnd w:id="2"/>
    <w:p w14:paraId="736AFAA7" w14:textId="77777777" w:rsidR="00AA17A4" w:rsidRPr="00A37B82" w:rsidRDefault="00AA17A4" w:rsidP="00AA17A4">
      <w:pPr>
        <w:suppressAutoHyphens/>
        <w:ind w:firstLine="720"/>
        <w:jc w:val="both"/>
        <w:rPr>
          <w:rFonts w:asciiTheme="majorHAnsi" w:hAnsiTheme="majorHAnsi" w:cs="Arial"/>
          <w:noProof/>
          <w:spacing w:val="-2"/>
          <w:sz w:val="20"/>
          <w:szCs w:val="20"/>
          <w:lang w:val="es-CL"/>
        </w:rPr>
      </w:pPr>
    </w:p>
    <w:sectPr w:rsidR="00AA17A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F1E7" w14:textId="77777777" w:rsidR="00B31AC2" w:rsidRDefault="00B31AC2">
      <w:r>
        <w:separator/>
      </w:r>
    </w:p>
  </w:endnote>
  <w:endnote w:type="continuationSeparator" w:id="0">
    <w:p w14:paraId="0BE8D150" w14:textId="77777777" w:rsidR="00B31AC2" w:rsidRDefault="00B3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A99F1FF" w:rsidR="00AD72FB" w:rsidRPr="00934A2C" w:rsidRDefault="00AD72F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37E88">
          <w:rPr>
            <w:noProof/>
            <w:sz w:val="16"/>
            <w:szCs w:val="22"/>
          </w:rPr>
          <w:t>4</w:t>
        </w:r>
        <w:r w:rsidRPr="00934A2C">
          <w:rPr>
            <w:noProof/>
            <w:sz w:val="16"/>
            <w:szCs w:val="22"/>
          </w:rPr>
          <w:fldChar w:fldCharType="end"/>
        </w:r>
      </w:p>
    </w:sdtContent>
  </w:sdt>
  <w:p w14:paraId="68530E6A" w14:textId="77777777" w:rsidR="00AD72FB" w:rsidRDefault="00AD7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AD72FB" w:rsidRPr="00934A2C" w:rsidRDefault="00AD72FB">
    <w:pPr>
      <w:pStyle w:val="Footer"/>
      <w:jc w:val="center"/>
      <w:rPr>
        <w:sz w:val="16"/>
        <w:szCs w:val="22"/>
      </w:rPr>
    </w:pPr>
  </w:p>
  <w:p w14:paraId="49059CE3" w14:textId="77777777" w:rsidR="00AD72FB" w:rsidRDefault="00AD7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6D40" w14:textId="77777777" w:rsidR="00B31AC2" w:rsidRPr="000F35ED" w:rsidRDefault="00B31AC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9D2955" w14:textId="77777777" w:rsidR="00B31AC2" w:rsidRPr="000F35ED" w:rsidRDefault="00B31AC2" w:rsidP="000F35ED">
      <w:pPr>
        <w:rPr>
          <w:rFonts w:asciiTheme="majorHAnsi" w:hAnsiTheme="majorHAnsi"/>
          <w:sz w:val="16"/>
          <w:szCs w:val="16"/>
        </w:rPr>
      </w:pPr>
      <w:r w:rsidRPr="000F35ED">
        <w:rPr>
          <w:rFonts w:asciiTheme="majorHAnsi" w:hAnsiTheme="majorHAnsi"/>
          <w:sz w:val="16"/>
          <w:szCs w:val="16"/>
        </w:rPr>
        <w:separator/>
      </w:r>
    </w:p>
    <w:p w14:paraId="074787DC" w14:textId="77777777" w:rsidR="00B31AC2" w:rsidRPr="000F35ED" w:rsidRDefault="00B31AC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2256A81" w14:textId="77777777" w:rsidR="00B31AC2" w:rsidRPr="000F35ED" w:rsidRDefault="00B31AC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6C1BEFA" w14:textId="369D00EA" w:rsidR="00AD72FB" w:rsidRPr="00B705AF" w:rsidRDefault="00AD72FB" w:rsidP="00A52D19">
      <w:pPr>
        <w:pStyle w:val="FootnoteText"/>
        <w:ind w:firstLine="720"/>
        <w:jc w:val="both"/>
        <w:rPr>
          <w:rFonts w:asciiTheme="majorHAnsi" w:hAnsiTheme="majorHAnsi"/>
          <w:sz w:val="16"/>
          <w:szCs w:val="16"/>
          <w:lang w:val="es-ES"/>
        </w:rPr>
      </w:pPr>
      <w:r w:rsidRPr="00B705AF">
        <w:rPr>
          <w:rStyle w:val="FootnoteReference"/>
          <w:rFonts w:asciiTheme="majorHAnsi" w:hAnsiTheme="majorHAnsi"/>
          <w:sz w:val="16"/>
          <w:szCs w:val="16"/>
        </w:rPr>
        <w:footnoteRef/>
      </w:r>
      <w:r w:rsidRPr="00B705AF">
        <w:rPr>
          <w:rFonts w:asciiTheme="majorHAnsi" w:hAnsiTheme="majorHAnsi"/>
          <w:sz w:val="16"/>
          <w:szCs w:val="16"/>
          <w:lang w:val="es-ES"/>
        </w:rPr>
        <w:t xml:space="preserve"> Conforme a lo dispuesto en el artículo 17.2.a del Reglamento de la Comisión, la Comisionada </w:t>
      </w:r>
      <w:r w:rsidRPr="00B705AF">
        <w:rPr>
          <w:rFonts w:asciiTheme="majorHAnsi" w:hAnsiTheme="majorHAnsi"/>
          <w:sz w:val="16"/>
          <w:szCs w:val="16"/>
          <w:lang w:val="es-AR"/>
        </w:rPr>
        <w:t xml:space="preserve">Esmeralda Arosemena de </w:t>
      </w:r>
      <w:proofErr w:type="spellStart"/>
      <w:r w:rsidRPr="00B705AF">
        <w:rPr>
          <w:rFonts w:asciiTheme="majorHAnsi" w:hAnsiTheme="majorHAnsi"/>
          <w:sz w:val="16"/>
          <w:szCs w:val="16"/>
          <w:lang w:val="es-AR"/>
        </w:rPr>
        <w:t>Troitiño</w:t>
      </w:r>
      <w:proofErr w:type="spellEnd"/>
      <w:r w:rsidRPr="00B705AF">
        <w:rPr>
          <w:rFonts w:asciiTheme="majorHAnsi" w:hAnsiTheme="majorHAnsi"/>
          <w:sz w:val="16"/>
          <w:szCs w:val="16"/>
          <w:lang w:val="es-ES"/>
        </w:rPr>
        <w:t xml:space="preserve">, de nacionalidad </w:t>
      </w:r>
      <w:r w:rsidRPr="00B705AF">
        <w:rPr>
          <w:rFonts w:asciiTheme="majorHAnsi" w:hAnsiTheme="majorHAnsi"/>
          <w:color w:val="auto"/>
          <w:sz w:val="16"/>
          <w:szCs w:val="16"/>
          <w:lang w:val="es-ES"/>
        </w:rPr>
        <w:t>panameña</w:t>
      </w:r>
      <w:r w:rsidRPr="00B705AF">
        <w:rPr>
          <w:rFonts w:asciiTheme="majorHAnsi" w:hAnsiTheme="majorHAnsi"/>
          <w:sz w:val="16"/>
          <w:szCs w:val="16"/>
          <w:lang w:val="es-ES"/>
        </w:rPr>
        <w:t>, no participó en el debate ni en la decisión del presente asunto.</w:t>
      </w:r>
    </w:p>
  </w:footnote>
  <w:footnote w:id="3">
    <w:p w14:paraId="28923D68" w14:textId="68D1929A" w:rsidR="00AD72FB" w:rsidRPr="00B705AF" w:rsidRDefault="00AD72FB" w:rsidP="00B705AF">
      <w:pPr>
        <w:pStyle w:val="FootnoteText"/>
        <w:tabs>
          <w:tab w:val="left" w:pos="6368"/>
        </w:tabs>
        <w:ind w:firstLine="720"/>
        <w:jc w:val="both"/>
        <w:rPr>
          <w:rFonts w:asciiTheme="majorHAnsi" w:hAnsiTheme="majorHAnsi"/>
          <w:sz w:val="16"/>
          <w:szCs w:val="16"/>
          <w:lang w:val="es-ES"/>
        </w:rPr>
      </w:pPr>
      <w:r w:rsidRPr="00B705AF">
        <w:rPr>
          <w:rStyle w:val="FootnoteReference"/>
          <w:rFonts w:asciiTheme="majorHAnsi" w:hAnsiTheme="majorHAnsi"/>
          <w:sz w:val="16"/>
          <w:szCs w:val="16"/>
        </w:rPr>
        <w:footnoteRef/>
      </w:r>
      <w:r w:rsidRPr="00B705AF">
        <w:rPr>
          <w:rFonts w:asciiTheme="majorHAnsi" w:hAnsiTheme="majorHAnsi"/>
          <w:sz w:val="16"/>
          <w:szCs w:val="16"/>
          <w:lang w:val="es-ES"/>
        </w:rPr>
        <w:t xml:space="preserve"> En adelante “la Convención” o “la Convención Americana”</w:t>
      </w:r>
      <w:r>
        <w:rPr>
          <w:rFonts w:asciiTheme="majorHAnsi" w:hAnsiTheme="majorHAnsi"/>
          <w:sz w:val="16"/>
          <w:szCs w:val="16"/>
          <w:lang w:val="es-ES"/>
        </w:rPr>
        <w:t>.</w:t>
      </w:r>
      <w:r w:rsidRPr="00B705AF">
        <w:rPr>
          <w:rFonts w:asciiTheme="majorHAnsi" w:hAnsiTheme="majorHAnsi"/>
          <w:sz w:val="16"/>
          <w:szCs w:val="16"/>
          <w:lang w:val="es-ES"/>
        </w:rPr>
        <w:tab/>
      </w:r>
    </w:p>
  </w:footnote>
  <w:footnote w:id="4">
    <w:p w14:paraId="79F07139" w14:textId="0D4A7B67" w:rsidR="00AD72FB" w:rsidRPr="00B705AF" w:rsidRDefault="00AD72FB" w:rsidP="00B705AF">
      <w:pPr>
        <w:pStyle w:val="FootnoteText"/>
        <w:tabs>
          <w:tab w:val="left" w:pos="7136"/>
        </w:tabs>
        <w:ind w:firstLine="720"/>
        <w:jc w:val="both"/>
        <w:rPr>
          <w:rFonts w:asciiTheme="majorHAnsi" w:hAnsiTheme="majorHAnsi"/>
          <w:sz w:val="16"/>
          <w:szCs w:val="16"/>
          <w:lang w:val="es-ES"/>
        </w:rPr>
      </w:pPr>
      <w:r w:rsidRPr="00B705AF">
        <w:rPr>
          <w:rStyle w:val="FootnoteReference"/>
          <w:rFonts w:asciiTheme="majorHAnsi" w:hAnsiTheme="majorHAnsi"/>
          <w:sz w:val="16"/>
          <w:szCs w:val="16"/>
        </w:rPr>
        <w:footnoteRef/>
      </w:r>
      <w:r w:rsidRPr="00B705AF">
        <w:rPr>
          <w:rFonts w:asciiTheme="majorHAnsi" w:hAnsiTheme="majorHAnsi"/>
          <w:sz w:val="16"/>
          <w:szCs w:val="16"/>
          <w:lang w:val="es-ES"/>
        </w:rPr>
        <w:t xml:space="preserve"> Las observaciones de cada parte fueron debidamente trasladadas a la parte contraria.</w:t>
      </w:r>
      <w:r w:rsidRPr="00B705AF">
        <w:rPr>
          <w:rFonts w:asciiTheme="majorHAnsi" w:hAnsiTheme="majorHAnsi"/>
          <w:sz w:val="16"/>
          <w:szCs w:val="16"/>
          <w:lang w:val="es-ES"/>
        </w:rPr>
        <w:tab/>
      </w:r>
    </w:p>
  </w:footnote>
  <w:footnote w:id="5">
    <w:p w14:paraId="4F483E26" w14:textId="5930CA04" w:rsidR="006E47F5" w:rsidRPr="006132CC" w:rsidRDefault="006E47F5" w:rsidP="006E47F5">
      <w:pPr>
        <w:jc w:val="both"/>
        <w:rPr>
          <w:rFonts w:ascii="Cambria" w:hAnsi="Cambria" w:cs="Calibri"/>
          <w:sz w:val="16"/>
          <w:szCs w:val="16"/>
          <w:lang w:val="es-ES_tradnl"/>
        </w:rPr>
      </w:pPr>
      <w:r w:rsidRPr="006132CC">
        <w:rPr>
          <w:rFonts w:ascii="Cambria" w:hAnsi="Cambria" w:cs="Calibri"/>
          <w:sz w:val="16"/>
          <w:szCs w:val="16"/>
          <w:lang w:val="es-ES_tradnl"/>
        </w:rPr>
        <w:tab/>
      </w:r>
      <w:r w:rsidRPr="006132CC">
        <w:rPr>
          <w:rStyle w:val="FootnoteReference"/>
          <w:rFonts w:ascii="Cambria" w:hAnsi="Cambria" w:cs="Calibri"/>
          <w:sz w:val="16"/>
          <w:szCs w:val="16"/>
        </w:rPr>
        <w:footnoteRef/>
      </w:r>
      <w:r w:rsidRPr="006132CC">
        <w:rPr>
          <w:rFonts w:ascii="Cambria" w:hAnsi="Cambria" w:cs="Calibri"/>
          <w:sz w:val="16"/>
          <w:szCs w:val="16"/>
        </w:rPr>
        <w:t xml:space="preserve"> </w:t>
      </w:r>
      <w:r w:rsidRPr="006132CC">
        <w:rPr>
          <w:rFonts w:ascii="Cambria" w:hAnsi="Cambria" w:cs="Calibri"/>
          <w:sz w:val="16"/>
          <w:szCs w:val="16"/>
          <w:lang w:val="es-ES_tradnl"/>
        </w:rPr>
        <w:t>CIDH, Informe No. 67/15</w:t>
      </w:r>
      <w:r>
        <w:rPr>
          <w:rFonts w:ascii="Cambria" w:hAnsi="Cambria" w:cs="Calibri"/>
          <w:sz w:val="16"/>
          <w:szCs w:val="16"/>
          <w:lang w:val="es-ES_tradnl"/>
        </w:rPr>
        <w:t>, Petición 211-07</w:t>
      </w:r>
      <w:r w:rsidRPr="006132CC">
        <w:rPr>
          <w:rFonts w:ascii="Cambria" w:hAnsi="Cambria" w:cs="Calibri"/>
          <w:sz w:val="16"/>
          <w:szCs w:val="16"/>
          <w:lang w:val="es-ES_tradnl"/>
        </w:rPr>
        <w:t xml:space="preserve">. Admisibilidad. Jorge Marcial </w:t>
      </w:r>
      <w:proofErr w:type="spellStart"/>
      <w:r w:rsidRPr="006132CC">
        <w:rPr>
          <w:rFonts w:ascii="Cambria" w:hAnsi="Cambria" w:cs="Calibri"/>
          <w:sz w:val="16"/>
          <w:szCs w:val="16"/>
          <w:lang w:val="es-ES_tradnl"/>
        </w:rPr>
        <w:t>Tzompaxtle</w:t>
      </w:r>
      <w:proofErr w:type="spellEnd"/>
      <w:r w:rsidRPr="006132CC">
        <w:rPr>
          <w:rFonts w:ascii="Cambria" w:hAnsi="Cambria" w:cs="Calibri"/>
          <w:sz w:val="16"/>
          <w:szCs w:val="16"/>
          <w:lang w:val="es-ES_tradnl"/>
        </w:rPr>
        <w:t xml:space="preserve"> </w:t>
      </w:r>
      <w:proofErr w:type="spellStart"/>
      <w:r w:rsidRPr="006132CC">
        <w:rPr>
          <w:rFonts w:ascii="Cambria" w:hAnsi="Cambria" w:cs="Calibri"/>
          <w:sz w:val="16"/>
          <w:szCs w:val="16"/>
          <w:lang w:val="es-ES_tradnl"/>
        </w:rPr>
        <w:t>Tecpile</w:t>
      </w:r>
      <w:proofErr w:type="spellEnd"/>
      <w:r w:rsidRPr="006132CC">
        <w:rPr>
          <w:rFonts w:ascii="Cambria" w:hAnsi="Cambria" w:cs="Calibri"/>
          <w:sz w:val="16"/>
          <w:szCs w:val="16"/>
          <w:lang w:val="es-ES_tradnl"/>
        </w:rPr>
        <w:t xml:space="preserve"> y otros. México. 27 de octubre de 2015, </w:t>
      </w:r>
      <w:proofErr w:type="spellStart"/>
      <w:r w:rsidRPr="006132CC">
        <w:rPr>
          <w:rFonts w:ascii="Cambria" w:hAnsi="Cambria" w:cs="Calibri"/>
          <w:sz w:val="16"/>
          <w:szCs w:val="16"/>
          <w:lang w:val="es-ES_tradnl"/>
        </w:rPr>
        <w:t>párr</w:t>
      </w:r>
      <w:r>
        <w:rPr>
          <w:rFonts w:ascii="Cambria" w:hAnsi="Cambria" w:cs="Calibri"/>
          <w:sz w:val="16"/>
          <w:szCs w:val="16"/>
          <w:lang w:val="es-ES_tradnl"/>
        </w:rPr>
        <w:t>s</w:t>
      </w:r>
      <w:proofErr w:type="spellEnd"/>
      <w:r>
        <w:rPr>
          <w:rFonts w:ascii="Cambria" w:hAnsi="Cambria" w:cs="Calibri"/>
          <w:sz w:val="16"/>
          <w:szCs w:val="16"/>
          <w:lang w:val="es-ES_tradnl"/>
        </w:rPr>
        <w:t xml:space="preserve">. 33 a 37. </w:t>
      </w:r>
    </w:p>
  </w:footnote>
  <w:footnote w:id="6">
    <w:p w14:paraId="4FF10343" w14:textId="6382CCAB" w:rsidR="00D344FE" w:rsidRPr="00241ACE" w:rsidRDefault="00D344FE" w:rsidP="00861D2D">
      <w:pPr>
        <w:pStyle w:val="FootnoteText"/>
        <w:ind w:firstLine="720"/>
        <w:jc w:val="both"/>
        <w:rPr>
          <w:rFonts w:asciiTheme="majorHAnsi" w:hAnsiTheme="majorHAnsi"/>
          <w:color w:val="auto"/>
          <w:sz w:val="16"/>
          <w:szCs w:val="16"/>
          <w:lang w:val="es-PA"/>
        </w:rPr>
      </w:pPr>
      <w:r w:rsidRPr="00241ACE">
        <w:rPr>
          <w:rStyle w:val="FootnoteReference"/>
          <w:rFonts w:asciiTheme="majorHAnsi" w:hAnsiTheme="majorHAnsi"/>
          <w:color w:val="auto"/>
          <w:sz w:val="16"/>
          <w:szCs w:val="16"/>
        </w:rPr>
        <w:footnoteRef/>
      </w:r>
      <w:r w:rsidRPr="00241ACE">
        <w:rPr>
          <w:rFonts w:asciiTheme="majorHAnsi" w:hAnsiTheme="majorHAnsi"/>
          <w:color w:val="auto"/>
          <w:sz w:val="16"/>
          <w:szCs w:val="16"/>
          <w:lang w:val="es-PA"/>
        </w:rPr>
        <w:t xml:space="preserve"> Corte IDH. Caso Bayarri Vs. Argentina. Excepción Preliminar, Fondo, Reparaciones y Costas. Sentencia de 30 de octubre de 2008. Serie C No. 187, párr. 74.</w:t>
      </w:r>
    </w:p>
  </w:footnote>
  <w:footnote w:id="7">
    <w:p w14:paraId="2FA11A0D" w14:textId="312050F6" w:rsidR="00861D2D" w:rsidRPr="00861D2D" w:rsidRDefault="00861D2D" w:rsidP="00861D2D">
      <w:pPr>
        <w:pStyle w:val="FootnoteText"/>
        <w:ind w:firstLine="720"/>
        <w:jc w:val="both"/>
        <w:rPr>
          <w:lang w:val="es-PA"/>
        </w:rPr>
      </w:pPr>
      <w:r w:rsidRPr="00241ACE">
        <w:rPr>
          <w:rStyle w:val="FootnoteReference"/>
          <w:rFonts w:asciiTheme="majorHAnsi" w:hAnsiTheme="majorHAnsi"/>
          <w:color w:val="auto"/>
          <w:sz w:val="16"/>
          <w:szCs w:val="16"/>
        </w:rPr>
        <w:footnoteRef/>
      </w:r>
      <w:r w:rsidRPr="00241ACE">
        <w:rPr>
          <w:rFonts w:asciiTheme="majorHAnsi" w:hAnsiTheme="majorHAnsi"/>
          <w:color w:val="auto"/>
          <w:sz w:val="16"/>
          <w:szCs w:val="16"/>
          <w:lang w:val="es-PA"/>
        </w:rPr>
        <w:t xml:space="preserve">Corte IDH. Caso García </w:t>
      </w:r>
      <w:proofErr w:type="spellStart"/>
      <w:r w:rsidRPr="00241ACE">
        <w:rPr>
          <w:rFonts w:asciiTheme="majorHAnsi" w:hAnsiTheme="majorHAnsi"/>
          <w:color w:val="auto"/>
          <w:sz w:val="16"/>
          <w:szCs w:val="16"/>
          <w:lang w:val="es-PA"/>
        </w:rPr>
        <w:t>Asto</w:t>
      </w:r>
      <w:proofErr w:type="spellEnd"/>
      <w:r w:rsidRPr="00241ACE">
        <w:rPr>
          <w:rFonts w:asciiTheme="majorHAnsi" w:hAnsiTheme="majorHAnsi"/>
          <w:color w:val="auto"/>
          <w:sz w:val="16"/>
          <w:szCs w:val="16"/>
          <w:lang w:val="es-PA"/>
        </w:rPr>
        <w:t xml:space="preserve"> y Ramírez Rojas Vs. Perú. Sentencia de 25 de noviembre de 2005. Serie C No. 137, párr. 166; Caso Gómez Palomino Vs. Perú. Sentencia de 22 de noviembre de 2005. Serie C No. 136, párr. 85; Caso de la Comunidad </w:t>
      </w:r>
      <w:proofErr w:type="spellStart"/>
      <w:r w:rsidRPr="00241ACE">
        <w:rPr>
          <w:rFonts w:asciiTheme="majorHAnsi" w:hAnsiTheme="majorHAnsi"/>
          <w:color w:val="auto"/>
          <w:sz w:val="16"/>
          <w:szCs w:val="16"/>
          <w:lang w:val="es-PA"/>
        </w:rPr>
        <w:t>Moiwana</w:t>
      </w:r>
      <w:proofErr w:type="spellEnd"/>
      <w:r w:rsidRPr="00241ACE">
        <w:rPr>
          <w:rFonts w:asciiTheme="majorHAnsi" w:hAnsiTheme="majorHAnsi"/>
          <w:color w:val="auto"/>
          <w:sz w:val="16"/>
          <w:szCs w:val="16"/>
          <w:lang w:val="es-PA"/>
        </w:rPr>
        <w:t xml:space="preserve"> Vs. Surinam. Sentencia de 15 de junio de 2005. Serie C No. 124, párr. </w:t>
      </w:r>
      <w:r w:rsidRPr="00241ACE">
        <w:rPr>
          <w:rFonts w:asciiTheme="majorHAnsi" w:hAnsiTheme="majorHAnsi"/>
          <w:color w:val="auto"/>
          <w:sz w:val="16"/>
          <w:szCs w:val="16"/>
        </w:rPr>
        <w:t>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AD72FB" w:rsidRDefault="00AD72FB" w:rsidP="00AD72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D72FB" w:rsidRDefault="00AD7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D72FB" w:rsidRDefault="00AD72FB"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D72FB" w:rsidRPr="00EC7D62" w:rsidRDefault="00B31AC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318F534"/>
    <w:lvl w:ilvl="0" w:tplc="7D2C8DA6">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85074784">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382629027">
    <w:abstractNumId w:val="5"/>
  </w:num>
  <w:num w:numId="3" w16cid:durableId="25344102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591355767">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89520269">
    <w:abstractNumId w:val="7"/>
  </w:num>
  <w:num w:numId="6" w16cid:durableId="799540213">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868979982">
    <w:abstractNumId w:val="60"/>
  </w:num>
  <w:num w:numId="8" w16cid:durableId="511182936">
    <w:abstractNumId w:val="23"/>
  </w:num>
  <w:num w:numId="9" w16cid:durableId="1689402275">
    <w:abstractNumId w:val="51"/>
  </w:num>
  <w:num w:numId="10" w16cid:durableId="1957103229">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11689096">
    <w:abstractNumId w:val="29"/>
  </w:num>
  <w:num w:numId="12" w16cid:durableId="1268539646">
    <w:abstractNumId w:val="58"/>
  </w:num>
  <w:num w:numId="13" w16cid:durableId="206559640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36656544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070662500">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0523560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466246226">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851065631">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515338954">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57019055">
    <w:abstractNumId w:val="8"/>
  </w:num>
  <w:num w:numId="21" w16cid:durableId="2044668128">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808866866">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1874493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56722843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95656472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76450951">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349331008">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83691428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93023445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462533197">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98222457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1164759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57333089">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63233096">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507477090">
    <w:abstractNumId w:val="19"/>
  </w:num>
  <w:num w:numId="36" w16cid:durableId="79425647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2517976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125078125">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98022806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18459321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43270914">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09143696">
    <w:abstractNumId w:val="41"/>
  </w:num>
  <w:num w:numId="43" w16cid:durableId="214226526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5642582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1075300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493495094">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66708783">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07093167">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44847140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756289837">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2925443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519268485">
    <w:abstractNumId w:val="45"/>
  </w:num>
  <w:num w:numId="53" w16cid:durableId="1284195808">
    <w:abstractNumId w:val="0"/>
  </w:num>
  <w:num w:numId="54" w16cid:durableId="1131946242">
    <w:abstractNumId w:val="40"/>
  </w:num>
  <w:num w:numId="55" w16cid:durableId="1236473015">
    <w:abstractNumId w:val="41"/>
  </w:num>
  <w:num w:numId="56" w16cid:durableId="821238593">
    <w:abstractNumId w:val="47"/>
  </w:num>
  <w:num w:numId="57" w16cid:durableId="1188638869">
    <w:abstractNumId w:val="1"/>
  </w:num>
  <w:num w:numId="58" w16cid:durableId="1825122458">
    <w:abstractNumId w:val="2"/>
  </w:num>
  <w:num w:numId="59" w16cid:durableId="1134954246">
    <w:abstractNumId w:val="9"/>
  </w:num>
  <w:num w:numId="60" w16cid:durableId="134950208">
    <w:abstractNumId w:val="10"/>
  </w:num>
  <w:num w:numId="61" w16cid:durableId="1653483685">
    <w:abstractNumId w:val="11"/>
  </w:num>
  <w:num w:numId="62" w16cid:durableId="611399995">
    <w:abstractNumId w:val="12"/>
  </w:num>
  <w:num w:numId="63" w16cid:durableId="1400590651">
    <w:abstractNumId w:val="13"/>
  </w:num>
  <w:num w:numId="64" w16cid:durableId="288125955">
    <w:abstractNumId w:val="15"/>
  </w:num>
  <w:num w:numId="65" w16cid:durableId="401487292">
    <w:abstractNumId w:val="16"/>
  </w:num>
  <w:num w:numId="66" w16cid:durableId="1295480653">
    <w:abstractNumId w:val="17"/>
  </w:num>
  <w:num w:numId="67" w16cid:durableId="1719474291">
    <w:abstractNumId w:val="18"/>
  </w:num>
  <w:num w:numId="68" w16cid:durableId="1900167488">
    <w:abstractNumId w:val="20"/>
  </w:num>
  <w:num w:numId="69" w16cid:durableId="2070571272">
    <w:abstractNumId w:val="21"/>
  </w:num>
  <w:num w:numId="70" w16cid:durableId="1052077251">
    <w:abstractNumId w:val="24"/>
  </w:num>
  <w:num w:numId="71" w16cid:durableId="1595748108">
    <w:abstractNumId w:val="25"/>
  </w:num>
  <w:num w:numId="72" w16cid:durableId="424617076">
    <w:abstractNumId w:val="26"/>
  </w:num>
  <w:num w:numId="73" w16cid:durableId="1465931485">
    <w:abstractNumId w:val="28"/>
  </w:num>
  <w:num w:numId="74" w16cid:durableId="1231768455">
    <w:abstractNumId w:val="30"/>
  </w:num>
  <w:num w:numId="75" w16cid:durableId="81799242">
    <w:abstractNumId w:val="32"/>
  </w:num>
  <w:num w:numId="76" w16cid:durableId="1413118868">
    <w:abstractNumId w:val="33"/>
  </w:num>
  <w:num w:numId="77" w16cid:durableId="1699233834">
    <w:abstractNumId w:val="34"/>
  </w:num>
  <w:num w:numId="78" w16cid:durableId="890533463">
    <w:abstractNumId w:val="35"/>
  </w:num>
  <w:num w:numId="79" w16cid:durableId="1965577467">
    <w:abstractNumId w:val="36"/>
  </w:num>
  <w:num w:numId="80" w16cid:durableId="1208109601">
    <w:abstractNumId w:val="37"/>
  </w:num>
  <w:num w:numId="81" w16cid:durableId="1468930161">
    <w:abstractNumId w:val="38"/>
  </w:num>
  <w:num w:numId="82" w16cid:durableId="1649284477">
    <w:abstractNumId w:val="42"/>
  </w:num>
  <w:num w:numId="83" w16cid:durableId="800658249">
    <w:abstractNumId w:val="43"/>
  </w:num>
  <w:num w:numId="84" w16cid:durableId="1535730327">
    <w:abstractNumId w:val="49"/>
  </w:num>
  <w:num w:numId="85" w16cid:durableId="1163931016">
    <w:abstractNumId w:val="52"/>
  </w:num>
  <w:num w:numId="86" w16cid:durableId="1801990151">
    <w:abstractNumId w:val="55"/>
  </w:num>
  <w:num w:numId="87" w16cid:durableId="1604143308">
    <w:abstractNumId w:val="57"/>
  </w:num>
  <w:num w:numId="88" w16cid:durableId="238179122">
    <w:abstractNumId w:val="59"/>
  </w:num>
  <w:num w:numId="89" w16cid:durableId="213544326">
    <w:abstractNumId w:val="61"/>
  </w:num>
  <w:num w:numId="90" w16cid:durableId="1235776225">
    <w:abstractNumId w:val="62"/>
  </w:num>
  <w:num w:numId="91" w16cid:durableId="1245070763">
    <w:abstractNumId w:val="63"/>
  </w:num>
  <w:num w:numId="92" w16cid:durableId="1412237858">
    <w:abstractNumId w:val="64"/>
  </w:num>
  <w:num w:numId="93" w16cid:durableId="1683778318">
    <w:abstractNumId w:val="66"/>
  </w:num>
  <w:num w:numId="94" w16cid:durableId="1638072823">
    <w:abstractNumId w:val="22"/>
  </w:num>
  <w:num w:numId="95" w16cid:durableId="938833693">
    <w:abstractNumId w:val="44"/>
  </w:num>
  <w:num w:numId="96" w16cid:durableId="1794713879">
    <w:abstractNumId w:val="56"/>
  </w:num>
  <w:num w:numId="97" w16cid:durableId="55737694">
    <w:abstractNumId w:val="53"/>
  </w:num>
  <w:num w:numId="98" w16cid:durableId="2117021661">
    <w:abstractNumId w:val="48"/>
  </w:num>
  <w:num w:numId="99" w16cid:durableId="1529220205">
    <w:abstractNumId w:val="39"/>
  </w:num>
  <w:num w:numId="100" w16cid:durableId="1234317506">
    <w:abstractNumId w:val="3"/>
  </w:num>
  <w:num w:numId="101" w16cid:durableId="97873621">
    <w:abstractNumId w:val="27"/>
  </w:num>
  <w:num w:numId="102" w16cid:durableId="100223209">
    <w:abstractNumId w:val="50"/>
  </w:num>
  <w:num w:numId="103" w16cid:durableId="1257517439">
    <w:abstractNumId w:val="6"/>
  </w:num>
  <w:num w:numId="104" w16cid:durableId="1420717207">
    <w:abstractNumId w:val="65"/>
  </w:num>
  <w:num w:numId="105" w16cid:durableId="1244485482">
    <w:abstractNumId w:val="54"/>
  </w:num>
  <w:num w:numId="106" w16cid:durableId="498231454">
    <w:abstractNumId w:val="4"/>
  </w:num>
  <w:num w:numId="107" w16cid:durableId="1502114990">
    <w:abstractNumId w:val="31"/>
  </w:num>
  <w:num w:numId="108" w16cid:durableId="2141726413">
    <w:abstractNumId w:val="14"/>
  </w:num>
  <w:num w:numId="109" w16cid:durableId="12730941">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58B8"/>
    <w:rsid w:val="00005FDF"/>
    <w:rsid w:val="00006E1F"/>
    <w:rsid w:val="000070D7"/>
    <w:rsid w:val="0001788C"/>
    <w:rsid w:val="000337EF"/>
    <w:rsid w:val="00040C3A"/>
    <w:rsid w:val="00041956"/>
    <w:rsid w:val="000419AD"/>
    <w:rsid w:val="000433C9"/>
    <w:rsid w:val="00044447"/>
    <w:rsid w:val="00061ED8"/>
    <w:rsid w:val="000716C5"/>
    <w:rsid w:val="000725EB"/>
    <w:rsid w:val="00075E23"/>
    <w:rsid w:val="00080CDF"/>
    <w:rsid w:val="00082443"/>
    <w:rsid w:val="0009344A"/>
    <w:rsid w:val="00094DA3"/>
    <w:rsid w:val="000A392E"/>
    <w:rsid w:val="000A575F"/>
    <w:rsid w:val="000D05CB"/>
    <w:rsid w:val="000D10DB"/>
    <w:rsid w:val="000D1D91"/>
    <w:rsid w:val="000D4F22"/>
    <w:rsid w:val="000E5EB5"/>
    <w:rsid w:val="000F307D"/>
    <w:rsid w:val="000F35ED"/>
    <w:rsid w:val="00107131"/>
    <w:rsid w:val="0010736F"/>
    <w:rsid w:val="001076EF"/>
    <w:rsid w:val="00113F73"/>
    <w:rsid w:val="001176CD"/>
    <w:rsid w:val="00121CC2"/>
    <w:rsid w:val="001235AA"/>
    <w:rsid w:val="00125CFD"/>
    <w:rsid w:val="00133EE5"/>
    <w:rsid w:val="00134CC5"/>
    <w:rsid w:val="001366E2"/>
    <w:rsid w:val="00137E88"/>
    <w:rsid w:val="00152430"/>
    <w:rsid w:val="001566D9"/>
    <w:rsid w:val="00167A34"/>
    <w:rsid w:val="00170782"/>
    <w:rsid w:val="00173B19"/>
    <w:rsid w:val="00180EBD"/>
    <w:rsid w:val="001818F6"/>
    <w:rsid w:val="001A7853"/>
    <w:rsid w:val="001A7870"/>
    <w:rsid w:val="001B00FC"/>
    <w:rsid w:val="001B141D"/>
    <w:rsid w:val="001B3A00"/>
    <w:rsid w:val="001C1B41"/>
    <w:rsid w:val="001D186A"/>
    <w:rsid w:val="001D65EF"/>
    <w:rsid w:val="001D705C"/>
    <w:rsid w:val="001E2C81"/>
    <w:rsid w:val="001E49E7"/>
    <w:rsid w:val="001F7201"/>
    <w:rsid w:val="0022141A"/>
    <w:rsid w:val="00221DCB"/>
    <w:rsid w:val="00222E85"/>
    <w:rsid w:val="00223A29"/>
    <w:rsid w:val="002250A3"/>
    <w:rsid w:val="0022574C"/>
    <w:rsid w:val="00235217"/>
    <w:rsid w:val="00241ACE"/>
    <w:rsid w:val="00246D1F"/>
    <w:rsid w:val="00247403"/>
    <w:rsid w:val="00247542"/>
    <w:rsid w:val="00266B61"/>
    <w:rsid w:val="0026712A"/>
    <w:rsid w:val="002704DB"/>
    <w:rsid w:val="00274D1D"/>
    <w:rsid w:val="00276E7C"/>
    <w:rsid w:val="0029760F"/>
    <w:rsid w:val="002A0AAE"/>
    <w:rsid w:val="002A5820"/>
    <w:rsid w:val="002B301D"/>
    <w:rsid w:val="002B3C46"/>
    <w:rsid w:val="002C5760"/>
    <w:rsid w:val="002D2B26"/>
    <w:rsid w:val="002D44CC"/>
    <w:rsid w:val="002D7EA2"/>
    <w:rsid w:val="002E187C"/>
    <w:rsid w:val="002E629F"/>
    <w:rsid w:val="002F6C19"/>
    <w:rsid w:val="0030256F"/>
    <w:rsid w:val="00302733"/>
    <w:rsid w:val="00313C2D"/>
    <w:rsid w:val="00314078"/>
    <w:rsid w:val="0031535D"/>
    <w:rsid w:val="003239B8"/>
    <w:rsid w:val="0033169F"/>
    <w:rsid w:val="00344977"/>
    <w:rsid w:val="00346C95"/>
    <w:rsid w:val="003546D3"/>
    <w:rsid w:val="00354D4B"/>
    <w:rsid w:val="00356185"/>
    <w:rsid w:val="00360380"/>
    <w:rsid w:val="0037519E"/>
    <w:rsid w:val="00386CF0"/>
    <w:rsid w:val="003937A2"/>
    <w:rsid w:val="003970E6"/>
    <w:rsid w:val="003B70FB"/>
    <w:rsid w:val="003B7F22"/>
    <w:rsid w:val="003C0E8D"/>
    <w:rsid w:val="003C1C06"/>
    <w:rsid w:val="003C1DE3"/>
    <w:rsid w:val="003C676B"/>
    <w:rsid w:val="003D3BC2"/>
    <w:rsid w:val="003E0E2C"/>
    <w:rsid w:val="003E4B27"/>
    <w:rsid w:val="003E6CA1"/>
    <w:rsid w:val="003F303E"/>
    <w:rsid w:val="00404131"/>
    <w:rsid w:val="004065A8"/>
    <w:rsid w:val="004165C2"/>
    <w:rsid w:val="00416B70"/>
    <w:rsid w:val="004307E2"/>
    <w:rsid w:val="0043514F"/>
    <w:rsid w:val="00441ECB"/>
    <w:rsid w:val="00445193"/>
    <w:rsid w:val="00455A75"/>
    <w:rsid w:val="00457ED6"/>
    <w:rsid w:val="00462C1B"/>
    <w:rsid w:val="00467B7E"/>
    <w:rsid w:val="00473BB4"/>
    <w:rsid w:val="00477592"/>
    <w:rsid w:val="00481FF8"/>
    <w:rsid w:val="00486F1C"/>
    <w:rsid w:val="004938B5"/>
    <w:rsid w:val="0049419D"/>
    <w:rsid w:val="004A14CB"/>
    <w:rsid w:val="004A6A54"/>
    <w:rsid w:val="004C20D2"/>
    <w:rsid w:val="004C2312"/>
    <w:rsid w:val="004C4B62"/>
    <w:rsid w:val="004C54C9"/>
    <w:rsid w:val="004C6C32"/>
    <w:rsid w:val="004D40C9"/>
    <w:rsid w:val="004D4ABA"/>
    <w:rsid w:val="004D6025"/>
    <w:rsid w:val="004E2649"/>
    <w:rsid w:val="004E6B48"/>
    <w:rsid w:val="00501399"/>
    <w:rsid w:val="005017FB"/>
    <w:rsid w:val="0050633D"/>
    <w:rsid w:val="00507BC4"/>
    <w:rsid w:val="00512296"/>
    <w:rsid w:val="005128E4"/>
    <w:rsid w:val="005133DB"/>
    <w:rsid w:val="00520CD1"/>
    <w:rsid w:val="00525560"/>
    <w:rsid w:val="00540F22"/>
    <w:rsid w:val="00544C49"/>
    <w:rsid w:val="00550A2F"/>
    <w:rsid w:val="005516A1"/>
    <w:rsid w:val="00563557"/>
    <w:rsid w:val="00565B0C"/>
    <w:rsid w:val="0057402A"/>
    <w:rsid w:val="005771D0"/>
    <w:rsid w:val="00586FDF"/>
    <w:rsid w:val="0059191A"/>
    <w:rsid w:val="005921FF"/>
    <w:rsid w:val="005A24ED"/>
    <w:rsid w:val="005A6D0E"/>
    <w:rsid w:val="005A6DB2"/>
    <w:rsid w:val="005B52B0"/>
    <w:rsid w:val="005B6806"/>
    <w:rsid w:val="005C4225"/>
    <w:rsid w:val="005E49FD"/>
    <w:rsid w:val="005F0DAD"/>
    <w:rsid w:val="005F0F33"/>
    <w:rsid w:val="00600DEB"/>
    <w:rsid w:val="0060258F"/>
    <w:rsid w:val="00626EF5"/>
    <w:rsid w:val="00627BBB"/>
    <w:rsid w:val="00627C9F"/>
    <w:rsid w:val="006311E9"/>
    <w:rsid w:val="00632354"/>
    <w:rsid w:val="00642810"/>
    <w:rsid w:val="00643B85"/>
    <w:rsid w:val="00644F23"/>
    <w:rsid w:val="00652333"/>
    <w:rsid w:val="00657721"/>
    <w:rsid w:val="0066622E"/>
    <w:rsid w:val="0068009E"/>
    <w:rsid w:val="00680A70"/>
    <w:rsid w:val="00692219"/>
    <w:rsid w:val="006A17D2"/>
    <w:rsid w:val="006A73E6"/>
    <w:rsid w:val="006B278E"/>
    <w:rsid w:val="006B2D5C"/>
    <w:rsid w:val="006C4EB1"/>
    <w:rsid w:val="006D4877"/>
    <w:rsid w:val="006E0166"/>
    <w:rsid w:val="006E2FFB"/>
    <w:rsid w:val="006E47F5"/>
    <w:rsid w:val="006E7B34"/>
    <w:rsid w:val="0070697F"/>
    <w:rsid w:val="00707142"/>
    <w:rsid w:val="007157CD"/>
    <w:rsid w:val="0072199C"/>
    <w:rsid w:val="00722BD0"/>
    <w:rsid w:val="00722C9F"/>
    <w:rsid w:val="00723B3D"/>
    <w:rsid w:val="007253B8"/>
    <w:rsid w:val="0073741F"/>
    <w:rsid w:val="007558F6"/>
    <w:rsid w:val="00755B43"/>
    <w:rsid w:val="00762A10"/>
    <w:rsid w:val="0076643F"/>
    <w:rsid w:val="00777F63"/>
    <w:rsid w:val="00785867"/>
    <w:rsid w:val="007A5817"/>
    <w:rsid w:val="007A7B8F"/>
    <w:rsid w:val="007B05C4"/>
    <w:rsid w:val="007B60E9"/>
    <w:rsid w:val="007B6CC3"/>
    <w:rsid w:val="007B76D3"/>
    <w:rsid w:val="007C3334"/>
    <w:rsid w:val="007C70DA"/>
    <w:rsid w:val="007D2B98"/>
    <w:rsid w:val="007D54D1"/>
    <w:rsid w:val="007E21BC"/>
    <w:rsid w:val="007E28A6"/>
    <w:rsid w:val="007E7276"/>
    <w:rsid w:val="007E7C82"/>
    <w:rsid w:val="007F4F83"/>
    <w:rsid w:val="007F588D"/>
    <w:rsid w:val="00801282"/>
    <w:rsid w:val="00803F1C"/>
    <w:rsid w:val="008042CC"/>
    <w:rsid w:val="0080600E"/>
    <w:rsid w:val="0081536F"/>
    <w:rsid w:val="00817612"/>
    <w:rsid w:val="00822EC2"/>
    <w:rsid w:val="0082634A"/>
    <w:rsid w:val="008338A4"/>
    <w:rsid w:val="00833CFD"/>
    <w:rsid w:val="00834D49"/>
    <w:rsid w:val="00837C45"/>
    <w:rsid w:val="00844730"/>
    <w:rsid w:val="008457C2"/>
    <w:rsid w:val="00857A82"/>
    <w:rsid w:val="00861D2D"/>
    <w:rsid w:val="00873836"/>
    <w:rsid w:val="00882F02"/>
    <w:rsid w:val="00885737"/>
    <w:rsid w:val="00890650"/>
    <w:rsid w:val="00897E12"/>
    <w:rsid w:val="008A7E0F"/>
    <w:rsid w:val="008B12F5"/>
    <w:rsid w:val="008C2598"/>
    <w:rsid w:val="008C3444"/>
    <w:rsid w:val="008C35D4"/>
    <w:rsid w:val="008D0DD8"/>
    <w:rsid w:val="008D720A"/>
    <w:rsid w:val="008D768D"/>
    <w:rsid w:val="008E3759"/>
    <w:rsid w:val="008E3BFE"/>
    <w:rsid w:val="008E49DD"/>
    <w:rsid w:val="008E6089"/>
    <w:rsid w:val="008F0E21"/>
    <w:rsid w:val="008F1912"/>
    <w:rsid w:val="008F2AFB"/>
    <w:rsid w:val="009024FD"/>
    <w:rsid w:val="0090270B"/>
    <w:rsid w:val="009041DC"/>
    <w:rsid w:val="00917B5A"/>
    <w:rsid w:val="009209F6"/>
    <w:rsid w:val="00920A58"/>
    <w:rsid w:val="00920A8C"/>
    <w:rsid w:val="009214C7"/>
    <w:rsid w:val="00934A2C"/>
    <w:rsid w:val="0094131D"/>
    <w:rsid w:val="00946B56"/>
    <w:rsid w:val="00950E04"/>
    <w:rsid w:val="00951EB8"/>
    <w:rsid w:val="009600CB"/>
    <w:rsid w:val="0096706E"/>
    <w:rsid w:val="009722A5"/>
    <w:rsid w:val="00974491"/>
    <w:rsid w:val="00975C4E"/>
    <w:rsid w:val="00981FBA"/>
    <w:rsid w:val="00997BC5"/>
    <w:rsid w:val="009A48B5"/>
    <w:rsid w:val="009A4F41"/>
    <w:rsid w:val="009A4FEA"/>
    <w:rsid w:val="009B3169"/>
    <w:rsid w:val="009B3502"/>
    <w:rsid w:val="009B381B"/>
    <w:rsid w:val="009B39DA"/>
    <w:rsid w:val="009B507A"/>
    <w:rsid w:val="009D1753"/>
    <w:rsid w:val="009D7611"/>
    <w:rsid w:val="009E0B61"/>
    <w:rsid w:val="009E53DE"/>
    <w:rsid w:val="009E5755"/>
    <w:rsid w:val="00A00406"/>
    <w:rsid w:val="00A11212"/>
    <w:rsid w:val="00A11E16"/>
    <w:rsid w:val="00A11E44"/>
    <w:rsid w:val="00A14860"/>
    <w:rsid w:val="00A16C6F"/>
    <w:rsid w:val="00A2228B"/>
    <w:rsid w:val="00A328B3"/>
    <w:rsid w:val="00A32F79"/>
    <w:rsid w:val="00A362AA"/>
    <w:rsid w:val="00A50963"/>
    <w:rsid w:val="00A50FCF"/>
    <w:rsid w:val="00A528D1"/>
    <w:rsid w:val="00A52D19"/>
    <w:rsid w:val="00A610CD"/>
    <w:rsid w:val="00A66549"/>
    <w:rsid w:val="00A758AA"/>
    <w:rsid w:val="00A769DF"/>
    <w:rsid w:val="00A82BF6"/>
    <w:rsid w:val="00A91BD3"/>
    <w:rsid w:val="00AA09A2"/>
    <w:rsid w:val="00AA17A4"/>
    <w:rsid w:val="00AA7996"/>
    <w:rsid w:val="00AB1618"/>
    <w:rsid w:val="00AB5D36"/>
    <w:rsid w:val="00AC19CB"/>
    <w:rsid w:val="00AD3CAC"/>
    <w:rsid w:val="00AD72FB"/>
    <w:rsid w:val="00AE5488"/>
    <w:rsid w:val="00AE6F91"/>
    <w:rsid w:val="00AF5571"/>
    <w:rsid w:val="00AF7A16"/>
    <w:rsid w:val="00AF7E06"/>
    <w:rsid w:val="00B066C6"/>
    <w:rsid w:val="00B07341"/>
    <w:rsid w:val="00B15EEC"/>
    <w:rsid w:val="00B30539"/>
    <w:rsid w:val="00B314DB"/>
    <w:rsid w:val="00B31AC2"/>
    <w:rsid w:val="00B32BD7"/>
    <w:rsid w:val="00B361F2"/>
    <w:rsid w:val="00B3718B"/>
    <w:rsid w:val="00B3745F"/>
    <w:rsid w:val="00B449A6"/>
    <w:rsid w:val="00B4632A"/>
    <w:rsid w:val="00B530F1"/>
    <w:rsid w:val="00B557AE"/>
    <w:rsid w:val="00B705AF"/>
    <w:rsid w:val="00BA07F4"/>
    <w:rsid w:val="00BA276C"/>
    <w:rsid w:val="00BA5E2F"/>
    <w:rsid w:val="00BB306F"/>
    <w:rsid w:val="00BB4C03"/>
    <w:rsid w:val="00BD4B89"/>
    <w:rsid w:val="00BD5922"/>
    <w:rsid w:val="00BF02CB"/>
    <w:rsid w:val="00BF3CA2"/>
    <w:rsid w:val="00BF5321"/>
    <w:rsid w:val="00BF6FD8"/>
    <w:rsid w:val="00C00A46"/>
    <w:rsid w:val="00C03680"/>
    <w:rsid w:val="00C054DF"/>
    <w:rsid w:val="00C10F3B"/>
    <w:rsid w:val="00C137CA"/>
    <w:rsid w:val="00C2014E"/>
    <w:rsid w:val="00C203DD"/>
    <w:rsid w:val="00C21762"/>
    <w:rsid w:val="00C21FEF"/>
    <w:rsid w:val="00C24543"/>
    <w:rsid w:val="00C256A2"/>
    <w:rsid w:val="00C27313"/>
    <w:rsid w:val="00C36458"/>
    <w:rsid w:val="00C51515"/>
    <w:rsid w:val="00C5544A"/>
    <w:rsid w:val="00C5660B"/>
    <w:rsid w:val="00C656FD"/>
    <w:rsid w:val="00C66B72"/>
    <w:rsid w:val="00C750F1"/>
    <w:rsid w:val="00C803DC"/>
    <w:rsid w:val="00C83D34"/>
    <w:rsid w:val="00C85CBB"/>
    <w:rsid w:val="00C8771D"/>
    <w:rsid w:val="00C87AC4"/>
    <w:rsid w:val="00C9567A"/>
    <w:rsid w:val="00C960BD"/>
    <w:rsid w:val="00CA7772"/>
    <w:rsid w:val="00CB212D"/>
    <w:rsid w:val="00CB2660"/>
    <w:rsid w:val="00CB7846"/>
    <w:rsid w:val="00CC044A"/>
    <w:rsid w:val="00CC5E90"/>
    <w:rsid w:val="00CD046C"/>
    <w:rsid w:val="00CD3668"/>
    <w:rsid w:val="00CD403D"/>
    <w:rsid w:val="00CE076C"/>
    <w:rsid w:val="00CE5199"/>
    <w:rsid w:val="00CE66D5"/>
    <w:rsid w:val="00CE7188"/>
    <w:rsid w:val="00CF2B27"/>
    <w:rsid w:val="00CF637A"/>
    <w:rsid w:val="00CF7C20"/>
    <w:rsid w:val="00D059DE"/>
    <w:rsid w:val="00D05ABD"/>
    <w:rsid w:val="00D07088"/>
    <w:rsid w:val="00D13FCE"/>
    <w:rsid w:val="00D234B0"/>
    <w:rsid w:val="00D306D1"/>
    <w:rsid w:val="00D30800"/>
    <w:rsid w:val="00D344FE"/>
    <w:rsid w:val="00D34786"/>
    <w:rsid w:val="00D37BFC"/>
    <w:rsid w:val="00D44723"/>
    <w:rsid w:val="00D45DFE"/>
    <w:rsid w:val="00D47A8E"/>
    <w:rsid w:val="00D51E9C"/>
    <w:rsid w:val="00D52D14"/>
    <w:rsid w:val="00D712D3"/>
    <w:rsid w:val="00D71422"/>
    <w:rsid w:val="00D72DC6"/>
    <w:rsid w:val="00D7558D"/>
    <w:rsid w:val="00D81D92"/>
    <w:rsid w:val="00D86EFA"/>
    <w:rsid w:val="00D876F9"/>
    <w:rsid w:val="00D920E2"/>
    <w:rsid w:val="00D930E0"/>
    <w:rsid w:val="00DA7B5F"/>
    <w:rsid w:val="00DC11E7"/>
    <w:rsid w:val="00DC24E3"/>
    <w:rsid w:val="00DC2B63"/>
    <w:rsid w:val="00DC7023"/>
    <w:rsid w:val="00DC769A"/>
    <w:rsid w:val="00DC7CC5"/>
    <w:rsid w:val="00DD32F2"/>
    <w:rsid w:val="00DD3D86"/>
    <w:rsid w:val="00DD4AD2"/>
    <w:rsid w:val="00DF1EC4"/>
    <w:rsid w:val="00E0340B"/>
    <w:rsid w:val="00E03505"/>
    <w:rsid w:val="00E04A90"/>
    <w:rsid w:val="00E04DE8"/>
    <w:rsid w:val="00E0551F"/>
    <w:rsid w:val="00E219C7"/>
    <w:rsid w:val="00E4118C"/>
    <w:rsid w:val="00E43157"/>
    <w:rsid w:val="00E461CE"/>
    <w:rsid w:val="00E60092"/>
    <w:rsid w:val="00E618BD"/>
    <w:rsid w:val="00E64071"/>
    <w:rsid w:val="00E720CA"/>
    <w:rsid w:val="00E73A5E"/>
    <w:rsid w:val="00E77D57"/>
    <w:rsid w:val="00E81C40"/>
    <w:rsid w:val="00E84EB5"/>
    <w:rsid w:val="00E85662"/>
    <w:rsid w:val="00E8789F"/>
    <w:rsid w:val="00E97B71"/>
    <w:rsid w:val="00EA3D34"/>
    <w:rsid w:val="00EA4421"/>
    <w:rsid w:val="00EB454D"/>
    <w:rsid w:val="00EB7D9F"/>
    <w:rsid w:val="00ED36E0"/>
    <w:rsid w:val="00ED549D"/>
    <w:rsid w:val="00ED76BE"/>
    <w:rsid w:val="00ED7E91"/>
    <w:rsid w:val="00EE00E9"/>
    <w:rsid w:val="00EF43B7"/>
    <w:rsid w:val="00EF619B"/>
    <w:rsid w:val="00EF6686"/>
    <w:rsid w:val="00F00B55"/>
    <w:rsid w:val="00F02AD1"/>
    <w:rsid w:val="00F041F3"/>
    <w:rsid w:val="00F158BD"/>
    <w:rsid w:val="00F21186"/>
    <w:rsid w:val="00F253CC"/>
    <w:rsid w:val="00F37106"/>
    <w:rsid w:val="00F5027E"/>
    <w:rsid w:val="00F519CF"/>
    <w:rsid w:val="00F558E3"/>
    <w:rsid w:val="00F56BA5"/>
    <w:rsid w:val="00F60E22"/>
    <w:rsid w:val="00F655A9"/>
    <w:rsid w:val="00F66675"/>
    <w:rsid w:val="00F7149D"/>
    <w:rsid w:val="00F74BE6"/>
    <w:rsid w:val="00F76CDD"/>
    <w:rsid w:val="00F81395"/>
    <w:rsid w:val="00F81BB8"/>
    <w:rsid w:val="00F917D1"/>
    <w:rsid w:val="00F9653B"/>
    <w:rsid w:val="00FB62CF"/>
    <w:rsid w:val="00FC1200"/>
    <w:rsid w:val="00FC35C4"/>
    <w:rsid w:val="00FD3C3B"/>
    <w:rsid w:val="00FD6B53"/>
    <w:rsid w:val="00FE07DD"/>
    <w:rsid w:val="00FE6B45"/>
    <w:rsid w:val="00FF55F3"/>
    <w:rsid w:val="00FF5851"/>
    <w:rsid w:val="00FF730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7F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AR" w:eastAsia="es-AR"/>
    </w:rPr>
  </w:style>
  <w:style w:type="character" w:styleId="CommentReference">
    <w:name w:val="annotation reference"/>
    <w:basedOn w:val="DefaultParagraphFont"/>
    <w:uiPriority w:val="99"/>
    <w:semiHidden/>
    <w:unhideWhenUsed/>
    <w:rsid w:val="00586FDF"/>
    <w:rPr>
      <w:sz w:val="16"/>
      <w:szCs w:val="16"/>
    </w:rPr>
  </w:style>
  <w:style w:type="paragraph" w:styleId="CommentText">
    <w:name w:val="annotation text"/>
    <w:basedOn w:val="Normal"/>
    <w:link w:val="CommentTextChar"/>
    <w:uiPriority w:val="99"/>
    <w:semiHidden/>
    <w:unhideWhenUsed/>
    <w:rsid w:val="00586FDF"/>
    <w:rPr>
      <w:sz w:val="20"/>
      <w:szCs w:val="20"/>
    </w:rPr>
  </w:style>
  <w:style w:type="character" w:customStyle="1" w:styleId="CommentTextChar">
    <w:name w:val="Comment Text Char"/>
    <w:basedOn w:val="DefaultParagraphFont"/>
    <w:link w:val="CommentText"/>
    <w:uiPriority w:val="99"/>
    <w:semiHidden/>
    <w:rsid w:val="00586FDF"/>
    <w:rPr>
      <w:lang w:eastAsia="en-US"/>
    </w:rPr>
  </w:style>
  <w:style w:type="paragraph" w:styleId="CommentSubject">
    <w:name w:val="annotation subject"/>
    <w:basedOn w:val="CommentText"/>
    <w:next w:val="CommentText"/>
    <w:link w:val="CommentSubjectChar"/>
    <w:uiPriority w:val="99"/>
    <w:semiHidden/>
    <w:unhideWhenUsed/>
    <w:rsid w:val="00586FDF"/>
    <w:rPr>
      <w:b/>
      <w:bCs/>
    </w:rPr>
  </w:style>
  <w:style w:type="character" w:customStyle="1" w:styleId="CommentSubjectChar">
    <w:name w:val="Comment Subject Char"/>
    <w:basedOn w:val="CommentTextChar"/>
    <w:link w:val="CommentSubject"/>
    <w:uiPriority w:val="99"/>
    <w:semiHidden/>
    <w:rsid w:val="00586FDF"/>
    <w:rPr>
      <w:b/>
      <w:bCs/>
      <w:lang w:eastAsia="en-US"/>
    </w:rPr>
  </w:style>
  <w:style w:type="character" w:customStyle="1" w:styleId="apple-converted-space">
    <w:name w:val="apple-converted-space"/>
    <w:basedOn w:val="DefaultParagraphFont"/>
    <w:rsid w:val="00D9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6389">
      <w:bodyDiv w:val="1"/>
      <w:marLeft w:val="0"/>
      <w:marRight w:val="0"/>
      <w:marTop w:val="0"/>
      <w:marBottom w:val="0"/>
      <w:divBdr>
        <w:top w:val="none" w:sz="0" w:space="0" w:color="auto"/>
        <w:left w:val="none" w:sz="0" w:space="0" w:color="auto"/>
        <w:bottom w:val="none" w:sz="0" w:space="0" w:color="auto"/>
        <w:right w:val="none" w:sz="0" w:space="0" w:color="auto"/>
      </w:divBdr>
    </w:div>
    <w:div w:id="294340059">
      <w:bodyDiv w:val="1"/>
      <w:marLeft w:val="0"/>
      <w:marRight w:val="0"/>
      <w:marTop w:val="0"/>
      <w:marBottom w:val="0"/>
      <w:divBdr>
        <w:top w:val="none" w:sz="0" w:space="0" w:color="auto"/>
        <w:left w:val="none" w:sz="0" w:space="0" w:color="auto"/>
        <w:bottom w:val="none" w:sz="0" w:space="0" w:color="auto"/>
        <w:right w:val="none" w:sz="0" w:space="0" w:color="auto"/>
      </w:divBdr>
      <w:divsChild>
        <w:div w:id="1086415612">
          <w:marLeft w:val="0"/>
          <w:marRight w:val="0"/>
          <w:marTop w:val="0"/>
          <w:marBottom w:val="0"/>
          <w:divBdr>
            <w:top w:val="none" w:sz="0" w:space="0" w:color="auto"/>
            <w:left w:val="none" w:sz="0" w:space="0" w:color="auto"/>
            <w:bottom w:val="none" w:sz="0" w:space="0" w:color="auto"/>
            <w:right w:val="none" w:sz="0" w:space="0" w:color="auto"/>
          </w:divBdr>
          <w:divsChild>
            <w:div w:id="1567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2456">
      <w:bodyDiv w:val="1"/>
      <w:marLeft w:val="0"/>
      <w:marRight w:val="0"/>
      <w:marTop w:val="0"/>
      <w:marBottom w:val="0"/>
      <w:divBdr>
        <w:top w:val="none" w:sz="0" w:space="0" w:color="auto"/>
        <w:left w:val="none" w:sz="0" w:space="0" w:color="auto"/>
        <w:bottom w:val="none" w:sz="0" w:space="0" w:color="auto"/>
        <w:right w:val="none" w:sz="0" w:space="0" w:color="auto"/>
      </w:divBdr>
    </w:div>
    <w:div w:id="769593504">
      <w:bodyDiv w:val="1"/>
      <w:marLeft w:val="0"/>
      <w:marRight w:val="0"/>
      <w:marTop w:val="0"/>
      <w:marBottom w:val="0"/>
      <w:divBdr>
        <w:top w:val="none" w:sz="0" w:space="0" w:color="auto"/>
        <w:left w:val="none" w:sz="0" w:space="0" w:color="auto"/>
        <w:bottom w:val="none" w:sz="0" w:space="0" w:color="auto"/>
        <w:right w:val="none" w:sz="0" w:space="0" w:color="auto"/>
      </w:divBdr>
    </w:div>
    <w:div w:id="1080910015">
      <w:bodyDiv w:val="1"/>
      <w:marLeft w:val="0"/>
      <w:marRight w:val="0"/>
      <w:marTop w:val="0"/>
      <w:marBottom w:val="0"/>
      <w:divBdr>
        <w:top w:val="none" w:sz="0" w:space="0" w:color="auto"/>
        <w:left w:val="none" w:sz="0" w:space="0" w:color="auto"/>
        <w:bottom w:val="none" w:sz="0" w:space="0" w:color="auto"/>
        <w:right w:val="none" w:sz="0" w:space="0" w:color="auto"/>
      </w:divBdr>
    </w:div>
    <w:div w:id="1653607001">
      <w:bodyDiv w:val="1"/>
      <w:marLeft w:val="0"/>
      <w:marRight w:val="0"/>
      <w:marTop w:val="0"/>
      <w:marBottom w:val="0"/>
      <w:divBdr>
        <w:top w:val="none" w:sz="0" w:space="0" w:color="auto"/>
        <w:left w:val="none" w:sz="0" w:space="0" w:color="auto"/>
        <w:bottom w:val="none" w:sz="0" w:space="0" w:color="auto"/>
        <w:right w:val="none" w:sz="0" w:space="0" w:color="auto"/>
      </w:divBdr>
    </w:div>
    <w:div w:id="16569104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871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C1E1FAFEC424A862167173CD470AA"/>
        <w:category>
          <w:name w:val="General"/>
          <w:gallery w:val="placeholder"/>
        </w:category>
        <w:types>
          <w:type w:val="bbPlcHdr"/>
        </w:types>
        <w:behaviors>
          <w:behavior w:val="content"/>
        </w:behaviors>
        <w:guid w:val="{82F32935-98CD-45CC-AFF1-69A4F0F8D972}"/>
      </w:docPartPr>
      <w:docPartBody>
        <w:p w:rsidR="00351072" w:rsidRDefault="0027215B" w:rsidP="0027215B">
          <w:pPr>
            <w:pStyle w:val="9B8C1E1FAFEC424A862167173CD470A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751F"/>
    <w:rsid w:val="001750B5"/>
    <w:rsid w:val="001C3222"/>
    <w:rsid w:val="00200821"/>
    <w:rsid w:val="002354EA"/>
    <w:rsid w:val="0027215B"/>
    <w:rsid w:val="00351072"/>
    <w:rsid w:val="0037436C"/>
    <w:rsid w:val="003776D2"/>
    <w:rsid w:val="00394049"/>
    <w:rsid w:val="003C2EFC"/>
    <w:rsid w:val="004F2DF8"/>
    <w:rsid w:val="00580FB9"/>
    <w:rsid w:val="005A1ACA"/>
    <w:rsid w:val="005A3E0C"/>
    <w:rsid w:val="00722EDA"/>
    <w:rsid w:val="0072713D"/>
    <w:rsid w:val="00732794"/>
    <w:rsid w:val="007F0664"/>
    <w:rsid w:val="00807E8E"/>
    <w:rsid w:val="009A261B"/>
    <w:rsid w:val="009F3781"/>
    <w:rsid w:val="00A34889"/>
    <w:rsid w:val="00AC15A4"/>
    <w:rsid w:val="00B0336C"/>
    <w:rsid w:val="00B72028"/>
    <w:rsid w:val="00C1753F"/>
    <w:rsid w:val="00C20C02"/>
    <w:rsid w:val="00D07E17"/>
    <w:rsid w:val="00E67C49"/>
    <w:rsid w:val="00F00D2F"/>
    <w:rsid w:val="00F128DF"/>
    <w:rsid w:val="00FA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15B"/>
    <w:rPr>
      <w:color w:val="808080"/>
    </w:rPr>
  </w:style>
  <w:style w:type="paragraph" w:customStyle="1" w:styleId="9B8C1E1FAFEC424A862167173CD470AA">
    <w:name w:val="9B8C1E1FAFEC424A862167173CD470AA"/>
    <w:rsid w:val="0027215B"/>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3952-8A8F-425B-A081-9884A9E9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2849</Words>
  <Characters>15191</Characters>
  <Application>Microsoft Office Word</Application>
  <DocSecurity>0</DocSecurity>
  <Lines>310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50/22</dc:title>
  <dc:creator/>
  <cp:lastModifiedBy/>
  <cp:revision>1</cp:revision>
  <dcterms:created xsi:type="dcterms:W3CDTF">2022-05-11T13:47:00Z</dcterms:created>
  <dcterms:modified xsi:type="dcterms:W3CDTF">2022-05-11T13:47:00Z</dcterms:modified>
</cp:coreProperties>
</file>