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58434D" w:rsidRDefault="00D306D1" w:rsidP="00627C9F">
      <w:pPr>
        <w:jc w:val="both"/>
        <w:rPr>
          <w:rFonts w:asciiTheme="majorHAnsi" w:hAnsiTheme="majorHAnsi" w:cs="Univers"/>
          <w:b/>
          <w:bCs/>
          <w:sz w:val="22"/>
          <w:szCs w:val="22"/>
          <w:lang w:val="es-ES_tradnl"/>
        </w:rPr>
      </w:pPr>
      <w:r w:rsidRPr="0058434D">
        <w:rPr>
          <w:rFonts w:asciiTheme="majorHAnsi" w:hAnsiTheme="majorHAnsi"/>
          <w:noProof/>
          <w:sz w:val="22"/>
          <w:szCs w:val="22"/>
          <w:lang w:val="es-ES_tradnl"/>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82E5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58434D">
        <w:rPr>
          <w:rFonts w:asciiTheme="majorHAnsi" w:hAnsiTheme="majorHAnsi"/>
          <w:noProof/>
          <w:sz w:val="22"/>
          <w:szCs w:val="22"/>
          <w:lang w:val="es-ES_tradnl"/>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58434D">
        <w:rPr>
          <w:rFonts w:asciiTheme="majorHAnsi" w:hAnsiTheme="majorHAnsi" w:cs="Univers"/>
          <w:b/>
          <w:bCs/>
          <w:sz w:val="22"/>
          <w:szCs w:val="22"/>
          <w:lang w:val="es-ES_tradnl"/>
        </w:rPr>
        <w:t xml:space="preserve"> </w:t>
      </w:r>
    </w:p>
    <w:p w14:paraId="751BC92D" w14:textId="77777777" w:rsidR="00040C3A" w:rsidRPr="0058434D" w:rsidRDefault="00040C3A" w:rsidP="00040C3A">
      <w:pPr>
        <w:tabs>
          <w:tab w:val="center" w:pos="5400"/>
        </w:tabs>
        <w:suppressAutoHyphens/>
        <w:jc w:val="both"/>
        <w:rPr>
          <w:rFonts w:asciiTheme="majorHAnsi" w:hAnsiTheme="majorHAnsi"/>
          <w:sz w:val="22"/>
          <w:szCs w:val="22"/>
          <w:lang w:val="es-ES_tradnl"/>
        </w:rPr>
      </w:pPr>
    </w:p>
    <w:p w14:paraId="4601B0E5" w14:textId="77777777" w:rsidR="00040C3A" w:rsidRPr="0058434D" w:rsidRDefault="00040C3A" w:rsidP="00040C3A">
      <w:pPr>
        <w:tabs>
          <w:tab w:val="center" w:pos="5400"/>
        </w:tabs>
        <w:suppressAutoHyphens/>
        <w:jc w:val="both"/>
        <w:rPr>
          <w:rFonts w:asciiTheme="majorHAnsi" w:hAnsiTheme="majorHAnsi"/>
          <w:sz w:val="22"/>
          <w:szCs w:val="22"/>
          <w:lang w:val="es-ES_tradnl"/>
        </w:rPr>
      </w:pPr>
    </w:p>
    <w:p w14:paraId="49EC0A3F" w14:textId="77777777" w:rsidR="005128E4" w:rsidRPr="0058434D"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58434D"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58434D"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58434D"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58434D"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58434D"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58434D"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58434D"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58434D"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58434D"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58434D" w:rsidRDefault="003D3BC2" w:rsidP="00040C3A">
      <w:pPr>
        <w:tabs>
          <w:tab w:val="center" w:pos="5400"/>
        </w:tabs>
        <w:suppressAutoHyphens/>
        <w:jc w:val="center"/>
        <w:rPr>
          <w:rFonts w:asciiTheme="majorHAnsi" w:hAnsiTheme="majorHAnsi"/>
          <w:sz w:val="22"/>
          <w:szCs w:val="22"/>
          <w:lang w:val="es-ES_tradnl"/>
        </w:rPr>
      </w:pPr>
      <w:r w:rsidRPr="0058434D">
        <w:rPr>
          <w:rFonts w:asciiTheme="majorHAnsi" w:hAnsiTheme="majorHAnsi"/>
          <w:noProof/>
          <w:sz w:val="22"/>
          <w:szCs w:val="22"/>
          <w:lang w:val="es-ES_tradnl"/>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7AFECE2F" w:rsidR="005B52B0" w:rsidRPr="00DF2F13"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DF2F13">
                              <w:rPr>
                                <w:rFonts w:asciiTheme="majorHAnsi" w:hAnsiTheme="majorHAnsi" w:cs="Arial"/>
                                <w:b/>
                                <w:bCs/>
                                <w:color w:val="0D0D0D" w:themeColor="text1" w:themeTint="F2"/>
                                <w:sz w:val="36"/>
                                <w:szCs w:val="40"/>
                                <w:lang w:val="es-ES_tradnl"/>
                              </w:rPr>
                              <w:t>.</w:t>
                            </w:r>
                            <w:r w:rsidR="007B05C4" w:rsidRPr="00DF2F13">
                              <w:rPr>
                                <w:rFonts w:asciiTheme="majorHAnsi" w:hAnsiTheme="majorHAnsi" w:cs="Arial"/>
                                <w:b/>
                                <w:bCs/>
                                <w:color w:val="0D0D0D" w:themeColor="text1" w:themeTint="F2"/>
                                <w:sz w:val="36"/>
                                <w:szCs w:val="22"/>
                                <w:lang w:val="es-ES_tradnl"/>
                              </w:rPr>
                              <w:t xml:space="preserve"> </w:t>
                            </w:r>
                            <w:r w:rsidR="00DF2F13">
                              <w:rPr>
                                <w:rFonts w:asciiTheme="majorHAnsi" w:hAnsiTheme="majorHAnsi" w:cs="Arial"/>
                                <w:b/>
                                <w:bCs/>
                                <w:color w:val="0D0D0D" w:themeColor="text1" w:themeTint="F2"/>
                                <w:sz w:val="36"/>
                                <w:szCs w:val="22"/>
                                <w:lang w:val="es-ES_tradnl"/>
                              </w:rPr>
                              <w:t>380</w:t>
                            </w:r>
                            <w:r w:rsidR="007B05C4" w:rsidRPr="00DF2F13">
                              <w:rPr>
                                <w:rFonts w:asciiTheme="majorHAnsi" w:hAnsiTheme="majorHAnsi" w:cs="Arial"/>
                                <w:b/>
                                <w:bCs/>
                                <w:color w:val="0D0D0D" w:themeColor="text1" w:themeTint="F2"/>
                                <w:sz w:val="36"/>
                                <w:szCs w:val="22"/>
                                <w:lang w:val="es-ES_tradnl"/>
                              </w:rPr>
                              <w:t>/</w:t>
                            </w:r>
                            <w:r w:rsidR="001D57D6" w:rsidRPr="00DF2F13">
                              <w:rPr>
                                <w:rFonts w:asciiTheme="majorHAnsi" w:hAnsiTheme="majorHAnsi" w:cs="Arial"/>
                                <w:b/>
                                <w:bCs/>
                                <w:color w:val="0D0D0D" w:themeColor="text1" w:themeTint="F2"/>
                                <w:sz w:val="36"/>
                                <w:szCs w:val="22"/>
                                <w:lang w:val="es-ES_tradnl"/>
                              </w:rPr>
                              <w:t>22</w:t>
                            </w:r>
                          </w:p>
                          <w:p w14:paraId="45F30ECA" w14:textId="4BFE9DBC" w:rsidR="007B05C4" w:rsidRDefault="005B52B0" w:rsidP="00997BC5">
                            <w:pPr>
                              <w:spacing w:line="276" w:lineRule="auto"/>
                              <w:rPr>
                                <w:rFonts w:asciiTheme="majorHAnsi" w:hAnsiTheme="majorHAnsi" w:cs="Arial"/>
                                <w:b/>
                                <w:color w:val="0D0D0D" w:themeColor="text1" w:themeTint="F2"/>
                                <w:sz w:val="36"/>
                                <w:szCs w:val="22"/>
                                <w:lang w:val="es-ES_tradnl"/>
                              </w:rPr>
                            </w:pPr>
                            <w:r w:rsidRPr="00DF2F13">
                              <w:rPr>
                                <w:rFonts w:asciiTheme="majorHAnsi" w:hAnsiTheme="majorHAnsi" w:cs="Arial"/>
                                <w:b/>
                                <w:color w:val="0D0D0D" w:themeColor="text1" w:themeTint="F2"/>
                                <w:sz w:val="36"/>
                                <w:szCs w:val="22"/>
                                <w:lang w:val="es-ES_tradnl"/>
                              </w:rPr>
                              <w:t xml:space="preserve">PETICIÓN </w:t>
                            </w:r>
                            <w:r w:rsidR="000F52EC" w:rsidRPr="00DF2F13">
                              <w:rPr>
                                <w:rFonts w:asciiTheme="majorHAnsi" w:hAnsiTheme="majorHAnsi" w:cs="Arial"/>
                                <w:b/>
                                <w:color w:val="0D0D0D" w:themeColor="text1" w:themeTint="F2"/>
                                <w:sz w:val="36"/>
                                <w:szCs w:val="22"/>
                                <w:lang w:val="es-ES_tradnl"/>
                              </w:rPr>
                              <w:t>700</w:t>
                            </w:r>
                            <w:r w:rsidR="00FA3AEF" w:rsidRPr="00DF2F13">
                              <w:rPr>
                                <w:rFonts w:asciiTheme="majorHAnsi" w:hAnsiTheme="majorHAnsi" w:cs="Arial"/>
                                <w:b/>
                                <w:color w:val="0D0D0D" w:themeColor="text1" w:themeTint="F2"/>
                                <w:sz w:val="36"/>
                                <w:szCs w:val="22"/>
                                <w:lang w:val="es-ES_tradnl"/>
                              </w:rPr>
                              <w:t>-</w:t>
                            </w:r>
                            <w:r w:rsidR="000F52EC" w:rsidRPr="00DF2F13">
                              <w:rPr>
                                <w:rFonts w:asciiTheme="majorHAnsi" w:hAnsiTheme="majorHAnsi" w:cs="Arial"/>
                                <w:b/>
                                <w:color w:val="0D0D0D" w:themeColor="text1" w:themeTint="F2"/>
                                <w:sz w:val="36"/>
                                <w:szCs w:val="22"/>
                                <w:lang w:val="es-ES_tradnl"/>
                              </w:rPr>
                              <w:t>07</w:t>
                            </w:r>
                            <w:r w:rsidR="00246D1F" w:rsidRPr="004E2649">
                              <w:rPr>
                                <w:rFonts w:asciiTheme="majorHAnsi" w:hAnsiTheme="majorHAnsi" w:cs="Arial"/>
                                <w:b/>
                                <w:color w:val="0D0D0D" w:themeColor="text1" w:themeTint="F2"/>
                                <w:sz w:val="36"/>
                                <w:szCs w:val="22"/>
                                <w:lang w:val="es-ES_tradnl"/>
                              </w:rPr>
                              <w:t xml:space="preserve"> </w:t>
                            </w:r>
                          </w:p>
                          <w:p w14:paraId="188B4303" w14:textId="1678674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242A0023" w14:textId="77777777" w:rsidR="004E4822" w:rsidRDefault="005340A2" w:rsidP="00997BC5">
                            <w:pPr>
                              <w:spacing w:line="276" w:lineRule="auto"/>
                              <w:rPr>
                                <w:rFonts w:asciiTheme="majorHAnsi" w:hAnsiTheme="majorHAnsi" w:cs="Arial"/>
                                <w:color w:val="0D0D0D" w:themeColor="text1" w:themeTint="F2"/>
                                <w:szCs w:val="22"/>
                                <w:lang w:val="es-ES_tradnl"/>
                              </w:rPr>
                            </w:pPr>
                            <w:r w:rsidRPr="00C466BD">
                              <w:rPr>
                                <w:rFonts w:asciiTheme="majorHAnsi" w:hAnsiTheme="majorHAnsi" w:cs="Arial"/>
                                <w:color w:val="0D0D0D" w:themeColor="text1" w:themeTint="F2"/>
                                <w:szCs w:val="22"/>
                                <w:lang w:val="es-ES_tradnl"/>
                              </w:rPr>
                              <w:t>MARTA FRANCISCA RUIZ ANLEU DE CABALLEROS</w:t>
                            </w:r>
                            <w:r>
                              <w:rPr>
                                <w:rFonts w:asciiTheme="majorHAnsi" w:hAnsiTheme="majorHAnsi" w:cs="Arial"/>
                                <w:color w:val="0D0D0D" w:themeColor="text1" w:themeTint="F2"/>
                                <w:szCs w:val="22"/>
                                <w:lang w:val="es-ES_tradnl"/>
                              </w:rPr>
                              <w:t xml:space="preserve"> </w:t>
                            </w:r>
                          </w:p>
                          <w:p w14:paraId="768F8782" w14:textId="735F2561" w:rsidR="005B52B0" w:rsidRPr="0010736F" w:rsidRDefault="005340A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Y </w:t>
                            </w:r>
                            <w:r w:rsidRPr="00C466BD">
                              <w:rPr>
                                <w:rFonts w:asciiTheme="majorHAnsi" w:hAnsiTheme="majorHAnsi" w:cs="Arial"/>
                                <w:color w:val="0D0D0D" w:themeColor="text1" w:themeTint="F2"/>
                                <w:szCs w:val="22"/>
                                <w:lang w:val="es-ES_tradnl"/>
                              </w:rPr>
                              <w:t>JULIO RODOLFO CABALLEROS GALINDO</w:t>
                            </w:r>
                            <w:r>
                              <w:rPr>
                                <w:rFonts w:asciiTheme="majorHAnsi" w:hAnsiTheme="majorHAnsi" w:cs="Arial"/>
                                <w:color w:val="0D0D0D" w:themeColor="text1" w:themeTint="F2"/>
                                <w:szCs w:val="22"/>
                                <w:lang w:val="es-ES_tradnl"/>
                              </w:rPr>
                              <w:t xml:space="preserve"> </w:t>
                            </w:r>
                          </w:p>
                          <w:bookmarkEnd w:id="0"/>
                          <w:p w14:paraId="0B9F7D22" w14:textId="265E6614" w:rsidR="005B52B0" w:rsidRPr="00F56ECB" w:rsidRDefault="000F52EC"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GUATEMALA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7AFECE2F" w:rsidR="005B52B0" w:rsidRPr="00DF2F13"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DF2F13">
                        <w:rPr>
                          <w:rFonts w:asciiTheme="majorHAnsi" w:hAnsiTheme="majorHAnsi" w:cs="Arial"/>
                          <w:b/>
                          <w:bCs/>
                          <w:color w:val="0D0D0D" w:themeColor="text1" w:themeTint="F2"/>
                          <w:sz w:val="36"/>
                          <w:szCs w:val="40"/>
                          <w:lang w:val="es-ES_tradnl"/>
                        </w:rPr>
                        <w:t>.</w:t>
                      </w:r>
                      <w:r w:rsidR="007B05C4" w:rsidRPr="00DF2F13">
                        <w:rPr>
                          <w:rFonts w:asciiTheme="majorHAnsi" w:hAnsiTheme="majorHAnsi" w:cs="Arial"/>
                          <w:b/>
                          <w:bCs/>
                          <w:color w:val="0D0D0D" w:themeColor="text1" w:themeTint="F2"/>
                          <w:sz w:val="36"/>
                          <w:szCs w:val="22"/>
                          <w:lang w:val="es-ES_tradnl"/>
                        </w:rPr>
                        <w:t xml:space="preserve"> </w:t>
                      </w:r>
                      <w:r w:rsidR="00DF2F13">
                        <w:rPr>
                          <w:rFonts w:asciiTheme="majorHAnsi" w:hAnsiTheme="majorHAnsi" w:cs="Arial"/>
                          <w:b/>
                          <w:bCs/>
                          <w:color w:val="0D0D0D" w:themeColor="text1" w:themeTint="F2"/>
                          <w:sz w:val="36"/>
                          <w:szCs w:val="22"/>
                          <w:lang w:val="es-ES_tradnl"/>
                        </w:rPr>
                        <w:t>380</w:t>
                      </w:r>
                      <w:r w:rsidR="007B05C4" w:rsidRPr="00DF2F13">
                        <w:rPr>
                          <w:rFonts w:asciiTheme="majorHAnsi" w:hAnsiTheme="majorHAnsi" w:cs="Arial"/>
                          <w:b/>
                          <w:bCs/>
                          <w:color w:val="0D0D0D" w:themeColor="text1" w:themeTint="F2"/>
                          <w:sz w:val="36"/>
                          <w:szCs w:val="22"/>
                          <w:lang w:val="es-ES_tradnl"/>
                        </w:rPr>
                        <w:t>/</w:t>
                      </w:r>
                      <w:r w:rsidR="001D57D6" w:rsidRPr="00DF2F13">
                        <w:rPr>
                          <w:rFonts w:asciiTheme="majorHAnsi" w:hAnsiTheme="majorHAnsi" w:cs="Arial"/>
                          <w:b/>
                          <w:bCs/>
                          <w:color w:val="0D0D0D" w:themeColor="text1" w:themeTint="F2"/>
                          <w:sz w:val="36"/>
                          <w:szCs w:val="22"/>
                          <w:lang w:val="es-ES_tradnl"/>
                        </w:rPr>
                        <w:t>22</w:t>
                      </w:r>
                    </w:p>
                    <w:p w14:paraId="45F30ECA" w14:textId="4BFE9DBC" w:rsidR="007B05C4" w:rsidRDefault="005B52B0" w:rsidP="00997BC5">
                      <w:pPr>
                        <w:spacing w:line="276" w:lineRule="auto"/>
                        <w:rPr>
                          <w:rFonts w:asciiTheme="majorHAnsi" w:hAnsiTheme="majorHAnsi" w:cs="Arial"/>
                          <w:b/>
                          <w:color w:val="0D0D0D" w:themeColor="text1" w:themeTint="F2"/>
                          <w:sz w:val="36"/>
                          <w:szCs w:val="22"/>
                          <w:lang w:val="es-ES_tradnl"/>
                        </w:rPr>
                      </w:pPr>
                      <w:r w:rsidRPr="00DF2F13">
                        <w:rPr>
                          <w:rFonts w:asciiTheme="majorHAnsi" w:hAnsiTheme="majorHAnsi" w:cs="Arial"/>
                          <w:b/>
                          <w:color w:val="0D0D0D" w:themeColor="text1" w:themeTint="F2"/>
                          <w:sz w:val="36"/>
                          <w:szCs w:val="22"/>
                          <w:lang w:val="es-ES_tradnl"/>
                        </w:rPr>
                        <w:t xml:space="preserve">PETICIÓN </w:t>
                      </w:r>
                      <w:r w:rsidR="000F52EC" w:rsidRPr="00DF2F13">
                        <w:rPr>
                          <w:rFonts w:asciiTheme="majorHAnsi" w:hAnsiTheme="majorHAnsi" w:cs="Arial"/>
                          <w:b/>
                          <w:color w:val="0D0D0D" w:themeColor="text1" w:themeTint="F2"/>
                          <w:sz w:val="36"/>
                          <w:szCs w:val="22"/>
                          <w:lang w:val="es-ES_tradnl"/>
                        </w:rPr>
                        <w:t>700</w:t>
                      </w:r>
                      <w:r w:rsidR="00FA3AEF" w:rsidRPr="00DF2F13">
                        <w:rPr>
                          <w:rFonts w:asciiTheme="majorHAnsi" w:hAnsiTheme="majorHAnsi" w:cs="Arial"/>
                          <w:b/>
                          <w:color w:val="0D0D0D" w:themeColor="text1" w:themeTint="F2"/>
                          <w:sz w:val="36"/>
                          <w:szCs w:val="22"/>
                          <w:lang w:val="es-ES_tradnl"/>
                        </w:rPr>
                        <w:t>-</w:t>
                      </w:r>
                      <w:r w:rsidR="000F52EC" w:rsidRPr="00DF2F13">
                        <w:rPr>
                          <w:rFonts w:asciiTheme="majorHAnsi" w:hAnsiTheme="majorHAnsi" w:cs="Arial"/>
                          <w:b/>
                          <w:color w:val="0D0D0D" w:themeColor="text1" w:themeTint="F2"/>
                          <w:sz w:val="36"/>
                          <w:szCs w:val="22"/>
                          <w:lang w:val="es-ES_tradnl"/>
                        </w:rPr>
                        <w:t>07</w:t>
                      </w:r>
                      <w:r w:rsidR="00246D1F" w:rsidRPr="004E2649">
                        <w:rPr>
                          <w:rFonts w:asciiTheme="majorHAnsi" w:hAnsiTheme="majorHAnsi" w:cs="Arial"/>
                          <w:b/>
                          <w:color w:val="0D0D0D" w:themeColor="text1" w:themeTint="F2"/>
                          <w:sz w:val="36"/>
                          <w:szCs w:val="22"/>
                          <w:lang w:val="es-ES_tradnl"/>
                        </w:rPr>
                        <w:t xml:space="preserve"> </w:t>
                      </w:r>
                    </w:p>
                    <w:p w14:paraId="188B4303" w14:textId="1678674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242A0023" w14:textId="77777777" w:rsidR="004E4822" w:rsidRDefault="005340A2" w:rsidP="00997BC5">
                      <w:pPr>
                        <w:spacing w:line="276" w:lineRule="auto"/>
                        <w:rPr>
                          <w:rFonts w:asciiTheme="majorHAnsi" w:hAnsiTheme="majorHAnsi" w:cs="Arial"/>
                          <w:color w:val="0D0D0D" w:themeColor="text1" w:themeTint="F2"/>
                          <w:szCs w:val="22"/>
                          <w:lang w:val="es-ES_tradnl"/>
                        </w:rPr>
                      </w:pPr>
                      <w:r w:rsidRPr="00C466BD">
                        <w:rPr>
                          <w:rFonts w:asciiTheme="majorHAnsi" w:hAnsiTheme="majorHAnsi" w:cs="Arial"/>
                          <w:color w:val="0D0D0D" w:themeColor="text1" w:themeTint="F2"/>
                          <w:szCs w:val="22"/>
                          <w:lang w:val="es-ES_tradnl"/>
                        </w:rPr>
                        <w:t>MARTA FRANCISCA RUIZ ANLEU DE CABALLEROS</w:t>
                      </w:r>
                      <w:r>
                        <w:rPr>
                          <w:rFonts w:asciiTheme="majorHAnsi" w:hAnsiTheme="majorHAnsi" w:cs="Arial"/>
                          <w:color w:val="0D0D0D" w:themeColor="text1" w:themeTint="F2"/>
                          <w:szCs w:val="22"/>
                          <w:lang w:val="es-ES_tradnl"/>
                        </w:rPr>
                        <w:t xml:space="preserve"> </w:t>
                      </w:r>
                    </w:p>
                    <w:p w14:paraId="768F8782" w14:textId="735F2561" w:rsidR="005B52B0" w:rsidRPr="0010736F" w:rsidRDefault="005340A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Y </w:t>
                      </w:r>
                      <w:r w:rsidRPr="00C466BD">
                        <w:rPr>
                          <w:rFonts w:asciiTheme="majorHAnsi" w:hAnsiTheme="majorHAnsi" w:cs="Arial"/>
                          <w:color w:val="0D0D0D" w:themeColor="text1" w:themeTint="F2"/>
                          <w:szCs w:val="22"/>
                          <w:lang w:val="es-ES_tradnl"/>
                        </w:rPr>
                        <w:t>JULIO RODOLFO CABALLEROS GALINDO</w:t>
                      </w:r>
                      <w:r>
                        <w:rPr>
                          <w:rFonts w:asciiTheme="majorHAnsi" w:hAnsiTheme="majorHAnsi" w:cs="Arial"/>
                          <w:color w:val="0D0D0D" w:themeColor="text1" w:themeTint="F2"/>
                          <w:szCs w:val="22"/>
                          <w:lang w:val="es-ES_tradnl"/>
                        </w:rPr>
                        <w:t xml:space="preserve"> </w:t>
                      </w:r>
                    </w:p>
                    <w:bookmarkEnd w:id="1"/>
                    <w:p w14:paraId="0B9F7D22" w14:textId="265E6614" w:rsidR="005B52B0" w:rsidRPr="00F56ECB" w:rsidRDefault="000F52EC"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GUATEMALA</w:t>
                      </w:r>
                    </w:p>
                  </w:txbxContent>
                </v:textbox>
              </v:shape>
            </w:pict>
          </mc:Fallback>
        </mc:AlternateContent>
      </w:r>
      <w:r w:rsidR="004E2649" w:rsidRPr="0058434D">
        <w:rPr>
          <w:rFonts w:asciiTheme="majorHAnsi" w:hAnsiTheme="majorHAnsi"/>
          <w:noProof/>
          <w:sz w:val="22"/>
          <w:szCs w:val="22"/>
          <w:lang w:val="es-ES_tradnl"/>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1C38C9C0" w:rsidR="00627C9F" w:rsidRPr="00EE0DDE" w:rsidRDefault="00834D49" w:rsidP="007A5817">
                            <w:pPr>
                              <w:spacing w:line="276" w:lineRule="auto"/>
                              <w:jc w:val="right"/>
                              <w:rPr>
                                <w:rFonts w:asciiTheme="minorHAnsi" w:hAnsiTheme="minorHAnsi"/>
                                <w:color w:val="FFFFFF" w:themeColor="background1"/>
                                <w:sz w:val="22"/>
                                <w:lang w:val="es-AR"/>
                              </w:rPr>
                            </w:pPr>
                            <w:r w:rsidRPr="00EE0DDE">
                              <w:rPr>
                                <w:rFonts w:asciiTheme="minorHAnsi" w:hAnsiTheme="minorHAnsi"/>
                                <w:color w:val="FFFFFF" w:themeColor="background1"/>
                                <w:sz w:val="22"/>
                                <w:lang w:val="es-AR"/>
                              </w:rPr>
                              <w:t>OEA/Ser.L/V/II</w:t>
                            </w:r>
                          </w:p>
                          <w:p w14:paraId="71D2D5D2" w14:textId="21E96E7C" w:rsidR="00627C9F" w:rsidRPr="00EE0DDE" w:rsidRDefault="00627C9F" w:rsidP="007A5817">
                            <w:pPr>
                              <w:spacing w:line="276" w:lineRule="auto"/>
                              <w:jc w:val="right"/>
                              <w:rPr>
                                <w:rFonts w:asciiTheme="minorHAnsi" w:hAnsiTheme="minorHAnsi"/>
                                <w:color w:val="FFFFFF" w:themeColor="background1"/>
                                <w:sz w:val="22"/>
                                <w:lang w:val="es-AR"/>
                              </w:rPr>
                            </w:pPr>
                            <w:r w:rsidRPr="00EE0DDE">
                              <w:rPr>
                                <w:rFonts w:asciiTheme="minorHAnsi" w:hAnsiTheme="minorHAnsi"/>
                                <w:color w:val="FFFFFF" w:themeColor="background1"/>
                                <w:sz w:val="22"/>
                                <w:lang w:val="es-AR"/>
                              </w:rPr>
                              <w:t xml:space="preserve">Doc. </w:t>
                            </w:r>
                            <w:r w:rsidR="00DF2F13" w:rsidRPr="00EE0DDE">
                              <w:rPr>
                                <w:rFonts w:asciiTheme="minorHAnsi" w:hAnsiTheme="minorHAnsi"/>
                                <w:color w:val="FFFFFF" w:themeColor="background1"/>
                                <w:sz w:val="22"/>
                                <w:lang w:val="es-AR"/>
                              </w:rPr>
                              <w:t>388</w:t>
                            </w:r>
                          </w:p>
                          <w:p w14:paraId="4061DBBD" w14:textId="1B2A0802" w:rsidR="00627C9F" w:rsidRPr="00DF2F13" w:rsidRDefault="006F0B0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22 diciembre</w:t>
                            </w:r>
                            <w:r w:rsidR="00627C9F" w:rsidRPr="00DF2F13">
                              <w:rPr>
                                <w:rFonts w:asciiTheme="minorHAnsi" w:hAnsiTheme="minorHAnsi"/>
                                <w:color w:val="FFFFFF" w:themeColor="background1"/>
                                <w:sz w:val="22"/>
                                <w:lang w:val="es-PA"/>
                              </w:rPr>
                              <w:t xml:space="preserve"> 20</w:t>
                            </w:r>
                            <w:r w:rsidR="00C23BA4" w:rsidRPr="00DF2F13">
                              <w:rPr>
                                <w:rFonts w:asciiTheme="minorHAnsi" w:hAnsiTheme="minorHAnsi"/>
                                <w:color w:val="FFFFFF" w:themeColor="background1"/>
                                <w:sz w:val="22"/>
                                <w:lang w:val="es-PA"/>
                              </w:rPr>
                              <w:t>2</w:t>
                            </w:r>
                            <w:r w:rsidR="009935AC" w:rsidRPr="00DF2F13">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DF2F13">
                              <w:rPr>
                                <w:rFonts w:asciiTheme="minorHAnsi" w:hAnsiTheme="minorHAnsi"/>
                                <w:color w:val="FFFFFF" w:themeColor="background1"/>
                                <w:sz w:val="22"/>
                                <w:lang w:val="es-PA"/>
                              </w:rPr>
                              <w:t xml:space="preserve">Original: </w:t>
                            </w:r>
                            <w:r w:rsidR="008B12F5" w:rsidRPr="00DF2F13">
                              <w:rPr>
                                <w:rFonts w:asciiTheme="minorHAnsi" w:hAnsiTheme="minorHAnsi"/>
                                <w:color w:val="FFFFFF" w:themeColor="background1"/>
                                <w:sz w:val="22"/>
                                <w:lang w:val="es-PA"/>
                              </w:rPr>
                              <w:t>e</w:t>
                            </w:r>
                            <w:r w:rsidR="00627C9F" w:rsidRPr="00DF2F13">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1C38C9C0" w:rsidR="00627C9F" w:rsidRPr="00EE0DDE" w:rsidRDefault="00834D49" w:rsidP="007A5817">
                      <w:pPr>
                        <w:spacing w:line="276" w:lineRule="auto"/>
                        <w:jc w:val="right"/>
                        <w:rPr>
                          <w:rFonts w:asciiTheme="minorHAnsi" w:hAnsiTheme="minorHAnsi"/>
                          <w:color w:val="FFFFFF" w:themeColor="background1"/>
                          <w:sz w:val="22"/>
                          <w:lang w:val="es-AR"/>
                        </w:rPr>
                      </w:pPr>
                      <w:r w:rsidRPr="00EE0DDE">
                        <w:rPr>
                          <w:rFonts w:asciiTheme="minorHAnsi" w:hAnsiTheme="minorHAnsi"/>
                          <w:color w:val="FFFFFF" w:themeColor="background1"/>
                          <w:sz w:val="22"/>
                          <w:lang w:val="es-AR"/>
                        </w:rPr>
                        <w:t>OEA/Ser.L/V/II</w:t>
                      </w:r>
                    </w:p>
                    <w:p w14:paraId="71D2D5D2" w14:textId="21E96E7C" w:rsidR="00627C9F" w:rsidRPr="00EE0DDE" w:rsidRDefault="00627C9F" w:rsidP="007A5817">
                      <w:pPr>
                        <w:spacing w:line="276" w:lineRule="auto"/>
                        <w:jc w:val="right"/>
                        <w:rPr>
                          <w:rFonts w:asciiTheme="minorHAnsi" w:hAnsiTheme="minorHAnsi"/>
                          <w:color w:val="FFFFFF" w:themeColor="background1"/>
                          <w:sz w:val="22"/>
                          <w:lang w:val="es-AR"/>
                        </w:rPr>
                      </w:pPr>
                      <w:r w:rsidRPr="00EE0DDE">
                        <w:rPr>
                          <w:rFonts w:asciiTheme="minorHAnsi" w:hAnsiTheme="minorHAnsi"/>
                          <w:color w:val="FFFFFF" w:themeColor="background1"/>
                          <w:sz w:val="22"/>
                          <w:lang w:val="es-AR"/>
                        </w:rPr>
                        <w:t xml:space="preserve">Doc. </w:t>
                      </w:r>
                      <w:r w:rsidR="00DF2F13" w:rsidRPr="00EE0DDE">
                        <w:rPr>
                          <w:rFonts w:asciiTheme="minorHAnsi" w:hAnsiTheme="minorHAnsi"/>
                          <w:color w:val="FFFFFF" w:themeColor="background1"/>
                          <w:sz w:val="22"/>
                          <w:lang w:val="es-AR"/>
                        </w:rPr>
                        <w:t>388</w:t>
                      </w:r>
                    </w:p>
                    <w:p w14:paraId="4061DBBD" w14:textId="1B2A0802" w:rsidR="00627C9F" w:rsidRPr="00DF2F13" w:rsidRDefault="006F0B0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22 diciembre</w:t>
                      </w:r>
                      <w:r w:rsidR="00627C9F" w:rsidRPr="00DF2F13">
                        <w:rPr>
                          <w:rFonts w:asciiTheme="minorHAnsi" w:hAnsiTheme="minorHAnsi"/>
                          <w:color w:val="FFFFFF" w:themeColor="background1"/>
                          <w:sz w:val="22"/>
                          <w:lang w:val="es-PA"/>
                        </w:rPr>
                        <w:t xml:space="preserve"> 20</w:t>
                      </w:r>
                      <w:r w:rsidR="00C23BA4" w:rsidRPr="00DF2F13">
                        <w:rPr>
                          <w:rFonts w:asciiTheme="minorHAnsi" w:hAnsiTheme="minorHAnsi"/>
                          <w:color w:val="FFFFFF" w:themeColor="background1"/>
                          <w:sz w:val="22"/>
                          <w:lang w:val="es-PA"/>
                        </w:rPr>
                        <w:t>2</w:t>
                      </w:r>
                      <w:r w:rsidR="009935AC" w:rsidRPr="00DF2F13">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DF2F13">
                        <w:rPr>
                          <w:rFonts w:asciiTheme="minorHAnsi" w:hAnsiTheme="minorHAnsi"/>
                          <w:color w:val="FFFFFF" w:themeColor="background1"/>
                          <w:sz w:val="22"/>
                          <w:lang w:val="es-PA"/>
                        </w:rPr>
                        <w:t xml:space="preserve">Original: </w:t>
                      </w:r>
                      <w:r w:rsidR="008B12F5" w:rsidRPr="00DF2F13">
                        <w:rPr>
                          <w:rFonts w:asciiTheme="minorHAnsi" w:hAnsiTheme="minorHAnsi"/>
                          <w:color w:val="FFFFFF" w:themeColor="background1"/>
                          <w:sz w:val="22"/>
                          <w:lang w:val="es-PA"/>
                        </w:rPr>
                        <w:t>e</w:t>
                      </w:r>
                      <w:r w:rsidR="00627C9F" w:rsidRPr="00DF2F13">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58434D"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58434D"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58434D"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58434D"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58434D"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58434D"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58434D"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58434D"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58434D"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58434D"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58434D"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58434D"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58434D"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58434D"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58434D"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58434D"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58434D"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58434D"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58434D"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58434D"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58434D"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58434D"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58434D"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58434D"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58434D"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58434D"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58434D"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58434D"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58434D" w:rsidRDefault="0090270B" w:rsidP="00040C3A">
      <w:pPr>
        <w:tabs>
          <w:tab w:val="center" w:pos="5400"/>
        </w:tabs>
        <w:suppressAutoHyphens/>
        <w:jc w:val="center"/>
        <w:rPr>
          <w:rFonts w:asciiTheme="majorHAnsi" w:hAnsiTheme="majorHAnsi"/>
          <w:sz w:val="18"/>
          <w:szCs w:val="22"/>
          <w:lang w:val="es-ES_tradnl"/>
        </w:rPr>
      </w:pPr>
      <w:r w:rsidRPr="0058434D">
        <w:rPr>
          <w:rFonts w:asciiTheme="majorHAnsi" w:hAnsiTheme="majorHAnsi"/>
          <w:noProof/>
          <w:sz w:val="22"/>
          <w:szCs w:val="22"/>
          <w:lang w:val="es-ES_tradnl"/>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6EF4C77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223EC1">
                              <w:rPr>
                                <w:rFonts w:asciiTheme="majorHAnsi" w:hAnsiTheme="majorHAnsi"/>
                                <w:color w:val="0D0D0D" w:themeColor="text1" w:themeTint="F2"/>
                                <w:sz w:val="18"/>
                                <w:szCs w:val="22"/>
                                <w:lang w:val="es-ES"/>
                              </w:rPr>
                              <w:t>Aprobado electr</w:t>
                            </w:r>
                            <w:r w:rsidRPr="00223EC1">
                              <w:rPr>
                                <w:rFonts w:asciiTheme="majorHAnsi" w:hAnsiTheme="majorHAnsi"/>
                                <w:color w:val="0D0D0D" w:themeColor="text1" w:themeTint="F2"/>
                                <w:sz w:val="18"/>
                                <w:szCs w:val="22"/>
                                <w:lang w:val="es-ES_tradnl"/>
                              </w:rPr>
                              <w:t>ónicamente</w:t>
                            </w:r>
                            <w:r w:rsidRPr="00223EC1">
                              <w:rPr>
                                <w:rFonts w:asciiTheme="majorHAnsi" w:hAnsiTheme="majorHAnsi"/>
                                <w:color w:val="0D0D0D" w:themeColor="text1" w:themeTint="F2"/>
                                <w:sz w:val="18"/>
                                <w:szCs w:val="22"/>
                                <w:lang w:val="es-ES"/>
                              </w:rPr>
                              <w:t xml:space="preserve"> por la Comisión el </w:t>
                            </w:r>
                            <w:r w:rsidR="00402678">
                              <w:rPr>
                                <w:rFonts w:asciiTheme="majorHAnsi" w:hAnsiTheme="majorHAnsi"/>
                                <w:color w:val="0D0D0D" w:themeColor="text1" w:themeTint="F2"/>
                                <w:sz w:val="18"/>
                                <w:szCs w:val="22"/>
                                <w:lang w:val="es-ES"/>
                              </w:rPr>
                              <w:t>22</w:t>
                            </w:r>
                            <w:r w:rsidRPr="00223EC1">
                              <w:rPr>
                                <w:rFonts w:asciiTheme="majorHAnsi" w:hAnsiTheme="majorHAnsi"/>
                                <w:color w:val="0D0D0D" w:themeColor="text1" w:themeTint="F2"/>
                                <w:sz w:val="18"/>
                                <w:szCs w:val="22"/>
                                <w:lang w:val="es-ES"/>
                              </w:rPr>
                              <w:t xml:space="preserve"> de </w:t>
                            </w:r>
                            <w:r w:rsidR="00402678">
                              <w:rPr>
                                <w:rFonts w:asciiTheme="majorHAnsi" w:hAnsiTheme="majorHAnsi"/>
                                <w:color w:val="0D0D0D" w:themeColor="text1" w:themeTint="F2"/>
                                <w:sz w:val="18"/>
                                <w:szCs w:val="22"/>
                                <w:lang w:val="es-ES"/>
                              </w:rPr>
                              <w:t>diciembre</w:t>
                            </w:r>
                            <w:r w:rsidR="00F81BB8" w:rsidRPr="00223EC1">
                              <w:rPr>
                                <w:rFonts w:asciiTheme="majorHAnsi" w:hAnsiTheme="majorHAnsi"/>
                                <w:color w:val="0D0D0D" w:themeColor="text1" w:themeTint="F2"/>
                                <w:sz w:val="18"/>
                                <w:szCs w:val="22"/>
                                <w:lang w:val="es-ES"/>
                              </w:rPr>
                              <w:t xml:space="preserve"> </w:t>
                            </w:r>
                            <w:r w:rsidRPr="00223EC1">
                              <w:rPr>
                                <w:rFonts w:asciiTheme="majorHAnsi" w:hAnsiTheme="majorHAnsi"/>
                                <w:color w:val="0D0D0D" w:themeColor="text1" w:themeTint="F2"/>
                                <w:sz w:val="18"/>
                                <w:szCs w:val="22"/>
                                <w:lang w:val="es-ES"/>
                              </w:rPr>
                              <w:t>de 20</w:t>
                            </w:r>
                            <w:r w:rsidR="00C23BA4" w:rsidRPr="00223EC1">
                              <w:rPr>
                                <w:rFonts w:asciiTheme="majorHAnsi" w:hAnsiTheme="majorHAnsi"/>
                                <w:color w:val="0D0D0D" w:themeColor="text1" w:themeTint="F2"/>
                                <w:sz w:val="18"/>
                                <w:szCs w:val="22"/>
                                <w:lang w:val="es-ES"/>
                              </w:rPr>
                              <w:t>2</w:t>
                            </w:r>
                            <w:r w:rsidR="009935AC" w:rsidRPr="00223EC1">
                              <w:rPr>
                                <w:rFonts w:asciiTheme="majorHAnsi" w:hAnsiTheme="majorHAnsi"/>
                                <w:color w:val="0D0D0D" w:themeColor="text1" w:themeTint="F2"/>
                                <w:sz w:val="18"/>
                                <w:szCs w:val="22"/>
                                <w:lang w:val="es-ES"/>
                              </w:rPr>
                              <w:t>2</w:t>
                            </w:r>
                            <w:r w:rsidR="00223EC1">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6EF4C77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223EC1">
                        <w:rPr>
                          <w:rFonts w:asciiTheme="majorHAnsi" w:hAnsiTheme="majorHAnsi"/>
                          <w:color w:val="0D0D0D" w:themeColor="text1" w:themeTint="F2"/>
                          <w:sz w:val="18"/>
                          <w:szCs w:val="22"/>
                          <w:lang w:val="es-ES"/>
                        </w:rPr>
                        <w:t>Aprobado electr</w:t>
                      </w:r>
                      <w:r w:rsidRPr="00223EC1">
                        <w:rPr>
                          <w:rFonts w:asciiTheme="majorHAnsi" w:hAnsiTheme="majorHAnsi"/>
                          <w:color w:val="0D0D0D" w:themeColor="text1" w:themeTint="F2"/>
                          <w:sz w:val="18"/>
                          <w:szCs w:val="22"/>
                          <w:lang w:val="es-ES_tradnl"/>
                        </w:rPr>
                        <w:t>ónicamente</w:t>
                      </w:r>
                      <w:r w:rsidRPr="00223EC1">
                        <w:rPr>
                          <w:rFonts w:asciiTheme="majorHAnsi" w:hAnsiTheme="majorHAnsi"/>
                          <w:color w:val="0D0D0D" w:themeColor="text1" w:themeTint="F2"/>
                          <w:sz w:val="18"/>
                          <w:szCs w:val="22"/>
                          <w:lang w:val="es-ES"/>
                        </w:rPr>
                        <w:t xml:space="preserve"> por la Comisión el </w:t>
                      </w:r>
                      <w:r w:rsidR="00402678">
                        <w:rPr>
                          <w:rFonts w:asciiTheme="majorHAnsi" w:hAnsiTheme="majorHAnsi"/>
                          <w:color w:val="0D0D0D" w:themeColor="text1" w:themeTint="F2"/>
                          <w:sz w:val="18"/>
                          <w:szCs w:val="22"/>
                          <w:lang w:val="es-ES"/>
                        </w:rPr>
                        <w:t>22</w:t>
                      </w:r>
                      <w:r w:rsidRPr="00223EC1">
                        <w:rPr>
                          <w:rFonts w:asciiTheme="majorHAnsi" w:hAnsiTheme="majorHAnsi"/>
                          <w:color w:val="0D0D0D" w:themeColor="text1" w:themeTint="F2"/>
                          <w:sz w:val="18"/>
                          <w:szCs w:val="22"/>
                          <w:lang w:val="es-ES"/>
                        </w:rPr>
                        <w:t xml:space="preserve"> de </w:t>
                      </w:r>
                      <w:r w:rsidR="00402678">
                        <w:rPr>
                          <w:rFonts w:asciiTheme="majorHAnsi" w:hAnsiTheme="majorHAnsi"/>
                          <w:color w:val="0D0D0D" w:themeColor="text1" w:themeTint="F2"/>
                          <w:sz w:val="18"/>
                          <w:szCs w:val="22"/>
                          <w:lang w:val="es-ES"/>
                        </w:rPr>
                        <w:t>diciembre</w:t>
                      </w:r>
                      <w:r w:rsidR="00F81BB8" w:rsidRPr="00223EC1">
                        <w:rPr>
                          <w:rFonts w:asciiTheme="majorHAnsi" w:hAnsiTheme="majorHAnsi"/>
                          <w:color w:val="0D0D0D" w:themeColor="text1" w:themeTint="F2"/>
                          <w:sz w:val="18"/>
                          <w:szCs w:val="22"/>
                          <w:lang w:val="es-ES"/>
                        </w:rPr>
                        <w:t xml:space="preserve"> </w:t>
                      </w:r>
                      <w:r w:rsidRPr="00223EC1">
                        <w:rPr>
                          <w:rFonts w:asciiTheme="majorHAnsi" w:hAnsiTheme="majorHAnsi"/>
                          <w:color w:val="0D0D0D" w:themeColor="text1" w:themeTint="F2"/>
                          <w:sz w:val="18"/>
                          <w:szCs w:val="22"/>
                          <w:lang w:val="es-ES"/>
                        </w:rPr>
                        <w:t>de 20</w:t>
                      </w:r>
                      <w:r w:rsidR="00C23BA4" w:rsidRPr="00223EC1">
                        <w:rPr>
                          <w:rFonts w:asciiTheme="majorHAnsi" w:hAnsiTheme="majorHAnsi"/>
                          <w:color w:val="0D0D0D" w:themeColor="text1" w:themeTint="F2"/>
                          <w:sz w:val="18"/>
                          <w:szCs w:val="22"/>
                          <w:lang w:val="es-ES"/>
                        </w:rPr>
                        <w:t>2</w:t>
                      </w:r>
                      <w:r w:rsidR="009935AC" w:rsidRPr="00223EC1">
                        <w:rPr>
                          <w:rFonts w:asciiTheme="majorHAnsi" w:hAnsiTheme="majorHAnsi"/>
                          <w:color w:val="0D0D0D" w:themeColor="text1" w:themeTint="F2"/>
                          <w:sz w:val="18"/>
                          <w:szCs w:val="22"/>
                          <w:lang w:val="es-ES"/>
                        </w:rPr>
                        <w:t>2</w:t>
                      </w:r>
                      <w:r w:rsidR="00223EC1">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58434D"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58434D"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58434D"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58434D"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58434D" w:rsidRDefault="0090270B" w:rsidP="00040C3A">
      <w:pPr>
        <w:tabs>
          <w:tab w:val="center" w:pos="5400"/>
        </w:tabs>
        <w:suppressAutoHyphens/>
        <w:jc w:val="center"/>
        <w:rPr>
          <w:rFonts w:asciiTheme="majorHAnsi" w:hAnsiTheme="majorHAnsi"/>
          <w:sz w:val="18"/>
          <w:szCs w:val="22"/>
          <w:lang w:val="es-ES_tradnl"/>
        </w:rPr>
      </w:pPr>
      <w:r w:rsidRPr="0058434D">
        <w:rPr>
          <w:rFonts w:asciiTheme="majorHAnsi" w:hAnsiTheme="majorHAnsi"/>
          <w:noProof/>
          <w:sz w:val="18"/>
          <w:szCs w:val="22"/>
          <w:lang w:val="es-ES_tradnl"/>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1140D9CE"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223EC1">
                              <w:rPr>
                                <w:rFonts w:asciiTheme="majorHAnsi" w:hAnsiTheme="majorHAnsi"/>
                                <w:color w:val="595959" w:themeColor="text1" w:themeTint="A6"/>
                                <w:sz w:val="18"/>
                                <w:szCs w:val="18"/>
                                <w:lang w:val="pt-BR"/>
                              </w:rPr>
                              <w:t xml:space="preserve">CIDH, Informe No. </w:t>
                            </w:r>
                            <w:r w:rsidR="00402678" w:rsidRPr="00402678">
                              <w:rPr>
                                <w:rFonts w:asciiTheme="majorHAnsi" w:hAnsiTheme="majorHAnsi"/>
                                <w:color w:val="595959" w:themeColor="text1" w:themeTint="A6"/>
                                <w:sz w:val="18"/>
                                <w:szCs w:val="18"/>
                                <w:lang w:val="pt-BR"/>
                              </w:rPr>
                              <w:t>380</w:t>
                            </w:r>
                            <w:r w:rsidR="007B05C4" w:rsidRPr="00402678">
                              <w:rPr>
                                <w:rFonts w:asciiTheme="majorHAnsi" w:hAnsiTheme="majorHAnsi"/>
                                <w:color w:val="595959" w:themeColor="text1" w:themeTint="A6"/>
                                <w:sz w:val="18"/>
                                <w:szCs w:val="18"/>
                                <w:lang w:val="pt-BR"/>
                              </w:rPr>
                              <w:t>/</w:t>
                            </w:r>
                            <w:r w:rsidR="00402678" w:rsidRPr="00402678">
                              <w:rPr>
                                <w:rFonts w:asciiTheme="majorHAnsi" w:hAnsiTheme="majorHAnsi"/>
                                <w:color w:val="595959" w:themeColor="text1" w:themeTint="A6"/>
                                <w:sz w:val="18"/>
                                <w:szCs w:val="18"/>
                                <w:lang w:val="pt-BR"/>
                              </w:rPr>
                              <w:t>22</w:t>
                            </w:r>
                            <w:r w:rsidRPr="00402678">
                              <w:rPr>
                                <w:rFonts w:asciiTheme="majorHAnsi" w:hAnsiTheme="majorHAnsi"/>
                                <w:color w:val="595959" w:themeColor="text1" w:themeTint="A6"/>
                                <w:sz w:val="18"/>
                                <w:szCs w:val="18"/>
                                <w:lang w:val="pt-BR"/>
                              </w:rPr>
                              <w:t xml:space="preserve">. </w:t>
                            </w:r>
                            <w:r w:rsidR="000433C9" w:rsidRPr="00223EC1">
                              <w:rPr>
                                <w:rFonts w:asciiTheme="majorHAnsi" w:hAnsiTheme="majorHAnsi"/>
                                <w:color w:val="595959" w:themeColor="text1" w:themeTint="A6"/>
                                <w:sz w:val="18"/>
                                <w:szCs w:val="18"/>
                                <w:lang w:val="es-ES_tradnl"/>
                              </w:rPr>
                              <w:t>Petici</w:t>
                            </w:r>
                            <w:r w:rsidR="000433C9" w:rsidRPr="00223EC1">
                              <w:rPr>
                                <w:rFonts w:asciiTheme="majorHAnsi" w:hAnsiTheme="majorHAnsi"/>
                                <w:color w:val="595959" w:themeColor="text1" w:themeTint="A6"/>
                                <w:sz w:val="18"/>
                                <w:szCs w:val="18"/>
                                <w:lang w:val="es-ES"/>
                              </w:rPr>
                              <w:t xml:space="preserve">ón </w:t>
                            </w:r>
                            <w:r w:rsidR="00967C75" w:rsidRPr="00223EC1">
                              <w:rPr>
                                <w:rFonts w:asciiTheme="majorHAnsi" w:hAnsiTheme="majorHAnsi"/>
                                <w:color w:val="595959" w:themeColor="text1" w:themeTint="A6"/>
                                <w:sz w:val="18"/>
                                <w:szCs w:val="18"/>
                                <w:lang w:val="es-ES"/>
                              </w:rPr>
                              <w:t>700</w:t>
                            </w:r>
                            <w:r w:rsidR="00FA3AEF" w:rsidRPr="00223EC1">
                              <w:rPr>
                                <w:rFonts w:asciiTheme="majorHAnsi" w:hAnsiTheme="majorHAnsi"/>
                                <w:color w:val="595959" w:themeColor="text1" w:themeTint="A6"/>
                                <w:sz w:val="18"/>
                                <w:szCs w:val="18"/>
                                <w:lang w:val="es-ES"/>
                              </w:rPr>
                              <w:t>-</w:t>
                            </w:r>
                            <w:r w:rsidR="00967C75" w:rsidRPr="00223EC1">
                              <w:rPr>
                                <w:rFonts w:asciiTheme="majorHAnsi" w:hAnsiTheme="majorHAnsi"/>
                                <w:color w:val="595959" w:themeColor="text1" w:themeTint="A6"/>
                                <w:sz w:val="18"/>
                                <w:szCs w:val="18"/>
                                <w:lang w:val="es-ES"/>
                              </w:rPr>
                              <w:t>07</w:t>
                            </w:r>
                            <w:r w:rsidR="000433C9" w:rsidRPr="00223EC1">
                              <w:rPr>
                                <w:rFonts w:asciiTheme="majorHAnsi" w:hAnsiTheme="majorHAnsi"/>
                                <w:color w:val="595959" w:themeColor="text1" w:themeTint="A6"/>
                                <w:sz w:val="18"/>
                                <w:szCs w:val="18"/>
                                <w:lang w:val="es-ES"/>
                              </w:rPr>
                              <w:t xml:space="preserve">. </w:t>
                            </w:r>
                            <w:r w:rsidRPr="00223EC1">
                              <w:rPr>
                                <w:rFonts w:asciiTheme="majorHAnsi" w:hAnsiTheme="majorHAnsi"/>
                                <w:color w:val="595959" w:themeColor="text1" w:themeTint="A6"/>
                                <w:sz w:val="18"/>
                                <w:szCs w:val="18"/>
                                <w:lang w:val="es-ES_tradnl"/>
                              </w:rPr>
                              <w:t>Admisibilidad.</w:t>
                            </w:r>
                            <w:r w:rsidR="009935AC" w:rsidRPr="00223EC1">
                              <w:rPr>
                                <w:rFonts w:asciiTheme="majorHAnsi" w:hAnsiTheme="majorHAnsi"/>
                                <w:color w:val="595959" w:themeColor="text1" w:themeTint="A6"/>
                                <w:sz w:val="18"/>
                                <w:szCs w:val="18"/>
                                <w:lang w:val="es-ES_tradnl"/>
                              </w:rPr>
                              <w:t xml:space="preserve"> </w:t>
                            </w:r>
                            <w:r w:rsidR="00C466BD" w:rsidRPr="00223EC1">
                              <w:rPr>
                                <w:rFonts w:asciiTheme="majorHAnsi" w:hAnsiTheme="majorHAnsi"/>
                                <w:color w:val="595959" w:themeColor="text1" w:themeTint="A6"/>
                                <w:sz w:val="18"/>
                                <w:szCs w:val="18"/>
                                <w:lang w:val="es-ES_tradnl"/>
                              </w:rPr>
                              <w:t>Marta Francisca Ruiz Anleu de Caballeros y Julio Rodolfo Caballeros Galindo</w:t>
                            </w:r>
                            <w:r w:rsidR="009935AC" w:rsidRPr="00223EC1">
                              <w:rPr>
                                <w:rFonts w:asciiTheme="majorHAnsi" w:hAnsiTheme="majorHAnsi"/>
                                <w:color w:val="595959" w:themeColor="text1" w:themeTint="A6"/>
                                <w:sz w:val="18"/>
                                <w:szCs w:val="18"/>
                                <w:lang w:val="es-ES_tradnl"/>
                              </w:rPr>
                              <w:t xml:space="preserve">. </w:t>
                            </w:r>
                            <w:r w:rsidR="00967C75" w:rsidRPr="00223EC1">
                              <w:rPr>
                                <w:rFonts w:asciiTheme="majorHAnsi" w:hAnsiTheme="majorHAnsi"/>
                                <w:color w:val="595959" w:themeColor="text1" w:themeTint="A6"/>
                                <w:sz w:val="18"/>
                                <w:szCs w:val="18"/>
                                <w:lang w:val="es-ES_tradnl"/>
                              </w:rPr>
                              <w:t>Guatemala</w:t>
                            </w:r>
                            <w:r w:rsidRPr="00223EC1">
                              <w:rPr>
                                <w:rFonts w:asciiTheme="majorHAnsi" w:hAnsiTheme="majorHAnsi"/>
                                <w:color w:val="595959" w:themeColor="text1" w:themeTint="A6"/>
                                <w:sz w:val="18"/>
                                <w:szCs w:val="18"/>
                                <w:lang w:val="es-ES_tradnl"/>
                              </w:rPr>
                              <w:t xml:space="preserve">. </w:t>
                            </w:r>
                            <w:r w:rsidR="006F0B0B">
                              <w:rPr>
                                <w:rFonts w:asciiTheme="majorHAnsi" w:hAnsiTheme="majorHAnsi"/>
                                <w:color w:val="595959" w:themeColor="text1" w:themeTint="A6"/>
                                <w:sz w:val="18"/>
                                <w:szCs w:val="18"/>
                                <w:lang w:val="es-ES"/>
                              </w:rPr>
                              <w:t>22 de diciembre de 2022</w:t>
                            </w:r>
                            <w:r w:rsidRPr="00223EC1">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1140D9CE"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223EC1">
                        <w:rPr>
                          <w:rFonts w:asciiTheme="majorHAnsi" w:hAnsiTheme="majorHAnsi"/>
                          <w:color w:val="595959" w:themeColor="text1" w:themeTint="A6"/>
                          <w:sz w:val="18"/>
                          <w:szCs w:val="18"/>
                          <w:lang w:val="pt-BR"/>
                        </w:rPr>
                        <w:t xml:space="preserve">CIDH, Informe No. </w:t>
                      </w:r>
                      <w:r w:rsidR="00402678" w:rsidRPr="00402678">
                        <w:rPr>
                          <w:rFonts w:asciiTheme="majorHAnsi" w:hAnsiTheme="majorHAnsi"/>
                          <w:color w:val="595959" w:themeColor="text1" w:themeTint="A6"/>
                          <w:sz w:val="18"/>
                          <w:szCs w:val="18"/>
                          <w:lang w:val="pt-BR"/>
                        </w:rPr>
                        <w:t>380</w:t>
                      </w:r>
                      <w:r w:rsidR="007B05C4" w:rsidRPr="00402678">
                        <w:rPr>
                          <w:rFonts w:asciiTheme="majorHAnsi" w:hAnsiTheme="majorHAnsi"/>
                          <w:color w:val="595959" w:themeColor="text1" w:themeTint="A6"/>
                          <w:sz w:val="18"/>
                          <w:szCs w:val="18"/>
                          <w:lang w:val="pt-BR"/>
                        </w:rPr>
                        <w:t>/</w:t>
                      </w:r>
                      <w:r w:rsidR="00402678" w:rsidRPr="00402678">
                        <w:rPr>
                          <w:rFonts w:asciiTheme="majorHAnsi" w:hAnsiTheme="majorHAnsi"/>
                          <w:color w:val="595959" w:themeColor="text1" w:themeTint="A6"/>
                          <w:sz w:val="18"/>
                          <w:szCs w:val="18"/>
                          <w:lang w:val="pt-BR"/>
                        </w:rPr>
                        <w:t>22</w:t>
                      </w:r>
                      <w:r w:rsidRPr="00402678">
                        <w:rPr>
                          <w:rFonts w:asciiTheme="majorHAnsi" w:hAnsiTheme="majorHAnsi"/>
                          <w:color w:val="595959" w:themeColor="text1" w:themeTint="A6"/>
                          <w:sz w:val="18"/>
                          <w:szCs w:val="18"/>
                          <w:lang w:val="pt-BR"/>
                        </w:rPr>
                        <w:t xml:space="preserve">. </w:t>
                      </w:r>
                      <w:r w:rsidR="000433C9" w:rsidRPr="00223EC1">
                        <w:rPr>
                          <w:rFonts w:asciiTheme="majorHAnsi" w:hAnsiTheme="majorHAnsi"/>
                          <w:color w:val="595959" w:themeColor="text1" w:themeTint="A6"/>
                          <w:sz w:val="18"/>
                          <w:szCs w:val="18"/>
                          <w:lang w:val="es-ES_tradnl"/>
                        </w:rPr>
                        <w:t>Petici</w:t>
                      </w:r>
                      <w:r w:rsidR="000433C9" w:rsidRPr="00223EC1">
                        <w:rPr>
                          <w:rFonts w:asciiTheme="majorHAnsi" w:hAnsiTheme="majorHAnsi"/>
                          <w:color w:val="595959" w:themeColor="text1" w:themeTint="A6"/>
                          <w:sz w:val="18"/>
                          <w:szCs w:val="18"/>
                          <w:lang w:val="es-ES"/>
                        </w:rPr>
                        <w:t xml:space="preserve">ón </w:t>
                      </w:r>
                      <w:r w:rsidR="00967C75" w:rsidRPr="00223EC1">
                        <w:rPr>
                          <w:rFonts w:asciiTheme="majorHAnsi" w:hAnsiTheme="majorHAnsi"/>
                          <w:color w:val="595959" w:themeColor="text1" w:themeTint="A6"/>
                          <w:sz w:val="18"/>
                          <w:szCs w:val="18"/>
                          <w:lang w:val="es-ES"/>
                        </w:rPr>
                        <w:t>700</w:t>
                      </w:r>
                      <w:r w:rsidR="00FA3AEF" w:rsidRPr="00223EC1">
                        <w:rPr>
                          <w:rFonts w:asciiTheme="majorHAnsi" w:hAnsiTheme="majorHAnsi"/>
                          <w:color w:val="595959" w:themeColor="text1" w:themeTint="A6"/>
                          <w:sz w:val="18"/>
                          <w:szCs w:val="18"/>
                          <w:lang w:val="es-ES"/>
                        </w:rPr>
                        <w:t>-</w:t>
                      </w:r>
                      <w:r w:rsidR="00967C75" w:rsidRPr="00223EC1">
                        <w:rPr>
                          <w:rFonts w:asciiTheme="majorHAnsi" w:hAnsiTheme="majorHAnsi"/>
                          <w:color w:val="595959" w:themeColor="text1" w:themeTint="A6"/>
                          <w:sz w:val="18"/>
                          <w:szCs w:val="18"/>
                          <w:lang w:val="es-ES"/>
                        </w:rPr>
                        <w:t>07</w:t>
                      </w:r>
                      <w:r w:rsidR="000433C9" w:rsidRPr="00223EC1">
                        <w:rPr>
                          <w:rFonts w:asciiTheme="majorHAnsi" w:hAnsiTheme="majorHAnsi"/>
                          <w:color w:val="595959" w:themeColor="text1" w:themeTint="A6"/>
                          <w:sz w:val="18"/>
                          <w:szCs w:val="18"/>
                          <w:lang w:val="es-ES"/>
                        </w:rPr>
                        <w:t xml:space="preserve">. </w:t>
                      </w:r>
                      <w:r w:rsidRPr="00223EC1">
                        <w:rPr>
                          <w:rFonts w:asciiTheme="majorHAnsi" w:hAnsiTheme="majorHAnsi"/>
                          <w:color w:val="595959" w:themeColor="text1" w:themeTint="A6"/>
                          <w:sz w:val="18"/>
                          <w:szCs w:val="18"/>
                          <w:lang w:val="es-ES_tradnl"/>
                        </w:rPr>
                        <w:t>Admisibilidad.</w:t>
                      </w:r>
                      <w:r w:rsidR="009935AC" w:rsidRPr="00223EC1">
                        <w:rPr>
                          <w:rFonts w:asciiTheme="majorHAnsi" w:hAnsiTheme="majorHAnsi"/>
                          <w:color w:val="595959" w:themeColor="text1" w:themeTint="A6"/>
                          <w:sz w:val="18"/>
                          <w:szCs w:val="18"/>
                          <w:lang w:val="es-ES_tradnl"/>
                        </w:rPr>
                        <w:t xml:space="preserve"> </w:t>
                      </w:r>
                      <w:r w:rsidR="00C466BD" w:rsidRPr="00223EC1">
                        <w:rPr>
                          <w:rFonts w:asciiTheme="majorHAnsi" w:hAnsiTheme="majorHAnsi"/>
                          <w:color w:val="595959" w:themeColor="text1" w:themeTint="A6"/>
                          <w:sz w:val="18"/>
                          <w:szCs w:val="18"/>
                          <w:lang w:val="es-ES_tradnl"/>
                        </w:rPr>
                        <w:t>Marta Francisca Ruiz Anleu de Caballeros y Julio Rodolfo Caballeros Galindo</w:t>
                      </w:r>
                      <w:r w:rsidR="009935AC" w:rsidRPr="00223EC1">
                        <w:rPr>
                          <w:rFonts w:asciiTheme="majorHAnsi" w:hAnsiTheme="majorHAnsi"/>
                          <w:color w:val="595959" w:themeColor="text1" w:themeTint="A6"/>
                          <w:sz w:val="18"/>
                          <w:szCs w:val="18"/>
                          <w:lang w:val="es-ES_tradnl"/>
                        </w:rPr>
                        <w:t xml:space="preserve">. </w:t>
                      </w:r>
                      <w:r w:rsidR="00967C75" w:rsidRPr="00223EC1">
                        <w:rPr>
                          <w:rFonts w:asciiTheme="majorHAnsi" w:hAnsiTheme="majorHAnsi"/>
                          <w:color w:val="595959" w:themeColor="text1" w:themeTint="A6"/>
                          <w:sz w:val="18"/>
                          <w:szCs w:val="18"/>
                          <w:lang w:val="es-ES_tradnl"/>
                        </w:rPr>
                        <w:t>Guatemala</w:t>
                      </w:r>
                      <w:r w:rsidRPr="00223EC1">
                        <w:rPr>
                          <w:rFonts w:asciiTheme="majorHAnsi" w:hAnsiTheme="majorHAnsi"/>
                          <w:color w:val="595959" w:themeColor="text1" w:themeTint="A6"/>
                          <w:sz w:val="18"/>
                          <w:szCs w:val="18"/>
                          <w:lang w:val="es-ES_tradnl"/>
                        </w:rPr>
                        <w:t xml:space="preserve">. </w:t>
                      </w:r>
                      <w:r w:rsidR="006F0B0B">
                        <w:rPr>
                          <w:rFonts w:asciiTheme="majorHAnsi" w:hAnsiTheme="majorHAnsi"/>
                          <w:color w:val="595959" w:themeColor="text1" w:themeTint="A6"/>
                          <w:sz w:val="18"/>
                          <w:szCs w:val="18"/>
                          <w:lang w:val="es-ES"/>
                        </w:rPr>
                        <w:t>22 de diciembre de 2022</w:t>
                      </w:r>
                      <w:r w:rsidRPr="00223EC1">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58434D"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Pr="0058434D" w:rsidRDefault="00D306D1" w:rsidP="005516A1">
      <w:pPr>
        <w:tabs>
          <w:tab w:val="center" w:pos="5400"/>
        </w:tabs>
        <w:suppressAutoHyphens/>
        <w:jc w:val="center"/>
        <w:rPr>
          <w:rFonts w:asciiTheme="majorHAnsi" w:hAnsiTheme="majorHAnsi"/>
          <w:b/>
          <w:sz w:val="20"/>
          <w:lang w:val="es-ES_tradnl"/>
        </w:rPr>
      </w:pPr>
      <w:r w:rsidRPr="0058434D">
        <w:rPr>
          <w:rFonts w:asciiTheme="majorHAnsi" w:hAnsiTheme="majorHAnsi"/>
          <w:noProof/>
          <w:sz w:val="18"/>
          <w:szCs w:val="22"/>
          <w:lang w:val="es-ES_tradnl"/>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58434D">
        <w:rPr>
          <w:rFonts w:asciiTheme="majorHAnsi" w:hAnsiTheme="majorHAnsi"/>
          <w:noProof/>
          <w:sz w:val="22"/>
          <w:szCs w:val="22"/>
          <w:lang w:val="es-ES_tradnl"/>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58434D" w:rsidRDefault="004A6A54" w:rsidP="005516A1">
      <w:pPr>
        <w:tabs>
          <w:tab w:val="center" w:pos="5400"/>
        </w:tabs>
        <w:suppressAutoHyphens/>
        <w:jc w:val="center"/>
        <w:rPr>
          <w:rFonts w:asciiTheme="majorHAnsi" w:hAnsiTheme="majorHAnsi"/>
          <w:b/>
          <w:sz w:val="20"/>
          <w:lang w:val="es-ES_tradnl"/>
        </w:rPr>
        <w:sectPr w:rsidR="0070697F" w:rsidRPr="0058434D"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58434D">
        <w:rPr>
          <w:rFonts w:asciiTheme="majorHAnsi" w:hAnsiTheme="majorHAnsi"/>
          <w:b/>
          <w:sz w:val="20"/>
          <w:lang w:val="es-ES_tradnl"/>
        </w:rPr>
        <w:tab/>
      </w:r>
    </w:p>
    <w:p w14:paraId="2786EE58" w14:textId="77777777" w:rsidR="003239B8" w:rsidRPr="0058434D" w:rsidRDefault="003239B8" w:rsidP="004A6A54">
      <w:pPr>
        <w:spacing w:after="240"/>
        <w:ind w:firstLine="720"/>
        <w:jc w:val="both"/>
        <w:rPr>
          <w:rFonts w:asciiTheme="majorHAnsi" w:hAnsiTheme="majorHAnsi"/>
          <w:b/>
          <w:bCs/>
          <w:sz w:val="20"/>
          <w:szCs w:val="20"/>
          <w:lang w:val="es-ES_tradnl"/>
        </w:rPr>
      </w:pPr>
      <w:r w:rsidRPr="0058434D">
        <w:rPr>
          <w:rFonts w:asciiTheme="majorHAnsi" w:hAnsiTheme="majorHAnsi"/>
          <w:b/>
          <w:bCs/>
          <w:sz w:val="20"/>
          <w:szCs w:val="20"/>
          <w:lang w:val="es-ES_tradnl"/>
        </w:rPr>
        <w:lastRenderedPageBreak/>
        <w:t>I.</w:t>
      </w:r>
      <w:r w:rsidRPr="0058434D">
        <w:rPr>
          <w:rFonts w:asciiTheme="majorHAnsi" w:hAnsiTheme="majorHAnsi"/>
          <w:b/>
          <w:bCs/>
          <w:sz w:val="20"/>
          <w:szCs w:val="20"/>
          <w:lang w:val="es-ES_tradnl"/>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58434D"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58434D" w:rsidRDefault="003239B8" w:rsidP="008D2290">
            <w:pPr>
              <w:jc w:val="center"/>
              <w:rPr>
                <w:rFonts w:ascii="Cambria" w:hAnsi="Cambria"/>
                <w:b/>
                <w:bCs/>
                <w:color w:val="FFFFFF" w:themeColor="background1"/>
                <w:sz w:val="20"/>
                <w:szCs w:val="20"/>
                <w:lang w:val="es-ES_tradnl"/>
              </w:rPr>
            </w:pPr>
            <w:r w:rsidRPr="0058434D">
              <w:rPr>
                <w:rFonts w:ascii="Cambria" w:hAnsi="Cambria"/>
                <w:b/>
                <w:bCs/>
                <w:color w:val="FFFFFF" w:themeColor="background1"/>
                <w:sz w:val="20"/>
                <w:szCs w:val="20"/>
                <w:lang w:val="es-ES_tradnl"/>
              </w:rPr>
              <w:t>Parte peticionaria:</w:t>
            </w:r>
          </w:p>
        </w:tc>
        <w:tc>
          <w:tcPr>
            <w:tcW w:w="5647" w:type="dxa"/>
            <w:vAlign w:val="center"/>
          </w:tcPr>
          <w:p w14:paraId="07DAAE2E" w14:textId="60DF6ABC" w:rsidR="003239B8" w:rsidRPr="0058434D" w:rsidRDefault="00D71063" w:rsidP="008D2290">
            <w:pPr>
              <w:jc w:val="both"/>
              <w:rPr>
                <w:rFonts w:ascii="Cambria" w:hAnsi="Cambria"/>
                <w:bCs/>
                <w:sz w:val="20"/>
                <w:szCs w:val="20"/>
                <w:lang w:val="es-ES_tradnl"/>
              </w:rPr>
            </w:pPr>
            <w:r w:rsidRPr="0058434D">
              <w:rPr>
                <w:rFonts w:ascii="Cambria" w:hAnsi="Cambria"/>
                <w:bCs/>
                <w:sz w:val="20"/>
                <w:szCs w:val="20"/>
                <w:lang w:val="es-ES_tradnl"/>
              </w:rPr>
              <w:t>Marta Francisca Ruiz Anleu de Caballeros</w:t>
            </w:r>
            <w:r w:rsidR="00033C85" w:rsidRPr="0058434D">
              <w:rPr>
                <w:rFonts w:ascii="Cambria" w:hAnsi="Cambria"/>
                <w:bCs/>
                <w:sz w:val="20"/>
                <w:szCs w:val="20"/>
                <w:lang w:val="es-ES_tradnl"/>
              </w:rPr>
              <w:t xml:space="preserve">, </w:t>
            </w:r>
            <w:r w:rsidRPr="0058434D">
              <w:rPr>
                <w:rFonts w:ascii="Cambria" w:hAnsi="Cambria"/>
                <w:bCs/>
                <w:sz w:val="20"/>
                <w:szCs w:val="20"/>
                <w:lang w:val="es-ES_tradnl"/>
              </w:rPr>
              <w:t>Julio Rodolfo Caballeros Galindo</w:t>
            </w:r>
            <w:r w:rsidR="00033C85" w:rsidRPr="0058434D">
              <w:rPr>
                <w:rFonts w:ascii="Cambria" w:hAnsi="Cambria"/>
                <w:bCs/>
                <w:sz w:val="20"/>
                <w:szCs w:val="20"/>
                <w:lang w:val="es-ES_tradnl"/>
              </w:rPr>
              <w:t xml:space="preserve"> y Marta Zoila Caballeros Ruiz de Rubio</w:t>
            </w:r>
            <w:r w:rsidR="00404800" w:rsidRPr="0058434D">
              <w:rPr>
                <w:rStyle w:val="FootnoteReference"/>
                <w:rFonts w:ascii="Cambria" w:hAnsi="Cambria"/>
                <w:bCs/>
                <w:sz w:val="20"/>
                <w:szCs w:val="20"/>
                <w:lang w:val="es-ES_tradnl"/>
              </w:rPr>
              <w:footnoteReference w:id="2"/>
            </w:r>
          </w:p>
        </w:tc>
      </w:tr>
      <w:tr w:rsidR="003239B8" w:rsidRPr="0058434D"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58434D" w:rsidRDefault="00486EFD" w:rsidP="008D2290">
            <w:pPr>
              <w:jc w:val="center"/>
              <w:rPr>
                <w:rFonts w:ascii="Cambria" w:hAnsi="Cambria"/>
                <w:b/>
                <w:bCs/>
                <w:color w:val="FFFFFF" w:themeColor="background1"/>
                <w:sz w:val="20"/>
                <w:szCs w:val="20"/>
                <w:lang w:val="es-ES_tradnl"/>
              </w:rPr>
            </w:pPr>
            <w:sdt>
              <w:sdtPr>
                <w:rPr>
                  <w:rFonts w:ascii="Cambria" w:hAnsi="Cambria"/>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58434D">
                  <w:rPr>
                    <w:rFonts w:ascii="Cambria" w:hAnsi="Cambria"/>
                    <w:b/>
                    <w:bCs/>
                    <w:color w:val="FFFFFF" w:themeColor="background1"/>
                    <w:sz w:val="20"/>
                    <w:szCs w:val="20"/>
                    <w:lang w:val="es-ES_tradnl"/>
                  </w:rPr>
                  <w:t>Presunta víctima</w:t>
                </w:r>
              </w:sdtContent>
            </w:sdt>
            <w:r w:rsidR="003239B8" w:rsidRPr="0058434D">
              <w:rPr>
                <w:rFonts w:ascii="Cambria" w:hAnsi="Cambria"/>
                <w:b/>
                <w:bCs/>
                <w:color w:val="FFFFFF" w:themeColor="background1"/>
                <w:sz w:val="20"/>
                <w:szCs w:val="20"/>
                <w:lang w:val="es-ES_tradnl"/>
              </w:rPr>
              <w:t>:</w:t>
            </w:r>
          </w:p>
        </w:tc>
        <w:tc>
          <w:tcPr>
            <w:tcW w:w="5647" w:type="dxa"/>
            <w:vAlign w:val="center"/>
          </w:tcPr>
          <w:p w14:paraId="143D44A8" w14:textId="0C7836F1" w:rsidR="003239B8" w:rsidRPr="0058434D" w:rsidRDefault="00D71063" w:rsidP="008D2290">
            <w:pPr>
              <w:jc w:val="both"/>
              <w:rPr>
                <w:rFonts w:ascii="Cambria" w:hAnsi="Cambria"/>
                <w:bCs/>
                <w:sz w:val="20"/>
                <w:szCs w:val="20"/>
                <w:lang w:val="es-ES_tradnl"/>
              </w:rPr>
            </w:pPr>
            <w:r w:rsidRPr="0058434D">
              <w:rPr>
                <w:rFonts w:ascii="Cambria" w:hAnsi="Cambria"/>
                <w:bCs/>
                <w:sz w:val="20"/>
                <w:szCs w:val="20"/>
                <w:lang w:val="es-ES_tradnl"/>
              </w:rPr>
              <w:t>Marta Francisca Ruiz Anleu de Caballeros y Julio Rodolfo Caballeros Galindo</w:t>
            </w:r>
          </w:p>
        </w:tc>
      </w:tr>
      <w:tr w:rsidR="003239B8" w:rsidRPr="0058434D"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58434D" w:rsidRDefault="003239B8" w:rsidP="008D2290">
            <w:pPr>
              <w:jc w:val="center"/>
              <w:rPr>
                <w:rFonts w:ascii="Cambria" w:hAnsi="Cambria"/>
                <w:b/>
                <w:bCs/>
                <w:color w:val="FFFFFF" w:themeColor="background1"/>
                <w:sz w:val="20"/>
                <w:szCs w:val="20"/>
                <w:lang w:val="es-ES_tradnl"/>
              </w:rPr>
            </w:pPr>
            <w:r w:rsidRPr="0058434D">
              <w:rPr>
                <w:rFonts w:ascii="Cambria" w:hAnsi="Cambria"/>
                <w:b/>
                <w:bCs/>
                <w:color w:val="FFFFFF" w:themeColor="background1"/>
                <w:sz w:val="20"/>
                <w:szCs w:val="20"/>
                <w:lang w:val="es-ES_tradnl"/>
              </w:rPr>
              <w:t>Estado denunciado:</w:t>
            </w:r>
          </w:p>
        </w:tc>
        <w:tc>
          <w:tcPr>
            <w:tcW w:w="5647" w:type="dxa"/>
            <w:vAlign w:val="center"/>
          </w:tcPr>
          <w:p w14:paraId="5D0EC05D" w14:textId="40ED8CEB" w:rsidR="003239B8" w:rsidRPr="0058434D" w:rsidRDefault="00967C75" w:rsidP="008D2290">
            <w:pPr>
              <w:jc w:val="both"/>
              <w:rPr>
                <w:rFonts w:ascii="Cambria" w:hAnsi="Cambria"/>
                <w:bCs/>
                <w:sz w:val="20"/>
                <w:szCs w:val="20"/>
                <w:lang w:val="es-ES_tradnl"/>
              </w:rPr>
            </w:pPr>
            <w:r w:rsidRPr="0058434D">
              <w:rPr>
                <w:rFonts w:ascii="Cambria" w:hAnsi="Cambria"/>
                <w:bCs/>
                <w:sz w:val="20"/>
                <w:szCs w:val="20"/>
                <w:lang w:val="es-ES_tradnl"/>
              </w:rPr>
              <w:t>Guatemala</w:t>
            </w:r>
            <w:r w:rsidR="0017681E" w:rsidRPr="0058434D">
              <w:rPr>
                <w:rStyle w:val="FootnoteReference"/>
                <w:rFonts w:ascii="Cambria" w:hAnsi="Cambria"/>
                <w:bCs/>
                <w:sz w:val="20"/>
                <w:szCs w:val="20"/>
                <w:lang w:val="es-ES_tradnl"/>
              </w:rPr>
              <w:footnoteReference w:id="3"/>
            </w:r>
          </w:p>
        </w:tc>
      </w:tr>
      <w:tr w:rsidR="00223A29" w:rsidRPr="00EE0DDE"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58434D" w:rsidRDefault="001B3A00" w:rsidP="00E4118C">
            <w:pPr>
              <w:jc w:val="center"/>
              <w:rPr>
                <w:rFonts w:ascii="Cambria" w:hAnsi="Cambria"/>
                <w:b/>
                <w:bCs/>
                <w:color w:val="FFFFFF" w:themeColor="background1"/>
                <w:sz w:val="20"/>
                <w:szCs w:val="20"/>
                <w:lang w:val="es-ES_tradnl"/>
              </w:rPr>
            </w:pPr>
            <w:r w:rsidRPr="0058434D">
              <w:rPr>
                <w:rFonts w:ascii="Cambria" w:hAnsi="Cambria"/>
                <w:b/>
                <w:bCs/>
                <w:color w:val="FFFFFF" w:themeColor="background1"/>
                <w:sz w:val="20"/>
                <w:szCs w:val="20"/>
                <w:lang w:val="es-ES_tradnl"/>
              </w:rPr>
              <w:t xml:space="preserve">Derechos </w:t>
            </w:r>
            <w:r w:rsidR="00E4118C" w:rsidRPr="0058434D">
              <w:rPr>
                <w:rFonts w:ascii="Cambria" w:hAnsi="Cambria"/>
                <w:b/>
                <w:bCs/>
                <w:color w:val="FFFFFF" w:themeColor="background1"/>
                <w:sz w:val="20"/>
                <w:szCs w:val="20"/>
                <w:lang w:val="es-ES_tradnl"/>
              </w:rPr>
              <w:t>invocados</w:t>
            </w:r>
            <w:r w:rsidRPr="0058434D">
              <w:rPr>
                <w:rFonts w:ascii="Cambria" w:hAnsi="Cambria"/>
                <w:b/>
                <w:bCs/>
                <w:color w:val="FFFFFF" w:themeColor="background1"/>
                <w:sz w:val="20"/>
                <w:szCs w:val="20"/>
                <w:lang w:val="es-ES_tradnl"/>
              </w:rPr>
              <w:t>:</w:t>
            </w:r>
          </w:p>
        </w:tc>
        <w:tc>
          <w:tcPr>
            <w:tcW w:w="5647" w:type="dxa"/>
            <w:vAlign w:val="center"/>
          </w:tcPr>
          <w:p w14:paraId="52B28392" w14:textId="0A53A8FC" w:rsidR="00223A29" w:rsidRPr="0058434D" w:rsidRDefault="003A6268" w:rsidP="008D2290">
            <w:pPr>
              <w:jc w:val="both"/>
              <w:rPr>
                <w:rFonts w:ascii="Cambria" w:hAnsi="Cambria"/>
                <w:bCs/>
                <w:sz w:val="20"/>
                <w:szCs w:val="20"/>
                <w:lang w:val="es-ES_tradnl"/>
              </w:rPr>
            </w:pPr>
            <w:r w:rsidRPr="0058434D">
              <w:rPr>
                <w:rFonts w:asciiTheme="majorHAnsi" w:hAnsiTheme="majorHAnsi"/>
                <w:bCs/>
                <w:sz w:val="20"/>
                <w:szCs w:val="20"/>
                <w:lang w:val="es-ES_tradnl"/>
              </w:rPr>
              <w:t>Artículos 8</w:t>
            </w:r>
            <w:r w:rsidR="00243044" w:rsidRPr="0058434D">
              <w:rPr>
                <w:rFonts w:asciiTheme="majorHAnsi" w:hAnsiTheme="majorHAnsi"/>
                <w:bCs/>
                <w:sz w:val="20"/>
                <w:szCs w:val="20"/>
                <w:lang w:val="es-ES_tradnl"/>
              </w:rPr>
              <w:t xml:space="preserve"> (garantías judiciales), </w:t>
            </w:r>
            <w:r w:rsidR="009B53CC" w:rsidRPr="0058434D">
              <w:rPr>
                <w:rFonts w:asciiTheme="majorHAnsi" w:hAnsiTheme="majorHAnsi"/>
                <w:bCs/>
                <w:sz w:val="20"/>
                <w:szCs w:val="20"/>
                <w:lang w:val="es-ES_tradnl"/>
              </w:rPr>
              <w:t>21 (derecho a la propiedad privada)</w:t>
            </w:r>
            <w:r w:rsidR="00243044" w:rsidRPr="0058434D">
              <w:rPr>
                <w:rFonts w:asciiTheme="majorHAnsi" w:hAnsiTheme="majorHAnsi"/>
                <w:bCs/>
                <w:sz w:val="20"/>
                <w:szCs w:val="20"/>
                <w:lang w:val="es-ES_tradnl"/>
              </w:rPr>
              <w:t xml:space="preserve">, </w:t>
            </w:r>
            <w:r w:rsidR="00383298" w:rsidRPr="0058434D">
              <w:rPr>
                <w:rFonts w:asciiTheme="majorHAnsi" w:hAnsiTheme="majorHAnsi"/>
                <w:bCs/>
                <w:sz w:val="20"/>
                <w:szCs w:val="20"/>
                <w:lang w:val="es-ES_tradnl"/>
              </w:rPr>
              <w:t>y 25 (protección judicial) de la Convención Americana sobre Derechos Humano</w:t>
            </w:r>
            <w:r w:rsidR="00493BC9" w:rsidRPr="0058434D">
              <w:rPr>
                <w:rFonts w:asciiTheme="majorHAnsi" w:hAnsiTheme="majorHAnsi"/>
                <w:bCs/>
                <w:sz w:val="20"/>
                <w:szCs w:val="20"/>
                <w:lang w:val="es-ES_tradnl"/>
              </w:rPr>
              <w:t>s</w:t>
            </w:r>
            <w:r w:rsidR="00383298" w:rsidRPr="0058434D">
              <w:rPr>
                <w:rStyle w:val="FootnoteReference"/>
                <w:rFonts w:asciiTheme="majorHAnsi" w:hAnsiTheme="majorHAnsi"/>
                <w:bCs/>
                <w:sz w:val="20"/>
                <w:szCs w:val="20"/>
                <w:lang w:val="es-ES_tradnl"/>
              </w:rPr>
              <w:footnoteReference w:id="4"/>
            </w:r>
            <w:r w:rsidR="00383298" w:rsidRPr="0058434D">
              <w:rPr>
                <w:rFonts w:asciiTheme="majorHAnsi" w:hAnsiTheme="majorHAnsi"/>
                <w:bCs/>
                <w:sz w:val="20"/>
                <w:szCs w:val="20"/>
                <w:lang w:val="es-ES_tradnl"/>
              </w:rPr>
              <w:t>, en relación con su artículo 1.1 (obligación de respetar los derechos)</w:t>
            </w:r>
          </w:p>
        </w:tc>
      </w:tr>
    </w:tbl>
    <w:p w14:paraId="176FB213" w14:textId="77777777" w:rsidR="003239B8" w:rsidRPr="0058434D" w:rsidRDefault="003239B8" w:rsidP="003239B8">
      <w:pPr>
        <w:spacing w:before="240" w:after="240"/>
        <w:ind w:firstLine="720"/>
        <w:jc w:val="both"/>
        <w:rPr>
          <w:rFonts w:asciiTheme="majorHAnsi" w:hAnsiTheme="majorHAnsi"/>
          <w:b/>
          <w:bCs/>
          <w:sz w:val="20"/>
          <w:szCs w:val="20"/>
          <w:lang w:val="es-ES_tradnl"/>
        </w:rPr>
      </w:pPr>
      <w:r w:rsidRPr="0058434D">
        <w:rPr>
          <w:rFonts w:asciiTheme="majorHAnsi" w:hAnsiTheme="majorHAnsi"/>
          <w:b/>
          <w:bCs/>
          <w:sz w:val="20"/>
          <w:szCs w:val="20"/>
          <w:lang w:val="es-ES_tradnl"/>
        </w:rPr>
        <w:t>II.</w:t>
      </w:r>
      <w:r w:rsidRPr="0058434D">
        <w:rPr>
          <w:rFonts w:asciiTheme="majorHAnsi" w:hAnsiTheme="majorHAnsi"/>
          <w:b/>
          <w:bCs/>
          <w:sz w:val="20"/>
          <w:szCs w:val="20"/>
          <w:lang w:val="es-ES_tradnl"/>
        </w:rPr>
        <w:tab/>
        <w:t>TRÁMITE ANTE LA CIDH</w:t>
      </w:r>
      <w:r w:rsidR="008E3BFE" w:rsidRPr="0058434D">
        <w:rPr>
          <w:rStyle w:val="FootnoteReference"/>
          <w:rFonts w:ascii="Cambria" w:hAnsi="Cambria"/>
          <w:b/>
          <w:sz w:val="20"/>
          <w:szCs w:val="20"/>
          <w:lang w:val="es-ES_tradnl"/>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58434D"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58434D" w:rsidRDefault="004A6A54" w:rsidP="004A6A54">
            <w:pPr>
              <w:jc w:val="center"/>
              <w:rPr>
                <w:rFonts w:ascii="Cambria" w:hAnsi="Cambria"/>
                <w:b/>
                <w:bCs/>
                <w:color w:val="FFFFFF" w:themeColor="background1"/>
                <w:sz w:val="20"/>
                <w:szCs w:val="20"/>
                <w:lang w:val="es-ES_tradnl"/>
              </w:rPr>
            </w:pPr>
            <w:r w:rsidRPr="0058434D">
              <w:rPr>
                <w:rFonts w:ascii="Cambria" w:hAnsi="Cambria"/>
                <w:b/>
                <w:bCs/>
                <w:color w:val="FFFFFF" w:themeColor="background1"/>
                <w:sz w:val="20"/>
                <w:szCs w:val="20"/>
                <w:lang w:val="es-ES_tradnl"/>
              </w:rPr>
              <w:t>P</w:t>
            </w:r>
            <w:r w:rsidR="004C2312" w:rsidRPr="0058434D">
              <w:rPr>
                <w:rFonts w:ascii="Cambria" w:hAnsi="Cambria"/>
                <w:b/>
                <w:bCs/>
                <w:color w:val="FFFFFF" w:themeColor="background1"/>
                <w:sz w:val="20"/>
                <w:szCs w:val="20"/>
                <w:lang w:val="es-ES_tradnl"/>
              </w:rPr>
              <w:t>resentación de la petición:</w:t>
            </w:r>
          </w:p>
        </w:tc>
        <w:tc>
          <w:tcPr>
            <w:tcW w:w="5647" w:type="dxa"/>
            <w:vAlign w:val="center"/>
          </w:tcPr>
          <w:p w14:paraId="6883A5F8" w14:textId="59995E96" w:rsidR="004C2312" w:rsidRPr="0058434D" w:rsidRDefault="00D71063" w:rsidP="002625EA">
            <w:pPr>
              <w:jc w:val="both"/>
              <w:rPr>
                <w:rFonts w:ascii="Cambria" w:hAnsi="Cambria"/>
                <w:bCs/>
                <w:sz w:val="20"/>
                <w:szCs w:val="20"/>
                <w:lang w:val="es-ES_tradnl"/>
              </w:rPr>
            </w:pPr>
            <w:r w:rsidRPr="0058434D">
              <w:rPr>
                <w:rFonts w:ascii="Cambria" w:hAnsi="Cambria"/>
                <w:bCs/>
                <w:sz w:val="20"/>
                <w:szCs w:val="20"/>
                <w:lang w:val="es-ES_tradnl"/>
              </w:rPr>
              <w:t>31</w:t>
            </w:r>
            <w:r w:rsidR="002E7AD8" w:rsidRPr="0058434D">
              <w:rPr>
                <w:rFonts w:ascii="Cambria" w:hAnsi="Cambria"/>
                <w:bCs/>
                <w:sz w:val="20"/>
                <w:szCs w:val="20"/>
                <w:lang w:val="es-ES_tradnl"/>
              </w:rPr>
              <w:t xml:space="preserve"> de ma</w:t>
            </w:r>
            <w:r w:rsidRPr="0058434D">
              <w:rPr>
                <w:rFonts w:ascii="Cambria" w:hAnsi="Cambria"/>
                <w:bCs/>
                <w:sz w:val="20"/>
                <w:szCs w:val="20"/>
                <w:lang w:val="es-ES_tradnl"/>
              </w:rPr>
              <w:t>yo</w:t>
            </w:r>
            <w:r w:rsidR="002E7AD8" w:rsidRPr="0058434D">
              <w:rPr>
                <w:rFonts w:ascii="Cambria" w:hAnsi="Cambria"/>
                <w:bCs/>
                <w:sz w:val="20"/>
                <w:szCs w:val="20"/>
                <w:lang w:val="es-ES_tradnl"/>
              </w:rPr>
              <w:t xml:space="preserve"> de 20</w:t>
            </w:r>
            <w:r w:rsidRPr="0058434D">
              <w:rPr>
                <w:rFonts w:ascii="Cambria" w:hAnsi="Cambria"/>
                <w:bCs/>
                <w:sz w:val="20"/>
                <w:szCs w:val="20"/>
                <w:lang w:val="es-ES_tradnl"/>
              </w:rPr>
              <w:t>07</w:t>
            </w:r>
          </w:p>
        </w:tc>
      </w:tr>
      <w:tr w:rsidR="00131425" w:rsidRPr="00EE0DDE"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58434D" w:rsidRDefault="00131425" w:rsidP="004A6A54">
            <w:pPr>
              <w:jc w:val="center"/>
              <w:rPr>
                <w:rFonts w:ascii="Cambria" w:hAnsi="Cambria"/>
                <w:b/>
                <w:bCs/>
                <w:color w:val="FFFFFF" w:themeColor="background1"/>
                <w:sz w:val="20"/>
                <w:szCs w:val="20"/>
                <w:lang w:val="es-ES_tradnl"/>
              </w:rPr>
            </w:pPr>
            <w:r w:rsidRPr="0058434D">
              <w:rPr>
                <w:rFonts w:ascii="Cambria" w:hAnsi="Cambria"/>
                <w:b/>
                <w:bCs/>
                <w:color w:val="FFFFFF" w:themeColor="background1"/>
                <w:sz w:val="20"/>
                <w:szCs w:val="20"/>
                <w:lang w:val="es-ES_tradnl"/>
              </w:rPr>
              <w:t>Información adicional recibida durante la etapa de estudio:</w:t>
            </w:r>
          </w:p>
        </w:tc>
        <w:tc>
          <w:tcPr>
            <w:tcW w:w="5647" w:type="dxa"/>
            <w:vAlign w:val="center"/>
          </w:tcPr>
          <w:p w14:paraId="65CBC29E" w14:textId="415E6BBE" w:rsidR="00131425" w:rsidRPr="0058434D" w:rsidRDefault="00A34824" w:rsidP="002625EA">
            <w:pPr>
              <w:jc w:val="both"/>
              <w:rPr>
                <w:rFonts w:ascii="Cambria" w:hAnsi="Cambria"/>
                <w:bCs/>
                <w:sz w:val="20"/>
                <w:szCs w:val="20"/>
                <w:lang w:val="es-ES_tradnl"/>
              </w:rPr>
            </w:pPr>
            <w:r w:rsidRPr="0058434D">
              <w:rPr>
                <w:rFonts w:ascii="Cambria" w:hAnsi="Cambria"/>
                <w:bCs/>
                <w:sz w:val="20"/>
                <w:szCs w:val="20"/>
                <w:lang w:val="es-ES_tradnl"/>
              </w:rPr>
              <w:t xml:space="preserve">4 de junio de 2008, 8 de diciembre de 2011, </w:t>
            </w:r>
            <w:r w:rsidR="001272F9" w:rsidRPr="0058434D">
              <w:rPr>
                <w:rFonts w:ascii="Cambria" w:hAnsi="Cambria"/>
                <w:bCs/>
                <w:sz w:val="20"/>
                <w:szCs w:val="20"/>
                <w:lang w:val="es-ES_tradnl"/>
              </w:rPr>
              <w:t xml:space="preserve">22 de mayo de 2013, </w:t>
            </w:r>
            <w:r w:rsidR="00F30A9D" w:rsidRPr="0058434D">
              <w:rPr>
                <w:rFonts w:ascii="Cambria" w:hAnsi="Cambria"/>
                <w:bCs/>
                <w:sz w:val="20"/>
                <w:szCs w:val="20"/>
                <w:lang w:val="es-ES_tradnl"/>
              </w:rPr>
              <w:t xml:space="preserve">30 de agosto de 2013, </w:t>
            </w:r>
            <w:r w:rsidR="001272F9" w:rsidRPr="0058434D">
              <w:rPr>
                <w:rFonts w:ascii="Cambria" w:hAnsi="Cambria"/>
                <w:bCs/>
                <w:sz w:val="20"/>
                <w:szCs w:val="20"/>
                <w:lang w:val="es-ES_tradnl"/>
              </w:rPr>
              <w:t>12 de septiembre de 2013</w:t>
            </w:r>
            <w:r w:rsidR="005C026D" w:rsidRPr="0058434D">
              <w:rPr>
                <w:rFonts w:ascii="Cambria" w:hAnsi="Cambria"/>
                <w:bCs/>
                <w:sz w:val="20"/>
                <w:szCs w:val="20"/>
                <w:lang w:val="es-ES_tradnl"/>
              </w:rPr>
              <w:t>,</w:t>
            </w:r>
            <w:r w:rsidR="00C74157" w:rsidRPr="0058434D">
              <w:rPr>
                <w:rFonts w:ascii="Cambria" w:hAnsi="Cambria"/>
                <w:bCs/>
                <w:sz w:val="20"/>
                <w:szCs w:val="20"/>
                <w:lang w:val="es-ES_tradnl"/>
              </w:rPr>
              <w:t xml:space="preserve"> </w:t>
            </w:r>
            <w:r w:rsidR="005C026D" w:rsidRPr="0058434D">
              <w:rPr>
                <w:rFonts w:ascii="Cambria" w:hAnsi="Cambria"/>
                <w:bCs/>
                <w:sz w:val="20"/>
                <w:szCs w:val="20"/>
                <w:lang w:val="es-ES_tradnl"/>
              </w:rPr>
              <w:t xml:space="preserve">23 de abril de 2015, </w:t>
            </w:r>
            <w:r w:rsidR="00F30A9D" w:rsidRPr="0058434D">
              <w:rPr>
                <w:rFonts w:ascii="Cambria" w:hAnsi="Cambria"/>
                <w:bCs/>
                <w:sz w:val="20"/>
                <w:szCs w:val="20"/>
                <w:lang w:val="es-ES_tradnl"/>
              </w:rPr>
              <w:t>20 de enero de 2016</w:t>
            </w:r>
            <w:r w:rsidR="005C026D" w:rsidRPr="0058434D">
              <w:rPr>
                <w:rFonts w:ascii="Cambria" w:hAnsi="Cambria"/>
                <w:bCs/>
                <w:sz w:val="20"/>
                <w:szCs w:val="20"/>
                <w:lang w:val="es-ES_tradnl"/>
              </w:rPr>
              <w:t xml:space="preserve"> y 27 de julio de 2018</w:t>
            </w:r>
            <w:r w:rsidR="005C026D" w:rsidRPr="0058434D">
              <w:rPr>
                <w:rStyle w:val="FootnoteReference"/>
                <w:rFonts w:ascii="Cambria" w:hAnsi="Cambria"/>
                <w:bCs/>
                <w:sz w:val="20"/>
                <w:szCs w:val="20"/>
                <w:lang w:val="es-ES_tradnl"/>
              </w:rPr>
              <w:footnoteReference w:id="6"/>
            </w:r>
          </w:p>
        </w:tc>
      </w:tr>
      <w:tr w:rsidR="004C2312" w:rsidRPr="0058434D"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58434D" w:rsidRDefault="004A6A54" w:rsidP="004A6A54">
            <w:pPr>
              <w:jc w:val="center"/>
              <w:rPr>
                <w:rFonts w:ascii="Cambria" w:hAnsi="Cambria"/>
                <w:b/>
                <w:bCs/>
                <w:color w:val="FFFFFF" w:themeColor="background1"/>
                <w:sz w:val="20"/>
                <w:szCs w:val="20"/>
                <w:lang w:val="es-ES_tradnl"/>
              </w:rPr>
            </w:pPr>
            <w:r w:rsidRPr="0058434D">
              <w:rPr>
                <w:rFonts w:ascii="Cambria" w:hAnsi="Cambria"/>
                <w:b/>
                <w:color w:val="FFFFFF" w:themeColor="background1"/>
                <w:sz w:val="20"/>
                <w:szCs w:val="20"/>
                <w:lang w:val="es-ES_tradnl"/>
              </w:rPr>
              <w:t>N</w:t>
            </w:r>
            <w:r w:rsidR="004C2312" w:rsidRPr="0058434D">
              <w:rPr>
                <w:rFonts w:ascii="Cambria" w:hAnsi="Cambria"/>
                <w:b/>
                <w:color w:val="FFFFFF" w:themeColor="background1"/>
                <w:sz w:val="20"/>
                <w:szCs w:val="20"/>
                <w:lang w:val="es-ES_tradnl"/>
              </w:rPr>
              <w:t>otificación de la petición al Estado:</w:t>
            </w:r>
          </w:p>
        </w:tc>
        <w:tc>
          <w:tcPr>
            <w:tcW w:w="5647" w:type="dxa"/>
            <w:vAlign w:val="center"/>
          </w:tcPr>
          <w:p w14:paraId="58485921" w14:textId="78A0ED67" w:rsidR="004C2312" w:rsidRPr="0058434D" w:rsidRDefault="00A65D06" w:rsidP="008D2290">
            <w:pPr>
              <w:jc w:val="both"/>
              <w:rPr>
                <w:rFonts w:ascii="Cambria" w:hAnsi="Cambria"/>
                <w:bCs/>
                <w:sz w:val="20"/>
                <w:szCs w:val="20"/>
                <w:lang w:val="es-ES_tradnl"/>
              </w:rPr>
            </w:pPr>
            <w:r w:rsidRPr="0058434D">
              <w:rPr>
                <w:rFonts w:ascii="Cambria" w:hAnsi="Cambria"/>
                <w:bCs/>
                <w:sz w:val="20"/>
                <w:szCs w:val="20"/>
                <w:lang w:val="es-ES_tradnl"/>
              </w:rPr>
              <w:t>12 de noviembre de 2021</w:t>
            </w:r>
          </w:p>
        </w:tc>
      </w:tr>
      <w:tr w:rsidR="004C2312" w:rsidRPr="0058434D"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58434D" w:rsidRDefault="004A6A54" w:rsidP="004A6A54">
            <w:pPr>
              <w:jc w:val="center"/>
              <w:rPr>
                <w:rFonts w:ascii="Cambria" w:hAnsi="Cambria"/>
                <w:b/>
                <w:bCs/>
                <w:color w:val="FFFFFF" w:themeColor="background1"/>
                <w:sz w:val="20"/>
                <w:szCs w:val="20"/>
                <w:lang w:val="es-ES_tradnl"/>
              </w:rPr>
            </w:pPr>
            <w:r w:rsidRPr="0058434D">
              <w:rPr>
                <w:rFonts w:ascii="Cambria" w:hAnsi="Cambria"/>
                <w:b/>
                <w:color w:val="FFFFFF" w:themeColor="background1"/>
                <w:sz w:val="20"/>
                <w:szCs w:val="20"/>
                <w:lang w:val="es-ES_tradnl"/>
              </w:rPr>
              <w:t>P</w:t>
            </w:r>
            <w:r w:rsidR="004C2312" w:rsidRPr="0058434D">
              <w:rPr>
                <w:rFonts w:ascii="Cambria" w:hAnsi="Cambria"/>
                <w:b/>
                <w:color w:val="FFFFFF" w:themeColor="background1"/>
                <w:sz w:val="20"/>
                <w:szCs w:val="20"/>
                <w:lang w:val="es-ES_tradnl"/>
              </w:rPr>
              <w:t>rimera respuesta del Estado:</w:t>
            </w:r>
          </w:p>
        </w:tc>
        <w:tc>
          <w:tcPr>
            <w:tcW w:w="5647" w:type="dxa"/>
            <w:vAlign w:val="center"/>
          </w:tcPr>
          <w:p w14:paraId="6B47064C" w14:textId="5E0AB61C" w:rsidR="004C2312" w:rsidRPr="0058434D" w:rsidRDefault="00A65D06" w:rsidP="008D2290">
            <w:pPr>
              <w:jc w:val="both"/>
              <w:rPr>
                <w:rFonts w:ascii="Cambria" w:hAnsi="Cambria"/>
                <w:bCs/>
                <w:sz w:val="20"/>
                <w:szCs w:val="20"/>
                <w:lang w:val="es-ES_tradnl"/>
              </w:rPr>
            </w:pPr>
            <w:r w:rsidRPr="0058434D">
              <w:rPr>
                <w:rFonts w:ascii="Cambria" w:hAnsi="Cambria"/>
                <w:bCs/>
                <w:sz w:val="20"/>
                <w:szCs w:val="20"/>
                <w:lang w:val="es-ES_tradnl"/>
              </w:rPr>
              <w:t>5 de abril de 2022</w:t>
            </w:r>
          </w:p>
        </w:tc>
      </w:tr>
      <w:tr w:rsidR="001E49E7" w:rsidRPr="0058434D"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77777777" w:rsidR="001E49E7" w:rsidRPr="0058434D" w:rsidRDefault="004A6A54" w:rsidP="00DD4AD2">
            <w:pPr>
              <w:jc w:val="center"/>
              <w:rPr>
                <w:rFonts w:ascii="Cambria" w:hAnsi="Cambria"/>
                <w:b/>
                <w:bCs/>
                <w:color w:val="FFFFFF" w:themeColor="background1"/>
                <w:sz w:val="20"/>
                <w:szCs w:val="20"/>
                <w:lang w:val="es-ES_tradnl"/>
              </w:rPr>
            </w:pPr>
            <w:r w:rsidRPr="0058434D">
              <w:rPr>
                <w:rFonts w:ascii="Cambria" w:hAnsi="Cambria"/>
                <w:b/>
                <w:bCs/>
                <w:color w:val="FFFFFF" w:themeColor="background1"/>
                <w:sz w:val="20"/>
                <w:szCs w:val="20"/>
                <w:lang w:val="es-ES_tradnl"/>
              </w:rPr>
              <w:t>A</w:t>
            </w:r>
            <w:r w:rsidR="001E49E7" w:rsidRPr="0058434D">
              <w:rPr>
                <w:rFonts w:ascii="Cambria" w:hAnsi="Cambria"/>
                <w:b/>
                <w:bCs/>
                <w:color w:val="FFFFFF" w:themeColor="background1"/>
                <w:sz w:val="20"/>
                <w:szCs w:val="20"/>
                <w:lang w:val="es-ES_tradnl"/>
              </w:rPr>
              <w:t>dvertencia sobre posible archivo:</w:t>
            </w:r>
          </w:p>
        </w:tc>
        <w:tc>
          <w:tcPr>
            <w:tcW w:w="5647" w:type="dxa"/>
            <w:vAlign w:val="center"/>
          </w:tcPr>
          <w:p w14:paraId="48CA2CFB" w14:textId="287EF305" w:rsidR="001E49E7" w:rsidRPr="0058434D" w:rsidRDefault="00CB2310" w:rsidP="002625EA">
            <w:pPr>
              <w:jc w:val="both"/>
              <w:rPr>
                <w:rFonts w:ascii="Cambria" w:hAnsi="Cambria"/>
                <w:bCs/>
                <w:sz w:val="20"/>
                <w:szCs w:val="20"/>
                <w:lang w:val="es-ES_tradnl"/>
              </w:rPr>
            </w:pPr>
            <w:r w:rsidRPr="0058434D">
              <w:rPr>
                <w:rFonts w:ascii="Cambria" w:hAnsi="Cambria"/>
                <w:bCs/>
                <w:sz w:val="20"/>
                <w:szCs w:val="20"/>
                <w:lang w:val="es-ES_tradnl"/>
              </w:rPr>
              <w:t>2</w:t>
            </w:r>
            <w:r w:rsidR="005C026D" w:rsidRPr="0058434D">
              <w:rPr>
                <w:rFonts w:ascii="Cambria" w:hAnsi="Cambria"/>
                <w:bCs/>
                <w:sz w:val="20"/>
                <w:szCs w:val="20"/>
                <w:lang w:val="es-ES_tradnl"/>
              </w:rPr>
              <w:t>7</w:t>
            </w:r>
            <w:r w:rsidRPr="0058434D">
              <w:rPr>
                <w:rFonts w:ascii="Cambria" w:hAnsi="Cambria"/>
                <w:bCs/>
                <w:sz w:val="20"/>
                <w:szCs w:val="20"/>
                <w:lang w:val="es-ES_tradnl"/>
              </w:rPr>
              <w:t xml:space="preserve"> de octubre</w:t>
            </w:r>
            <w:r w:rsidR="007C715A" w:rsidRPr="0058434D">
              <w:rPr>
                <w:rFonts w:ascii="Cambria" w:hAnsi="Cambria"/>
                <w:bCs/>
                <w:sz w:val="20"/>
                <w:szCs w:val="20"/>
                <w:lang w:val="es-ES_tradnl"/>
              </w:rPr>
              <w:t xml:space="preserve"> de 2021</w:t>
            </w:r>
          </w:p>
        </w:tc>
      </w:tr>
      <w:tr w:rsidR="001E49E7" w:rsidRPr="0058434D" w14:paraId="1EC61DBE" w14:textId="77777777" w:rsidTr="00394073">
        <w:tc>
          <w:tcPr>
            <w:tcW w:w="3600" w:type="dxa"/>
            <w:tcBorders>
              <w:top w:val="single" w:sz="6" w:space="0" w:color="auto"/>
              <w:bottom w:val="single" w:sz="6" w:space="0" w:color="auto"/>
            </w:tcBorders>
            <w:shd w:val="clear" w:color="auto" w:fill="386294"/>
            <w:vAlign w:val="center"/>
          </w:tcPr>
          <w:p w14:paraId="368D8721" w14:textId="77777777" w:rsidR="001E49E7" w:rsidRPr="0058434D" w:rsidRDefault="004A6A54" w:rsidP="004A6A54">
            <w:pPr>
              <w:jc w:val="center"/>
              <w:rPr>
                <w:rFonts w:ascii="Cambria" w:hAnsi="Cambria"/>
                <w:b/>
                <w:bCs/>
                <w:color w:val="FFFFFF" w:themeColor="background1"/>
                <w:sz w:val="20"/>
                <w:szCs w:val="20"/>
                <w:lang w:val="es-ES_tradnl"/>
              </w:rPr>
            </w:pPr>
            <w:r w:rsidRPr="0058434D">
              <w:rPr>
                <w:rFonts w:ascii="Cambria" w:hAnsi="Cambria"/>
                <w:b/>
                <w:bCs/>
                <w:color w:val="FFFFFF" w:themeColor="background1"/>
                <w:sz w:val="20"/>
                <w:szCs w:val="20"/>
                <w:lang w:val="es-ES_tradnl"/>
              </w:rPr>
              <w:t>R</w:t>
            </w:r>
            <w:r w:rsidR="001E49E7" w:rsidRPr="0058434D">
              <w:rPr>
                <w:rFonts w:ascii="Cambria" w:hAnsi="Cambria"/>
                <w:b/>
                <w:bCs/>
                <w:color w:val="FFFFFF" w:themeColor="background1"/>
                <w:sz w:val="20"/>
                <w:szCs w:val="20"/>
                <w:lang w:val="es-ES_tradnl"/>
              </w:rPr>
              <w:t xml:space="preserve">espuesta de la parte peticionaria ante advertencia </w:t>
            </w:r>
            <w:r w:rsidR="00DD4AD2" w:rsidRPr="0058434D">
              <w:rPr>
                <w:rFonts w:ascii="Cambria" w:hAnsi="Cambria"/>
                <w:b/>
                <w:bCs/>
                <w:color w:val="FFFFFF" w:themeColor="background1"/>
                <w:sz w:val="20"/>
                <w:szCs w:val="20"/>
                <w:lang w:val="es-ES_tradnl"/>
              </w:rPr>
              <w:t xml:space="preserve">de </w:t>
            </w:r>
            <w:r w:rsidR="001E49E7" w:rsidRPr="0058434D">
              <w:rPr>
                <w:rFonts w:ascii="Cambria" w:hAnsi="Cambria"/>
                <w:b/>
                <w:bCs/>
                <w:color w:val="FFFFFF" w:themeColor="background1"/>
                <w:sz w:val="20"/>
                <w:szCs w:val="20"/>
                <w:lang w:val="es-ES_tradnl"/>
              </w:rPr>
              <w:t>posible archivo:</w:t>
            </w:r>
          </w:p>
        </w:tc>
        <w:tc>
          <w:tcPr>
            <w:tcW w:w="5647" w:type="dxa"/>
            <w:vAlign w:val="center"/>
          </w:tcPr>
          <w:p w14:paraId="6E85D194" w14:textId="43FA948F" w:rsidR="001E49E7" w:rsidRPr="0058434D" w:rsidRDefault="005C026D" w:rsidP="002625EA">
            <w:pPr>
              <w:jc w:val="both"/>
              <w:rPr>
                <w:rFonts w:ascii="Cambria" w:hAnsi="Cambria"/>
                <w:bCs/>
                <w:sz w:val="20"/>
                <w:szCs w:val="20"/>
                <w:lang w:val="es-ES_tradnl"/>
              </w:rPr>
            </w:pPr>
            <w:r w:rsidRPr="0058434D">
              <w:rPr>
                <w:rFonts w:ascii="Cambria" w:hAnsi="Cambria"/>
                <w:bCs/>
                <w:sz w:val="20"/>
                <w:szCs w:val="20"/>
                <w:lang w:val="es-ES_tradnl"/>
              </w:rPr>
              <w:t>1</w:t>
            </w:r>
            <w:r w:rsidR="007C715A" w:rsidRPr="0058434D">
              <w:rPr>
                <w:rFonts w:ascii="Cambria" w:hAnsi="Cambria"/>
                <w:bCs/>
                <w:sz w:val="20"/>
                <w:szCs w:val="20"/>
                <w:lang w:val="es-ES_tradnl"/>
              </w:rPr>
              <w:t xml:space="preserve"> de noviembre de 2021</w:t>
            </w:r>
          </w:p>
        </w:tc>
      </w:tr>
    </w:tbl>
    <w:p w14:paraId="0FC6E9E8" w14:textId="77777777" w:rsidR="003239B8" w:rsidRPr="0058434D" w:rsidRDefault="003239B8" w:rsidP="003239B8">
      <w:pPr>
        <w:spacing w:before="240" w:after="240"/>
        <w:ind w:firstLine="720"/>
        <w:jc w:val="both"/>
        <w:rPr>
          <w:rFonts w:asciiTheme="majorHAnsi" w:hAnsiTheme="majorHAnsi"/>
          <w:b/>
          <w:bCs/>
          <w:sz w:val="20"/>
          <w:szCs w:val="20"/>
          <w:lang w:val="es-ES_tradnl"/>
        </w:rPr>
      </w:pPr>
      <w:r w:rsidRPr="0058434D">
        <w:rPr>
          <w:rFonts w:asciiTheme="majorHAnsi" w:hAnsiTheme="majorHAnsi"/>
          <w:b/>
          <w:bCs/>
          <w:sz w:val="20"/>
          <w:szCs w:val="20"/>
          <w:lang w:val="es-ES_tradnl"/>
        </w:rPr>
        <w:t xml:space="preserve">III. </w:t>
      </w:r>
      <w:r w:rsidRPr="0058434D">
        <w:rPr>
          <w:rFonts w:asciiTheme="majorHAnsi" w:hAnsiTheme="majorHAnsi"/>
          <w:b/>
          <w:bCs/>
          <w:sz w:val="20"/>
          <w:szCs w:val="20"/>
          <w:lang w:val="es-ES_tradnl"/>
        </w:rPr>
        <w:tab/>
        <w:t>COMPETENCIA</w:t>
      </w:r>
      <w:r w:rsidR="00EE00E9" w:rsidRPr="0058434D">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8434D"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58434D" w:rsidRDefault="003239B8" w:rsidP="008D2290">
            <w:pPr>
              <w:jc w:val="center"/>
              <w:rPr>
                <w:rFonts w:ascii="Cambria" w:hAnsi="Cambria"/>
                <w:b/>
                <w:bCs/>
                <w:i/>
                <w:color w:val="FFFFFF" w:themeColor="background1"/>
                <w:sz w:val="20"/>
                <w:szCs w:val="20"/>
                <w:lang w:val="es-ES_tradnl"/>
              </w:rPr>
            </w:pPr>
            <w:r w:rsidRPr="0058434D">
              <w:rPr>
                <w:rFonts w:ascii="Cambria" w:hAnsi="Cambria"/>
                <w:b/>
                <w:bCs/>
                <w:color w:val="FFFFFF" w:themeColor="background1"/>
                <w:sz w:val="20"/>
                <w:szCs w:val="20"/>
                <w:lang w:val="es-ES_tradnl"/>
              </w:rPr>
              <w:t>Competencia</w:t>
            </w:r>
            <w:r w:rsidRPr="0058434D">
              <w:rPr>
                <w:rFonts w:ascii="Cambria" w:hAnsi="Cambria"/>
                <w:b/>
                <w:bCs/>
                <w:i/>
                <w:color w:val="FFFFFF" w:themeColor="background1"/>
                <w:sz w:val="20"/>
                <w:szCs w:val="20"/>
                <w:lang w:val="es-ES_tradnl"/>
              </w:rPr>
              <w:t xml:space="preserve"> Ratione personae:</w:t>
            </w:r>
          </w:p>
        </w:tc>
        <w:tc>
          <w:tcPr>
            <w:tcW w:w="5760" w:type="dxa"/>
            <w:vAlign w:val="center"/>
          </w:tcPr>
          <w:p w14:paraId="1E494D5D" w14:textId="51929C9B" w:rsidR="003239B8" w:rsidRPr="0058434D" w:rsidRDefault="007C715A" w:rsidP="008D2290">
            <w:pPr>
              <w:rPr>
                <w:rFonts w:ascii="Cambria" w:hAnsi="Cambria"/>
                <w:bCs/>
                <w:sz w:val="20"/>
                <w:szCs w:val="20"/>
                <w:lang w:val="es-ES_tradnl"/>
              </w:rPr>
            </w:pPr>
            <w:r w:rsidRPr="0058434D">
              <w:rPr>
                <w:rFonts w:ascii="Cambria" w:hAnsi="Cambria"/>
                <w:bCs/>
                <w:sz w:val="20"/>
                <w:szCs w:val="20"/>
                <w:lang w:val="es-ES_tradnl"/>
              </w:rPr>
              <w:t>Sí</w:t>
            </w:r>
          </w:p>
        </w:tc>
      </w:tr>
      <w:tr w:rsidR="003239B8" w:rsidRPr="0058434D"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58434D" w:rsidRDefault="003239B8" w:rsidP="008D2290">
            <w:pPr>
              <w:jc w:val="center"/>
              <w:rPr>
                <w:rFonts w:ascii="Cambria" w:hAnsi="Cambria"/>
                <w:b/>
                <w:bCs/>
                <w:color w:val="FFFFFF" w:themeColor="background1"/>
                <w:sz w:val="20"/>
                <w:szCs w:val="20"/>
                <w:lang w:val="es-ES_tradnl"/>
              </w:rPr>
            </w:pPr>
            <w:r w:rsidRPr="0058434D">
              <w:rPr>
                <w:rFonts w:ascii="Cambria" w:hAnsi="Cambria"/>
                <w:b/>
                <w:bCs/>
                <w:color w:val="FFFFFF" w:themeColor="background1"/>
                <w:sz w:val="20"/>
                <w:szCs w:val="20"/>
                <w:lang w:val="es-ES_tradnl"/>
              </w:rPr>
              <w:t>Competencia</w:t>
            </w:r>
            <w:r w:rsidRPr="0058434D">
              <w:rPr>
                <w:rFonts w:ascii="Cambria" w:hAnsi="Cambria"/>
                <w:b/>
                <w:bCs/>
                <w:i/>
                <w:color w:val="FFFFFF" w:themeColor="background1"/>
                <w:sz w:val="20"/>
                <w:szCs w:val="20"/>
                <w:lang w:val="es-ES_tradnl"/>
              </w:rPr>
              <w:t xml:space="preserve"> Ratione loci</w:t>
            </w:r>
            <w:r w:rsidRPr="0058434D">
              <w:rPr>
                <w:rFonts w:ascii="Cambria" w:hAnsi="Cambria"/>
                <w:b/>
                <w:bCs/>
                <w:color w:val="FFFFFF" w:themeColor="background1"/>
                <w:sz w:val="20"/>
                <w:szCs w:val="20"/>
                <w:lang w:val="es-ES_tradnl"/>
              </w:rPr>
              <w:t>:</w:t>
            </w:r>
          </w:p>
        </w:tc>
        <w:tc>
          <w:tcPr>
            <w:tcW w:w="5760" w:type="dxa"/>
            <w:vAlign w:val="center"/>
          </w:tcPr>
          <w:p w14:paraId="77C8256A" w14:textId="386AB900" w:rsidR="003239B8" w:rsidRPr="0058434D" w:rsidRDefault="007C715A" w:rsidP="008D2290">
            <w:pPr>
              <w:rPr>
                <w:rFonts w:ascii="Cambria" w:hAnsi="Cambria"/>
                <w:bCs/>
                <w:sz w:val="20"/>
                <w:szCs w:val="20"/>
                <w:lang w:val="es-ES_tradnl"/>
              </w:rPr>
            </w:pPr>
            <w:r w:rsidRPr="0058434D">
              <w:rPr>
                <w:rFonts w:ascii="Cambria" w:hAnsi="Cambria"/>
                <w:bCs/>
                <w:sz w:val="20"/>
                <w:szCs w:val="20"/>
                <w:lang w:val="es-ES_tradnl"/>
              </w:rPr>
              <w:t xml:space="preserve">Sí </w:t>
            </w:r>
          </w:p>
        </w:tc>
      </w:tr>
      <w:tr w:rsidR="003239B8" w:rsidRPr="0058434D"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58434D" w:rsidRDefault="003239B8" w:rsidP="008D2290">
            <w:pPr>
              <w:jc w:val="center"/>
              <w:rPr>
                <w:rFonts w:ascii="Cambria" w:hAnsi="Cambria"/>
                <w:b/>
                <w:bCs/>
                <w:color w:val="FFFFFF" w:themeColor="background1"/>
                <w:sz w:val="20"/>
                <w:szCs w:val="20"/>
                <w:lang w:val="es-ES_tradnl"/>
              </w:rPr>
            </w:pPr>
            <w:r w:rsidRPr="0058434D">
              <w:rPr>
                <w:rFonts w:ascii="Cambria" w:hAnsi="Cambria"/>
                <w:b/>
                <w:bCs/>
                <w:color w:val="FFFFFF" w:themeColor="background1"/>
                <w:sz w:val="20"/>
                <w:szCs w:val="20"/>
                <w:lang w:val="es-ES_tradnl"/>
              </w:rPr>
              <w:t>Competencia</w:t>
            </w:r>
            <w:r w:rsidRPr="0058434D">
              <w:rPr>
                <w:rFonts w:ascii="Cambria" w:hAnsi="Cambria"/>
                <w:b/>
                <w:bCs/>
                <w:i/>
                <w:color w:val="FFFFFF" w:themeColor="background1"/>
                <w:sz w:val="20"/>
                <w:szCs w:val="20"/>
                <w:lang w:val="es-ES_tradnl"/>
              </w:rPr>
              <w:t xml:space="preserve"> Ratione temporis</w:t>
            </w:r>
            <w:r w:rsidRPr="0058434D">
              <w:rPr>
                <w:rFonts w:ascii="Cambria" w:hAnsi="Cambria"/>
                <w:b/>
                <w:bCs/>
                <w:color w:val="FFFFFF" w:themeColor="background1"/>
                <w:sz w:val="20"/>
                <w:szCs w:val="20"/>
                <w:lang w:val="es-ES_tradnl"/>
              </w:rPr>
              <w:t>:</w:t>
            </w:r>
          </w:p>
        </w:tc>
        <w:tc>
          <w:tcPr>
            <w:tcW w:w="5760" w:type="dxa"/>
            <w:vAlign w:val="center"/>
          </w:tcPr>
          <w:p w14:paraId="523F6BD6" w14:textId="6964933A" w:rsidR="003239B8" w:rsidRPr="0058434D" w:rsidRDefault="007C715A" w:rsidP="008D2290">
            <w:pPr>
              <w:rPr>
                <w:rFonts w:ascii="Cambria" w:hAnsi="Cambria"/>
                <w:bCs/>
                <w:sz w:val="20"/>
                <w:szCs w:val="20"/>
                <w:lang w:val="es-ES_tradnl"/>
              </w:rPr>
            </w:pPr>
            <w:r w:rsidRPr="0058434D">
              <w:rPr>
                <w:rFonts w:ascii="Cambria" w:hAnsi="Cambria"/>
                <w:bCs/>
                <w:sz w:val="20"/>
                <w:szCs w:val="20"/>
                <w:lang w:val="es-ES_tradnl"/>
              </w:rPr>
              <w:t xml:space="preserve">Sí </w:t>
            </w:r>
          </w:p>
        </w:tc>
      </w:tr>
      <w:tr w:rsidR="003239B8" w:rsidRPr="00EE0DDE"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58434D" w:rsidRDefault="003239B8" w:rsidP="008D2290">
            <w:pPr>
              <w:jc w:val="center"/>
              <w:rPr>
                <w:rFonts w:ascii="Cambria" w:hAnsi="Cambria"/>
                <w:b/>
                <w:bCs/>
                <w:color w:val="FFFFFF" w:themeColor="background1"/>
                <w:sz w:val="20"/>
                <w:szCs w:val="20"/>
                <w:lang w:val="es-ES_tradnl"/>
              </w:rPr>
            </w:pPr>
            <w:r w:rsidRPr="0058434D">
              <w:rPr>
                <w:rFonts w:ascii="Cambria" w:hAnsi="Cambria"/>
                <w:b/>
                <w:bCs/>
                <w:color w:val="FFFFFF" w:themeColor="background1"/>
                <w:sz w:val="20"/>
                <w:szCs w:val="20"/>
                <w:lang w:val="es-ES_tradnl"/>
              </w:rPr>
              <w:t>Competencia</w:t>
            </w:r>
            <w:r w:rsidRPr="0058434D">
              <w:rPr>
                <w:rFonts w:ascii="Cambria" w:hAnsi="Cambria"/>
                <w:b/>
                <w:bCs/>
                <w:i/>
                <w:color w:val="FFFFFF" w:themeColor="background1"/>
                <w:sz w:val="20"/>
                <w:szCs w:val="20"/>
                <w:lang w:val="es-ES_tradnl"/>
              </w:rPr>
              <w:t xml:space="preserve"> Ratione materia</w:t>
            </w:r>
            <w:r w:rsidR="00EE00E9" w:rsidRPr="0058434D">
              <w:rPr>
                <w:rFonts w:ascii="Cambria" w:hAnsi="Cambria"/>
                <w:b/>
                <w:bCs/>
                <w:i/>
                <w:color w:val="FFFFFF" w:themeColor="background1"/>
                <w:sz w:val="20"/>
                <w:szCs w:val="20"/>
                <w:lang w:val="es-ES_tradnl"/>
              </w:rPr>
              <w:t>e</w:t>
            </w:r>
            <w:r w:rsidRPr="0058434D">
              <w:rPr>
                <w:rFonts w:ascii="Cambria" w:hAnsi="Cambria"/>
                <w:b/>
                <w:bCs/>
                <w:color w:val="FFFFFF" w:themeColor="background1"/>
                <w:sz w:val="20"/>
                <w:szCs w:val="20"/>
                <w:lang w:val="es-ES_tradnl"/>
              </w:rPr>
              <w:t>:</w:t>
            </w:r>
          </w:p>
        </w:tc>
        <w:tc>
          <w:tcPr>
            <w:tcW w:w="5760" w:type="dxa"/>
            <w:vAlign w:val="center"/>
          </w:tcPr>
          <w:p w14:paraId="257C8337" w14:textId="12D4B9F7" w:rsidR="003239B8" w:rsidRPr="0058434D" w:rsidRDefault="007C715A" w:rsidP="008D2290">
            <w:pPr>
              <w:jc w:val="both"/>
              <w:rPr>
                <w:rFonts w:asciiTheme="majorHAnsi" w:hAnsiTheme="majorHAnsi"/>
                <w:bCs/>
                <w:sz w:val="20"/>
                <w:szCs w:val="20"/>
                <w:lang w:val="es-ES_tradnl"/>
              </w:rPr>
            </w:pPr>
            <w:r w:rsidRPr="0058434D">
              <w:rPr>
                <w:rFonts w:asciiTheme="majorHAnsi" w:hAnsiTheme="majorHAnsi"/>
                <w:bCs/>
                <w:sz w:val="20"/>
                <w:szCs w:val="20"/>
                <w:lang w:val="es-ES_tradnl"/>
              </w:rPr>
              <w:t xml:space="preserve">Sí, </w:t>
            </w:r>
            <w:r w:rsidR="00FA3AEF" w:rsidRPr="0058434D">
              <w:rPr>
                <w:rFonts w:asciiTheme="majorHAnsi" w:hAnsiTheme="majorHAnsi"/>
                <w:bCs/>
                <w:sz w:val="20"/>
                <w:szCs w:val="20"/>
                <w:lang w:val="es-ES_tradnl"/>
              </w:rPr>
              <w:t xml:space="preserve">Convención Americana (instrumento de ratificación depositado el </w:t>
            </w:r>
            <w:r w:rsidR="00D71063" w:rsidRPr="0058434D">
              <w:rPr>
                <w:rFonts w:asciiTheme="majorHAnsi" w:hAnsiTheme="majorHAnsi"/>
                <w:bCs/>
                <w:sz w:val="20"/>
                <w:szCs w:val="20"/>
                <w:lang w:val="es-ES_tradnl"/>
              </w:rPr>
              <w:t>25 de mayo de 1978</w:t>
            </w:r>
            <w:r w:rsidR="00FA3AEF" w:rsidRPr="0058434D">
              <w:rPr>
                <w:rFonts w:asciiTheme="majorHAnsi" w:hAnsiTheme="majorHAnsi"/>
                <w:bCs/>
                <w:sz w:val="20"/>
                <w:szCs w:val="20"/>
                <w:lang w:val="es-ES_tradnl"/>
              </w:rPr>
              <w:t>)</w:t>
            </w:r>
          </w:p>
        </w:tc>
      </w:tr>
    </w:tbl>
    <w:p w14:paraId="299A3868" w14:textId="6B2FCAEA" w:rsidR="003239B8" w:rsidRPr="0058434D" w:rsidRDefault="003239B8" w:rsidP="003239B8">
      <w:pPr>
        <w:spacing w:before="240" w:after="240"/>
        <w:ind w:firstLine="720"/>
        <w:jc w:val="both"/>
        <w:rPr>
          <w:rFonts w:asciiTheme="majorHAnsi" w:hAnsiTheme="majorHAnsi"/>
          <w:b/>
          <w:bCs/>
          <w:sz w:val="20"/>
          <w:szCs w:val="20"/>
          <w:lang w:val="es-ES_tradnl"/>
        </w:rPr>
      </w:pPr>
      <w:r w:rsidRPr="0058434D">
        <w:rPr>
          <w:rFonts w:asciiTheme="majorHAnsi" w:hAnsiTheme="majorHAnsi"/>
          <w:b/>
          <w:bCs/>
          <w:sz w:val="20"/>
          <w:szCs w:val="20"/>
          <w:lang w:val="es-ES_tradnl"/>
        </w:rPr>
        <w:t xml:space="preserve">IV. </w:t>
      </w:r>
      <w:r w:rsidRPr="0058434D">
        <w:rPr>
          <w:rFonts w:asciiTheme="majorHAnsi" w:hAnsiTheme="majorHAnsi"/>
          <w:b/>
          <w:bCs/>
          <w:sz w:val="20"/>
          <w:szCs w:val="20"/>
          <w:lang w:val="es-ES_tradnl"/>
        </w:rPr>
        <w:tab/>
      </w:r>
      <w:r w:rsidR="00EE00E9" w:rsidRPr="0058434D">
        <w:rPr>
          <w:rFonts w:asciiTheme="majorHAnsi" w:hAnsiTheme="majorHAnsi"/>
          <w:b/>
          <w:bCs/>
          <w:sz w:val="20"/>
          <w:szCs w:val="20"/>
          <w:lang w:val="es-ES_tradnl"/>
        </w:rPr>
        <w:t>DUPLICACIÓN</w:t>
      </w:r>
      <w:r w:rsidR="00EE00E9" w:rsidRPr="0058434D">
        <w:rPr>
          <w:rFonts w:asciiTheme="majorHAnsi" w:hAnsiTheme="majorHAnsi"/>
          <w:b/>
          <w:bCs/>
          <w:color w:val="FFFFFF" w:themeColor="background1"/>
          <w:sz w:val="20"/>
          <w:szCs w:val="20"/>
          <w:lang w:val="es-ES_tradnl"/>
        </w:rPr>
        <w:t xml:space="preserve"> </w:t>
      </w:r>
      <w:r w:rsidR="00EE00E9" w:rsidRPr="0058434D">
        <w:rPr>
          <w:rFonts w:asciiTheme="majorHAnsi" w:hAnsiTheme="majorHAnsi"/>
          <w:b/>
          <w:bCs/>
          <w:sz w:val="20"/>
          <w:szCs w:val="20"/>
          <w:lang w:val="es-ES_tradnl"/>
        </w:rPr>
        <w:t>DE PROCEDIMIENTOS Y COSA JUZGADA</w:t>
      </w:r>
      <w:r w:rsidR="00EE00E9" w:rsidRPr="0058434D">
        <w:rPr>
          <w:rFonts w:asciiTheme="majorHAnsi" w:hAnsiTheme="majorHAnsi"/>
          <w:b/>
          <w:bCs/>
          <w:i/>
          <w:sz w:val="20"/>
          <w:szCs w:val="20"/>
          <w:lang w:val="es-ES_tradnl"/>
        </w:rPr>
        <w:t xml:space="preserve"> </w:t>
      </w:r>
      <w:r w:rsidR="001D57D6" w:rsidRPr="0058434D">
        <w:rPr>
          <w:rFonts w:asciiTheme="majorHAnsi" w:hAnsiTheme="majorHAnsi"/>
          <w:b/>
          <w:bCs/>
          <w:sz w:val="20"/>
          <w:szCs w:val="20"/>
          <w:lang w:val="es-ES_tradnl"/>
        </w:rPr>
        <w:t>INTERNACIONAL, CARACTERIZACIÓN</w:t>
      </w:r>
      <w:r w:rsidRPr="0058434D">
        <w:rPr>
          <w:rFonts w:asciiTheme="majorHAnsi" w:hAnsiTheme="majorHAnsi"/>
          <w:b/>
          <w:bCs/>
          <w:sz w:val="20"/>
          <w:szCs w:val="20"/>
          <w:lang w:val="es-ES_tradnl"/>
        </w:rPr>
        <w:t xml:space="preserve">, </w:t>
      </w:r>
      <w:r w:rsidRPr="0058434D">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58434D"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58434D" w:rsidRDefault="00EE00E9" w:rsidP="008D2290">
            <w:pPr>
              <w:jc w:val="center"/>
              <w:rPr>
                <w:rFonts w:ascii="Cambria" w:hAnsi="Cambria"/>
                <w:b/>
                <w:bCs/>
                <w:color w:val="FFFFFF" w:themeColor="background1"/>
                <w:sz w:val="20"/>
                <w:szCs w:val="20"/>
                <w:lang w:val="es-ES_tradnl"/>
              </w:rPr>
            </w:pPr>
            <w:r w:rsidRPr="0058434D">
              <w:rPr>
                <w:rFonts w:ascii="Cambria" w:hAnsi="Cambria"/>
                <w:b/>
                <w:bCs/>
                <w:color w:val="FFFFFF" w:themeColor="background1"/>
                <w:sz w:val="20"/>
                <w:szCs w:val="20"/>
                <w:lang w:val="es-ES_tradnl"/>
              </w:rPr>
              <w:t>Duplicación de procedimientos y cosa juzgada internacional:</w:t>
            </w:r>
          </w:p>
        </w:tc>
        <w:tc>
          <w:tcPr>
            <w:tcW w:w="5760" w:type="dxa"/>
            <w:vAlign w:val="center"/>
          </w:tcPr>
          <w:p w14:paraId="764D7F60" w14:textId="6158FB47" w:rsidR="00EE00E9" w:rsidRPr="0058434D" w:rsidRDefault="00BD01F0" w:rsidP="008D2290">
            <w:pPr>
              <w:jc w:val="both"/>
              <w:rPr>
                <w:rFonts w:ascii="Cambria" w:hAnsi="Cambria"/>
                <w:bCs/>
                <w:sz w:val="20"/>
                <w:szCs w:val="20"/>
                <w:lang w:val="es-ES_tradnl"/>
              </w:rPr>
            </w:pPr>
            <w:r w:rsidRPr="0058434D">
              <w:rPr>
                <w:rFonts w:ascii="Cambria" w:hAnsi="Cambria"/>
                <w:bCs/>
                <w:sz w:val="20"/>
                <w:szCs w:val="20"/>
                <w:lang w:val="es-ES_tradnl"/>
              </w:rPr>
              <w:t>No</w:t>
            </w:r>
          </w:p>
        </w:tc>
      </w:tr>
      <w:tr w:rsidR="003239B8" w:rsidRPr="00EE0DDE"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58434D" w:rsidRDefault="003239B8" w:rsidP="008D2290">
            <w:pPr>
              <w:jc w:val="center"/>
              <w:rPr>
                <w:rFonts w:ascii="Cambria" w:hAnsi="Cambria"/>
                <w:b/>
                <w:bCs/>
                <w:i/>
                <w:color w:val="FFFFFF" w:themeColor="background1"/>
                <w:sz w:val="20"/>
                <w:szCs w:val="20"/>
                <w:lang w:val="es-ES_tradnl"/>
              </w:rPr>
            </w:pPr>
            <w:r w:rsidRPr="0058434D">
              <w:rPr>
                <w:rFonts w:ascii="Cambria" w:hAnsi="Cambria"/>
                <w:b/>
                <w:bCs/>
                <w:color w:val="FFFFFF" w:themeColor="background1"/>
                <w:sz w:val="20"/>
                <w:szCs w:val="20"/>
                <w:lang w:val="es-ES_tradnl"/>
              </w:rPr>
              <w:t>Derechos declarados admisibles</w:t>
            </w:r>
            <w:r w:rsidRPr="0058434D">
              <w:rPr>
                <w:rFonts w:ascii="Cambria" w:hAnsi="Cambria"/>
                <w:b/>
                <w:bCs/>
                <w:i/>
                <w:color w:val="FFFFFF" w:themeColor="background1"/>
                <w:sz w:val="20"/>
                <w:szCs w:val="20"/>
                <w:lang w:val="es-ES_tradnl"/>
              </w:rPr>
              <w:t>:</w:t>
            </w:r>
          </w:p>
        </w:tc>
        <w:tc>
          <w:tcPr>
            <w:tcW w:w="5760" w:type="dxa"/>
            <w:vAlign w:val="center"/>
          </w:tcPr>
          <w:p w14:paraId="4DAE9D4D" w14:textId="1077817E" w:rsidR="00FF6087" w:rsidRPr="0058434D" w:rsidRDefault="00BD01F0" w:rsidP="00E53400">
            <w:pPr>
              <w:jc w:val="both"/>
              <w:rPr>
                <w:rFonts w:ascii="Cambria" w:hAnsi="Cambria"/>
                <w:bCs/>
                <w:sz w:val="20"/>
                <w:szCs w:val="20"/>
                <w:lang w:val="es-ES_tradnl"/>
              </w:rPr>
            </w:pPr>
            <w:r w:rsidRPr="0058434D">
              <w:rPr>
                <w:rFonts w:asciiTheme="majorHAnsi" w:hAnsiTheme="majorHAnsi"/>
                <w:bCs/>
                <w:sz w:val="20"/>
                <w:szCs w:val="20"/>
                <w:lang w:val="es-ES_tradnl"/>
              </w:rPr>
              <w:t>Artículos</w:t>
            </w:r>
            <w:r w:rsidR="00E53400" w:rsidRPr="0058434D">
              <w:rPr>
                <w:rFonts w:asciiTheme="majorHAnsi" w:hAnsiTheme="majorHAnsi"/>
                <w:bCs/>
                <w:sz w:val="20"/>
                <w:szCs w:val="20"/>
                <w:lang w:val="es-ES_tradnl"/>
              </w:rPr>
              <w:t xml:space="preserve"> </w:t>
            </w:r>
            <w:r w:rsidR="00FF6087" w:rsidRPr="0058434D">
              <w:rPr>
                <w:rFonts w:asciiTheme="majorHAnsi" w:hAnsiTheme="majorHAnsi"/>
                <w:bCs/>
                <w:sz w:val="20"/>
                <w:szCs w:val="20"/>
                <w:lang w:val="es-ES_tradnl"/>
              </w:rPr>
              <w:t>8 (garantías judiciales</w:t>
            </w:r>
            <w:r w:rsidR="008A48C8" w:rsidRPr="0058434D">
              <w:rPr>
                <w:rFonts w:asciiTheme="majorHAnsi" w:hAnsiTheme="majorHAnsi"/>
                <w:bCs/>
                <w:sz w:val="20"/>
                <w:szCs w:val="20"/>
                <w:lang w:val="es-ES_tradnl"/>
              </w:rPr>
              <w:t>)</w:t>
            </w:r>
            <w:r w:rsidR="00F15B64" w:rsidRPr="0058434D">
              <w:rPr>
                <w:rFonts w:asciiTheme="majorHAnsi" w:hAnsiTheme="majorHAnsi"/>
                <w:bCs/>
                <w:sz w:val="20"/>
                <w:szCs w:val="20"/>
                <w:lang w:val="es-ES_tradnl"/>
              </w:rPr>
              <w:t xml:space="preserve"> y </w:t>
            </w:r>
            <w:r w:rsidR="00FF6087" w:rsidRPr="0058434D">
              <w:rPr>
                <w:rFonts w:asciiTheme="majorHAnsi" w:hAnsiTheme="majorHAnsi"/>
                <w:bCs/>
                <w:sz w:val="20"/>
                <w:szCs w:val="20"/>
                <w:lang w:val="es-ES_tradnl"/>
              </w:rPr>
              <w:t>25 (protección judicial)</w:t>
            </w:r>
            <w:r w:rsidR="00645171" w:rsidRPr="0058434D">
              <w:rPr>
                <w:rFonts w:asciiTheme="majorHAnsi" w:hAnsiTheme="majorHAnsi"/>
                <w:bCs/>
                <w:sz w:val="20"/>
                <w:szCs w:val="20"/>
                <w:lang w:val="es-ES_tradnl"/>
              </w:rPr>
              <w:t xml:space="preserve"> de la Convención Americana</w:t>
            </w:r>
            <w:r w:rsidR="00FF6087" w:rsidRPr="0058434D">
              <w:rPr>
                <w:rFonts w:asciiTheme="majorHAnsi" w:hAnsiTheme="majorHAnsi"/>
                <w:bCs/>
                <w:sz w:val="20"/>
                <w:szCs w:val="20"/>
                <w:lang w:val="es-ES_tradnl"/>
              </w:rPr>
              <w:t xml:space="preserve"> </w:t>
            </w:r>
            <w:r w:rsidR="00E53400" w:rsidRPr="0058434D">
              <w:rPr>
                <w:rFonts w:asciiTheme="majorHAnsi" w:hAnsiTheme="majorHAnsi"/>
                <w:bCs/>
                <w:sz w:val="20"/>
                <w:szCs w:val="20"/>
                <w:lang w:val="es-ES_tradnl"/>
              </w:rPr>
              <w:t>en relación con su artículo 1.1 (obligación de respetar los derechos)</w:t>
            </w:r>
          </w:p>
        </w:tc>
      </w:tr>
      <w:tr w:rsidR="003239B8" w:rsidRPr="00EE0DDE"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58434D" w:rsidRDefault="003239B8" w:rsidP="008D2290">
            <w:pPr>
              <w:jc w:val="center"/>
              <w:rPr>
                <w:rFonts w:ascii="Cambria" w:hAnsi="Cambria"/>
                <w:b/>
                <w:bCs/>
                <w:color w:val="FFFFFF" w:themeColor="background1"/>
                <w:sz w:val="20"/>
                <w:szCs w:val="20"/>
                <w:lang w:val="es-ES_tradnl"/>
              </w:rPr>
            </w:pPr>
            <w:r w:rsidRPr="0058434D">
              <w:rPr>
                <w:rFonts w:ascii="Cambria" w:hAnsi="Cambria"/>
                <w:b/>
                <w:bCs/>
                <w:color w:val="FFFFFF" w:themeColor="background1"/>
                <w:sz w:val="20"/>
                <w:szCs w:val="20"/>
                <w:lang w:val="es-ES_tradnl"/>
              </w:rPr>
              <w:t>Agotamiento de recursos internos</w:t>
            </w:r>
            <w:r w:rsidR="00EE00E9" w:rsidRPr="0058434D">
              <w:rPr>
                <w:rFonts w:ascii="Cambria" w:hAnsi="Cambria"/>
                <w:b/>
                <w:bCs/>
                <w:color w:val="FFFFFF" w:themeColor="background1"/>
                <w:sz w:val="20"/>
                <w:szCs w:val="20"/>
                <w:lang w:val="es-ES_tradnl"/>
              </w:rPr>
              <w:t xml:space="preserve"> o procedencia de una excepción</w:t>
            </w:r>
            <w:r w:rsidRPr="0058434D">
              <w:rPr>
                <w:rFonts w:ascii="Cambria" w:hAnsi="Cambria"/>
                <w:b/>
                <w:bCs/>
                <w:color w:val="FFFFFF" w:themeColor="background1"/>
                <w:sz w:val="20"/>
                <w:szCs w:val="20"/>
                <w:lang w:val="es-ES_tradnl"/>
              </w:rPr>
              <w:t>:</w:t>
            </w:r>
          </w:p>
        </w:tc>
        <w:tc>
          <w:tcPr>
            <w:tcW w:w="5760" w:type="dxa"/>
            <w:vAlign w:val="center"/>
          </w:tcPr>
          <w:p w14:paraId="2C760D66" w14:textId="6FB99630" w:rsidR="00620C6F" w:rsidRPr="0058434D" w:rsidRDefault="00620C6F" w:rsidP="00620C6F">
            <w:pPr>
              <w:rPr>
                <w:rFonts w:asciiTheme="majorHAnsi" w:hAnsiTheme="majorHAnsi"/>
                <w:bCs/>
                <w:sz w:val="20"/>
                <w:szCs w:val="20"/>
                <w:lang w:val="es-ES_tradnl"/>
              </w:rPr>
            </w:pPr>
            <w:r w:rsidRPr="0058434D">
              <w:rPr>
                <w:rFonts w:asciiTheme="majorHAnsi" w:hAnsiTheme="majorHAnsi"/>
                <w:bCs/>
                <w:sz w:val="20"/>
                <w:szCs w:val="20"/>
                <w:lang w:val="es-ES_tradnl"/>
              </w:rPr>
              <w:t>Sí, aplica la excepción del Artículo 46.2.c) de la Convención</w:t>
            </w:r>
          </w:p>
          <w:p w14:paraId="7F7C1A19" w14:textId="47ECDD04" w:rsidR="003239B8" w:rsidRPr="0058434D" w:rsidRDefault="00620C6F" w:rsidP="00620C6F">
            <w:pPr>
              <w:rPr>
                <w:rFonts w:ascii="Cambria" w:hAnsi="Cambria"/>
                <w:bCs/>
                <w:sz w:val="20"/>
                <w:szCs w:val="20"/>
                <w:lang w:val="es-ES_tradnl"/>
              </w:rPr>
            </w:pPr>
            <w:r w:rsidRPr="0058434D">
              <w:rPr>
                <w:rFonts w:asciiTheme="majorHAnsi" w:hAnsiTheme="majorHAnsi"/>
                <w:bCs/>
                <w:sz w:val="20"/>
                <w:szCs w:val="20"/>
                <w:lang w:val="es-ES_tradnl"/>
              </w:rPr>
              <w:t>Americana, en los términos de la Sección VI</w:t>
            </w:r>
          </w:p>
        </w:tc>
      </w:tr>
      <w:tr w:rsidR="003239B8" w:rsidRPr="00EE0DDE"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58434D" w:rsidRDefault="003239B8" w:rsidP="008D2290">
            <w:pPr>
              <w:jc w:val="center"/>
              <w:rPr>
                <w:rFonts w:ascii="Cambria" w:hAnsi="Cambria"/>
                <w:b/>
                <w:bCs/>
                <w:color w:val="FFFFFF" w:themeColor="background1"/>
                <w:sz w:val="20"/>
                <w:szCs w:val="20"/>
                <w:lang w:val="es-ES_tradnl"/>
              </w:rPr>
            </w:pPr>
            <w:r w:rsidRPr="0058434D">
              <w:rPr>
                <w:rFonts w:ascii="Cambria" w:hAnsi="Cambria"/>
                <w:b/>
                <w:bCs/>
                <w:color w:val="FFFFFF" w:themeColor="background1"/>
                <w:sz w:val="20"/>
                <w:szCs w:val="20"/>
                <w:lang w:val="es-ES_tradnl"/>
              </w:rPr>
              <w:t>Presentación dentro de plazo:</w:t>
            </w:r>
          </w:p>
        </w:tc>
        <w:tc>
          <w:tcPr>
            <w:tcW w:w="5760" w:type="dxa"/>
            <w:vAlign w:val="center"/>
          </w:tcPr>
          <w:p w14:paraId="2AF0FC69" w14:textId="75D43C81" w:rsidR="003239B8" w:rsidRPr="0058434D" w:rsidRDefault="00BD01F0" w:rsidP="008D2290">
            <w:pPr>
              <w:rPr>
                <w:rFonts w:ascii="Cambria" w:hAnsi="Cambria"/>
                <w:bCs/>
                <w:sz w:val="20"/>
                <w:szCs w:val="20"/>
                <w:lang w:val="es-ES_tradnl"/>
              </w:rPr>
            </w:pPr>
            <w:r w:rsidRPr="0058434D">
              <w:rPr>
                <w:rFonts w:asciiTheme="majorHAnsi" w:hAnsiTheme="majorHAnsi"/>
                <w:bCs/>
                <w:sz w:val="20"/>
                <w:szCs w:val="20"/>
                <w:lang w:val="es-ES_tradnl"/>
              </w:rPr>
              <w:t>Sí, en los términos de la Sección VI</w:t>
            </w:r>
          </w:p>
        </w:tc>
      </w:tr>
    </w:tbl>
    <w:p w14:paraId="0C62D710" w14:textId="77777777" w:rsidR="00645171" w:rsidRPr="0058434D" w:rsidRDefault="00645171" w:rsidP="003239B8">
      <w:pPr>
        <w:spacing w:before="240" w:after="240"/>
        <w:ind w:firstLine="720"/>
        <w:jc w:val="both"/>
        <w:rPr>
          <w:rFonts w:asciiTheme="majorHAnsi" w:hAnsiTheme="majorHAnsi"/>
          <w:b/>
          <w:sz w:val="20"/>
          <w:szCs w:val="20"/>
          <w:lang w:val="es-ES_tradnl"/>
        </w:rPr>
      </w:pPr>
    </w:p>
    <w:p w14:paraId="56FD5D57" w14:textId="53AF6FDA" w:rsidR="003239B8" w:rsidRPr="0058434D" w:rsidRDefault="00223A29" w:rsidP="003239B8">
      <w:pPr>
        <w:spacing w:before="240" w:after="240"/>
        <w:ind w:firstLine="720"/>
        <w:jc w:val="both"/>
        <w:rPr>
          <w:rFonts w:ascii="Cambria" w:hAnsi="Cambria"/>
          <w:b/>
          <w:sz w:val="20"/>
          <w:szCs w:val="20"/>
          <w:lang w:val="es-ES_tradnl"/>
        </w:rPr>
      </w:pPr>
      <w:r w:rsidRPr="0058434D">
        <w:rPr>
          <w:rFonts w:ascii="Cambria" w:hAnsi="Cambria"/>
          <w:b/>
          <w:sz w:val="20"/>
          <w:szCs w:val="20"/>
          <w:lang w:val="es-ES_tradnl"/>
        </w:rPr>
        <w:lastRenderedPageBreak/>
        <w:t xml:space="preserve">V. </w:t>
      </w:r>
      <w:r w:rsidRPr="0058434D">
        <w:rPr>
          <w:rFonts w:ascii="Cambria" w:hAnsi="Cambria"/>
          <w:b/>
          <w:sz w:val="20"/>
          <w:szCs w:val="20"/>
          <w:lang w:val="es-ES_tradnl"/>
        </w:rPr>
        <w:tab/>
      </w:r>
      <w:r w:rsidR="004241A0" w:rsidRPr="0058434D">
        <w:rPr>
          <w:rFonts w:ascii="Cambria" w:hAnsi="Cambria"/>
          <w:b/>
          <w:sz w:val="20"/>
          <w:szCs w:val="20"/>
          <w:lang w:val="es-ES_tradnl"/>
        </w:rPr>
        <w:t>POSICIÓN DE LAS PARTES</w:t>
      </w:r>
      <w:r w:rsidR="003239B8" w:rsidRPr="0058434D">
        <w:rPr>
          <w:rFonts w:ascii="Cambria" w:hAnsi="Cambria"/>
          <w:b/>
          <w:sz w:val="20"/>
          <w:szCs w:val="20"/>
          <w:lang w:val="es-ES_tradnl"/>
        </w:rPr>
        <w:t xml:space="preserve"> </w:t>
      </w:r>
    </w:p>
    <w:p w14:paraId="76C7B88C" w14:textId="56032062" w:rsidR="002D6CC4" w:rsidRPr="0058434D" w:rsidRDefault="00620C6F" w:rsidP="009847C6">
      <w:pPr>
        <w:pStyle w:val="ListParagraph"/>
        <w:numPr>
          <w:ilvl w:val="0"/>
          <w:numId w:val="56"/>
        </w:numPr>
        <w:spacing w:before="240" w:after="240"/>
        <w:ind w:left="142" w:firstLine="567"/>
        <w:jc w:val="both"/>
        <w:rPr>
          <w:bCs/>
          <w:sz w:val="20"/>
          <w:szCs w:val="20"/>
          <w:lang w:val="es-ES_tradnl"/>
        </w:rPr>
      </w:pPr>
      <w:r w:rsidRPr="0058434D">
        <w:rPr>
          <w:bCs/>
          <w:sz w:val="20"/>
          <w:szCs w:val="20"/>
          <w:lang w:val="es-ES_tradnl"/>
        </w:rPr>
        <w:t>L</w:t>
      </w:r>
      <w:r w:rsidR="007E563E" w:rsidRPr="0058434D">
        <w:rPr>
          <w:bCs/>
          <w:sz w:val="20"/>
          <w:szCs w:val="20"/>
          <w:lang w:val="es-ES_tradnl"/>
        </w:rPr>
        <w:t>a</w:t>
      </w:r>
      <w:r w:rsidR="009847C6" w:rsidRPr="0058434D">
        <w:rPr>
          <w:bCs/>
          <w:sz w:val="20"/>
          <w:szCs w:val="20"/>
          <w:lang w:val="es-ES_tradnl"/>
        </w:rPr>
        <w:t xml:space="preserve">s presuntas </w:t>
      </w:r>
      <w:r w:rsidR="002D6CC4" w:rsidRPr="0058434D">
        <w:rPr>
          <w:bCs/>
          <w:sz w:val="20"/>
          <w:szCs w:val="20"/>
          <w:lang w:val="es-ES_tradnl"/>
        </w:rPr>
        <w:t>víctimas</w:t>
      </w:r>
      <w:r w:rsidR="009847C6" w:rsidRPr="0058434D">
        <w:rPr>
          <w:bCs/>
          <w:sz w:val="20"/>
          <w:szCs w:val="20"/>
          <w:lang w:val="es-ES_tradnl"/>
        </w:rPr>
        <w:t xml:space="preserve"> </w:t>
      </w:r>
      <w:r w:rsidR="00C33714" w:rsidRPr="0058434D">
        <w:rPr>
          <w:bCs/>
          <w:sz w:val="20"/>
          <w:szCs w:val="20"/>
          <w:lang w:val="es-ES_tradnl"/>
        </w:rPr>
        <w:t xml:space="preserve">alegan que </w:t>
      </w:r>
      <w:r w:rsidR="002D6CC4" w:rsidRPr="0058434D">
        <w:rPr>
          <w:bCs/>
          <w:sz w:val="20"/>
          <w:szCs w:val="20"/>
          <w:lang w:val="es-ES_tradnl"/>
        </w:rPr>
        <w:t xml:space="preserve">perdieron sus depósitos y los intereses generados tras invertir </w:t>
      </w:r>
      <w:r w:rsidR="005C763D" w:rsidRPr="0058434D">
        <w:rPr>
          <w:bCs/>
          <w:sz w:val="20"/>
          <w:szCs w:val="20"/>
          <w:lang w:val="es-ES_tradnl"/>
        </w:rPr>
        <w:t xml:space="preserve">en </w:t>
      </w:r>
      <w:r w:rsidR="00F677EC" w:rsidRPr="0058434D">
        <w:rPr>
          <w:bCs/>
          <w:sz w:val="20"/>
          <w:szCs w:val="20"/>
          <w:lang w:val="es-ES_tradnl"/>
        </w:rPr>
        <w:t>la</w:t>
      </w:r>
      <w:r w:rsidR="005C763D" w:rsidRPr="0058434D">
        <w:rPr>
          <w:bCs/>
          <w:sz w:val="20"/>
          <w:szCs w:val="20"/>
          <w:lang w:val="es-ES_tradnl"/>
        </w:rPr>
        <w:t xml:space="preserve"> entidad</w:t>
      </w:r>
      <w:r w:rsidR="00501E47" w:rsidRPr="0058434D">
        <w:rPr>
          <w:bCs/>
          <w:sz w:val="20"/>
          <w:szCs w:val="20"/>
          <w:lang w:val="es-ES_tradnl"/>
        </w:rPr>
        <w:t xml:space="preserve"> Valores e Inversiones del País, Sociedad Anónima (en adelante “VIPASA”)</w:t>
      </w:r>
      <w:r w:rsidR="006A08C4" w:rsidRPr="0058434D">
        <w:rPr>
          <w:bCs/>
          <w:sz w:val="20"/>
          <w:szCs w:val="20"/>
          <w:lang w:val="es-ES_tradnl"/>
        </w:rPr>
        <w:t>,</w:t>
      </w:r>
      <w:r w:rsidR="00501E47" w:rsidRPr="0058434D">
        <w:rPr>
          <w:bCs/>
          <w:sz w:val="20"/>
          <w:szCs w:val="20"/>
          <w:lang w:val="es-ES_tradnl"/>
        </w:rPr>
        <w:t xml:space="preserve"> </w:t>
      </w:r>
      <w:r w:rsidR="002D6CC4" w:rsidRPr="0058434D">
        <w:rPr>
          <w:bCs/>
          <w:sz w:val="20"/>
          <w:szCs w:val="20"/>
          <w:lang w:val="es-ES_tradnl"/>
        </w:rPr>
        <w:t xml:space="preserve">que era parte del </w:t>
      </w:r>
      <w:r w:rsidR="00501E47" w:rsidRPr="0058434D">
        <w:rPr>
          <w:bCs/>
          <w:sz w:val="20"/>
          <w:szCs w:val="20"/>
          <w:lang w:val="es-ES_tradnl"/>
        </w:rPr>
        <w:t xml:space="preserve">Grupo Financiero del </w:t>
      </w:r>
      <w:r w:rsidRPr="0058434D">
        <w:rPr>
          <w:bCs/>
          <w:sz w:val="20"/>
          <w:szCs w:val="20"/>
          <w:lang w:val="es-ES_tradnl"/>
        </w:rPr>
        <w:t>País</w:t>
      </w:r>
      <w:r w:rsidR="00501E47" w:rsidRPr="0058434D">
        <w:rPr>
          <w:bCs/>
          <w:sz w:val="20"/>
          <w:szCs w:val="20"/>
          <w:lang w:val="es-ES_tradnl"/>
        </w:rPr>
        <w:t xml:space="preserve"> a través de Banco del </w:t>
      </w:r>
      <w:r w:rsidRPr="0058434D">
        <w:rPr>
          <w:bCs/>
          <w:sz w:val="20"/>
          <w:szCs w:val="20"/>
          <w:lang w:val="es-ES_tradnl"/>
        </w:rPr>
        <w:t>Café</w:t>
      </w:r>
      <w:r w:rsidR="00501E47" w:rsidRPr="0058434D">
        <w:rPr>
          <w:bCs/>
          <w:sz w:val="20"/>
          <w:szCs w:val="20"/>
          <w:lang w:val="es-ES_tradnl"/>
        </w:rPr>
        <w:t>, S.A. (en adelante "BANCAFE")</w:t>
      </w:r>
      <w:r w:rsidR="002D6CC4" w:rsidRPr="0058434D">
        <w:rPr>
          <w:bCs/>
          <w:sz w:val="20"/>
          <w:szCs w:val="20"/>
          <w:lang w:val="es-ES_tradnl"/>
        </w:rPr>
        <w:t>, el cual quebró en 2005.</w:t>
      </w:r>
      <w:r w:rsidR="009847C6" w:rsidRPr="0058434D">
        <w:rPr>
          <w:bCs/>
          <w:sz w:val="20"/>
          <w:szCs w:val="20"/>
          <w:lang w:val="es-ES_tradnl"/>
        </w:rPr>
        <w:t xml:space="preserve"> </w:t>
      </w:r>
      <w:r w:rsidR="000C7279" w:rsidRPr="0058434D">
        <w:rPr>
          <w:bCs/>
          <w:sz w:val="20"/>
          <w:szCs w:val="20"/>
          <w:lang w:val="es-ES_tradnl"/>
        </w:rPr>
        <w:t xml:space="preserve">Consideran que </w:t>
      </w:r>
      <w:r w:rsidR="0076413F" w:rsidRPr="0058434D">
        <w:rPr>
          <w:bCs/>
          <w:sz w:val="20"/>
          <w:szCs w:val="20"/>
          <w:lang w:val="es-ES_tradnl"/>
        </w:rPr>
        <w:t xml:space="preserve">lo acontecido fue </w:t>
      </w:r>
      <w:r w:rsidR="002D6CC4" w:rsidRPr="0058434D">
        <w:rPr>
          <w:bCs/>
          <w:sz w:val="20"/>
          <w:szCs w:val="20"/>
          <w:lang w:val="es-ES_tradnl"/>
        </w:rPr>
        <w:t xml:space="preserve">consecuencia de la falta de control bancario y supervisión fiscal por parte del Estado. </w:t>
      </w:r>
      <w:r w:rsidR="000C7279" w:rsidRPr="0058434D">
        <w:rPr>
          <w:bCs/>
          <w:sz w:val="20"/>
          <w:szCs w:val="20"/>
          <w:lang w:val="es-ES_tradnl"/>
        </w:rPr>
        <w:t xml:space="preserve">También, </w:t>
      </w:r>
      <w:r w:rsidR="0076413F" w:rsidRPr="0058434D">
        <w:rPr>
          <w:bCs/>
          <w:sz w:val="20"/>
          <w:szCs w:val="20"/>
          <w:lang w:val="es-ES_tradnl"/>
        </w:rPr>
        <w:t>denuncian</w:t>
      </w:r>
      <w:r w:rsidR="00737E5A" w:rsidRPr="0058434D">
        <w:rPr>
          <w:bCs/>
          <w:sz w:val="20"/>
          <w:szCs w:val="20"/>
          <w:lang w:val="es-ES_tradnl"/>
        </w:rPr>
        <w:t xml:space="preserve"> </w:t>
      </w:r>
      <w:r w:rsidR="00FB7CC1" w:rsidRPr="0058434D">
        <w:rPr>
          <w:bCs/>
          <w:sz w:val="20"/>
          <w:szCs w:val="20"/>
          <w:lang w:val="es-ES_tradnl"/>
        </w:rPr>
        <w:t xml:space="preserve">que existe un </w:t>
      </w:r>
      <w:r w:rsidR="0076413F" w:rsidRPr="0058434D">
        <w:rPr>
          <w:bCs/>
          <w:sz w:val="20"/>
          <w:szCs w:val="20"/>
          <w:lang w:val="es-ES_tradnl"/>
        </w:rPr>
        <w:t>retardo</w:t>
      </w:r>
      <w:r w:rsidR="00737E5A" w:rsidRPr="0058434D">
        <w:rPr>
          <w:bCs/>
          <w:sz w:val="20"/>
          <w:szCs w:val="20"/>
          <w:lang w:val="es-ES_tradnl"/>
        </w:rPr>
        <w:t xml:space="preserve"> </w:t>
      </w:r>
      <w:r w:rsidR="0076413F" w:rsidRPr="0058434D">
        <w:rPr>
          <w:bCs/>
          <w:sz w:val="20"/>
          <w:szCs w:val="20"/>
          <w:lang w:val="es-ES_tradnl"/>
        </w:rPr>
        <w:t>en la investigación y sanción penal</w:t>
      </w:r>
      <w:r w:rsidR="00737E5A" w:rsidRPr="0058434D">
        <w:rPr>
          <w:bCs/>
          <w:sz w:val="20"/>
          <w:szCs w:val="20"/>
          <w:lang w:val="es-ES_tradnl"/>
        </w:rPr>
        <w:t xml:space="preserve"> </w:t>
      </w:r>
      <w:r w:rsidR="0076413F" w:rsidRPr="0058434D">
        <w:rPr>
          <w:bCs/>
          <w:sz w:val="20"/>
          <w:szCs w:val="20"/>
          <w:lang w:val="es-ES_tradnl"/>
        </w:rPr>
        <w:t xml:space="preserve">de </w:t>
      </w:r>
      <w:r w:rsidR="00737E5A" w:rsidRPr="0058434D">
        <w:rPr>
          <w:bCs/>
          <w:sz w:val="20"/>
          <w:szCs w:val="20"/>
          <w:lang w:val="es-ES_tradnl"/>
        </w:rPr>
        <w:t xml:space="preserve">los responsables de los </w:t>
      </w:r>
      <w:r w:rsidR="000C7279" w:rsidRPr="0058434D">
        <w:rPr>
          <w:bCs/>
          <w:sz w:val="20"/>
          <w:szCs w:val="20"/>
          <w:lang w:val="es-ES_tradnl"/>
        </w:rPr>
        <w:t>manejos</w:t>
      </w:r>
      <w:r w:rsidR="00737E5A" w:rsidRPr="0058434D">
        <w:rPr>
          <w:bCs/>
          <w:sz w:val="20"/>
          <w:szCs w:val="20"/>
          <w:lang w:val="es-ES_tradnl"/>
        </w:rPr>
        <w:t xml:space="preserve"> ilegales de su dinero</w:t>
      </w:r>
      <w:r w:rsidR="0076413F" w:rsidRPr="0058434D">
        <w:rPr>
          <w:bCs/>
          <w:sz w:val="20"/>
          <w:szCs w:val="20"/>
          <w:lang w:val="es-ES_tradnl"/>
        </w:rPr>
        <w:t>.</w:t>
      </w:r>
      <w:r w:rsidR="00737E5A" w:rsidRPr="0058434D">
        <w:rPr>
          <w:bCs/>
          <w:sz w:val="20"/>
          <w:szCs w:val="20"/>
          <w:lang w:val="es-ES_tradnl"/>
        </w:rPr>
        <w:t xml:space="preserve"> </w:t>
      </w:r>
    </w:p>
    <w:p w14:paraId="3946CEB7" w14:textId="14DF1B30" w:rsidR="009E5564" w:rsidRPr="0058434D" w:rsidRDefault="00DC520C" w:rsidP="009E5564">
      <w:pPr>
        <w:pStyle w:val="ListParagraph"/>
        <w:numPr>
          <w:ilvl w:val="0"/>
          <w:numId w:val="56"/>
        </w:numPr>
        <w:spacing w:before="240" w:after="240"/>
        <w:ind w:left="142" w:firstLine="567"/>
        <w:jc w:val="both"/>
        <w:rPr>
          <w:bCs/>
          <w:color w:val="auto"/>
          <w:sz w:val="20"/>
          <w:szCs w:val="20"/>
          <w:lang w:val="es-ES_tradnl"/>
        </w:rPr>
      </w:pPr>
      <w:r w:rsidRPr="0058434D">
        <w:rPr>
          <w:bCs/>
          <w:sz w:val="20"/>
          <w:szCs w:val="20"/>
          <w:lang w:val="es-ES_tradnl"/>
        </w:rPr>
        <w:t>Las presuntas víctimas</w:t>
      </w:r>
      <w:r w:rsidR="00C33714" w:rsidRPr="0058434D">
        <w:rPr>
          <w:bCs/>
          <w:sz w:val="20"/>
          <w:szCs w:val="20"/>
          <w:lang w:val="es-ES_tradnl"/>
        </w:rPr>
        <w:t xml:space="preserve"> indican que</w:t>
      </w:r>
      <w:r w:rsidRPr="0058434D">
        <w:rPr>
          <w:bCs/>
          <w:sz w:val="20"/>
          <w:szCs w:val="20"/>
          <w:lang w:val="es-ES_tradnl"/>
        </w:rPr>
        <w:t xml:space="preserve"> </w:t>
      </w:r>
      <w:r w:rsidR="006A0CE8" w:rsidRPr="0058434D">
        <w:rPr>
          <w:bCs/>
          <w:sz w:val="20"/>
          <w:szCs w:val="20"/>
          <w:lang w:val="es-ES_tradnl"/>
        </w:rPr>
        <w:t>realizaron</w:t>
      </w:r>
      <w:r w:rsidRPr="0058434D">
        <w:rPr>
          <w:bCs/>
          <w:sz w:val="20"/>
          <w:szCs w:val="20"/>
          <w:lang w:val="es-ES_tradnl"/>
        </w:rPr>
        <w:t xml:space="preserve"> </w:t>
      </w:r>
      <w:r w:rsidR="00C33714" w:rsidRPr="0058434D">
        <w:rPr>
          <w:bCs/>
          <w:sz w:val="20"/>
          <w:szCs w:val="20"/>
          <w:lang w:val="es-ES_tradnl"/>
        </w:rPr>
        <w:t>“</w:t>
      </w:r>
      <w:r w:rsidR="009E5564" w:rsidRPr="0058434D">
        <w:rPr>
          <w:bCs/>
          <w:i/>
          <w:iCs/>
          <w:sz w:val="20"/>
          <w:szCs w:val="20"/>
          <w:lang w:val="es-ES_tradnl"/>
        </w:rPr>
        <w:t xml:space="preserve">pagarés </w:t>
      </w:r>
      <w:r w:rsidRPr="0058434D">
        <w:rPr>
          <w:bCs/>
          <w:i/>
          <w:iCs/>
          <w:sz w:val="20"/>
          <w:szCs w:val="20"/>
          <w:lang w:val="es-ES_tradnl"/>
        </w:rPr>
        <w:t>a plazo fijo</w:t>
      </w:r>
      <w:r w:rsidR="00C33714" w:rsidRPr="0058434D">
        <w:rPr>
          <w:bCs/>
          <w:sz w:val="20"/>
          <w:szCs w:val="20"/>
          <w:lang w:val="es-ES_tradnl"/>
        </w:rPr>
        <w:t>”</w:t>
      </w:r>
      <w:r w:rsidR="00306A07" w:rsidRPr="0058434D">
        <w:rPr>
          <w:bCs/>
          <w:sz w:val="20"/>
          <w:szCs w:val="20"/>
          <w:lang w:val="es-ES_tradnl"/>
        </w:rPr>
        <w:t xml:space="preserve"> </w:t>
      </w:r>
      <w:r w:rsidR="009E5564" w:rsidRPr="0058434D">
        <w:rPr>
          <w:bCs/>
          <w:i/>
          <w:iCs/>
          <w:sz w:val="20"/>
          <w:szCs w:val="20"/>
          <w:lang w:val="es-ES_tradnl"/>
        </w:rPr>
        <w:t>“</w:t>
      </w:r>
      <w:r w:rsidR="00306A07" w:rsidRPr="0058434D">
        <w:rPr>
          <w:bCs/>
          <w:i/>
          <w:iCs/>
          <w:sz w:val="20"/>
          <w:szCs w:val="20"/>
          <w:lang w:val="es-ES_tradnl"/>
        </w:rPr>
        <w:t>por más de ocho años</w:t>
      </w:r>
      <w:r w:rsidR="009E5564" w:rsidRPr="0058434D">
        <w:rPr>
          <w:bCs/>
          <w:i/>
          <w:iCs/>
          <w:sz w:val="20"/>
          <w:szCs w:val="20"/>
          <w:lang w:val="es-ES_tradnl"/>
        </w:rPr>
        <w:t>”</w:t>
      </w:r>
      <w:r w:rsidR="009E5564" w:rsidRPr="0058434D">
        <w:rPr>
          <w:bCs/>
          <w:sz w:val="20"/>
          <w:szCs w:val="20"/>
          <w:lang w:val="es-ES_tradnl"/>
        </w:rPr>
        <w:t xml:space="preserve"> </w:t>
      </w:r>
      <w:r w:rsidR="00A20646" w:rsidRPr="0058434D">
        <w:rPr>
          <w:bCs/>
          <w:sz w:val="20"/>
          <w:szCs w:val="20"/>
          <w:lang w:val="es-ES_tradnl"/>
        </w:rPr>
        <w:t xml:space="preserve">–sin aportar mayores detalles sobre en qué consistían estas transacciones– </w:t>
      </w:r>
      <w:r w:rsidR="009E5564" w:rsidRPr="0058434D">
        <w:rPr>
          <w:bCs/>
          <w:sz w:val="20"/>
          <w:szCs w:val="20"/>
          <w:lang w:val="es-ES_tradnl"/>
        </w:rPr>
        <w:t>a VIPASA</w:t>
      </w:r>
      <w:r w:rsidR="009E5564" w:rsidRPr="0058434D">
        <w:rPr>
          <w:rStyle w:val="FootnoteReference"/>
          <w:bCs/>
          <w:sz w:val="20"/>
          <w:szCs w:val="20"/>
          <w:lang w:val="es-ES_tradnl"/>
        </w:rPr>
        <w:footnoteReference w:id="7"/>
      </w:r>
      <w:r w:rsidR="009E5564" w:rsidRPr="0058434D">
        <w:rPr>
          <w:bCs/>
          <w:sz w:val="20"/>
          <w:szCs w:val="20"/>
          <w:lang w:val="es-ES_tradnl"/>
        </w:rPr>
        <w:t xml:space="preserve"> luego de ser persuadidos por una asesora de ventas de BANCAFE, quien les aseguró que su relación contractual era con </w:t>
      </w:r>
      <w:r w:rsidR="00F677EC" w:rsidRPr="0058434D">
        <w:rPr>
          <w:bCs/>
          <w:sz w:val="20"/>
          <w:szCs w:val="20"/>
          <w:lang w:val="es-ES_tradnl"/>
        </w:rPr>
        <w:t>dicho banco</w:t>
      </w:r>
      <w:r w:rsidR="009E5564" w:rsidRPr="0058434D">
        <w:rPr>
          <w:bCs/>
          <w:i/>
          <w:iCs/>
          <w:sz w:val="20"/>
          <w:szCs w:val="20"/>
          <w:lang w:val="es-ES_tradnl"/>
        </w:rPr>
        <w:t>,</w:t>
      </w:r>
      <w:r w:rsidR="009E5564" w:rsidRPr="0058434D">
        <w:rPr>
          <w:bCs/>
          <w:sz w:val="20"/>
          <w:szCs w:val="20"/>
          <w:lang w:val="es-ES_tradnl"/>
        </w:rPr>
        <w:t xml:space="preserve"> más nunca se les indicó que su dinero sería invertido o trasladado al exterior. La parte peticionaria refiere seis fechas específicas en que se hicieron los pagarés, a saber: 4 de mayo de 2005, 4 de octubre de 2005, 9 de noviembre de 2005, 26 de enero de 2006, 26 de mayo de 2006 y 5 de junio de 2006. El total de las sumas entregadas fue de </w:t>
      </w:r>
      <w:r w:rsidR="00415801" w:rsidRPr="0058434D">
        <w:rPr>
          <w:bCs/>
          <w:sz w:val="20"/>
          <w:szCs w:val="20"/>
          <w:lang w:val="es-ES_tradnl"/>
        </w:rPr>
        <w:t xml:space="preserve">750,000 </w:t>
      </w:r>
      <w:r w:rsidR="009E5564" w:rsidRPr="0058434D">
        <w:rPr>
          <w:bCs/>
          <w:sz w:val="20"/>
          <w:szCs w:val="20"/>
          <w:lang w:val="es-ES_tradnl"/>
        </w:rPr>
        <w:t>Quetzales</w:t>
      </w:r>
      <w:r w:rsidR="009E5564" w:rsidRPr="0058434D">
        <w:rPr>
          <w:rStyle w:val="FootnoteReference"/>
          <w:bCs/>
          <w:sz w:val="20"/>
          <w:szCs w:val="20"/>
          <w:lang w:val="es-ES_tradnl"/>
        </w:rPr>
        <w:footnoteReference w:id="8"/>
      </w:r>
      <w:r w:rsidR="009E5564" w:rsidRPr="0058434D">
        <w:rPr>
          <w:bCs/>
          <w:sz w:val="20"/>
          <w:szCs w:val="20"/>
          <w:lang w:val="es-ES_tradnl"/>
        </w:rPr>
        <w:t xml:space="preserve"> (alrededor de </w:t>
      </w:r>
      <w:r w:rsidR="00415801" w:rsidRPr="0058434D">
        <w:rPr>
          <w:bCs/>
          <w:sz w:val="20"/>
          <w:szCs w:val="20"/>
          <w:lang w:val="es-ES_tradnl"/>
        </w:rPr>
        <w:t>96,000</w:t>
      </w:r>
      <w:r w:rsidR="009E5564" w:rsidRPr="0058434D">
        <w:rPr>
          <w:bCs/>
          <w:sz w:val="20"/>
          <w:szCs w:val="20"/>
          <w:lang w:val="es-ES_tradnl"/>
        </w:rPr>
        <w:t xml:space="preserve"> dólares). </w:t>
      </w:r>
      <w:r w:rsidR="006A0CE8" w:rsidRPr="0058434D">
        <w:rPr>
          <w:bCs/>
          <w:sz w:val="20"/>
          <w:szCs w:val="20"/>
          <w:lang w:val="es-ES_tradnl"/>
        </w:rPr>
        <w:t xml:space="preserve"> </w:t>
      </w:r>
      <w:r w:rsidR="00614362" w:rsidRPr="0058434D">
        <w:rPr>
          <w:bCs/>
          <w:sz w:val="20"/>
          <w:szCs w:val="20"/>
          <w:lang w:val="es-ES_tradnl"/>
        </w:rPr>
        <w:t xml:space="preserve">BANCAFE era quien emitía los cheques </w:t>
      </w:r>
      <w:r w:rsidR="00121342" w:rsidRPr="0058434D">
        <w:rPr>
          <w:bCs/>
          <w:sz w:val="20"/>
          <w:szCs w:val="20"/>
          <w:lang w:val="es-ES_tradnl"/>
        </w:rPr>
        <w:t>a las presuntas víctimas con los</w:t>
      </w:r>
      <w:r w:rsidR="00614362" w:rsidRPr="0058434D">
        <w:rPr>
          <w:bCs/>
          <w:sz w:val="20"/>
          <w:szCs w:val="20"/>
          <w:lang w:val="es-ES_tradnl"/>
        </w:rPr>
        <w:t xml:space="preserve"> intereses</w:t>
      </w:r>
      <w:r w:rsidR="00121342" w:rsidRPr="0058434D">
        <w:rPr>
          <w:bCs/>
          <w:sz w:val="20"/>
          <w:szCs w:val="20"/>
          <w:lang w:val="es-ES_tradnl"/>
        </w:rPr>
        <w:t xml:space="preserve"> obtenidos sobre</w:t>
      </w:r>
      <w:r w:rsidR="00614362" w:rsidRPr="0058434D">
        <w:rPr>
          <w:bCs/>
          <w:sz w:val="20"/>
          <w:szCs w:val="20"/>
          <w:lang w:val="es-ES_tradnl"/>
        </w:rPr>
        <w:t xml:space="preserve"> los pagarés</w:t>
      </w:r>
      <w:r w:rsidR="00121342" w:rsidRPr="0058434D">
        <w:rPr>
          <w:bCs/>
          <w:sz w:val="20"/>
          <w:szCs w:val="20"/>
          <w:lang w:val="es-ES_tradnl"/>
        </w:rPr>
        <w:t>;</w:t>
      </w:r>
      <w:r w:rsidR="00614362" w:rsidRPr="0058434D">
        <w:rPr>
          <w:bCs/>
          <w:sz w:val="20"/>
          <w:szCs w:val="20"/>
          <w:lang w:val="es-ES_tradnl"/>
        </w:rPr>
        <w:t xml:space="preserve"> </w:t>
      </w:r>
      <w:r w:rsidR="00121342" w:rsidRPr="0058434D">
        <w:rPr>
          <w:bCs/>
          <w:sz w:val="20"/>
          <w:szCs w:val="20"/>
          <w:lang w:val="es-ES_tradnl"/>
        </w:rPr>
        <w:t>la parte peticionaria</w:t>
      </w:r>
      <w:r w:rsidR="00614362" w:rsidRPr="0058434D">
        <w:rPr>
          <w:bCs/>
          <w:sz w:val="20"/>
          <w:szCs w:val="20"/>
          <w:lang w:val="es-ES_tradnl"/>
        </w:rPr>
        <w:t xml:space="preserve"> resalta que sobre estos intereses pagaban impuestos</w:t>
      </w:r>
      <w:r w:rsidR="00121342" w:rsidRPr="0058434D">
        <w:rPr>
          <w:bCs/>
          <w:sz w:val="20"/>
          <w:szCs w:val="20"/>
          <w:lang w:val="es-ES_tradnl"/>
        </w:rPr>
        <w:t xml:space="preserve"> al Estado</w:t>
      </w:r>
      <w:r w:rsidR="00614362" w:rsidRPr="0058434D">
        <w:rPr>
          <w:bCs/>
          <w:sz w:val="20"/>
          <w:szCs w:val="20"/>
          <w:lang w:val="es-ES_tradnl"/>
        </w:rPr>
        <w:t xml:space="preserve">. </w:t>
      </w:r>
    </w:p>
    <w:p w14:paraId="658B3DC2" w14:textId="7FCE35CE" w:rsidR="00882D28" w:rsidRPr="0058434D" w:rsidRDefault="00DC520C" w:rsidP="009E5564">
      <w:pPr>
        <w:pStyle w:val="ListParagraph"/>
        <w:numPr>
          <w:ilvl w:val="0"/>
          <w:numId w:val="56"/>
        </w:numPr>
        <w:spacing w:before="240" w:after="240"/>
        <w:ind w:left="142" w:firstLine="567"/>
        <w:jc w:val="both"/>
        <w:rPr>
          <w:bCs/>
          <w:color w:val="auto"/>
          <w:sz w:val="20"/>
          <w:szCs w:val="20"/>
          <w:lang w:val="es-ES_tradnl"/>
        </w:rPr>
      </w:pPr>
      <w:r w:rsidRPr="0058434D">
        <w:rPr>
          <w:bCs/>
          <w:sz w:val="20"/>
          <w:szCs w:val="20"/>
          <w:lang w:val="es-ES_tradnl"/>
        </w:rPr>
        <w:t>Luego del vencimiento de los pagarés</w:t>
      </w:r>
      <w:r w:rsidR="00614362" w:rsidRPr="0058434D">
        <w:rPr>
          <w:bCs/>
          <w:sz w:val="20"/>
          <w:szCs w:val="20"/>
          <w:lang w:val="es-ES_tradnl"/>
        </w:rPr>
        <w:t xml:space="preserve"> </w:t>
      </w:r>
      <w:r w:rsidR="00674878" w:rsidRPr="0058434D">
        <w:rPr>
          <w:bCs/>
          <w:sz w:val="20"/>
          <w:szCs w:val="20"/>
          <w:lang w:val="es-ES_tradnl"/>
        </w:rPr>
        <w:t>–</w:t>
      </w:r>
      <w:r w:rsidR="00614362" w:rsidRPr="0058434D">
        <w:rPr>
          <w:bCs/>
          <w:sz w:val="20"/>
          <w:szCs w:val="20"/>
          <w:lang w:val="es-ES_tradnl"/>
        </w:rPr>
        <w:t>no indican</w:t>
      </w:r>
      <w:r w:rsidR="00674878" w:rsidRPr="0058434D">
        <w:rPr>
          <w:bCs/>
          <w:sz w:val="20"/>
          <w:szCs w:val="20"/>
          <w:lang w:val="es-ES_tradnl"/>
        </w:rPr>
        <w:t xml:space="preserve"> la fecha exacta–</w:t>
      </w:r>
      <w:r w:rsidR="00A4670B" w:rsidRPr="0058434D">
        <w:rPr>
          <w:bCs/>
          <w:sz w:val="20"/>
          <w:szCs w:val="20"/>
          <w:lang w:val="es-ES_tradnl"/>
        </w:rPr>
        <w:t xml:space="preserve"> </w:t>
      </w:r>
      <w:r w:rsidRPr="0058434D">
        <w:rPr>
          <w:bCs/>
          <w:sz w:val="20"/>
          <w:szCs w:val="20"/>
          <w:lang w:val="es-ES_tradnl"/>
        </w:rPr>
        <w:t>las presuntas víctimas acudieron a la sede central de</w:t>
      </w:r>
      <w:r w:rsidR="009C1847" w:rsidRPr="0058434D">
        <w:rPr>
          <w:bCs/>
          <w:sz w:val="20"/>
          <w:szCs w:val="20"/>
          <w:lang w:val="es-ES_tradnl"/>
        </w:rPr>
        <w:t xml:space="preserve"> VIPASA</w:t>
      </w:r>
      <w:r w:rsidR="006A0CE8" w:rsidRPr="0058434D">
        <w:rPr>
          <w:bCs/>
          <w:sz w:val="20"/>
          <w:szCs w:val="20"/>
          <w:lang w:val="es-ES_tradnl"/>
        </w:rPr>
        <w:t xml:space="preserve"> (la cual físicamente se ubicaba </w:t>
      </w:r>
      <w:r w:rsidR="00614362" w:rsidRPr="0058434D">
        <w:rPr>
          <w:bCs/>
          <w:sz w:val="20"/>
          <w:szCs w:val="20"/>
          <w:lang w:val="es-ES_tradnl"/>
        </w:rPr>
        <w:t>en</w:t>
      </w:r>
      <w:r w:rsidR="006A0CE8" w:rsidRPr="0058434D">
        <w:rPr>
          <w:bCs/>
          <w:sz w:val="20"/>
          <w:szCs w:val="20"/>
          <w:lang w:val="es-ES_tradnl"/>
        </w:rPr>
        <w:t xml:space="preserve"> las instalaciones de </w:t>
      </w:r>
      <w:r w:rsidRPr="0058434D">
        <w:rPr>
          <w:bCs/>
          <w:sz w:val="20"/>
          <w:szCs w:val="20"/>
          <w:lang w:val="es-ES_tradnl"/>
        </w:rPr>
        <w:t>BANCAFE</w:t>
      </w:r>
      <w:r w:rsidR="006A0CE8" w:rsidRPr="0058434D">
        <w:rPr>
          <w:bCs/>
          <w:sz w:val="20"/>
          <w:szCs w:val="20"/>
          <w:lang w:val="es-ES_tradnl"/>
        </w:rPr>
        <w:t>)</w:t>
      </w:r>
      <w:r w:rsidRPr="0058434D">
        <w:rPr>
          <w:bCs/>
          <w:sz w:val="20"/>
          <w:szCs w:val="20"/>
          <w:lang w:val="es-ES_tradnl"/>
        </w:rPr>
        <w:t xml:space="preserve"> para cobrar el </w:t>
      </w:r>
      <w:r w:rsidRPr="0058434D">
        <w:rPr>
          <w:bCs/>
          <w:color w:val="auto"/>
          <w:sz w:val="20"/>
          <w:szCs w:val="20"/>
          <w:lang w:val="es-ES_tradnl"/>
        </w:rPr>
        <w:t>monto invertido con los intereses generados, pero narran que les contestaron con evasivas y excusas</w:t>
      </w:r>
      <w:r w:rsidR="00614362" w:rsidRPr="0058434D">
        <w:rPr>
          <w:bCs/>
          <w:color w:val="auto"/>
          <w:sz w:val="20"/>
          <w:szCs w:val="20"/>
          <w:lang w:val="es-ES_tradnl"/>
        </w:rPr>
        <w:t xml:space="preserve">, sin devolverles su dinero. </w:t>
      </w:r>
    </w:p>
    <w:p w14:paraId="6E277868" w14:textId="31955DCA" w:rsidR="003E119F" w:rsidRPr="0058434D" w:rsidRDefault="00121342">
      <w:pPr>
        <w:pStyle w:val="ListParagraph"/>
        <w:numPr>
          <w:ilvl w:val="0"/>
          <w:numId w:val="56"/>
        </w:numPr>
        <w:spacing w:before="240" w:after="240"/>
        <w:ind w:left="142" w:firstLine="567"/>
        <w:jc w:val="both"/>
        <w:rPr>
          <w:bCs/>
          <w:color w:val="FF0000"/>
          <w:sz w:val="20"/>
          <w:szCs w:val="20"/>
          <w:lang w:val="es-ES_tradnl"/>
        </w:rPr>
      </w:pPr>
      <w:r w:rsidRPr="0058434D">
        <w:rPr>
          <w:bCs/>
          <w:sz w:val="20"/>
          <w:szCs w:val="20"/>
          <w:lang w:val="es-ES_tradnl"/>
        </w:rPr>
        <w:t>Indican que BANCAFE fue ocupado por las autoridades el 19 de octubre de 2006</w:t>
      </w:r>
      <w:r w:rsidR="000F6B9A" w:rsidRPr="0058434D">
        <w:rPr>
          <w:bCs/>
          <w:sz w:val="20"/>
          <w:szCs w:val="20"/>
          <w:lang w:val="es-ES_tradnl"/>
        </w:rPr>
        <w:t xml:space="preserve"> por operaciones riesgosas que comprometieron los depósitos de sus clientes. E</w:t>
      </w:r>
      <w:r w:rsidR="0076413F" w:rsidRPr="0058434D">
        <w:rPr>
          <w:bCs/>
          <w:sz w:val="20"/>
          <w:szCs w:val="20"/>
          <w:lang w:val="es-ES_tradnl"/>
        </w:rPr>
        <w:t>l 27 de octubre de 2006</w:t>
      </w:r>
      <w:r w:rsidRPr="0058434D">
        <w:rPr>
          <w:bCs/>
          <w:sz w:val="20"/>
          <w:szCs w:val="20"/>
          <w:lang w:val="es-ES_tradnl"/>
        </w:rPr>
        <w:t>, el Superintendente de Bancos declaró que a VIPASA no se le tomaría en cuenta para la restitución de inversiones, alegando que no estaba registrada</w:t>
      </w:r>
      <w:r w:rsidR="00BE29B8" w:rsidRPr="0058434D">
        <w:rPr>
          <w:bCs/>
          <w:sz w:val="20"/>
          <w:szCs w:val="20"/>
          <w:lang w:val="es-ES_tradnl"/>
        </w:rPr>
        <w:t xml:space="preserve"> y que en la liquidación sólo se incluiría a los ahorristas del banco; por lo que los peticionarios quedaron excluidos de la</w:t>
      </w:r>
      <w:r w:rsidR="0011172F" w:rsidRPr="0058434D">
        <w:rPr>
          <w:bCs/>
          <w:sz w:val="20"/>
          <w:szCs w:val="20"/>
          <w:lang w:val="es-ES_tradnl"/>
        </w:rPr>
        <w:t xml:space="preserve"> eventual</w:t>
      </w:r>
      <w:r w:rsidR="00BE29B8" w:rsidRPr="0058434D">
        <w:rPr>
          <w:bCs/>
          <w:sz w:val="20"/>
          <w:szCs w:val="20"/>
          <w:lang w:val="es-ES_tradnl"/>
        </w:rPr>
        <w:t xml:space="preserve"> restitución de su dinero</w:t>
      </w:r>
      <w:r w:rsidRPr="0058434D">
        <w:rPr>
          <w:bCs/>
          <w:sz w:val="20"/>
          <w:szCs w:val="20"/>
          <w:lang w:val="es-ES_tradnl"/>
        </w:rPr>
        <w:t xml:space="preserve">. </w:t>
      </w:r>
      <w:r w:rsidR="00BE29B8" w:rsidRPr="0058434D">
        <w:rPr>
          <w:bCs/>
          <w:sz w:val="20"/>
          <w:szCs w:val="20"/>
          <w:lang w:val="es-ES_tradnl"/>
        </w:rPr>
        <w:t>La Superintendencia de Bancos (en adelante “SIB”)</w:t>
      </w:r>
      <w:r w:rsidR="00DE2B2F" w:rsidRPr="0058434D">
        <w:rPr>
          <w:bCs/>
          <w:sz w:val="20"/>
          <w:szCs w:val="20"/>
          <w:lang w:val="es-ES_tradnl"/>
        </w:rPr>
        <w:t xml:space="preserve"> </w:t>
      </w:r>
      <w:r w:rsidR="000A7843" w:rsidRPr="0058434D">
        <w:rPr>
          <w:bCs/>
          <w:sz w:val="20"/>
          <w:szCs w:val="20"/>
          <w:lang w:val="es-ES_tradnl"/>
        </w:rPr>
        <w:t>razonó</w:t>
      </w:r>
      <w:r w:rsidR="00DE2B2F" w:rsidRPr="0058434D">
        <w:rPr>
          <w:sz w:val="20"/>
          <w:szCs w:val="20"/>
          <w:lang w:val="es-ES_tradnl"/>
        </w:rPr>
        <w:t xml:space="preserve"> que VIPASA </w:t>
      </w:r>
      <w:r w:rsidR="00F240F7" w:rsidRPr="0058434D">
        <w:rPr>
          <w:i/>
          <w:iCs/>
          <w:sz w:val="20"/>
          <w:szCs w:val="20"/>
          <w:lang w:val="es-ES_tradnl"/>
        </w:rPr>
        <w:t xml:space="preserve">“no está ni ha sido autorizada por la Junta Monetaria para realizar operaciones de intermediación financiera en el país y no se encuentra sujeta a la vigilancia e inspección de </w:t>
      </w:r>
      <w:r w:rsidR="000F6B9A" w:rsidRPr="0058434D">
        <w:rPr>
          <w:i/>
          <w:iCs/>
          <w:sz w:val="20"/>
          <w:szCs w:val="20"/>
          <w:lang w:val="es-ES_tradnl"/>
        </w:rPr>
        <w:t>este</w:t>
      </w:r>
      <w:r w:rsidR="00F240F7" w:rsidRPr="0058434D">
        <w:rPr>
          <w:i/>
          <w:iCs/>
          <w:sz w:val="20"/>
          <w:szCs w:val="20"/>
          <w:lang w:val="es-ES_tradnl"/>
        </w:rPr>
        <w:t xml:space="preserve"> órgano de supervisión”</w:t>
      </w:r>
      <w:r w:rsidR="00F240F7" w:rsidRPr="0058434D">
        <w:rPr>
          <w:rStyle w:val="FootnoteReference"/>
          <w:sz w:val="20"/>
          <w:szCs w:val="20"/>
          <w:lang w:val="es-ES_tradnl"/>
        </w:rPr>
        <w:footnoteReference w:id="9"/>
      </w:r>
      <w:r w:rsidR="008A5913" w:rsidRPr="0058434D">
        <w:rPr>
          <w:sz w:val="20"/>
          <w:szCs w:val="20"/>
          <w:lang w:val="es-ES_tradnl"/>
        </w:rPr>
        <w:t>. A</w:t>
      </w:r>
      <w:r w:rsidR="00DE2B2F" w:rsidRPr="0058434D">
        <w:rPr>
          <w:bCs/>
          <w:sz w:val="20"/>
          <w:szCs w:val="20"/>
          <w:lang w:val="es-ES_tradnl"/>
        </w:rPr>
        <w:t xml:space="preserve"> juicio</w:t>
      </w:r>
      <w:r w:rsidR="00F240F7" w:rsidRPr="0058434D">
        <w:rPr>
          <w:bCs/>
          <w:sz w:val="20"/>
          <w:szCs w:val="20"/>
          <w:lang w:val="es-ES_tradnl"/>
        </w:rPr>
        <w:t xml:space="preserve"> de los peticionarios</w:t>
      </w:r>
      <w:r w:rsidR="00DE2B2F" w:rsidRPr="0058434D">
        <w:rPr>
          <w:bCs/>
          <w:sz w:val="20"/>
          <w:szCs w:val="20"/>
          <w:lang w:val="es-ES_tradnl"/>
        </w:rPr>
        <w:t xml:space="preserve">, </w:t>
      </w:r>
      <w:r w:rsidR="00567290" w:rsidRPr="0058434D">
        <w:rPr>
          <w:bCs/>
          <w:sz w:val="20"/>
          <w:szCs w:val="20"/>
          <w:lang w:val="es-ES_tradnl"/>
        </w:rPr>
        <w:t xml:space="preserve">la SIB </w:t>
      </w:r>
      <w:r w:rsidR="00DE2B2F" w:rsidRPr="0058434D">
        <w:rPr>
          <w:bCs/>
          <w:sz w:val="20"/>
          <w:szCs w:val="20"/>
          <w:lang w:val="es-ES_tradnl"/>
        </w:rPr>
        <w:t>no</w:t>
      </w:r>
      <w:r w:rsidR="00F76F7C" w:rsidRPr="0058434D">
        <w:rPr>
          <w:bCs/>
          <w:sz w:val="20"/>
          <w:szCs w:val="20"/>
          <w:lang w:val="es-ES_tradnl"/>
        </w:rPr>
        <w:t xml:space="preserve"> </w:t>
      </w:r>
      <w:r w:rsidR="00DE2B2F" w:rsidRPr="0058434D">
        <w:rPr>
          <w:bCs/>
          <w:sz w:val="20"/>
          <w:szCs w:val="20"/>
          <w:lang w:val="es-ES_tradnl"/>
        </w:rPr>
        <w:t>cumplió con sus obligaciones</w:t>
      </w:r>
      <w:r w:rsidR="0030292F" w:rsidRPr="0058434D">
        <w:rPr>
          <w:bCs/>
          <w:sz w:val="20"/>
          <w:szCs w:val="20"/>
          <w:lang w:val="es-ES_tradnl"/>
        </w:rPr>
        <w:t xml:space="preserve"> porque por años</w:t>
      </w:r>
      <w:r w:rsidR="008A5913" w:rsidRPr="0058434D">
        <w:rPr>
          <w:bCs/>
          <w:sz w:val="20"/>
          <w:szCs w:val="20"/>
          <w:lang w:val="es-ES_tradnl"/>
        </w:rPr>
        <w:t xml:space="preserve"> VIPASA</w:t>
      </w:r>
      <w:r w:rsidR="0030292F" w:rsidRPr="0058434D">
        <w:rPr>
          <w:bCs/>
          <w:sz w:val="20"/>
          <w:szCs w:val="20"/>
          <w:lang w:val="es-ES_tradnl"/>
        </w:rPr>
        <w:t xml:space="preserve"> actuó sin supervisión ni control,</w:t>
      </w:r>
      <w:r w:rsidR="00F76F7C" w:rsidRPr="0058434D">
        <w:rPr>
          <w:bCs/>
          <w:sz w:val="20"/>
          <w:szCs w:val="20"/>
          <w:lang w:val="es-ES_tradnl"/>
        </w:rPr>
        <w:t xml:space="preserve"> por lo que</w:t>
      </w:r>
      <w:r w:rsidR="00F250B6" w:rsidRPr="0058434D">
        <w:rPr>
          <w:bCs/>
          <w:sz w:val="20"/>
          <w:szCs w:val="20"/>
          <w:lang w:val="es-ES_tradnl"/>
        </w:rPr>
        <w:t>, a su juicio,</w:t>
      </w:r>
      <w:r w:rsidR="00F76F7C" w:rsidRPr="0058434D">
        <w:rPr>
          <w:bCs/>
          <w:sz w:val="20"/>
          <w:szCs w:val="20"/>
          <w:lang w:val="es-ES_tradnl"/>
        </w:rPr>
        <w:t xml:space="preserve"> el </w:t>
      </w:r>
      <w:r w:rsidR="00A955A9" w:rsidRPr="0058434D">
        <w:rPr>
          <w:bCs/>
          <w:sz w:val="20"/>
          <w:szCs w:val="20"/>
          <w:lang w:val="es-ES_tradnl"/>
        </w:rPr>
        <w:t>Estado no puede aducir que ignoraba cómo operaba BANCAFE en relación con VIPASA</w:t>
      </w:r>
      <w:r w:rsidR="0030292F" w:rsidRPr="0058434D">
        <w:rPr>
          <w:bCs/>
          <w:sz w:val="20"/>
          <w:szCs w:val="20"/>
          <w:lang w:val="es-ES_tradnl"/>
        </w:rPr>
        <w:t>.</w:t>
      </w:r>
      <w:r w:rsidR="008A5913" w:rsidRPr="0058434D">
        <w:rPr>
          <w:bCs/>
          <w:sz w:val="20"/>
          <w:szCs w:val="20"/>
          <w:lang w:val="es-ES_tradnl"/>
        </w:rPr>
        <w:t xml:space="preserve"> </w:t>
      </w:r>
    </w:p>
    <w:p w14:paraId="534796CD" w14:textId="50FE2F49" w:rsidR="00F435AC" w:rsidRPr="0058434D" w:rsidRDefault="008A5913" w:rsidP="00F435AC">
      <w:pPr>
        <w:pStyle w:val="ListParagraph"/>
        <w:numPr>
          <w:ilvl w:val="0"/>
          <w:numId w:val="56"/>
        </w:numPr>
        <w:spacing w:before="240" w:after="240"/>
        <w:ind w:left="142" w:firstLine="567"/>
        <w:jc w:val="both"/>
        <w:rPr>
          <w:bCs/>
          <w:sz w:val="20"/>
          <w:szCs w:val="20"/>
          <w:lang w:val="es-ES_tradnl"/>
        </w:rPr>
      </w:pPr>
      <w:r w:rsidRPr="0058434D">
        <w:rPr>
          <w:bCs/>
          <w:color w:val="auto"/>
          <w:sz w:val="20"/>
          <w:szCs w:val="20"/>
          <w:lang w:val="es-ES_tradnl"/>
        </w:rPr>
        <w:t>Como consecuencia de lo anterior</w:t>
      </w:r>
      <w:r w:rsidR="00BE29B8" w:rsidRPr="0058434D">
        <w:rPr>
          <w:bCs/>
          <w:color w:val="auto"/>
          <w:sz w:val="20"/>
          <w:szCs w:val="20"/>
          <w:lang w:val="es-ES_tradnl"/>
        </w:rPr>
        <w:t>, el 12 de enero de 2007</w:t>
      </w:r>
      <w:r w:rsidR="00FB7CC1" w:rsidRPr="0058434D">
        <w:rPr>
          <w:bCs/>
          <w:color w:val="auto"/>
          <w:sz w:val="20"/>
          <w:szCs w:val="20"/>
          <w:lang w:val="es-ES_tradnl"/>
        </w:rPr>
        <w:t>,</w:t>
      </w:r>
      <w:r w:rsidR="00BE29B8" w:rsidRPr="0058434D">
        <w:rPr>
          <w:bCs/>
          <w:color w:val="auto"/>
          <w:sz w:val="20"/>
          <w:szCs w:val="20"/>
          <w:lang w:val="es-ES_tradnl"/>
        </w:rPr>
        <w:t xml:space="preserve"> los peticionarios presentaron </w:t>
      </w:r>
      <w:r w:rsidR="008D3F77" w:rsidRPr="0058434D">
        <w:rPr>
          <w:bCs/>
          <w:color w:val="auto"/>
          <w:sz w:val="20"/>
          <w:szCs w:val="20"/>
          <w:lang w:val="es-ES_tradnl"/>
        </w:rPr>
        <w:t xml:space="preserve">una </w:t>
      </w:r>
      <w:r w:rsidR="00E473D7" w:rsidRPr="0058434D">
        <w:rPr>
          <w:bCs/>
          <w:color w:val="auto"/>
          <w:sz w:val="20"/>
          <w:szCs w:val="20"/>
          <w:lang w:val="es-ES_tradnl"/>
        </w:rPr>
        <w:t>querella ante el Juez de Primera Instancia Penal, Narcoactividad y Delitos contra el Ambiente del Departamento de Guatemala</w:t>
      </w:r>
      <w:r w:rsidR="00BE29B8" w:rsidRPr="0058434D">
        <w:rPr>
          <w:bCs/>
          <w:color w:val="auto"/>
          <w:sz w:val="20"/>
          <w:szCs w:val="20"/>
          <w:lang w:val="es-ES_tradnl"/>
        </w:rPr>
        <w:t>,</w:t>
      </w:r>
      <w:r w:rsidR="00176BC1" w:rsidRPr="0058434D">
        <w:rPr>
          <w:bCs/>
          <w:color w:val="auto"/>
          <w:sz w:val="20"/>
          <w:szCs w:val="20"/>
          <w:lang w:val="es-ES_tradnl"/>
        </w:rPr>
        <w:t xml:space="preserve"> </w:t>
      </w:r>
      <w:r w:rsidR="00E473D7" w:rsidRPr="0058434D">
        <w:rPr>
          <w:bCs/>
          <w:color w:val="auto"/>
          <w:sz w:val="20"/>
          <w:szCs w:val="20"/>
          <w:lang w:val="es-ES_tradnl"/>
        </w:rPr>
        <w:t>por los delitos de intermediación financiera, estafa propia continuada, apropiación y retención indebida continua</w:t>
      </w:r>
      <w:r w:rsidR="00176BC1" w:rsidRPr="0058434D">
        <w:rPr>
          <w:bCs/>
          <w:color w:val="auto"/>
          <w:sz w:val="20"/>
          <w:szCs w:val="20"/>
          <w:lang w:val="es-ES_tradnl"/>
        </w:rPr>
        <w:t xml:space="preserve">, contra VIPASA y BANCAFE. No obstante, los peticionarios señalan que no recibieron información alguna sobre este proceso, por lo que aducen –sin dar mayores detalles– que no </w:t>
      </w:r>
      <w:r w:rsidR="000F6B9A" w:rsidRPr="0058434D">
        <w:rPr>
          <w:bCs/>
          <w:color w:val="auto"/>
          <w:sz w:val="20"/>
          <w:szCs w:val="20"/>
          <w:lang w:val="es-ES_tradnl"/>
        </w:rPr>
        <w:t xml:space="preserve">se </w:t>
      </w:r>
      <w:r w:rsidR="00176BC1" w:rsidRPr="0058434D">
        <w:rPr>
          <w:bCs/>
          <w:color w:val="auto"/>
          <w:sz w:val="20"/>
          <w:szCs w:val="20"/>
          <w:lang w:val="es-ES_tradnl"/>
        </w:rPr>
        <w:t xml:space="preserve">ha tomado ninguna acción.  </w:t>
      </w:r>
    </w:p>
    <w:p w14:paraId="2501D4F8" w14:textId="4BBEC711" w:rsidR="00A472ED" w:rsidRPr="0058434D" w:rsidRDefault="00176BC1" w:rsidP="00A472ED">
      <w:pPr>
        <w:pStyle w:val="ListParagraph"/>
        <w:numPr>
          <w:ilvl w:val="0"/>
          <w:numId w:val="56"/>
        </w:numPr>
        <w:spacing w:before="240" w:after="240"/>
        <w:ind w:left="142" w:firstLine="567"/>
        <w:jc w:val="both"/>
        <w:rPr>
          <w:bCs/>
          <w:sz w:val="20"/>
          <w:szCs w:val="20"/>
          <w:lang w:val="es-ES_tradnl"/>
        </w:rPr>
      </w:pPr>
      <w:r w:rsidRPr="0058434D">
        <w:rPr>
          <w:bCs/>
          <w:sz w:val="20"/>
          <w:szCs w:val="20"/>
          <w:lang w:val="es-ES_tradnl"/>
        </w:rPr>
        <w:t>Además,</w:t>
      </w:r>
      <w:r w:rsidR="002B5AA7" w:rsidRPr="0058434D">
        <w:rPr>
          <w:bCs/>
          <w:sz w:val="20"/>
          <w:szCs w:val="20"/>
          <w:lang w:val="es-ES_tradnl"/>
        </w:rPr>
        <w:t xml:space="preserve"> los peticionarios </w:t>
      </w:r>
      <w:r w:rsidRPr="0058434D">
        <w:rPr>
          <w:bCs/>
          <w:sz w:val="20"/>
          <w:szCs w:val="20"/>
          <w:lang w:val="es-ES_tradnl"/>
        </w:rPr>
        <w:t>ponen</w:t>
      </w:r>
      <w:r w:rsidR="002B5AA7" w:rsidRPr="0058434D">
        <w:rPr>
          <w:bCs/>
          <w:sz w:val="20"/>
          <w:szCs w:val="20"/>
          <w:lang w:val="es-ES_tradnl"/>
        </w:rPr>
        <w:t xml:space="preserve"> de </w:t>
      </w:r>
      <w:r w:rsidRPr="0058434D">
        <w:rPr>
          <w:bCs/>
          <w:sz w:val="20"/>
          <w:szCs w:val="20"/>
          <w:lang w:val="es-ES_tradnl"/>
        </w:rPr>
        <w:t>presente</w:t>
      </w:r>
      <w:r w:rsidR="002B5AA7" w:rsidRPr="0058434D">
        <w:rPr>
          <w:bCs/>
          <w:sz w:val="20"/>
          <w:szCs w:val="20"/>
          <w:lang w:val="es-ES_tradnl"/>
        </w:rPr>
        <w:t xml:space="preserve"> que</w:t>
      </w:r>
      <w:r w:rsidR="00FB7CC1" w:rsidRPr="0058434D">
        <w:rPr>
          <w:bCs/>
          <w:sz w:val="20"/>
          <w:szCs w:val="20"/>
          <w:lang w:val="es-ES_tradnl"/>
        </w:rPr>
        <w:t>,</w:t>
      </w:r>
      <w:r w:rsidR="008A5913" w:rsidRPr="0058434D">
        <w:rPr>
          <w:bCs/>
          <w:sz w:val="20"/>
          <w:szCs w:val="20"/>
          <w:lang w:val="es-ES_tradnl"/>
        </w:rPr>
        <w:t xml:space="preserve"> e</w:t>
      </w:r>
      <w:r w:rsidR="00F435AC" w:rsidRPr="0058434D">
        <w:rPr>
          <w:bCs/>
          <w:sz w:val="20"/>
          <w:szCs w:val="20"/>
          <w:lang w:val="es-ES_tradnl"/>
        </w:rPr>
        <w:t>l 6 de febrero de 2007</w:t>
      </w:r>
      <w:r w:rsidR="00FB7CC1" w:rsidRPr="0058434D">
        <w:rPr>
          <w:bCs/>
          <w:sz w:val="20"/>
          <w:szCs w:val="20"/>
          <w:lang w:val="es-ES_tradnl"/>
        </w:rPr>
        <w:t>,</w:t>
      </w:r>
      <w:r w:rsidR="00F435AC" w:rsidRPr="0058434D">
        <w:rPr>
          <w:bCs/>
          <w:sz w:val="20"/>
          <w:szCs w:val="20"/>
          <w:lang w:val="es-ES_tradnl"/>
        </w:rPr>
        <w:t xml:space="preserve"> el Procurador de Derechos Humanos emitió un pronunciamiento </w:t>
      </w:r>
      <w:r w:rsidRPr="0058434D">
        <w:rPr>
          <w:bCs/>
          <w:sz w:val="20"/>
          <w:szCs w:val="20"/>
          <w:lang w:val="es-ES_tradnl"/>
        </w:rPr>
        <w:t>donde</w:t>
      </w:r>
      <w:r w:rsidR="002B5AA7" w:rsidRPr="0058434D">
        <w:rPr>
          <w:bCs/>
          <w:sz w:val="20"/>
          <w:szCs w:val="20"/>
          <w:lang w:val="es-ES_tradnl"/>
        </w:rPr>
        <w:t xml:space="preserve"> se</w:t>
      </w:r>
      <w:r w:rsidRPr="0058434D">
        <w:rPr>
          <w:bCs/>
          <w:sz w:val="20"/>
          <w:szCs w:val="20"/>
          <w:lang w:val="es-ES_tradnl"/>
        </w:rPr>
        <w:t xml:space="preserve"> </w:t>
      </w:r>
      <w:r w:rsidR="002B5AA7" w:rsidRPr="0058434D">
        <w:rPr>
          <w:bCs/>
          <w:sz w:val="20"/>
          <w:szCs w:val="20"/>
          <w:lang w:val="es-ES_tradnl"/>
        </w:rPr>
        <w:t xml:space="preserve">refirió a la </w:t>
      </w:r>
      <w:r w:rsidRPr="0058434D">
        <w:rPr>
          <w:bCs/>
          <w:sz w:val="20"/>
          <w:szCs w:val="20"/>
          <w:lang w:val="es-ES_tradnl"/>
        </w:rPr>
        <w:t>situación</w:t>
      </w:r>
      <w:r w:rsidR="002B5AA7" w:rsidRPr="0058434D">
        <w:rPr>
          <w:bCs/>
          <w:sz w:val="20"/>
          <w:szCs w:val="20"/>
          <w:lang w:val="es-ES_tradnl"/>
        </w:rPr>
        <w:t xml:space="preserve"> </w:t>
      </w:r>
      <w:r w:rsidR="00F677EC" w:rsidRPr="0058434D">
        <w:rPr>
          <w:bCs/>
          <w:sz w:val="20"/>
          <w:szCs w:val="20"/>
          <w:lang w:val="es-ES_tradnl"/>
        </w:rPr>
        <w:t xml:space="preserve">de </w:t>
      </w:r>
      <w:r w:rsidR="00A472ED" w:rsidRPr="0058434D">
        <w:rPr>
          <w:bCs/>
          <w:sz w:val="20"/>
          <w:szCs w:val="20"/>
          <w:lang w:val="es-ES_tradnl"/>
        </w:rPr>
        <w:t>los cuentahabientes de BANCAFE.  Dentro del documento</w:t>
      </w:r>
      <w:r w:rsidR="00F677EC" w:rsidRPr="0058434D">
        <w:rPr>
          <w:bCs/>
          <w:sz w:val="20"/>
          <w:szCs w:val="20"/>
          <w:lang w:val="es-ES_tradnl"/>
        </w:rPr>
        <w:t xml:space="preserve">, </w:t>
      </w:r>
      <w:r w:rsidR="00A472ED" w:rsidRPr="0058434D">
        <w:rPr>
          <w:bCs/>
          <w:sz w:val="20"/>
          <w:szCs w:val="20"/>
          <w:lang w:val="es-ES_tradnl"/>
        </w:rPr>
        <w:t xml:space="preserve">el Procurador indicó que hay nueve expedientes acumulados, el primero se abrió de oficio por la violación de los derechos económicos y sociales de los cuentahabientes, y los subsiguientes fueron </w:t>
      </w:r>
      <w:r w:rsidR="00A472ED" w:rsidRPr="0058434D">
        <w:rPr>
          <w:bCs/>
          <w:i/>
          <w:iCs/>
          <w:sz w:val="20"/>
          <w:szCs w:val="20"/>
          <w:lang w:val="es-ES_tradnl"/>
        </w:rPr>
        <w:t xml:space="preserve">“iniciados por denuncias formuladas por diversas personas quienes afirmaron haber </w:t>
      </w:r>
      <w:r w:rsidR="00A472ED" w:rsidRPr="0058434D">
        <w:rPr>
          <w:bCs/>
          <w:i/>
          <w:iCs/>
          <w:sz w:val="20"/>
          <w:szCs w:val="20"/>
          <w:lang w:val="es-ES_tradnl"/>
        </w:rPr>
        <w:lastRenderedPageBreak/>
        <w:t>realizado operaciones activas y pasivas - habiéndoles hecho creer que Banco del Café Sociedad Anónima respaldaba tales operaciones - con entidades vinculadas a este banco”</w:t>
      </w:r>
      <w:r w:rsidR="00A472ED" w:rsidRPr="0058434D">
        <w:rPr>
          <w:bCs/>
          <w:sz w:val="20"/>
          <w:szCs w:val="20"/>
          <w:lang w:val="es-ES_tradnl"/>
        </w:rPr>
        <w:t xml:space="preserve"> (incluyendo VIPASA). </w:t>
      </w:r>
    </w:p>
    <w:p w14:paraId="7B0DEA14" w14:textId="1002C6EA" w:rsidR="00A472ED" w:rsidRPr="0058434D" w:rsidRDefault="004A0BDC" w:rsidP="00CC2723">
      <w:pPr>
        <w:pStyle w:val="ListParagraph"/>
        <w:numPr>
          <w:ilvl w:val="0"/>
          <w:numId w:val="56"/>
        </w:numPr>
        <w:spacing w:before="240" w:after="240"/>
        <w:ind w:left="142" w:firstLine="567"/>
        <w:jc w:val="both"/>
        <w:rPr>
          <w:bCs/>
          <w:sz w:val="20"/>
          <w:szCs w:val="20"/>
          <w:lang w:val="es-ES_tradnl"/>
        </w:rPr>
      </w:pPr>
      <w:r w:rsidRPr="0058434D">
        <w:rPr>
          <w:bCs/>
          <w:sz w:val="20"/>
          <w:szCs w:val="20"/>
          <w:lang w:val="es-ES_tradnl"/>
        </w:rPr>
        <w:t xml:space="preserve">El Procurador de Derechos Humanos, en la página 3 y 4 del pronunciamiento, declaró </w:t>
      </w:r>
      <w:r w:rsidR="00A472ED" w:rsidRPr="0058434D">
        <w:rPr>
          <w:bCs/>
          <w:sz w:val="20"/>
          <w:szCs w:val="20"/>
          <w:lang w:val="es-ES_tradnl"/>
        </w:rPr>
        <w:t>que existieron violaciones a los derechos económicos y sociales de los clientes, usuarios e inversionistas de BANCAFE, tolerad</w:t>
      </w:r>
      <w:r w:rsidR="005C1208" w:rsidRPr="0058434D">
        <w:rPr>
          <w:bCs/>
          <w:sz w:val="20"/>
          <w:szCs w:val="20"/>
          <w:lang w:val="es-ES_tradnl"/>
        </w:rPr>
        <w:t>as</w:t>
      </w:r>
      <w:r w:rsidR="00A472ED" w:rsidRPr="0058434D">
        <w:rPr>
          <w:bCs/>
          <w:sz w:val="20"/>
          <w:szCs w:val="20"/>
          <w:lang w:val="es-ES_tradnl"/>
        </w:rPr>
        <w:t xml:space="preserve"> por el Estado a través de la SIB</w:t>
      </w:r>
      <w:r w:rsidRPr="0058434D">
        <w:rPr>
          <w:bCs/>
          <w:sz w:val="20"/>
          <w:szCs w:val="20"/>
          <w:lang w:val="es-ES_tradnl"/>
        </w:rPr>
        <w:t xml:space="preserve"> </w:t>
      </w:r>
      <w:r w:rsidR="00A472ED" w:rsidRPr="0058434D">
        <w:rPr>
          <w:bCs/>
          <w:sz w:val="20"/>
          <w:szCs w:val="20"/>
          <w:lang w:val="es-ES_tradnl"/>
        </w:rPr>
        <w:t>“</w:t>
      </w:r>
      <w:r w:rsidR="00A472ED" w:rsidRPr="0058434D">
        <w:rPr>
          <w:bCs/>
          <w:i/>
          <w:iCs/>
          <w:sz w:val="20"/>
          <w:szCs w:val="20"/>
          <w:lang w:val="es-ES_tradnl"/>
        </w:rPr>
        <w:t>al interpretar en forma restrictiva las facultades que la ley le confiere, omitió cumplir con eficacia las funciones de vigilancia e inspección que la misma ley le impone como una de sus principales tareas”</w:t>
      </w:r>
      <w:r w:rsidR="00A472ED" w:rsidRPr="0058434D">
        <w:rPr>
          <w:bCs/>
          <w:sz w:val="20"/>
          <w:szCs w:val="20"/>
          <w:lang w:val="es-ES_tradnl"/>
        </w:rPr>
        <w:t>. También consideró que “l</w:t>
      </w:r>
      <w:r w:rsidR="00A472ED" w:rsidRPr="0058434D">
        <w:rPr>
          <w:bCs/>
          <w:i/>
          <w:iCs/>
          <w:sz w:val="20"/>
          <w:szCs w:val="20"/>
          <w:lang w:val="es-ES_tradnl"/>
        </w:rPr>
        <w:t>a investigación oportuna, eficiente y eficaz […] hubiera permitido establecer que VIPASA integraba de hecho el referido grupo financiero y hacer a tiempo la declaración obligada”</w:t>
      </w:r>
      <w:r w:rsidR="00A472ED" w:rsidRPr="0058434D">
        <w:rPr>
          <w:bCs/>
          <w:sz w:val="20"/>
          <w:szCs w:val="20"/>
          <w:lang w:val="es-ES_tradnl"/>
        </w:rPr>
        <w:t>. Del mismo modo, señaló responsabilidad de BANCAFE y sus representantes, y que los órganos jurisdiccionales competentes deberían deducirles responsabilidades penales y civiles</w:t>
      </w:r>
      <w:r w:rsidR="00A472ED" w:rsidRPr="0058434D">
        <w:rPr>
          <w:bCs/>
          <w:i/>
          <w:iCs/>
          <w:sz w:val="20"/>
          <w:szCs w:val="20"/>
          <w:lang w:val="es-ES_tradnl"/>
        </w:rPr>
        <w:t xml:space="preserve">. </w:t>
      </w:r>
    </w:p>
    <w:p w14:paraId="2ECD2893" w14:textId="7ACDEE15" w:rsidR="005C763D" w:rsidRPr="0058434D" w:rsidRDefault="005F53C0" w:rsidP="005C763D">
      <w:pPr>
        <w:pStyle w:val="ListParagraph"/>
        <w:numPr>
          <w:ilvl w:val="0"/>
          <w:numId w:val="56"/>
        </w:numPr>
        <w:spacing w:before="240" w:after="240"/>
        <w:ind w:left="142" w:firstLine="567"/>
        <w:jc w:val="both"/>
        <w:rPr>
          <w:bCs/>
          <w:sz w:val="20"/>
          <w:szCs w:val="20"/>
          <w:lang w:val="es-ES_tradnl"/>
        </w:rPr>
      </w:pPr>
      <w:r w:rsidRPr="0058434D">
        <w:rPr>
          <w:bCs/>
          <w:sz w:val="20"/>
          <w:szCs w:val="20"/>
          <w:lang w:val="es-ES_tradnl"/>
        </w:rPr>
        <w:t>El Estado, en su respuesta, aporta el siguiente contexto sobre los hechos</w:t>
      </w:r>
    </w:p>
    <w:p w14:paraId="2D43950E" w14:textId="7C4ED304" w:rsidR="005C763D" w:rsidRPr="0058434D" w:rsidRDefault="009F1A8A" w:rsidP="001559F4">
      <w:pPr>
        <w:pStyle w:val="ListParagraph"/>
        <w:numPr>
          <w:ilvl w:val="0"/>
          <w:numId w:val="58"/>
        </w:numPr>
        <w:spacing w:before="240" w:after="240"/>
        <w:jc w:val="both"/>
        <w:rPr>
          <w:bCs/>
          <w:sz w:val="20"/>
          <w:szCs w:val="20"/>
          <w:lang w:val="es-ES_tradnl"/>
        </w:rPr>
      </w:pPr>
      <w:r w:rsidRPr="0058434D">
        <w:rPr>
          <w:bCs/>
          <w:sz w:val="20"/>
          <w:szCs w:val="20"/>
          <w:lang w:val="es-ES_tradnl"/>
        </w:rPr>
        <w:t xml:space="preserve">BANCAFE incumplió el plan de regularización aprobado por la SIB, por lo que </w:t>
      </w:r>
      <w:r w:rsidR="00E566BE" w:rsidRPr="0058434D">
        <w:rPr>
          <w:bCs/>
          <w:sz w:val="20"/>
          <w:szCs w:val="20"/>
          <w:lang w:val="es-ES_tradnl"/>
        </w:rPr>
        <w:t>en el informe 1752-2006 d</w:t>
      </w:r>
      <w:r w:rsidRPr="0058434D">
        <w:rPr>
          <w:bCs/>
          <w:sz w:val="20"/>
          <w:szCs w:val="20"/>
          <w:lang w:val="es-ES_tradnl"/>
        </w:rPr>
        <w:t>e</w:t>
      </w:r>
      <w:r w:rsidR="005C763D" w:rsidRPr="0058434D">
        <w:rPr>
          <w:bCs/>
          <w:sz w:val="20"/>
          <w:szCs w:val="20"/>
          <w:lang w:val="es-ES_tradnl"/>
        </w:rPr>
        <w:t>l 19 de octubre de 2006</w:t>
      </w:r>
      <w:r w:rsidR="00E566BE" w:rsidRPr="0058434D">
        <w:rPr>
          <w:bCs/>
          <w:sz w:val="20"/>
          <w:szCs w:val="20"/>
          <w:lang w:val="es-ES_tradnl"/>
        </w:rPr>
        <w:t>,</w:t>
      </w:r>
      <w:r w:rsidR="005C763D" w:rsidRPr="0058434D">
        <w:rPr>
          <w:bCs/>
          <w:sz w:val="20"/>
          <w:szCs w:val="20"/>
          <w:lang w:val="es-ES_tradnl"/>
        </w:rPr>
        <w:t xml:space="preserve"> la Superintendencia</w:t>
      </w:r>
      <w:r w:rsidRPr="0058434D">
        <w:rPr>
          <w:bCs/>
          <w:sz w:val="20"/>
          <w:szCs w:val="20"/>
          <w:lang w:val="es-ES_tradnl"/>
        </w:rPr>
        <w:t xml:space="preserve"> comunicó esta situación a </w:t>
      </w:r>
      <w:r w:rsidR="005C763D" w:rsidRPr="0058434D">
        <w:rPr>
          <w:bCs/>
          <w:sz w:val="20"/>
          <w:szCs w:val="20"/>
          <w:lang w:val="es-ES_tradnl"/>
        </w:rPr>
        <w:t>la Junta Monetaria. Así, e</w:t>
      </w:r>
      <w:r w:rsidR="00E566BE" w:rsidRPr="0058434D">
        <w:rPr>
          <w:bCs/>
          <w:sz w:val="20"/>
          <w:szCs w:val="20"/>
          <w:lang w:val="es-ES_tradnl"/>
        </w:rPr>
        <w:t>se mismo día</w:t>
      </w:r>
      <w:r w:rsidR="008C1F6E" w:rsidRPr="0058434D">
        <w:rPr>
          <w:bCs/>
          <w:sz w:val="20"/>
          <w:szCs w:val="20"/>
          <w:lang w:val="es-ES_tradnl"/>
        </w:rPr>
        <w:t>,</w:t>
      </w:r>
      <w:r w:rsidR="00E566BE" w:rsidRPr="0058434D">
        <w:rPr>
          <w:bCs/>
          <w:sz w:val="20"/>
          <w:szCs w:val="20"/>
          <w:lang w:val="es-ES_tradnl"/>
        </w:rPr>
        <w:t xml:space="preserve"> </w:t>
      </w:r>
      <w:r w:rsidR="005C763D" w:rsidRPr="0058434D">
        <w:rPr>
          <w:bCs/>
          <w:sz w:val="20"/>
          <w:szCs w:val="20"/>
          <w:lang w:val="es-ES_tradnl"/>
        </w:rPr>
        <w:t>la Junta Monetaria, en resolución JM-120-2006, decidió suspender las operaciones de BANCAFE y declar</w:t>
      </w:r>
      <w:r w:rsidR="00E566BE" w:rsidRPr="0058434D">
        <w:rPr>
          <w:bCs/>
          <w:sz w:val="20"/>
          <w:szCs w:val="20"/>
          <w:lang w:val="es-ES_tradnl"/>
        </w:rPr>
        <w:t>ó</w:t>
      </w:r>
      <w:r w:rsidR="005C763D" w:rsidRPr="0058434D">
        <w:rPr>
          <w:bCs/>
          <w:sz w:val="20"/>
          <w:szCs w:val="20"/>
          <w:lang w:val="es-ES_tradnl"/>
        </w:rPr>
        <w:t xml:space="preserve"> en suspenso los derechos que incorporan las acciones de dicho banco, además de separar a los directores y administradores de sus cargos.</w:t>
      </w:r>
    </w:p>
    <w:p w14:paraId="14BA1667" w14:textId="556C744F" w:rsidR="005C763D" w:rsidRPr="0058434D" w:rsidRDefault="000F6B9A" w:rsidP="005C763D">
      <w:pPr>
        <w:pStyle w:val="ListParagraph"/>
        <w:numPr>
          <w:ilvl w:val="0"/>
          <w:numId w:val="58"/>
        </w:numPr>
        <w:spacing w:before="240" w:after="240"/>
        <w:jc w:val="both"/>
        <w:rPr>
          <w:bCs/>
          <w:sz w:val="20"/>
          <w:szCs w:val="20"/>
          <w:lang w:val="es-ES_tradnl"/>
        </w:rPr>
      </w:pPr>
      <w:r w:rsidRPr="0058434D">
        <w:rPr>
          <w:bCs/>
          <w:sz w:val="20"/>
          <w:szCs w:val="20"/>
          <w:lang w:val="es-ES_tradnl"/>
        </w:rPr>
        <w:t>L</w:t>
      </w:r>
      <w:r w:rsidR="005C763D" w:rsidRPr="0058434D">
        <w:rPr>
          <w:bCs/>
          <w:sz w:val="20"/>
          <w:szCs w:val="20"/>
          <w:lang w:val="es-ES_tradnl"/>
        </w:rPr>
        <w:t>a SIB</w:t>
      </w:r>
      <w:r w:rsidRPr="0058434D">
        <w:rPr>
          <w:bCs/>
          <w:sz w:val="20"/>
          <w:szCs w:val="20"/>
          <w:lang w:val="es-ES_tradnl"/>
        </w:rPr>
        <w:t xml:space="preserve"> </w:t>
      </w:r>
      <w:r w:rsidR="005C763D" w:rsidRPr="0058434D">
        <w:rPr>
          <w:bCs/>
          <w:sz w:val="20"/>
          <w:szCs w:val="20"/>
          <w:lang w:val="es-ES_tradnl"/>
        </w:rPr>
        <w:t xml:space="preserve">en oficio 3601-2006 del 19 de octubre de 2006, elevó a la Junta Monetaria el informe 1763-2006 donde solicitó revocar la conformación del grupo financiero </w:t>
      </w:r>
      <w:r w:rsidR="005C763D" w:rsidRPr="0058434D">
        <w:rPr>
          <w:bCs/>
          <w:i/>
          <w:iCs/>
          <w:sz w:val="20"/>
          <w:szCs w:val="20"/>
          <w:lang w:val="es-ES_tradnl"/>
        </w:rPr>
        <w:t>Bancafé, Grupo Financiero del País</w:t>
      </w:r>
      <w:r w:rsidR="005C763D" w:rsidRPr="0058434D">
        <w:rPr>
          <w:bCs/>
          <w:sz w:val="20"/>
          <w:szCs w:val="20"/>
          <w:lang w:val="es-ES_tradnl"/>
        </w:rPr>
        <w:t xml:space="preserve"> y su estructura organizativa. La Junta Monetaria mediante resoluciones JM-122-2006 y JM-125-2006 del 19 y 23 de octubre de 2006 revocó la autorización de la conformación del mencionado grupo financiero y de su empresa responsable BANCAFE.</w:t>
      </w:r>
    </w:p>
    <w:p w14:paraId="41FA1880" w14:textId="37F966D6" w:rsidR="005C763D" w:rsidRPr="0058434D" w:rsidRDefault="000F6B9A" w:rsidP="00D621DC">
      <w:pPr>
        <w:pStyle w:val="ListParagraph"/>
        <w:numPr>
          <w:ilvl w:val="0"/>
          <w:numId w:val="58"/>
        </w:numPr>
        <w:spacing w:before="240" w:after="240"/>
        <w:jc w:val="both"/>
        <w:rPr>
          <w:bCs/>
          <w:sz w:val="20"/>
          <w:szCs w:val="20"/>
          <w:lang w:val="es-ES_tradnl"/>
        </w:rPr>
      </w:pPr>
      <w:r w:rsidRPr="0058434D">
        <w:rPr>
          <w:bCs/>
          <w:sz w:val="20"/>
          <w:szCs w:val="20"/>
          <w:lang w:val="es-ES_tradnl"/>
        </w:rPr>
        <w:t>Paralelamente, la</w:t>
      </w:r>
      <w:r w:rsidR="005C763D" w:rsidRPr="0058434D">
        <w:rPr>
          <w:bCs/>
          <w:sz w:val="20"/>
          <w:szCs w:val="20"/>
          <w:lang w:val="es-ES_tradnl"/>
        </w:rPr>
        <w:t xml:space="preserve"> SIB inició una auditoría forense</w:t>
      </w:r>
      <w:r w:rsidR="00E566BE" w:rsidRPr="0058434D">
        <w:rPr>
          <w:bCs/>
          <w:sz w:val="20"/>
          <w:szCs w:val="20"/>
          <w:lang w:val="es-ES_tradnl"/>
        </w:rPr>
        <w:t xml:space="preserve"> a BANCAFE</w:t>
      </w:r>
      <w:r w:rsidR="005C763D" w:rsidRPr="0058434D">
        <w:rPr>
          <w:bCs/>
          <w:sz w:val="20"/>
          <w:szCs w:val="20"/>
          <w:lang w:val="es-ES_tradnl"/>
        </w:rPr>
        <w:t xml:space="preserve"> y estableció la existencia de indicios de varios delitos. Encontró que VIPASA captó recursos del público por pagarés y notas de crédito para trasladarlas a terceros sin contar con una autorización</w:t>
      </w:r>
      <w:r w:rsidR="00D621DC" w:rsidRPr="0058434D">
        <w:rPr>
          <w:bCs/>
          <w:sz w:val="20"/>
          <w:szCs w:val="20"/>
          <w:lang w:val="es-ES_tradnl"/>
        </w:rPr>
        <w:t xml:space="preserve">. Así, la SIB interpuso </w:t>
      </w:r>
      <w:r w:rsidR="005C763D" w:rsidRPr="0058434D">
        <w:rPr>
          <w:bCs/>
          <w:sz w:val="20"/>
          <w:szCs w:val="20"/>
          <w:lang w:val="es-ES_tradnl"/>
        </w:rPr>
        <w:t>ante el Ministerio Público</w:t>
      </w:r>
      <w:r w:rsidR="00D621DC" w:rsidRPr="0058434D">
        <w:rPr>
          <w:bCs/>
          <w:sz w:val="20"/>
          <w:szCs w:val="20"/>
          <w:lang w:val="es-ES_tradnl"/>
        </w:rPr>
        <w:t xml:space="preserve"> dos denuncias</w:t>
      </w:r>
      <w:r w:rsidR="00621F7A" w:rsidRPr="0058434D">
        <w:rPr>
          <w:bCs/>
          <w:sz w:val="20"/>
          <w:szCs w:val="20"/>
          <w:lang w:val="es-ES_tradnl"/>
        </w:rPr>
        <w:t xml:space="preserve"> contra VIPASA</w:t>
      </w:r>
      <w:r w:rsidR="00D621DC" w:rsidRPr="0058434D">
        <w:rPr>
          <w:bCs/>
          <w:sz w:val="20"/>
          <w:szCs w:val="20"/>
          <w:lang w:val="es-ES_tradnl"/>
        </w:rPr>
        <w:t xml:space="preserve">: </w:t>
      </w:r>
      <w:r w:rsidR="005C763D" w:rsidRPr="0058434D">
        <w:rPr>
          <w:bCs/>
          <w:i/>
          <w:iCs/>
          <w:sz w:val="20"/>
          <w:szCs w:val="20"/>
          <w:lang w:val="es-ES_tradnl"/>
        </w:rPr>
        <w:t>i)</w:t>
      </w:r>
      <w:r w:rsidR="005C763D" w:rsidRPr="0058434D">
        <w:rPr>
          <w:bCs/>
          <w:sz w:val="20"/>
          <w:szCs w:val="20"/>
          <w:lang w:val="es-ES_tradnl"/>
        </w:rPr>
        <w:t xml:space="preserve"> el 27 de octubre de 2006 por el delito de intermediación financiera, ya que funcionaba en las instalaciones de BANCAFE </w:t>
      </w:r>
      <w:r w:rsidR="00621F7A" w:rsidRPr="0058434D">
        <w:rPr>
          <w:bCs/>
          <w:sz w:val="20"/>
          <w:szCs w:val="20"/>
          <w:lang w:val="es-ES_tradnl"/>
        </w:rPr>
        <w:t>sin autorización de</w:t>
      </w:r>
      <w:r w:rsidR="005C763D" w:rsidRPr="0058434D">
        <w:rPr>
          <w:bCs/>
          <w:sz w:val="20"/>
          <w:szCs w:val="20"/>
          <w:lang w:val="es-ES_tradnl"/>
        </w:rPr>
        <w:t xml:space="preserve"> la Junta Monetaria para realizar</w:t>
      </w:r>
      <w:r w:rsidR="00621F7A" w:rsidRPr="0058434D">
        <w:rPr>
          <w:bCs/>
          <w:sz w:val="20"/>
          <w:szCs w:val="20"/>
          <w:lang w:val="es-ES_tradnl"/>
        </w:rPr>
        <w:t xml:space="preserve"> actividades de captación y financiamientos</w:t>
      </w:r>
      <w:r w:rsidR="005C763D" w:rsidRPr="0058434D">
        <w:rPr>
          <w:bCs/>
          <w:sz w:val="20"/>
          <w:szCs w:val="20"/>
          <w:lang w:val="es-ES_tradnl"/>
        </w:rPr>
        <w:t xml:space="preserve"> en el país; </w:t>
      </w:r>
      <w:r w:rsidR="00CA757F" w:rsidRPr="0058434D">
        <w:rPr>
          <w:bCs/>
          <w:sz w:val="20"/>
          <w:szCs w:val="20"/>
          <w:lang w:val="es-ES_tradnl"/>
        </w:rPr>
        <w:t xml:space="preserve">y </w:t>
      </w:r>
      <w:r w:rsidR="005C763D" w:rsidRPr="0058434D">
        <w:rPr>
          <w:bCs/>
          <w:i/>
          <w:iCs/>
          <w:sz w:val="20"/>
          <w:szCs w:val="20"/>
          <w:lang w:val="es-ES_tradnl"/>
        </w:rPr>
        <w:t>ii)</w:t>
      </w:r>
      <w:r w:rsidR="005C763D" w:rsidRPr="0058434D">
        <w:rPr>
          <w:bCs/>
          <w:sz w:val="20"/>
          <w:szCs w:val="20"/>
          <w:lang w:val="es-ES_tradnl"/>
        </w:rPr>
        <w:t xml:space="preserve"> el 28 de noviembre de 2006</w:t>
      </w:r>
      <w:r w:rsidR="00621F7A" w:rsidRPr="0058434D">
        <w:rPr>
          <w:bCs/>
          <w:sz w:val="20"/>
          <w:szCs w:val="20"/>
          <w:lang w:val="es-ES_tradnl"/>
        </w:rPr>
        <w:t xml:space="preserve"> </w:t>
      </w:r>
      <w:r w:rsidR="005C763D" w:rsidRPr="0058434D">
        <w:rPr>
          <w:bCs/>
          <w:sz w:val="20"/>
          <w:szCs w:val="20"/>
          <w:lang w:val="es-ES_tradnl"/>
        </w:rPr>
        <w:t xml:space="preserve">por los delitos de estafa propia, caso especial de estafa y lavado de dinero u otros activos.   </w:t>
      </w:r>
    </w:p>
    <w:p w14:paraId="128E1DEC" w14:textId="58DEACF6" w:rsidR="005C763D" w:rsidRPr="0058434D" w:rsidRDefault="005C763D" w:rsidP="005C763D">
      <w:pPr>
        <w:pStyle w:val="ListParagraph"/>
        <w:numPr>
          <w:ilvl w:val="0"/>
          <w:numId w:val="58"/>
        </w:numPr>
        <w:spacing w:before="240" w:after="240"/>
        <w:jc w:val="both"/>
        <w:rPr>
          <w:bCs/>
          <w:sz w:val="20"/>
          <w:szCs w:val="20"/>
          <w:lang w:val="es-ES_tradnl"/>
        </w:rPr>
      </w:pPr>
      <w:r w:rsidRPr="0058434D">
        <w:rPr>
          <w:bCs/>
          <w:sz w:val="20"/>
          <w:szCs w:val="20"/>
          <w:lang w:val="es-ES_tradnl"/>
        </w:rPr>
        <w:t>Paralelamente, el 11 de diciembre de 2006</w:t>
      </w:r>
      <w:r w:rsidR="00CA757F" w:rsidRPr="0058434D">
        <w:rPr>
          <w:bCs/>
          <w:sz w:val="20"/>
          <w:szCs w:val="20"/>
          <w:lang w:val="es-ES_tradnl"/>
        </w:rPr>
        <w:t>,</w:t>
      </w:r>
      <w:r w:rsidRPr="0058434D">
        <w:rPr>
          <w:bCs/>
          <w:sz w:val="20"/>
          <w:szCs w:val="20"/>
          <w:lang w:val="es-ES_tradnl"/>
        </w:rPr>
        <w:t xml:space="preserve"> la SIB promovió ante el Juzgado Sexto de Primera Instancia del Ramo Civil del Departamento de Guatemala, providencias urgentes consistentes en el embargo y secuestro de los documentos legales, contables y financieros de VIPASA</w:t>
      </w:r>
      <w:r w:rsidR="006D7F02" w:rsidRPr="0058434D">
        <w:rPr>
          <w:bCs/>
          <w:sz w:val="20"/>
          <w:szCs w:val="20"/>
          <w:lang w:val="es-ES_tradnl"/>
        </w:rPr>
        <w:t xml:space="preserve"> y</w:t>
      </w:r>
      <w:r w:rsidRPr="0058434D">
        <w:rPr>
          <w:bCs/>
          <w:sz w:val="20"/>
          <w:szCs w:val="20"/>
          <w:lang w:val="es-ES_tradnl"/>
        </w:rPr>
        <w:t xml:space="preserve"> BANCAFE, </w:t>
      </w:r>
      <w:r w:rsidR="006D7F02" w:rsidRPr="0058434D">
        <w:rPr>
          <w:bCs/>
          <w:sz w:val="20"/>
          <w:szCs w:val="20"/>
          <w:lang w:val="es-ES_tradnl"/>
        </w:rPr>
        <w:t xml:space="preserve">así como de </w:t>
      </w:r>
      <w:r w:rsidRPr="0058434D">
        <w:rPr>
          <w:bCs/>
          <w:sz w:val="20"/>
          <w:szCs w:val="20"/>
          <w:lang w:val="es-ES_tradnl"/>
        </w:rPr>
        <w:t xml:space="preserve">sus accionistas, directores y funcionarios. Subsiguientemente, se procedió </w:t>
      </w:r>
      <w:r w:rsidR="008013AE" w:rsidRPr="0058434D">
        <w:rPr>
          <w:bCs/>
          <w:sz w:val="20"/>
          <w:szCs w:val="20"/>
          <w:lang w:val="es-ES_tradnl"/>
        </w:rPr>
        <w:t xml:space="preserve">a transmitir </w:t>
      </w:r>
      <w:r w:rsidRPr="0058434D">
        <w:rPr>
          <w:bCs/>
          <w:sz w:val="20"/>
          <w:szCs w:val="20"/>
          <w:lang w:val="es-ES_tradnl"/>
        </w:rPr>
        <w:t xml:space="preserve">los activos </w:t>
      </w:r>
      <w:r w:rsidR="006D7F02" w:rsidRPr="0058434D">
        <w:rPr>
          <w:bCs/>
          <w:sz w:val="20"/>
          <w:szCs w:val="20"/>
          <w:lang w:val="es-ES_tradnl"/>
        </w:rPr>
        <w:t>de BANCAFE</w:t>
      </w:r>
      <w:r w:rsidRPr="0058434D">
        <w:rPr>
          <w:bCs/>
          <w:sz w:val="20"/>
          <w:szCs w:val="20"/>
          <w:lang w:val="es-ES_tradnl"/>
        </w:rPr>
        <w:t xml:space="preserve"> al Fideicomiso de Administración y Realización de Activos Excluidos de</w:t>
      </w:r>
      <w:r w:rsidR="006D7F02" w:rsidRPr="0058434D">
        <w:rPr>
          <w:bCs/>
          <w:sz w:val="20"/>
          <w:szCs w:val="20"/>
          <w:lang w:val="es-ES_tradnl"/>
        </w:rPr>
        <w:t xml:space="preserve"> dicho banco</w:t>
      </w:r>
      <w:r w:rsidR="00F677EC" w:rsidRPr="0058434D">
        <w:rPr>
          <w:bCs/>
          <w:sz w:val="20"/>
          <w:szCs w:val="20"/>
          <w:lang w:val="es-ES_tradnl"/>
        </w:rPr>
        <w:t>,</w:t>
      </w:r>
      <w:r w:rsidR="006D7F02" w:rsidRPr="0058434D">
        <w:rPr>
          <w:bCs/>
          <w:sz w:val="20"/>
          <w:szCs w:val="20"/>
          <w:lang w:val="es-ES_tradnl"/>
        </w:rPr>
        <w:t xml:space="preserve"> </w:t>
      </w:r>
      <w:r w:rsidRPr="0058434D">
        <w:rPr>
          <w:bCs/>
          <w:sz w:val="20"/>
          <w:szCs w:val="20"/>
          <w:lang w:val="es-ES_tradnl"/>
        </w:rPr>
        <w:t xml:space="preserve">para permitir la disposición al público </w:t>
      </w:r>
      <w:r w:rsidR="00347F52" w:rsidRPr="0058434D">
        <w:rPr>
          <w:bCs/>
          <w:sz w:val="20"/>
          <w:szCs w:val="20"/>
          <w:lang w:val="es-ES_tradnl"/>
        </w:rPr>
        <w:t xml:space="preserve">de </w:t>
      </w:r>
      <w:r w:rsidRPr="0058434D">
        <w:rPr>
          <w:bCs/>
          <w:sz w:val="20"/>
          <w:szCs w:val="20"/>
          <w:lang w:val="es-ES_tradnl"/>
        </w:rPr>
        <w:t>los depósitos que tenía a su cargo BANCAFE.</w:t>
      </w:r>
    </w:p>
    <w:p w14:paraId="032C0733" w14:textId="29E2507B" w:rsidR="005C763D" w:rsidRPr="0058434D" w:rsidRDefault="005C763D" w:rsidP="00CE7F73">
      <w:pPr>
        <w:pStyle w:val="ListParagraph"/>
        <w:numPr>
          <w:ilvl w:val="0"/>
          <w:numId w:val="58"/>
        </w:numPr>
        <w:spacing w:before="240" w:after="240"/>
        <w:jc w:val="both"/>
        <w:rPr>
          <w:bCs/>
          <w:sz w:val="20"/>
          <w:szCs w:val="20"/>
          <w:lang w:val="es-ES_tradnl"/>
        </w:rPr>
      </w:pPr>
      <w:r w:rsidRPr="0058434D">
        <w:rPr>
          <w:bCs/>
          <w:sz w:val="20"/>
          <w:szCs w:val="20"/>
          <w:lang w:val="es-ES_tradnl"/>
        </w:rPr>
        <w:t>El 9 de enero de 2008 la SIB presentó solicitud de declaratoria de quiebra</w:t>
      </w:r>
      <w:r w:rsidR="00CE7F73" w:rsidRPr="0058434D">
        <w:rPr>
          <w:bCs/>
          <w:sz w:val="20"/>
          <w:szCs w:val="20"/>
          <w:lang w:val="es-ES_tradnl"/>
        </w:rPr>
        <w:t xml:space="preserve"> de BANCAFE,</w:t>
      </w:r>
      <w:r w:rsidRPr="0058434D">
        <w:rPr>
          <w:bCs/>
          <w:sz w:val="20"/>
          <w:szCs w:val="20"/>
          <w:lang w:val="es-ES_tradnl"/>
        </w:rPr>
        <w:t xml:space="preserve"> que fue admitida para su trámite por el Juzgado Cuarto de Primera Instancia del Ramo Civil del Departamento de Guatemala, mediante resolución del 10 de enero de 2008. </w:t>
      </w:r>
      <w:r w:rsidR="00CE7F73" w:rsidRPr="0058434D">
        <w:rPr>
          <w:bCs/>
          <w:sz w:val="20"/>
          <w:szCs w:val="20"/>
          <w:lang w:val="es-ES_tradnl"/>
        </w:rPr>
        <w:t>El Estado informa –sin los pormenores de lo ocurrido en el proceso por nueve años–</w:t>
      </w:r>
      <w:r w:rsidR="00830AAC" w:rsidRPr="0058434D">
        <w:rPr>
          <w:bCs/>
          <w:sz w:val="20"/>
          <w:szCs w:val="20"/>
          <w:lang w:val="es-ES_tradnl"/>
        </w:rPr>
        <w:t>,</w:t>
      </w:r>
      <w:r w:rsidR="00CE7F73" w:rsidRPr="0058434D">
        <w:rPr>
          <w:bCs/>
          <w:sz w:val="20"/>
          <w:szCs w:val="20"/>
          <w:lang w:val="es-ES_tradnl"/>
        </w:rPr>
        <w:t xml:space="preserve"> que</w:t>
      </w:r>
      <w:r w:rsidRPr="0058434D">
        <w:rPr>
          <w:bCs/>
          <w:sz w:val="20"/>
          <w:szCs w:val="20"/>
          <w:lang w:val="es-ES_tradnl"/>
        </w:rPr>
        <w:t xml:space="preserve"> el 25 de mayo de 2017 este juzgado emitió un auto en el que declaró </w:t>
      </w:r>
      <w:r w:rsidR="00CE7F73" w:rsidRPr="0058434D">
        <w:rPr>
          <w:bCs/>
          <w:sz w:val="20"/>
          <w:szCs w:val="20"/>
          <w:lang w:val="es-ES_tradnl"/>
        </w:rPr>
        <w:t xml:space="preserve">la quiebra </w:t>
      </w:r>
      <w:r w:rsidRPr="0058434D">
        <w:rPr>
          <w:bCs/>
          <w:sz w:val="20"/>
          <w:szCs w:val="20"/>
          <w:lang w:val="es-ES_tradnl"/>
        </w:rPr>
        <w:t xml:space="preserve">fraudulenta de BANCAFE, </w:t>
      </w:r>
      <w:r w:rsidR="00CE7F73" w:rsidRPr="0058434D">
        <w:rPr>
          <w:bCs/>
          <w:sz w:val="20"/>
          <w:szCs w:val="20"/>
          <w:lang w:val="es-ES_tradnl"/>
        </w:rPr>
        <w:t>remitiendo</w:t>
      </w:r>
      <w:r w:rsidRPr="0058434D">
        <w:rPr>
          <w:bCs/>
          <w:sz w:val="20"/>
          <w:szCs w:val="20"/>
          <w:lang w:val="es-ES_tradnl"/>
        </w:rPr>
        <w:t xml:space="preserve"> lo correspondiente al M</w:t>
      </w:r>
      <w:r w:rsidR="00CE7F73" w:rsidRPr="0058434D">
        <w:rPr>
          <w:bCs/>
          <w:sz w:val="20"/>
          <w:szCs w:val="20"/>
          <w:lang w:val="es-ES_tradnl"/>
        </w:rPr>
        <w:t>inisterio Público</w:t>
      </w:r>
      <w:r w:rsidRPr="0058434D">
        <w:rPr>
          <w:bCs/>
          <w:sz w:val="20"/>
          <w:szCs w:val="20"/>
          <w:lang w:val="es-ES_tradnl"/>
        </w:rPr>
        <w:t xml:space="preserve"> para la investigación penal.</w:t>
      </w:r>
    </w:p>
    <w:p w14:paraId="5073922D" w14:textId="308D73F0" w:rsidR="000F6E4A" w:rsidRPr="0058434D" w:rsidRDefault="00CE7F73">
      <w:pPr>
        <w:pStyle w:val="ListParagraph"/>
        <w:numPr>
          <w:ilvl w:val="0"/>
          <w:numId w:val="56"/>
        </w:numPr>
        <w:spacing w:before="240" w:after="240"/>
        <w:ind w:left="142" w:firstLine="567"/>
        <w:jc w:val="both"/>
        <w:rPr>
          <w:bCs/>
          <w:sz w:val="20"/>
          <w:szCs w:val="20"/>
          <w:lang w:val="es-ES_tradnl"/>
        </w:rPr>
      </w:pPr>
      <w:r w:rsidRPr="0058434D">
        <w:rPr>
          <w:bCs/>
          <w:sz w:val="20"/>
          <w:szCs w:val="20"/>
          <w:lang w:val="es-ES_tradnl"/>
        </w:rPr>
        <w:t>El</w:t>
      </w:r>
      <w:r w:rsidR="00AA43DE" w:rsidRPr="0058434D">
        <w:rPr>
          <w:bCs/>
          <w:sz w:val="20"/>
          <w:szCs w:val="20"/>
          <w:lang w:val="es-ES_tradnl"/>
        </w:rPr>
        <w:t xml:space="preserve"> Estado</w:t>
      </w:r>
      <w:r w:rsidR="00D04DCC" w:rsidRPr="0058434D">
        <w:rPr>
          <w:bCs/>
          <w:sz w:val="20"/>
          <w:szCs w:val="20"/>
          <w:lang w:val="es-ES_tradnl"/>
        </w:rPr>
        <w:t xml:space="preserve"> </w:t>
      </w:r>
      <w:r w:rsidR="002A56C9" w:rsidRPr="0058434D">
        <w:rPr>
          <w:bCs/>
          <w:sz w:val="20"/>
          <w:szCs w:val="20"/>
          <w:lang w:val="es-ES_tradnl"/>
        </w:rPr>
        <w:t xml:space="preserve">guatemalteco </w:t>
      </w:r>
      <w:r w:rsidR="00A72F3B" w:rsidRPr="0058434D">
        <w:rPr>
          <w:bCs/>
          <w:sz w:val="20"/>
          <w:szCs w:val="20"/>
          <w:lang w:val="es-ES_tradnl"/>
        </w:rPr>
        <w:t>considera que hay una serie de</w:t>
      </w:r>
      <w:r w:rsidR="00A72F3B" w:rsidRPr="0058434D">
        <w:rPr>
          <w:sz w:val="20"/>
          <w:szCs w:val="20"/>
          <w:lang w:val="es-ES_tradnl"/>
        </w:rPr>
        <w:t xml:space="preserve"> </w:t>
      </w:r>
      <w:r w:rsidR="00A72F3B" w:rsidRPr="0058434D">
        <w:rPr>
          <w:i/>
          <w:iCs/>
          <w:sz w:val="20"/>
          <w:szCs w:val="20"/>
          <w:lang w:val="es-ES_tradnl"/>
        </w:rPr>
        <w:t>“inconsistencias y falsedades en los argumentos de los peticionarios”</w:t>
      </w:r>
      <w:r w:rsidR="00830AAC" w:rsidRPr="0058434D">
        <w:rPr>
          <w:sz w:val="20"/>
          <w:szCs w:val="20"/>
          <w:lang w:val="es-ES_tradnl"/>
        </w:rPr>
        <w:t>;</w:t>
      </w:r>
      <w:r w:rsidR="00A72F3B" w:rsidRPr="0058434D">
        <w:rPr>
          <w:sz w:val="20"/>
          <w:szCs w:val="20"/>
          <w:lang w:val="es-ES_tradnl"/>
        </w:rPr>
        <w:t xml:space="preserve"> y pide que</w:t>
      </w:r>
      <w:r w:rsidR="00A72F3B" w:rsidRPr="0058434D">
        <w:rPr>
          <w:bCs/>
          <w:sz w:val="20"/>
          <w:szCs w:val="20"/>
          <w:lang w:val="es-ES_tradnl"/>
        </w:rPr>
        <w:t xml:space="preserve"> </w:t>
      </w:r>
      <w:r w:rsidR="000F6E4A" w:rsidRPr="0058434D">
        <w:rPr>
          <w:bCs/>
          <w:sz w:val="20"/>
          <w:szCs w:val="20"/>
          <w:lang w:val="es-ES_tradnl"/>
        </w:rPr>
        <w:t>la petición sea inadmitida por: a) falta de caracterización</w:t>
      </w:r>
      <w:r w:rsidR="00830AAC" w:rsidRPr="0058434D">
        <w:rPr>
          <w:bCs/>
          <w:sz w:val="20"/>
          <w:szCs w:val="20"/>
          <w:lang w:val="es-ES_tradnl"/>
        </w:rPr>
        <w:t>,</w:t>
      </w:r>
      <w:r w:rsidR="000F6E4A" w:rsidRPr="0058434D">
        <w:rPr>
          <w:bCs/>
          <w:sz w:val="20"/>
          <w:szCs w:val="20"/>
          <w:lang w:val="es-ES_tradnl"/>
        </w:rPr>
        <w:t xml:space="preserve"> </w:t>
      </w:r>
      <w:r w:rsidR="0008509C" w:rsidRPr="0058434D">
        <w:rPr>
          <w:bCs/>
          <w:sz w:val="20"/>
          <w:szCs w:val="20"/>
          <w:lang w:val="es-ES_tradnl"/>
        </w:rPr>
        <w:t>ya que las presuntas víctimas</w:t>
      </w:r>
      <w:r w:rsidR="000F6E4A" w:rsidRPr="0058434D">
        <w:rPr>
          <w:bCs/>
          <w:sz w:val="20"/>
          <w:szCs w:val="20"/>
          <w:lang w:val="es-ES_tradnl"/>
        </w:rPr>
        <w:t xml:space="preserve"> pretenden utilizar a la Comisión como una </w:t>
      </w:r>
      <w:r w:rsidR="000F6E4A" w:rsidRPr="0058434D">
        <w:rPr>
          <w:bCs/>
          <w:i/>
          <w:iCs/>
          <w:sz w:val="20"/>
          <w:szCs w:val="20"/>
          <w:lang w:val="es-ES_tradnl"/>
        </w:rPr>
        <w:t>“cuarta instancia”</w:t>
      </w:r>
      <w:r w:rsidR="000F6E4A" w:rsidRPr="0058434D">
        <w:rPr>
          <w:bCs/>
          <w:sz w:val="20"/>
          <w:szCs w:val="20"/>
          <w:lang w:val="es-ES_tradnl"/>
        </w:rPr>
        <w:t xml:space="preserve">; y b) </w:t>
      </w:r>
      <w:r w:rsidR="0008509C" w:rsidRPr="0058434D">
        <w:rPr>
          <w:bCs/>
          <w:sz w:val="20"/>
          <w:szCs w:val="20"/>
          <w:lang w:val="es-ES_tradnl"/>
        </w:rPr>
        <w:t>falta de agotamiento de</w:t>
      </w:r>
      <w:r w:rsidR="000F6E4A" w:rsidRPr="0058434D">
        <w:rPr>
          <w:bCs/>
          <w:sz w:val="20"/>
          <w:szCs w:val="20"/>
          <w:lang w:val="es-ES_tradnl"/>
        </w:rPr>
        <w:t xml:space="preserve"> recursos a nivel interno. </w:t>
      </w:r>
    </w:p>
    <w:p w14:paraId="1EC03CDE" w14:textId="70791E78" w:rsidR="008013AE" w:rsidRPr="0058434D" w:rsidRDefault="000F6E4A" w:rsidP="00B2793E">
      <w:pPr>
        <w:pStyle w:val="ListParagraph"/>
        <w:numPr>
          <w:ilvl w:val="0"/>
          <w:numId w:val="56"/>
        </w:numPr>
        <w:spacing w:before="240" w:after="240"/>
        <w:ind w:left="142" w:firstLine="567"/>
        <w:jc w:val="both"/>
        <w:rPr>
          <w:bCs/>
          <w:sz w:val="20"/>
          <w:szCs w:val="20"/>
          <w:lang w:val="es-ES_tradnl"/>
        </w:rPr>
      </w:pPr>
      <w:r w:rsidRPr="0058434D">
        <w:rPr>
          <w:bCs/>
          <w:sz w:val="20"/>
          <w:szCs w:val="20"/>
          <w:lang w:val="es-ES_tradnl"/>
        </w:rPr>
        <w:t xml:space="preserve">Sobre la </w:t>
      </w:r>
      <w:r w:rsidR="00830AAC" w:rsidRPr="0058434D">
        <w:rPr>
          <w:bCs/>
          <w:sz w:val="20"/>
          <w:szCs w:val="20"/>
          <w:lang w:val="es-ES_tradnl"/>
        </w:rPr>
        <w:t xml:space="preserve">alegada </w:t>
      </w:r>
      <w:r w:rsidRPr="0058434D">
        <w:rPr>
          <w:bCs/>
          <w:sz w:val="20"/>
          <w:szCs w:val="20"/>
          <w:lang w:val="es-ES_tradnl"/>
        </w:rPr>
        <w:t>falta de caracterización,</w:t>
      </w:r>
      <w:r w:rsidR="00A2546C" w:rsidRPr="0058434D">
        <w:rPr>
          <w:bCs/>
          <w:sz w:val="20"/>
          <w:szCs w:val="20"/>
          <w:lang w:val="es-ES_tradnl"/>
        </w:rPr>
        <w:t xml:space="preserve"> el Estado explica que la </w:t>
      </w:r>
      <w:r w:rsidR="00B02C08" w:rsidRPr="0058434D">
        <w:rPr>
          <w:bCs/>
          <w:sz w:val="20"/>
          <w:szCs w:val="20"/>
          <w:lang w:val="es-ES_tradnl"/>
        </w:rPr>
        <w:t>conformación de un grupo financiero debe ser autorizada por la Junta Monetaria</w:t>
      </w:r>
      <w:r w:rsidR="00B2793E" w:rsidRPr="0058434D">
        <w:rPr>
          <w:bCs/>
          <w:sz w:val="20"/>
          <w:szCs w:val="20"/>
          <w:lang w:val="es-ES_tradnl"/>
        </w:rPr>
        <w:t>,</w:t>
      </w:r>
      <w:r w:rsidR="00A2546C" w:rsidRPr="0058434D">
        <w:rPr>
          <w:bCs/>
          <w:sz w:val="20"/>
          <w:szCs w:val="20"/>
          <w:lang w:val="es-ES_tradnl"/>
        </w:rPr>
        <w:t xml:space="preserve"> y</w:t>
      </w:r>
      <w:r w:rsidR="00567290" w:rsidRPr="0058434D">
        <w:rPr>
          <w:bCs/>
          <w:sz w:val="20"/>
          <w:szCs w:val="20"/>
          <w:lang w:val="es-ES_tradnl"/>
        </w:rPr>
        <w:t xml:space="preserve"> una vez constituido, su </w:t>
      </w:r>
      <w:r w:rsidR="00B02C08" w:rsidRPr="0058434D">
        <w:rPr>
          <w:bCs/>
          <w:sz w:val="20"/>
          <w:szCs w:val="20"/>
          <w:lang w:val="es-ES_tradnl"/>
        </w:rPr>
        <w:t>vigilancia e inspección</w:t>
      </w:r>
      <w:r w:rsidR="00567290" w:rsidRPr="0058434D">
        <w:rPr>
          <w:bCs/>
          <w:sz w:val="20"/>
          <w:szCs w:val="20"/>
          <w:lang w:val="es-ES_tradnl"/>
        </w:rPr>
        <w:t xml:space="preserve"> recae </w:t>
      </w:r>
      <w:r w:rsidR="00567290" w:rsidRPr="0058434D">
        <w:rPr>
          <w:bCs/>
          <w:sz w:val="20"/>
          <w:szCs w:val="20"/>
          <w:lang w:val="es-ES_tradnl"/>
        </w:rPr>
        <w:lastRenderedPageBreak/>
        <w:t>en la Superintendencia</w:t>
      </w:r>
      <w:r w:rsidR="001E574D" w:rsidRPr="0058434D">
        <w:rPr>
          <w:bCs/>
          <w:sz w:val="20"/>
          <w:szCs w:val="20"/>
          <w:lang w:val="es-ES_tradnl"/>
        </w:rPr>
        <w:t xml:space="preserve">. </w:t>
      </w:r>
      <w:r w:rsidR="00A2546C" w:rsidRPr="0058434D">
        <w:rPr>
          <w:bCs/>
          <w:sz w:val="20"/>
          <w:szCs w:val="20"/>
          <w:lang w:val="es-ES_tradnl"/>
        </w:rPr>
        <w:t xml:space="preserve">Así, si bien BANCAFE </w:t>
      </w:r>
      <w:r w:rsidR="00B02C08" w:rsidRPr="0058434D">
        <w:rPr>
          <w:bCs/>
          <w:sz w:val="20"/>
          <w:szCs w:val="20"/>
          <w:lang w:val="es-ES_tradnl"/>
        </w:rPr>
        <w:t>fue autorizado por la Junta Monetaria con la resolución JM-159-2003 el 3 de diciembre de 2003</w:t>
      </w:r>
      <w:r w:rsidR="0065198A" w:rsidRPr="0058434D">
        <w:rPr>
          <w:bCs/>
          <w:sz w:val="20"/>
          <w:szCs w:val="20"/>
          <w:lang w:val="es-ES_tradnl"/>
        </w:rPr>
        <w:t>,</w:t>
      </w:r>
      <w:r w:rsidR="00B02C08" w:rsidRPr="0058434D">
        <w:rPr>
          <w:bCs/>
          <w:sz w:val="20"/>
          <w:szCs w:val="20"/>
          <w:lang w:val="es-ES_tradnl"/>
        </w:rPr>
        <w:t xml:space="preserve"> su estructura organizativa</w:t>
      </w:r>
      <w:r w:rsidR="00F435AC" w:rsidRPr="0058434D">
        <w:rPr>
          <w:bCs/>
          <w:sz w:val="20"/>
          <w:szCs w:val="20"/>
          <w:lang w:val="es-ES_tradnl"/>
        </w:rPr>
        <w:t xml:space="preserve"> no contemplaba a VIPASA, </w:t>
      </w:r>
      <w:r w:rsidR="00B02C08" w:rsidRPr="0058434D">
        <w:rPr>
          <w:bCs/>
          <w:sz w:val="20"/>
          <w:szCs w:val="20"/>
          <w:lang w:val="es-ES_tradnl"/>
        </w:rPr>
        <w:t>por lo que no estaba sujet</w:t>
      </w:r>
      <w:r w:rsidR="0065198A" w:rsidRPr="0058434D">
        <w:rPr>
          <w:bCs/>
          <w:sz w:val="20"/>
          <w:szCs w:val="20"/>
          <w:lang w:val="es-ES_tradnl"/>
        </w:rPr>
        <w:t>a</w:t>
      </w:r>
      <w:r w:rsidR="00B02C08" w:rsidRPr="0058434D">
        <w:rPr>
          <w:bCs/>
          <w:sz w:val="20"/>
          <w:szCs w:val="20"/>
          <w:lang w:val="es-ES_tradnl"/>
        </w:rPr>
        <w:t xml:space="preserve"> a la vigilancia e inspección de la SIB</w:t>
      </w:r>
      <w:r w:rsidR="00437E52" w:rsidRPr="0058434D">
        <w:rPr>
          <w:bCs/>
          <w:sz w:val="20"/>
          <w:szCs w:val="20"/>
          <w:lang w:val="es-ES_tradnl"/>
        </w:rPr>
        <w:t xml:space="preserve">. </w:t>
      </w:r>
      <w:r w:rsidR="00327EF0" w:rsidRPr="0058434D">
        <w:rPr>
          <w:bCs/>
          <w:sz w:val="20"/>
          <w:szCs w:val="20"/>
          <w:lang w:val="es-ES_tradnl"/>
        </w:rPr>
        <w:t>I</w:t>
      </w:r>
      <w:r w:rsidR="00437E52" w:rsidRPr="0058434D">
        <w:rPr>
          <w:bCs/>
          <w:sz w:val="20"/>
          <w:szCs w:val="20"/>
          <w:lang w:val="es-ES_tradnl"/>
        </w:rPr>
        <w:t xml:space="preserve">ndica </w:t>
      </w:r>
      <w:r w:rsidR="00A2546C" w:rsidRPr="0058434D">
        <w:rPr>
          <w:bCs/>
          <w:sz w:val="20"/>
          <w:szCs w:val="20"/>
          <w:lang w:val="es-ES_tradnl"/>
        </w:rPr>
        <w:t>que VIPASA es parte del sistema financiero informal, tutelado por leyes mercantiles</w:t>
      </w:r>
      <w:r w:rsidR="00B2793E" w:rsidRPr="0058434D">
        <w:rPr>
          <w:bCs/>
          <w:sz w:val="20"/>
          <w:szCs w:val="20"/>
          <w:lang w:val="es-ES_tradnl"/>
        </w:rPr>
        <w:t>,</w:t>
      </w:r>
      <w:r w:rsidR="00437E52" w:rsidRPr="0058434D">
        <w:rPr>
          <w:bCs/>
          <w:sz w:val="20"/>
          <w:szCs w:val="20"/>
          <w:lang w:val="es-ES_tradnl"/>
        </w:rPr>
        <w:t xml:space="preserve"> y que la figura de los pagarés está regulada por el Código de Comercio de Guatemala; por lo cual, </w:t>
      </w:r>
      <w:r w:rsidR="00A2546C" w:rsidRPr="0058434D">
        <w:rPr>
          <w:bCs/>
          <w:sz w:val="20"/>
          <w:szCs w:val="20"/>
          <w:lang w:val="es-ES_tradnl"/>
        </w:rPr>
        <w:t xml:space="preserve">el vínculo de los peticionarios con </w:t>
      </w:r>
      <w:r w:rsidR="00437E52" w:rsidRPr="0058434D">
        <w:rPr>
          <w:bCs/>
          <w:sz w:val="20"/>
          <w:szCs w:val="20"/>
          <w:lang w:val="es-ES_tradnl"/>
        </w:rPr>
        <w:t>dicha entidad</w:t>
      </w:r>
      <w:r w:rsidR="00A2546C" w:rsidRPr="0058434D">
        <w:rPr>
          <w:bCs/>
          <w:sz w:val="20"/>
          <w:szCs w:val="20"/>
          <w:lang w:val="es-ES_tradnl"/>
        </w:rPr>
        <w:t xml:space="preserve"> era de índole privada</w:t>
      </w:r>
      <w:r w:rsidR="00327EF0" w:rsidRPr="0058434D">
        <w:rPr>
          <w:bCs/>
          <w:sz w:val="20"/>
          <w:szCs w:val="20"/>
          <w:lang w:val="es-ES_tradnl"/>
        </w:rPr>
        <w:t>,</w:t>
      </w:r>
      <w:r w:rsidR="00A2546C" w:rsidRPr="0058434D">
        <w:rPr>
          <w:bCs/>
          <w:sz w:val="20"/>
          <w:szCs w:val="20"/>
          <w:lang w:val="es-ES_tradnl"/>
        </w:rPr>
        <w:t xml:space="preserve"> sin intervención </w:t>
      </w:r>
      <w:r w:rsidR="00EA5A0A" w:rsidRPr="0058434D">
        <w:rPr>
          <w:bCs/>
          <w:sz w:val="20"/>
          <w:szCs w:val="20"/>
          <w:lang w:val="es-ES_tradnl"/>
        </w:rPr>
        <w:t>de la SIB</w:t>
      </w:r>
      <w:r w:rsidR="00437E52" w:rsidRPr="0058434D">
        <w:rPr>
          <w:bCs/>
          <w:sz w:val="20"/>
          <w:szCs w:val="20"/>
          <w:lang w:val="es-ES_tradnl"/>
        </w:rPr>
        <w:t xml:space="preserve">. </w:t>
      </w:r>
      <w:r w:rsidR="00A2546C" w:rsidRPr="0058434D">
        <w:rPr>
          <w:bCs/>
          <w:sz w:val="20"/>
          <w:szCs w:val="20"/>
          <w:lang w:val="es-ES_tradnl"/>
        </w:rPr>
        <w:t xml:space="preserve"> </w:t>
      </w:r>
    </w:p>
    <w:p w14:paraId="5C742328" w14:textId="7192DBCD" w:rsidR="008013AE" w:rsidRPr="0058434D" w:rsidRDefault="00437E52" w:rsidP="00100EB9">
      <w:pPr>
        <w:pStyle w:val="ListParagraph"/>
        <w:numPr>
          <w:ilvl w:val="0"/>
          <w:numId w:val="56"/>
        </w:numPr>
        <w:spacing w:before="240" w:after="240"/>
        <w:ind w:left="142" w:firstLine="709"/>
        <w:jc w:val="both"/>
        <w:rPr>
          <w:bCs/>
          <w:sz w:val="20"/>
          <w:szCs w:val="20"/>
          <w:lang w:val="es-ES_tradnl"/>
        </w:rPr>
      </w:pPr>
      <w:r w:rsidRPr="0058434D">
        <w:rPr>
          <w:bCs/>
          <w:sz w:val="20"/>
          <w:szCs w:val="20"/>
          <w:lang w:val="es-ES_tradnl"/>
        </w:rPr>
        <w:t xml:space="preserve">En cuanto a los pagarés presentados por los peticionarios, </w:t>
      </w:r>
      <w:r w:rsidR="008013AE" w:rsidRPr="0058434D">
        <w:rPr>
          <w:bCs/>
          <w:sz w:val="20"/>
          <w:szCs w:val="20"/>
          <w:lang w:val="es-ES_tradnl"/>
        </w:rPr>
        <w:t>señala que aunque fueron pagados a través de cheque emitido por BANCAFE, esto no significa que provenían del Grupo Financiero del banco, sino que se emitieron por VIPASA</w:t>
      </w:r>
      <w:r w:rsidR="00564B7E" w:rsidRPr="0058434D">
        <w:rPr>
          <w:bCs/>
          <w:sz w:val="20"/>
          <w:szCs w:val="20"/>
          <w:lang w:val="es-ES_tradnl"/>
        </w:rPr>
        <w:t>. A</w:t>
      </w:r>
      <w:r w:rsidR="008013AE" w:rsidRPr="0058434D">
        <w:rPr>
          <w:bCs/>
          <w:sz w:val="20"/>
          <w:szCs w:val="20"/>
          <w:lang w:val="es-ES_tradnl"/>
        </w:rPr>
        <w:t xml:space="preserve">demás, </w:t>
      </w:r>
      <w:r w:rsidR="00564B7E" w:rsidRPr="0058434D">
        <w:rPr>
          <w:bCs/>
          <w:sz w:val="20"/>
          <w:szCs w:val="20"/>
          <w:lang w:val="es-ES_tradnl"/>
        </w:rPr>
        <w:t xml:space="preserve">el Estado aclara </w:t>
      </w:r>
      <w:r w:rsidR="008013AE" w:rsidRPr="0058434D">
        <w:rPr>
          <w:bCs/>
          <w:sz w:val="20"/>
          <w:szCs w:val="20"/>
          <w:lang w:val="es-ES_tradnl"/>
        </w:rPr>
        <w:t>que los pagarés cubrieron dos años únicamente y no ocho, como lo dicen los peticionarios.</w:t>
      </w:r>
    </w:p>
    <w:p w14:paraId="26AB22EE" w14:textId="7B4345AB" w:rsidR="00100EB9" w:rsidRPr="0058434D" w:rsidRDefault="00D04DCC" w:rsidP="00EA5A0A">
      <w:pPr>
        <w:pStyle w:val="ListParagraph"/>
        <w:numPr>
          <w:ilvl w:val="0"/>
          <w:numId w:val="56"/>
        </w:numPr>
        <w:spacing w:before="240" w:after="240"/>
        <w:ind w:left="142" w:firstLine="709"/>
        <w:jc w:val="both"/>
        <w:rPr>
          <w:bCs/>
          <w:sz w:val="20"/>
          <w:szCs w:val="20"/>
          <w:lang w:val="es-ES_tradnl"/>
        </w:rPr>
      </w:pPr>
      <w:r w:rsidRPr="0058434D">
        <w:rPr>
          <w:bCs/>
          <w:sz w:val="20"/>
          <w:szCs w:val="20"/>
          <w:lang w:val="es-ES_tradnl"/>
        </w:rPr>
        <w:t xml:space="preserve">El Estado </w:t>
      </w:r>
      <w:r w:rsidR="00100EB9" w:rsidRPr="0058434D">
        <w:rPr>
          <w:bCs/>
          <w:sz w:val="20"/>
          <w:szCs w:val="20"/>
          <w:lang w:val="es-ES_tradnl"/>
        </w:rPr>
        <w:t xml:space="preserve">argumenta que los peticionarios </w:t>
      </w:r>
      <w:r w:rsidR="00EA5A0A" w:rsidRPr="0058434D">
        <w:rPr>
          <w:bCs/>
          <w:sz w:val="20"/>
          <w:szCs w:val="20"/>
          <w:lang w:val="es-ES_tradnl"/>
        </w:rPr>
        <w:t>sabían</w:t>
      </w:r>
      <w:r w:rsidR="00100EB9" w:rsidRPr="0058434D">
        <w:rPr>
          <w:bCs/>
          <w:sz w:val="20"/>
          <w:szCs w:val="20"/>
          <w:lang w:val="es-ES_tradnl"/>
        </w:rPr>
        <w:t xml:space="preserve"> que VIPASA no estaba sujeta a la vigilancia y supervisión bancaria porque,</w:t>
      </w:r>
      <w:r w:rsidRPr="0058434D">
        <w:rPr>
          <w:bCs/>
          <w:sz w:val="20"/>
          <w:szCs w:val="20"/>
          <w:lang w:val="es-ES_tradnl"/>
        </w:rPr>
        <w:t xml:space="preserve"> </w:t>
      </w:r>
      <w:r w:rsidR="000F2B5D" w:rsidRPr="0058434D">
        <w:rPr>
          <w:bCs/>
          <w:sz w:val="20"/>
          <w:szCs w:val="20"/>
          <w:lang w:val="es-ES_tradnl"/>
        </w:rPr>
        <w:t>periódicamente</w:t>
      </w:r>
      <w:r w:rsidR="00100EB9" w:rsidRPr="0058434D">
        <w:rPr>
          <w:bCs/>
          <w:sz w:val="20"/>
          <w:szCs w:val="20"/>
          <w:lang w:val="es-ES_tradnl"/>
        </w:rPr>
        <w:t xml:space="preserve">, </w:t>
      </w:r>
      <w:r w:rsidRPr="0058434D">
        <w:rPr>
          <w:bCs/>
          <w:sz w:val="20"/>
          <w:szCs w:val="20"/>
          <w:lang w:val="es-ES_tradnl"/>
        </w:rPr>
        <w:t>la SIB publica un listado con las entidades financieras legalmente autorizadas para operar en el país</w:t>
      </w:r>
      <w:r w:rsidR="00100EB9" w:rsidRPr="0058434D">
        <w:rPr>
          <w:bCs/>
          <w:sz w:val="20"/>
          <w:szCs w:val="20"/>
          <w:lang w:val="es-ES_tradnl"/>
        </w:rPr>
        <w:t xml:space="preserve">, </w:t>
      </w:r>
      <w:r w:rsidRPr="0058434D">
        <w:rPr>
          <w:bCs/>
          <w:sz w:val="20"/>
          <w:szCs w:val="20"/>
          <w:lang w:val="es-ES_tradnl"/>
        </w:rPr>
        <w:t>sujetas a vigilancia y supervisión</w:t>
      </w:r>
      <w:r w:rsidR="000F2B5D" w:rsidRPr="0058434D">
        <w:rPr>
          <w:bCs/>
          <w:sz w:val="20"/>
          <w:szCs w:val="20"/>
          <w:lang w:val="es-ES_tradnl"/>
        </w:rPr>
        <w:t>.</w:t>
      </w:r>
      <w:r w:rsidR="00100EB9" w:rsidRPr="0058434D">
        <w:rPr>
          <w:bCs/>
          <w:sz w:val="20"/>
          <w:szCs w:val="20"/>
          <w:lang w:val="es-ES_tradnl"/>
        </w:rPr>
        <w:t xml:space="preserve"> Pero en</w:t>
      </w:r>
      <w:r w:rsidRPr="0058434D">
        <w:rPr>
          <w:bCs/>
          <w:sz w:val="20"/>
          <w:szCs w:val="20"/>
          <w:lang w:val="es-ES_tradnl"/>
        </w:rPr>
        <w:t xml:space="preserve"> 2005 y 2006</w:t>
      </w:r>
      <w:r w:rsidR="00100EB9" w:rsidRPr="0058434D">
        <w:rPr>
          <w:bCs/>
          <w:sz w:val="20"/>
          <w:szCs w:val="20"/>
          <w:lang w:val="es-ES_tradnl"/>
        </w:rPr>
        <w:t>, periodo en el que se presentaron los pagarés,</w:t>
      </w:r>
      <w:r w:rsidRPr="0058434D">
        <w:rPr>
          <w:bCs/>
          <w:sz w:val="20"/>
          <w:szCs w:val="20"/>
          <w:lang w:val="es-ES_tradnl"/>
        </w:rPr>
        <w:t xml:space="preserve"> VIPASA no figuraba </w:t>
      </w:r>
      <w:r w:rsidR="00100EB9" w:rsidRPr="0058434D">
        <w:rPr>
          <w:bCs/>
          <w:sz w:val="20"/>
          <w:szCs w:val="20"/>
          <w:lang w:val="es-ES_tradnl"/>
        </w:rPr>
        <w:t>en dicho listado.</w:t>
      </w:r>
    </w:p>
    <w:p w14:paraId="77C6BBF7" w14:textId="10E726F9" w:rsidR="003804F2" w:rsidRPr="0058434D" w:rsidRDefault="00EA5A0A" w:rsidP="000C7279">
      <w:pPr>
        <w:pStyle w:val="ListParagraph"/>
        <w:numPr>
          <w:ilvl w:val="0"/>
          <w:numId w:val="56"/>
        </w:numPr>
        <w:spacing w:before="240" w:after="240"/>
        <w:ind w:left="142" w:firstLine="709"/>
        <w:jc w:val="both"/>
        <w:rPr>
          <w:bCs/>
          <w:sz w:val="20"/>
          <w:szCs w:val="20"/>
          <w:lang w:val="es-ES_tradnl"/>
        </w:rPr>
      </w:pPr>
      <w:r w:rsidRPr="0058434D">
        <w:rPr>
          <w:bCs/>
          <w:sz w:val="20"/>
          <w:szCs w:val="20"/>
          <w:lang w:val="es-ES_tradnl"/>
        </w:rPr>
        <w:t>Sobre el punto b) de la falta de agotamiento, el Estado guatemalteco aduce que los peticionarios tuvieron recursos a su alcance que no presentaron. Particularmente la vía administrativa ante la misma SIB</w:t>
      </w:r>
      <w:r w:rsidR="00750E86" w:rsidRPr="0058434D">
        <w:rPr>
          <w:bCs/>
          <w:sz w:val="20"/>
          <w:szCs w:val="20"/>
          <w:lang w:val="es-ES_tradnl"/>
        </w:rPr>
        <w:t>;</w:t>
      </w:r>
      <w:r w:rsidRPr="0058434D">
        <w:rPr>
          <w:bCs/>
          <w:sz w:val="20"/>
          <w:szCs w:val="20"/>
          <w:lang w:val="es-ES_tradnl"/>
        </w:rPr>
        <w:t xml:space="preserve"> si no estaban conforme con el resultado, podían interponer un recurso de apelación ante la Junta Monetaria</w:t>
      </w:r>
      <w:r w:rsidR="00B2793E" w:rsidRPr="0058434D">
        <w:rPr>
          <w:bCs/>
          <w:sz w:val="20"/>
          <w:szCs w:val="20"/>
          <w:lang w:val="es-ES_tradnl"/>
        </w:rPr>
        <w:t>;</w:t>
      </w:r>
      <w:r w:rsidR="00750E86" w:rsidRPr="0058434D">
        <w:rPr>
          <w:bCs/>
          <w:sz w:val="20"/>
          <w:szCs w:val="20"/>
          <w:lang w:val="es-ES_tradnl"/>
        </w:rPr>
        <w:t xml:space="preserve"> </w:t>
      </w:r>
      <w:r w:rsidRPr="0058434D">
        <w:rPr>
          <w:bCs/>
          <w:sz w:val="20"/>
          <w:szCs w:val="20"/>
          <w:lang w:val="es-ES_tradnl"/>
        </w:rPr>
        <w:t>y posteriormente</w:t>
      </w:r>
      <w:r w:rsidR="00750E86" w:rsidRPr="0058434D">
        <w:rPr>
          <w:bCs/>
          <w:sz w:val="20"/>
          <w:szCs w:val="20"/>
          <w:lang w:val="es-ES_tradnl"/>
        </w:rPr>
        <w:t>,</w:t>
      </w:r>
      <w:r w:rsidRPr="0058434D">
        <w:rPr>
          <w:bCs/>
          <w:sz w:val="20"/>
          <w:szCs w:val="20"/>
          <w:lang w:val="es-ES_tradnl"/>
        </w:rPr>
        <w:t xml:space="preserve"> revisión judicial mediante un proceso contencioso-administrativo o de casación</w:t>
      </w:r>
      <w:r w:rsidR="00564B7E" w:rsidRPr="0058434D">
        <w:rPr>
          <w:bCs/>
          <w:sz w:val="20"/>
          <w:szCs w:val="20"/>
          <w:lang w:val="es-ES_tradnl"/>
        </w:rPr>
        <w:t xml:space="preserve">. </w:t>
      </w:r>
      <w:r w:rsidR="003804F2" w:rsidRPr="0058434D">
        <w:rPr>
          <w:bCs/>
          <w:sz w:val="20"/>
          <w:szCs w:val="20"/>
          <w:lang w:val="es-ES_tradnl"/>
        </w:rPr>
        <w:t xml:space="preserve">También, </w:t>
      </w:r>
      <w:r w:rsidR="00750E86" w:rsidRPr="0058434D">
        <w:rPr>
          <w:bCs/>
          <w:sz w:val="20"/>
          <w:szCs w:val="20"/>
          <w:lang w:val="es-ES_tradnl"/>
        </w:rPr>
        <w:t xml:space="preserve">por afectaciones a su propiedad privada, </w:t>
      </w:r>
      <w:r w:rsidR="003804F2" w:rsidRPr="0058434D">
        <w:rPr>
          <w:bCs/>
          <w:sz w:val="20"/>
          <w:szCs w:val="20"/>
          <w:lang w:val="es-ES_tradnl"/>
        </w:rPr>
        <w:t>pudieron presentar una acción reivindicatoria, contemplada en el Código Civil, que se ventila ante Juez del Ramo Civil</w:t>
      </w:r>
      <w:r w:rsidR="00564B7E" w:rsidRPr="0058434D">
        <w:rPr>
          <w:bCs/>
          <w:sz w:val="20"/>
          <w:szCs w:val="20"/>
          <w:lang w:val="es-ES_tradnl"/>
        </w:rPr>
        <w:t>. I</w:t>
      </w:r>
      <w:r w:rsidR="000C7279" w:rsidRPr="0058434D">
        <w:rPr>
          <w:bCs/>
          <w:sz w:val="20"/>
          <w:szCs w:val="20"/>
          <w:lang w:val="es-ES_tradnl"/>
        </w:rPr>
        <w:t>gualmente, podrían presentar</w:t>
      </w:r>
      <w:r w:rsidR="00750E86" w:rsidRPr="0058434D">
        <w:rPr>
          <w:bCs/>
          <w:sz w:val="20"/>
          <w:szCs w:val="20"/>
          <w:lang w:val="es-ES_tradnl"/>
        </w:rPr>
        <w:t xml:space="preserve"> una </w:t>
      </w:r>
      <w:r w:rsidR="003804F2" w:rsidRPr="0058434D">
        <w:rPr>
          <w:bCs/>
          <w:sz w:val="20"/>
          <w:szCs w:val="20"/>
          <w:lang w:val="es-ES_tradnl"/>
        </w:rPr>
        <w:t>acción constitucional de amparo, como recurso efectivo e idóneo.</w:t>
      </w:r>
      <w:r w:rsidR="00F813CB" w:rsidRPr="0058434D">
        <w:rPr>
          <w:bCs/>
          <w:sz w:val="20"/>
          <w:szCs w:val="20"/>
          <w:lang w:val="es-ES_tradnl"/>
        </w:rPr>
        <w:t xml:space="preserve"> </w:t>
      </w:r>
    </w:p>
    <w:p w14:paraId="78E0F056" w14:textId="713B8A1C" w:rsidR="00737E5A" w:rsidRPr="0058434D" w:rsidRDefault="00750E86" w:rsidP="00737E5A">
      <w:pPr>
        <w:pStyle w:val="ListParagraph"/>
        <w:numPr>
          <w:ilvl w:val="0"/>
          <w:numId w:val="56"/>
        </w:numPr>
        <w:spacing w:before="240" w:after="240"/>
        <w:ind w:left="142" w:firstLine="709"/>
        <w:jc w:val="both"/>
        <w:rPr>
          <w:bCs/>
          <w:sz w:val="20"/>
          <w:szCs w:val="20"/>
          <w:lang w:val="es-ES_tradnl"/>
        </w:rPr>
      </w:pPr>
      <w:r w:rsidRPr="0058434D">
        <w:rPr>
          <w:bCs/>
          <w:sz w:val="20"/>
          <w:szCs w:val="20"/>
          <w:lang w:val="es-ES_tradnl"/>
        </w:rPr>
        <w:t xml:space="preserve">En cuanto al proceso penal, el Estado </w:t>
      </w:r>
      <w:r w:rsidR="00D719BA" w:rsidRPr="0058434D">
        <w:rPr>
          <w:bCs/>
          <w:sz w:val="20"/>
          <w:szCs w:val="20"/>
          <w:lang w:val="es-ES_tradnl"/>
        </w:rPr>
        <w:t>aduce</w:t>
      </w:r>
      <w:r w:rsidRPr="0058434D">
        <w:rPr>
          <w:bCs/>
          <w:sz w:val="20"/>
          <w:szCs w:val="20"/>
          <w:lang w:val="es-ES_tradnl"/>
        </w:rPr>
        <w:t xml:space="preserve"> que se ha cumplido con las obligaciones investigativas, a través de l</w:t>
      </w:r>
      <w:r w:rsidR="000C7279" w:rsidRPr="0058434D">
        <w:rPr>
          <w:bCs/>
          <w:sz w:val="20"/>
          <w:szCs w:val="20"/>
          <w:lang w:val="es-ES_tradnl"/>
        </w:rPr>
        <w:t>a</w:t>
      </w:r>
      <w:r w:rsidRPr="0058434D">
        <w:rPr>
          <w:bCs/>
          <w:sz w:val="20"/>
          <w:szCs w:val="20"/>
          <w:lang w:val="es-ES_tradnl"/>
        </w:rPr>
        <w:t xml:space="preserve">s dos </w:t>
      </w:r>
      <w:r w:rsidR="000C7279" w:rsidRPr="0058434D">
        <w:rPr>
          <w:bCs/>
          <w:sz w:val="20"/>
          <w:szCs w:val="20"/>
          <w:lang w:val="es-ES_tradnl"/>
        </w:rPr>
        <w:t>denuncias ante el Ministerio Público</w:t>
      </w:r>
      <w:r w:rsidRPr="0058434D">
        <w:rPr>
          <w:bCs/>
          <w:sz w:val="20"/>
          <w:szCs w:val="20"/>
          <w:lang w:val="es-ES_tradnl"/>
        </w:rPr>
        <w:t xml:space="preserve"> </w:t>
      </w:r>
      <w:r w:rsidR="000C7279" w:rsidRPr="0058434D">
        <w:rPr>
          <w:bCs/>
          <w:sz w:val="20"/>
          <w:szCs w:val="20"/>
          <w:lang w:val="es-ES_tradnl"/>
        </w:rPr>
        <w:t xml:space="preserve">interpuestas </w:t>
      </w:r>
      <w:r w:rsidRPr="0058434D">
        <w:rPr>
          <w:bCs/>
          <w:sz w:val="20"/>
          <w:szCs w:val="20"/>
          <w:lang w:val="es-ES_tradnl"/>
        </w:rPr>
        <w:t>por la SIB en</w:t>
      </w:r>
      <w:r w:rsidR="00737E5A" w:rsidRPr="0058434D">
        <w:rPr>
          <w:bCs/>
          <w:sz w:val="20"/>
          <w:szCs w:val="20"/>
          <w:lang w:val="es-ES_tradnl"/>
        </w:rPr>
        <w:t xml:space="preserve"> octubre y noviembre de</w:t>
      </w:r>
      <w:r w:rsidRPr="0058434D">
        <w:rPr>
          <w:bCs/>
          <w:sz w:val="20"/>
          <w:szCs w:val="20"/>
          <w:lang w:val="es-ES_tradnl"/>
        </w:rPr>
        <w:t xml:space="preserve"> 2006 contra VIPASA</w:t>
      </w:r>
      <w:r w:rsidR="00737E5A" w:rsidRPr="0058434D">
        <w:rPr>
          <w:bCs/>
          <w:sz w:val="20"/>
          <w:szCs w:val="20"/>
          <w:lang w:val="es-ES_tradnl"/>
        </w:rPr>
        <w:t xml:space="preserve">. Informó que </w:t>
      </w:r>
      <w:r w:rsidR="005F53C0" w:rsidRPr="0058434D">
        <w:rPr>
          <w:bCs/>
          <w:sz w:val="20"/>
          <w:szCs w:val="20"/>
          <w:lang w:val="es-ES_tradnl"/>
        </w:rPr>
        <w:t>estos</w:t>
      </w:r>
      <w:r w:rsidR="000C7279" w:rsidRPr="0058434D">
        <w:rPr>
          <w:bCs/>
          <w:sz w:val="20"/>
          <w:szCs w:val="20"/>
          <w:lang w:val="es-ES_tradnl"/>
        </w:rPr>
        <w:t xml:space="preserve"> procesos</w:t>
      </w:r>
      <w:r w:rsidR="005F53C0" w:rsidRPr="0058434D">
        <w:rPr>
          <w:bCs/>
          <w:sz w:val="20"/>
          <w:szCs w:val="20"/>
          <w:lang w:val="es-ES_tradnl"/>
        </w:rPr>
        <w:t xml:space="preserve"> (y sus ampliaciones)</w:t>
      </w:r>
      <w:r w:rsidR="000C7279" w:rsidRPr="0058434D">
        <w:rPr>
          <w:bCs/>
          <w:sz w:val="20"/>
          <w:szCs w:val="20"/>
          <w:lang w:val="es-ES_tradnl"/>
        </w:rPr>
        <w:t xml:space="preserve"> continúan en investigación</w:t>
      </w:r>
      <w:r w:rsidR="00FD14AE" w:rsidRPr="0058434D">
        <w:rPr>
          <w:bCs/>
          <w:sz w:val="20"/>
          <w:szCs w:val="20"/>
          <w:lang w:val="es-ES_tradnl"/>
        </w:rPr>
        <w:t>;</w:t>
      </w:r>
      <w:r w:rsidR="005F53C0" w:rsidRPr="0058434D">
        <w:rPr>
          <w:bCs/>
          <w:sz w:val="20"/>
          <w:szCs w:val="20"/>
          <w:lang w:val="es-ES_tradnl"/>
        </w:rPr>
        <w:t xml:space="preserve"> y </w:t>
      </w:r>
      <w:r w:rsidR="00737E5A" w:rsidRPr="0058434D">
        <w:rPr>
          <w:bCs/>
          <w:i/>
          <w:iCs/>
          <w:sz w:val="20"/>
          <w:szCs w:val="20"/>
          <w:lang w:val="es-ES_tradnl"/>
        </w:rPr>
        <w:t>“se tramitan actualmente ante el Ministerio Público bajo el número de expediente M0009/2006/125326 a cargo de la unidad de Delitos Relacionados con los Bancos, Aseguradoras y Financieras, de la Fiscalía de Sección Contra el Crimen Organizado”</w:t>
      </w:r>
      <w:r w:rsidR="00737E5A" w:rsidRPr="0058434D">
        <w:rPr>
          <w:rStyle w:val="FootnoteReference"/>
          <w:bCs/>
          <w:sz w:val="20"/>
          <w:szCs w:val="20"/>
          <w:lang w:val="es-ES_tradnl"/>
        </w:rPr>
        <w:footnoteReference w:id="10"/>
      </w:r>
      <w:r w:rsidR="000C7279" w:rsidRPr="0058434D">
        <w:rPr>
          <w:bCs/>
          <w:i/>
          <w:iCs/>
          <w:sz w:val="20"/>
          <w:szCs w:val="20"/>
          <w:lang w:val="es-ES_tradnl"/>
        </w:rPr>
        <w:t>.</w:t>
      </w:r>
    </w:p>
    <w:p w14:paraId="482A8D23" w14:textId="151C4325" w:rsidR="00EB1DBE" w:rsidRPr="0058434D" w:rsidRDefault="003804F2" w:rsidP="005F53C0">
      <w:pPr>
        <w:pStyle w:val="ListParagraph"/>
        <w:numPr>
          <w:ilvl w:val="0"/>
          <w:numId w:val="56"/>
        </w:numPr>
        <w:spacing w:before="240" w:after="240"/>
        <w:ind w:left="142" w:firstLine="567"/>
        <w:jc w:val="both"/>
        <w:rPr>
          <w:bCs/>
          <w:sz w:val="20"/>
          <w:szCs w:val="20"/>
          <w:lang w:val="es-ES_tradnl"/>
        </w:rPr>
      </w:pPr>
      <w:r w:rsidRPr="0058434D">
        <w:rPr>
          <w:bCs/>
          <w:sz w:val="20"/>
          <w:szCs w:val="20"/>
          <w:lang w:val="es-ES_tradnl"/>
        </w:rPr>
        <w:t>Por otro lado</w:t>
      </w:r>
      <w:r w:rsidR="002E4FC2" w:rsidRPr="0058434D">
        <w:rPr>
          <w:bCs/>
          <w:sz w:val="20"/>
          <w:szCs w:val="20"/>
          <w:lang w:val="es-ES_tradnl"/>
        </w:rPr>
        <w:t xml:space="preserve">, </w:t>
      </w:r>
      <w:r w:rsidR="0017450A" w:rsidRPr="0058434D">
        <w:rPr>
          <w:bCs/>
          <w:sz w:val="20"/>
          <w:szCs w:val="20"/>
          <w:lang w:val="es-ES_tradnl"/>
        </w:rPr>
        <w:t>Guatemala aduce</w:t>
      </w:r>
      <w:r w:rsidR="002E4FC2" w:rsidRPr="0058434D">
        <w:rPr>
          <w:bCs/>
          <w:sz w:val="20"/>
          <w:szCs w:val="20"/>
          <w:lang w:val="es-ES_tradnl"/>
        </w:rPr>
        <w:t xml:space="preserve"> que no se puede tomar en consideración lo indicado por el Procurador de Derechos Humanos</w:t>
      </w:r>
      <w:r w:rsidR="00D719BA" w:rsidRPr="0058434D">
        <w:rPr>
          <w:bCs/>
          <w:sz w:val="20"/>
          <w:szCs w:val="20"/>
          <w:lang w:val="es-ES_tradnl"/>
        </w:rPr>
        <w:t>,</w:t>
      </w:r>
      <w:r w:rsidR="002E4FC2" w:rsidRPr="0058434D">
        <w:rPr>
          <w:bCs/>
          <w:sz w:val="20"/>
          <w:szCs w:val="20"/>
          <w:lang w:val="es-ES_tradnl"/>
        </w:rPr>
        <w:t xml:space="preserve"> porque </w:t>
      </w:r>
      <w:r w:rsidRPr="0058434D">
        <w:rPr>
          <w:bCs/>
          <w:sz w:val="20"/>
          <w:szCs w:val="20"/>
          <w:lang w:val="es-ES_tradnl"/>
        </w:rPr>
        <w:t xml:space="preserve">no existe certeza </w:t>
      </w:r>
      <w:r w:rsidR="00D719BA" w:rsidRPr="0058434D">
        <w:rPr>
          <w:bCs/>
          <w:sz w:val="20"/>
          <w:szCs w:val="20"/>
          <w:lang w:val="es-ES_tradnl"/>
        </w:rPr>
        <w:t xml:space="preserve">de </w:t>
      </w:r>
      <w:r w:rsidRPr="0058434D">
        <w:rPr>
          <w:bCs/>
          <w:sz w:val="20"/>
          <w:szCs w:val="20"/>
          <w:lang w:val="es-ES_tradnl"/>
        </w:rPr>
        <w:t xml:space="preserve">que la resolución del </w:t>
      </w:r>
      <w:r w:rsidR="00564B7E" w:rsidRPr="0058434D">
        <w:rPr>
          <w:bCs/>
          <w:sz w:val="20"/>
          <w:szCs w:val="20"/>
          <w:lang w:val="es-ES_tradnl"/>
        </w:rPr>
        <w:t xml:space="preserve">6 </w:t>
      </w:r>
      <w:r w:rsidRPr="0058434D">
        <w:rPr>
          <w:bCs/>
          <w:sz w:val="20"/>
          <w:szCs w:val="20"/>
          <w:lang w:val="es-ES_tradnl"/>
        </w:rPr>
        <w:t xml:space="preserve">de febrero de 2007 tenga relación con las presuntas víctimas. Aún más, señala que acudir </w:t>
      </w:r>
      <w:r w:rsidR="00D719BA" w:rsidRPr="0058434D">
        <w:rPr>
          <w:bCs/>
          <w:sz w:val="20"/>
          <w:szCs w:val="20"/>
          <w:lang w:val="es-ES_tradnl"/>
        </w:rPr>
        <w:t>al</w:t>
      </w:r>
      <w:r w:rsidRPr="0058434D">
        <w:rPr>
          <w:bCs/>
          <w:sz w:val="20"/>
          <w:szCs w:val="20"/>
          <w:lang w:val="es-ES_tradnl"/>
        </w:rPr>
        <w:t xml:space="preserve"> Procurador de Derechos Humanos implica</w:t>
      </w:r>
      <w:r w:rsidR="00327EF0" w:rsidRPr="0058434D">
        <w:rPr>
          <w:bCs/>
          <w:sz w:val="20"/>
          <w:szCs w:val="20"/>
          <w:lang w:val="es-ES_tradnl"/>
        </w:rPr>
        <w:t>ría</w:t>
      </w:r>
      <w:r w:rsidRPr="0058434D">
        <w:rPr>
          <w:bCs/>
          <w:sz w:val="20"/>
          <w:szCs w:val="20"/>
          <w:lang w:val="es-ES_tradnl"/>
        </w:rPr>
        <w:t xml:space="preserve"> un agotamiento indebido al no constituir un recurso judicial. </w:t>
      </w:r>
    </w:p>
    <w:p w14:paraId="58167D63" w14:textId="1099738F" w:rsidR="00212FF2" w:rsidRPr="0058434D" w:rsidRDefault="00520ACC" w:rsidP="00212FF2">
      <w:pPr>
        <w:pStyle w:val="ListParagraph"/>
        <w:numPr>
          <w:ilvl w:val="0"/>
          <w:numId w:val="56"/>
        </w:numPr>
        <w:spacing w:before="240" w:after="240"/>
        <w:ind w:left="142" w:firstLine="567"/>
        <w:jc w:val="both"/>
        <w:rPr>
          <w:bCs/>
          <w:sz w:val="20"/>
          <w:szCs w:val="20"/>
          <w:lang w:val="es-ES_tradnl"/>
        </w:rPr>
      </w:pPr>
      <w:r w:rsidRPr="0058434D">
        <w:rPr>
          <w:bCs/>
          <w:sz w:val="20"/>
          <w:szCs w:val="20"/>
          <w:lang w:val="es-ES_tradnl"/>
        </w:rPr>
        <w:t>Finalmente alega</w:t>
      </w:r>
      <w:r w:rsidR="003804F2" w:rsidRPr="0058434D">
        <w:rPr>
          <w:bCs/>
          <w:sz w:val="20"/>
          <w:szCs w:val="20"/>
          <w:lang w:val="es-ES_tradnl"/>
        </w:rPr>
        <w:t xml:space="preserve"> que las presuntas víctimas</w:t>
      </w:r>
      <w:r w:rsidR="00D04DCC" w:rsidRPr="0058434D">
        <w:rPr>
          <w:bCs/>
          <w:sz w:val="20"/>
          <w:szCs w:val="20"/>
          <w:lang w:val="es-ES_tradnl"/>
        </w:rPr>
        <w:t xml:space="preserve"> </w:t>
      </w:r>
      <w:r w:rsidR="004C3669" w:rsidRPr="0058434D">
        <w:rPr>
          <w:bCs/>
          <w:sz w:val="20"/>
          <w:szCs w:val="20"/>
          <w:lang w:val="es-ES_tradnl"/>
        </w:rPr>
        <w:t xml:space="preserve">presentaron la petición </w:t>
      </w:r>
      <w:r w:rsidR="00A31134" w:rsidRPr="0058434D">
        <w:rPr>
          <w:bCs/>
          <w:sz w:val="20"/>
          <w:szCs w:val="20"/>
          <w:lang w:val="es-ES_tradnl"/>
        </w:rPr>
        <w:t>prematuramente,</w:t>
      </w:r>
      <w:r w:rsidR="004C3669" w:rsidRPr="0058434D">
        <w:rPr>
          <w:bCs/>
          <w:sz w:val="20"/>
          <w:szCs w:val="20"/>
          <w:lang w:val="es-ES_tradnl"/>
        </w:rPr>
        <w:t xml:space="preserve"> sin que el Estado tuviera la oportunidad de decidir sobre el asunto, </w:t>
      </w:r>
      <w:r w:rsidR="005F53C0" w:rsidRPr="0058434D">
        <w:rPr>
          <w:bCs/>
          <w:sz w:val="20"/>
          <w:szCs w:val="20"/>
          <w:lang w:val="es-ES_tradnl"/>
        </w:rPr>
        <w:t>ocasionando</w:t>
      </w:r>
      <w:r w:rsidR="004C3669" w:rsidRPr="0058434D">
        <w:rPr>
          <w:bCs/>
          <w:sz w:val="20"/>
          <w:szCs w:val="20"/>
          <w:lang w:val="es-ES_tradnl"/>
        </w:rPr>
        <w:t xml:space="preserve"> que no exista una fecha para computar el plazo de seis meses</w:t>
      </w:r>
      <w:r w:rsidR="00564B7E" w:rsidRPr="0058434D">
        <w:rPr>
          <w:bCs/>
          <w:sz w:val="20"/>
          <w:szCs w:val="20"/>
          <w:lang w:val="es-ES_tradnl"/>
        </w:rPr>
        <w:t xml:space="preserve"> requerido por la Comisión Interamericana. </w:t>
      </w:r>
    </w:p>
    <w:p w14:paraId="51F68C92" w14:textId="77777777" w:rsidR="003239B8" w:rsidRPr="0058434D" w:rsidRDefault="003239B8" w:rsidP="003239B8">
      <w:pPr>
        <w:spacing w:before="240" w:after="240"/>
        <w:ind w:firstLine="720"/>
        <w:jc w:val="both"/>
        <w:rPr>
          <w:rFonts w:ascii="Cambria" w:hAnsi="Cambria"/>
          <w:sz w:val="20"/>
          <w:szCs w:val="20"/>
          <w:lang w:val="es-ES_tradnl"/>
        </w:rPr>
      </w:pPr>
      <w:r w:rsidRPr="0058434D">
        <w:rPr>
          <w:rFonts w:ascii="Cambria" w:eastAsia="Cambria" w:hAnsi="Cambria" w:cs="Cambria"/>
          <w:b/>
          <w:bCs/>
          <w:color w:val="000000"/>
          <w:sz w:val="20"/>
          <w:szCs w:val="20"/>
          <w:u w:color="000000"/>
          <w:lang w:val="es-ES_tradnl" w:eastAsia="es-ES"/>
        </w:rPr>
        <w:t>VI.</w:t>
      </w:r>
      <w:r w:rsidRPr="0058434D">
        <w:rPr>
          <w:rFonts w:ascii="Cambria" w:eastAsia="Cambria" w:hAnsi="Cambria" w:cs="Cambria"/>
          <w:b/>
          <w:bCs/>
          <w:color w:val="000000"/>
          <w:sz w:val="20"/>
          <w:szCs w:val="20"/>
          <w:u w:color="000000"/>
          <w:lang w:val="es-ES_tradnl" w:eastAsia="es-ES"/>
        </w:rPr>
        <w:tab/>
      </w:r>
      <w:r w:rsidR="004A6A54" w:rsidRPr="0058434D">
        <w:rPr>
          <w:rFonts w:ascii="Cambria" w:hAnsi="Cambria"/>
          <w:b/>
          <w:bCs/>
          <w:sz w:val="20"/>
          <w:szCs w:val="20"/>
          <w:lang w:val="es-ES_tradnl"/>
        </w:rPr>
        <w:t xml:space="preserve">ANÁLISIS DE </w:t>
      </w:r>
      <w:r w:rsidR="00C21FEF" w:rsidRPr="0058434D">
        <w:rPr>
          <w:rFonts w:ascii="Cambria" w:hAnsi="Cambria"/>
          <w:b/>
          <w:sz w:val="20"/>
          <w:szCs w:val="20"/>
          <w:lang w:val="es-ES_tradnl"/>
        </w:rPr>
        <w:t>AGOTAMIENTO DE LOS RECURSOS INTERNOS Y PLAZO DE PRESENTACIÓN</w:t>
      </w:r>
      <w:r w:rsidR="00C21FEF" w:rsidRPr="0058434D">
        <w:rPr>
          <w:rFonts w:ascii="Cambria" w:eastAsia="Cambria" w:hAnsi="Cambria" w:cs="Cambria"/>
          <w:b/>
          <w:bCs/>
          <w:color w:val="000000"/>
          <w:sz w:val="20"/>
          <w:szCs w:val="20"/>
          <w:u w:color="000000"/>
          <w:lang w:val="es-ES_tradnl" w:eastAsia="es-ES"/>
        </w:rPr>
        <w:t xml:space="preserve"> </w:t>
      </w:r>
    </w:p>
    <w:p w14:paraId="00A748A1" w14:textId="41D3853C" w:rsidR="005F53C0" w:rsidRPr="0058434D" w:rsidRDefault="00543B95">
      <w:pPr>
        <w:pStyle w:val="ListParagraph"/>
        <w:numPr>
          <w:ilvl w:val="0"/>
          <w:numId w:val="56"/>
        </w:numPr>
        <w:spacing w:before="240" w:after="240"/>
        <w:ind w:left="142" w:firstLine="567"/>
        <w:jc w:val="both"/>
        <w:rPr>
          <w:sz w:val="20"/>
          <w:szCs w:val="20"/>
          <w:lang w:val="es-ES_tradnl"/>
        </w:rPr>
      </w:pPr>
      <w:r w:rsidRPr="0058434D">
        <w:rPr>
          <w:sz w:val="20"/>
          <w:szCs w:val="20"/>
          <w:lang w:val="es-ES_tradnl"/>
        </w:rPr>
        <w:t>En el presente caso, la Comisión observa que el objeto principal de la petición es doble: a</w:t>
      </w:r>
      <w:r w:rsidR="000E3A2F" w:rsidRPr="0058434D">
        <w:rPr>
          <w:sz w:val="20"/>
          <w:szCs w:val="20"/>
          <w:lang w:val="es-ES_tradnl"/>
        </w:rPr>
        <w:t>)</w:t>
      </w:r>
      <w:r w:rsidR="00FF4347" w:rsidRPr="0058434D">
        <w:rPr>
          <w:sz w:val="20"/>
          <w:szCs w:val="20"/>
          <w:lang w:val="es-ES_tradnl"/>
        </w:rPr>
        <w:t xml:space="preserve"> la falta de </w:t>
      </w:r>
      <w:r w:rsidR="00FF4347" w:rsidRPr="0058434D">
        <w:rPr>
          <w:bCs/>
          <w:sz w:val="20"/>
          <w:szCs w:val="20"/>
          <w:lang w:val="es-ES_tradnl"/>
        </w:rPr>
        <w:t xml:space="preserve">supervisión y control del Estado hacia BANCAFE y VIPASA; y </w:t>
      </w:r>
      <w:r w:rsidRPr="0058434D">
        <w:rPr>
          <w:bCs/>
          <w:sz w:val="20"/>
          <w:szCs w:val="20"/>
          <w:lang w:val="es-ES_tradnl"/>
        </w:rPr>
        <w:t>b)</w:t>
      </w:r>
      <w:r w:rsidR="00FF4347" w:rsidRPr="0058434D">
        <w:rPr>
          <w:bCs/>
          <w:sz w:val="20"/>
          <w:szCs w:val="20"/>
          <w:lang w:val="es-ES_tradnl"/>
        </w:rPr>
        <w:t xml:space="preserve"> el retardo injustificado en la investigación y sanción penal de los responsables</w:t>
      </w:r>
      <w:r w:rsidR="00D213B5" w:rsidRPr="0058434D">
        <w:rPr>
          <w:bCs/>
          <w:sz w:val="20"/>
          <w:szCs w:val="20"/>
          <w:lang w:val="es-ES_tradnl"/>
        </w:rPr>
        <w:t xml:space="preserve">. </w:t>
      </w:r>
    </w:p>
    <w:p w14:paraId="22BD0BDC" w14:textId="432DCC87" w:rsidR="00FF4347" w:rsidRPr="0058434D" w:rsidRDefault="00446492">
      <w:pPr>
        <w:pStyle w:val="ListParagraph"/>
        <w:numPr>
          <w:ilvl w:val="0"/>
          <w:numId w:val="56"/>
        </w:numPr>
        <w:spacing w:before="240" w:after="240"/>
        <w:ind w:left="142" w:firstLine="567"/>
        <w:jc w:val="both"/>
        <w:rPr>
          <w:sz w:val="20"/>
          <w:szCs w:val="20"/>
          <w:lang w:val="es-ES_tradnl"/>
        </w:rPr>
      </w:pPr>
      <w:r w:rsidRPr="0058434D">
        <w:rPr>
          <w:bCs/>
          <w:sz w:val="20"/>
          <w:szCs w:val="20"/>
          <w:lang w:val="es-ES_tradnl"/>
        </w:rPr>
        <w:t xml:space="preserve">Sobre </w:t>
      </w:r>
      <w:r w:rsidR="009242B0" w:rsidRPr="0058434D">
        <w:rPr>
          <w:bCs/>
          <w:sz w:val="20"/>
          <w:szCs w:val="20"/>
          <w:lang w:val="es-ES_tradnl"/>
        </w:rPr>
        <w:t>el punto b)</w:t>
      </w:r>
      <w:r w:rsidRPr="0058434D">
        <w:rPr>
          <w:bCs/>
          <w:sz w:val="20"/>
          <w:szCs w:val="20"/>
          <w:lang w:val="es-ES_tradnl"/>
        </w:rPr>
        <w:t xml:space="preserve">, </w:t>
      </w:r>
      <w:r w:rsidR="005F53C0" w:rsidRPr="0058434D">
        <w:rPr>
          <w:bCs/>
          <w:sz w:val="20"/>
          <w:szCs w:val="20"/>
          <w:lang w:val="es-ES_tradnl"/>
        </w:rPr>
        <w:t>se ubican tres procesos penales</w:t>
      </w:r>
      <w:r w:rsidR="00F80297" w:rsidRPr="0058434D">
        <w:rPr>
          <w:bCs/>
          <w:sz w:val="20"/>
          <w:szCs w:val="20"/>
          <w:lang w:val="es-ES_tradnl"/>
        </w:rPr>
        <w:t>:</w:t>
      </w:r>
      <w:r w:rsidRPr="0058434D">
        <w:rPr>
          <w:bCs/>
          <w:sz w:val="20"/>
          <w:szCs w:val="20"/>
          <w:lang w:val="es-ES_tradnl"/>
        </w:rPr>
        <w:t xml:space="preserve"> </w:t>
      </w:r>
      <w:r w:rsidR="00F80297" w:rsidRPr="0058434D">
        <w:rPr>
          <w:bCs/>
          <w:sz w:val="20"/>
          <w:szCs w:val="20"/>
          <w:lang w:val="es-ES_tradnl"/>
        </w:rPr>
        <w:t>d</w:t>
      </w:r>
      <w:r w:rsidR="005F53C0" w:rsidRPr="0058434D">
        <w:rPr>
          <w:bCs/>
          <w:sz w:val="20"/>
          <w:szCs w:val="20"/>
          <w:lang w:val="es-ES_tradnl"/>
        </w:rPr>
        <w:t>os iniciados por la SIB contra VIPASA en octubre y noviembre de 2006</w:t>
      </w:r>
      <w:r w:rsidR="00F80297" w:rsidRPr="0058434D">
        <w:rPr>
          <w:bCs/>
          <w:sz w:val="20"/>
          <w:szCs w:val="20"/>
          <w:lang w:val="es-ES_tradnl"/>
        </w:rPr>
        <w:t>;</w:t>
      </w:r>
      <w:r w:rsidR="005F53C0" w:rsidRPr="0058434D">
        <w:rPr>
          <w:bCs/>
          <w:sz w:val="20"/>
          <w:szCs w:val="20"/>
          <w:lang w:val="es-ES_tradnl"/>
        </w:rPr>
        <w:t xml:space="preserve"> y uno iniciado el 12 de enero de 2007 por los peticionarios, contra VIPASA y BANCAFE. Para </w:t>
      </w:r>
      <w:r w:rsidRPr="0058434D">
        <w:rPr>
          <w:bCs/>
          <w:sz w:val="20"/>
          <w:szCs w:val="20"/>
          <w:lang w:val="es-ES_tradnl"/>
        </w:rPr>
        <w:t>aquellos</w:t>
      </w:r>
      <w:r w:rsidR="005F53C0" w:rsidRPr="0058434D">
        <w:rPr>
          <w:bCs/>
          <w:sz w:val="20"/>
          <w:szCs w:val="20"/>
          <w:lang w:val="es-ES_tradnl"/>
        </w:rPr>
        <w:t xml:space="preserve"> iniciados por la SIB, el Estado informó que continúan en proceso en la etapa de investigación ante la Fiscalía de Sección Contra el Crimen Organizado</w:t>
      </w:r>
      <w:r w:rsidRPr="0058434D">
        <w:rPr>
          <w:bCs/>
          <w:sz w:val="20"/>
          <w:szCs w:val="20"/>
          <w:lang w:val="es-ES_tradnl"/>
        </w:rPr>
        <w:t>. En cuanto al presentado</w:t>
      </w:r>
      <w:r w:rsidR="005F53C0" w:rsidRPr="0058434D">
        <w:rPr>
          <w:bCs/>
          <w:sz w:val="20"/>
          <w:szCs w:val="20"/>
          <w:lang w:val="es-ES_tradnl"/>
        </w:rPr>
        <w:t xml:space="preserve"> por la parte </w:t>
      </w:r>
      <w:r w:rsidR="005F53C0" w:rsidRPr="0058434D">
        <w:rPr>
          <w:bCs/>
          <w:sz w:val="20"/>
          <w:szCs w:val="20"/>
          <w:lang w:val="es-ES_tradnl"/>
        </w:rPr>
        <w:lastRenderedPageBreak/>
        <w:t xml:space="preserve">peticionaria, no se tiene información sobre </w:t>
      </w:r>
      <w:r w:rsidRPr="0058434D">
        <w:rPr>
          <w:bCs/>
          <w:sz w:val="20"/>
          <w:szCs w:val="20"/>
          <w:lang w:val="es-ES_tradnl"/>
        </w:rPr>
        <w:t xml:space="preserve">su </w:t>
      </w:r>
      <w:r w:rsidR="00A72F3B" w:rsidRPr="0058434D">
        <w:rPr>
          <w:bCs/>
          <w:sz w:val="20"/>
          <w:szCs w:val="20"/>
          <w:lang w:val="es-ES_tradnl"/>
        </w:rPr>
        <w:t>estado procesal o resultado</w:t>
      </w:r>
      <w:r w:rsidRPr="0058434D">
        <w:rPr>
          <w:bCs/>
          <w:sz w:val="20"/>
          <w:szCs w:val="20"/>
          <w:lang w:val="es-ES_tradnl"/>
        </w:rPr>
        <w:t xml:space="preserve">, los peticionarios únicamente manifestaron </w:t>
      </w:r>
      <w:r w:rsidR="00CA757F" w:rsidRPr="0058434D">
        <w:rPr>
          <w:bCs/>
          <w:sz w:val="20"/>
          <w:szCs w:val="20"/>
          <w:lang w:val="es-ES_tradnl"/>
        </w:rPr>
        <w:t xml:space="preserve">que </w:t>
      </w:r>
      <w:r w:rsidRPr="0058434D">
        <w:rPr>
          <w:bCs/>
          <w:sz w:val="20"/>
          <w:szCs w:val="20"/>
          <w:lang w:val="es-ES_tradnl"/>
        </w:rPr>
        <w:t xml:space="preserve">es un proceso dilatorio al no tener avance. </w:t>
      </w:r>
    </w:p>
    <w:p w14:paraId="07F82230" w14:textId="77777777" w:rsidR="006B275F" w:rsidRPr="0058434D" w:rsidRDefault="003B3299" w:rsidP="00BC145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2" w:firstLine="567"/>
        <w:jc w:val="both"/>
        <w:rPr>
          <w:bCs/>
          <w:sz w:val="20"/>
          <w:szCs w:val="20"/>
          <w:lang w:val="es-ES_tradnl"/>
        </w:rPr>
      </w:pPr>
      <w:r w:rsidRPr="0058434D">
        <w:rPr>
          <w:sz w:val="20"/>
          <w:szCs w:val="20"/>
          <w:lang w:val="es-ES_tradnl"/>
        </w:rPr>
        <w:t>El Estado</w:t>
      </w:r>
      <w:r w:rsidR="00865C99" w:rsidRPr="0058434D">
        <w:rPr>
          <w:sz w:val="20"/>
          <w:szCs w:val="20"/>
          <w:lang w:val="es-ES_tradnl"/>
        </w:rPr>
        <w:t>,</w:t>
      </w:r>
      <w:r w:rsidRPr="0058434D">
        <w:rPr>
          <w:sz w:val="20"/>
          <w:szCs w:val="20"/>
          <w:lang w:val="es-ES_tradnl"/>
        </w:rPr>
        <w:t xml:space="preserve"> </w:t>
      </w:r>
      <w:r w:rsidR="00543B95" w:rsidRPr="0058434D">
        <w:rPr>
          <w:sz w:val="20"/>
          <w:szCs w:val="20"/>
          <w:lang w:val="es-ES_tradnl"/>
        </w:rPr>
        <w:t xml:space="preserve">por su parte, </w:t>
      </w:r>
      <w:r w:rsidR="00865C99" w:rsidRPr="0058434D">
        <w:rPr>
          <w:sz w:val="20"/>
          <w:szCs w:val="20"/>
          <w:lang w:val="es-ES_tradnl"/>
        </w:rPr>
        <w:t xml:space="preserve">pide la inadmisibilidad </w:t>
      </w:r>
      <w:r w:rsidR="00CA757F" w:rsidRPr="0058434D">
        <w:rPr>
          <w:bCs/>
          <w:sz w:val="20"/>
          <w:szCs w:val="20"/>
          <w:lang w:val="es-ES_tradnl"/>
        </w:rPr>
        <w:t>p</w:t>
      </w:r>
      <w:r w:rsidR="00A0092A" w:rsidRPr="0058434D">
        <w:rPr>
          <w:bCs/>
          <w:sz w:val="20"/>
          <w:szCs w:val="20"/>
          <w:lang w:val="es-ES_tradnl"/>
        </w:rPr>
        <w:t>or</w:t>
      </w:r>
      <w:r w:rsidR="00CC5B6F" w:rsidRPr="0058434D">
        <w:rPr>
          <w:bCs/>
          <w:sz w:val="20"/>
          <w:szCs w:val="20"/>
          <w:lang w:val="es-ES_tradnl"/>
        </w:rPr>
        <w:t xml:space="preserve"> falta de agotamiento de los recursos internos, puesto que no se presentaron todos los recursos disponibles, </w:t>
      </w:r>
      <w:r w:rsidR="00F813CB" w:rsidRPr="0058434D">
        <w:rPr>
          <w:bCs/>
          <w:sz w:val="20"/>
          <w:szCs w:val="20"/>
          <w:lang w:val="es-ES_tradnl"/>
        </w:rPr>
        <w:t>(contencioso-administrativo, acción reivindicatoria y amparo constitucional); además, porque el proceso penal contra VIPASA continúa en investigación</w:t>
      </w:r>
      <w:r w:rsidR="00A0092A" w:rsidRPr="0058434D">
        <w:rPr>
          <w:rStyle w:val="FootnoteReference"/>
          <w:bCs/>
          <w:sz w:val="20"/>
          <w:szCs w:val="20"/>
          <w:lang w:val="es-ES_tradnl"/>
        </w:rPr>
        <w:footnoteReference w:id="11"/>
      </w:r>
      <w:r w:rsidR="00F813CB" w:rsidRPr="0058434D">
        <w:rPr>
          <w:bCs/>
          <w:sz w:val="20"/>
          <w:szCs w:val="20"/>
          <w:lang w:val="es-ES_tradnl"/>
        </w:rPr>
        <w:t xml:space="preserve">. </w:t>
      </w:r>
    </w:p>
    <w:p w14:paraId="2CAB2016" w14:textId="74F341D9" w:rsidR="00CC5B6F" w:rsidRPr="0058434D" w:rsidRDefault="006B275F" w:rsidP="006B275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2" w:firstLine="567"/>
        <w:jc w:val="both"/>
        <w:rPr>
          <w:bCs/>
          <w:sz w:val="20"/>
          <w:szCs w:val="20"/>
          <w:lang w:val="es-ES_tradnl"/>
        </w:rPr>
      </w:pPr>
      <w:r w:rsidRPr="0058434D">
        <w:rPr>
          <w:bCs/>
          <w:sz w:val="20"/>
          <w:szCs w:val="20"/>
          <w:lang w:val="es-ES_tradnl"/>
        </w:rPr>
        <w:t>Esta Comisión observa que el</w:t>
      </w:r>
      <w:r w:rsidR="00BC1458" w:rsidRPr="0058434D">
        <w:rPr>
          <w:bCs/>
          <w:sz w:val="20"/>
          <w:szCs w:val="20"/>
          <w:lang w:val="es-ES"/>
        </w:rPr>
        <w:t xml:space="preserve"> Estado alegó la falta de agotamiento de recursos internos en cuanto a la falta de supervisión y control hacia BANCAFE y VIPASA</w:t>
      </w:r>
      <w:r w:rsidRPr="0058434D">
        <w:rPr>
          <w:bCs/>
          <w:sz w:val="20"/>
          <w:szCs w:val="20"/>
          <w:lang w:val="es-ES"/>
        </w:rPr>
        <w:t>. S</w:t>
      </w:r>
      <w:r w:rsidR="00BC1458" w:rsidRPr="0058434D">
        <w:rPr>
          <w:bCs/>
          <w:sz w:val="20"/>
          <w:szCs w:val="20"/>
          <w:lang w:val="es-ES"/>
        </w:rPr>
        <w:t>in embargo, frente al retardo injustificado en el proceso penal</w:t>
      </w:r>
      <w:r w:rsidRPr="0058434D">
        <w:rPr>
          <w:bCs/>
          <w:sz w:val="20"/>
          <w:szCs w:val="20"/>
          <w:lang w:val="es-ES"/>
        </w:rPr>
        <w:t>,</w:t>
      </w:r>
      <w:r w:rsidR="00BC1458" w:rsidRPr="0058434D">
        <w:rPr>
          <w:bCs/>
          <w:sz w:val="20"/>
          <w:szCs w:val="20"/>
          <w:lang w:val="es-ES"/>
        </w:rPr>
        <w:t xml:space="preserve"> el Estado únicamente se refirió a la ausencia de caracterización de los hechos sin haber alegado la existencia de recursos pendientes de agotamiento ni haber demostrado su efectividad.</w:t>
      </w:r>
    </w:p>
    <w:p w14:paraId="19610BA9" w14:textId="2015B000" w:rsidR="00F13AD0" w:rsidRPr="0058434D" w:rsidRDefault="008D3A3B">
      <w:pPr>
        <w:pStyle w:val="ListParagraph"/>
        <w:numPr>
          <w:ilvl w:val="0"/>
          <w:numId w:val="56"/>
        </w:numPr>
        <w:spacing w:before="240" w:after="240"/>
        <w:ind w:left="142" w:firstLine="567"/>
        <w:jc w:val="both"/>
        <w:rPr>
          <w:bCs/>
          <w:sz w:val="20"/>
          <w:szCs w:val="20"/>
          <w:lang w:val="es-ES_tradnl"/>
        </w:rPr>
      </w:pPr>
      <w:r w:rsidRPr="0058434D">
        <w:rPr>
          <w:bCs/>
          <w:sz w:val="20"/>
          <w:szCs w:val="20"/>
          <w:lang w:val="es-ES_tradnl"/>
        </w:rPr>
        <w:t>Con r</w:t>
      </w:r>
      <w:r w:rsidR="00543B95" w:rsidRPr="0058434D">
        <w:rPr>
          <w:bCs/>
          <w:sz w:val="20"/>
          <w:szCs w:val="20"/>
          <w:lang w:val="es-ES_tradnl"/>
        </w:rPr>
        <w:t xml:space="preserve">especto al </w:t>
      </w:r>
      <w:r w:rsidR="00B33BDC" w:rsidRPr="0058434D">
        <w:rPr>
          <w:bCs/>
          <w:sz w:val="20"/>
          <w:szCs w:val="20"/>
          <w:lang w:val="es-ES_tradnl"/>
        </w:rPr>
        <w:t>argumento de</w:t>
      </w:r>
      <w:r w:rsidR="00F13AD0" w:rsidRPr="0058434D">
        <w:rPr>
          <w:bCs/>
          <w:sz w:val="20"/>
          <w:szCs w:val="20"/>
          <w:lang w:val="es-ES_tradnl"/>
        </w:rPr>
        <w:t xml:space="preserve"> falta de supervisión </w:t>
      </w:r>
      <w:r w:rsidRPr="0058434D">
        <w:rPr>
          <w:bCs/>
          <w:sz w:val="20"/>
          <w:szCs w:val="20"/>
          <w:lang w:val="es-ES_tradnl"/>
        </w:rPr>
        <w:t>o</w:t>
      </w:r>
      <w:r w:rsidR="00F13AD0" w:rsidRPr="0058434D">
        <w:rPr>
          <w:bCs/>
          <w:sz w:val="20"/>
          <w:szCs w:val="20"/>
          <w:lang w:val="es-ES_tradnl"/>
        </w:rPr>
        <w:t xml:space="preserve"> fiscalización y control </w:t>
      </w:r>
      <w:r w:rsidRPr="0058434D">
        <w:rPr>
          <w:bCs/>
          <w:sz w:val="20"/>
          <w:szCs w:val="20"/>
          <w:lang w:val="es-ES_tradnl"/>
        </w:rPr>
        <w:t>del</w:t>
      </w:r>
      <w:r w:rsidR="00F13AD0" w:rsidRPr="0058434D">
        <w:rPr>
          <w:bCs/>
          <w:sz w:val="20"/>
          <w:szCs w:val="20"/>
          <w:lang w:val="es-ES_tradnl"/>
        </w:rPr>
        <w:t xml:space="preserve"> Estado, </w:t>
      </w:r>
      <w:r w:rsidR="00C922AE" w:rsidRPr="0058434D">
        <w:rPr>
          <w:bCs/>
          <w:sz w:val="20"/>
          <w:szCs w:val="20"/>
          <w:lang w:val="es-ES_tradnl"/>
        </w:rPr>
        <w:t xml:space="preserve">mismo que conllevó a la pérdida de bienes económicos de </w:t>
      </w:r>
      <w:r w:rsidR="00F13AD0" w:rsidRPr="0058434D">
        <w:rPr>
          <w:bCs/>
          <w:sz w:val="20"/>
          <w:szCs w:val="20"/>
          <w:lang w:val="es-ES_tradnl"/>
        </w:rPr>
        <w:t>los peticionarios</w:t>
      </w:r>
      <w:r w:rsidR="00C922AE" w:rsidRPr="0058434D">
        <w:rPr>
          <w:bCs/>
          <w:sz w:val="20"/>
          <w:szCs w:val="20"/>
          <w:lang w:val="es-ES_tradnl"/>
        </w:rPr>
        <w:t>, la Comisión observa</w:t>
      </w:r>
      <w:r w:rsidR="00B33BDC" w:rsidRPr="0058434D">
        <w:rPr>
          <w:bCs/>
          <w:sz w:val="20"/>
          <w:szCs w:val="20"/>
          <w:lang w:val="es-ES_tradnl"/>
        </w:rPr>
        <w:t xml:space="preserve"> </w:t>
      </w:r>
      <w:r w:rsidR="00D17EA2" w:rsidRPr="0058434D">
        <w:rPr>
          <w:bCs/>
          <w:sz w:val="20"/>
          <w:szCs w:val="20"/>
          <w:lang w:val="es-ES_tradnl"/>
        </w:rPr>
        <w:t>que no existen</w:t>
      </w:r>
      <w:r w:rsidR="00F13AD0" w:rsidRPr="0058434D">
        <w:rPr>
          <w:bCs/>
          <w:sz w:val="20"/>
          <w:szCs w:val="20"/>
          <w:lang w:val="es-ES_tradnl"/>
        </w:rPr>
        <w:t xml:space="preserve"> elementos para concluir que </w:t>
      </w:r>
      <w:r w:rsidR="00B33BDC" w:rsidRPr="0058434D">
        <w:rPr>
          <w:bCs/>
          <w:sz w:val="20"/>
          <w:szCs w:val="20"/>
          <w:lang w:val="es-ES_tradnl"/>
        </w:rPr>
        <w:t>los peticionarios</w:t>
      </w:r>
      <w:r w:rsidR="00F13AD0" w:rsidRPr="0058434D">
        <w:rPr>
          <w:bCs/>
          <w:sz w:val="20"/>
          <w:szCs w:val="20"/>
          <w:lang w:val="es-ES_tradnl"/>
        </w:rPr>
        <w:t xml:space="preserve"> agotaron los recursos internos; tampoco denunciaron la ausencia de recursos para impugnar dicha situación</w:t>
      </w:r>
      <w:r w:rsidR="00A71259" w:rsidRPr="0058434D">
        <w:rPr>
          <w:bCs/>
          <w:sz w:val="20"/>
          <w:szCs w:val="20"/>
          <w:lang w:val="es-ES_tradnl"/>
        </w:rPr>
        <w:t>,</w:t>
      </w:r>
      <w:r w:rsidR="00F13AD0" w:rsidRPr="0058434D">
        <w:rPr>
          <w:bCs/>
          <w:sz w:val="20"/>
          <w:szCs w:val="20"/>
          <w:lang w:val="es-ES_tradnl"/>
        </w:rPr>
        <w:t xml:space="preserve"> ni señalaron situaciones en las que se les haya sido impedido agotar </w:t>
      </w:r>
      <w:r w:rsidR="00A71259" w:rsidRPr="0058434D">
        <w:rPr>
          <w:bCs/>
          <w:sz w:val="20"/>
          <w:szCs w:val="20"/>
          <w:lang w:val="es-ES_tradnl"/>
        </w:rPr>
        <w:t xml:space="preserve">los </w:t>
      </w:r>
      <w:r w:rsidR="00F13AD0" w:rsidRPr="0058434D">
        <w:rPr>
          <w:bCs/>
          <w:sz w:val="20"/>
          <w:szCs w:val="20"/>
          <w:lang w:val="es-ES_tradnl"/>
        </w:rPr>
        <w:t xml:space="preserve">recursos existentes. Por lo tanto, la Comisión concluye que este </w:t>
      </w:r>
      <w:r w:rsidR="00D067A0" w:rsidRPr="0058434D">
        <w:rPr>
          <w:bCs/>
          <w:sz w:val="20"/>
          <w:szCs w:val="20"/>
          <w:lang w:val="es-ES_tradnl"/>
        </w:rPr>
        <w:t xml:space="preserve">extremo de la petición </w:t>
      </w:r>
      <w:r w:rsidR="00F13AD0" w:rsidRPr="0058434D">
        <w:rPr>
          <w:bCs/>
          <w:sz w:val="20"/>
          <w:szCs w:val="20"/>
          <w:lang w:val="es-ES_tradnl"/>
        </w:rPr>
        <w:t>resulta inadmisible por no cumplir con el requisito del artículo 46.1.a) de la Convención Americana.</w:t>
      </w:r>
      <w:r w:rsidR="00767486" w:rsidRPr="0058434D">
        <w:rPr>
          <w:bCs/>
          <w:sz w:val="20"/>
          <w:szCs w:val="20"/>
          <w:lang w:val="es-ES_tradnl"/>
        </w:rPr>
        <w:t xml:space="preserve"> En este sentido, queda excluido del marco fáctico del presente informe la alegada violación al artículo 21 (derecho de propiedad) de la Convención Americana. </w:t>
      </w:r>
    </w:p>
    <w:p w14:paraId="0C4E8A11" w14:textId="2DDF1FD9" w:rsidR="00641AAA" w:rsidRPr="0058434D" w:rsidRDefault="00B9501A" w:rsidP="00C90453">
      <w:pPr>
        <w:pStyle w:val="ListParagraph"/>
        <w:numPr>
          <w:ilvl w:val="0"/>
          <w:numId w:val="56"/>
        </w:numPr>
        <w:spacing w:before="240" w:after="240"/>
        <w:ind w:left="142" w:firstLine="567"/>
        <w:jc w:val="both"/>
        <w:rPr>
          <w:bCs/>
          <w:sz w:val="20"/>
          <w:szCs w:val="20"/>
          <w:lang w:val="es-ES_tradnl"/>
        </w:rPr>
      </w:pPr>
      <w:r w:rsidRPr="0058434D">
        <w:rPr>
          <w:bCs/>
          <w:sz w:val="20"/>
          <w:szCs w:val="20"/>
          <w:lang w:val="es-ES_tradnl"/>
        </w:rPr>
        <w:t>Por otro lado</w:t>
      </w:r>
      <w:r w:rsidR="00F13AD0" w:rsidRPr="0058434D">
        <w:rPr>
          <w:bCs/>
          <w:sz w:val="20"/>
          <w:szCs w:val="20"/>
          <w:lang w:val="es-ES_tradnl"/>
        </w:rPr>
        <w:t>,</w:t>
      </w:r>
      <w:r w:rsidRPr="0058434D">
        <w:rPr>
          <w:bCs/>
          <w:sz w:val="20"/>
          <w:szCs w:val="20"/>
          <w:lang w:val="es-ES_tradnl"/>
        </w:rPr>
        <w:t xml:space="preserve"> </w:t>
      </w:r>
      <w:r w:rsidR="00A71259" w:rsidRPr="0058434D">
        <w:rPr>
          <w:bCs/>
          <w:sz w:val="20"/>
          <w:szCs w:val="20"/>
          <w:lang w:val="es-ES_tradnl"/>
        </w:rPr>
        <w:t>con respecto</w:t>
      </w:r>
      <w:r w:rsidRPr="0058434D">
        <w:rPr>
          <w:bCs/>
          <w:sz w:val="20"/>
          <w:szCs w:val="20"/>
          <w:lang w:val="es-ES_tradnl"/>
        </w:rPr>
        <w:t xml:space="preserve"> al retardo</w:t>
      </w:r>
      <w:r w:rsidR="00F13AD0" w:rsidRPr="0058434D">
        <w:rPr>
          <w:bCs/>
          <w:sz w:val="20"/>
          <w:szCs w:val="20"/>
          <w:lang w:val="es-ES_tradnl"/>
        </w:rPr>
        <w:t xml:space="preserve"> injustificado en la investigación pena</w:t>
      </w:r>
      <w:r w:rsidR="00B33BDC" w:rsidRPr="0058434D">
        <w:rPr>
          <w:bCs/>
          <w:sz w:val="20"/>
          <w:szCs w:val="20"/>
          <w:lang w:val="es-ES_tradnl"/>
        </w:rPr>
        <w:t xml:space="preserve">l, se advierte que no hay información </w:t>
      </w:r>
      <w:r w:rsidR="00C90453" w:rsidRPr="0058434D">
        <w:rPr>
          <w:bCs/>
          <w:sz w:val="20"/>
          <w:szCs w:val="20"/>
          <w:lang w:val="es-ES_tradnl"/>
        </w:rPr>
        <w:t xml:space="preserve">actualizada aportada por ninguna de las dos partes </w:t>
      </w:r>
      <w:r w:rsidR="00B33BDC" w:rsidRPr="0058434D">
        <w:rPr>
          <w:bCs/>
          <w:sz w:val="20"/>
          <w:szCs w:val="20"/>
          <w:lang w:val="es-ES_tradnl"/>
        </w:rPr>
        <w:t xml:space="preserve">sobre la querella </w:t>
      </w:r>
      <w:r w:rsidR="00C90453" w:rsidRPr="0058434D">
        <w:rPr>
          <w:bCs/>
          <w:sz w:val="20"/>
          <w:szCs w:val="20"/>
          <w:lang w:val="es-ES_tradnl"/>
        </w:rPr>
        <w:t xml:space="preserve">contra VIPASA y BANCAFE </w:t>
      </w:r>
      <w:r w:rsidR="00B33BDC" w:rsidRPr="0058434D">
        <w:rPr>
          <w:bCs/>
          <w:sz w:val="20"/>
          <w:szCs w:val="20"/>
          <w:lang w:val="es-ES_tradnl"/>
        </w:rPr>
        <w:t xml:space="preserve">interpuesta por </w:t>
      </w:r>
      <w:r w:rsidR="00C90453" w:rsidRPr="0058434D">
        <w:rPr>
          <w:bCs/>
          <w:sz w:val="20"/>
          <w:szCs w:val="20"/>
          <w:lang w:val="es-ES_tradnl"/>
        </w:rPr>
        <w:t>las presuntas víctimas en 2007. En cuanto a las dos denuncias interpuestas en 2006 por la SIB contra VIPASA, conforme a lo informado por el Estado, continúan en investigación ante el Ministerio Público. Así, se advierte que el proceso penal sigue en proceso,</w:t>
      </w:r>
      <w:r w:rsidR="00C90453" w:rsidRPr="0058434D">
        <w:rPr>
          <w:sz w:val="20"/>
          <w:szCs w:val="20"/>
          <w:lang w:val="es-ES_tradnl"/>
        </w:rPr>
        <w:t xml:space="preserve"> y que </w:t>
      </w:r>
      <w:r w:rsidR="00641AAA" w:rsidRPr="0058434D">
        <w:rPr>
          <w:bCs/>
          <w:sz w:val="20"/>
          <w:szCs w:val="20"/>
          <w:lang w:val="es-ES_tradnl"/>
        </w:rPr>
        <w:t xml:space="preserve">los eventos motivos de las alegadas violaciones comenzaron en octubre de 2006 </w:t>
      </w:r>
      <w:r w:rsidR="00564B7E" w:rsidRPr="0058434D">
        <w:rPr>
          <w:bCs/>
          <w:sz w:val="20"/>
          <w:szCs w:val="20"/>
          <w:lang w:val="es-ES_tradnl"/>
        </w:rPr>
        <w:t>cuando la</w:t>
      </w:r>
      <w:r w:rsidR="00641AAA" w:rsidRPr="0058434D">
        <w:rPr>
          <w:bCs/>
          <w:sz w:val="20"/>
          <w:szCs w:val="20"/>
          <w:lang w:val="es-ES_tradnl"/>
        </w:rPr>
        <w:t xml:space="preserve"> Junta Monetaria </w:t>
      </w:r>
      <w:r w:rsidR="00564B7E" w:rsidRPr="0058434D">
        <w:rPr>
          <w:bCs/>
          <w:sz w:val="20"/>
          <w:szCs w:val="20"/>
          <w:lang w:val="es-ES_tradnl"/>
        </w:rPr>
        <w:t>suspendió las</w:t>
      </w:r>
      <w:r w:rsidR="00641AAA" w:rsidRPr="0058434D">
        <w:rPr>
          <w:bCs/>
          <w:sz w:val="20"/>
          <w:szCs w:val="20"/>
          <w:lang w:val="es-ES_tradnl"/>
        </w:rPr>
        <w:t xml:space="preserve"> operaciones de BANCAFE por manejos ilícitos. Así, e</w:t>
      </w:r>
      <w:r w:rsidR="00641AAA" w:rsidRPr="0058434D">
        <w:rPr>
          <w:sz w:val="20"/>
          <w:szCs w:val="20"/>
          <w:lang w:val="es-ES_tradnl"/>
        </w:rPr>
        <w:t>n total, tomando en cuenta los procesos internos como un todo, han transcurrido más de quince años desde la comisión de los hechos denunciados, periodo tras el cual el proceso penal sigue inconcluso, sin que se haya determinado una justa sanción contra todos los responsables.</w:t>
      </w:r>
      <w:r w:rsidR="00641AAA" w:rsidRPr="0058434D">
        <w:rPr>
          <w:bCs/>
          <w:sz w:val="20"/>
          <w:szCs w:val="20"/>
          <w:lang w:val="es-ES_tradnl"/>
        </w:rPr>
        <w:t xml:space="preserve"> </w:t>
      </w:r>
      <w:r w:rsidR="00767486" w:rsidRPr="0058434D">
        <w:rPr>
          <w:bCs/>
          <w:sz w:val="20"/>
          <w:szCs w:val="20"/>
          <w:lang w:val="es-ES_tradnl"/>
        </w:rPr>
        <w:t>En este sentido, con independencia de que las presuntas víctimas hayan denunciado penalmente por su cuenta, lo determinante para el presente análisis es que hubo dos procesos penales iniciados por la SIB que a la fecha no han tenido ningún efecto en términos de proveer justicia a los afectados por las actividades irregulares de las citadas entidades financieras, afectados entre los que se encuentran concretamente las presuntas víctimas de esta petición.</w:t>
      </w:r>
    </w:p>
    <w:p w14:paraId="6A9F2408" w14:textId="77777777" w:rsidR="00767486" w:rsidRPr="0058434D" w:rsidRDefault="00740E71">
      <w:pPr>
        <w:pStyle w:val="ListParagraph"/>
        <w:numPr>
          <w:ilvl w:val="0"/>
          <w:numId w:val="56"/>
        </w:numPr>
        <w:spacing w:before="240" w:after="240"/>
        <w:ind w:left="142" w:firstLine="567"/>
        <w:jc w:val="both"/>
        <w:rPr>
          <w:sz w:val="20"/>
          <w:szCs w:val="20"/>
          <w:lang w:val="es-ES_tradnl"/>
        </w:rPr>
      </w:pPr>
      <w:r w:rsidRPr="0058434D">
        <w:rPr>
          <w:sz w:val="20"/>
          <w:szCs w:val="20"/>
          <w:lang w:val="es-ES_tradnl"/>
        </w:rPr>
        <w:t xml:space="preserve">En este sentido, </w:t>
      </w:r>
      <w:r w:rsidR="00641AAA" w:rsidRPr="0058434D">
        <w:rPr>
          <w:sz w:val="20"/>
          <w:szCs w:val="20"/>
          <w:lang w:val="es-ES_tradnl"/>
        </w:rPr>
        <w:t>la Comisión reitera en primer lugar, como lo ha hecho consistentemente, que 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La CIDH también ha subrayado que no existen disposiciones convencionales o reglamentarias que regulen de modo específico el lapso de tiempo que constituye retardo injustificado, por lo cual la Comisión evalúa caso por caso para determinar si se configura dicho retardo</w:t>
      </w:r>
      <w:r w:rsidR="00641AAA" w:rsidRPr="0058434D">
        <w:rPr>
          <w:sz w:val="20"/>
          <w:szCs w:val="20"/>
          <w:vertAlign w:val="superscript"/>
          <w:lang w:val="es-ES_tradnl"/>
        </w:rPr>
        <w:footnoteReference w:id="12"/>
      </w:r>
      <w:r w:rsidR="00641AAA" w:rsidRPr="0058434D">
        <w:rPr>
          <w:sz w:val="20"/>
          <w:szCs w:val="20"/>
          <w:lang w:val="es-ES_tradnl"/>
        </w:rPr>
        <w:t>. En esta línea, la Corte Interamericana ha establecido como principio rector del análisis del eventual retardo injustificado como excepción a la regla del agotamiento de los recursos internos, que “</w:t>
      </w:r>
      <w:r w:rsidR="00641AAA" w:rsidRPr="0058434D">
        <w:rPr>
          <w:i/>
          <w:iCs/>
          <w:sz w:val="20"/>
          <w:szCs w:val="20"/>
          <w:lang w:val="es-ES_tradnl"/>
        </w:rPr>
        <w:t xml:space="preserve">de ninguna manera la regla del previo agotamiento debe conducir a que se </w:t>
      </w:r>
      <w:r w:rsidR="00641AAA" w:rsidRPr="0058434D">
        <w:rPr>
          <w:i/>
          <w:iCs/>
          <w:sz w:val="20"/>
          <w:szCs w:val="20"/>
          <w:lang w:val="es-ES_tradnl"/>
        </w:rPr>
        <w:lastRenderedPageBreak/>
        <w:t>detenga o se demore hasta la inutilidad la actuación internacional en auxilio de la víctima indefensa</w:t>
      </w:r>
      <w:r w:rsidR="00641AAA" w:rsidRPr="0058434D">
        <w:rPr>
          <w:sz w:val="20"/>
          <w:szCs w:val="20"/>
          <w:lang w:val="es-ES_tradnl"/>
        </w:rPr>
        <w:t>”</w:t>
      </w:r>
      <w:r w:rsidR="00641AAA" w:rsidRPr="0058434D">
        <w:rPr>
          <w:sz w:val="20"/>
          <w:szCs w:val="20"/>
          <w:vertAlign w:val="superscript"/>
          <w:lang w:val="es-ES_tradnl"/>
        </w:rPr>
        <w:footnoteReference w:id="13"/>
      </w:r>
      <w:r w:rsidR="00641AAA" w:rsidRPr="0058434D">
        <w:rPr>
          <w:sz w:val="20"/>
          <w:szCs w:val="20"/>
          <w:lang w:val="es-ES_tradnl"/>
        </w:rPr>
        <w:t>. Es decir, a juicio de la Comisión, la naturaleza complementaria de la protección internacional prevista en la Convención Americana implica también que la intervención de los órganos del Sistema Interamericano sea oportuna para que esta pueda tener algún tipo de efecto útil en la protección de los derechos de las presuntas víctimas</w:t>
      </w:r>
      <w:r w:rsidR="0084046B" w:rsidRPr="0058434D">
        <w:rPr>
          <w:sz w:val="20"/>
          <w:szCs w:val="20"/>
          <w:lang w:val="es-ES_tradnl"/>
        </w:rPr>
        <w:t>.</w:t>
      </w:r>
      <w:r w:rsidR="00641AAA" w:rsidRPr="0058434D">
        <w:rPr>
          <w:rFonts w:cs="Calibri"/>
          <w:sz w:val="20"/>
          <w:szCs w:val="20"/>
          <w:lang w:val="es-ES_tradnl"/>
        </w:rPr>
        <w:t xml:space="preserve"> </w:t>
      </w:r>
    </w:p>
    <w:p w14:paraId="2EB7DE20" w14:textId="637BFFC6" w:rsidR="0084046B" w:rsidRPr="0058434D" w:rsidRDefault="00641AAA">
      <w:pPr>
        <w:pStyle w:val="ListParagraph"/>
        <w:numPr>
          <w:ilvl w:val="0"/>
          <w:numId w:val="56"/>
        </w:numPr>
        <w:spacing w:before="240" w:after="240"/>
        <w:ind w:left="142" w:firstLine="567"/>
        <w:jc w:val="both"/>
        <w:rPr>
          <w:sz w:val="20"/>
          <w:szCs w:val="20"/>
          <w:lang w:val="es-ES_tradnl"/>
        </w:rPr>
      </w:pPr>
      <w:r w:rsidRPr="0058434D">
        <w:rPr>
          <w:rFonts w:cs="Calibri"/>
          <w:sz w:val="20"/>
          <w:szCs w:val="20"/>
          <w:lang w:val="es-ES_tradnl"/>
        </w:rPr>
        <w:t>En consecuencia, la CIDH concluye que</w:t>
      </w:r>
      <w:r w:rsidR="00301AAD" w:rsidRPr="0058434D">
        <w:rPr>
          <w:rFonts w:cs="Calibri"/>
          <w:sz w:val="20"/>
          <w:szCs w:val="20"/>
          <w:lang w:val="es-ES_tradnl"/>
        </w:rPr>
        <w:t xml:space="preserve">, para la investigación penal en este caso, </w:t>
      </w:r>
      <w:r w:rsidRPr="0058434D">
        <w:rPr>
          <w:rFonts w:cs="Calibri"/>
          <w:sz w:val="20"/>
          <w:szCs w:val="20"/>
          <w:lang w:val="es-ES_tradnl"/>
        </w:rPr>
        <w:t>aplica la excepción al agotamiento de los recursos internos, de conformidad con lo establecido en el artículo 46.2.c</w:t>
      </w:r>
      <w:r w:rsidR="00767486" w:rsidRPr="0058434D">
        <w:rPr>
          <w:rFonts w:cs="Calibri"/>
          <w:sz w:val="20"/>
          <w:szCs w:val="20"/>
          <w:lang w:val="es-ES_tradnl"/>
        </w:rPr>
        <w:t>)</w:t>
      </w:r>
      <w:r w:rsidRPr="0058434D">
        <w:rPr>
          <w:rFonts w:cs="Calibri"/>
          <w:sz w:val="20"/>
          <w:szCs w:val="20"/>
          <w:lang w:val="es-ES_tradnl"/>
        </w:rPr>
        <w:t xml:space="preserve"> de la Convención”</w:t>
      </w:r>
      <w:r w:rsidRPr="0058434D">
        <w:rPr>
          <w:rStyle w:val="FootnoteReference"/>
          <w:rFonts w:cs="Calibri"/>
          <w:sz w:val="20"/>
          <w:szCs w:val="20"/>
          <w:lang w:val="es-ES_tradnl"/>
        </w:rPr>
        <w:footnoteReference w:id="14"/>
      </w:r>
      <w:r w:rsidRPr="0058434D">
        <w:rPr>
          <w:rFonts w:cs="Calibri"/>
          <w:sz w:val="20"/>
          <w:szCs w:val="20"/>
          <w:lang w:val="es-ES_tradnl"/>
        </w:rPr>
        <w:t>.</w:t>
      </w:r>
      <w:r w:rsidR="00767486" w:rsidRPr="0058434D">
        <w:rPr>
          <w:rFonts w:cs="Calibri"/>
          <w:sz w:val="20"/>
          <w:szCs w:val="20"/>
          <w:lang w:val="es-ES_tradnl"/>
        </w:rPr>
        <w:t xml:space="preserve"> Asimismo, la Comisión observa que los hechos iniciales comenzaron a ocurrir en 2006; que la petición fue presentada un año después, en 2007; y que los efectos de los hechos denunciados, en términos de la falta de investigación y sanción de los responsables de la debacle financiera que afectó a las presuntas víctimas, en tanto víctimas de presuntos delitos, permanecerían hasta el presente. </w:t>
      </w:r>
    </w:p>
    <w:p w14:paraId="673598AF" w14:textId="77777777" w:rsidR="003239B8" w:rsidRPr="0058434D" w:rsidRDefault="003239B8" w:rsidP="003239B8">
      <w:pPr>
        <w:pStyle w:val="ListParagraph"/>
        <w:spacing w:before="240" w:after="240"/>
        <w:jc w:val="both"/>
        <w:rPr>
          <w:b/>
          <w:sz w:val="20"/>
          <w:szCs w:val="20"/>
          <w:lang w:val="es-ES_tradnl"/>
        </w:rPr>
      </w:pPr>
      <w:r w:rsidRPr="0058434D">
        <w:rPr>
          <w:b/>
          <w:bCs/>
          <w:sz w:val="20"/>
          <w:szCs w:val="20"/>
          <w:lang w:val="es-ES_tradnl"/>
        </w:rPr>
        <w:t>VII.</w:t>
      </w:r>
      <w:r w:rsidRPr="0058434D">
        <w:rPr>
          <w:b/>
          <w:bCs/>
          <w:sz w:val="20"/>
          <w:szCs w:val="20"/>
          <w:lang w:val="es-ES_tradnl"/>
        </w:rPr>
        <w:tab/>
      </w:r>
      <w:r w:rsidR="004A6A54" w:rsidRPr="0058434D">
        <w:rPr>
          <w:b/>
          <w:bCs/>
          <w:sz w:val="20"/>
          <w:szCs w:val="20"/>
          <w:lang w:val="es-ES_tradnl"/>
        </w:rPr>
        <w:t xml:space="preserve">ANÁLISIS DE </w:t>
      </w:r>
      <w:r w:rsidR="00C21FEF" w:rsidRPr="0058434D">
        <w:rPr>
          <w:b/>
          <w:bCs/>
          <w:sz w:val="20"/>
          <w:szCs w:val="20"/>
          <w:lang w:val="es-ES_tradnl"/>
        </w:rPr>
        <w:t>CARACTERIZACIÓN DE LOS HECHOS ALEGADOS</w:t>
      </w:r>
    </w:p>
    <w:p w14:paraId="530FCB57" w14:textId="4F0C40EB" w:rsidR="00103E76" w:rsidRPr="0058434D" w:rsidRDefault="00BB01D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2" w:firstLine="567"/>
        <w:jc w:val="both"/>
        <w:rPr>
          <w:bCs/>
          <w:sz w:val="20"/>
          <w:szCs w:val="20"/>
          <w:lang w:val="es-ES_tradnl"/>
        </w:rPr>
      </w:pPr>
      <w:r w:rsidRPr="0058434D">
        <w:rPr>
          <w:bCs/>
          <w:sz w:val="20"/>
          <w:szCs w:val="20"/>
          <w:lang w:val="es-ES_tradnl"/>
        </w:rPr>
        <w:t>La presente petición, en sus partes que resultan admisibles conforme la Sección VI del presente informe, incluye ale</w:t>
      </w:r>
      <w:r w:rsidR="00301AAD" w:rsidRPr="0058434D">
        <w:rPr>
          <w:bCs/>
          <w:sz w:val="20"/>
          <w:szCs w:val="20"/>
          <w:lang w:val="es-ES_tradnl"/>
        </w:rPr>
        <w:t>gatos</w:t>
      </w:r>
      <w:r w:rsidRPr="0058434D">
        <w:rPr>
          <w:bCs/>
          <w:sz w:val="20"/>
          <w:szCs w:val="20"/>
          <w:lang w:val="es-ES_tradnl"/>
        </w:rPr>
        <w:t xml:space="preserve"> de ret</w:t>
      </w:r>
      <w:r w:rsidR="00D213B5" w:rsidRPr="0058434D">
        <w:rPr>
          <w:bCs/>
          <w:sz w:val="20"/>
          <w:szCs w:val="20"/>
          <w:lang w:val="es-ES_tradnl"/>
        </w:rPr>
        <w:t>ardo</w:t>
      </w:r>
      <w:r w:rsidRPr="0058434D">
        <w:rPr>
          <w:bCs/>
          <w:sz w:val="20"/>
          <w:szCs w:val="20"/>
          <w:lang w:val="es-ES_tradnl"/>
        </w:rPr>
        <w:t xml:space="preserve"> injustificado dentro del proceso penal contra los responsables de invertir en VIPASA el dinero de las presuntas víctimas a través de BANCAFE. </w:t>
      </w:r>
      <w:r w:rsidR="00615363" w:rsidRPr="0058434D">
        <w:rPr>
          <w:bCs/>
          <w:sz w:val="20"/>
          <w:szCs w:val="20"/>
          <w:lang w:val="es-ES_tradnl"/>
        </w:rPr>
        <w:t>El Estado, sin embargo,</w:t>
      </w:r>
      <w:r w:rsidR="00103E76" w:rsidRPr="0058434D">
        <w:rPr>
          <w:bCs/>
          <w:sz w:val="20"/>
          <w:szCs w:val="20"/>
          <w:lang w:val="es-ES_tradnl"/>
        </w:rPr>
        <w:t xml:space="preserve"> </w:t>
      </w:r>
      <w:r w:rsidR="00C90453" w:rsidRPr="0058434D">
        <w:rPr>
          <w:bCs/>
          <w:sz w:val="20"/>
          <w:szCs w:val="20"/>
          <w:lang w:val="es-ES_tradnl"/>
        </w:rPr>
        <w:t xml:space="preserve">afirma que los dos procesos penales activados por la SIB contra VIPASA, </w:t>
      </w:r>
      <w:r w:rsidR="00301AAD" w:rsidRPr="0058434D">
        <w:rPr>
          <w:bCs/>
          <w:sz w:val="20"/>
          <w:szCs w:val="20"/>
          <w:lang w:val="es-ES_tradnl"/>
        </w:rPr>
        <w:t>siguen</w:t>
      </w:r>
      <w:r w:rsidR="00C90453" w:rsidRPr="0058434D">
        <w:rPr>
          <w:bCs/>
          <w:sz w:val="20"/>
          <w:szCs w:val="20"/>
          <w:lang w:val="es-ES_tradnl"/>
        </w:rPr>
        <w:t xml:space="preserve"> activos y en investigación</w:t>
      </w:r>
      <w:r w:rsidR="00301AAD" w:rsidRPr="0058434D">
        <w:rPr>
          <w:bCs/>
          <w:sz w:val="20"/>
          <w:szCs w:val="20"/>
          <w:lang w:val="es-ES_tradnl"/>
        </w:rPr>
        <w:t>, pese a que se iniciaron en 2006.</w:t>
      </w:r>
    </w:p>
    <w:p w14:paraId="75B19031" w14:textId="5CD51ABE" w:rsidR="00B303F7" w:rsidRPr="0058434D" w:rsidRDefault="00B303F7">
      <w:pPr>
        <w:pStyle w:val="ListParagraph"/>
        <w:numPr>
          <w:ilvl w:val="0"/>
          <w:numId w:val="56"/>
        </w:numPr>
        <w:spacing w:before="240"/>
        <w:ind w:left="142" w:firstLine="567"/>
        <w:jc w:val="both"/>
        <w:rPr>
          <w:bCs/>
          <w:sz w:val="20"/>
          <w:szCs w:val="20"/>
          <w:lang w:val="es-ES_tradnl"/>
        </w:rPr>
      </w:pPr>
      <w:r w:rsidRPr="0058434D">
        <w:rPr>
          <w:rFonts w:cs="Calibri"/>
          <w:sz w:val="20"/>
          <w:szCs w:val="20"/>
          <w:lang w:val="es-ES_tradnl"/>
        </w:rPr>
        <w:t xml:space="preserve">Conforme a estas consideraciones, y tras examinar los elementos de hecho y de derecho expuestos por las partes, esta Comisión estima que </w:t>
      </w:r>
      <w:r w:rsidR="00BB01DC" w:rsidRPr="0058434D">
        <w:rPr>
          <w:rFonts w:cs="Calibri"/>
          <w:sz w:val="20"/>
          <w:szCs w:val="20"/>
          <w:lang w:val="es-ES_tradnl"/>
        </w:rPr>
        <w:t>l</w:t>
      </w:r>
      <w:r w:rsidRPr="0058434D">
        <w:rPr>
          <w:rFonts w:cs="Calibri"/>
          <w:sz w:val="20"/>
          <w:szCs w:val="20"/>
          <w:lang w:val="es-ES_tradnl"/>
        </w:rPr>
        <w:t>os alegatos de la parte peticionaria no resultan manifiestamente infundad</w:t>
      </w:r>
      <w:r w:rsidR="00BB01DC" w:rsidRPr="0058434D">
        <w:rPr>
          <w:rFonts w:cs="Calibri"/>
          <w:sz w:val="20"/>
          <w:szCs w:val="20"/>
          <w:lang w:val="es-ES_tradnl"/>
        </w:rPr>
        <w:t>o</w:t>
      </w:r>
      <w:r w:rsidRPr="0058434D">
        <w:rPr>
          <w:rFonts w:cs="Calibri"/>
          <w:sz w:val="20"/>
          <w:szCs w:val="20"/>
          <w:lang w:val="es-ES_tradnl"/>
        </w:rPr>
        <w:t xml:space="preserve">s y requieren un estudio de fondo, pues </w:t>
      </w:r>
      <w:r w:rsidR="00D213B5" w:rsidRPr="0058434D">
        <w:rPr>
          <w:rFonts w:cs="Calibri"/>
          <w:sz w:val="20"/>
          <w:szCs w:val="20"/>
          <w:lang w:val="es-ES_tradnl"/>
        </w:rPr>
        <w:t>el retardo injustificado en la investigación y sanción penal,</w:t>
      </w:r>
      <w:r w:rsidRPr="0058434D">
        <w:rPr>
          <w:rFonts w:cs="Calibri"/>
          <w:sz w:val="20"/>
          <w:szCs w:val="20"/>
          <w:lang w:val="es-ES_tradnl"/>
        </w:rPr>
        <w:t xml:space="preserve"> de corroborarse, podría caracterizar violaciones de los artículos </w:t>
      </w:r>
      <w:r w:rsidRPr="0058434D">
        <w:rPr>
          <w:bCs/>
          <w:sz w:val="20"/>
          <w:szCs w:val="20"/>
          <w:lang w:val="es-ES_tradnl"/>
        </w:rPr>
        <w:t xml:space="preserve">8 (garantías judiciales) y 25 (protección judicial) </w:t>
      </w:r>
      <w:r w:rsidRPr="0058434D">
        <w:rPr>
          <w:rFonts w:cs="Calibri"/>
          <w:bCs/>
          <w:sz w:val="20"/>
          <w:szCs w:val="20"/>
          <w:lang w:val="es-ES_tradnl"/>
        </w:rPr>
        <w:t>de la Convención Americana</w:t>
      </w:r>
      <w:r w:rsidRPr="0058434D">
        <w:rPr>
          <w:bCs/>
          <w:sz w:val="20"/>
          <w:szCs w:val="20"/>
          <w:lang w:val="es-ES_tradnl"/>
        </w:rPr>
        <w:t xml:space="preserve"> , en relación con su artículo 1.1 (obligación de respetar los derechos</w:t>
      </w:r>
      <w:r w:rsidRPr="0058434D">
        <w:rPr>
          <w:rFonts w:cs="Calibri"/>
          <w:bCs/>
          <w:sz w:val="20"/>
          <w:szCs w:val="20"/>
          <w:lang w:val="es-ES_tradnl"/>
        </w:rPr>
        <w:t xml:space="preserve">) en perjuicio de los señores </w:t>
      </w:r>
      <w:r w:rsidR="00615363" w:rsidRPr="0058434D">
        <w:rPr>
          <w:rFonts w:cs="Calibri"/>
          <w:bCs/>
          <w:sz w:val="20"/>
          <w:szCs w:val="20"/>
          <w:lang w:val="es-ES_tradnl"/>
        </w:rPr>
        <w:t>Marta Francisca Ruiz Anleu de Caballeros y Julio Rodolfo Caballeros Galindo</w:t>
      </w:r>
      <w:r w:rsidR="00767486" w:rsidRPr="0058434D">
        <w:rPr>
          <w:rFonts w:cs="Calibri"/>
          <w:bCs/>
          <w:sz w:val="20"/>
          <w:szCs w:val="20"/>
          <w:lang w:val="es-ES_tradnl"/>
        </w:rPr>
        <w:t>, en los términos del presente informe, en particular con relación al aspecto específico de la falta de investigación y sanción de los hechos alegados según se ha deslindado en la sección VI de este informe</w:t>
      </w:r>
      <w:r w:rsidR="00615363" w:rsidRPr="0058434D">
        <w:rPr>
          <w:rFonts w:cs="Calibri"/>
          <w:bCs/>
          <w:sz w:val="20"/>
          <w:szCs w:val="20"/>
          <w:lang w:val="es-ES_tradnl"/>
        </w:rPr>
        <w:t>.</w:t>
      </w:r>
    </w:p>
    <w:p w14:paraId="445BF42E" w14:textId="77777777" w:rsidR="003239B8" w:rsidRPr="0058434D" w:rsidRDefault="003239B8" w:rsidP="003239B8">
      <w:pPr>
        <w:pStyle w:val="ListParagraph"/>
        <w:spacing w:before="240" w:after="240"/>
        <w:jc w:val="both"/>
        <w:rPr>
          <w:b/>
          <w:bCs/>
          <w:sz w:val="20"/>
          <w:szCs w:val="20"/>
          <w:lang w:val="es-ES_tradnl"/>
        </w:rPr>
      </w:pPr>
      <w:r w:rsidRPr="0058434D">
        <w:rPr>
          <w:b/>
          <w:bCs/>
          <w:sz w:val="20"/>
          <w:szCs w:val="20"/>
          <w:lang w:val="es-ES_tradnl"/>
        </w:rPr>
        <w:t xml:space="preserve">VIII. </w:t>
      </w:r>
      <w:r w:rsidRPr="0058434D">
        <w:rPr>
          <w:b/>
          <w:bCs/>
          <w:sz w:val="20"/>
          <w:szCs w:val="20"/>
          <w:lang w:val="es-ES_tradnl"/>
        </w:rPr>
        <w:tab/>
        <w:t>DECISIÓN</w:t>
      </w:r>
    </w:p>
    <w:p w14:paraId="547DFF8E" w14:textId="766FDE43" w:rsidR="000419AD" w:rsidRPr="0058434D"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58434D">
        <w:rPr>
          <w:rFonts w:ascii="Cambria" w:hAnsi="Cambria"/>
          <w:sz w:val="20"/>
          <w:szCs w:val="20"/>
          <w:lang w:val="es-ES_tradnl"/>
        </w:rPr>
        <w:t>Declarar admisible la presente petición en relación con</w:t>
      </w:r>
      <w:r w:rsidR="001D7F96" w:rsidRPr="0058434D">
        <w:rPr>
          <w:rFonts w:ascii="Cambria" w:hAnsi="Cambria"/>
          <w:sz w:val="20"/>
          <w:szCs w:val="20"/>
          <w:lang w:val="es-ES_tradnl"/>
        </w:rPr>
        <w:t xml:space="preserve"> </w:t>
      </w:r>
      <w:r w:rsidR="003A6268" w:rsidRPr="0058434D">
        <w:rPr>
          <w:rFonts w:ascii="Cambria" w:hAnsi="Cambria"/>
          <w:sz w:val="20"/>
          <w:szCs w:val="20"/>
          <w:lang w:val="es-ES_tradnl"/>
        </w:rPr>
        <w:t>los artículos</w:t>
      </w:r>
      <w:r w:rsidR="007B0A06" w:rsidRPr="0058434D">
        <w:rPr>
          <w:rFonts w:ascii="Cambria" w:hAnsi="Cambria"/>
          <w:sz w:val="20"/>
          <w:szCs w:val="20"/>
          <w:lang w:val="es-ES_tradnl"/>
        </w:rPr>
        <w:t xml:space="preserve"> 8</w:t>
      </w:r>
      <w:r w:rsidR="00BB01DC" w:rsidRPr="0058434D">
        <w:rPr>
          <w:rFonts w:ascii="Cambria" w:hAnsi="Cambria"/>
          <w:sz w:val="20"/>
          <w:szCs w:val="20"/>
          <w:lang w:val="es-ES_tradnl"/>
        </w:rPr>
        <w:t xml:space="preserve"> y </w:t>
      </w:r>
      <w:r w:rsidR="007B0A06" w:rsidRPr="0058434D">
        <w:rPr>
          <w:rFonts w:ascii="Cambria" w:hAnsi="Cambria"/>
          <w:sz w:val="20"/>
          <w:szCs w:val="20"/>
          <w:lang w:val="es-ES_tradnl"/>
        </w:rPr>
        <w:t>2</w:t>
      </w:r>
      <w:r w:rsidR="00493BC9" w:rsidRPr="0058434D">
        <w:rPr>
          <w:rFonts w:ascii="Cambria" w:hAnsi="Cambria"/>
          <w:sz w:val="20"/>
          <w:szCs w:val="20"/>
          <w:lang w:val="es-ES_tradnl"/>
        </w:rPr>
        <w:t>5</w:t>
      </w:r>
      <w:r w:rsidR="00767486" w:rsidRPr="0058434D">
        <w:rPr>
          <w:rFonts w:ascii="Cambria" w:hAnsi="Cambria"/>
          <w:sz w:val="20"/>
          <w:szCs w:val="20"/>
          <w:lang w:val="es-ES_tradnl"/>
        </w:rPr>
        <w:t>,</w:t>
      </w:r>
      <w:r w:rsidR="00450066" w:rsidRPr="0058434D">
        <w:rPr>
          <w:rFonts w:ascii="Cambria" w:hAnsi="Cambria"/>
          <w:sz w:val="20"/>
          <w:szCs w:val="20"/>
          <w:lang w:val="es-ES_tradnl"/>
        </w:rPr>
        <w:t xml:space="preserve"> en relación con el artículo 1</w:t>
      </w:r>
      <w:r w:rsidR="00493BC9" w:rsidRPr="0058434D">
        <w:rPr>
          <w:rFonts w:ascii="Cambria" w:hAnsi="Cambria"/>
          <w:sz w:val="20"/>
          <w:szCs w:val="20"/>
          <w:lang w:val="es-ES_tradnl"/>
        </w:rPr>
        <w:t>.1</w:t>
      </w:r>
      <w:r w:rsidR="00A758AA" w:rsidRPr="0058434D">
        <w:rPr>
          <w:rFonts w:ascii="Cambria" w:hAnsi="Cambria"/>
          <w:sz w:val="20"/>
          <w:szCs w:val="20"/>
          <w:lang w:val="es-ES_tradnl"/>
        </w:rPr>
        <w:t>;</w:t>
      </w:r>
      <w:r w:rsidR="007B76D3" w:rsidRPr="0058434D">
        <w:rPr>
          <w:rFonts w:ascii="Cambria" w:hAnsi="Cambria"/>
          <w:sz w:val="20"/>
          <w:szCs w:val="20"/>
          <w:lang w:val="es-ES_tradnl"/>
        </w:rPr>
        <w:t xml:space="preserve"> </w:t>
      </w:r>
    </w:p>
    <w:p w14:paraId="51480DA7" w14:textId="045FFC35" w:rsidR="003A6268" w:rsidRPr="0058434D" w:rsidRDefault="003A6268" w:rsidP="003A6268">
      <w:pPr>
        <w:pStyle w:val="ListParagraph"/>
        <w:numPr>
          <w:ilvl w:val="0"/>
          <w:numId w:val="55"/>
        </w:numPr>
        <w:rPr>
          <w:rFonts w:eastAsia="Arial Unicode MS" w:cs="Times New Roman"/>
          <w:color w:val="auto"/>
          <w:sz w:val="20"/>
          <w:szCs w:val="20"/>
          <w:lang w:val="es-ES_tradnl" w:eastAsia="en-US"/>
        </w:rPr>
      </w:pPr>
      <w:r w:rsidRPr="0058434D">
        <w:rPr>
          <w:rFonts w:eastAsia="Arial Unicode MS" w:cs="Times New Roman"/>
          <w:color w:val="auto"/>
          <w:sz w:val="20"/>
          <w:szCs w:val="20"/>
          <w:lang w:val="es-ES_tradnl" w:eastAsia="en-US"/>
        </w:rPr>
        <w:t xml:space="preserve">Declarar inadmisible la presente petición </w:t>
      </w:r>
      <w:r w:rsidR="00F15B64" w:rsidRPr="0058434D">
        <w:rPr>
          <w:rFonts w:eastAsia="Arial Unicode MS" w:cs="Times New Roman"/>
          <w:color w:val="auto"/>
          <w:sz w:val="20"/>
          <w:szCs w:val="20"/>
          <w:lang w:val="es-ES_tradnl" w:eastAsia="en-US"/>
        </w:rPr>
        <w:t>en relación con el</w:t>
      </w:r>
      <w:r w:rsidRPr="0058434D">
        <w:rPr>
          <w:rFonts w:eastAsia="Arial Unicode MS" w:cs="Times New Roman"/>
          <w:color w:val="auto"/>
          <w:sz w:val="20"/>
          <w:szCs w:val="20"/>
          <w:lang w:val="es-ES_tradnl" w:eastAsia="en-US"/>
        </w:rPr>
        <w:t xml:space="preserve"> artículo 21</w:t>
      </w:r>
      <w:r w:rsidR="00DF6936" w:rsidRPr="0058434D">
        <w:rPr>
          <w:rFonts w:eastAsia="Arial Unicode MS" w:cs="Times New Roman"/>
          <w:color w:val="auto"/>
          <w:sz w:val="20"/>
          <w:szCs w:val="20"/>
          <w:lang w:val="es-ES_tradnl" w:eastAsia="en-US"/>
        </w:rPr>
        <w:t>, y;</w:t>
      </w:r>
    </w:p>
    <w:p w14:paraId="1517B660" w14:textId="77777777" w:rsidR="003A6268" w:rsidRPr="0058434D" w:rsidRDefault="003A6268" w:rsidP="003A6268">
      <w:pPr>
        <w:pStyle w:val="ListParagraph"/>
        <w:rPr>
          <w:rFonts w:eastAsia="Arial Unicode MS" w:cs="Times New Roman"/>
          <w:color w:val="auto"/>
          <w:sz w:val="20"/>
          <w:szCs w:val="20"/>
          <w:lang w:val="es-ES_tradnl" w:eastAsia="en-US"/>
        </w:rPr>
      </w:pPr>
    </w:p>
    <w:p w14:paraId="02C904B2" w14:textId="4D287E41" w:rsidR="009A56CE" w:rsidRPr="0058434D" w:rsidRDefault="004A6A54" w:rsidP="00403E9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58434D">
        <w:rPr>
          <w:rFonts w:ascii="Cambria" w:hAnsi="Cambria"/>
          <w:sz w:val="20"/>
          <w:szCs w:val="20"/>
          <w:lang w:val="es-ES_tradnl"/>
        </w:rPr>
        <w:t>Notificar a las partes la presente decisión; continuar con el análisis del fondo de la cuestión</w:t>
      </w:r>
      <w:r w:rsidR="00394073" w:rsidRPr="0058434D">
        <w:rPr>
          <w:rFonts w:ascii="Cambria" w:hAnsi="Cambria"/>
          <w:sz w:val="20"/>
          <w:szCs w:val="20"/>
          <w:lang w:val="es-ES_tradnl"/>
        </w:rPr>
        <w:t xml:space="preserve"> </w:t>
      </w:r>
      <w:r w:rsidRPr="0058434D">
        <w:rPr>
          <w:rFonts w:ascii="Cambria" w:hAnsi="Cambria"/>
          <w:sz w:val="20"/>
          <w:szCs w:val="20"/>
          <w:lang w:val="es-ES_tradnl"/>
        </w:rPr>
        <w:t>y publicar esta decisión e incluirla en su Informe Anual a la Asamblea General de la Organización de los Estados Americanos.</w:t>
      </w:r>
    </w:p>
    <w:p w14:paraId="0D688B56" w14:textId="3FC63B46" w:rsidR="00DF6936" w:rsidRPr="00EE0DDE" w:rsidRDefault="00DF6936" w:rsidP="00EE0DDE">
      <w:pPr>
        <w:pStyle w:val="paragraph"/>
        <w:spacing w:before="0" w:beforeAutospacing="0" w:after="0" w:afterAutospacing="0"/>
        <w:ind w:firstLine="720"/>
        <w:jc w:val="both"/>
        <w:textAlignment w:val="baseline"/>
        <w:rPr>
          <w:rFonts w:ascii="Segoe UI" w:hAnsi="Segoe UI" w:cs="Segoe UI"/>
          <w:sz w:val="18"/>
          <w:szCs w:val="18"/>
          <w:lang w:val="es-ES"/>
        </w:rPr>
      </w:pPr>
      <w:r w:rsidRPr="0058434D">
        <w:rPr>
          <w:rStyle w:val="normaltextrun"/>
          <w:rFonts w:ascii="Cambria" w:hAnsi="Cambria" w:cs="Segoe UI"/>
          <w:sz w:val="20"/>
          <w:szCs w:val="20"/>
          <w:lang w:val="es-CL"/>
        </w:rPr>
        <w:t>Aprobado por la Comisión Interamericana de Derechos Humanos</w:t>
      </w:r>
      <w:r w:rsidR="00EE0DDE">
        <w:rPr>
          <w:rStyle w:val="normaltextrun"/>
          <w:rFonts w:ascii="Cambria" w:hAnsi="Cambria" w:cs="Segoe UI"/>
          <w:sz w:val="20"/>
          <w:szCs w:val="20"/>
          <w:lang w:val="es-CL"/>
        </w:rPr>
        <w:t xml:space="preserve"> </w:t>
      </w:r>
      <w:r w:rsidRPr="0058434D">
        <w:rPr>
          <w:rStyle w:val="normaltextrun"/>
          <w:rFonts w:ascii="Cambria" w:hAnsi="Cambria" w:cs="Segoe UI"/>
          <w:sz w:val="20"/>
          <w:szCs w:val="20"/>
          <w:lang w:val="es-CL"/>
        </w:rPr>
        <w:t xml:space="preserve">a los </w:t>
      </w:r>
      <w:r w:rsidR="00836909" w:rsidRPr="0058434D">
        <w:rPr>
          <w:rStyle w:val="normaltextrun"/>
          <w:rFonts w:ascii="Cambria" w:hAnsi="Cambria" w:cs="Segoe UI"/>
          <w:sz w:val="20"/>
          <w:szCs w:val="20"/>
          <w:lang w:val="es-CL"/>
        </w:rPr>
        <w:t>22</w:t>
      </w:r>
      <w:r w:rsidRPr="0058434D">
        <w:rPr>
          <w:rStyle w:val="normaltextrun"/>
          <w:rFonts w:ascii="Cambria" w:hAnsi="Cambria" w:cs="Segoe UI"/>
          <w:sz w:val="20"/>
          <w:szCs w:val="20"/>
          <w:lang w:val="es-CL"/>
        </w:rPr>
        <w:t xml:space="preserve"> días del mes de </w:t>
      </w:r>
      <w:r w:rsidR="00836909" w:rsidRPr="0058434D">
        <w:rPr>
          <w:rStyle w:val="normaltextrun"/>
          <w:rFonts w:ascii="Cambria" w:hAnsi="Cambria" w:cs="Segoe UI"/>
          <w:sz w:val="20"/>
          <w:szCs w:val="20"/>
          <w:lang w:val="es-CL"/>
        </w:rPr>
        <w:t>diciembre</w:t>
      </w:r>
      <w:r w:rsidRPr="0058434D">
        <w:rPr>
          <w:rStyle w:val="normaltextrun"/>
          <w:rFonts w:ascii="Cambria" w:hAnsi="Cambria" w:cs="Segoe UI"/>
          <w:sz w:val="20"/>
          <w:szCs w:val="20"/>
          <w:lang w:val="es-CL"/>
        </w:rPr>
        <w:t xml:space="preserve"> de 202</w:t>
      </w:r>
      <w:r w:rsidR="003F7633" w:rsidRPr="0058434D">
        <w:rPr>
          <w:rStyle w:val="normaltextrun"/>
          <w:rFonts w:ascii="Cambria" w:hAnsi="Cambria" w:cs="Segoe UI"/>
          <w:sz w:val="20"/>
          <w:szCs w:val="20"/>
          <w:lang w:val="es-CL"/>
        </w:rPr>
        <w:t>2</w:t>
      </w:r>
      <w:r w:rsidRPr="0058434D">
        <w:rPr>
          <w:rStyle w:val="normaltextrun"/>
          <w:rFonts w:ascii="Cambria" w:hAnsi="Cambria" w:cs="Segoe UI"/>
          <w:sz w:val="20"/>
          <w:szCs w:val="20"/>
          <w:lang w:val="es-CL"/>
        </w:rPr>
        <w:t>.</w:t>
      </w:r>
      <w:r w:rsidR="00EE0DDE">
        <w:rPr>
          <w:rStyle w:val="normaltextrun"/>
          <w:rFonts w:ascii="Cambria" w:hAnsi="Cambria" w:cs="Segoe UI"/>
          <w:sz w:val="20"/>
          <w:szCs w:val="20"/>
          <w:lang w:val="es-CL"/>
        </w:rPr>
        <w:t xml:space="preserve"> </w:t>
      </w:r>
      <w:r w:rsidRPr="0058434D">
        <w:rPr>
          <w:rStyle w:val="normaltextrun"/>
          <w:rFonts w:ascii="Cambria" w:hAnsi="Cambria" w:cs="Segoe UI"/>
          <w:sz w:val="20"/>
          <w:szCs w:val="20"/>
          <w:lang w:val="es-CL"/>
        </w:rPr>
        <w:t xml:space="preserve">(Firmado): Julissa Mantilla Falcón, Presidenta; Esmeralda Arosemena de Troitiño, Joel Hernández y Carlos Bernal Pulido, </w:t>
      </w:r>
      <w:r w:rsidR="00EE0DDE">
        <w:rPr>
          <w:rStyle w:val="normaltextrun"/>
          <w:rFonts w:ascii="Cambria" w:hAnsi="Cambria" w:cs="Segoe UI"/>
          <w:sz w:val="20"/>
          <w:szCs w:val="20"/>
          <w:lang w:val="es-CL"/>
        </w:rPr>
        <w:t>m</w:t>
      </w:r>
      <w:r w:rsidRPr="0058434D">
        <w:rPr>
          <w:rStyle w:val="normaltextrun"/>
          <w:rFonts w:ascii="Cambria" w:hAnsi="Cambria" w:cs="Segoe UI"/>
          <w:sz w:val="20"/>
          <w:szCs w:val="20"/>
          <w:lang w:val="es-CL"/>
        </w:rPr>
        <w:t xml:space="preserve">iembros de la Comisión. </w:t>
      </w:r>
    </w:p>
    <w:sectPr w:rsidR="00DF6936" w:rsidRPr="00EE0DD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B378E" w14:textId="77777777" w:rsidR="006D23DA" w:rsidRDefault="006D23DA">
      <w:r>
        <w:separator/>
      </w:r>
    </w:p>
  </w:endnote>
  <w:endnote w:type="continuationSeparator" w:id="0">
    <w:p w14:paraId="4A697358" w14:textId="77777777" w:rsidR="006D23DA" w:rsidRDefault="006D2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E7D77" w14:textId="77777777" w:rsidR="006D23DA" w:rsidRPr="000F35ED" w:rsidRDefault="006D23D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FF49FA6" w14:textId="77777777" w:rsidR="006D23DA" w:rsidRPr="000F35ED" w:rsidRDefault="006D23DA" w:rsidP="000F35ED">
      <w:pPr>
        <w:rPr>
          <w:rFonts w:asciiTheme="majorHAnsi" w:hAnsiTheme="majorHAnsi"/>
          <w:sz w:val="16"/>
          <w:szCs w:val="16"/>
        </w:rPr>
      </w:pPr>
      <w:r w:rsidRPr="000F35ED">
        <w:rPr>
          <w:rFonts w:asciiTheme="majorHAnsi" w:hAnsiTheme="majorHAnsi"/>
          <w:sz w:val="16"/>
          <w:szCs w:val="16"/>
        </w:rPr>
        <w:separator/>
      </w:r>
    </w:p>
    <w:p w14:paraId="569D66F7" w14:textId="77777777" w:rsidR="006D23DA" w:rsidRPr="000F35ED" w:rsidRDefault="006D23DA"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310B04A" w14:textId="77777777" w:rsidR="006D23DA" w:rsidRPr="000F35ED" w:rsidRDefault="006D23D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E35CBA5" w14:textId="0164E29A" w:rsidR="00404800" w:rsidRPr="00E96261" w:rsidRDefault="00404800" w:rsidP="00E96261">
      <w:pPr>
        <w:pStyle w:val="FootnoteText"/>
        <w:ind w:firstLine="709"/>
        <w:jc w:val="both"/>
        <w:rPr>
          <w:rFonts w:asciiTheme="majorHAnsi" w:hAnsiTheme="majorHAnsi"/>
          <w:sz w:val="16"/>
          <w:szCs w:val="16"/>
          <w:lang w:val="es-ES_tradnl"/>
        </w:rPr>
      </w:pPr>
      <w:r w:rsidRPr="00404800">
        <w:rPr>
          <w:rStyle w:val="FootnoteReference"/>
          <w:rFonts w:asciiTheme="majorHAnsi" w:hAnsiTheme="majorHAnsi"/>
          <w:sz w:val="16"/>
          <w:szCs w:val="16"/>
        </w:rPr>
        <w:footnoteRef/>
      </w:r>
      <w:r w:rsidRPr="00404800">
        <w:rPr>
          <w:rFonts w:asciiTheme="majorHAnsi" w:hAnsiTheme="majorHAnsi"/>
          <w:sz w:val="16"/>
          <w:szCs w:val="16"/>
          <w:lang w:val="es-ES"/>
        </w:rPr>
        <w:t xml:space="preserve"> </w:t>
      </w:r>
      <w:r w:rsidRPr="00E96261">
        <w:rPr>
          <w:rFonts w:asciiTheme="majorHAnsi" w:hAnsiTheme="majorHAnsi"/>
          <w:sz w:val="16"/>
          <w:szCs w:val="16"/>
          <w:lang w:val="es-ES"/>
        </w:rPr>
        <w:t xml:space="preserve">En comunicación </w:t>
      </w:r>
      <w:r w:rsidRPr="00E96261">
        <w:rPr>
          <w:rFonts w:asciiTheme="majorHAnsi" w:hAnsiTheme="majorHAnsi"/>
          <w:sz w:val="16"/>
          <w:szCs w:val="16"/>
          <w:lang w:val="es-ES_tradnl"/>
        </w:rPr>
        <w:t xml:space="preserve">del 1 de noviembre de 2021 </w:t>
      </w:r>
      <w:r w:rsidRPr="00E96261">
        <w:rPr>
          <w:rFonts w:asciiTheme="majorHAnsi" w:hAnsiTheme="majorHAnsi"/>
          <w:sz w:val="16"/>
          <w:szCs w:val="16"/>
          <w:lang w:val="es-ES"/>
        </w:rPr>
        <w:t xml:space="preserve">ante la CIDH, la señora </w:t>
      </w:r>
      <w:r w:rsidRPr="0023259B">
        <w:rPr>
          <w:rFonts w:asciiTheme="majorHAnsi" w:hAnsiTheme="majorHAnsi"/>
          <w:sz w:val="16"/>
          <w:szCs w:val="16"/>
          <w:lang w:val="es-ES"/>
        </w:rPr>
        <w:t>Marta Zoila Caballeros Ruiz de Rubio</w:t>
      </w:r>
      <w:r w:rsidRPr="00E96261">
        <w:rPr>
          <w:rFonts w:asciiTheme="majorHAnsi" w:hAnsiTheme="majorHAnsi"/>
          <w:sz w:val="16"/>
          <w:szCs w:val="16"/>
          <w:lang w:val="es-ES_tradnl"/>
        </w:rPr>
        <w:t xml:space="preserve">, hija de las presuntas víctimas, informó que la </w:t>
      </w:r>
      <w:r w:rsidRPr="00E96261">
        <w:rPr>
          <w:rFonts w:asciiTheme="majorHAnsi" w:hAnsiTheme="majorHAnsi"/>
          <w:bCs/>
          <w:sz w:val="16"/>
          <w:szCs w:val="16"/>
          <w:lang w:val="es-ES_tradnl"/>
        </w:rPr>
        <w:t xml:space="preserve">señora Marta Francisca Ruiz Anleu y el señor Julio Rodolfo Caballeros Galindo fallecieron y ella es la peticionaria. </w:t>
      </w:r>
    </w:p>
  </w:footnote>
  <w:footnote w:id="3">
    <w:p w14:paraId="7443EF75" w14:textId="78D5CEB9" w:rsidR="0017681E" w:rsidRPr="00E96261" w:rsidRDefault="0017681E" w:rsidP="00E96261">
      <w:pPr>
        <w:pStyle w:val="FootnoteText"/>
        <w:ind w:firstLine="709"/>
        <w:jc w:val="both"/>
        <w:rPr>
          <w:rFonts w:asciiTheme="majorHAnsi" w:hAnsiTheme="majorHAnsi"/>
          <w:sz w:val="16"/>
          <w:szCs w:val="16"/>
          <w:lang w:val="es-ES_tradnl"/>
        </w:rPr>
      </w:pPr>
      <w:r w:rsidRPr="00E96261">
        <w:rPr>
          <w:rStyle w:val="FootnoteReference"/>
          <w:rFonts w:asciiTheme="majorHAnsi" w:hAnsiTheme="majorHAnsi"/>
          <w:sz w:val="16"/>
          <w:szCs w:val="16"/>
        </w:rPr>
        <w:footnoteRef/>
      </w:r>
      <w:r w:rsidRPr="00E96261">
        <w:rPr>
          <w:rFonts w:asciiTheme="majorHAnsi" w:hAnsiTheme="majorHAnsi"/>
          <w:sz w:val="16"/>
          <w:szCs w:val="16"/>
          <w:lang w:val="es-ES"/>
        </w:rPr>
        <w:t xml:space="preserve"> Conforme a lo dispuesto en el artículo 17.2.a del Reglamento de la Comisión, el Comisionado Edgar Stuardo Ralón Orellana, de nacionalidad guatemalteca, no participó en el debate ni en la decisión del presente asunto.</w:t>
      </w:r>
    </w:p>
  </w:footnote>
  <w:footnote w:id="4">
    <w:p w14:paraId="5680E637" w14:textId="77777777" w:rsidR="00383298" w:rsidRPr="00E96261" w:rsidRDefault="00383298" w:rsidP="00E96261">
      <w:pPr>
        <w:pStyle w:val="FootnoteText"/>
        <w:ind w:firstLine="720"/>
        <w:jc w:val="both"/>
        <w:rPr>
          <w:rFonts w:asciiTheme="majorHAnsi" w:hAnsiTheme="majorHAnsi"/>
          <w:sz w:val="16"/>
          <w:szCs w:val="16"/>
          <w:lang w:val="es-CO"/>
        </w:rPr>
      </w:pPr>
      <w:r w:rsidRPr="00E96261">
        <w:rPr>
          <w:rStyle w:val="FootnoteReference"/>
          <w:rFonts w:asciiTheme="majorHAnsi" w:hAnsiTheme="majorHAnsi"/>
          <w:sz w:val="16"/>
          <w:szCs w:val="16"/>
        </w:rPr>
        <w:footnoteRef/>
      </w:r>
      <w:r w:rsidRPr="00E96261">
        <w:rPr>
          <w:rFonts w:asciiTheme="majorHAnsi" w:hAnsiTheme="majorHAnsi"/>
          <w:sz w:val="16"/>
          <w:szCs w:val="16"/>
          <w:lang w:val="es-CO"/>
        </w:rPr>
        <w:t xml:space="preserve"> En adelante, “la Convención Americana” o “la Convención”.</w:t>
      </w:r>
    </w:p>
  </w:footnote>
  <w:footnote w:id="5">
    <w:p w14:paraId="1AFEF3B0" w14:textId="269FCD1B" w:rsidR="008E3BFE" w:rsidRPr="00E96261" w:rsidRDefault="008E3BFE" w:rsidP="00E96261">
      <w:pPr>
        <w:pStyle w:val="FootnoteText"/>
        <w:ind w:firstLine="720"/>
        <w:jc w:val="both"/>
        <w:rPr>
          <w:rFonts w:asciiTheme="majorHAnsi" w:hAnsiTheme="majorHAnsi"/>
          <w:sz w:val="16"/>
          <w:szCs w:val="16"/>
          <w:lang w:val="es-ES"/>
        </w:rPr>
      </w:pPr>
      <w:r w:rsidRPr="00E96261">
        <w:rPr>
          <w:rStyle w:val="FootnoteReference"/>
          <w:rFonts w:asciiTheme="majorHAnsi" w:hAnsiTheme="majorHAnsi"/>
          <w:sz w:val="16"/>
          <w:szCs w:val="16"/>
        </w:rPr>
        <w:footnoteRef/>
      </w:r>
      <w:r w:rsidRPr="00E96261">
        <w:rPr>
          <w:rFonts w:asciiTheme="majorHAnsi" w:hAnsiTheme="majorHAnsi"/>
          <w:sz w:val="16"/>
          <w:szCs w:val="16"/>
          <w:lang w:val="es-ES"/>
        </w:rPr>
        <w:t xml:space="preserve"> Las observaciones de cada parte fueron debidamente trasladadas a la parte contraria.</w:t>
      </w:r>
      <w:r w:rsidR="009A56CE" w:rsidRPr="00E96261">
        <w:rPr>
          <w:rFonts w:asciiTheme="majorHAnsi" w:hAnsiTheme="majorHAnsi"/>
          <w:sz w:val="16"/>
          <w:szCs w:val="16"/>
          <w:lang w:val="es-ES"/>
        </w:rPr>
        <w:t xml:space="preserve"> </w:t>
      </w:r>
    </w:p>
  </w:footnote>
  <w:footnote w:id="6">
    <w:p w14:paraId="479CB082" w14:textId="7604A705" w:rsidR="005C026D" w:rsidRPr="00E96261" w:rsidRDefault="005C026D" w:rsidP="00E96261">
      <w:pPr>
        <w:pStyle w:val="FootnoteText"/>
        <w:ind w:firstLine="709"/>
        <w:jc w:val="both"/>
        <w:rPr>
          <w:rFonts w:asciiTheme="majorHAnsi" w:hAnsiTheme="majorHAnsi"/>
          <w:sz w:val="16"/>
          <w:szCs w:val="16"/>
          <w:lang w:val="es-ES"/>
        </w:rPr>
      </w:pPr>
      <w:r w:rsidRPr="00E96261">
        <w:rPr>
          <w:rStyle w:val="FootnoteReference"/>
          <w:rFonts w:asciiTheme="majorHAnsi" w:hAnsiTheme="majorHAnsi"/>
          <w:sz w:val="16"/>
          <w:szCs w:val="16"/>
        </w:rPr>
        <w:footnoteRef/>
      </w:r>
      <w:r w:rsidRPr="00E96261">
        <w:rPr>
          <w:rFonts w:asciiTheme="majorHAnsi" w:hAnsiTheme="majorHAnsi"/>
          <w:sz w:val="16"/>
          <w:szCs w:val="16"/>
          <w:lang w:val="es-ES"/>
        </w:rPr>
        <w:t xml:space="preserve"> Fecha en que los peticionarios responden a una consulta de interés realizada por la Comisión. </w:t>
      </w:r>
    </w:p>
  </w:footnote>
  <w:footnote w:id="7">
    <w:p w14:paraId="2CDBAC9B" w14:textId="3FDA3443" w:rsidR="009E5564" w:rsidRPr="00E96261" w:rsidRDefault="009E5564" w:rsidP="009E5564">
      <w:pPr>
        <w:pStyle w:val="FootnoteText"/>
        <w:ind w:firstLine="709"/>
        <w:jc w:val="both"/>
        <w:rPr>
          <w:rFonts w:asciiTheme="majorHAnsi" w:hAnsiTheme="majorHAnsi"/>
          <w:sz w:val="16"/>
          <w:szCs w:val="16"/>
          <w:lang w:val="es-ES"/>
        </w:rPr>
      </w:pPr>
      <w:r w:rsidRPr="00E96261">
        <w:rPr>
          <w:rStyle w:val="FootnoteReference"/>
          <w:rFonts w:asciiTheme="majorHAnsi" w:hAnsiTheme="majorHAnsi"/>
          <w:sz w:val="16"/>
          <w:szCs w:val="16"/>
        </w:rPr>
        <w:footnoteRef/>
      </w:r>
      <w:r w:rsidRPr="00E96261">
        <w:rPr>
          <w:rFonts w:asciiTheme="majorHAnsi" w:hAnsiTheme="majorHAnsi"/>
          <w:sz w:val="16"/>
          <w:szCs w:val="16"/>
          <w:lang w:val="es-ES"/>
        </w:rPr>
        <w:t xml:space="preserve"> </w:t>
      </w:r>
      <w:r w:rsidRPr="00E96261">
        <w:rPr>
          <w:rFonts w:asciiTheme="majorHAnsi" w:hAnsiTheme="majorHAnsi"/>
          <w:bCs/>
          <w:sz w:val="16"/>
          <w:szCs w:val="16"/>
          <w:lang w:val="es-ES_tradnl"/>
        </w:rPr>
        <w:t>Los peticionarios presentaron ante la CIDH fotocopia de</w:t>
      </w:r>
      <w:r w:rsidR="00B7111B">
        <w:rPr>
          <w:rFonts w:asciiTheme="majorHAnsi" w:hAnsiTheme="majorHAnsi"/>
          <w:bCs/>
          <w:sz w:val="16"/>
          <w:szCs w:val="16"/>
          <w:lang w:val="es-ES_tradnl"/>
        </w:rPr>
        <w:t xml:space="preserve"> los</w:t>
      </w:r>
      <w:r w:rsidRPr="00E96261">
        <w:rPr>
          <w:rFonts w:asciiTheme="majorHAnsi" w:hAnsiTheme="majorHAnsi"/>
          <w:bCs/>
          <w:sz w:val="16"/>
          <w:szCs w:val="16"/>
          <w:lang w:val="es-ES_tradnl"/>
        </w:rPr>
        <w:t xml:space="preserve"> pagarés, buscando demostrar que </w:t>
      </w:r>
      <w:r w:rsidR="00B7111B">
        <w:rPr>
          <w:rFonts w:asciiTheme="majorHAnsi" w:hAnsiTheme="majorHAnsi"/>
          <w:bCs/>
          <w:sz w:val="16"/>
          <w:szCs w:val="16"/>
          <w:lang w:val="es-ES_tradnl"/>
        </w:rPr>
        <w:t xml:space="preserve">los </w:t>
      </w:r>
      <w:r w:rsidRPr="00E96261">
        <w:rPr>
          <w:rFonts w:asciiTheme="majorHAnsi" w:hAnsiTheme="majorHAnsi"/>
          <w:bCs/>
          <w:sz w:val="16"/>
          <w:szCs w:val="16"/>
          <w:lang w:val="es-ES_tradnl"/>
        </w:rPr>
        <w:t>celebraron con BANCAFE, a través de la empresa VIPASA.</w:t>
      </w:r>
    </w:p>
  </w:footnote>
  <w:footnote w:id="8">
    <w:p w14:paraId="1535CAB0" w14:textId="77777777" w:rsidR="009E5564" w:rsidRPr="00E96261" w:rsidRDefault="009E5564" w:rsidP="009E5564">
      <w:pPr>
        <w:pStyle w:val="FootnoteText"/>
        <w:ind w:firstLine="709"/>
        <w:jc w:val="both"/>
        <w:rPr>
          <w:rFonts w:asciiTheme="majorHAnsi" w:hAnsiTheme="majorHAnsi"/>
          <w:sz w:val="16"/>
          <w:szCs w:val="16"/>
          <w:lang w:val="es-ES"/>
        </w:rPr>
      </w:pPr>
      <w:r w:rsidRPr="00E96261">
        <w:rPr>
          <w:rStyle w:val="FootnoteReference"/>
          <w:rFonts w:asciiTheme="majorHAnsi" w:hAnsiTheme="majorHAnsi"/>
          <w:sz w:val="16"/>
          <w:szCs w:val="16"/>
        </w:rPr>
        <w:footnoteRef/>
      </w:r>
      <w:r w:rsidRPr="00E96261">
        <w:rPr>
          <w:rFonts w:asciiTheme="majorHAnsi" w:hAnsiTheme="majorHAnsi"/>
          <w:sz w:val="16"/>
          <w:szCs w:val="16"/>
          <w:lang w:val="es-ES"/>
        </w:rPr>
        <w:t xml:space="preserve"> </w:t>
      </w:r>
      <w:r>
        <w:rPr>
          <w:rFonts w:asciiTheme="majorHAnsi" w:hAnsiTheme="majorHAnsi"/>
          <w:sz w:val="16"/>
          <w:szCs w:val="16"/>
          <w:lang w:val="es-ES"/>
        </w:rPr>
        <w:t>Información encontrada en</w:t>
      </w:r>
      <w:r w:rsidRPr="00E96261">
        <w:rPr>
          <w:rFonts w:asciiTheme="majorHAnsi" w:hAnsiTheme="majorHAnsi"/>
          <w:sz w:val="16"/>
          <w:szCs w:val="16"/>
          <w:lang w:val="es-ES"/>
        </w:rPr>
        <w:t xml:space="preserve"> la querella</w:t>
      </w:r>
      <w:r>
        <w:rPr>
          <w:rFonts w:asciiTheme="majorHAnsi" w:hAnsiTheme="majorHAnsi"/>
          <w:sz w:val="16"/>
          <w:szCs w:val="16"/>
          <w:lang w:val="es-ES"/>
        </w:rPr>
        <w:t xml:space="preserve"> presentada por los peticionarios</w:t>
      </w:r>
      <w:r w:rsidRPr="00E96261">
        <w:rPr>
          <w:rFonts w:asciiTheme="majorHAnsi" w:hAnsiTheme="majorHAnsi"/>
          <w:sz w:val="16"/>
          <w:szCs w:val="16"/>
          <w:lang w:val="es-ES"/>
        </w:rPr>
        <w:t xml:space="preserve"> ante el </w:t>
      </w:r>
      <w:r w:rsidRPr="00E96261">
        <w:rPr>
          <w:rFonts w:asciiTheme="majorHAnsi" w:hAnsiTheme="majorHAnsi"/>
          <w:bCs/>
          <w:sz w:val="16"/>
          <w:szCs w:val="16"/>
          <w:lang w:val="es-ES_tradnl"/>
        </w:rPr>
        <w:t>Juez de Primera Instancia Penal, Narcoactividad y Delitos contra el Ambiente del Departamento de Guatemala el 12 de enero de 2007</w:t>
      </w:r>
      <w:r>
        <w:rPr>
          <w:rFonts w:asciiTheme="majorHAnsi" w:hAnsiTheme="majorHAnsi"/>
          <w:sz w:val="16"/>
          <w:szCs w:val="16"/>
          <w:lang w:val="es-ES"/>
        </w:rPr>
        <w:t>.</w:t>
      </w:r>
    </w:p>
  </w:footnote>
  <w:footnote w:id="9">
    <w:p w14:paraId="241BD7CB" w14:textId="13F6D72E" w:rsidR="00F240F7" w:rsidRPr="00E96261" w:rsidRDefault="00F240F7" w:rsidP="00E96261">
      <w:pPr>
        <w:pStyle w:val="FootnoteText"/>
        <w:ind w:firstLine="709"/>
        <w:jc w:val="both"/>
        <w:rPr>
          <w:rFonts w:asciiTheme="majorHAnsi" w:hAnsiTheme="majorHAnsi"/>
          <w:sz w:val="16"/>
          <w:szCs w:val="16"/>
          <w:lang w:val="es-ES"/>
        </w:rPr>
      </w:pPr>
      <w:r w:rsidRPr="00E96261">
        <w:rPr>
          <w:rStyle w:val="FootnoteReference"/>
          <w:rFonts w:asciiTheme="majorHAnsi" w:hAnsiTheme="majorHAnsi"/>
          <w:sz w:val="16"/>
          <w:szCs w:val="16"/>
        </w:rPr>
        <w:footnoteRef/>
      </w:r>
      <w:r w:rsidRPr="00E96261">
        <w:rPr>
          <w:rFonts w:asciiTheme="majorHAnsi" w:hAnsiTheme="majorHAnsi"/>
          <w:sz w:val="16"/>
          <w:szCs w:val="16"/>
          <w:lang w:val="es-ES"/>
        </w:rPr>
        <w:t xml:space="preserve"> Señalado así dentro de la denuncia presentada por la SIB ante el Ministerio Público por el delito de intermediación financiera el 27 de octubre de 2006.</w:t>
      </w:r>
    </w:p>
  </w:footnote>
  <w:footnote w:id="10">
    <w:p w14:paraId="43D7081D" w14:textId="77777777" w:rsidR="00737E5A" w:rsidRPr="006D7F02" w:rsidRDefault="00737E5A" w:rsidP="00737E5A">
      <w:pPr>
        <w:pStyle w:val="FootnoteText"/>
        <w:ind w:firstLine="709"/>
        <w:jc w:val="both"/>
        <w:rPr>
          <w:rFonts w:ascii="Cambria" w:hAnsi="Cambria"/>
          <w:sz w:val="16"/>
          <w:szCs w:val="16"/>
          <w:lang w:val="es-ES_tradnl"/>
        </w:rPr>
      </w:pPr>
      <w:r w:rsidRPr="006D7F02">
        <w:rPr>
          <w:rStyle w:val="FootnoteReference"/>
          <w:rFonts w:ascii="Cambria" w:hAnsi="Cambria"/>
          <w:sz w:val="16"/>
          <w:szCs w:val="16"/>
        </w:rPr>
        <w:footnoteRef/>
      </w:r>
      <w:r w:rsidRPr="006D7F02">
        <w:rPr>
          <w:rFonts w:ascii="Cambria" w:hAnsi="Cambria"/>
          <w:sz w:val="16"/>
          <w:szCs w:val="16"/>
          <w:lang w:val="es-ES"/>
        </w:rPr>
        <w:t xml:space="preserve"> </w:t>
      </w:r>
      <w:r w:rsidRPr="006D7F02">
        <w:rPr>
          <w:rFonts w:ascii="Cambria" w:hAnsi="Cambria"/>
          <w:sz w:val="16"/>
          <w:szCs w:val="16"/>
          <w:lang w:val="es-ES_tradnl"/>
        </w:rPr>
        <w:t>Establecido así por la Superintendencia de Bancos en el Oficio 145-2022 del 7 de enero de 2002, expediente 4719-2021; recibido como parte de los documentos anexos del Estado.</w:t>
      </w:r>
    </w:p>
  </w:footnote>
  <w:footnote w:id="11">
    <w:p w14:paraId="0F9B357F" w14:textId="66DF0C6B" w:rsidR="00A0092A" w:rsidRPr="00A0092A" w:rsidRDefault="00A0092A" w:rsidP="00A0092A">
      <w:pPr>
        <w:pStyle w:val="FootnoteText"/>
        <w:ind w:firstLine="709"/>
        <w:jc w:val="both"/>
        <w:rPr>
          <w:rFonts w:ascii="Cambria" w:hAnsi="Cambria"/>
          <w:sz w:val="16"/>
          <w:szCs w:val="16"/>
          <w:lang w:val="es-US"/>
        </w:rPr>
      </w:pPr>
      <w:r w:rsidRPr="00A0092A">
        <w:rPr>
          <w:rStyle w:val="FootnoteReference"/>
          <w:rFonts w:ascii="Cambria" w:hAnsi="Cambria"/>
          <w:sz w:val="16"/>
          <w:szCs w:val="16"/>
        </w:rPr>
        <w:footnoteRef/>
      </w:r>
      <w:r w:rsidRPr="00A0092A">
        <w:rPr>
          <w:rFonts w:ascii="Cambria" w:hAnsi="Cambria"/>
          <w:sz w:val="16"/>
          <w:szCs w:val="16"/>
          <w:lang w:val="es-US"/>
        </w:rPr>
        <w:t xml:space="preserve"> El Estado no está alegando complejidad, ni presenta más argumentos sobre el retraso procesal. Únicamente señala que continúan activos los procesos y que “</w:t>
      </w:r>
      <w:r w:rsidRPr="00A0092A">
        <w:rPr>
          <w:rFonts w:ascii="Cambria" w:hAnsi="Cambria"/>
          <w:i/>
          <w:iCs/>
          <w:sz w:val="16"/>
          <w:szCs w:val="16"/>
          <w:lang w:val="es-US"/>
        </w:rPr>
        <w:t>al Ministerio Público le corresponde realizar las investigaciones por los delitos denunciados y determinar la posible existencia de otros hechos que pudieran tener carácter delictuoso, así como la responsabilidad de los accionistas y administradores de las entidades que resulten involucradas</w:t>
      </w:r>
      <w:r w:rsidRPr="00A0092A">
        <w:rPr>
          <w:rFonts w:ascii="Cambria" w:hAnsi="Cambria"/>
          <w:sz w:val="16"/>
          <w:szCs w:val="16"/>
          <w:lang w:val="es-US"/>
        </w:rPr>
        <w:t>”</w:t>
      </w:r>
      <w:r>
        <w:rPr>
          <w:rFonts w:ascii="Cambria" w:hAnsi="Cambria"/>
          <w:sz w:val="16"/>
          <w:szCs w:val="16"/>
          <w:lang w:val="es-US"/>
        </w:rPr>
        <w:t>.</w:t>
      </w:r>
    </w:p>
  </w:footnote>
  <w:footnote w:id="12">
    <w:p w14:paraId="5245D57B" w14:textId="77777777" w:rsidR="00641AAA" w:rsidRPr="00E96261" w:rsidRDefault="00641AAA" w:rsidP="00E96261">
      <w:pPr>
        <w:pStyle w:val="FootnoteText"/>
        <w:ind w:firstLine="720"/>
        <w:jc w:val="both"/>
        <w:rPr>
          <w:rFonts w:asciiTheme="majorHAnsi" w:hAnsiTheme="majorHAnsi"/>
          <w:sz w:val="16"/>
          <w:szCs w:val="16"/>
          <w:lang w:val="es-MX"/>
        </w:rPr>
      </w:pPr>
      <w:r w:rsidRPr="00E96261">
        <w:rPr>
          <w:rStyle w:val="FootnoteReference"/>
          <w:rFonts w:asciiTheme="majorHAnsi" w:hAnsiTheme="majorHAnsi"/>
          <w:sz w:val="16"/>
          <w:szCs w:val="16"/>
        </w:rPr>
        <w:footnoteRef/>
      </w:r>
      <w:r w:rsidRPr="00E96261">
        <w:rPr>
          <w:rFonts w:asciiTheme="majorHAnsi" w:hAnsiTheme="majorHAnsi"/>
          <w:sz w:val="16"/>
          <w:szCs w:val="16"/>
          <w:lang w:val="es-MX"/>
        </w:rPr>
        <w:t xml:space="preserve"> </w:t>
      </w:r>
      <w:r w:rsidRPr="00E96261">
        <w:rPr>
          <w:rFonts w:asciiTheme="majorHAnsi" w:hAnsiTheme="majorHAnsi"/>
          <w:sz w:val="16"/>
          <w:szCs w:val="16"/>
          <w:lang w:val="es-ES"/>
        </w:rPr>
        <w:t>CIDH, Informe N° 14/08, Petición 652-04. Admisibilidad. Hugo Humberto Ruíz Fuentes. Guatemala. 5 de marzo de 2008, párr. 68.</w:t>
      </w:r>
    </w:p>
  </w:footnote>
  <w:footnote w:id="13">
    <w:p w14:paraId="5C1BBE20" w14:textId="77777777" w:rsidR="00641AAA" w:rsidRPr="00E96261" w:rsidRDefault="00641AAA" w:rsidP="00E96261">
      <w:pPr>
        <w:pStyle w:val="FootnoteText"/>
        <w:ind w:firstLine="720"/>
        <w:jc w:val="both"/>
        <w:rPr>
          <w:rFonts w:asciiTheme="majorHAnsi" w:hAnsiTheme="majorHAnsi"/>
          <w:sz w:val="16"/>
          <w:szCs w:val="16"/>
          <w:lang w:val="es-ES"/>
        </w:rPr>
      </w:pPr>
      <w:r w:rsidRPr="00E96261">
        <w:rPr>
          <w:rStyle w:val="FootnoteReference"/>
          <w:rFonts w:asciiTheme="majorHAnsi" w:hAnsiTheme="majorHAnsi"/>
          <w:sz w:val="16"/>
          <w:szCs w:val="16"/>
        </w:rPr>
        <w:footnoteRef/>
      </w:r>
      <w:r w:rsidRPr="00E96261">
        <w:rPr>
          <w:rFonts w:asciiTheme="majorHAnsi" w:hAnsiTheme="majorHAnsi"/>
          <w:sz w:val="16"/>
          <w:szCs w:val="16"/>
          <w:lang w:val="es-SV"/>
        </w:rPr>
        <w:t xml:space="preserve"> </w:t>
      </w:r>
      <w:r w:rsidRPr="00E96261">
        <w:rPr>
          <w:rFonts w:asciiTheme="majorHAnsi" w:hAnsiTheme="majorHAnsi"/>
          <w:sz w:val="16"/>
          <w:szCs w:val="16"/>
          <w:lang w:val="es-ES"/>
        </w:rPr>
        <w:t>Corte Interamericana de Derechos Humanos, Velásquez Rodríguez vs Honduras, Excepciones preliminares, sentencia del 26 de junio de 1987, párr. 93</w:t>
      </w:r>
    </w:p>
  </w:footnote>
  <w:footnote w:id="14">
    <w:p w14:paraId="6DF1430F" w14:textId="77777777" w:rsidR="00641AAA" w:rsidRPr="00E96261" w:rsidRDefault="00641AAA" w:rsidP="00E96261">
      <w:pPr>
        <w:pStyle w:val="FootnoteText"/>
        <w:jc w:val="both"/>
        <w:rPr>
          <w:rFonts w:asciiTheme="majorHAnsi" w:hAnsiTheme="majorHAnsi"/>
          <w:sz w:val="16"/>
          <w:szCs w:val="16"/>
          <w:lang w:val="es-ES"/>
        </w:rPr>
      </w:pPr>
      <w:r w:rsidRPr="00E96261">
        <w:rPr>
          <w:rFonts w:asciiTheme="majorHAnsi" w:hAnsiTheme="majorHAnsi"/>
          <w:sz w:val="16"/>
          <w:szCs w:val="16"/>
          <w:lang w:val="es-ES"/>
        </w:rPr>
        <w:tab/>
      </w:r>
      <w:r w:rsidRPr="00E96261">
        <w:rPr>
          <w:rStyle w:val="FootnoteReference"/>
          <w:rFonts w:asciiTheme="majorHAnsi" w:hAnsiTheme="majorHAnsi"/>
          <w:sz w:val="16"/>
          <w:szCs w:val="16"/>
        </w:rPr>
        <w:footnoteRef/>
      </w:r>
      <w:r w:rsidRPr="00E96261">
        <w:rPr>
          <w:rFonts w:asciiTheme="majorHAnsi" w:hAnsiTheme="majorHAnsi"/>
          <w:sz w:val="16"/>
          <w:szCs w:val="16"/>
          <w:lang w:val="es-ES"/>
        </w:rPr>
        <w:t xml:space="preserve"> CIDH, Informe No. 39/18, Petición 196-07. Admisibilidad. José Ricardo Parra Hurtado, Félix Alberto Páez Suárez y familias. Colombia. 4 de mayo de 2018, párr.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486EFD" w:rsidP="00A50FCF">
    <w:pPr>
      <w:pStyle w:val="Header"/>
      <w:tabs>
        <w:tab w:val="clear" w:pos="4320"/>
        <w:tab w:val="clear" w:pos="8640"/>
      </w:tabs>
      <w:jc w:val="center"/>
      <w:rPr>
        <w:sz w:val="22"/>
        <w:szCs w:val="22"/>
      </w:rPr>
    </w:pPr>
    <w:r>
      <w:rPr>
        <w:noProof/>
        <w:sz w:val="22"/>
        <w:szCs w:val="22"/>
        <w:bdr w:val="nil"/>
      </w:rPr>
      <w:pict w14:anchorId="6B922F8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6993"/>
    <w:multiLevelType w:val="hybridMultilevel"/>
    <w:tmpl w:val="E02CAF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ABE2237"/>
    <w:multiLevelType w:val="hybridMultilevel"/>
    <w:tmpl w:val="93EAFF1A"/>
    <w:lvl w:ilvl="0" w:tplc="257C5188">
      <w:start w:val="1"/>
      <w:numFmt w:val="lowerRoman"/>
      <w:lvlText w:val="%1)"/>
      <w:lvlJc w:val="left"/>
      <w:pPr>
        <w:ind w:left="862" w:hanging="720"/>
      </w:pPr>
      <w:rPr>
        <w:rFonts w:hint="default"/>
        <w:i/>
        <w:iCs/>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BFB76A0"/>
    <w:multiLevelType w:val="hybridMultilevel"/>
    <w:tmpl w:val="238047EE"/>
    <w:lvl w:ilvl="0" w:tplc="0A0A6966">
      <w:start w:val="1"/>
      <w:numFmt w:val="low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D0467A5"/>
    <w:multiLevelType w:val="hybridMultilevel"/>
    <w:tmpl w:val="A53EC6A6"/>
    <w:lvl w:ilvl="0" w:tplc="6A00DA4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547137885">
    <w:abstractNumId w:val="4"/>
  </w:num>
  <w:num w:numId="2" w16cid:durableId="1970089964">
    <w:abstractNumId w:val="5"/>
  </w:num>
  <w:num w:numId="3" w16cid:durableId="549733406">
    <w:abstractNumId w:val="53"/>
  </w:num>
  <w:num w:numId="4" w16cid:durableId="37510028">
    <w:abstractNumId w:val="21"/>
  </w:num>
  <w:num w:numId="5" w16cid:durableId="55863050">
    <w:abstractNumId w:val="47"/>
  </w:num>
  <w:num w:numId="6" w16cid:durableId="16394115">
    <w:abstractNumId w:val="26"/>
  </w:num>
  <w:num w:numId="7" w16cid:durableId="981617017">
    <w:abstractNumId w:val="7"/>
  </w:num>
  <w:num w:numId="8" w16cid:durableId="247732119">
    <w:abstractNumId w:val="17"/>
  </w:num>
  <w:num w:numId="9" w16cid:durableId="2110541591">
    <w:abstractNumId w:val="41"/>
  </w:num>
  <w:num w:numId="10" w16cid:durableId="1584490798">
    <w:abstractNumId w:val="1"/>
  </w:num>
  <w:num w:numId="11" w16cid:durableId="71777085">
    <w:abstractNumId w:val="36"/>
  </w:num>
  <w:num w:numId="12" w16cid:durableId="930312089">
    <w:abstractNumId w:val="37"/>
  </w:num>
  <w:num w:numId="13" w16cid:durableId="225846751">
    <w:abstractNumId w:val="43"/>
  </w:num>
  <w:num w:numId="14" w16cid:durableId="1834755862">
    <w:abstractNumId w:val="2"/>
  </w:num>
  <w:num w:numId="15" w16cid:durableId="1080130495">
    <w:abstractNumId w:val="3"/>
  </w:num>
  <w:num w:numId="16" w16cid:durableId="1013342513">
    <w:abstractNumId w:val="8"/>
  </w:num>
  <w:num w:numId="17" w16cid:durableId="1237203822">
    <w:abstractNumId w:val="9"/>
  </w:num>
  <w:num w:numId="18" w16cid:durableId="1746223267">
    <w:abstractNumId w:val="10"/>
  </w:num>
  <w:num w:numId="19" w16cid:durableId="41173613">
    <w:abstractNumId w:val="11"/>
  </w:num>
  <w:num w:numId="20" w16cid:durableId="252906365">
    <w:abstractNumId w:val="12"/>
  </w:num>
  <w:num w:numId="21" w16cid:durableId="412360256">
    <w:abstractNumId w:val="13"/>
  </w:num>
  <w:num w:numId="22" w16cid:durableId="443962497">
    <w:abstractNumId w:val="14"/>
  </w:num>
  <w:num w:numId="23" w16cid:durableId="409304502">
    <w:abstractNumId w:val="15"/>
  </w:num>
  <w:num w:numId="24" w16cid:durableId="1169249801">
    <w:abstractNumId w:val="16"/>
  </w:num>
  <w:num w:numId="25" w16cid:durableId="309870714">
    <w:abstractNumId w:val="18"/>
  </w:num>
  <w:num w:numId="26" w16cid:durableId="173810772">
    <w:abstractNumId w:val="19"/>
  </w:num>
  <w:num w:numId="27" w16cid:durableId="507794525">
    <w:abstractNumId w:val="22"/>
  </w:num>
  <w:num w:numId="28" w16cid:durableId="1656956004">
    <w:abstractNumId w:val="23"/>
  </w:num>
  <w:num w:numId="29" w16cid:durableId="192421419">
    <w:abstractNumId w:val="24"/>
  </w:num>
  <w:num w:numId="30" w16cid:durableId="1340354739">
    <w:abstractNumId w:val="25"/>
  </w:num>
  <w:num w:numId="31" w16cid:durableId="1977250933">
    <w:abstractNumId w:val="27"/>
  </w:num>
  <w:num w:numId="32" w16cid:durableId="284387590">
    <w:abstractNumId w:val="28"/>
  </w:num>
  <w:num w:numId="33" w16cid:durableId="96024140">
    <w:abstractNumId w:val="29"/>
  </w:num>
  <w:num w:numId="34" w16cid:durableId="1370835909">
    <w:abstractNumId w:val="30"/>
  </w:num>
  <w:num w:numId="35" w16cid:durableId="313490181">
    <w:abstractNumId w:val="31"/>
  </w:num>
  <w:num w:numId="36" w16cid:durableId="844782433">
    <w:abstractNumId w:val="32"/>
  </w:num>
  <w:num w:numId="37" w16cid:durableId="12147231">
    <w:abstractNumId w:val="34"/>
  </w:num>
  <w:num w:numId="38" w16cid:durableId="1916934591">
    <w:abstractNumId w:val="35"/>
  </w:num>
  <w:num w:numId="39" w16cid:durableId="435642129">
    <w:abstractNumId w:val="38"/>
  </w:num>
  <w:num w:numId="40" w16cid:durableId="633677865">
    <w:abstractNumId w:val="39"/>
  </w:num>
  <w:num w:numId="41" w16cid:durableId="2133162638">
    <w:abstractNumId w:val="46"/>
  </w:num>
  <w:num w:numId="42" w16cid:durableId="828595870">
    <w:abstractNumId w:val="48"/>
  </w:num>
  <w:num w:numId="43" w16cid:durableId="410004477">
    <w:abstractNumId w:val="49"/>
  </w:num>
  <w:num w:numId="44" w16cid:durableId="665590202">
    <w:abstractNumId w:val="51"/>
  </w:num>
  <w:num w:numId="45" w16cid:durableId="1647735493">
    <w:abstractNumId w:val="52"/>
  </w:num>
  <w:num w:numId="46" w16cid:durableId="391580776">
    <w:abstractNumId w:val="54"/>
  </w:num>
  <w:num w:numId="47" w16cid:durableId="1629388261">
    <w:abstractNumId w:val="55"/>
  </w:num>
  <w:num w:numId="48" w16cid:durableId="908687830">
    <w:abstractNumId w:val="56"/>
  </w:num>
  <w:num w:numId="49" w16cid:durableId="1662387579">
    <w:abstractNumId w:val="58"/>
  </w:num>
  <w:num w:numId="50" w16cid:durableId="1865747189">
    <w:abstractNumId w:val="59"/>
  </w:num>
  <w:num w:numId="51" w16cid:durableId="534318998">
    <w:abstractNumId w:val="20"/>
  </w:num>
  <w:num w:numId="52" w16cid:durableId="1211914128">
    <w:abstractNumId w:val="40"/>
  </w:num>
  <w:num w:numId="53" w16cid:durableId="1109743648">
    <w:abstractNumId w:val="50"/>
  </w:num>
  <w:num w:numId="54" w16cid:durableId="1712412058">
    <w:abstractNumId w:val="44"/>
  </w:num>
  <w:num w:numId="55" w16cid:durableId="234245883">
    <w:abstractNumId w:val="42"/>
  </w:num>
  <w:num w:numId="56" w16cid:durableId="1153065812">
    <w:abstractNumId w:val="57"/>
  </w:num>
  <w:num w:numId="57" w16cid:durableId="1012073854">
    <w:abstractNumId w:val="45"/>
  </w:num>
  <w:num w:numId="58" w16cid:durableId="965812793">
    <w:abstractNumId w:val="0"/>
  </w:num>
  <w:num w:numId="59" w16cid:durableId="2033802576">
    <w:abstractNumId w:val="6"/>
  </w:num>
  <w:num w:numId="60" w16cid:durableId="1194221661">
    <w:abstractNumId w:val="3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9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4A3D"/>
    <w:rsid w:val="00006E1F"/>
    <w:rsid w:val="000070D7"/>
    <w:rsid w:val="00007AAC"/>
    <w:rsid w:val="000102B3"/>
    <w:rsid w:val="0001788C"/>
    <w:rsid w:val="00021D9E"/>
    <w:rsid w:val="00031FD4"/>
    <w:rsid w:val="00032575"/>
    <w:rsid w:val="0003273F"/>
    <w:rsid w:val="000337EF"/>
    <w:rsid w:val="00033C85"/>
    <w:rsid w:val="00034431"/>
    <w:rsid w:val="00040C3A"/>
    <w:rsid w:val="000419AD"/>
    <w:rsid w:val="00041B1C"/>
    <w:rsid w:val="000433C9"/>
    <w:rsid w:val="00044BE5"/>
    <w:rsid w:val="00045CF4"/>
    <w:rsid w:val="00052001"/>
    <w:rsid w:val="0005333D"/>
    <w:rsid w:val="000558BC"/>
    <w:rsid w:val="000572E5"/>
    <w:rsid w:val="000651D7"/>
    <w:rsid w:val="00071174"/>
    <w:rsid w:val="000716C5"/>
    <w:rsid w:val="00072B47"/>
    <w:rsid w:val="00075E23"/>
    <w:rsid w:val="0008509C"/>
    <w:rsid w:val="00090D25"/>
    <w:rsid w:val="000915B0"/>
    <w:rsid w:val="0009344A"/>
    <w:rsid w:val="000967DB"/>
    <w:rsid w:val="00097FCB"/>
    <w:rsid w:val="000A2F1C"/>
    <w:rsid w:val="000A392E"/>
    <w:rsid w:val="000A575F"/>
    <w:rsid w:val="000A58AC"/>
    <w:rsid w:val="000A7843"/>
    <w:rsid w:val="000B2608"/>
    <w:rsid w:val="000B7342"/>
    <w:rsid w:val="000C2ADD"/>
    <w:rsid w:val="000C6F53"/>
    <w:rsid w:val="000C7279"/>
    <w:rsid w:val="000D05CB"/>
    <w:rsid w:val="000D10DB"/>
    <w:rsid w:val="000D5F8F"/>
    <w:rsid w:val="000E253F"/>
    <w:rsid w:val="000E3A2F"/>
    <w:rsid w:val="000E5EB5"/>
    <w:rsid w:val="000E6736"/>
    <w:rsid w:val="000F27D7"/>
    <w:rsid w:val="000F2B5D"/>
    <w:rsid w:val="000F35ED"/>
    <w:rsid w:val="000F52EC"/>
    <w:rsid w:val="000F6B9A"/>
    <w:rsid w:val="000F6E4A"/>
    <w:rsid w:val="000F7556"/>
    <w:rsid w:val="001004FE"/>
    <w:rsid w:val="00100EB9"/>
    <w:rsid w:val="00101129"/>
    <w:rsid w:val="00103E76"/>
    <w:rsid w:val="0010565D"/>
    <w:rsid w:val="00106BB7"/>
    <w:rsid w:val="00107131"/>
    <w:rsid w:val="0010736F"/>
    <w:rsid w:val="0011172F"/>
    <w:rsid w:val="00112D66"/>
    <w:rsid w:val="00113F73"/>
    <w:rsid w:val="001156CF"/>
    <w:rsid w:val="00121342"/>
    <w:rsid w:val="00121CC2"/>
    <w:rsid w:val="00123BA6"/>
    <w:rsid w:val="001272F9"/>
    <w:rsid w:val="00131425"/>
    <w:rsid w:val="00132955"/>
    <w:rsid w:val="00133EE5"/>
    <w:rsid w:val="00141E60"/>
    <w:rsid w:val="00143F50"/>
    <w:rsid w:val="00144311"/>
    <w:rsid w:val="001542ED"/>
    <w:rsid w:val="00157077"/>
    <w:rsid w:val="0016026F"/>
    <w:rsid w:val="00160AF0"/>
    <w:rsid w:val="00167A34"/>
    <w:rsid w:val="0017442C"/>
    <w:rsid w:val="0017450A"/>
    <w:rsid w:val="0017681E"/>
    <w:rsid w:val="00176BC1"/>
    <w:rsid w:val="00193027"/>
    <w:rsid w:val="001978D9"/>
    <w:rsid w:val="001A520D"/>
    <w:rsid w:val="001A7870"/>
    <w:rsid w:val="001B20BC"/>
    <w:rsid w:val="001B21D8"/>
    <w:rsid w:val="001B3A00"/>
    <w:rsid w:val="001B478B"/>
    <w:rsid w:val="001B55A3"/>
    <w:rsid w:val="001C1B41"/>
    <w:rsid w:val="001C1D8F"/>
    <w:rsid w:val="001C702C"/>
    <w:rsid w:val="001D03F1"/>
    <w:rsid w:val="001D2E1D"/>
    <w:rsid w:val="001D57D6"/>
    <w:rsid w:val="001D5E78"/>
    <w:rsid w:val="001D65EF"/>
    <w:rsid w:val="001D6FBD"/>
    <w:rsid w:val="001D775D"/>
    <w:rsid w:val="001D7F96"/>
    <w:rsid w:val="001E24D6"/>
    <w:rsid w:val="001E49E7"/>
    <w:rsid w:val="001E574D"/>
    <w:rsid w:val="001E73E1"/>
    <w:rsid w:val="001F7201"/>
    <w:rsid w:val="002030C1"/>
    <w:rsid w:val="00203172"/>
    <w:rsid w:val="0020437A"/>
    <w:rsid w:val="00207AC3"/>
    <w:rsid w:val="00212FF2"/>
    <w:rsid w:val="002176A4"/>
    <w:rsid w:val="00223984"/>
    <w:rsid w:val="00223A29"/>
    <w:rsid w:val="00223EC1"/>
    <w:rsid w:val="002250A3"/>
    <w:rsid w:val="0023259B"/>
    <w:rsid w:val="00235217"/>
    <w:rsid w:val="002359E2"/>
    <w:rsid w:val="00243044"/>
    <w:rsid w:val="00244208"/>
    <w:rsid w:val="00246D1F"/>
    <w:rsid w:val="00247403"/>
    <w:rsid w:val="00247542"/>
    <w:rsid w:val="00266B61"/>
    <w:rsid w:val="0026712A"/>
    <w:rsid w:val="002704DB"/>
    <w:rsid w:val="00292C94"/>
    <w:rsid w:val="00293936"/>
    <w:rsid w:val="00296988"/>
    <w:rsid w:val="002A0AAE"/>
    <w:rsid w:val="002A56C9"/>
    <w:rsid w:val="002A5820"/>
    <w:rsid w:val="002B029A"/>
    <w:rsid w:val="002B25D9"/>
    <w:rsid w:val="002B4246"/>
    <w:rsid w:val="002B5AA7"/>
    <w:rsid w:val="002B6FEE"/>
    <w:rsid w:val="002B7E19"/>
    <w:rsid w:val="002D2B26"/>
    <w:rsid w:val="002D394B"/>
    <w:rsid w:val="002D6CC4"/>
    <w:rsid w:val="002D6E65"/>
    <w:rsid w:val="002D7EA2"/>
    <w:rsid w:val="002E187C"/>
    <w:rsid w:val="002E4FC2"/>
    <w:rsid w:val="002E7AD8"/>
    <w:rsid w:val="002F02E6"/>
    <w:rsid w:val="002F23E1"/>
    <w:rsid w:val="00301AAD"/>
    <w:rsid w:val="00302733"/>
    <w:rsid w:val="0030292F"/>
    <w:rsid w:val="003044FA"/>
    <w:rsid w:val="00305835"/>
    <w:rsid w:val="003065B8"/>
    <w:rsid w:val="00306A07"/>
    <w:rsid w:val="00306F33"/>
    <w:rsid w:val="0031243C"/>
    <w:rsid w:val="00314078"/>
    <w:rsid w:val="0031535D"/>
    <w:rsid w:val="00317A9F"/>
    <w:rsid w:val="003239B8"/>
    <w:rsid w:val="003243B5"/>
    <w:rsid w:val="00327EF0"/>
    <w:rsid w:val="0033169F"/>
    <w:rsid w:val="00340773"/>
    <w:rsid w:val="0034126B"/>
    <w:rsid w:val="00344977"/>
    <w:rsid w:val="00344D54"/>
    <w:rsid w:val="00346C95"/>
    <w:rsid w:val="00347F52"/>
    <w:rsid w:val="00351868"/>
    <w:rsid w:val="00356185"/>
    <w:rsid w:val="00356E40"/>
    <w:rsid w:val="003576D7"/>
    <w:rsid w:val="00360380"/>
    <w:rsid w:val="0037519E"/>
    <w:rsid w:val="00375E07"/>
    <w:rsid w:val="00377C05"/>
    <w:rsid w:val="003804F2"/>
    <w:rsid w:val="00383298"/>
    <w:rsid w:val="00386CF0"/>
    <w:rsid w:val="003878C8"/>
    <w:rsid w:val="00390D8D"/>
    <w:rsid w:val="00394073"/>
    <w:rsid w:val="003942D7"/>
    <w:rsid w:val="00397AA5"/>
    <w:rsid w:val="003A6268"/>
    <w:rsid w:val="003B3299"/>
    <w:rsid w:val="003B4FC8"/>
    <w:rsid w:val="003B70FB"/>
    <w:rsid w:val="003C2E8A"/>
    <w:rsid w:val="003C52D9"/>
    <w:rsid w:val="003C5D09"/>
    <w:rsid w:val="003C676B"/>
    <w:rsid w:val="003D3BC2"/>
    <w:rsid w:val="003D767F"/>
    <w:rsid w:val="003E119F"/>
    <w:rsid w:val="003E4BEF"/>
    <w:rsid w:val="003E66E0"/>
    <w:rsid w:val="003E6CA1"/>
    <w:rsid w:val="003F5154"/>
    <w:rsid w:val="003F5F70"/>
    <w:rsid w:val="003F7633"/>
    <w:rsid w:val="004008D3"/>
    <w:rsid w:val="00402678"/>
    <w:rsid w:val="00403E93"/>
    <w:rsid w:val="00404800"/>
    <w:rsid w:val="00405F9C"/>
    <w:rsid w:val="004065A8"/>
    <w:rsid w:val="00407C76"/>
    <w:rsid w:val="00411549"/>
    <w:rsid w:val="00415771"/>
    <w:rsid w:val="00415801"/>
    <w:rsid w:val="00415E06"/>
    <w:rsid w:val="004165C2"/>
    <w:rsid w:val="00417667"/>
    <w:rsid w:val="00423C4D"/>
    <w:rsid w:val="004241A0"/>
    <w:rsid w:val="00437E52"/>
    <w:rsid w:val="004409FC"/>
    <w:rsid w:val="00441ECB"/>
    <w:rsid w:val="00443073"/>
    <w:rsid w:val="00445193"/>
    <w:rsid w:val="00446492"/>
    <w:rsid w:val="00450066"/>
    <w:rsid w:val="00454AA5"/>
    <w:rsid w:val="00455183"/>
    <w:rsid w:val="00460CED"/>
    <w:rsid w:val="004612F0"/>
    <w:rsid w:val="00462C1B"/>
    <w:rsid w:val="00462F22"/>
    <w:rsid w:val="00465FDF"/>
    <w:rsid w:val="00467B7E"/>
    <w:rsid w:val="004732EF"/>
    <w:rsid w:val="00473BB4"/>
    <w:rsid w:val="004752F8"/>
    <w:rsid w:val="00477592"/>
    <w:rsid w:val="00480795"/>
    <w:rsid w:val="00483151"/>
    <w:rsid w:val="00486EFD"/>
    <w:rsid w:val="00486F1C"/>
    <w:rsid w:val="00491FE9"/>
    <w:rsid w:val="00493BC9"/>
    <w:rsid w:val="0049419D"/>
    <w:rsid w:val="004A057B"/>
    <w:rsid w:val="004A0BDC"/>
    <w:rsid w:val="004A1FEA"/>
    <w:rsid w:val="004A5A52"/>
    <w:rsid w:val="004A6A54"/>
    <w:rsid w:val="004B3885"/>
    <w:rsid w:val="004B421C"/>
    <w:rsid w:val="004B4BEC"/>
    <w:rsid w:val="004B5208"/>
    <w:rsid w:val="004C20D2"/>
    <w:rsid w:val="004C2312"/>
    <w:rsid w:val="004C3669"/>
    <w:rsid w:val="004C4B62"/>
    <w:rsid w:val="004C54C9"/>
    <w:rsid w:val="004D4ABA"/>
    <w:rsid w:val="004D5034"/>
    <w:rsid w:val="004D6025"/>
    <w:rsid w:val="004E2649"/>
    <w:rsid w:val="004E329A"/>
    <w:rsid w:val="004E4822"/>
    <w:rsid w:val="004F04FA"/>
    <w:rsid w:val="004F2F4C"/>
    <w:rsid w:val="004F3018"/>
    <w:rsid w:val="004F305D"/>
    <w:rsid w:val="004F626F"/>
    <w:rsid w:val="004F7C62"/>
    <w:rsid w:val="00501399"/>
    <w:rsid w:val="00501E47"/>
    <w:rsid w:val="00503717"/>
    <w:rsid w:val="005047ED"/>
    <w:rsid w:val="0050633D"/>
    <w:rsid w:val="00507BC4"/>
    <w:rsid w:val="005128E4"/>
    <w:rsid w:val="005133DB"/>
    <w:rsid w:val="00514504"/>
    <w:rsid w:val="00520ACC"/>
    <w:rsid w:val="00521E1F"/>
    <w:rsid w:val="00525560"/>
    <w:rsid w:val="0053366B"/>
    <w:rsid w:val="005340A2"/>
    <w:rsid w:val="00540715"/>
    <w:rsid w:val="00543B95"/>
    <w:rsid w:val="00544C49"/>
    <w:rsid w:val="005516A1"/>
    <w:rsid w:val="005559EF"/>
    <w:rsid w:val="005569A2"/>
    <w:rsid w:val="005575C0"/>
    <w:rsid w:val="00563557"/>
    <w:rsid w:val="00564B7E"/>
    <w:rsid w:val="00567290"/>
    <w:rsid w:val="0057402A"/>
    <w:rsid w:val="00574ED4"/>
    <w:rsid w:val="005750D5"/>
    <w:rsid w:val="005771D0"/>
    <w:rsid w:val="0058434D"/>
    <w:rsid w:val="0059191A"/>
    <w:rsid w:val="005921FF"/>
    <w:rsid w:val="005A24ED"/>
    <w:rsid w:val="005A6D0E"/>
    <w:rsid w:val="005B4603"/>
    <w:rsid w:val="005B4F6F"/>
    <w:rsid w:val="005B52B0"/>
    <w:rsid w:val="005B6656"/>
    <w:rsid w:val="005B6806"/>
    <w:rsid w:val="005C026D"/>
    <w:rsid w:val="005C1208"/>
    <w:rsid w:val="005C188C"/>
    <w:rsid w:val="005C4225"/>
    <w:rsid w:val="005C573A"/>
    <w:rsid w:val="005C763D"/>
    <w:rsid w:val="005D3DE1"/>
    <w:rsid w:val="005D5138"/>
    <w:rsid w:val="005D72C7"/>
    <w:rsid w:val="005E1DD4"/>
    <w:rsid w:val="005E36E4"/>
    <w:rsid w:val="005F0DAD"/>
    <w:rsid w:val="005F0F33"/>
    <w:rsid w:val="005F3476"/>
    <w:rsid w:val="005F36E8"/>
    <w:rsid w:val="005F53C0"/>
    <w:rsid w:val="00600DEB"/>
    <w:rsid w:val="00604D6F"/>
    <w:rsid w:val="00606831"/>
    <w:rsid w:val="006102B2"/>
    <w:rsid w:val="00612A0A"/>
    <w:rsid w:val="00613D63"/>
    <w:rsid w:val="00614362"/>
    <w:rsid w:val="00614BDA"/>
    <w:rsid w:val="00615363"/>
    <w:rsid w:val="006164D2"/>
    <w:rsid w:val="00620C6F"/>
    <w:rsid w:val="00621F7A"/>
    <w:rsid w:val="00622B9E"/>
    <w:rsid w:val="00626E5D"/>
    <w:rsid w:val="00627C9F"/>
    <w:rsid w:val="006311E9"/>
    <w:rsid w:val="00632354"/>
    <w:rsid w:val="00632C85"/>
    <w:rsid w:val="00635421"/>
    <w:rsid w:val="00635507"/>
    <w:rsid w:val="00637154"/>
    <w:rsid w:val="00641AA8"/>
    <w:rsid w:val="00641AAA"/>
    <w:rsid w:val="00641FED"/>
    <w:rsid w:val="00642810"/>
    <w:rsid w:val="00642B15"/>
    <w:rsid w:val="0064359E"/>
    <w:rsid w:val="00645171"/>
    <w:rsid w:val="006508E0"/>
    <w:rsid w:val="0065198A"/>
    <w:rsid w:val="00652333"/>
    <w:rsid w:val="006532B5"/>
    <w:rsid w:val="006563B7"/>
    <w:rsid w:val="006708AE"/>
    <w:rsid w:val="00674878"/>
    <w:rsid w:val="0068009E"/>
    <w:rsid w:val="00680EAD"/>
    <w:rsid w:val="00690DEA"/>
    <w:rsid w:val="00692219"/>
    <w:rsid w:val="006A08C4"/>
    <w:rsid w:val="006A0CE8"/>
    <w:rsid w:val="006A17D2"/>
    <w:rsid w:val="006A5F70"/>
    <w:rsid w:val="006A68DD"/>
    <w:rsid w:val="006A73E6"/>
    <w:rsid w:val="006B20E3"/>
    <w:rsid w:val="006B275F"/>
    <w:rsid w:val="006B2D5C"/>
    <w:rsid w:val="006B3A1B"/>
    <w:rsid w:val="006B5C86"/>
    <w:rsid w:val="006C0ECF"/>
    <w:rsid w:val="006C3654"/>
    <w:rsid w:val="006C4EB1"/>
    <w:rsid w:val="006C4EF6"/>
    <w:rsid w:val="006D23DA"/>
    <w:rsid w:val="006D76FF"/>
    <w:rsid w:val="006D7F02"/>
    <w:rsid w:val="006E0166"/>
    <w:rsid w:val="006E2FFB"/>
    <w:rsid w:val="006E7B34"/>
    <w:rsid w:val="006F0B0B"/>
    <w:rsid w:val="006F6BED"/>
    <w:rsid w:val="007021BC"/>
    <w:rsid w:val="0070697F"/>
    <w:rsid w:val="00707D78"/>
    <w:rsid w:val="007103C4"/>
    <w:rsid w:val="00712208"/>
    <w:rsid w:val="00717A6F"/>
    <w:rsid w:val="00720FA3"/>
    <w:rsid w:val="0072199C"/>
    <w:rsid w:val="00722C9F"/>
    <w:rsid w:val="007253B8"/>
    <w:rsid w:val="007265F1"/>
    <w:rsid w:val="0073709A"/>
    <w:rsid w:val="0073741F"/>
    <w:rsid w:val="00737E5A"/>
    <w:rsid w:val="00740E71"/>
    <w:rsid w:val="007461AD"/>
    <w:rsid w:val="007504E8"/>
    <w:rsid w:val="00750E86"/>
    <w:rsid w:val="00752CB4"/>
    <w:rsid w:val="00760CF2"/>
    <w:rsid w:val="00762207"/>
    <w:rsid w:val="00762B4F"/>
    <w:rsid w:val="0076413F"/>
    <w:rsid w:val="00766268"/>
    <w:rsid w:val="0076641D"/>
    <w:rsid w:val="0076643F"/>
    <w:rsid w:val="00767486"/>
    <w:rsid w:val="00767B01"/>
    <w:rsid w:val="007723E0"/>
    <w:rsid w:val="00774065"/>
    <w:rsid w:val="007744B6"/>
    <w:rsid w:val="00774A3D"/>
    <w:rsid w:val="00777F63"/>
    <w:rsid w:val="0078046C"/>
    <w:rsid w:val="00780956"/>
    <w:rsid w:val="0078095F"/>
    <w:rsid w:val="0078256C"/>
    <w:rsid w:val="00797C15"/>
    <w:rsid w:val="007A5769"/>
    <w:rsid w:val="007A5817"/>
    <w:rsid w:val="007B05C4"/>
    <w:rsid w:val="007B0A06"/>
    <w:rsid w:val="007B2EBB"/>
    <w:rsid w:val="007B60E9"/>
    <w:rsid w:val="007B6CC3"/>
    <w:rsid w:val="007B76D3"/>
    <w:rsid w:val="007C18A4"/>
    <w:rsid w:val="007C3334"/>
    <w:rsid w:val="007C715A"/>
    <w:rsid w:val="007D08D7"/>
    <w:rsid w:val="007D2B98"/>
    <w:rsid w:val="007D60F5"/>
    <w:rsid w:val="007E21BC"/>
    <w:rsid w:val="007E563E"/>
    <w:rsid w:val="007E7C82"/>
    <w:rsid w:val="007F2AA1"/>
    <w:rsid w:val="007F2BA5"/>
    <w:rsid w:val="007F588D"/>
    <w:rsid w:val="007F74EE"/>
    <w:rsid w:val="008013AE"/>
    <w:rsid w:val="00803F1C"/>
    <w:rsid w:val="0080600E"/>
    <w:rsid w:val="00810C95"/>
    <w:rsid w:val="00811C8F"/>
    <w:rsid w:val="00814688"/>
    <w:rsid w:val="00817612"/>
    <w:rsid w:val="00821E53"/>
    <w:rsid w:val="008261C9"/>
    <w:rsid w:val="00830070"/>
    <w:rsid w:val="00830AAC"/>
    <w:rsid w:val="008338A4"/>
    <w:rsid w:val="00834D49"/>
    <w:rsid w:val="00836909"/>
    <w:rsid w:val="00837C45"/>
    <w:rsid w:val="0084046B"/>
    <w:rsid w:val="00842DB1"/>
    <w:rsid w:val="00844730"/>
    <w:rsid w:val="008457C2"/>
    <w:rsid w:val="00857A82"/>
    <w:rsid w:val="008646F3"/>
    <w:rsid w:val="00865C99"/>
    <w:rsid w:val="00872630"/>
    <w:rsid w:val="00873836"/>
    <w:rsid w:val="008748FB"/>
    <w:rsid w:val="0088043E"/>
    <w:rsid w:val="00881258"/>
    <w:rsid w:val="00882D28"/>
    <w:rsid w:val="00883319"/>
    <w:rsid w:val="00885737"/>
    <w:rsid w:val="00890650"/>
    <w:rsid w:val="008944DC"/>
    <w:rsid w:val="00895E24"/>
    <w:rsid w:val="00897E12"/>
    <w:rsid w:val="008A48C8"/>
    <w:rsid w:val="008A5913"/>
    <w:rsid w:val="008A7E0F"/>
    <w:rsid w:val="008B12F5"/>
    <w:rsid w:val="008B382D"/>
    <w:rsid w:val="008B75EB"/>
    <w:rsid w:val="008C1F6E"/>
    <w:rsid w:val="008C4DEE"/>
    <w:rsid w:val="008C5E2D"/>
    <w:rsid w:val="008D3A3B"/>
    <w:rsid w:val="008D3F77"/>
    <w:rsid w:val="008D768D"/>
    <w:rsid w:val="008E3759"/>
    <w:rsid w:val="008E3BFE"/>
    <w:rsid w:val="008F1912"/>
    <w:rsid w:val="0090270B"/>
    <w:rsid w:val="009036AD"/>
    <w:rsid w:val="009041DC"/>
    <w:rsid w:val="00913E68"/>
    <w:rsid w:val="00917B5A"/>
    <w:rsid w:val="0092044D"/>
    <w:rsid w:val="00920A58"/>
    <w:rsid w:val="00920A8C"/>
    <w:rsid w:val="0092229A"/>
    <w:rsid w:val="009242B0"/>
    <w:rsid w:val="00924C32"/>
    <w:rsid w:val="00926258"/>
    <w:rsid w:val="00926566"/>
    <w:rsid w:val="00926E4C"/>
    <w:rsid w:val="00930D3E"/>
    <w:rsid w:val="0093321C"/>
    <w:rsid w:val="00934A2C"/>
    <w:rsid w:val="00944F3F"/>
    <w:rsid w:val="00960EDD"/>
    <w:rsid w:val="009624F7"/>
    <w:rsid w:val="009627FF"/>
    <w:rsid w:val="0096706E"/>
    <w:rsid w:val="00967C75"/>
    <w:rsid w:val="009735E7"/>
    <w:rsid w:val="00974491"/>
    <w:rsid w:val="00975C4E"/>
    <w:rsid w:val="0097776C"/>
    <w:rsid w:val="00981FBA"/>
    <w:rsid w:val="009847C6"/>
    <w:rsid w:val="00986466"/>
    <w:rsid w:val="009935AC"/>
    <w:rsid w:val="00997BC5"/>
    <w:rsid w:val="009A4F41"/>
    <w:rsid w:val="009A56CE"/>
    <w:rsid w:val="009A7E67"/>
    <w:rsid w:val="009B381B"/>
    <w:rsid w:val="009B3A68"/>
    <w:rsid w:val="009B418D"/>
    <w:rsid w:val="009B53CC"/>
    <w:rsid w:val="009B7814"/>
    <w:rsid w:val="009C0A2D"/>
    <w:rsid w:val="009C1847"/>
    <w:rsid w:val="009C1F97"/>
    <w:rsid w:val="009D1753"/>
    <w:rsid w:val="009D2C17"/>
    <w:rsid w:val="009D7611"/>
    <w:rsid w:val="009E0B61"/>
    <w:rsid w:val="009E53DE"/>
    <w:rsid w:val="009E5564"/>
    <w:rsid w:val="009F1577"/>
    <w:rsid w:val="009F1A8A"/>
    <w:rsid w:val="009F223F"/>
    <w:rsid w:val="009F265B"/>
    <w:rsid w:val="00A0092A"/>
    <w:rsid w:val="00A04E5F"/>
    <w:rsid w:val="00A11212"/>
    <w:rsid w:val="00A1151B"/>
    <w:rsid w:val="00A11E44"/>
    <w:rsid w:val="00A15562"/>
    <w:rsid w:val="00A20646"/>
    <w:rsid w:val="00A2546C"/>
    <w:rsid w:val="00A30100"/>
    <w:rsid w:val="00A31134"/>
    <w:rsid w:val="00A328B3"/>
    <w:rsid w:val="00A341F1"/>
    <w:rsid w:val="00A34824"/>
    <w:rsid w:val="00A4670B"/>
    <w:rsid w:val="00A46F73"/>
    <w:rsid w:val="00A472ED"/>
    <w:rsid w:val="00A50FCF"/>
    <w:rsid w:val="00A512D5"/>
    <w:rsid w:val="00A528D1"/>
    <w:rsid w:val="00A54452"/>
    <w:rsid w:val="00A60FC7"/>
    <w:rsid w:val="00A610CD"/>
    <w:rsid w:val="00A65D06"/>
    <w:rsid w:val="00A674F4"/>
    <w:rsid w:val="00A71259"/>
    <w:rsid w:val="00A72F3B"/>
    <w:rsid w:val="00A758AA"/>
    <w:rsid w:val="00A90A48"/>
    <w:rsid w:val="00A94644"/>
    <w:rsid w:val="00A955A9"/>
    <w:rsid w:val="00AA09A2"/>
    <w:rsid w:val="00AA4254"/>
    <w:rsid w:val="00AA43DE"/>
    <w:rsid w:val="00AA4767"/>
    <w:rsid w:val="00AA4F86"/>
    <w:rsid w:val="00AA5638"/>
    <w:rsid w:val="00AA678C"/>
    <w:rsid w:val="00AA7996"/>
    <w:rsid w:val="00AB08C2"/>
    <w:rsid w:val="00AB62B1"/>
    <w:rsid w:val="00AC19CB"/>
    <w:rsid w:val="00AC604A"/>
    <w:rsid w:val="00AE32A9"/>
    <w:rsid w:val="00AE5488"/>
    <w:rsid w:val="00AE63D9"/>
    <w:rsid w:val="00AE68D1"/>
    <w:rsid w:val="00AE6F91"/>
    <w:rsid w:val="00AF3176"/>
    <w:rsid w:val="00AF5571"/>
    <w:rsid w:val="00B013E9"/>
    <w:rsid w:val="00B02C08"/>
    <w:rsid w:val="00B04818"/>
    <w:rsid w:val="00B0643A"/>
    <w:rsid w:val="00B07341"/>
    <w:rsid w:val="00B07981"/>
    <w:rsid w:val="00B110D2"/>
    <w:rsid w:val="00B11D5E"/>
    <w:rsid w:val="00B13667"/>
    <w:rsid w:val="00B2600B"/>
    <w:rsid w:val="00B2793E"/>
    <w:rsid w:val="00B27B65"/>
    <w:rsid w:val="00B303F7"/>
    <w:rsid w:val="00B30539"/>
    <w:rsid w:val="00B314DB"/>
    <w:rsid w:val="00B33BDC"/>
    <w:rsid w:val="00B361F2"/>
    <w:rsid w:val="00B3718B"/>
    <w:rsid w:val="00B3745F"/>
    <w:rsid w:val="00B42152"/>
    <w:rsid w:val="00B4297F"/>
    <w:rsid w:val="00B43E96"/>
    <w:rsid w:val="00B443C7"/>
    <w:rsid w:val="00B46084"/>
    <w:rsid w:val="00B4632A"/>
    <w:rsid w:val="00B4793C"/>
    <w:rsid w:val="00B530F1"/>
    <w:rsid w:val="00B542C6"/>
    <w:rsid w:val="00B65EB4"/>
    <w:rsid w:val="00B662AC"/>
    <w:rsid w:val="00B66DD0"/>
    <w:rsid w:val="00B7111B"/>
    <w:rsid w:val="00B7186E"/>
    <w:rsid w:val="00B71F04"/>
    <w:rsid w:val="00B73754"/>
    <w:rsid w:val="00B74E47"/>
    <w:rsid w:val="00B774D8"/>
    <w:rsid w:val="00B84DAA"/>
    <w:rsid w:val="00B84FCE"/>
    <w:rsid w:val="00B8526F"/>
    <w:rsid w:val="00B93D7F"/>
    <w:rsid w:val="00B9501A"/>
    <w:rsid w:val="00B961CF"/>
    <w:rsid w:val="00BA1187"/>
    <w:rsid w:val="00BA276C"/>
    <w:rsid w:val="00BA456A"/>
    <w:rsid w:val="00BB019D"/>
    <w:rsid w:val="00BB01DC"/>
    <w:rsid w:val="00BB306F"/>
    <w:rsid w:val="00BB4EDC"/>
    <w:rsid w:val="00BB6523"/>
    <w:rsid w:val="00BC1458"/>
    <w:rsid w:val="00BD01F0"/>
    <w:rsid w:val="00BD0FF5"/>
    <w:rsid w:val="00BD34E9"/>
    <w:rsid w:val="00BD4B89"/>
    <w:rsid w:val="00BD5922"/>
    <w:rsid w:val="00BE29B8"/>
    <w:rsid w:val="00BE3CD0"/>
    <w:rsid w:val="00BE5E6F"/>
    <w:rsid w:val="00BF02CB"/>
    <w:rsid w:val="00BF47EB"/>
    <w:rsid w:val="00BF6FD8"/>
    <w:rsid w:val="00C03680"/>
    <w:rsid w:val="00C054DF"/>
    <w:rsid w:val="00C056CD"/>
    <w:rsid w:val="00C05B7F"/>
    <w:rsid w:val="00C06DDD"/>
    <w:rsid w:val="00C06E9D"/>
    <w:rsid w:val="00C128BE"/>
    <w:rsid w:val="00C21762"/>
    <w:rsid w:val="00C21FEF"/>
    <w:rsid w:val="00C23BA4"/>
    <w:rsid w:val="00C24543"/>
    <w:rsid w:val="00C256A2"/>
    <w:rsid w:val="00C25ADB"/>
    <w:rsid w:val="00C2767A"/>
    <w:rsid w:val="00C33714"/>
    <w:rsid w:val="00C37DE2"/>
    <w:rsid w:val="00C41D8A"/>
    <w:rsid w:val="00C4275E"/>
    <w:rsid w:val="00C466BD"/>
    <w:rsid w:val="00C47401"/>
    <w:rsid w:val="00C477EC"/>
    <w:rsid w:val="00C51515"/>
    <w:rsid w:val="00C5660B"/>
    <w:rsid w:val="00C56BA3"/>
    <w:rsid w:val="00C6183C"/>
    <w:rsid w:val="00C642D2"/>
    <w:rsid w:val="00C66B72"/>
    <w:rsid w:val="00C71BEE"/>
    <w:rsid w:val="00C72196"/>
    <w:rsid w:val="00C7310B"/>
    <w:rsid w:val="00C74157"/>
    <w:rsid w:val="00C76FA2"/>
    <w:rsid w:val="00C847E9"/>
    <w:rsid w:val="00C85A0A"/>
    <w:rsid w:val="00C87AC4"/>
    <w:rsid w:val="00C90453"/>
    <w:rsid w:val="00C922AE"/>
    <w:rsid w:val="00C9567A"/>
    <w:rsid w:val="00CA5EDC"/>
    <w:rsid w:val="00CA757F"/>
    <w:rsid w:val="00CB212D"/>
    <w:rsid w:val="00CB2310"/>
    <w:rsid w:val="00CB2660"/>
    <w:rsid w:val="00CB7E3D"/>
    <w:rsid w:val="00CC5B6F"/>
    <w:rsid w:val="00CC5E90"/>
    <w:rsid w:val="00CC743E"/>
    <w:rsid w:val="00CC75E3"/>
    <w:rsid w:val="00CD046C"/>
    <w:rsid w:val="00CD2F33"/>
    <w:rsid w:val="00CD4CEB"/>
    <w:rsid w:val="00CD6B06"/>
    <w:rsid w:val="00CE076C"/>
    <w:rsid w:val="00CE5199"/>
    <w:rsid w:val="00CE66D5"/>
    <w:rsid w:val="00CE7F73"/>
    <w:rsid w:val="00CF2564"/>
    <w:rsid w:val="00CF288C"/>
    <w:rsid w:val="00CF637A"/>
    <w:rsid w:val="00CF652C"/>
    <w:rsid w:val="00D04DCC"/>
    <w:rsid w:val="00D059DE"/>
    <w:rsid w:val="00D05ABD"/>
    <w:rsid w:val="00D067A0"/>
    <w:rsid w:val="00D11074"/>
    <w:rsid w:val="00D1193C"/>
    <w:rsid w:val="00D12BAD"/>
    <w:rsid w:val="00D12C1F"/>
    <w:rsid w:val="00D13FCE"/>
    <w:rsid w:val="00D17EA2"/>
    <w:rsid w:val="00D213B5"/>
    <w:rsid w:val="00D2414C"/>
    <w:rsid w:val="00D25290"/>
    <w:rsid w:val="00D306D1"/>
    <w:rsid w:val="00D30800"/>
    <w:rsid w:val="00D34477"/>
    <w:rsid w:val="00D34786"/>
    <w:rsid w:val="00D3509C"/>
    <w:rsid w:val="00D37BFC"/>
    <w:rsid w:val="00D4366E"/>
    <w:rsid w:val="00D442AA"/>
    <w:rsid w:val="00D47A8E"/>
    <w:rsid w:val="00D47F3A"/>
    <w:rsid w:val="00D52D14"/>
    <w:rsid w:val="00D570B9"/>
    <w:rsid w:val="00D621DC"/>
    <w:rsid w:val="00D70A4C"/>
    <w:rsid w:val="00D71063"/>
    <w:rsid w:val="00D712D3"/>
    <w:rsid w:val="00D71422"/>
    <w:rsid w:val="00D719BA"/>
    <w:rsid w:val="00D71CF6"/>
    <w:rsid w:val="00D72100"/>
    <w:rsid w:val="00D72DC6"/>
    <w:rsid w:val="00D74650"/>
    <w:rsid w:val="00D7558D"/>
    <w:rsid w:val="00D763F3"/>
    <w:rsid w:val="00D76E0A"/>
    <w:rsid w:val="00D77782"/>
    <w:rsid w:val="00D80DE9"/>
    <w:rsid w:val="00D81D92"/>
    <w:rsid w:val="00D876F9"/>
    <w:rsid w:val="00DA1036"/>
    <w:rsid w:val="00DA1CC2"/>
    <w:rsid w:val="00DA5360"/>
    <w:rsid w:val="00DA7B5F"/>
    <w:rsid w:val="00DB5261"/>
    <w:rsid w:val="00DC006E"/>
    <w:rsid w:val="00DC11E7"/>
    <w:rsid w:val="00DC24E3"/>
    <w:rsid w:val="00DC3047"/>
    <w:rsid w:val="00DC520C"/>
    <w:rsid w:val="00DC7023"/>
    <w:rsid w:val="00DC769A"/>
    <w:rsid w:val="00DD3D86"/>
    <w:rsid w:val="00DD4AD2"/>
    <w:rsid w:val="00DE2862"/>
    <w:rsid w:val="00DE2B2F"/>
    <w:rsid w:val="00DF1EC4"/>
    <w:rsid w:val="00DF221F"/>
    <w:rsid w:val="00DF2F13"/>
    <w:rsid w:val="00DF6936"/>
    <w:rsid w:val="00DF725A"/>
    <w:rsid w:val="00E02224"/>
    <w:rsid w:val="00E0340B"/>
    <w:rsid w:val="00E043E2"/>
    <w:rsid w:val="00E04A90"/>
    <w:rsid w:val="00E0551F"/>
    <w:rsid w:val="00E11650"/>
    <w:rsid w:val="00E122AF"/>
    <w:rsid w:val="00E16043"/>
    <w:rsid w:val="00E219C7"/>
    <w:rsid w:val="00E22609"/>
    <w:rsid w:val="00E24C5A"/>
    <w:rsid w:val="00E269F1"/>
    <w:rsid w:val="00E33B8B"/>
    <w:rsid w:val="00E4118C"/>
    <w:rsid w:val="00E43157"/>
    <w:rsid w:val="00E461CE"/>
    <w:rsid w:val="00E473D7"/>
    <w:rsid w:val="00E53400"/>
    <w:rsid w:val="00E53FB0"/>
    <w:rsid w:val="00E55E92"/>
    <w:rsid w:val="00E566BE"/>
    <w:rsid w:val="00E573E4"/>
    <w:rsid w:val="00E64C3D"/>
    <w:rsid w:val="00E66DCD"/>
    <w:rsid w:val="00E720CA"/>
    <w:rsid w:val="00E768F6"/>
    <w:rsid w:val="00E76E06"/>
    <w:rsid w:val="00E800BD"/>
    <w:rsid w:val="00E812D0"/>
    <w:rsid w:val="00E81E3B"/>
    <w:rsid w:val="00E83697"/>
    <w:rsid w:val="00E83EEA"/>
    <w:rsid w:val="00E84EB5"/>
    <w:rsid w:val="00E85662"/>
    <w:rsid w:val="00E8789F"/>
    <w:rsid w:val="00E96261"/>
    <w:rsid w:val="00E97B71"/>
    <w:rsid w:val="00EA1847"/>
    <w:rsid w:val="00EA3C33"/>
    <w:rsid w:val="00EA3D34"/>
    <w:rsid w:val="00EA5A0A"/>
    <w:rsid w:val="00EB1DBE"/>
    <w:rsid w:val="00EB454D"/>
    <w:rsid w:val="00EB4EC7"/>
    <w:rsid w:val="00EB7D79"/>
    <w:rsid w:val="00EB7E86"/>
    <w:rsid w:val="00EC20E5"/>
    <w:rsid w:val="00EC671C"/>
    <w:rsid w:val="00ED549D"/>
    <w:rsid w:val="00ED5E10"/>
    <w:rsid w:val="00ED76BE"/>
    <w:rsid w:val="00EE00E9"/>
    <w:rsid w:val="00EE0DDE"/>
    <w:rsid w:val="00EE16E6"/>
    <w:rsid w:val="00EE1A19"/>
    <w:rsid w:val="00EE3C26"/>
    <w:rsid w:val="00EE527A"/>
    <w:rsid w:val="00EF0A32"/>
    <w:rsid w:val="00EF1AAA"/>
    <w:rsid w:val="00EF1BBD"/>
    <w:rsid w:val="00EF5DAD"/>
    <w:rsid w:val="00EF619B"/>
    <w:rsid w:val="00F00B55"/>
    <w:rsid w:val="00F01BCD"/>
    <w:rsid w:val="00F02AD1"/>
    <w:rsid w:val="00F1223E"/>
    <w:rsid w:val="00F12A17"/>
    <w:rsid w:val="00F13AD0"/>
    <w:rsid w:val="00F15B64"/>
    <w:rsid w:val="00F240F7"/>
    <w:rsid w:val="00F250B6"/>
    <w:rsid w:val="00F253CC"/>
    <w:rsid w:val="00F27ED9"/>
    <w:rsid w:val="00F30A9D"/>
    <w:rsid w:val="00F310CE"/>
    <w:rsid w:val="00F33C62"/>
    <w:rsid w:val="00F35D13"/>
    <w:rsid w:val="00F37106"/>
    <w:rsid w:val="00F435AC"/>
    <w:rsid w:val="00F44E25"/>
    <w:rsid w:val="00F454EE"/>
    <w:rsid w:val="00F519CF"/>
    <w:rsid w:val="00F51D72"/>
    <w:rsid w:val="00F56BA5"/>
    <w:rsid w:val="00F56ECB"/>
    <w:rsid w:val="00F572F6"/>
    <w:rsid w:val="00F60E22"/>
    <w:rsid w:val="00F677EC"/>
    <w:rsid w:val="00F7295D"/>
    <w:rsid w:val="00F7324E"/>
    <w:rsid w:val="00F76F7C"/>
    <w:rsid w:val="00F80297"/>
    <w:rsid w:val="00F81395"/>
    <w:rsid w:val="00F813CB"/>
    <w:rsid w:val="00F81BB8"/>
    <w:rsid w:val="00F90100"/>
    <w:rsid w:val="00F90C64"/>
    <w:rsid w:val="00F911DB"/>
    <w:rsid w:val="00F917D1"/>
    <w:rsid w:val="00F94E18"/>
    <w:rsid w:val="00F9653B"/>
    <w:rsid w:val="00F967B0"/>
    <w:rsid w:val="00FA3AEF"/>
    <w:rsid w:val="00FA7252"/>
    <w:rsid w:val="00FB1A00"/>
    <w:rsid w:val="00FB3EC4"/>
    <w:rsid w:val="00FB62CF"/>
    <w:rsid w:val="00FB7CC1"/>
    <w:rsid w:val="00FC57E7"/>
    <w:rsid w:val="00FC6CDC"/>
    <w:rsid w:val="00FD14AE"/>
    <w:rsid w:val="00FD3C3B"/>
    <w:rsid w:val="00FD481F"/>
    <w:rsid w:val="00FE07DD"/>
    <w:rsid w:val="00FE6B45"/>
    <w:rsid w:val="00FF4347"/>
    <w:rsid w:val="00FF559D"/>
    <w:rsid w:val="00FF55F3"/>
    <w:rsid w:val="00FF5851"/>
    <w:rsid w:val="00FF6087"/>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1978D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1978D9"/>
    <w:pPr>
      <w:keepNext w:val="0"/>
      <w:keepLines w:val="0"/>
      <w:numPr>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contextualSpacing/>
      <w:jc w:val="both"/>
      <w:outlineLvl w:val="4"/>
    </w:pPr>
    <w:rPr>
      <w:rFonts w:ascii="Cambria" w:eastAsia="Calibri" w:hAnsi="Cambria" w:cs="Calibri"/>
      <w:b/>
      <w:i w:val="0"/>
      <w:iCs w:val="0"/>
      <w:color w:val="auto"/>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38329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semiHidden/>
    <w:unhideWhenUsed/>
    <w:rsid w:val="005B4F6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5Char">
    <w:name w:val="Heading 5 Char"/>
    <w:basedOn w:val="DefaultParagraphFont"/>
    <w:link w:val="Heading5"/>
    <w:uiPriority w:val="9"/>
    <w:rsid w:val="001978D9"/>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1978D9"/>
    <w:rPr>
      <w:rFonts w:asciiTheme="majorHAnsi" w:eastAsiaTheme="majorEastAsia" w:hAnsiTheme="majorHAnsi" w:cstheme="majorBidi"/>
      <w:i/>
      <w:iCs/>
      <w:color w:val="365F91" w:themeColor="accent1" w:themeShade="BF"/>
      <w:sz w:val="24"/>
      <w:szCs w:val="24"/>
      <w:lang w:val="en-US" w:eastAsia="en-US"/>
    </w:rPr>
  </w:style>
  <w:style w:type="paragraph" w:styleId="Revision">
    <w:name w:val="Revision"/>
    <w:hidden/>
    <w:uiPriority w:val="99"/>
    <w:semiHidden/>
    <w:rsid w:val="00543B9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DA5360"/>
    <w:rPr>
      <w:sz w:val="16"/>
      <w:szCs w:val="16"/>
    </w:rPr>
  </w:style>
  <w:style w:type="paragraph" w:styleId="CommentText">
    <w:name w:val="annotation text"/>
    <w:basedOn w:val="Normal"/>
    <w:link w:val="CommentTextChar"/>
    <w:uiPriority w:val="99"/>
    <w:semiHidden/>
    <w:unhideWhenUsed/>
    <w:rsid w:val="00DA5360"/>
    <w:rPr>
      <w:sz w:val="20"/>
      <w:szCs w:val="20"/>
    </w:rPr>
  </w:style>
  <w:style w:type="character" w:customStyle="1" w:styleId="CommentTextChar">
    <w:name w:val="Comment Text Char"/>
    <w:basedOn w:val="DefaultParagraphFont"/>
    <w:link w:val="CommentText"/>
    <w:uiPriority w:val="99"/>
    <w:semiHidden/>
    <w:rsid w:val="00DA5360"/>
    <w:rPr>
      <w:lang w:val="en-US" w:eastAsia="en-US"/>
    </w:rPr>
  </w:style>
  <w:style w:type="paragraph" w:styleId="CommentSubject">
    <w:name w:val="annotation subject"/>
    <w:basedOn w:val="CommentText"/>
    <w:next w:val="CommentText"/>
    <w:link w:val="CommentSubjectChar"/>
    <w:uiPriority w:val="99"/>
    <w:semiHidden/>
    <w:unhideWhenUsed/>
    <w:rsid w:val="00DA5360"/>
    <w:rPr>
      <w:b/>
      <w:bCs/>
    </w:rPr>
  </w:style>
  <w:style w:type="character" w:customStyle="1" w:styleId="CommentSubjectChar">
    <w:name w:val="Comment Subject Char"/>
    <w:basedOn w:val="CommentTextChar"/>
    <w:link w:val="CommentSubject"/>
    <w:uiPriority w:val="99"/>
    <w:semiHidden/>
    <w:rsid w:val="00DA5360"/>
    <w:rPr>
      <w:b/>
      <w:bCs/>
      <w:lang w:val="en-US" w:eastAsia="en-US"/>
    </w:rPr>
  </w:style>
  <w:style w:type="paragraph" w:customStyle="1" w:styleId="paragraph">
    <w:name w:val="paragraph"/>
    <w:basedOn w:val="Normal"/>
    <w:rsid w:val="00DF69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DF6936"/>
  </w:style>
  <w:style w:type="character" w:customStyle="1" w:styleId="eop">
    <w:name w:val="eop"/>
    <w:basedOn w:val="DefaultParagraphFont"/>
    <w:rsid w:val="00DF6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1845">
      <w:bodyDiv w:val="1"/>
      <w:marLeft w:val="0"/>
      <w:marRight w:val="0"/>
      <w:marTop w:val="0"/>
      <w:marBottom w:val="0"/>
      <w:divBdr>
        <w:top w:val="none" w:sz="0" w:space="0" w:color="auto"/>
        <w:left w:val="none" w:sz="0" w:space="0" w:color="auto"/>
        <w:bottom w:val="none" w:sz="0" w:space="0" w:color="auto"/>
        <w:right w:val="none" w:sz="0" w:space="0" w:color="auto"/>
      </w:divBdr>
      <w:divsChild>
        <w:div w:id="1488471729">
          <w:marLeft w:val="0"/>
          <w:marRight w:val="0"/>
          <w:marTop w:val="0"/>
          <w:marBottom w:val="0"/>
          <w:divBdr>
            <w:top w:val="none" w:sz="0" w:space="0" w:color="auto"/>
            <w:left w:val="none" w:sz="0" w:space="0" w:color="auto"/>
            <w:bottom w:val="none" w:sz="0" w:space="0" w:color="auto"/>
            <w:right w:val="none" w:sz="0" w:space="0" w:color="auto"/>
          </w:divBdr>
          <w:divsChild>
            <w:div w:id="698509688">
              <w:marLeft w:val="0"/>
              <w:marRight w:val="0"/>
              <w:marTop w:val="0"/>
              <w:marBottom w:val="0"/>
              <w:divBdr>
                <w:top w:val="none" w:sz="0" w:space="0" w:color="auto"/>
                <w:left w:val="none" w:sz="0" w:space="0" w:color="auto"/>
                <w:bottom w:val="none" w:sz="0" w:space="0" w:color="auto"/>
                <w:right w:val="none" w:sz="0" w:space="0" w:color="auto"/>
              </w:divBdr>
              <w:divsChild>
                <w:div w:id="2156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90122">
      <w:bodyDiv w:val="1"/>
      <w:marLeft w:val="0"/>
      <w:marRight w:val="0"/>
      <w:marTop w:val="0"/>
      <w:marBottom w:val="0"/>
      <w:divBdr>
        <w:top w:val="none" w:sz="0" w:space="0" w:color="auto"/>
        <w:left w:val="none" w:sz="0" w:space="0" w:color="auto"/>
        <w:bottom w:val="none" w:sz="0" w:space="0" w:color="auto"/>
        <w:right w:val="none" w:sz="0" w:space="0" w:color="auto"/>
      </w:divBdr>
    </w:div>
    <w:div w:id="150609377">
      <w:bodyDiv w:val="1"/>
      <w:marLeft w:val="0"/>
      <w:marRight w:val="0"/>
      <w:marTop w:val="0"/>
      <w:marBottom w:val="0"/>
      <w:divBdr>
        <w:top w:val="none" w:sz="0" w:space="0" w:color="auto"/>
        <w:left w:val="none" w:sz="0" w:space="0" w:color="auto"/>
        <w:bottom w:val="none" w:sz="0" w:space="0" w:color="auto"/>
        <w:right w:val="none" w:sz="0" w:space="0" w:color="auto"/>
      </w:divBdr>
    </w:div>
    <w:div w:id="196816351">
      <w:bodyDiv w:val="1"/>
      <w:marLeft w:val="0"/>
      <w:marRight w:val="0"/>
      <w:marTop w:val="0"/>
      <w:marBottom w:val="0"/>
      <w:divBdr>
        <w:top w:val="none" w:sz="0" w:space="0" w:color="auto"/>
        <w:left w:val="none" w:sz="0" w:space="0" w:color="auto"/>
        <w:bottom w:val="none" w:sz="0" w:space="0" w:color="auto"/>
        <w:right w:val="none" w:sz="0" w:space="0" w:color="auto"/>
      </w:divBdr>
      <w:divsChild>
        <w:div w:id="2038894300">
          <w:marLeft w:val="0"/>
          <w:marRight w:val="0"/>
          <w:marTop w:val="0"/>
          <w:marBottom w:val="0"/>
          <w:divBdr>
            <w:top w:val="none" w:sz="0" w:space="0" w:color="auto"/>
            <w:left w:val="none" w:sz="0" w:space="0" w:color="auto"/>
            <w:bottom w:val="none" w:sz="0" w:space="0" w:color="auto"/>
            <w:right w:val="none" w:sz="0" w:space="0" w:color="auto"/>
          </w:divBdr>
          <w:divsChild>
            <w:div w:id="153111740">
              <w:marLeft w:val="0"/>
              <w:marRight w:val="0"/>
              <w:marTop w:val="0"/>
              <w:marBottom w:val="0"/>
              <w:divBdr>
                <w:top w:val="none" w:sz="0" w:space="0" w:color="auto"/>
                <w:left w:val="none" w:sz="0" w:space="0" w:color="auto"/>
                <w:bottom w:val="none" w:sz="0" w:space="0" w:color="auto"/>
                <w:right w:val="none" w:sz="0" w:space="0" w:color="auto"/>
              </w:divBdr>
              <w:divsChild>
                <w:div w:id="165217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044576">
      <w:bodyDiv w:val="1"/>
      <w:marLeft w:val="0"/>
      <w:marRight w:val="0"/>
      <w:marTop w:val="0"/>
      <w:marBottom w:val="0"/>
      <w:divBdr>
        <w:top w:val="none" w:sz="0" w:space="0" w:color="auto"/>
        <w:left w:val="none" w:sz="0" w:space="0" w:color="auto"/>
        <w:bottom w:val="none" w:sz="0" w:space="0" w:color="auto"/>
        <w:right w:val="none" w:sz="0" w:space="0" w:color="auto"/>
      </w:divBdr>
    </w:div>
    <w:div w:id="394592769">
      <w:bodyDiv w:val="1"/>
      <w:marLeft w:val="0"/>
      <w:marRight w:val="0"/>
      <w:marTop w:val="0"/>
      <w:marBottom w:val="0"/>
      <w:divBdr>
        <w:top w:val="none" w:sz="0" w:space="0" w:color="auto"/>
        <w:left w:val="none" w:sz="0" w:space="0" w:color="auto"/>
        <w:bottom w:val="none" w:sz="0" w:space="0" w:color="auto"/>
        <w:right w:val="none" w:sz="0" w:space="0" w:color="auto"/>
      </w:divBdr>
      <w:divsChild>
        <w:div w:id="696085258">
          <w:marLeft w:val="0"/>
          <w:marRight w:val="0"/>
          <w:marTop w:val="0"/>
          <w:marBottom w:val="0"/>
          <w:divBdr>
            <w:top w:val="none" w:sz="0" w:space="0" w:color="auto"/>
            <w:left w:val="none" w:sz="0" w:space="0" w:color="auto"/>
            <w:bottom w:val="none" w:sz="0" w:space="0" w:color="auto"/>
            <w:right w:val="none" w:sz="0" w:space="0" w:color="auto"/>
          </w:divBdr>
          <w:divsChild>
            <w:div w:id="2146116978">
              <w:marLeft w:val="0"/>
              <w:marRight w:val="0"/>
              <w:marTop w:val="0"/>
              <w:marBottom w:val="0"/>
              <w:divBdr>
                <w:top w:val="none" w:sz="0" w:space="0" w:color="auto"/>
                <w:left w:val="none" w:sz="0" w:space="0" w:color="auto"/>
                <w:bottom w:val="none" w:sz="0" w:space="0" w:color="auto"/>
                <w:right w:val="none" w:sz="0" w:space="0" w:color="auto"/>
              </w:divBdr>
              <w:divsChild>
                <w:div w:id="119630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556981">
      <w:bodyDiv w:val="1"/>
      <w:marLeft w:val="0"/>
      <w:marRight w:val="0"/>
      <w:marTop w:val="0"/>
      <w:marBottom w:val="0"/>
      <w:divBdr>
        <w:top w:val="none" w:sz="0" w:space="0" w:color="auto"/>
        <w:left w:val="none" w:sz="0" w:space="0" w:color="auto"/>
        <w:bottom w:val="none" w:sz="0" w:space="0" w:color="auto"/>
        <w:right w:val="none" w:sz="0" w:space="0" w:color="auto"/>
      </w:divBdr>
      <w:divsChild>
        <w:div w:id="1906450558">
          <w:marLeft w:val="0"/>
          <w:marRight w:val="0"/>
          <w:marTop w:val="0"/>
          <w:marBottom w:val="0"/>
          <w:divBdr>
            <w:top w:val="none" w:sz="0" w:space="0" w:color="auto"/>
            <w:left w:val="none" w:sz="0" w:space="0" w:color="auto"/>
            <w:bottom w:val="none" w:sz="0" w:space="0" w:color="auto"/>
            <w:right w:val="none" w:sz="0" w:space="0" w:color="auto"/>
          </w:divBdr>
          <w:divsChild>
            <w:div w:id="1946692537">
              <w:marLeft w:val="0"/>
              <w:marRight w:val="0"/>
              <w:marTop w:val="0"/>
              <w:marBottom w:val="0"/>
              <w:divBdr>
                <w:top w:val="none" w:sz="0" w:space="0" w:color="auto"/>
                <w:left w:val="none" w:sz="0" w:space="0" w:color="auto"/>
                <w:bottom w:val="none" w:sz="0" w:space="0" w:color="auto"/>
                <w:right w:val="none" w:sz="0" w:space="0" w:color="auto"/>
              </w:divBdr>
              <w:divsChild>
                <w:div w:id="188325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225307">
      <w:bodyDiv w:val="1"/>
      <w:marLeft w:val="0"/>
      <w:marRight w:val="0"/>
      <w:marTop w:val="0"/>
      <w:marBottom w:val="0"/>
      <w:divBdr>
        <w:top w:val="none" w:sz="0" w:space="0" w:color="auto"/>
        <w:left w:val="none" w:sz="0" w:space="0" w:color="auto"/>
        <w:bottom w:val="none" w:sz="0" w:space="0" w:color="auto"/>
        <w:right w:val="none" w:sz="0" w:space="0" w:color="auto"/>
      </w:divBdr>
    </w:div>
    <w:div w:id="428089941">
      <w:bodyDiv w:val="1"/>
      <w:marLeft w:val="0"/>
      <w:marRight w:val="0"/>
      <w:marTop w:val="0"/>
      <w:marBottom w:val="0"/>
      <w:divBdr>
        <w:top w:val="none" w:sz="0" w:space="0" w:color="auto"/>
        <w:left w:val="none" w:sz="0" w:space="0" w:color="auto"/>
        <w:bottom w:val="none" w:sz="0" w:space="0" w:color="auto"/>
        <w:right w:val="none" w:sz="0" w:space="0" w:color="auto"/>
      </w:divBdr>
    </w:div>
    <w:div w:id="436142309">
      <w:bodyDiv w:val="1"/>
      <w:marLeft w:val="0"/>
      <w:marRight w:val="0"/>
      <w:marTop w:val="0"/>
      <w:marBottom w:val="0"/>
      <w:divBdr>
        <w:top w:val="none" w:sz="0" w:space="0" w:color="auto"/>
        <w:left w:val="none" w:sz="0" w:space="0" w:color="auto"/>
        <w:bottom w:val="none" w:sz="0" w:space="0" w:color="auto"/>
        <w:right w:val="none" w:sz="0" w:space="0" w:color="auto"/>
      </w:divBdr>
    </w:div>
    <w:div w:id="461653812">
      <w:bodyDiv w:val="1"/>
      <w:marLeft w:val="0"/>
      <w:marRight w:val="0"/>
      <w:marTop w:val="0"/>
      <w:marBottom w:val="0"/>
      <w:divBdr>
        <w:top w:val="none" w:sz="0" w:space="0" w:color="auto"/>
        <w:left w:val="none" w:sz="0" w:space="0" w:color="auto"/>
        <w:bottom w:val="none" w:sz="0" w:space="0" w:color="auto"/>
        <w:right w:val="none" w:sz="0" w:space="0" w:color="auto"/>
      </w:divBdr>
    </w:div>
    <w:div w:id="556401350">
      <w:bodyDiv w:val="1"/>
      <w:marLeft w:val="0"/>
      <w:marRight w:val="0"/>
      <w:marTop w:val="0"/>
      <w:marBottom w:val="0"/>
      <w:divBdr>
        <w:top w:val="none" w:sz="0" w:space="0" w:color="auto"/>
        <w:left w:val="none" w:sz="0" w:space="0" w:color="auto"/>
        <w:bottom w:val="none" w:sz="0" w:space="0" w:color="auto"/>
        <w:right w:val="none" w:sz="0" w:space="0" w:color="auto"/>
      </w:divBdr>
      <w:divsChild>
        <w:div w:id="2130467964">
          <w:marLeft w:val="0"/>
          <w:marRight w:val="0"/>
          <w:marTop w:val="0"/>
          <w:marBottom w:val="0"/>
          <w:divBdr>
            <w:top w:val="none" w:sz="0" w:space="0" w:color="auto"/>
            <w:left w:val="none" w:sz="0" w:space="0" w:color="auto"/>
            <w:bottom w:val="none" w:sz="0" w:space="0" w:color="auto"/>
            <w:right w:val="none" w:sz="0" w:space="0" w:color="auto"/>
          </w:divBdr>
          <w:divsChild>
            <w:div w:id="1756783606">
              <w:marLeft w:val="0"/>
              <w:marRight w:val="0"/>
              <w:marTop w:val="0"/>
              <w:marBottom w:val="0"/>
              <w:divBdr>
                <w:top w:val="none" w:sz="0" w:space="0" w:color="auto"/>
                <w:left w:val="none" w:sz="0" w:space="0" w:color="auto"/>
                <w:bottom w:val="none" w:sz="0" w:space="0" w:color="auto"/>
                <w:right w:val="none" w:sz="0" w:space="0" w:color="auto"/>
              </w:divBdr>
              <w:divsChild>
                <w:div w:id="8092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70322">
      <w:bodyDiv w:val="1"/>
      <w:marLeft w:val="0"/>
      <w:marRight w:val="0"/>
      <w:marTop w:val="0"/>
      <w:marBottom w:val="0"/>
      <w:divBdr>
        <w:top w:val="none" w:sz="0" w:space="0" w:color="auto"/>
        <w:left w:val="none" w:sz="0" w:space="0" w:color="auto"/>
        <w:bottom w:val="none" w:sz="0" w:space="0" w:color="auto"/>
        <w:right w:val="none" w:sz="0" w:space="0" w:color="auto"/>
      </w:divBdr>
    </w:div>
    <w:div w:id="692803682">
      <w:bodyDiv w:val="1"/>
      <w:marLeft w:val="0"/>
      <w:marRight w:val="0"/>
      <w:marTop w:val="0"/>
      <w:marBottom w:val="0"/>
      <w:divBdr>
        <w:top w:val="none" w:sz="0" w:space="0" w:color="auto"/>
        <w:left w:val="none" w:sz="0" w:space="0" w:color="auto"/>
        <w:bottom w:val="none" w:sz="0" w:space="0" w:color="auto"/>
        <w:right w:val="none" w:sz="0" w:space="0" w:color="auto"/>
      </w:divBdr>
    </w:div>
    <w:div w:id="700715105">
      <w:bodyDiv w:val="1"/>
      <w:marLeft w:val="0"/>
      <w:marRight w:val="0"/>
      <w:marTop w:val="0"/>
      <w:marBottom w:val="0"/>
      <w:divBdr>
        <w:top w:val="none" w:sz="0" w:space="0" w:color="auto"/>
        <w:left w:val="none" w:sz="0" w:space="0" w:color="auto"/>
        <w:bottom w:val="none" w:sz="0" w:space="0" w:color="auto"/>
        <w:right w:val="none" w:sz="0" w:space="0" w:color="auto"/>
      </w:divBdr>
    </w:div>
    <w:div w:id="742290786">
      <w:bodyDiv w:val="1"/>
      <w:marLeft w:val="0"/>
      <w:marRight w:val="0"/>
      <w:marTop w:val="0"/>
      <w:marBottom w:val="0"/>
      <w:divBdr>
        <w:top w:val="none" w:sz="0" w:space="0" w:color="auto"/>
        <w:left w:val="none" w:sz="0" w:space="0" w:color="auto"/>
        <w:bottom w:val="none" w:sz="0" w:space="0" w:color="auto"/>
        <w:right w:val="none" w:sz="0" w:space="0" w:color="auto"/>
      </w:divBdr>
    </w:div>
    <w:div w:id="742680567">
      <w:bodyDiv w:val="1"/>
      <w:marLeft w:val="0"/>
      <w:marRight w:val="0"/>
      <w:marTop w:val="0"/>
      <w:marBottom w:val="0"/>
      <w:divBdr>
        <w:top w:val="none" w:sz="0" w:space="0" w:color="auto"/>
        <w:left w:val="none" w:sz="0" w:space="0" w:color="auto"/>
        <w:bottom w:val="none" w:sz="0" w:space="0" w:color="auto"/>
        <w:right w:val="none" w:sz="0" w:space="0" w:color="auto"/>
      </w:divBdr>
      <w:divsChild>
        <w:div w:id="1499887125">
          <w:marLeft w:val="0"/>
          <w:marRight w:val="0"/>
          <w:marTop w:val="0"/>
          <w:marBottom w:val="0"/>
          <w:divBdr>
            <w:top w:val="none" w:sz="0" w:space="0" w:color="auto"/>
            <w:left w:val="none" w:sz="0" w:space="0" w:color="auto"/>
            <w:bottom w:val="none" w:sz="0" w:space="0" w:color="auto"/>
            <w:right w:val="none" w:sz="0" w:space="0" w:color="auto"/>
          </w:divBdr>
          <w:divsChild>
            <w:div w:id="1267424168">
              <w:marLeft w:val="0"/>
              <w:marRight w:val="0"/>
              <w:marTop w:val="0"/>
              <w:marBottom w:val="0"/>
              <w:divBdr>
                <w:top w:val="none" w:sz="0" w:space="0" w:color="auto"/>
                <w:left w:val="none" w:sz="0" w:space="0" w:color="auto"/>
                <w:bottom w:val="none" w:sz="0" w:space="0" w:color="auto"/>
                <w:right w:val="none" w:sz="0" w:space="0" w:color="auto"/>
              </w:divBdr>
              <w:divsChild>
                <w:div w:id="168061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074216">
      <w:bodyDiv w:val="1"/>
      <w:marLeft w:val="0"/>
      <w:marRight w:val="0"/>
      <w:marTop w:val="0"/>
      <w:marBottom w:val="0"/>
      <w:divBdr>
        <w:top w:val="none" w:sz="0" w:space="0" w:color="auto"/>
        <w:left w:val="none" w:sz="0" w:space="0" w:color="auto"/>
        <w:bottom w:val="none" w:sz="0" w:space="0" w:color="auto"/>
        <w:right w:val="none" w:sz="0" w:space="0" w:color="auto"/>
      </w:divBdr>
      <w:divsChild>
        <w:div w:id="1259143509">
          <w:marLeft w:val="0"/>
          <w:marRight w:val="0"/>
          <w:marTop w:val="0"/>
          <w:marBottom w:val="0"/>
          <w:divBdr>
            <w:top w:val="none" w:sz="0" w:space="0" w:color="auto"/>
            <w:left w:val="none" w:sz="0" w:space="0" w:color="auto"/>
            <w:bottom w:val="none" w:sz="0" w:space="0" w:color="auto"/>
            <w:right w:val="none" w:sz="0" w:space="0" w:color="auto"/>
          </w:divBdr>
          <w:divsChild>
            <w:div w:id="1853497411">
              <w:marLeft w:val="0"/>
              <w:marRight w:val="0"/>
              <w:marTop w:val="0"/>
              <w:marBottom w:val="0"/>
              <w:divBdr>
                <w:top w:val="none" w:sz="0" w:space="0" w:color="auto"/>
                <w:left w:val="none" w:sz="0" w:space="0" w:color="auto"/>
                <w:bottom w:val="none" w:sz="0" w:space="0" w:color="auto"/>
                <w:right w:val="none" w:sz="0" w:space="0" w:color="auto"/>
              </w:divBdr>
              <w:divsChild>
                <w:div w:id="589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06468">
      <w:bodyDiv w:val="1"/>
      <w:marLeft w:val="0"/>
      <w:marRight w:val="0"/>
      <w:marTop w:val="0"/>
      <w:marBottom w:val="0"/>
      <w:divBdr>
        <w:top w:val="none" w:sz="0" w:space="0" w:color="auto"/>
        <w:left w:val="none" w:sz="0" w:space="0" w:color="auto"/>
        <w:bottom w:val="none" w:sz="0" w:space="0" w:color="auto"/>
        <w:right w:val="none" w:sz="0" w:space="0" w:color="auto"/>
      </w:divBdr>
      <w:divsChild>
        <w:div w:id="1255437605">
          <w:marLeft w:val="0"/>
          <w:marRight w:val="0"/>
          <w:marTop w:val="0"/>
          <w:marBottom w:val="0"/>
          <w:divBdr>
            <w:top w:val="none" w:sz="0" w:space="0" w:color="auto"/>
            <w:left w:val="none" w:sz="0" w:space="0" w:color="auto"/>
            <w:bottom w:val="none" w:sz="0" w:space="0" w:color="auto"/>
            <w:right w:val="none" w:sz="0" w:space="0" w:color="auto"/>
          </w:divBdr>
          <w:divsChild>
            <w:div w:id="1836996963">
              <w:marLeft w:val="0"/>
              <w:marRight w:val="0"/>
              <w:marTop w:val="0"/>
              <w:marBottom w:val="0"/>
              <w:divBdr>
                <w:top w:val="none" w:sz="0" w:space="0" w:color="auto"/>
                <w:left w:val="none" w:sz="0" w:space="0" w:color="auto"/>
                <w:bottom w:val="none" w:sz="0" w:space="0" w:color="auto"/>
                <w:right w:val="none" w:sz="0" w:space="0" w:color="auto"/>
              </w:divBdr>
              <w:divsChild>
                <w:div w:id="207496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68224">
      <w:bodyDiv w:val="1"/>
      <w:marLeft w:val="0"/>
      <w:marRight w:val="0"/>
      <w:marTop w:val="0"/>
      <w:marBottom w:val="0"/>
      <w:divBdr>
        <w:top w:val="none" w:sz="0" w:space="0" w:color="auto"/>
        <w:left w:val="none" w:sz="0" w:space="0" w:color="auto"/>
        <w:bottom w:val="none" w:sz="0" w:space="0" w:color="auto"/>
        <w:right w:val="none" w:sz="0" w:space="0" w:color="auto"/>
      </w:divBdr>
    </w:div>
    <w:div w:id="799808645">
      <w:bodyDiv w:val="1"/>
      <w:marLeft w:val="0"/>
      <w:marRight w:val="0"/>
      <w:marTop w:val="0"/>
      <w:marBottom w:val="0"/>
      <w:divBdr>
        <w:top w:val="none" w:sz="0" w:space="0" w:color="auto"/>
        <w:left w:val="none" w:sz="0" w:space="0" w:color="auto"/>
        <w:bottom w:val="none" w:sz="0" w:space="0" w:color="auto"/>
        <w:right w:val="none" w:sz="0" w:space="0" w:color="auto"/>
      </w:divBdr>
      <w:divsChild>
        <w:div w:id="932015096">
          <w:marLeft w:val="0"/>
          <w:marRight w:val="0"/>
          <w:marTop w:val="0"/>
          <w:marBottom w:val="0"/>
          <w:divBdr>
            <w:top w:val="none" w:sz="0" w:space="0" w:color="auto"/>
            <w:left w:val="none" w:sz="0" w:space="0" w:color="auto"/>
            <w:bottom w:val="none" w:sz="0" w:space="0" w:color="auto"/>
            <w:right w:val="none" w:sz="0" w:space="0" w:color="auto"/>
          </w:divBdr>
          <w:divsChild>
            <w:div w:id="798180565">
              <w:marLeft w:val="0"/>
              <w:marRight w:val="0"/>
              <w:marTop w:val="0"/>
              <w:marBottom w:val="0"/>
              <w:divBdr>
                <w:top w:val="none" w:sz="0" w:space="0" w:color="auto"/>
                <w:left w:val="none" w:sz="0" w:space="0" w:color="auto"/>
                <w:bottom w:val="none" w:sz="0" w:space="0" w:color="auto"/>
                <w:right w:val="none" w:sz="0" w:space="0" w:color="auto"/>
              </w:divBdr>
              <w:divsChild>
                <w:div w:id="131039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431420">
      <w:bodyDiv w:val="1"/>
      <w:marLeft w:val="0"/>
      <w:marRight w:val="0"/>
      <w:marTop w:val="0"/>
      <w:marBottom w:val="0"/>
      <w:divBdr>
        <w:top w:val="none" w:sz="0" w:space="0" w:color="auto"/>
        <w:left w:val="none" w:sz="0" w:space="0" w:color="auto"/>
        <w:bottom w:val="none" w:sz="0" w:space="0" w:color="auto"/>
        <w:right w:val="none" w:sz="0" w:space="0" w:color="auto"/>
      </w:divBdr>
    </w:div>
    <w:div w:id="889922653">
      <w:bodyDiv w:val="1"/>
      <w:marLeft w:val="0"/>
      <w:marRight w:val="0"/>
      <w:marTop w:val="0"/>
      <w:marBottom w:val="0"/>
      <w:divBdr>
        <w:top w:val="none" w:sz="0" w:space="0" w:color="auto"/>
        <w:left w:val="none" w:sz="0" w:space="0" w:color="auto"/>
        <w:bottom w:val="none" w:sz="0" w:space="0" w:color="auto"/>
        <w:right w:val="none" w:sz="0" w:space="0" w:color="auto"/>
      </w:divBdr>
    </w:div>
    <w:div w:id="915044300">
      <w:bodyDiv w:val="1"/>
      <w:marLeft w:val="0"/>
      <w:marRight w:val="0"/>
      <w:marTop w:val="0"/>
      <w:marBottom w:val="0"/>
      <w:divBdr>
        <w:top w:val="none" w:sz="0" w:space="0" w:color="auto"/>
        <w:left w:val="none" w:sz="0" w:space="0" w:color="auto"/>
        <w:bottom w:val="none" w:sz="0" w:space="0" w:color="auto"/>
        <w:right w:val="none" w:sz="0" w:space="0" w:color="auto"/>
      </w:divBdr>
      <w:divsChild>
        <w:div w:id="1713264401">
          <w:marLeft w:val="0"/>
          <w:marRight w:val="0"/>
          <w:marTop w:val="0"/>
          <w:marBottom w:val="0"/>
          <w:divBdr>
            <w:top w:val="none" w:sz="0" w:space="0" w:color="auto"/>
            <w:left w:val="none" w:sz="0" w:space="0" w:color="auto"/>
            <w:bottom w:val="none" w:sz="0" w:space="0" w:color="auto"/>
            <w:right w:val="none" w:sz="0" w:space="0" w:color="auto"/>
          </w:divBdr>
          <w:divsChild>
            <w:div w:id="848448790">
              <w:marLeft w:val="0"/>
              <w:marRight w:val="0"/>
              <w:marTop w:val="0"/>
              <w:marBottom w:val="0"/>
              <w:divBdr>
                <w:top w:val="none" w:sz="0" w:space="0" w:color="auto"/>
                <w:left w:val="none" w:sz="0" w:space="0" w:color="auto"/>
                <w:bottom w:val="none" w:sz="0" w:space="0" w:color="auto"/>
                <w:right w:val="none" w:sz="0" w:space="0" w:color="auto"/>
              </w:divBdr>
              <w:divsChild>
                <w:div w:id="103481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93538">
      <w:bodyDiv w:val="1"/>
      <w:marLeft w:val="0"/>
      <w:marRight w:val="0"/>
      <w:marTop w:val="0"/>
      <w:marBottom w:val="0"/>
      <w:divBdr>
        <w:top w:val="none" w:sz="0" w:space="0" w:color="auto"/>
        <w:left w:val="none" w:sz="0" w:space="0" w:color="auto"/>
        <w:bottom w:val="none" w:sz="0" w:space="0" w:color="auto"/>
        <w:right w:val="none" w:sz="0" w:space="0" w:color="auto"/>
      </w:divBdr>
      <w:divsChild>
        <w:div w:id="878661939">
          <w:marLeft w:val="0"/>
          <w:marRight w:val="0"/>
          <w:marTop w:val="0"/>
          <w:marBottom w:val="0"/>
          <w:divBdr>
            <w:top w:val="none" w:sz="0" w:space="0" w:color="auto"/>
            <w:left w:val="none" w:sz="0" w:space="0" w:color="auto"/>
            <w:bottom w:val="none" w:sz="0" w:space="0" w:color="auto"/>
            <w:right w:val="none" w:sz="0" w:space="0" w:color="auto"/>
          </w:divBdr>
          <w:divsChild>
            <w:div w:id="1931348794">
              <w:marLeft w:val="0"/>
              <w:marRight w:val="0"/>
              <w:marTop w:val="0"/>
              <w:marBottom w:val="0"/>
              <w:divBdr>
                <w:top w:val="none" w:sz="0" w:space="0" w:color="auto"/>
                <w:left w:val="none" w:sz="0" w:space="0" w:color="auto"/>
                <w:bottom w:val="none" w:sz="0" w:space="0" w:color="auto"/>
                <w:right w:val="none" w:sz="0" w:space="0" w:color="auto"/>
              </w:divBdr>
              <w:divsChild>
                <w:div w:id="1987733190">
                  <w:marLeft w:val="0"/>
                  <w:marRight w:val="0"/>
                  <w:marTop w:val="0"/>
                  <w:marBottom w:val="0"/>
                  <w:divBdr>
                    <w:top w:val="none" w:sz="0" w:space="0" w:color="auto"/>
                    <w:left w:val="none" w:sz="0" w:space="0" w:color="auto"/>
                    <w:bottom w:val="none" w:sz="0" w:space="0" w:color="auto"/>
                    <w:right w:val="none" w:sz="0" w:space="0" w:color="auto"/>
                  </w:divBdr>
                  <w:divsChild>
                    <w:div w:id="16653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83864">
      <w:bodyDiv w:val="1"/>
      <w:marLeft w:val="0"/>
      <w:marRight w:val="0"/>
      <w:marTop w:val="0"/>
      <w:marBottom w:val="0"/>
      <w:divBdr>
        <w:top w:val="none" w:sz="0" w:space="0" w:color="auto"/>
        <w:left w:val="none" w:sz="0" w:space="0" w:color="auto"/>
        <w:bottom w:val="none" w:sz="0" w:space="0" w:color="auto"/>
        <w:right w:val="none" w:sz="0" w:space="0" w:color="auto"/>
      </w:divBdr>
    </w:div>
    <w:div w:id="1013187246">
      <w:bodyDiv w:val="1"/>
      <w:marLeft w:val="0"/>
      <w:marRight w:val="0"/>
      <w:marTop w:val="0"/>
      <w:marBottom w:val="0"/>
      <w:divBdr>
        <w:top w:val="none" w:sz="0" w:space="0" w:color="auto"/>
        <w:left w:val="none" w:sz="0" w:space="0" w:color="auto"/>
        <w:bottom w:val="none" w:sz="0" w:space="0" w:color="auto"/>
        <w:right w:val="none" w:sz="0" w:space="0" w:color="auto"/>
      </w:divBdr>
      <w:divsChild>
        <w:div w:id="1318729513">
          <w:marLeft w:val="0"/>
          <w:marRight w:val="0"/>
          <w:marTop w:val="0"/>
          <w:marBottom w:val="0"/>
          <w:divBdr>
            <w:top w:val="none" w:sz="0" w:space="0" w:color="auto"/>
            <w:left w:val="none" w:sz="0" w:space="0" w:color="auto"/>
            <w:bottom w:val="none" w:sz="0" w:space="0" w:color="auto"/>
            <w:right w:val="none" w:sz="0" w:space="0" w:color="auto"/>
          </w:divBdr>
          <w:divsChild>
            <w:div w:id="1549100752">
              <w:marLeft w:val="0"/>
              <w:marRight w:val="0"/>
              <w:marTop w:val="0"/>
              <w:marBottom w:val="0"/>
              <w:divBdr>
                <w:top w:val="none" w:sz="0" w:space="0" w:color="auto"/>
                <w:left w:val="none" w:sz="0" w:space="0" w:color="auto"/>
                <w:bottom w:val="none" w:sz="0" w:space="0" w:color="auto"/>
                <w:right w:val="none" w:sz="0" w:space="0" w:color="auto"/>
              </w:divBdr>
              <w:divsChild>
                <w:div w:id="833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661256">
      <w:bodyDiv w:val="1"/>
      <w:marLeft w:val="0"/>
      <w:marRight w:val="0"/>
      <w:marTop w:val="0"/>
      <w:marBottom w:val="0"/>
      <w:divBdr>
        <w:top w:val="none" w:sz="0" w:space="0" w:color="auto"/>
        <w:left w:val="none" w:sz="0" w:space="0" w:color="auto"/>
        <w:bottom w:val="none" w:sz="0" w:space="0" w:color="auto"/>
        <w:right w:val="none" w:sz="0" w:space="0" w:color="auto"/>
      </w:divBdr>
    </w:div>
    <w:div w:id="1068647143">
      <w:bodyDiv w:val="1"/>
      <w:marLeft w:val="0"/>
      <w:marRight w:val="0"/>
      <w:marTop w:val="0"/>
      <w:marBottom w:val="0"/>
      <w:divBdr>
        <w:top w:val="none" w:sz="0" w:space="0" w:color="auto"/>
        <w:left w:val="none" w:sz="0" w:space="0" w:color="auto"/>
        <w:bottom w:val="none" w:sz="0" w:space="0" w:color="auto"/>
        <w:right w:val="none" w:sz="0" w:space="0" w:color="auto"/>
      </w:divBdr>
    </w:div>
    <w:div w:id="1069424724">
      <w:bodyDiv w:val="1"/>
      <w:marLeft w:val="0"/>
      <w:marRight w:val="0"/>
      <w:marTop w:val="0"/>
      <w:marBottom w:val="0"/>
      <w:divBdr>
        <w:top w:val="none" w:sz="0" w:space="0" w:color="auto"/>
        <w:left w:val="none" w:sz="0" w:space="0" w:color="auto"/>
        <w:bottom w:val="none" w:sz="0" w:space="0" w:color="auto"/>
        <w:right w:val="none" w:sz="0" w:space="0" w:color="auto"/>
      </w:divBdr>
      <w:divsChild>
        <w:div w:id="1212427776">
          <w:marLeft w:val="0"/>
          <w:marRight w:val="0"/>
          <w:marTop w:val="0"/>
          <w:marBottom w:val="0"/>
          <w:divBdr>
            <w:top w:val="none" w:sz="0" w:space="0" w:color="auto"/>
            <w:left w:val="none" w:sz="0" w:space="0" w:color="auto"/>
            <w:bottom w:val="none" w:sz="0" w:space="0" w:color="auto"/>
            <w:right w:val="none" w:sz="0" w:space="0" w:color="auto"/>
          </w:divBdr>
          <w:divsChild>
            <w:div w:id="2007593874">
              <w:marLeft w:val="0"/>
              <w:marRight w:val="0"/>
              <w:marTop w:val="0"/>
              <w:marBottom w:val="0"/>
              <w:divBdr>
                <w:top w:val="none" w:sz="0" w:space="0" w:color="auto"/>
                <w:left w:val="none" w:sz="0" w:space="0" w:color="auto"/>
                <w:bottom w:val="none" w:sz="0" w:space="0" w:color="auto"/>
                <w:right w:val="none" w:sz="0" w:space="0" w:color="auto"/>
              </w:divBdr>
              <w:divsChild>
                <w:div w:id="212160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251149">
      <w:bodyDiv w:val="1"/>
      <w:marLeft w:val="0"/>
      <w:marRight w:val="0"/>
      <w:marTop w:val="0"/>
      <w:marBottom w:val="0"/>
      <w:divBdr>
        <w:top w:val="none" w:sz="0" w:space="0" w:color="auto"/>
        <w:left w:val="none" w:sz="0" w:space="0" w:color="auto"/>
        <w:bottom w:val="none" w:sz="0" w:space="0" w:color="auto"/>
        <w:right w:val="none" w:sz="0" w:space="0" w:color="auto"/>
      </w:divBdr>
    </w:div>
    <w:div w:id="1110902035">
      <w:bodyDiv w:val="1"/>
      <w:marLeft w:val="0"/>
      <w:marRight w:val="0"/>
      <w:marTop w:val="0"/>
      <w:marBottom w:val="0"/>
      <w:divBdr>
        <w:top w:val="none" w:sz="0" w:space="0" w:color="auto"/>
        <w:left w:val="none" w:sz="0" w:space="0" w:color="auto"/>
        <w:bottom w:val="none" w:sz="0" w:space="0" w:color="auto"/>
        <w:right w:val="none" w:sz="0" w:space="0" w:color="auto"/>
      </w:divBdr>
    </w:div>
    <w:div w:id="122429438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77374376">
      <w:bodyDiv w:val="1"/>
      <w:marLeft w:val="0"/>
      <w:marRight w:val="0"/>
      <w:marTop w:val="0"/>
      <w:marBottom w:val="0"/>
      <w:divBdr>
        <w:top w:val="none" w:sz="0" w:space="0" w:color="auto"/>
        <w:left w:val="none" w:sz="0" w:space="0" w:color="auto"/>
        <w:bottom w:val="none" w:sz="0" w:space="0" w:color="auto"/>
        <w:right w:val="none" w:sz="0" w:space="0" w:color="auto"/>
      </w:divBdr>
    </w:div>
    <w:div w:id="14111941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905">
          <w:marLeft w:val="0"/>
          <w:marRight w:val="0"/>
          <w:marTop w:val="0"/>
          <w:marBottom w:val="0"/>
          <w:divBdr>
            <w:top w:val="none" w:sz="0" w:space="0" w:color="auto"/>
            <w:left w:val="none" w:sz="0" w:space="0" w:color="auto"/>
            <w:bottom w:val="none" w:sz="0" w:space="0" w:color="auto"/>
            <w:right w:val="none" w:sz="0" w:space="0" w:color="auto"/>
          </w:divBdr>
          <w:divsChild>
            <w:div w:id="933322066">
              <w:marLeft w:val="0"/>
              <w:marRight w:val="0"/>
              <w:marTop w:val="0"/>
              <w:marBottom w:val="0"/>
              <w:divBdr>
                <w:top w:val="none" w:sz="0" w:space="0" w:color="auto"/>
                <w:left w:val="none" w:sz="0" w:space="0" w:color="auto"/>
                <w:bottom w:val="none" w:sz="0" w:space="0" w:color="auto"/>
                <w:right w:val="none" w:sz="0" w:space="0" w:color="auto"/>
              </w:divBdr>
              <w:divsChild>
                <w:div w:id="15388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565681412">
      <w:bodyDiv w:val="1"/>
      <w:marLeft w:val="0"/>
      <w:marRight w:val="0"/>
      <w:marTop w:val="0"/>
      <w:marBottom w:val="0"/>
      <w:divBdr>
        <w:top w:val="none" w:sz="0" w:space="0" w:color="auto"/>
        <w:left w:val="none" w:sz="0" w:space="0" w:color="auto"/>
        <w:bottom w:val="none" w:sz="0" w:space="0" w:color="auto"/>
        <w:right w:val="none" w:sz="0" w:space="0" w:color="auto"/>
      </w:divBdr>
    </w:div>
    <w:div w:id="1579823497">
      <w:bodyDiv w:val="1"/>
      <w:marLeft w:val="0"/>
      <w:marRight w:val="0"/>
      <w:marTop w:val="0"/>
      <w:marBottom w:val="0"/>
      <w:divBdr>
        <w:top w:val="none" w:sz="0" w:space="0" w:color="auto"/>
        <w:left w:val="none" w:sz="0" w:space="0" w:color="auto"/>
        <w:bottom w:val="none" w:sz="0" w:space="0" w:color="auto"/>
        <w:right w:val="none" w:sz="0" w:space="0" w:color="auto"/>
      </w:divBdr>
    </w:div>
    <w:div w:id="1603293621">
      <w:bodyDiv w:val="1"/>
      <w:marLeft w:val="0"/>
      <w:marRight w:val="0"/>
      <w:marTop w:val="0"/>
      <w:marBottom w:val="0"/>
      <w:divBdr>
        <w:top w:val="none" w:sz="0" w:space="0" w:color="auto"/>
        <w:left w:val="none" w:sz="0" w:space="0" w:color="auto"/>
        <w:bottom w:val="none" w:sz="0" w:space="0" w:color="auto"/>
        <w:right w:val="none" w:sz="0" w:space="0" w:color="auto"/>
      </w:divBdr>
    </w:div>
    <w:div w:id="1616323456">
      <w:bodyDiv w:val="1"/>
      <w:marLeft w:val="0"/>
      <w:marRight w:val="0"/>
      <w:marTop w:val="0"/>
      <w:marBottom w:val="0"/>
      <w:divBdr>
        <w:top w:val="none" w:sz="0" w:space="0" w:color="auto"/>
        <w:left w:val="none" w:sz="0" w:space="0" w:color="auto"/>
        <w:bottom w:val="none" w:sz="0" w:space="0" w:color="auto"/>
        <w:right w:val="none" w:sz="0" w:space="0" w:color="auto"/>
      </w:divBdr>
    </w:div>
    <w:div w:id="1700352942">
      <w:bodyDiv w:val="1"/>
      <w:marLeft w:val="0"/>
      <w:marRight w:val="0"/>
      <w:marTop w:val="0"/>
      <w:marBottom w:val="0"/>
      <w:divBdr>
        <w:top w:val="none" w:sz="0" w:space="0" w:color="auto"/>
        <w:left w:val="none" w:sz="0" w:space="0" w:color="auto"/>
        <w:bottom w:val="none" w:sz="0" w:space="0" w:color="auto"/>
        <w:right w:val="none" w:sz="0" w:space="0" w:color="auto"/>
      </w:divBdr>
    </w:div>
    <w:div w:id="1769231223">
      <w:bodyDiv w:val="1"/>
      <w:marLeft w:val="0"/>
      <w:marRight w:val="0"/>
      <w:marTop w:val="0"/>
      <w:marBottom w:val="0"/>
      <w:divBdr>
        <w:top w:val="none" w:sz="0" w:space="0" w:color="auto"/>
        <w:left w:val="none" w:sz="0" w:space="0" w:color="auto"/>
        <w:bottom w:val="none" w:sz="0" w:space="0" w:color="auto"/>
        <w:right w:val="none" w:sz="0" w:space="0" w:color="auto"/>
      </w:divBdr>
      <w:divsChild>
        <w:div w:id="602028783">
          <w:marLeft w:val="0"/>
          <w:marRight w:val="0"/>
          <w:marTop w:val="0"/>
          <w:marBottom w:val="0"/>
          <w:divBdr>
            <w:top w:val="none" w:sz="0" w:space="0" w:color="auto"/>
            <w:left w:val="none" w:sz="0" w:space="0" w:color="auto"/>
            <w:bottom w:val="none" w:sz="0" w:space="0" w:color="auto"/>
            <w:right w:val="none" w:sz="0" w:space="0" w:color="auto"/>
          </w:divBdr>
          <w:divsChild>
            <w:div w:id="205221293">
              <w:marLeft w:val="0"/>
              <w:marRight w:val="0"/>
              <w:marTop w:val="0"/>
              <w:marBottom w:val="0"/>
              <w:divBdr>
                <w:top w:val="none" w:sz="0" w:space="0" w:color="auto"/>
                <w:left w:val="none" w:sz="0" w:space="0" w:color="auto"/>
                <w:bottom w:val="none" w:sz="0" w:space="0" w:color="auto"/>
                <w:right w:val="none" w:sz="0" w:space="0" w:color="auto"/>
              </w:divBdr>
              <w:divsChild>
                <w:div w:id="101831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8330966">
      <w:bodyDiv w:val="1"/>
      <w:marLeft w:val="0"/>
      <w:marRight w:val="0"/>
      <w:marTop w:val="0"/>
      <w:marBottom w:val="0"/>
      <w:divBdr>
        <w:top w:val="none" w:sz="0" w:space="0" w:color="auto"/>
        <w:left w:val="none" w:sz="0" w:space="0" w:color="auto"/>
        <w:bottom w:val="none" w:sz="0" w:space="0" w:color="auto"/>
        <w:right w:val="none" w:sz="0" w:space="0" w:color="auto"/>
      </w:divBdr>
    </w:div>
    <w:div w:id="1852646056">
      <w:bodyDiv w:val="1"/>
      <w:marLeft w:val="0"/>
      <w:marRight w:val="0"/>
      <w:marTop w:val="0"/>
      <w:marBottom w:val="0"/>
      <w:divBdr>
        <w:top w:val="none" w:sz="0" w:space="0" w:color="auto"/>
        <w:left w:val="none" w:sz="0" w:space="0" w:color="auto"/>
        <w:bottom w:val="none" w:sz="0" w:space="0" w:color="auto"/>
        <w:right w:val="none" w:sz="0" w:space="0" w:color="auto"/>
      </w:divBdr>
      <w:divsChild>
        <w:div w:id="1685087732">
          <w:marLeft w:val="0"/>
          <w:marRight w:val="0"/>
          <w:marTop w:val="0"/>
          <w:marBottom w:val="0"/>
          <w:divBdr>
            <w:top w:val="none" w:sz="0" w:space="0" w:color="auto"/>
            <w:left w:val="none" w:sz="0" w:space="0" w:color="auto"/>
            <w:bottom w:val="none" w:sz="0" w:space="0" w:color="auto"/>
            <w:right w:val="none" w:sz="0" w:space="0" w:color="auto"/>
          </w:divBdr>
          <w:divsChild>
            <w:div w:id="117649547">
              <w:marLeft w:val="0"/>
              <w:marRight w:val="0"/>
              <w:marTop w:val="0"/>
              <w:marBottom w:val="0"/>
              <w:divBdr>
                <w:top w:val="none" w:sz="0" w:space="0" w:color="auto"/>
                <w:left w:val="none" w:sz="0" w:space="0" w:color="auto"/>
                <w:bottom w:val="none" w:sz="0" w:space="0" w:color="auto"/>
                <w:right w:val="none" w:sz="0" w:space="0" w:color="auto"/>
              </w:divBdr>
              <w:divsChild>
                <w:div w:id="6394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48930">
      <w:bodyDiv w:val="1"/>
      <w:marLeft w:val="0"/>
      <w:marRight w:val="0"/>
      <w:marTop w:val="0"/>
      <w:marBottom w:val="0"/>
      <w:divBdr>
        <w:top w:val="none" w:sz="0" w:space="0" w:color="auto"/>
        <w:left w:val="none" w:sz="0" w:space="0" w:color="auto"/>
        <w:bottom w:val="none" w:sz="0" w:space="0" w:color="auto"/>
        <w:right w:val="none" w:sz="0" w:space="0" w:color="auto"/>
      </w:divBdr>
    </w:div>
    <w:div w:id="1894807128">
      <w:bodyDiv w:val="1"/>
      <w:marLeft w:val="0"/>
      <w:marRight w:val="0"/>
      <w:marTop w:val="0"/>
      <w:marBottom w:val="0"/>
      <w:divBdr>
        <w:top w:val="none" w:sz="0" w:space="0" w:color="auto"/>
        <w:left w:val="none" w:sz="0" w:space="0" w:color="auto"/>
        <w:bottom w:val="none" w:sz="0" w:space="0" w:color="auto"/>
        <w:right w:val="none" w:sz="0" w:space="0" w:color="auto"/>
      </w:divBdr>
      <w:divsChild>
        <w:div w:id="815026254">
          <w:marLeft w:val="0"/>
          <w:marRight w:val="0"/>
          <w:marTop w:val="0"/>
          <w:marBottom w:val="0"/>
          <w:divBdr>
            <w:top w:val="none" w:sz="0" w:space="0" w:color="auto"/>
            <w:left w:val="none" w:sz="0" w:space="0" w:color="auto"/>
            <w:bottom w:val="none" w:sz="0" w:space="0" w:color="auto"/>
            <w:right w:val="none" w:sz="0" w:space="0" w:color="auto"/>
          </w:divBdr>
          <w:divsChild>
            <w:div w:id="2019574550">
              <w:marLeft w:val="0"/>
              <w:marRight w:val="0"/>
              <w:marTop w:val="0"/>
              <w:marBottom w:val="0"/>
              <w:divBdr>
                <w:top w:val="none" w:sz="0" w:space="0" w:color="auto"/>
                <w:left w:val="none" w:sz="0" w:space="0" w:color="auto"/>
                <w:bottom w:val="none" w:sz="0" w:space="0" w:color="auto"/>
                <w:right w:val="none" w:sz="0" w:space="0" w:color="auto"/>
              </w:divBdr>
              <w:divsChild>
                <w:div w:id="198739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787085">
      <w:bodyDiv w:val="1"/>
      <w:marLeft w:val="0"/>
      <w:marRight w:val="0"/>
      <w:marTop w:val="0"/>
      <w:marBottom w:val="0"/>
      <w:divBdr>
        <w:top w:val="none" w:sz="0" w:space="0" w:color="auto"/>
        <w:left w:val="none" w:sz="0" w:space="0" w:color="auto"/>
        <w:bottom w:val="none" w:sz="0" w:space="0" w:color="auto"/>
        <w:right w:val="none" w:sz="0" w:space="0" w:color="auto"/>
      </w:divBdr>
      <w:divsChild>
        <w:div w:id="2005357266">
          <w:marLeft w:val="0"/>
          <w:marRight w:val="0"/>
          <w:marTop w:val="0"/>
          <w:marBottom w:val="0"/>
          <w:divBdr>
            <w:top w:val="none" w:sz="0" w:space="0" w:color="auto"/>
            <w:left w:val="none" w:sz="0" w:space="0" w:color="auto"/>
            <w:bottom w:val="none" w:sz="0" w:space="0" w:color="auto"/>
            <w:right w:val="none" w:sz="0" w:space="0" w:color="auto"/>
          </w:divBdr>
          <w:divsChild>
            <w:div w:id="2114662803">
              <w:marLeft w:val="0"/>
              <w:marRight w:val="0"/>
              <w:marTop w:val="0"/>
              <w:marBottom w:val="0"/>
              <w:divBdr>
                <w:top w:val="none" w:sz="0" w:space="0" w:color="auto"/>
                <w:left w:val="none" w:sz="0" w:space="0" w:color="auto"/>
                <w:bottom w:val="none" w:sz="0" w:space="0" w:color="auto"/>
                <w:right w:val="none" w:sz="0" w:space="0" w:color="auto"/>
              </w:divBdr>
              <w:divsChild>
                <w:div w:id="189643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494050">
      <w:bodyDiv w:val="1"/>
      <w:marLeft w:val="0"/>
      <w:marRight w:val="0"/>
      <w:marTop w:val="0"/>
      <w:marBottom w:val="0"/>
      <w:divBdr>
        <w:top w:val="none" w:sz="0" w:space="0" w:color="auto"/>
        <w:left w:val="none" w:sz="0" w:space="0" w:color="auto"/>
        <w:bottom w:val="none" w:sz="0" w:space="0" w:color="auto"/>
        <w:right w:val="none" w:sz="0" w:space="0" w:color="auto"/>
      </w:divBdr>
    </w:div>
    <w:div w:id="1949191393">
      <w:bodyDiv w:val="1"/>
      <w:marLeft w:val="0"/>
      <w:marRight w:val="0"/>
      <w:marTop w:val="0"/>
      <w:marBottom w:val="0"/>
      <w:divBdr>
        <w:top w:val="none" w:sz="0" w:space="0" w:color="auto"/>
        <w:left w:val="none" w:sz="0" w:space="0" w:color="auto"/>
        <w:bottom w:val="none" w:sz="0" w:space="0" w:color="auto"/>
        <w:right w:val="none" w:sz="0" w:space="0" w:color="auto"/>
      </w:divBdr>
    </w:div>
    <w:div w:id="2047826750">
      <w:bodyDiv w:val="1"/>
      <w:marLeft w:val="0"/>
      <w:marRight w:val="0"/>
      <w:marTop w:val="0"/>
      <w:marBottom w:val="0"/>
      <w:divBdr>
        <w:top w:val="none" w:sz="0" w:space="0" w:color="auto"/>
        <w:left w:val="none" w:sz="0" w:space="0" w:color="auto"/>
        <w:bottom w:val="none" w:sz="0" w:space="0" w:color="auto"/>
        <w:right w:val="none" w:sz="0" w:space="0" w:color="auto"/>
      </w:divBdr>
      <w:divsChild>
        <w:div w:id="1110708669">
          <w:marLeft w:val="0"/>
          <w:marRight w:val="0"/>
          <w:marTop w:val="0"/>
          <w:marBottom w:val="0"/>
          <w:divBdr>
            <w:top w:val="none" w:sz="0" w:space="0" w:color="auto"/>
            <w:left w:val="none" w:sz="0" w:space="0" w:color="auto"/>
            <w:bottom w:val="none" w:sz="0" w:space="0" w:color="auto"/>
            <w:right w:val="none" w:sz="0" w:space="0" w:color="auto"/>
          </w:divBdr>
          <w:divsChild>
            <w:div w:id="417018408">
              <w:marLeft w:val="0"/>
              <w:marRight w:val="0"/>
              <w:marTop w:val="0"/>
              <w:marBottom w:val="0"/>
              <w:divBdr>
                <w:top w:val="none" w:sz="0" w:space="0" w:color="auto"/>
                <w:left w:val="none" w:sz="0" w:space="0" w:color="auto"/>
                <w:bottom w:val="none" w:sz="0" w:space="0" w:color="auto"/>
                <w:right w:val="none" w:sz="0" w:space="0" w:color="auto"/>
              </w:divBdr>
              <w:divsChild>
                <w:div w:id="177374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86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7176C"/>
    <w:rsid w:val="00193049"/>
    <w:rsid w:val="001F1EF7"/>
    <w:rsid w:val="00200821"/>
    <w:rsid w:val="0025245B"/>
    <w:rsid w:val="002A3923"/>
    <w:rsid w:val="00381F99"/>
    <w:rsid w:val="00394049"/>
    <w:rsid w:val="003B0C71"/>
    <w:rsid w:val="004B5BBB"/>
    <w:rsid w:val="004F2DF8"/>
    <w:rsid w:val="00517E2A"/>
    <w:rsid w:val="005C57CF"/>
    <w:rsid w:val="0063288B"/>
    <w:rsid w:val="006D3128"/>
    <w:rsid w:val="006F24A1"/>
    <w:rsid w:val="00721933"/>
    <w:rsid w:val="00755702"/>
    <w:rsid w:val="00761C02"/>
    <w:rsid w:val="00875B8A"/>
    <w:rsid w:val="008953BC"/>
    <w:rsid w:val="009819AE"/>
    <w:rsid w:val="009A261B"/>
    <w:rsid w:val="009A3D90"/>
    <w:rsid w:val="00A01E21"/>
    <w:rsid w:val="00A814C7"/>
    <w:rsid w:val="00AA01CA"/>
    <w:rsid w:val="00AA2E17"/>
    <w:rsid w:val="00AC15A4"/>
    <w:rsid w:val="00AD34C4"/>
    <w:rsid w:val="00B01EDA"/>
    <w:rsid w:val="00B0336C"/>
    <w:rsid w:val="00B61AF4"/>
    <w:rsid w:val="00B877F5"/>
    <w:rsid w:val="00B95975"/>
    <w:rsid w:val="00BD3108"/>
    <w:rsid w:val="00BF7790"/>
    <w:rsid w:val="00C40B32"/>
    <w:rsid w:val="00CE20E9"/>
    <w:rsid w:val="00D241E9"/>
    <w:rsid w:val="00D7750D"/>
    <w:rsid w:val="00D8352C"/>
    <w:rsid w:val="00E51DA5"/>
    <w:rsid w:val="00E86A65"/>
    <w:rsid w:val="00EC4E34"/>
    <w:rsid w:val="00ED7830"/>
    <w:rsid w:val="00F00D2F"/>
    <w:rsid w:val="00F128DF"/>
    <w:rsid w:val="00F74FBD"/>
    <w:rsid w:val="00FB76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3198</Words>
  <Characters>18235</Characters>
  <Application>Microsoft Office Word</Application>
  <DocSecurity>0</DocSecurity>
  <Lines>151</Lines>
  <Paragraphs>42</Paragraphs>
  <ScaleCrop>false</ScaleCrop>
  <Company/>
  <LinksUpToDate>false</LinksUpToDate>
  <CharactersWithSpaces>21391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2023-02-03T14:42:00Z</dcterms:created>
  <dcterms:modified xsi:type="dcterms:W3CDTF">2023-02-03T14:42:00Z</dcterms:modified>
</cp:coreProperties>
</file>