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4F807222" w:rsidR="00E10040" w:rsidRPr="00E10040" w:rsidRDefault="00ED764E" w:rsidP="00E10040">
      <w:pPr>
        <w:jc w:val="both"/>
        <w:rPr>
          <w:rFonts w:ascii="Cambria" w:hAnsi="Cambria" w:cs="Univers"/>
          <w:b/>
          <w:bCs/>
          <w:sz w:val="22"/>
          <w:szCs w:val="22"/>
          <w:lang w:val="es-ES_tradnl"/>
        </w:rPr>
      </w:pPr>
      <w:r>
        <w:rPr>
          <w:noProof/>
        </w:rPr>
        <mc:AlternateContent>
          <mc:Choice Requires="wps">
            <w:drawing>
              <wp:anchor distT="0" distB="0" distL="114300" distR="114300" simplePos="0" relativeHeight="251659264" behindDoc="0" locked="0" layoutInCell="1" allowOverlap="1" wp14:anchorId="731983CC" wp14:editId="68BDAC1B">
                <wp:simplePos x="0" y="0"/>
                <wp:positionH relativeFrom="column">
                  <wp:posOffset>-415925</wp:posOffset>
                </wp:positionH>
                <wp:positionV relativeFrom="paragraph">
                  <wp:posOffset>-439420</wp:posOffset>
                </wp:positionV>
                <wp:extent cx="1543050" cy="90963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30FA7"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" fillcolor="#4a7194" stroked="f" strokeweight="1pt"/>
            </w:pict>
          </mc:Fallback>
        </mc:AlternateContent>
      </w:r>
      <w:r>
        <w:rPr>
          <w:noProof/>
        </w:rPr>
        <mc:AlternateContent>
          <mc:Choice Requires="wps">
            <w:drawing>
              <wp:anchor distT="0" distB="0" distL="114300" distR="114300" simplePos="0" relativeHeight="251663360" behindDoc="0" locked="0" layoutInCell="1" allowOverlap="1" wp14:anchorId="720C2FA1" wp14:editId="181D949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C2FA1"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" filled="f" stroked="f" strokeweight=".5pt">
                <v:textbox>
                  <w:txbxContent>
                    <w:p w14:paraId="5B700BA6" w14:textId="6AADB6FE" w:rsidR="00E10040" w:rsidRDefault="00E10040"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E10040"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49EDADBC" w:rsidR="00E10040" w:rsidRPr="00E10040" w:rsidRDefault="00ED764E" w:rsidP="00E10040">
      <w:pP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60288" behindDoc="0" locked="0" layoutInCell="1" allowOverlap="1" wp14:anchorId="7DEBF987" wp14:editId="2E5D3CA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1EB04857"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6155DC">
                              <w:rPr>
                                <w:rFonts w:ascii="Cambria" w:hAnsi="Cambria" w:cs="Arial"/>
                                <w:b/>
                                <w:bCs/>
                                <w:color w:val="0D0D0D" w:themeColor="text1" w:themeTint="F2"/>
                                <w:sz w:val="36"/>
                                <w:szCs w:val="22"/>
                                <w:lang w:val="es-ES_tradnl"/>
                              </w:rPr>
                              <w:t>158</w:t>
                            </w:r>
                            <w:r w:rsidRPr="00E10040">
                              <w:rPr>
                                <w:rFonts w:ascii="Cambria" w:hAnsi="Cambria" w:cs="Arial"/>
                                <w:b/>
                                <w:bCs/>
                                <w:color w:val="0D0D0D" w:themeColor="text1" w:themeTint="F2"/>
                                <w:sz w:val="36"/>
                                <w:szCs w:val="22"/>
                                <w:lang w:val="es-ES_tradnl"/>
                              </w:rPr>
                              <w:t>/2</w:t>
                            </w:r>
                            <w:r w:rsidR="009C2E2A">
                              <w:rPr>
                                <w:rFonts w:ascii="Cambria" w:hAnsi="Cambria" w:cs="Arial"/>
                                <w:b/>
                                <w:bCs/>
                                <w:color w:val="0D0D0D" w:themeColor="text1" w:themeTint="F2"/>
                                <w:sz w:val="36"/>
                                <w:szCs w:val="22"/>
                                <w:lang w:val="es-ES_tradnl"/>
                              </w:rPr>
                              <w:t>2</w:t>
                            </w:r>
                          </w:p>
                          <w:p w14:paraId="67D1B048" w14:textId="3DB648FB"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4B4824">
                              <w:rPr>
                                <w:rFonts w:ascii="Cambria" w:hAnsi="Cambria" w:cs="Arial"/>
                                <w:b/>
                                <w:color w:val="0D0D0D" w:themeColor="text1" w:themeTint="F2"/>
                                <w:sz w:val="36"/>
                                <w:szCs w:val="22"/>
                                <w:lang w:val="es-ES_tradnl"/>
                              </w:rPr>
                              <w:t>1882</w:t>
                            </w:r>
                            <w:r w:rsidRPr="00E10040">
                              <w:rPr>
                                <w:rFonts w:ascii="Cambria" w:hAnsi="Cambria" w:cs="Arial"/>
                                <w:b/>
                                <w:color w:val="0D0D0D" w:themeColor="text1" w:themeTint="F2"/>
                                <w:sz w:val="36"/>
                                <w:szCs w:val="22"/>
                                <w:lang w:val="es-ES_tradnl"/>
                              </w:rPr>
                              <w:t>-</w:t>
                            </w:r>
                            <w:r w:rsidR="004B4824">
                              <w:rPr>
                                <w:rFonts w:ascii="Cambria" w:hAnsi="Cambria" w:cs="Arial"/>
                                <w:b/>
                                <w:color w:val="0D0D0D" w:themeColor="text1" w:themeTint="F2"/>
                                <w:sz w:val="36"/>
                                <w:szCs w:val="22"/>
                                <w:lang w:val="es-ES_tradnl"/>
                              </w:rPr>
                              <w:t>18</w:t>
                            </w:r>
                            <w:r w:rsidRPr="00E10040">
                              <w:rPr>
                                <w:rFonts w:ascii="Cambria" w:hAnsi="Cambria" w:cs="Arial"/>
                                <w:b/>
                                <w:color w:val="0D0D0D" w:themeColor="text1" w:themeTint="F2"/>
                                <w:sz w:val="36"/>
                                <w:szCs w:val="22"/>
                                <w:lang w:val="es-ES_tradnl"/>
                              </w:rPr>
                              <w:t xml:space="preserve"> </w:t>
                            </w:r>
                          </w:p>
                          <w:p w14:paraId="7264B33D" w14:textId="38004A1D"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0" w:name="_ftnref1"/>
                          </w:p>
                          <w:p w14:paraId="6F037F91" w14:textId="48445E9D" w:rsidR="00E10040" w:rsidRPr="005B542D" w:rsidRDefault="004B4824" w:rsidP="00E10040">
                            <w:pPr>
                              <w:spacing w:line="276" w:lineRule="auto"/>
                              <w:rPr>
                                <w:rFonts w:ascii="Cambria" w:hAnsi="Cambria" w:cs="Arial"/>
                                <w:color w:val="0D0D0D" w:themeColor="text1" w:themeTint="F2"/>
                                <w:szCs w:val="22"/>
                                <w:lang w:val="es-VE"/>
                              </w:rPr>
                            </w:pPr>
                            <w:r w:rsidRPr="005B542D">
                              <w:rPr>
                                <w:rFonts w:ascii="Cambria" w:hAnsi="Cambria" w:cs="Arial"/>
                                <w:color w:val="0D0D0D" w:themeColor="text1" w:themeTint="F2"/>
                                <w:szCs w:val="22"/>
                                <w:lang w:val="es-VE"/>
                              </w:rPr>
                              <w:t>GIOVANNA PAULINA PÉREZ CONSTANTE</w:t>
                            </w:r>
                            <w:r w:rsidR="005B542D" w:rsidRPr="005B542D">
                              <w:rPr>
                                <w:rFonts w:ascii="Cambria" w:hAnsi="Cambria" w:cs="Arial"/>
                                <w:color w:val="0D0D0D" w:themeColor="text1" w:themeTint="F2"/>
                                <w:szCs w:val="22"/>
                                <w:lang w:val="es-VE"/>
                              </w:rPr>
                              <w:t xml:space="preserve"> Y </w:t>
                            </w:r>
                            <w:r w:rsidR="005B542D">
                              <w:rPr>
                                <w:rFonts w:ascii="Cambria" w:hAnsi="Cambria" w:cs="Arial"/>
                                <w:color w:val="0D0D0D" w:themeColor="text1" w:themeTint="F2"/>
                                <w:szCs w:val="22"/>
                                <w:lang w:val="es-VE"/>
                              </w:rPr>
                              <w:t>FAMILIA</w:t>
                            </w:r>
                          </w:p>
                          <w:bookmarkEnd w:id="0"/>
                          <w:p w14:paraId="7441DC01" w14:textId="3DD3834B" w:rsidR="00E10040" w:rsidRPr="00E10040" w:rsidRDefault="004B4824"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1DA1F5CC" w14:textId="77777777" w:rsidR="00E10040" w:rsidRPr="00E10040" w:rsidRDefault="00E10040" w:rsidP="00E10040">
                            <w:pPr>
                              <w:rPr>
                                <w:rFonts w:ascii="Cambria" w:hAnsi="Cambria"/>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BF987"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" filled="f" stroked="f" strokeweight=".5pt">
                <v:textbox>
                  <w:txbxContent>
                    <w:p w14:paraId="41FED22C" w14:textId="1EB04857" w:rsidR="00E10040" w:rsidRPr="00E10040" w:rsidRDefault="00E10040"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6155DC">
                        <w:rPr>
                          <w:rFonts w:ascii="Cambria" w:hAnsi="Cambria" w:cs="Arial"/>
                          <w:b/>
                          <w:bCs/>
                          <w:color w:val="0D0D0D" w:themeColor="text1" w:themeTint="F2"/>
                          <w:sz w:val="36"/>
                          <w:szCs w:val="22"/>
                          <w:lang w:val="es-ES_tradnl"/>
                        </w:rPr>
                        <w:t>158</w:t>
                      </w:r>
                      <w:r w:rsidRPr="00E10040">
                        <w:rPr>
                          <w:rFonts w:ascii="Cambria" w:hAnsi="Cambria" w:cs="Arial"/>
                          <w:b/>
                          <w:bCs/>
                          <w:color w:val="0D0D0D" w:themeColor="text1" w:themeTint="F2"/>
                          <w:sz w:val="36"/>
                          <w:szCs w:val="22"/>
                          <w:lang w:val="es-ES_tradnl"/>
                        </w:rPr>
                        <w:t>/2</w:t>
                      </w:r>
                      <w:r w:rsidR="009C2E2A">
                        <w:rPr>
                          <w:rFonts w:ascii="Cambria" w:hAnsi="Cambria" w:cs="Arial"/>
                          <w:b/>
                          <w:bCs/>
                          <w:color w:val="0D0D0D" w:themeColor="text1" w:themeTint="F2"/>
                          <w:sz w:val="36"/>
                          <w:szCs w:val="22"/>
                          <w:lang w:val="es-ES_tradnl"/>
                        </w:rPr>
                        <w:t>2</w:t>
                      </w:r>
                    </w:p>
                    <w:p w14:paraId="67D1B048" w14:textId="3DB648FB" w:rsidR="00E10040" w:rsidRPr="00E10040" w:rsidRDefault="00E10040"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sidR="004B4824">
                        <w:rPr>
                          <w:rFonts w:ascii="Cambria" w:hAnsi="Cambria" w:cs="Arial"/>
                          <w:b/>
                          <w:color w:val="0D0D0D" w:themeColor="text1" w:themeTint="F2"/>
                          <w:sz w:val="36"/>
                          <w:szCs w:val="22"/>
                          <w:lang w:val="es-ES_tradnl"/>
                        </w:rPr>
                        <w:t>1882</w:t>
                      </w:r>
                      <w:r w:rsidRPr="00E10040">
                        <w:rPr>
                          <w:rFonts w:ascii="Cambria" w:hAnsi="Cambria" w:cs="Arial"/>
                          <w:b/>
                          <w:color w:val="0D0D0D" w:themeColor="text1" w:themeTint="F2"/>
                          <w:sz w:val="36"/>
                          <w:szCs w:val="22"/>
                          <w:lang w:val="es-ES_tradnl"/>
                        </w:rPr>
                        <w:t>-</w:t>
                      </w:r>
                      <w:r w:rsidR="004B4824">
                        <w:rPr>
                          <w:rFonts w:ascii="Cambria" w:hAnsi="Cambria" w:cs="Arial"/>
                          <w:b/>
                          <w:color w:val="0D0D0D" w:themeColor="text1" w:themeTint="F2"/>
                          <w:sz w:val="36"/>
                          <w:szCs w:val="22"/>
                          <w:lang w:val="es-ES_tradnl"/>
                        </w:rPr>
                        <w:t>18</w:t>
                      </w:r>
                      <w:r w:rsidRPr="00E10040">
                        <w:rPr>
                          <w:rFonts w:ascii="Cambria" w:hAnsi="Cambria" w:cs="Arial"/>
                          <w:b/>
                          <w:color w:val="0D0D0D" w:themeColor="text1" w:themeTint="F2"/>
                          <w:sz w:val="36"/>
                          <w:szCs w:val="22"/>
                          <w:lang w:val="es-ES_tradnl"/>
                        </w:rPr>
                        <w:t xml:space="preserve"> </w:t>
                      </w:r>
                    </w:p>
                    <w:p w14:paraId="7264B33D" w14:textId="38004A1D" w:rsidR="00E10040" w:rsidRPr="00E10040" w:rsidRDefault="00E10040"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INFORME DE ADMISIBILIDAD</w:t>
                      </w:r>
                    </w:p>
                    <w:p w14:paraId="1C3D1962" w14:textId="77777777" w:rsidR="00E10040" w:rsidRPr="00E10040" w:rsidRDefault="00E10040" w:rsidP="00E10040">
                      <w:pPr>
                        <w:spacing w:line="276" w:lineRule="auto"/>
                        <w:rPr>
                          <w:rFonts w:ascii="Cambria" w:hAnsi="Cambria" w:cs="Arial"/>
                          <w:color w:val="0D0D0D" w:themeColor="text1" w:themeTint="F2"/>
                          <w:szCs w:val="22"/>
                          <w:lang w:val="es-ES_tradnl"/>
                        </w:rPr>
                      </w:pPr>
                      <w:bookmarkStart w:id="1" w:name="_ftnref1"/>
                    </w:p>
                    <w:p w14:paraId="6F037F91" w14:textId="48445E9D" w:rsidR="00E10040" w:rsidRPr="005B542D" w:rsidRDefault="004B4824" w:rsidP="00E10040">
                      <w:pPr>
                        <w:spacing w:line="276" w:lineRule="auto"/>
                        <w:rPr>
                          <w:rFonts w:ascii="Cambria" w:hAnsi="Cambria" w:cs="Arial"/>
                          <w:color w:val="0D0D0D" w:themeColor="text1" w:themeTint="F2"/>
                          <w:szCs w:val="22"/>
                          <w:lang w:val="es-VE"/>
                        </w:rPr>
                      </w:pPr>
                      <w:r w:rsidRPr="005B542D">
                        <w:rPr>
                          <w:rFonts w:ascii="Cambria" w:hAnsi="Cambria" w:cs="Arial"/>
                          <w:color w:val="0D0D0D" w:themeColor="text1" w:themeTint="F2"/>
                          <w:szCs w:val="22"/>
                          <w:lang w:val="es-VE"/>
                        </w:rPr>
                        <w:t>GIOVANNA PAULINA PÉREZ CONSTANTE</w:t>
                      </w:r>
                      <w:r w:rsidR="005B542D" w:rsidRPr="005B542D">
                        <w:rPr>
                          <w:rFonts w:ascii="Cambria" w:hAnsi="Cambria" w:cs="Arial"/>
                          <w:color w:val="0D0D0D" w:themeColor="text1" w:themeTint="F2"/>
                          <w:szCs w:val="22"/>
                          <w:lang w:val="es-VE"/>
                        </w:rPr>
                        <w:t xml:space="preserve"> Y </w:t>
                      </w:r>
                      <w:r w:rsidR="005B542D">
                        <w:rPr>
                          <w:rFonts w:ascii="Cambria" w:hAnsi="Cambria" w:cs="Arial"/>
                          <w:color w:val="0D0D0D" w:themeColor="text1" w:themeTint="F2"/>
                          <w:szCs w:val="22"/>
                          <w:lang w:val="es-VE"/>
                        </w:rPr>
                        <w:t>FAMILIA</w:t>
                      </w:r>
                    </w:p>
                    <w:bookmarkEnd w:id="1"/>
                    <w:p w14:paraId="7441DC01" w14:textId="3DD3834B" w:rsidR="00E10040" w:rsidRPr="00E10040" w:rsidRDefault="004B4824" w:rsidP="00E10040">
                      <w:pPr>
                        <w:spacing w:line="276" w:lineRule="auto"/>
                        <w:rPr>
                          <w:rFonts w:ascii="Cambria" w:hAnsi="Cambria" w:cs="Arial"/>
                          <w:color w:val="0D0D0D" w:themeColor="text1" w:themeTint="F2"/>
                          <w:szCs w:val="22"/>
                          <w:lang w:val="es-ES"/>
                        </w:rPr>
                      </w:pPr>
                      <w:r>
                        <w:rPr>
                          <w:rFonts w:ascii="Cambria" w:hAnsi="Cambria" w:cs="Arial"/>
                          <w:color w:val="0D0D0D" w:themeColor="text1" w:themeTint="F2"/>
                          <w:szCs w:val="22"/>
                          <w:lang w:val="es-ES_tradnl"/>
                        </w:rPr>
                        <w:t>ECUADOR</w:t>
                      </w:r>
                    </w:p>
                    <w:p w14:paraId="1DA1F5CC" w14:textId="77777777" w:rsidR="00E10040" w:rsidRPr="00E10040" w:rsidRDefault="00E10040" w:rsidP="00E10040">
                      <w:pPr>
                        <w:rPr>
                          <w:rFonts w:ascii="Cambria" w:hAnsi="Cambria"/>
                          <w:color w:val="0D0D0D" w:themeColor="text1" w:themeTint="F2"/>
                          <w:lang w:val="es-ES_tradnl"/>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A7D03FF" wp14:editId="4A5B70D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4AC354BE" w:rsidR="00E10040" w:rsidRPr="00A56CDB" w:rsidRDefault="00E10040" w:rsidP="00E10040">
                            <w:pPr>
                              <w:spacing w:line="276" w:lineRule="auto"/>
                              <w:jc w:val="right"/>
                              <w:rPr>
                                <w:rFonts w:asciiTheme="minorHAnsi" w:hAnsiTheme="minorHAnsi"/>
                                <w:color w:val="FFFFFF" w:themeColor="background1"/>
                                <w:sz w:val="22"/>
                                <w:lang w:val="es-AR"/>
                              </w:rPr>
                            </w:pPr>
                            <w:r w:rsidRPr="00A56CDB">
                              <w:rPr>
                                <w:rFonts w:asciiTheme="minorHAnsi" w:hAnsiTheme="minorHAnsi"/>
                                <w:color w:val="FFFFFF" w:themeColor="background1"/>
                                <w:sz w:val="22"/>
                                <w:lang w:val="es-AR"/>
                              </w:rPr>
                              <w:t>OEA/Ser.L/V/II</w:t>
                            </w:r>
                          </w:p>
                          <w:p w14:paraId="1E29FC77" w14:textId="220D539B" w:rsidR="00E10040" w:rsidRPr="00A56CDB" w:rsidRDefault="00E10040" w:rsidP="00E10040">
                            <w:pPr>
                              <w:spacing w:line="276" w:lineRule="auto"/>
                              <w:jc w:val="right"/>
                              <w:rPr>
                                <w:rFonts w:asciiTheme="minorHAnsi" w:hAnsiTheme="minorHAnsi"/>
                                <w:color w:val="FFFFFF" w:themeColor="background1"/>
                                <w:sz w:val="22"/>
                                <w:lang w:val="es-AR"/>
                              </w:rPr>
                            </w:pPr>
                            <w:r w:rsidRPr="00A56CDB">
                              <w:rPr>
                                <w:rFonts w:asciiTheme="minorHAnsi" w:hAnsiTheme="minorHAnsi"/>
                                <w:color w:val="FFFFFF" w:themeColor="background1"/>
                                <w:sz w:val="22"/>
                                <w:lang w:val="es-AR"/>
                              </w:rPr>
                              <w:t xml:space="preserve">Doc. </w:t>
                            </w:r>
                            <w:r w:rsidR="00E150E9" w:rsidRPr="00A56CDB">
                              <w:rPr>
                                <w:rFonts w:asciiTheme="minorHAnsi" w:hAnsiTheme="minorHAnsi"/>
                                <w:color w:val="FFFFFF" w:themeColor="background1"/>
                                <w:sz w:val="22"/>
                                <w:lang w:val="es-AR"/>
                              </w:rPr>
                              <w:t>161</w:t>
                            </w:r>
                          </w:p>
                          <w:p w14:paraId="4BC71096" w14:textId="0650B1BC" w:rsidR="00E10040" w:rsidRPr="00C25ADB" w:rsidRDefault="00E150E9"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julio</w:t>
                            </w:r>
                            <w:r w:rsidR="00E10040" w:rsidRPr="00C25ADB">
                              <w:rPr>
                                <w:rFonts w:asciiTheme="minorHAnsi" w:hAnsiTheme="minorHAnsi"/>
                                <w:color w:val="FFFFFF" w:themeColor="background1"/>
                                <w:sz w:val="22"/>
                                <w:lang w:val="es-PA"/>
                              </w:rPr>
                              <w:t xml:space="preserve"> 202</w:t>
                            </w:r>
                            <w:r w:rsidR="009C2E2A">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03FF"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" filled="f" stroked="f" strokeweight=".5pt">
                <v:textbox>
                  <w:txbxContent>
                    <w:p w14:paraId="075D3795" w14:textId="4AC354BE" w:rsidR="00E10040" w:rsidRPr="00A56CDB" w:rsidRDefault="00E10040" w:rsidP="00E10040">
                      <w:pPr>
                        <w:spacing w:line="276" w:lineRule="auto"/>
                        <w:jc w:val="right"/>
                        <w:rPr>
                          <w:rFonts w:asciiTheme="minorHAnsi" w:hAnsiTheme="minorHAnsi"/>
                          <w:color w:val="FFFFFF" w:themeColor="background1"/>
                          <w:sz w:val="22"/>
                          <w:lang w:val="es-AR"/>
                        </w:rPr>
                      </w:pPr>
                      <w:r w:rsidRPr="00A56CDB">
                        <w:rPr>
                          <w:rFonts w:asciiTheme="minorHAnsi" w:hAnsiTheme="minorHAnsi"/>
                          <w:color w:val="FFFFFF" w:themeColor="background1"/>
                          <w:sz w:val="22"/>
                          <w:lang w:val="es-AR"/>
                        </w:rPr>
                        <w:t>OEA/Ser.L/V/II</w:t>
                      </w:r>
                    </w:p>
                    <w:p w14:paraId="1E29FC77" w14:textId="220D539B" w:rsidR="00E10040" w:rsidRPr="00A56CDB" w:rsidRDefault="00E10040" w:rsidP="00E10040">
                      <w:pPr>
                        <w:spacing w:line="276" w:lineRule="auto"/>
                        <w:jc w:val="right"/>
                        <w:rPr>
                          <w:rFonts w:asciiTheme="minorHAnsi" w:hAnsiTheme="minorHAnsi"/>
                          <w:color w:val="FFFFFF" w:themeColor="background1"/>
                          <w:sz w:val="22"/>
                          <w:lang w:val="es-AR"/>
                        </w:rPr>
                      </w:pPr>
                      <w:r w:rsidRPr="00A56CDB">
                        <w:rPr>
                          <w:rFonts w:asciiTheme="minorHAnsi" w:hAnsiTheme="minorHAnsi"/>
                          <w:color w:val="FFFFFF" w:themeColor="background1"/>
                          <w:sz w:val="22"/>
                          <w:lang w:val="es-AR"/>
                        </w:rPr>
                        <w:t xml:space="preserve">Doc. </w:t>
                      </w:r>
                      <w:r w:rsidR="00E150E9" w:rsidRPr="00A56CDB">
                        <w:rPr>
                          <w:rFonts w:asciiTheme="minorHAnsi" w:hAnsiTheme="minorHAnsi"/>
                          <w:color w:val="FFFFFF" w:themeColor="background1"/>
                          <w:sz w:val="22"/>
                          <w:lang w:val="es-AR"/>
                        </w:rPr>
                        <w:t>161</w:t>
                      </w:r>
                    </w:p>
                    <w:p w14:paraId="4BC71096" w14:textId="0650B1BC" w:rsidR="00E10040" w:rsidRPr="00C25ADB" w:rsidRDefault="00E150E9"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7 julio</w:t>
                      </w:r>
                      <w:r w:rsidR="00E10040" w:rsidRPr="00C25ADB">
                        <w:rPr>
                          <w:rFonts w:asciiTheme="minorHAnsi" w:hAnsiTheme="minorHAnsi"/>
                          <w:color w:val="FFFFFF" w:themeColor="background1"/>
                          <w:sz w:val="22"/>
                          <w:lang w:val="es-PA"/>
                        </w:rPr>
                        <w:t xml:space="preserve"> 202</w:t>
                      </w:r>
                      <w:r w:rsidR="009C2E2A">
                        <w:rPr>
                          <w:rFonts w:asciiTheme="minorHAnsi" w:hAnsiTheme="minorHAnsi"/>
                          <w:color w:val="FFFFFF" w:themeColor="background1"/>
                          <w:sz w:val="22"/>
                          <w:lang w:val="es-PA"/>
                        </w:rPr>
                        <w:t>2</w:t>
                      </w:r>
                    </w:p>
                    <w:p w14:paraId="2ED41C8A" w14:textId="77777777" w:rsidR="00E10040" w:rsidRPr="00C25ADB" w:rsidRDefault="00E10040"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3D1C891D" w:rsidR="00E10040" w:rsidRPr="00E10040" w:rsidRDefault="00ED764E" w:rsidP="00E10040">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61312" behindDoc="0" locked="0" layoutInCell="1" allowOverlap="1" wp14:anchorId="53C5CAD4" wp14:editId="1333965F">
                <wp:simplePos x="0" y="0"/>
                <wp:positionH relativeFrom="column">
                  <wp:posOffset>1341755</wp:posOffset>
                </wp:positionH>
                <wp:positionV relativeFrom="paragraph">
                  <wp:posOffset>22860</wp:posOffset>
                </wp:positionV>
                <wp:extent cx="4933950" cy="6648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76293CC4"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6155DC">
                              <w:rPr>
                                <w:rFonts w:ascii="Cambria" w:hAnsi="Cambria"/>
                                <w:color w:val="0D0D0D" w:themeColor="text1" w:themeTint="F2"/>
                                <w:sz w:val="18"/>
                                <w:szCs w:val="22"/>
                                <w:lang w:val="es-ES"/>
                              </w:rPr>
                              <w:t>7</w:t>
                            </w:r>
                            <w:r w:rsidRPr="00E10040">
                              <w:rPr>
                                <w:rFonts w:ascii="Cambria" w:hAnsi="Cambria"/>
                                <w:color w:val="0D0D0D" w:themeColor="text1" w:themeTint="F2"/>
                                <w:sz w:val="18"/>
                                <w:szCs w:val="22"/>
                                <w:lang w:val="es-ES"/>
                              </w:rPr>
                              <w:t xml:space="preserve"> de </w:t>
                            </w:r>
                            <w:r w:rsidR="006155DC">
                              <w:rPr>
                                <w:rFonts w:ascii="Cambria" w:hAnsi="Cambria"/>
                                <w:color w:val="0D0D0D" w:themeColor="text1" w:themeTint="F2"/>
                                <w:sz w:val="18"/>
                                <w:szCs w:val="22"/>
                                <w:lang w:val="es-ES"/>
                              </w:rPr>
                              <w:t>julio</w:t>
                            </w:r>
                            <w:r w:rsidRPr="00E10040">
                              <w:rPr>
                                <w:rFonts w:ascii="Cambria" w:hAnsi="Cambria"/>
                                <w:color w:val="0D0D0D" w:themeColor="text1" w:themeTint="F2"/>
                                <w:sz w:val="18"/>
                                <w:szCs w:val="22"/>
                                <w:lang w:val="es-ES"/>
                              </w:rPr>
                              <w:t xml:space="preserve"> de 202</w:t>
                            </w:r>
                            <w:r w:rsidR="009C2E2A">
                              <w:rPr>
                                <w:rFonts w:ascii="Cambria" w:hAnsi="Cambria"/>
                                <w:color w:val="0D0D0D" w:themeColor="text1" w:themeTint="F2"/>
                                <w:sz w:val="18"/>
                                <w:szCs w:val="22"/>
                                <w:lang w:val="es-ES"/>
                              </w:rPr>
                              <w:t>2</w:t>
                            </w:r>
                            <w:r w:rsidR="006155DC">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5CAD4"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" filled="f" stroked="f" strokeweight=".5pt">
                <v:textbox>
                  <w:txbxContent>
                    <w:p w14:paraId="13C2C42D" w14:textId="76293CC4" w:rsidR="00E10040" w:rsidRPr="00E10040" w:rsidRDefault="00E10040"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Aprobado electr</w:t>
                      </w:r>
                      <w:r w:rsidRPr="00E10040">
                        <w:rPr>
                          <w:rFonts w:ascii="Cambria" w:hAnsi="Cambria"/>
                          <w:color w:val="0D0D0D" w:themeColor="text1" w:themeTint="F2"/>
                          <w:sz w:val="18"/>
                          <w:szCs w:val="22"/>
                          <w:lang w:val="es-ES_tradnl"/>
                        </w:rPr>
                        <w:t>ónicamente</w:t>
                      </w:r>
                      <w:r w:rsidRPr="00E10040">
                        <w:rPr>
                          <w:rFonts w:ascii="Cambria" w:hAnsi="Cambria"/>
                          <w:color w:val="0D0D0D" w:themeColor="text1" w:themeTint="F2"/>
                          <w:sz w:val="18"/>
                          <w:szCs w:val="22"/>
                          <w:lang w:val="es-ES"/>
                        </w:rPr>
                        <w:t xml:space="preserve"> por la Comisión el </w:t>
                      </w:r>
                      <w:r w:rsidR="006155DC">
                        <w:rPr>
                          <w:rFonts w:ascii="Cambria" w:hAnsi="Cambria"/>
                          <w:color w:val="0D0D0D" w:themeColor="text1" w:themeTint="F2"/>
                          <w:sz w:val="18"/>
                          <w:szCs w:val="22"/>
                          <w:lang w:val="es-ES"/>
                        </w:rPr>
                        <w:t>7</w:t>
                      </w:r>
                      <w:r w:rsidRPr="00E10040">
                        <w:rPr>
                          <w:rFonts w:ascii="Cambria" w:hAnsi="Cambria"/>
                          <w:color w:val="0D0D0D" w:themeColor="text1" w:themeTint="F2"/>
                          <w:sz w:val="18"/>
                          <w:szCs w:val="22"/>
                          <w:lang w:val="es-ES"/>
                        </w:rPr>
                        <w:t xml:space="preserve"> de </w:t>
                      </w:r>
                      <w:r w:rsidR="006155DC">
                        <w:rPr>
                          <w:rFonts w:ascii="Cambria" w:hAnsi="Cambria"/>
                          <w:color w:val="0D0D0D" w:themeColor="text1" w:themeTint="F2"/>
                          <w:sz w:val="18"/>
                          <w:szCs w:val="22"/>
                          <w:lang w:val="es-ES"/>
                        </w:rPr>
                        <w:t>julio</w:t>
                      </w:r>
                      <w:r w:rsidRPr="00E10040">
                        <w:rPr>
                          <w:rFonts w:ascii="Cambria" w:hAnsi="Cambria"/>
                          <w:color w:val="0D0D0D" w:themeColor="text1" w:themeTint="F2"/>
                          <w:sz w:val="18"/>
                          <w:szCs w:val="22"/>
                          <w:lang w:val="es-ES"/>
                        </w:rPr>
                        <w:t xml:space="preserve"> de 202</w:t>
                      </w:r>
                      <w:r w:rsidR="009C2E2A">
                        <w:rPr>
                          <w:rFonts w:ascii="Cambria" w:hAnsi="Cambria"/>
                          <w:color w:val="0D0D0D" w:themeColor="text1" w:themeTint="F2"/>
                          <w:sz w:val="18"/>
                          <w:szCs w:val="22"/>
                          <w:lang w:val="es-ES"/>
                        </w:rPr>
                        <w:t>2</w:t>
                      </w:r>
                      <w:r w:rsidR="006155DC">
                        <w:rPr>
                          <w:rFonts w:ascii="Cambria" w:hAnsi="Cambria"/>
                          <w:color w:val="0D0D0D" w:themeColor="text1" w:themeTint="F2"/>
                          <w:sz w:val="18"/>
                          <w:szCs w:val="22"/>
                          <w:lang w:val="es-ES"/>
                        </w:rPr>
                        <w:t>.</w:t>
                      </w:r>
                    </w:p>
                    <w:p w14:paraId="31ECACB8" w14:textId="77777777" w:rsidR="00E10040" w:rsidRPr="00E10040" w:rsidRDefault="00E10040"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E10040" w:rsidRPr="00E10040" w:rsidRDefault="00E10040"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4A38C30C" w:rsidR="00E10040" w:rsidRPr="00E10040" w:rsidRDefault="00ED764E" w:rsidP="00E10040">
      <w:pP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64384" behindDoc="0" locked="0" layoutInCell="1" allowOverlap="1" wp14:anchorId="3AFD1407" wp14:editId="368C94E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AFD70" w14:textId="77777777" w:rsidR="006155DC" w:rsidRDefault="00E10040"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8E6DEA">
                              <w:rPr>
                                <w:rFonts w:ascii="Cambria" w:hAnsi="Cambria"/>
                                <w:color w:val="595959" w:themeColor="text1" w:themeTint="A6"/>
                                <w:sz w:val="18"/>
                                <w:szCs w:val="18"/>
                                <w:lang w:val="pt-BR"/>
                              </w:rPr>
                              <w:t xml:space="preserve">Informe No. </w:t>
                            </w:r>
                            <w:r w:rsidR="006155DC" w:rsidRPr="006155DC">
                              <w:rPr>
                                <w:rFonts w:ascii="Cambria" w:hAnsi="Cambria"/>
                                <w:color w:val="595959" w:themeColor="text1" w:themeTint="A6"/>
                                <w:sz w:val="18"/>
                                <w:szCs w:val="18"/>
                                <w:lang w:val="pt-BR"/>
                              </w:rPr>
                              <w:t>158</w:t>
                            </w:r>
                            <w:r w:rsidRPr="006155DC">
                              <w:rPr>
                                <w:rFonts w:ascii="Cambria" w:hAnsi="Cambria"/>
                                <w:color w:val="595959" w:themeColor="text1" w:themeTint="A6"/>
                                <w:sz w:val="18"/>
                                <w:szCs w:val="18"/>
                                <w:lang w:val="pt-BR"/>
                              </w:rPr>
                              <w:t>/</w:t>
                            </w:r>
                            <w:r w:rsidR="006155DC" w:rsidRPr="006155DC">
                              <w:rPr>
                                <w:rFonts w:ascii="Cambria" w:hAnsi="Cambria"/>
                                <w:color w:val="595959" w:themeColor="text1" w:themeTint="A6"/>
                                <w:sz w:val="18"/>
                                <w:szCs w:val="18"/>
                                <w:lang w:val="pt-BR"/>
                              </w:rPr>
                              <w:t>22</w:t>
                            </w:r>
                            <w:r w:rsidRPr="006155DC">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4B4824">
                              <w:rPr>
                                <w:rFonts w:ascii="Cambria" w:hAnsi="Cambria"/>
                                <w:color w:val="595959" w:themeColor="text1" w:themeTint="A6"/>
                                <w:sz w:val="18"/>
                                <w:szCs w:val="18"/>
                                <w:lang w:val="es-VE"/>
                              </w:rPr>
                              <w:t>1882</w:t>
                            </w:r>
                            <w:r w:rsidRPr="00281A45">
                              <w:rPr>
                                <w:rFonts w:ascii="Cambria" w:hAnsi="Cambria"/>
                                <w:color w:val="595959" w:themeColor="text1" w:themeTint="A6"/>
                                <w:sz w:val="18"/>
                                <w:szCs w:val="18"/>
                                <w:lang w:val="es-VE"/>
                              </w:rPr>
                              <w:t>-</w:t>
                            </w:r>
                            <w:r w:rsidR="004B4824">
                              <w:rPr>
                                <w:rFonts w:ascii="Cambria" w:hAnsi="Cambria"/>
                                <w:color w:val="595959" w:themeColor="text1" w:themeTint="A6"/>
                                <w:sz w:val="18"/>
                                <w:szCs w:val="18"/>
                                <w:lang w:val="es-VE"/>
                              </w:rPr>
                              <w:t>18</w:t>
                            </w:r>
                            <w:r w:rsidRPr="00281A45">
                              <w:rPr>
                                <w:rFonts w:ascii="Cambria" w:hAnsi="Cambria"/>
                                <w:color w:val="595959" w:themeColor="text1" w:themeTint="A6"/>
                                <w:sz w:val="18"/>
                                <w:szCs w:val="18"/>
                                <w:lang w:val="es-VE"/>
                              </w:rPr>
                              <w:t xml:space="preserve">. Admisibilidad. </w:t>
                            </w:r>
                          </w:p>
                          <w:p w14:paraId="71AF235F" w14:textId="0FF467B7" w:rsidR="00E10040" w:rsidRPr="00E10040" w:rsidRDefault="004B4824"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Giovanna Paulina Pérez Constante</w:t>
                            </w:r>
                            <w:r w:rsidR="00832A6A">
                              <w:rPr>
                                <w:rFonts w:ascii="Cambria" w:hAnsi="Cambria"/>
                                <w:color w:val="595959" w:themeColor="text1" w:themeTint="A6"/>
                                <w:sz w:val="18"/>
                                <w:szCs w:val="18"/>
                                <w:lang w:val="es-VE"/>
                              </w:rPr>
                              <w:t xml:space="preserve"> y familia</w:t>
                            </w:r>
                            <w:r w:rsidR="00E10040"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Ecuador</w:t>
                            </w:r>
                            <w:r w:rsidR="00E10040" w:rsidRPr="00E10040">
                              <w:rPr>
                                <w:rFonts w:ascii="Cambria" w:hAnsi="Cambria"/>
                                <w:color w:val="595959" w:themeColor="text1" w:themeTint="A6"/>
                                <w:sz w:val="18"/>
                                <w:szCs w:val="18"/>
                                <w:lang w:val="es-ES_tradnl"/>
                              </w:rPr>
                              <w:t xml:space="preserve">. </w:t>
                            </w:r>
                            <w:r w:rsidR="006155DC">
                              <w:rPr>
                                <w:rFonts w:ascii="Cambria" w:hAnsi="Cambria"/>
                                <w:color w:val="595959" w:themeColor="text1" w:themeTint="A6"/>
                                <w:sz w:val="18"/>
                                <w:szCs w:val="18"/>
                                <w:lang w:val="es-ES"/>
                              </w:rPr>
                              <w:t>7 de julio de 2022</w:t>
                            </w:r>
                            <w:r w:rsidR="00E10040"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D1407"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" filled="f" stroked="f" strokeweight=".5pt">
                <v:textbox>
                  <w:txbxContent>
                    <w:p w14:paraId="08DAFD70" w14:textId="77777777" w:rsidR="006155DC" w:rsidRDefault="00E10040" w:rsidP="00E10040">
                      <w:pPr>
                        <w:spacing w:line="276" w:lineRule="auto"/>
                        <w:rPr>
                          <w:rFonts w:ascii="Cambria" w:hAnsi="Cambria"/>
                          <w:color w:val="595959" w:themeColor="text1" w:themeTint="A6"/>
                          <w:sz w:val="18"/>
                          <w:szCs w:val="18"/>
                          <w:lang w:val="es-VE"/>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8E6DEA">
                        <w:rPr>
                          <w:rFonts w:ascii="Cambria" w:hAnsi="Cambria"/>
                          <w:color w:val="595959" w:themeColor="text1" w:themeTint="A6"/>
                          <w:sz w:val="18"/>
                          <w:szCs w:val="18"/>
                          <w:lang w:val="pt-BR"/>
                        </w:rPr>
                        <w:t xml:space="preserve">Informe No. </w:t>
                      </w:r>
                      <w:r w:rsidR="006155DC" w:rsidRPr="006155DC">
                        <w:rPr>
                          <w:rFonts w:ascii="Cambria" w:hAnsi="Cambria"/>
                          <w:color w:val="595959" w:themeColor="text1" w:themeTint="A6"/>
                          <w:sz w:val="18"/>
                          <w:szCs w:val="18"/>
                          <w:lang w:val="pt-BR"/>
                        </w:rPr>
                        <w:t>158</w:t>
                      </w:r>
                      <w:r w:rsidRPr="006155DC">
                        <w:rPr>
                          <w:rFonts w:ascii="Cambria" w:hAnsi="Cambria"/>
                          <w:color w:val="595959" w:themeColor="text1" w:themeTint="A6"/>
                          <w:sz w:val="18"/>
                          <w:szCs w:val="18"/>
                          <w:lang w:val="pt-BR"/>
                        </w:rPr>
                        <w:t>/</w:t>
                      </w:r>
                      <w:r w:rsidR="006155DC" w:rsidRPr="006155DC">
                        <w:rPr>
                          <w:rFonts w:ascii="Cambria" w:hAnsi="Cambria"/>
                          <w:color w:val="595959" w:themeColor="text1" w:themeTint="A6"/>
                          <w:sz w:val="18"/>
                          <w:szCs w:val="18"/>
                          <w:lang w:val="pt-BR"/>
                        </w:rPr>
                        <w:t>22</w:t>
                      </w:r>
                      <w:r w:rsidRPr="006155DC">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sidR="004B4824">
                        <w:rPr>
                          <w:rFonts w:ascii="Cambria" w:hAnsi="Cambria"/>
                          <w:color w:val="595959" w:themeColor="text1" w:themeTint="A6"/>
                          <w:sz w:val="18"/>
                          <w:szCs w:val="18"/>
                          <w:lang w:val="es-VE"/>
                        </w:rPr>
                        <w:t>1882</w:t>
                      </w:r>
                      <w:r w:rsidRPr="00281A45">
                        <w:rPr>
                          <w:rFonts w:ascii="Cambria" w:hAnsi="Cambria"/>
                          <w:color w:val="595959" w:themeColor="text1" w:themeTint="A6"/>
                          <w:sz w:val="18"/>
                          <w:szCs w:val="18"/>
                          <w:lang w:val="es-VE"/>
                        </w:rPr>
                        <w:t>-</w:t>
                      </w:r>
                      <w:r w:rsidR="004B4824">
                        <w:rPr>
                          <w:rFonts w:ascii="Cambria" w:hAnsi="Cambria"/>
                          <w:color w:val="595959" w:themeColor="text1" w:themeTint="A6"/>
                          <w:sz w:val="18"/>
                          <w:szCs w:val="18"/>
                          <w:lang w:val="es-VE"/>
                        </w:rPr>
                        <w:t>18</w:t>
                      </w:r>
                      <w:r w:rsidRPr="00281A45">
                        <w:rPr>
                          <w:rFonts w:ascii="Cambria" w:hAnsi="Cambria"/>
                          <w:color w:val="595959" w:themeColor="text1" w:themeTint="A6"/>
                          <w:sz w:val="18"/>
                          <w:szCs w:val="18"/>
                          <w:lang w:val="es-VE"/>
                        </w:rPr>
                        <w:t xml:space="preserve">. Admisibilidad. </w:t>
                      </w:r>
                    </w:p>
                    <w:p w14:paraId="71AF235F" w14:textId="0FF467B7" w:rsidR="00E10040" w:rsidRPr="00E10040" w:rsidRDefault="004B4824" w:rsidP="00E10040">
                      <w:pPr>
                        <w:spacing w:line="276" w:lineRule="auto"/>
                        <w:rPr>
                          <w:rFonts w:ascii="Cambria" w:hAnsi="Cambria"/>
                          <w:color w:val="595959" w:themeColor="text1" w:themeTint="A6"/>
                          <w:sz w:val="18"/>
                          <w:szCs w:val="18"/>
                          <w:lang w:val="es-ES"/>
                        </w:rPr>
                      </w:pPr>
                      <w:r>
                        <w:rPr>
                          <w:rFonts w:ascii="Cambria" w:hAnsi="Cambria"/>
                          <w:color w:val="595959" w:themeColor="text1" w:themeTint="A6"/>
                          <w:sz w:val="18"/>
                          <w:szCs w:val="18"/>
                          <w:lang w:val="es-VE"/>
                        </w:rPr>
                        <w:t>Giovanna Paulina Pérez Constante</w:t>
                      </w:r>
                      <w:r w:rsidR="00832A6A">
                        <w:rPr>
                          <w:rFonts w:ascii="Cambria" w:hAnsi="Cambria"/>
                          <w:color w:val="595959" w:themeColor="text1" w:themeTint="A6"/>
                          <w:sz w:val="18"/>
                          <w:szCs w:val="18"/>
                          <w:lang w:val="es-VE"/>
                        </w:rPr>
                        <w:t xml:space="preserve"> y familia</w:t>
                      </w:r>
                      <w:r w:rsidR="00E10040"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Ecuador</w:t>
                      </w:r>
                      <w:r w:rsidR="00E10040" w:rsidRPr="00E10040">
                        <w:rPr>
                          <w:rFonts w:ascii="Cambria" w:hAnsi="Cambria"/>
                          <w:color w:val="595959" w:themeColor="text1" w:themeTint="A6"/>
                          <w:sz w:val="18"/>
                          <w:szCs w:val="18"/>
                          <w:lang w:val="es-ES_tradnl"/>
                        </w:rPr>
                        <w:t xml:space="preserve">. </w:t>
                      </w:r>
                      <w:r w:rsidR="006155DC">
                        <w:rPr>
                          <w:rFonts w:ascii="Cambria" w:hAnsi="Cambria"/>
                          <w:color w:val="595959" w:themeColor="text1" w:themeTint="A6"/>
                          <w:sz w:val="18"/>
                          <w:szCs w:val="18"/>
                          <w:lang w:val="es-ES"/>
                        </w:rPr>
                        <w:t>7 de julio de 2022</w:t>
                      </w:r>
                      <w:r w:rsidR="00E10040"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78D6F578" w:rsidR="00E10040" w:rsidRPr="00E10040" w:rsidRDefault="00ED764E" w:rsidP="00E10040">
      <w:pP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6432" behindDoc="0" locked="0" layoutInCell="1" allowOverlap="1" wp14:anchorId="2157F2FE" wp14:editId="6C1C9E06">
                <wp:simplePos x="0" y="0"/>
                <wp:positionH relativeFrom="column">
                  <wp:posOffset>-272415</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F2FE"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36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" filled="f" stroked="f" strokeweight=".5pt">
                <v:textbox>
                  <w:txbxContent>
                    <w:p w14:paraId="740FE7CF" w14:textId="77777777" w:rsidR="00E10040" w:rsidRPr="004B7EB6" w:rsidRDefault="00E10040"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6993F4A0" w:rsidR="00E10040" w:rsidRPr="00E10040" w:rsidRDefault="006155DC" w:rsidP="00E10040">
      <w:pPr>
        <w:tabs>
          <w:tab w:val="center" w:pos="5400"/>
        </w:tabs>
        <w:suppressAutoHyphens/>
        <w:jc w:val="center"/>
        <w:rPr>
          <w:rFonts w:ascii="Cambria" w:hAnsi="Cambria"/>
          <w:b/>
          <w:sz w:val="20"/>
          <w:lang w:val="es-ES_tradnl"/>
        </w:rPr>
        <w:sectPr w:rsidR="00E10040" w:rsidRPr="00E10040" w:rsidSect="00E10040">
          <w:headerReference w:type="even" r:id="rId8"/>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26"/>
        </w:sectPr>
      </w:pPr>
      <w:r>
        <w:rPr>
          <w:noProof/>
        </w:rPr>
        <mc:AlternateContent>
          <mc:Choice Requires="wps">
            <w:drawing>
              <wp:anchor distT="0" distB="0" distL="114300" distR="114300" simplePos="0" relativeHeight="251665408" behindDoc="0" locked="0" layoutInCell="1" allowOverlap="1" wp14:anchorId="16B46777" wp14:editId="3C3FED5E">
                <wp:simplePos x="0" y="0"/>
                <wp:positionH relativeFrom="column">
                  <wp:posOffset>1282065</wp:posOffset>
                </wp:positionH>
                <wp:positionV relativeFrom="paragraph">
                  <wp:posOffset>613410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E10040" w:rsidRPr="007E55FC" w:rsidRDefault="00E10040" w:rsidP="00E10040">
                            <w:pPr>
                              <w:rPr>
                                <w:color w:val="FFFFFF" w:themeColor="background1"/>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46777" id="Text Box 9" o:spid="_x0000_s1032" type="#_x0000_t202" style="position:absolute;left:0;text-align:left;margin-left:100.95pt;margin-top:48.3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" fillcolor="white [3201]" stroked="f" strokeweight=".5pt">
                <v:textbox>
                  <w:txbxContent>
                    <w:p w14:paraId="2C6278D0" w14:textId="77777777" w:rsidR="00E10040" w:rsidRPr="007E55FC" w:rsidRDefault="00E10040" w:rsidP="00E10040">
                      <w:pPr>
                        <w:rPr>
                          <w:color w:val="FFFFFF" w:themeColor="background1"/>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2">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9C2E2A" w14:paraId="4097B42D" w14:textId="77777777" w:rsidTr="00545F14">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519FD889" w:rsidR="00E10040" w:rsidRPr="00216C14" w:rsidRDefault="00F3571B" w:rsidP="00545F14">
            <w:pPr>
              <w:jc w:val="both"/>
              <w:rPr>
                <w:rFonts w:ascii="Cambria" w:hAnsi="Cambria"/>
                <w:bCs/>
                <w:sz w:val="20"/>
                <w:szCs w:val="20"/>
                <w:lang w:val="es-VE"/>
              </w:rPr>
            </w:pPr>
            <w:r w:rsidRPr="00216C14">
              <w:rPr>
                <w:rFonts w:ascii="Cambria" w:hAnsi="Cambria"/>
                <w:bCs/>
                <w:sz w:val="20"/>
                <w:szCs w:val="20"/>
                <w:lang w:val="es-VE"/>
              </w:rPr>
              <w:t>Martha Yanera Constante Velasco</w:t>
            </w:r>
            <w:r w:rsidR="00216C14">
              <w:rPr>
                <w:rStyle w:val="FootnoteReference"/>
                <w:rFonts w:ascii="Cambria" w:hAnsi="Cambria"/>
                <w:bCs/>
                <w:sz w:val="20"/>
                <w:szCs w:val="20"/>
                <w:lang w:val="es-VE"/>
              </w:rPr>
              <w:footnoteReference w:id="1"/>
            </w:r>
          </w:p>
        </w:tc>
      </w:tr>
      <w:tr w:rsidR="00E10040" w:rsidRPr="007464B8" w14:paraId="410FEBFE" w14:textId="77777777" w:rsidTr="00545F14">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2907AE" w:rsidP="00545F1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7E55FC">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64B1A89D" w:rsidR="00E10040" w:rsidRPr="00F3571B" w:rsidRDefault="004B4824" w:rsidP="00545F14">
            <w:pPr>
              <w:jc w:val="both"/>
              <w:rPr>
                <w:rFonts w:ascii="Cambria" w:hAnsi="Cambria"/>
                <w:bCs/>
                <w:sz w:val="20"/>
                <w:szCs w:val="20"/>
                <w:lang w:val="es-VE"/>
              </w:rPr>
            </w:pPr>
            <w:r w:rsidRPr="00F3571B">
              <w:rPr>
                <w:rFonts w:ascii="Cambria" w:hAnsi="Cambria"/>
                <w:bCs/>
                <w:sz w:val="20"/>
                <w:szCs w:val="20"/>
                <w:lang w:val="es-VE"/>
              </w:rPr>
              <w:t xml:space="preserve">Giovanna </w:t>
            </w:r>
            <w:bookmarkStart w:id="2" w:name="_Hlk89859228"/>
            <w:r w:rsidRPr="00F3571B">
              <w:rPr>
                <w:rFonts w:ascii="Cambria" w:hAnsi="Cambria"/>
                <w:bCs/>
                <w:sz w:val="20"/>
                <w:szCs w:val="20"/>
                <w:lang w:val="es-VE"/>
              </w:rPr>
              <w:t>Paulina Pérez Constante</w:t>
            </w:r>
            <w:bookmarkEnd w:id="2"/>
            <w:r w:rsidR="00F3571B" w:rsidRPr="00F3571B">
              <w:rPr>
                <w:rFonts w:ascii="Cambria" w:hAnsi="Cambria"/>
                <w:bCs/>
                <w:sz w:val="20"/>
                <w:szCs w:val="20"/>
                <w:lang w:val="es-VE"/>
              </w:rPr>
              <w:t xml:space="preserve"> y</w:t>
            </w:r>
            <w:r w:rsidR="00F3571B">
              <w:rPr>
                <w:rFonts w:ascii="Cambria" w:hAnsi="Cambria"/>
                <w:bCs/>
                <w:sz w:val="20"/>
                <w:szCs w:val="20"/>
                <w:lang w:val="es-VE"/>
              </w:rPr>
              <w:t xml:space="preserve"> familia</w:t>
            </w:r>
            <w:r w:rsidR="00F3571B">
              <w:rPr>
                <w:rStyle w:val="FootnoteReference"/>
                <w:rFonts w:ascii="Cambria" w:hAnsi="Cambria"/>
                <w:bCs/>
                <w:sz w:val="20"/>
                <w:szCs w:val="20"/>
                <w:lang w:val="es-VE"/>
              </w:rPr>
              <w:footnoteReference w:id="2"/>
            </w:r>
          </w:p>
        </w:tc>
      </w:tr>
      <w:tr w:rsidR="00E10040" w:rsidRPr="00E10040" w14:paraId="19A873C8" w14:textId="77777777" w:rsidTr="00545F14">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2B632B9A" w:rsidR="00E10040" w:rsidRPr="00B05E6A" w:rsidRDefault="00B05E6A" w:rsidP="00B2298F">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heme="minorHAnsi" w:hAnsi="Cambria"/>
                <w:bdr w:val="none" w:sz="0" w:space="0" w:color="auto"/>
              </w:rPr>
            </w:pPr>
            <w:r w:rsidRPr="00B05E6A">
              <w:rPr>
                <w:rFonts w:ascii="Cambria" w:eastAsiaTheme="minorHAnsi" w:hAnsi="Cambria"/>
                <w:sz w:val="20"/>
                <w:szCs w:val="20"/>
              </w:rPr>
              <w:t>Ecuador</w:t>
            </w:r>
            <w:r w:rsidR="00B2298F" w:rsidRPr="00B05E6A">
              <w:rPr>
                <w:rFonts w:ascii="Cambria" w:eastAsiaTheme="minorHAnsi" w:hAnsi="Cambria"/>
                <w:sz w:val="20"/>
                <w:szCs w:val="20"/>
              </w:rPr>
              <w:t xml:space="preserve"> </w:t>
            </w:r>
          </w:p>
        </w:tc>
      </w:tr>
      <w:tr w:rsidR="00E10040" w:rsidRPr="00A56CDB" w14:paraId="6848EE3C" w14:textId="77777777" w:rsidTr="00545F14">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31A21746" w:rsidR="00E10040" w:rsidRPr="00E10040" w:rsidRDefault="00992A89" w:rsidP="00545F14">
            <w:pPr>
              <w:jc w:val="both"/>
              <w:rPr>
                <w:rFonts w:ascii="Cambria" w:hAnsi="Cambria"/>
                <w:bCs/>
                <w:sz w:val="20"/>
                <w:szCs w:val="20"/>
              </w:rPr>
            </w:pPr>
            <w:r>
              <w:rPr>
                <w:rFonts w:ascii="Cambria" w:hAnsi="Cambria"/>
                <w:bCs/>
                <w:sz w:val="20"/>
                <w:szCs w:val="20"/>
                <w:lang w:val="es-VE"/>
              </w:rPr>
              <w:t xml:space="preserve">Artículos </w:t>
            </w:r>
            <w:r w:rsidR="00EC2A26">
              <w:rPr>
                <w:rFonts w:ascii="Cambria" w:hAnsi="Cambria"/>
                <w:bCs/>
                <w:sz w:val="20"/>
                <w:szCs w:val="20"/>
                <w:lang w:val="es-VE"/>
              </w:rPr>
              <w:t>4 (vida), 5 (integridad personal), 6 (d</w:t>
            </w:r>
            <w:r w:rsidR="00EC2A26" w:rsidRPr="00EC2A26">
              <w:rPr>
                <w:rFonts w:ascii="Cambria" w:hAnsi="Cambria"/>
                <w:bCs/>
                <w:sz w:val="20"/>
                <w:szCs w:val="20"/>
                <w:lang w:val="es-VE"/>
              </w:rPr>
              <w:t>erecho de toda persona a no ser sometida a esclavitud y servidumbre</w:t>
            </w:r>
            <w:r w:rsidR="00EC2A26">
              <w:rPr>
                <w:rFonts w:ascii="Cambria" w:hAnsi="Cambria"/>
                <w:bCs/>
                <w:sz w:val="20"/>
                <w:szCs w:val="20"/>
                <w:lang w:val="es-VE"/>
              </w:rPr>
              <w:t>), 7 (libertad personal), 8 (garantías judiciales), 11 (protección a la honra y a la dignidad), 13 (libertad de expresión), 17 (protección a la familia)</w:t>
            </w:r>
            <w:r w:rsidR="00960BA0">
              <w:rPr>
                <w:rFonts w:ascii="Cambria" w:hAnsi="Cambria"/>
                <w:bCs/>
                <w:sz w:val="20"/>
                <w:szCs w:val="20"/>
                <w:lang w:val="es-VE"/>
              </w:rPr>
              <w:t>, 24 (igualdad ante la ley), 25 (garantías judiciales)</w:t>
            </w:r>
            <w:r w:rsidR="00EC2A26">
              <w:rPr>
                <w:rFonts w:ascii="Cambria" w:hAnsi="Cambria"/>
                <w:bCs/>
                <w:sz w:val="20"/>
                <w:szCs w:val="20"/>
                <w:lang w:val="es-VE"/>
              </w:rPr>
              <w:t xml:space="preserve"> y 26 (derechos económicos, sociales y culturales) de la Convención Americana </w:t>
            </w:r>
            <w:r w:rsidR="00EC2A26" w:rsidRPr="00862380">
              <w:rPr>
                <w:rFonts w:ascii="Cambria" w:hAnsi="Cambria"/>
                <w:bCs/>
                <w:sz w:val="20"/>
                <w:szCs w:val="20"/>
                <w:lang w:val="es-VE"/>
              </w:rPr>
              <w:t>sobre Derechos Humanos</w:t>
            </w:r>
            <w:r w:rsidR="00B170C0" w:rsidRPr="00862380">
              <w:rPr>
                <w:rStyle w:val="FootnoteReference"/>
                <w:rFonts w:ascii="Cambria" w:hAnsi="Cambria"/>
                <w:bCs/>
                <w:sz w:val="20"/>
                <w:szCs w:val="20"/>
              </w:rPr>
              <w:footnoteReference w:id="3"/>
            </w:r>
            <w:r w:rsidR="008E6DEA">
              <w:rPr>
                <w:rFonts w:ascii="Cambria" w:hAnsi="Cambria"/>
                <w:bCs/>
                <w:sz w:val="20"/>
                <w:szCs w:val="20"/>
                <w:lang w:val="es-VE"/>
              </w:rPr>
              <w:t>,</w:t>
            </w:r>
            <w:r w:rsidR="00EC2A26" w:rsidRPr="00862380">
              <w:rPr>
                <w:rFonts w:ascii="Cambria" w:hAnsi="Cambria"/>
                <w:bCs/>
                <w:sz w:val="20"/>
                <w:szCs w:val="20"/>
                <w:lang w:val="es-VE"/>
              </w:rPr>
              <w:t xml:space="preserve"> en relación </w:t>
            </w:r>
            <w:r w:rsidR="008E6DEA">
              <w:rPr>
                <w:rFonts w:ascii="Cambria" w:hAnsi="Cambria"/>
                <w:bCs/>
                <w:sz w:val="20"/>
                <w:szCs w:val="20"/>
                <w:lang w:val="es-VE"/>
              </w:rPr>
              <w:t>con</w:t>
            </w:r>
            <w:r w:rsidR="00EC2A26" w:rsidRPr="00862380">
              <w:rPr>
                <w:rFonts w:ascii="Cambria" w:hAnsi="Cambria"/>
                <w:bCs/>
                <w:sz w:val="20"/>
                <w:szCs w:val="20"/>
                <w:lang w:val="es-VE"/>
              </w:rPr>
              <w:t xml:space="preserve"> </w:t>
            </w:r>
            <w:r w:rsidR="008E6DEA">
              <w:rPr>
                <w:rFonts w:ascii="Cambria" w:hAnsi="Cambria"/>
                <w:bCs/>
                <w:sz w:val="20"/>
                <w:szCs w:val="20"/>
                <w:lang w:val="es-VE"/>
              </w:rPr>
              <w:t>sus</w:t>
            </w:r>
            <w:r w:rsidR="00EC2A26" w:rsidRPr="00862380">
              <w:rPr>
                <w:rFonts w:ascii="Cambria" w:hAnsi="Cambria"/>
                <w:bCs/>
                <w:sz w:val="20"/>
                <w:szCs w:val="20"/>
                <w:lang w:val="es-VE"/>
              </w:rPr>
              <w:t xml:space="preserve"> artículos </w:t>
            </w:r>
            <w:r w:rsidR="00862380" w:rsidRPr="00862380">
              <w:rPr>
                <w:rFonts w:ascii="Cambria" w:hAnsi="Cambria"/>
                <w:sz w:val="20"/>
                <w:szCs w:val="20"/>
              </w:rPr>
              <w:t>1.1 (obligación de respetar los derechos) y 2 (deber de adoptar disposiciones de derecho interno)</w:t>
            </w:r>
            <w:r w:rsidRPr="00862380">
              <w:rPr>
                <w:rFonts w:ascii="Cambria" w:hAnsi="Cambria"/>
                <w:bCs/>
                <w:sz w:val="20"/>
                <w:szCs w:val="20"/>
                <w:lang w:val="es-VE"/>
              </w:rPr>
              <w:t xml:space="preserve">; artículos I, II, VI, XI y XVIII de la </w:t>
            </w:r>
            <w:r w:rsidR="00281A45" w:rsidRPr="00862380">
              <w:rPr>
                <w:rFonts w:ascii="Cambria" w:hAnsi="Cambria"/>
                <w:bCs/>
                <w:sz w:val="20"/>
                <w:szCs w:val="20"/>
                <w:lang w:val="es-VE"/>
              </w:rPr>
              <w:t xml:space="preserve">Declaración Americana de los </w:t>
            </w:r>
            <w:r w:rsidRPr="00862380">
              <w:rPr>
                <w:rFonts w:ascii="Cambria" w:hAnsi="Cambria"/>
                <w:bCs/>
                <w:sz w:val="20"/>
                <w:szCs w:val="20"/>
                <w:lang w:val="es-VE"/>
              </w:rPr>
              <w:t>D</w:t>
            </w:r>
            <w:r w:rsidR="00281A45" w:rsidRPr="00862380">
              <w:rPr>
                <w:rFonts w:ascii="Cambria" w:hAnsi="Cambria"/>
                <w:bCs/>
                <w:sz w:val="20"/>
                <w:szCs w:val="20"/>
                <w:lang w:val="es-VE"/>
              </w:rPr>
              <w:t>erechos y</w:t>
            </w:r>
            <w:r w:rsidR="00281A45" w:rsidRPr="00281A45">
              <w:rPr>
                <w:rFonts w:ascii="Cambria" w:hAnsi="Cambria"/>
                <w:bCs/>
                <w:sz w:val="20"/>
                <w:szCs w:val="20"/>
                <w:lang w:val="es-VE"/>
              </w:rPr>
              <w:t xml:space="preserve"> </w:t>
            </w:r>
            <w:r>
              <w:rPr>
                <w:rFonts w:ascii="Cambria" w:hAnsi="Cambria"/>
                <w:bCs/>
                <w:sz w:val="20"/>
                <w:szCs w:val="20"/>
                <w:lang w:val="es-VE"/>
              </w:rPr>
              <w:t>D</w:t>
            </w:r>
            <w:r w:rsidR="00281A45" w:rsidRPr="00281A45">
              <w:rPr>
                <w:rFonts w:ascii="Cambria" w:hAnsi="Cambria"/>
                <w:bCs/>
                <w:sz w:val="20"/>
                <w:szCs w:val="20"/>
                <w:lang w:val="es-VE"/>
              </w:rPr>
              <w:t xml:space="preserve">eberes del </w:t>
            </w:r>
            <w:r w:rsidR="00244EFB">
              <w:rPr>
                <w:rFonts w:ascii="Cambria" w:hAnsi="Cambria"/>
                <w:bCs/>
                <w:sz w:val="20"/>
                <w:szCs w:val="20"/>
                <w:lang w:val="es-VE"/>
              </w:rPr>
              <w:t>H</w:t>
            </w:r>
            <w:r w:rsidR="00281A45" w:rsidRPr="00281A45">
              <w:rPr>
                <w:rFonts w:ascii="Cambria" w:hAnsi="Cambria"/>
                <w:bCs/>
                <w:sz w:val="20"/>
                <w:szCs w:val="20"/>
                <w:lang w:val="es-VE"/>
              </w:rPr>
              <w:t>ombre</w:t>
            </w:r>
            <w:r w:rsidR="00281A45" w:rsidRPr="00281A45">
              <w:rPr>
                <w:rStyle w:val="FootnoteReference"/>
                <w:rFonts w:ascii="Cambria" w:hAnsi="Cambria"/>
                <w:bCs/>
                <w:sz w:val="20"/>
                <w:szCs w:val="20"/>
                <w:lang w:val="es-VE"/>
              </w:rPr>
              <w:footnoteReference w:id="4"/>
            </w:r>
            <w:r w:rsidR="00EC2A26">
              <w:rPr>
                <w:rFonts w:ascii="Cambria" w:hAnsi="Cambria"/>
                <w:bCs/>
                <w:sz w:val="20"/>
                <w:szCs w:val="20"/>
                <w:lang w:val="es-VE"/>
              </w:rPr>
              <w:t>; artículos 3 y 15 del Protocolo Adicional de la Convención Americana en materia de derechos económicos, sociales y culturales</w:t>
            </w:r>
            <w:r w:rsidR="00244EFB">
              <w:rPr>
                <w:rFonts w:ascii="Cambria" w:hAnsi="Cambria"/>
                <w:bCs/>
                <w:sz w:val="20"/>
                <w:szCs w:val="20"/>
                <w:lang w:val="es-VE"/>
              </w:rPr>
              <w:t xml:space="preserve"> (Protocolo de San Salvador)</w:t>
            </w:r>
            <w:r w:rsidR="00676625">
              <w:rPr>
                <w:rFonts w:ascii="Cambria" w:hAnsi="Cambria"/>
                <w:bCs/>
                <w:sz w:val="20"/>
                <w:szCs w:val="20"/>
                <w:lang w:val="es-VE"/>
              </w:rPr>
              <w:t>; artículos 1, 2, 3 y 4 de la</w:t>
            </w:r>
            <w:r w:rsidR="00676625" w:rsidRPr="00676625">
              <w:rPr>
                <w:lang w:val="es-VE" w:eastAsia="en-US"/>
              </w:rPr>
              <w:t xml:space="preserve"> </w:t>
            </w:r>
            <w:r w:rsidR="00676625" w:rsidRPr="00676625">
              <w:rPr>
                <w:rFonts w:ascii="Cambria" w:hAnsi="Cambria"/>
                <w:bCs/>
                <w:sz w:val="20"/>
                <w:szCs w:val="20"/>
                <w:lang w:val="es-VE"/>
              </w:rPr>
              <w:t>Convención Interamericana para Prevenir, Sancionar y Erradicar la Violencia contra la Mujer</w:t>
            </w:r>
            <w:r w:rsidR="00244EFB">
              <w:rPr>
                <w:rFonts w:ascii="Cambria" w:hAnsi="Cambria"/>
                <w:bCs/>
                <w:sz w:val="20"/>
                <w:szCs w:val="20"/>
                <w:lang w:val="es-VE"/>
              </w:rPr>
              <w:t xml:space="preserve"> (Convención de Belém do </w:t>
            </w:r>
            <w:r w:rsidR="00244EFB" w:rsidRPr="00244EFB">
              <w:rPr>
                <w:rFonts w:ascii="Cambria" w:hAnsi="Cambria"/>
                <w:bCs/>
                <w:sz w:val="20"/>
                <w:szCs w:val="20"/>
                <w:lang w:val="es-VE"/>
              </w:rPr>
              <w:t>Pará)</w:t>
            </w:r>
            <w:r w:rsidR="00244EFB" w:rsidRPr="00244EFB">
              <w:rPr>
                <w:rFonts w:ascii="Cambria" w:hAnsi="Cambria"/>
                <w:bCs/>
                <w:sz w:val="20"/>
                <w:szCs w:val="20"/>
              </w:rPr>
              <w:t>;</w:t>
            </w:r>
            <w:r w:rsidR="00676625" w:rsidRPr="00244EFB">
              <w:rPr>
                <w:rFonts w:ascii="Cambria" w:hAnsi="Cambria"/>
                <w:bCs/>
                <w:sz w:val="20"/>
                <w:szCs w:val="20"/>
                <w:lang w:val="es-VE"/>
              </w:rPr>
              <w:t xml:space="preserve"> </w:t>
            </w:r>
            <w:r w:rsidRPr="00244EFB">
              <w:rPr>
                <w:rFonts w:ascii="Cambria" w:hAnsi="Cambria"/>
                <w:bCs/>
                <w:sz w:val="20"/>
                <w:szCs w:val="20"/>
                <w:lang w:val="es-VE"/>
              </w:rPr>
              <w:t>y otros</w:t>
            </w:r>
            <w:r>
              <w:rPr>
                <w:rFonts w:ascii="Cambria" w:hAnsi="Cambria"/>
                <w:bCs/>
                <w:sz w:val="20"/>
                <w:szCs w:val="20"/>
                <w:lang w:val="es-VE"/>
              </w:rPr>
              <w:t xml:space="preserve"> instrumentos internacionales</w:t>
            </w:r>
            <w:r>
              <w:rPr>
                <w:rStyle w:val="FootnoteReference"/>
                <w:rFonts w:ascii="Cambria" w:hAnsi="Cambria"/>
                <w:bCs/>
                <w:sz w:val="20"/>
                <w:szCs w:val="20"/>
                <w:lang w:val="es-VE"/>
              </w:rPr>
              <w:footnoteReference w:id="5"/>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545F14">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04071309" w:rsidR="00E10040" w:rsidRPr="00E10040" w:rsidRDefault="00F667B8" w:rsidP="00545F14">
            <w:pPr>
              <w:jc w:val="both"/>
              <w:rPr>
                <w:rFonts w:ascii="Cambria" w:hAnsi="Cambria"/>
                <w:bCs/>
                <w:sz w:val="20"/>
                <w:szCs w:val="20"/>
              </w:rPr>
            </w:pPr>
            <w:r>
              <w:rPr>
                <w:rFonts w:ascii="Cambria" w:hAnsi="Cambria"/>
                <w:bCs/>
                <w:sz w:val="20"/>
                <w:szCs w:val="20"/>
              </w:rPr>
              <w:t>18 de septiembre de 2018</w:t>
            </w:r>
          </w:p>
        </w:tc>
      </w:tr>
      <w:tr w:rsidR="00E10040" w:rsidRPr="00A56CDB" w14:paraId="07F7898F" w14:textId="77777777" w:rsidTr="00545F14">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0B672DC5" w:rsidR="00E10040" w:rsidRPr="00E10040" w:rsidRDefault="00A438E4" w:rsidP="00545F14">
            <w:pPr>
              <w:jc w:val="both"/>
              <w:rPr>
                <w:rFonts w:ascii="Cambria" w:hAnsi="Cambria"/>
                <w:bCs/>
                <w:sz w:val="20"/>
                <w:szCs w:val="20"/>
              </w:rPr>
            </w:pPr>
            <w:r>
              <w:rPr>
                <w:rFonts w:ascii="Cambria" w:hAnsi="Cambria"/>
                <w:bCs/>
                <w:sz w:val="20"/>
                <w:szCs w:val="20"/>
              </w:rPr>
              <w:t>15</w:t>
            </w:r>
            <w:r w:rsidR="00F667B8">
              <w:rPr>
                <w:rFonts w:ascii="Cambria" w:hAnsi="Cambria"/>
                <w:bCs/>
                <w:sz w:val="20"/>
                <w:szCs w:val="20"/>
              </w:rPr>
              <w:t xml:space="preserve"> </w:t>
            </w:r>
            <w:r>
              <w:rPr>
                <w:rFonts w:ascii="Cambria" w:hAnsi="Cambria"/>
                <w:bCs/>
                <w:sz w:val="20"/>
                <w:szCs w:val="20"/>
              </w:rPr>
              <w:t xml:space="preserve">noviembre </w:t>
            </w:r>
            <w:r w:rsidR="00EE25E9">
              <w:rPr>
                <w:rFonts w:ascii="Cambria" w:hAnsi="Cambria"/>
                <w:bCs/>
                <w:sz w:val="20"/>
                <w:szCs w:val="20"/>
              </w:rPr>
              <w:t xml:space="preserve">y </w:t>
            </w:r>
            <w:r>
              <w:rPr>
                <w:rFonts w:ascii="Cambria" w:hAnsi="Cambria"/>
                <w:bCs/>
                <w:sz w:val="20"/>
                <w:szCs w:val="20"/>
              </w:rPr>
              <w:t xml:space="preserve">5 de diciembre </w:t>
            </w:r>
            <w:r w:rsidR="00F667B8">
              <w:rPr>
                <w:rFonts w:ascii="Cambria" w:hAnsi="Cambria"/>
                <w:bCs/>
                <w:sz w:val="20"/>
                <w:szCs w:val="20"/>
              </w:rPr>
              <w:t>de 2019</w:t>
            </w:r>
            <w:r w:rsidR="00EE25E9">
              <w:rPr>
                <w:rFonts w:ascii="Cambria" w:hAnsi="Cambria"/>
                <w:bCs/>
                <w:sz w:val="20"/>
                <w:szCs w:val="20"/>
              </w:rPr>
              <w:t>; y 3</w:t>
            </w:r>
            <w:r>
              <w:rPr>
                <w:rFonts w:ascii="Cambria" w:hAnsi="Cambria"/>
                <w:bCs/>
                <w:sz w:val="20"/>
                <w:szCs w:val="20"/>
              </w:rPr>
              <w:t>, 1</w:t>
            </w:r>
            <w:r w:rsidR="00F70EE3">
              <w:rPr>
                <w:rFonts w:ascii="Cambria" w:hAnsi="Cambria"/>
                <w:bCs/>
                <w:sz w:val="20"/>
                <w:szCs w:val="20"/>
              </w:rPr>
              <w:t>6</w:t>
            </w:r>
            <w:r>
              <w:rPr>
                <w:rFonts w:ascii="Cambria" w:hAnsi="Cambria"/>
                <w:bCs/>
                <w:sz w:val="20"/>
                <w:szCs w:val="20"/>
              </w:rPr>
              <w:t xml:space="preserve"> y 17 </w:t>
            </w:r>
            <w:r w:rsidR="00EE25E9">
              <w:rPr>
                <w:rFonts w:ascii="Cambria" w:hAnsi="Cambria"/>
                <w:bCs/>
                <w:sz w:val="20"/>
                <w:szCs w:val="20"/>
              </w:rPr>
              <w:t>de enero y 12 de febrero de 2020</w:t>
            </w:r>
          </w:p>
        </w:tc>
      </w:tr>
      <w:tr w:rsidR="00E10040" w:rsidRPr="004B4824" w14:paraId="3D9B5327" w14:textId="77777777" w:rsidTr="00545F14">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669FD678" w:rsidR="00E10040" w:rsidRPr="00E10040" w:rsidRDefault="000366BA" w:rsidP="00545F14">
            <w:pPr>
              <w:jc w:val="both"/>
              <w:rPr>
                <w:rFonts w:ascii="Cambria" w:hAnsi="Cambria"/>
                <w:bCs/>
                <w:sz w:val="20"/>
                <w:szCs w:val="20"/>
              </w:rPr>
            </w:pPr>
            <w:r>
              <w:rPr>
                <w:rFonts w:ascii="Cambria" w:hAnsi="Cambria"/>
                <w:bCs/>
                <w:sz w:val="20"/>
                <w:szCs w:val="20"/>
              </w:rPr>
              <w:t>15 de mayo de 2020</w:t>
            </w:r>
          </w:p>
        </w:tc>
      </w:tr>
      <w:tr w:rsidR="00E10040" w:rsidRPr="00E10040" w14:paraId="3690A4D4" w14:textId="77777777" w:rsidTr="00545F14">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100E0A81" w:rsidR="00E10040" w:rsidRPr="00E10040" w:rsidRDefault="000366BA" w:rsidP="00545F14">
            <w:pPr>
              <w:jc w:val="both"/>
              <w:rPr>
                <w:rFonts w:ascii="Cambria" w:hAnsi="Cambria"/>
                <w:bCs/>
                <w:sz w:val="20"/>
                <w:szCs w:val="20"/>
              </w:rPr>
            </w:pPr>
            <w:r>
              <w:rPr>
                <w:rFonts w:ascii="Cambria" w:hAnsi="Cambria"/>
                <w:bCs/>
                <w:sz w:val="20"/>
                <w:szCs w:val="20"/>
              </w:rPr>
              <w:t>28 de junio de 2021</w:t>
            </w:r>
          </w:p>
        </w:tc>
      </w:tr>
      <w:tr w:rsidR="00342CB9" w:rsidRPr="00A56CDB" w14:paraId="438EE4B6" w14:textId="77777777" w:rsidTr="00545F14">
        <w:tc>
          <w:tcPr>
            <w:tcW w:w="3600" w:type="dxa"/>
            <w:tcBorders>
              <w:top w:val="single" w:sz="6" w:space="0" w:color="auto"/>
              <w:bottom w:val="single" w:sz="6" w:space="0" w:color="auto"/>
            </w:tcBorders>
            <w:shd w:val="clear" w:color="auto" w:fill="386294"/>
            <w:vAlign w:val="center"/>
          </w:tcPr>
          <w:p w14:paraId="0D0EDC30" w14:textId="75319FC7" w:rsidR="00342CB9" w:rsidRPr="00E10040" w:rsidRDefault="00342CB9" w:rsidP="00342CB9">
            <w:pPr>
              <w:jc w:val="center"/>
              <w:rPr>
                <w:rFonts w:ascii="Cambria" w:hAnsi="Cambria"/>
                <w:b/>
                <w:color w:val="FFFFFF" w:themeColor="background1"/>
                <w:sz w:val="20"/>
                <w:szCs w:val="20"/>
              </w:rPr>
            </w:pPr>
            <w:r w:rsidRPr="008A1BE5">
              <w:rPr>
                <w:rFonts w:ascii="Cambria" w:hAnsi="Cambria"/>
                <w:b/>
                <w:bCs/>
                <w:color w:val="FFFFFF" w:themeColor="background1"/>
                <w:sz w:val="20"/>
                <w:szCs w:val="20"/>
              </w:rPr>
              <w:t>Observaciones adicionales de la parte peticionaria:</w:t>
            </w:r>
          </w:p>
        </w:tc>
        <w:tc>
          <w:tcPr>
            <w:tcW w:w="5760" w:type="dxa"/>
            <w:vAlign w:val="center"/>
          </w:tcPr>
          <w:p w14:paraId="0E21D902" w14:textId="7DAA0399" w:rsidR="00342CB9" w:rsidRDefault="00342CB9" w:rsidP="00342CB9">
            <w:pPr>
              <w:jc w:val="both"/>
              <w:rPr>
                <w:rFonts w:ascii="Cambria" w:hAnsi="Cambria"/>
                <w:bCs/>
                <w:sz w:val="20"/>
                <w:szCs w:val="20"/>
              </w:rPr>
            </w:pPr>
            <w:r>
              <w:rPr>
                <w:rFonts w:ascii="Cambria" w:hAnsi="Cambria"/>
                <w:bCs/>
                <w:sz w:val="20"/>
                <w:szCs w:val="20"/>
              </w:rPr>
              <w:t xml:space="preserve">23 de febrero </w:t>
            </w:r>
            <w:r w:rsidR="00862898">
              <w:rPr>
                <w:rFonts w:ascii="Cambria" w:hAnsi="Cambria"/>
                <w:bCs/>
                <w:sz w:val="20"/>
                <w:szCs w:val="20"/>
              </w:rPr>
              <w:t xml:space="preserve">y 18 de abril </w:t>
            </w:r>
            <w:r>
              <w:rPr>
                <w:rFonts w:ascii="Cambria" w:hAnsi="Cambria"/>
                <w:bCs/>
                <w:sz w:val="20"/>
                <w:szCs w:val="20"/>
              </w:rPr>
              <w:t>de 2022</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0"/>
        <w:gridCol w:w="5777"/>
      </w:tblGrid>
      <w:tr w:rsidR="00E10040" w:rsidRPr="00E10040" w14:paraId="07EA4CAC" w14:textId="77777777" w:rsidTr="008E6DEA">
        <w:trPr>
          <w:cantSplit/>
        </w:trPr>
        <w:tc>
          <w:tcPr>
            <w:tcW w:w="356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545F14">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77" w:type="dxa"/>
            <w:vAlign w:val="center"/>
          </w:tcPr>
          <w:p w14:paraId="7E9A7E40" w14:textId="2603F564" w:rsidR="00E10040" w:rsidRPr="00E10040" w:rsidRDefault="000366BA" w:rsidP="00545F14">
            <w:pPr>
              <w:rPr>
                <w:rFonts w:ascii="Cambria" w:hAnsi="Cambria"/>
                <w:bCs/>
                <w:sz w:val="20"/>
                <w:szCs w:val="20"/>
              </w:rPr>
            </w:pPr>
            <w:r>
              <w:rPr>
                <w:rFonts w:ascii="Cambria" w:hAnsi="Cambria"/>
                <w:bCs/>
                <w:sz w:val="20"/>
                <w:szCs w:val="20"/>
              </w:rPr>
              <w:t>Sí</w:t>
            </w:r>
          </w:p>
        </w:tc>
      </w:tr>
      <w:tr w:rsidR="00E10040" w:rsidRPr="00E10040" w14:paraId="18DFEB57" w14:textId="77777777" w:rsidTr="008E6DEA">
        <w:trPr>
          <w:cantSplit/>
        </w:trPr>
        <w:tc>
          <w:tcPr>
            <w:tcW w:w="356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77" w:type="dxa"/>
            <w:vAlign w:val="center"/>
          </w:tcPr>
          <w:p w14:paraId="13C8C951" w14:textId="22B1A3AC" w:rsidR="00E10040" w:rsidRPr="00E10040" w:rsidRDefault="000366BA" w:rsidP="00545F14">
            <w:pPr>
              <w:rPr>
                <w:rFonts w:ascii="Cambria" w:hAnsi="Cambria"/>
                <w:bCs/>
                <w:sz w:val="20"/>
                <w:szCs w:val="20"/>
              </w:rPr>
            </w:pPr>
            <w:r>
              <w:rPr>
                <w:rFonts w:ascii="Cambria" w:hAnsi="Cambria"/>
                <w:bCs/>
                <w:sz w:val="20"/>
                <w:szCs w:val="20"/>
              </w:rPr>
              <w:t>Sí</w:t>
            </w:r>
          </w:p>
        </w:tc>
      </w:tr>
      <w:tr w:rsidR="00E10040" w:rsidRPr="00E10040" w14:paraId="712688E1" w14:textId="77777777" w:rsidTr="008E6DEA">
        <w:trPr>
          <w:cantSplit/>
        </w:trPr>
        <w:tc>
          <w:tcPr>
            <w:tcW w:w="356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77" w:type="dxa"/>
            <w:vAlign w:val="center"/>
          </w:tcPr>
          <w:p w14:paraId="73F3F5B8" w14:textId="2E228858" w:rsidR="00E10040" w:rsidRPr="00E10040" w:rsidRDefault="000366BA" w:rsidP="00545F14">
            <w:pPr>
              <w:rPr>
                <w:rFonts w:ascii="Cambria" w:hAnsi="Cambria"/>
                <w:bCs/>
                <w:sz w:val="20"/>
                <w:szCs w:val="20"/>
              </w:rPr>
            </w:pPr>
            <w:r>
              <w:rPr>
                <w:rFonts w:ascii="Cambria" w:hAnsi="Cambria"/>
                <w:bCs/>
                <w:sz w:val="20"/>
                <w:szCs w:val="20"/>
              </w:rPr>
              <w:t>Sí</w:t>
            </w:r>
          </w:p>
        </w:tc>
      </w:tr>
      <w:tr w:rsidR="00E10040" w:rsidRPr="00A56CDB" w14:paraId="36A0855A" w14:textId="77777777" w:rsidTr="008E6DEA">
        <w:trPr>
          <w:cantSplit/>
        </w:trPr>
        <w:tc>
          <w:tcPr>
            <w:tcW w:w="356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77" w:type="dxa"/>
            <w:vAlign w:val="center"/>
          </w:tcPr>
          <w:p w14:paraId="2A69C468" w14:textId="6DBB4EA0" w:rsidR="00E10040" w:rsidRPr="00E10040" w:rsidRDefault="000366BA" w:rsidP="00545F14">
            <w:pPr>
              <w:jc w:val="both"/>
              <w:rPr>
                <w:rFonts w:ascii="Cambria" w:hAnsi="Cambria"/>
                <w:bCs/>
                <w:sz w:val="20"/>
                <w:szCs w:val="20"/>
              </w:rPr>
            </w:pPr>
            <w:r>
              <w:rPr>
                <w:rFonts w:ascii="Cambria" w:hAnsi="Cambria"/>
                <w:bCs/>
                <w:sz w:val="20"/>
                <w:szCs w:val="20"/>
              </w:rPr>
              <w:t xml:space="preserve">Sí, </w:t>
            </w:r>
            <w:r w:rsidRPr="00FA139C">
              <w:rPr>
                <w:rFonts w:ascii="Cambria" w:hAnsi="Cambria"/>
                <w:bCs/>
                <w:sz w:val="20"/>
                <w:szCs w:val="20"/>
              </w:rPr>
              <w:t xml:space="preserve">Convención Americana (depósito de instrumento de ratificación realizado el </w:t>
            </w:r>
            <w:r w:rsidR="00FA139C" w:rsidRPr="00FA139C">
              <w:rPr>
                <w:rFonts w:ascii="Cambria" w:hAnsi="Cambria"/>
                <w:bCs/>
                <w:sz w:val="20"/>
                <w:szCs w:val="20"/>
              </w:rPr>
              <w:t>28 de diciembre de 1977</w:t>
            </w:r>
            <w:r w:rsidRPr="00FA139C">
              <w:rPr>
                <w:rFonts w:ascii="Cambria" w:hAnsi="Cambria"/>
                <w:bCs/>
                <w:sz w:val="20"/>
                <w:szCs w:val="20"/>
              </w:rPr>
              <w:t xml:space="preserve">); </w:t>
            </w:r>
            <w:r w:rsidR="003C6DA5">
              <w:rPr>
                <w:rFonts w:ascii="Cambria" w:hAnsi="Cambria"/>
                <w:bCs/>
                <w:sz w:val="20"/>
                <w:szCs w:val="20"/>
              </w:rPr>
              <w:t xml:space="preserve">y </w:t>
            </w:r>
            <w:r w:rsidRPr="00FA139C">
              <w:rPr>
                <w:rFonts w:ascii="Cambria" w:hAnsi="Cambria"/>
                <w:bCs/>
                <w:sz w:val="20"/>
                <w:szCs w:val="20"/>
              </w:rPr>
              <w:t xml:space="preserve">Convención Belém do Pará (depósito de </w:t>
            </w:r>
            <w:r w:rsidRPr="006B25A6">
              <w:rPr>
                <w:rFonts w:ascii="Cambria" w:hAnsi="Cambria"/>
                <w:bCs/>
                <w:sz w:val="20"/>
                <w:szCs w:val="20"/>
              </w:rPr>
              <w:t>instrumento de ratificación realizado el</w:t>
            </w:r>
            <w:r w:rsidR="00FA139C" w:rsidRPr="006B25A6">
              <w:rPr>
                <w:rFonts w:ascii="Cambria" w:hAnsi="Cambria"/>
                <w:bCs/>
                <w:sz w:val="20"/>
                <w:szCs w:val="20"/>
              </w:rPr>
              <w:t xml:space="preserve"> 15 de septiembre de 1995</w:t>
            </w:r>
            <w:r w:rsidRPr="006B25A6">
              <w:rPr>
                <w:rFonts w:ascii="Cambria" w:hAnsi="Cambria"/>
                <w:bCs/>
                <w:sz w:val="20"/>
                <w:szCs w:val="20"/>
              </w:rPr>
              <w:t xml:space="preserve">) </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lastRenderedPageBreak/>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2"/>
        <w:gridCol w:w="5775"/>
      </w:tblGrid>
      <w:tr w:rsidR="00E10040" w:rsidRPr="004B4824" w14:paraId="10DAFB6F" w14:textId="77777777" w:rsidTr="008E6DEA">
        <w:trPr>
          <w:cantSplit/>
        </w:trPr>
        <w:tc>
          <w:tcPr>
            <w:tcW w:w="3562" w:type="dxa"/>
            <w:tcBorders>
              <w:top w:val="single" w:sz="4" w:space="0" w:color="auto"/>
              <w:bottom w:val="single" w:sz="6" w:space="0" w:color="auto"/>
            </w:tcBorders>
            <w:shd w:val="clear" w:color="auto" w:fill="386294"/>
            <w:vAlign w:val="center"/>
          </w:tcPr>
          <w:p w14:paraId="7A434BE2"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75" w:type="dxa"/>
            <w:vAlign w:val="center"/>
          </w:tcPr>
          <w:p w14:paraId="02C313CB" w14:textId="234E3C4F" w:rsidR="00E10040" w:rsidRPr="008C0B94" w:rsidRDefault="000366BA" w:rsidP="00545F14">
            <w:pPr>
              <w:jc w:val="both"/>
              <w:rPr>
                <w:rFonts w:ascii="Cambria" w:hAnsi="Cambria"/>
                <w:bCs/>
                <w:sz w:val="20"/>
                <w:szCs w:val="20"/>
              </w:rPr>
            </w:pPr>
            <w:r w:rsidRPr="008C0B94">
              <w:rPr>
                <w:rFonts w:ascii="Cambria" w:hAnsi="Cambria"/>
                <w:bCs/>
                <w:sz w:val="20"/>
                <w:szCs w:val="20"/>
              </w:rPr>
              <w:t>No</w:t>
            </w:r>
          </w:p>
        </w:tc>
      </w:tr>
      <w:tr w:rsidR="00E10040" w:rsidRPr="00A56CDB" w14:paraId="3CD13DD0" w14:textId="77777777" w:rsidTr="008E6DEA">
        <w:trPr>
          <w:cantSplit/>
        </w:trPr>
        <w:tc>
          <w:tcPr>
            <w:tcW w:w="3562" w:type="dxa"/>
            <w:tcBorders>
              <w:top w:val="single" w:sz="4" w:space="0" w:color="auto"/>
              <w:bottom w:val="single" w:sz="6" w:space="0" w:color="auto"/>
            </w:tcBorders>
            <w:shd w:val="clear" w:color="auto" w:fill="386294"/>
            <w:vAlign w:val="center"/>
          </w:tcPr>
          <w:p w14:paraId="3BEC9D01" w14:textId="77777777" w:rsidR="00E10040" w:rsidRPr="00E10040" w:rsidRDefault="00E10040" w:rsidP="00545F14">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Derechos declarados admisibles</w:t>
            </w:r>
            <w:r w:rsidRPr="00E10040">
              <w:rPr>
                <w:rFonts w:ascii="Cambria" w:hAnsi="Cambria"/>
                <w:b/>
                <w:bCs/>
                <w:i/>
                <w:color w:val="FFFFFF" w:themeColor="background1"/>
                <w:sz w:val="20"/>
                <w:szCs w:val="20"/>
              </w:rPr>
              <w:t>:</w:t>
            </w:r>
          </w:p>
        </w:tc>
        <w:tc>
          <w:tcPr>
            <w:tcW w:w="5775" w:type="dxa"/>
            <w:vAlign w:val="center"/>
          </w:tcPr>
          <w:p w14:paraId="7F500B5F" w14:textId="0F137D76" w:rsidR="00E10040" w:rsidRPr="008C0B94" w:rsidRDefault="008410BF" w:rsidP="00545F14">
            <w:pPr>
              <w:jc w:val="both"/>
              <w:rPr>
                <w:rFonts w:ascii="Cambria" w:hAnsi="Cambria"/>
                <w:bCs/>
                <w:sz w:val="20"/>
                <w:szCs w:val="20"/>
              </w:rPr>
            </w:pPr>
            <w:r w:rsidRPr="008C0B94">
              <w:rPr>
                <w:rFonts w:ascii="Cambria" w:hAnsi="Cambria"/>
                <w:sz w:val="20"/>
                <w:szCs w:val="20"/>
              </w:rPr>
              <w:t>Art</w:t>
            </w:r>
            <w:r w:rsidR="003C6DA5">
              <w:rPr>
                <w:rFonts w:ascii="Cambria" w:hAnsi="Cambria"/>
                <w:sz w:val="20"/>
                <w:szCs w:val="20"/>
              </w:rPr>
              <w:t xml:space="preserve">ículos </w:t>
            </w:r>
            <w:r w:rsidRPr="008C0B94">
              <w:rPr>
                <w:rFonts w:ascii="Cambria" w:hAnsi="Cambria"/>
                <w:bCs/>
                <w:sz w:val="20"/>
                <w:szCs w:val="20"/>
                <w:lang w:eastAsia="en-US"/>
              </w:rPr>
              <w:t xml:space="preserve">4 (vida), 5 (integridad personal), </w:t>
            </w:r>
            <w:r w:rsidRPr="008C0B94">
              <w:rPr>
                <w:rFonts w:ascii="Cambria" w:hAnsi="Cambria"/>
                <w:sz w:val="20"/>
                <w:szCs w:val="20"/>
                <w:lang w:val="es-VE"/>
              </w:rPr>
              <w:t xml:space="preserve">7 (libertad personal), </w:t>
            </w:r>
            <w:r w:rsidRPr="008C0B94">
              <w:rPr>
                <w:rFonts w:ascii="Cambria" w:hAnsi="Cambria"/>
                <w:bCs/>
                <w:sz w:val="20"/>
                <w:szCs w:val="20"/>
                <w:lang w:eastAsia="en-US"/>
              </w:rPr>
              <w:t>8 (garantías judiciales), 24 (igualdad ante la ley) y 25 (protección judicial) de la Convención Americana</w:t>
            </w:r>
            <w:r w:rsidR="00B9238B">
              <w:rPr>
                <w:rFonts w:ascii="Cambria" w:hAnsi="Cambria"/>
                <w:bCs/>
                <w:sz w:val="20"/>
                <w:szCs w:val="20"/>
                <w:lang w:eastAsia="en-US"/>
              </w:rPr>
              <w:t>,</w:t>
            </w:r>
            <w:r w:rsidRPr="008C0B94">
              <w:rPr>
                <w:rFonts w:ascii="Cambria" w:hAnsi="Cambria"/>
                <w:bCs/>
                <w:sz w:val="20"/>
                <w:szCs w:val="20"/>
                <w:lang w:eastAsia="en-US"/>
              </w:rPr>
              <w:t xml:space="preserve"> en relación con </w:t>
            </w:r>
            <w:r w:rsidR="00B9238B">
              <w:rPr>
                <w:rFonts w:ascii="Cambria" w:hAnsi="Cambria"/>
                <w:bCs/>
                <w:sz w:val="20"/>
                <w:szCs w:val="20"/>
                <w:lang w:eastAsia="en-US"/>
              </w:rPr>
              <w:t>sus</w:t>
            </w:r>
            <w:r w:rsidRPr="008C0B94">
              <w:rPr>
                <w:rFonts w:ascii="Cambria" w:hAnsi="Cambria"/>
                <w:bCs/>
                <w:sz w:val="20"/>
                <w:szCs w:val="20"/>
                <w:lang w:eastAsia="en-US"/>
              </w:rPr>
              <w:t xml:space="preserve"> artículo</w:t>
            </w:r>
            <w:r w:rsidR="00B9238B">
              <w:rPr>
                <w:rFonts w:ascii="Cambria" w:hAnsi="Cambria"/>
                <w:bCs/>
                <w:sz w:val="20"/>
                <w:szCs w:val="20"/>
                <w:lang w:eastAsia="en-US"/>
              </w:rPr>
              <w:t>s</w:t>
            </w:r>
            <w:r w:rsidRPr="008C0B94">
              <w:rPr>
                <w:rFonts w:ascii="Cambria" w:hAnsi="Cambria"/>
                <w:bCs/>
                <w:sz w:val="20"/>
                <w:szCs w:val="20"/>
                <w:lang w:eastAsia="en-US"/>
              </w:rPr>
              <w:t xml:space="preserve"> </w:t>
            </w:r>
            <w:r w:rsidR="00350D12" w:rsidRPr="008C0B94">
              <w:rPr>
                <w:rFonts w:ascii="Cambria" w:hAnsi="Cambria"/>
                <w:sz w:val="20"/>
                <w:szCs w:val="20"/>
              </w:rPr>
              <w:t>1.1 (obligación de respetar los derechos) y 2 (deber de adoptar disposiciones de derecho interno)</w:t>
            </w:r>
            <w:r w:rsidRPr="008C0B94">
              <w:rPr>
                <w:rFonts w:ascii="Cambria" w:hAnsi="Cambria"/>
                <w:sz w:val="20"/>
                <w:szCs w:val="20"/>
                <w:lang w:eastAsia="en-US"/>
              </w:rPr>
              <w:t>;</w:t>
            </w:r>
            <w:r w:rsidR="004D4C3D" w:rsidRPr="008C0B94">
              <w:rPr>
                <w:rFonts w:ascii="Cambria" w:hAnsi="Cambria"/>
                <w:sz w:val="20"/>
                <w:szCs w:val="20"/>
                <w:lang w:eastAsia="en-US"/>
              </w:rPr>
              <w:t xml:space="preserve"> y</w:t>
            </w:r>
            <w:r w:rsidRPr="008C0B94">
              <w:rPr>
                <w:rFonts w:ascii="Cambria" w:hAnsi="Cambria"/>
                <w:sz w:val="20"/>
                <w:szCs w:val="20"/>
                <w:lang w:eastAsia="en-US"/>
              </w:rPr>
              <w:t xml:space="preserve"> el</w:t>
            </w:r>
            <w:r w:rsidRPr="008C0B94">
              <w:rPr>
                <w:rFonts w:ascii="Cambria" w:hAnsi="Cambria"/>
                <w:sz w:val="20"/>
                <w:szCs w:val="20"/>
              </w:rPr>
              <w:t xml:space="preserve"> a</w:t>
            </w:r>
            <w:r w:rsidRPr="008C0B94">
              <w:rPr>
                <w:rFonts w:ascii="Cambria" w:hAnsi="Cambria"/>
                <w:bCs/>
                <w:sz w:val="20"/>
                <w:szCs w:val="20"/>
              </w:rPr>
              <w:t xml:space="preserve">rtículo 7 de la Convención Belem do Pará </w:t>
            </w:r>
          </w:p>
        </w:tc>
      </w:tr>
      <w:tr w:rsidR="00E10040" w:rsidRPr="00A56CDB" w14:paraId="135E8DBF" w14:textId="77777777" w:rsidTr="008E6DEA">
        <w:trPr>
          <w:cantSplit/>
        </w:trPr>
        <w:tc>
          <w:tcPr>
            <w:tcW w:w="3562" w:type="dxa"/>
            <w:tcBorders>
              <w:top w:val="single" w:sz="6" w:space="0" w:color="auto"/>
              <w:bottom w:val="single" w:sz="6" w:space="0" w:color="auto"/>
            </w:tcBorders>
            <w:shd w:val="clear" w:color="auto" w:fill="386294"/>
            <w:vAlign w:val="center"/>
          </w:tcPr>
          <w:p w14:paraId="423D299B"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Agotamiento de recursos internos o procedencia de una excepción:</w:t>
            </w:r>
          </w:p>
        </w:tc>
        <w:tc>
          <w:tcPr>
            <w:tcW w:w="5775" w:type="dxa"/>
            <w:vAlign w:val="center"/>
          </w:tcPr>
          <w:p w14:paraId="3F71FF5E" w14:textId="06A42631" w:rsidR="00E10040" w:rsidRPr="00967559" w:rsidRDefault="000366BA" w:rsidP="00545F14">
            <w:pPr>
              <w:rPr>
                <w:rFonts w:ascii="Cambria" w:hAnsi="Cambria"/>
                <w:bCs/>
                <w:sz w:val="20"/>
                <w:szCs w:val="20"/>
              </w:rPr>
            </w:pPr>
            <w:r w:rsidRPr="00967559">
              <w:rPr>
                <w:rFonts w:ascii="Cambria" w:hAnsi="Cambria"/>
                <w:bCs/>
                <w:sz w:val="20"/>
                <w:szCs w:val="20"/>
              </w:rPr>
              <w:t xml:space="preserve">Sí, </w:t>
            </w:r>
            <w:r w:rsidR="00967559" w:rsidRPr="00967559">
              <w:rPr>
                <w:rFonts w:ascii="Cambria" w:hAnsi="Cambria"/>
                <w:bCs/>
                <w:sz w:val="20"/>
                <w:szCs w:val="20"/>
              </w:rPr>
              <w:t>en los términos de la Sección VI</w:t>
            </w:r>
          </w:p>
        </w:tc>
      </w:tr>
      <w:tr w:rsidR="00E10040" w:rsidRPr="00A56CDB" w14:paraId="3584D459" w14:textId="77777777" w:rsidTr="008E6DEA">
        <w:trPr>
          <w:cantSplit/>
        </w:trPr>
        <w:tc>
          <w:tcPr>
            <w:tcW w:w="3562" w:type="dxa"/>
            <w:tcBorders>
              <w:top w:val="single" w:sz="6" w:space="0" w:color="auto"/>
              <w:bottom w:val="single" w:sz="6" w:space="0" w:color="auto"/>
            </w:tcBorders>
            <w:shd w:val="clear" w:color="auto" w:fill="386294"/>
            <w:vAlign w:val="center"/>
          </w:tcPr>
          <w:p w14:paraId="2D708EA3" w14:textId="77777777" w:rsidR="00E10040" w:rsidRPr="00E10040" w:rsidRDefault="00E10040" w:rsidP="00545F14">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dentro de plazo:</w:t>
            </w:r>
          </w:p>
        </w:tc>
        <w:tc>
          <w:tcPr>
            <w:tcW w:w="5775" w:type="dxa"/>
            <w:vAlign w:val="center"/>
          </w:tcPr>
          <w:p w14:paraId="521CCA2C" w14:textId="36DF9F5F" w:rsidR="00E10040" w:rsidRPr="00541290" w:rsidRDefault="00967559" w:rsidP="00545F14">
            <w:pPr>
              <w:rPr>
                <w:rFonts w:ascii="Cambria" w:hAnsi="Cambria"/>
                <w:bCs/>
                <w:color w:val="FF0000"/>
                <w:sz w:val="20"/>
                <w:szCs w:val="20"/>
              </w:rPr>
            </w:pPr>
            <w:r w:rsidRPr="00967559">
              <w:rPr>
                <w:rFonts w:ascii="Cambria" w:hAnsi="Cambria"/>
                <w:bCs/>
                <w:sz w:val="20"/>
                <w:szCs w:val="20"/>
              </w:rPr>
              <w:t>Sí, en los términos de la Sección VI</w:t>
            </w:r>
          </w:p>
        </w:tc>
      </w:tr>
    </w:tbl>
    <w:p w14:paraId="43D3366B" w14:textId="77777777" w:rsidR="00E10040" w:rsidRPr="008A1F83" w:rsidRDefault="00E10040" w:rsidP="00E10040">
      <w:pPr>
        <w:spacing w:before="240" w:after="240"/>
        <w:ind w:firstLine="720"/>
        <w:jc w:val="both"/>
        <w:rPr>
          <w:rFonts w:ascii="Cambria" w:hAnsi="Cambria"/>
          <w:b/>
          <w:sz w:val="20"/>
          <w:szCs w:val="20"/>
          <w:lang w:val="es-ES_tradnl"/>
        </w:rPr>
      </w:pPr>
      <w:r w:rsidRPr="008A1F83">
        <w:rPr>
          <w:rFonts w:ascii="Cambria" w:hAnsi="Cambria"/>
          <w:b/>
          <w:sz w:val="20"/>
          <w:szCs w:val="20"/>
          <w:lang w:val="es-ES_tradnl"/>
        </w:rPr>
        <w:t xml:space="preserve">V. </w:t>
      </w:r>
      <w:r w:rsidRPr="008A1F83">
        <w:rPr>
          <w:rFonts w:ascii="Cambria" w:hAnsi="Cambria"/>
          <w:b/>
          <w:sz w:val="20"/>
          <w:szCs w:val="20"/>
          <w:lang w:val="es-ES_tradnl"/>
        </w:rPr>
        <w:tab/>
        <w:t xml:space="preserve">HECHOS ALEGADOS </w:t>
      </w:r>
    </w:p>
    <w:p w14:paraId="1DC1E63F" w14:textId="6009AADF" w:rsidR="00B05E6A" w:rsidRPr="008A1F83" w:rsidRDefault="00B05E6A" w:rsidP="00C5128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 xml:space="preserve">La presente petición denuncia la responsabilidad internacional del Estado ecuatoriano </w:t>
      </w:r>
      <w:r w:rsidR="001070A7" w:rsidRPr="008A1F83">
        <w:rPr>
          <w:color w:val="auto"/>
          <w:sz w:val="20"/>
          <w:szCs w:val="20"/>
          <w:lang w:val="es-ES_tradnl"/>
        </w:rPr>
        <w:t>en relación con l</w:t>
      </w:r>
      <w:r w:rsidR="005B542D" w:rsidRPr="008A1F83">
        <w:rPr>
          <w:color w:val="auto"/>
          <w:sz w:val="20"/>
          <w:szCs w:val="20"/>
          <w:lang w:val="es-ES_tradnl"/>
        </w:rPr>
        <w:t xml:space="preserve">a </w:t>
      </w:r>
      <w:r w:rsidRPr="008A1F83">
        <w:rPr>
          <w:color w:val="auto"/>
          <w:sz w:val="20"/>
          <w:szCs w:val="20"/>
          <w:lang w:val="es-ES_tradnl"/>
        </w:rPr>
        <w:t xml:space="preserve">falta de </w:t>
      </w:r>
      <w:r w:rsidR="009F41C3" w:rsidRPr="008A1F83">
        <w:rPr>
          <w:color w:val="auto"/>
          <w:sz w:val="20"/>
          <w:szCs w:val="20"/>
          <w:lang w:val="es-ES_tradnl"/>
        </w:rPr>
        <w:t xml:space="preserve">debida diligencia </w:t>
      </w:r>
      <w:r w:rsidR="00A25F52" w:rsidRPr="008A1F83">
        <w:rPr>
          <w:color w:val="auto"/>
          <w:sz w:val="20"/>
          <w:szCs w:val="20"/>
          <w:lang w:val="es-ES_tradnl"/>
        </w:rPr>
        <w:t xml:space="preserve">en la investigación </w:t>
      </w:r>
      <w:r w:rsidR="009B39F1" w:rsidRPr="008A1F83">
        <w:rPr>
          <w:color w:val="auto"/>
          <w:sz w:val="20"/>
          <w:szCs w:val="20"/>
          <w:lang w:val="es-ES_tradnl"/>
        </w:rPr>
        <w:t xml:space="preserve">sobre </w:t>
      </w:r>
      <w:r w:rsidRPr="008A1F83">
        <w:rPr>
          <w:color w:val="auto"/>
          <w:sz w:val="20"/>
          <w:szCs w:val="20"/>
          <w:lang w:val="es-ES_tradnl"/>
        </w:rPr>
        <w:t xml:space="preserve">la desaparición de Giovanna </w:t>
      </w:r>
      <w:r w:rsidRPr="008A1F83">
        <w:rPr>
          <w:bCs/>
          <w:color w:val="auto"/>
          <w:sz w:val="20"/>
          <w:szCs w:val="20"/>
          <w:lang w:val="es-ES_tradnl"/>
        </w:rPr>
        <w:t>Paulina Pérez Constante</w:t>
      </w:r>
      <w:r w:rsidR="00C560E3" w:rsidRPr="008A1F83">
        <w:rPr>
          <w:bCs/>
          <w:color w:val="auto"/>
          <w:sz w:val="20"/>
          <w:szCs w:val="20"/>
          <w:lang w:val="es-ES_tradnl"/>
        </w:rPr>
        <w:t>,</w:t>
      </w:r>
      <w:r w:rsidRPr="008A1F83">
        <w:rPr>
          <w:bCs/>
          <w:color w:val="auto"/>
          <w:sz w:val="20"/>
          <w:szCs w:val="20"/>
          <w:lang w:val="es-ES_tradnl"/>
        </w:rPr>
        <w:t xml:space="preserve"> </w:t>
      </w:r>
      <w:r w:rsidR="00F3571B" w:rsidRPr="008A1F83">
        <w:rPr>
          <w:bCs/>
          <w:color w:val="auto"/>
          <w:sz w:val="20"/>
          <w:szCs w:val="20"/>
          <w:lang w:val="es-ES_tradnl"/>
        </w:rPr>
        <w:t xml:space="preserve">de </w:t>
      </w:r>
      <w:r w:rsidR="00762A7D">
        <w:rPr>
          <w:bCs/>
          <w:color w:val="auto"/>
          <w:sz w:val="20"/>
          <w:szCs w:val="20"/>
          <w:lang w:val="es-ES_tradnl"/>
        </w:rPr>
        <w:t>diecinueve</w:t>
      </w:r>
      <w:r w:rsidR="00F3571B" w:rsidRPr="008A1F83">
        <w:rPr>
          <w:bCs/>
          <w:color w:val="auto"/>
          <w:sz w:val="20"/>
          <w:szCs w:val="20"/>
          <w:lang w:val="es-ES_tradnl"/>
        </w:rPr>
        <w:t xml:space="preserve"> años, el 4 </w:t>
      </w:r>
      <w:r w:rsidR="00F3571B" w:rsidRPr="008A1F83">
        <w:rPr>
          <w:bCs/>
          <w:sz w:val="20"/>
          <w:szCs w:val="20"/>
          <w:lang w:val="es-ES_tradnl"/>
        </w:rPr>
        <w:t>de diciembre de 201</w:t>
      </w:r>
      <w:r w:rsidR="00A8229F" w:rsidRPr="008A1F83">
        <w:rPr>
          <w:bCs/>
          <w:sz w:val="20"/>
          <w:szCs w:val="20"/>
          <w:lang w:val="es-ES_tradnl"/>
        </w:rPr>
        <w:t>0</w:t>
      </w:r>
      <w:r w:rsidR="00216C14" w:rsidRPr="008A1F83">
        <w:rPr>
          <w:sz w:val="20"/>
          <w:szCs w:val="20"/>
          <w:lang w:val="es-ES_tradnl"/>
        </w:rPr>
        <w:t xml:space="preserve"> en la ciudad de Ambato</w:t>
      </w:r>
      <w:r w:rsidR="00A8229F" w:rsidRPr="008A1F83">
        <w:rPr>
          <w:sz w:val="20"/>
          <w:szCs w:val="20"/>
          <w:lang w:val="es-ES_tradnl"/>
        </w:rPr>
        <w:t>,</w:t>
      </w:r>
      <w:r w:rsidR="00216C14" w:rsidRPr="008A1F83">
        <w:rPr>
          <w:sz w:val="20"/>
          <w:szCs w:val="20"/>
          <w:lang w:val="es-ES_tradnl"/>
        </w:rPr>
        <w:t xml:space="preserve"> provincia de Tungurahua</w:t>
      </w:r>
      <w:r w:rsidR="00A8229F" w:rsidRPr="008A1F83">
        <w:rPr>
          <w:sz w:val="20"/>
          <w:szCs w:val="20"/>
          <w:lang w:val="es-ES_tradnl"/>
        </w:rPr>
        <w:t xml:space="preserve">. La peticionaria </w:t>
      </w:r>
      <w:r w:rsidR="00BE7254" w:rsidRPr="008A1F83">
        <w:rPr>
          <w:sz w:val="20"/>
          <w:szCs w:val="20"/>
          <w:lang w:val="es-ES_tradnl"/>
        </w:rPr>
        <w:t xml:space="preserve">y madre de la presunta víctima </w:t>
      </w:r>
      <w:r w:rsidR="00A8229F" w:rsidRPr="008A1F83">
        <w:rPr>
          <w:sz w:val="20"/>
          <w:szCs w:val="20"/>
          <w:lang w:val="es-ES_tradnl"/>
        </w:rPr>
        <w:t>sostiene que</w:t>
      </w:r>
      <w:r w:rsidR="001A7338" w:rsidRPr="008A1F83">
        <w:rPr>
          <w:sz w:val="20"/>
          <w:szCs w:val="20"/>
          <w:lang w:val="es-ES_tradnl"/>
        </w:rPr>
        <w:t xml:space="preserve">, además de distintas violaciones al debido </w:t>
      </w:r>
      <w:r w:rsidR="00676145" w:rsidRPr="008A1F83">
        <w:rPr>
          <w:sz w:val="20"/>
          <w:szCs w:val="20"/>
          <w:lang w:val="es-ES_tradnl"/>
        </w:rPr>
        <w:t>proceso</w:t>
      </w:r>
      <w:r w:rsidR="001A7338" w:rsidRPr="008A1F83">
        <w:rPr>
          <w:sz w:val="20"/>
          <w:szCs w:val="20"/>
          <w:lang w:val="es-ES_tradnl"/>
        </w:rPr>
        <w:t xml:space="preserve">, </w:t>
      </w:r>
      <w:r w:rsidR="00B23FAF" w:rsidRPr="008A1F83">
        <w:rPr>
          <w:sz w:val="20"/>
          <w:szCs w:val="20"/>
          <w:lang w:val="es-ES_tradnl"/>
        </w:rPr>
        <w:t xml:space="preserve">el </w:t>
      </w:r>
      <w:r w:rsidR="00B23FAF" w:rsidRPr="008A1F83">
        <w:rPr>
          <w:color w:val="auto"/>
          <w:sz w:val="20"/>
          <w:szCs w:val="20"/>
          <w:lang w:val="es-ES_tradnl"/>
        </w:rPr>
        <w:t xml:space="preserve">marco normativo </w:t>
      </w:r>
      <w:r w:rsidR="00676625" w:rsidRPr="008A1F83">
        <w:rPr>
          <w:color w:val="auto"/>
          <w:sz w:val="20"/>
          <w:szCs w:val="20"/>
          <w:lang w:val="es-ES_tradnl"/>
        </w:rPr>
        <w:t>no asegura</w:t>
      </w:r>
      <w:r w:rsidR="00B23FAF" w:rsidRPr="008A1F83">
        <w:rPr>
          <w:color w:val="auto"/>
          <w:sz w:val="20"/>
          <w:szCs w:val="20"/>
          <w:lang w:val="es-ES_tradnl"/>
        </w:rPr>
        <w:t xml:space="preserve"> </w:t>
      </w:r>
      <w:r w:rsidR="00676625" w:rsidRPr="008A1F83">
        <w:rPr>
          <w:color w:val="auto"/>
          <w:sz w:val="20"/>
          <w:szCs w:val="20"/>
          <w:lang w:val="es-ES_tradnl"/>
        </w:rPr>
        <w:t xml:space="preserve">el debido proceso legal para la protección de los derechos que se </w:t>
      </w:r>
      <w:r w:rsidR="00B23FAF" w:rsidRPr="008A1F83">
        <w:rPr>
          <w:color w:val="auto"/>
          <w:sz w:val="20"/>
          <w:szCs w:val="20"/>
          <w:lang w:val="es-ES_tradnl"/>
        </w:rPr>
        <w:t>han vulnerado</w:t>
      </w:r>
      <w:r w:rsidR="002849D9" w:rsidRPr="008A1F83">
        <w:rPr>
          <w:color w:val="auto"/>
          <w:sz w:val="20"/>
          <w:szCs w:val="20"/>
          <w:lang w:val="es-ES_tradnl"/>
        </w:rPr>
        <w:t xml:space="preserve">. </w:t>
      </w:r>
      <w:r w:rsidR="00B23FAF" w:rsidRPr="008A1F83">
        <w:rPr>
          <w:color w:val="auto"/>
          <w:sz w:val="20"/>
          <w:szCs w:val="20"/>
          <w:lang w:val="es-ES_tradnl"/>
        </w:rPr>
        <w:t xml:space="preserve">Sostiene que a </w:t>
      </w:r>
      <w:r w:rsidR="002849D9" w:rsidRPr="008A1F83">
        <w:rPr>
          <w:color w:val="auto"/>
          <w:sz w:val="20"/>
          <w:szCs w:val="20"/>
          <w:lang w:val="es-ES_tradnl"/>
        </w:rPr>
        <w:t xml:space="preserve">pesar de </w:t>
      </w:r>
      <w:r w:rsidR="00B23FAF" w:rsidRPr="008A1F83">
        <w:rPr>
          <w:color w:val="auto"/>
          <w:sz w:val="20"/>
          <w:szCs w:val="20"/>
          <w:lang w:val="es-ES_tradnl"/>
        </w:rPr>
        <w:t xml:space="preserve">estar desaparecida por </w:t>
      </w:r>
      <w:r w:rsidR="002849D9" w:rsidRPr="008A1F83">
        <w:rPr>
          <w:color w:val="auto"/>
          <w:sz w:val="20"/>
          <w:szCs w:val="20"/>
          <w:lang w:val="es-ES_tradnl"/>
        </w:rPr>
        <w:t xml:space="preserve">más de </w:t>
      </w:r>
      <w:r w:rsidR="00C560E3" w:rsidRPr="008A1F83">
        <w:rPr>
          <w:color w:val="auto"/>
          <w:sz w:val="20"/>
          <w:szCs w:val="20"/>
          <w:lang w:val="es-ES_tradnl"/>
        </w:rPr>
        <w:t>diez</w:t>
      </w:r>
      <w:r w:rsidR="004D4C3D" w:rsidRPr="008A1F83">
        <w:rPr>
          <w:color w:val="auto"/>
          <w:sz w:val="20"/>
          <w:szCs w:val="20"/>
          <w:lang w:val="es-ES_tradnl"/>
        </w:rPr>
        <w:t xml:space="preserve"> </w:t>
      </w:r>
      <w:r w:rsidR="002849D9" w:rsidRPr="008A1F83">
        <w:rPr>
          <w:color w:val="auto"/>
          <w:sz w:val="20"/>
          <w:szCs w:val="20"/>
          <w:lang w:val="es-ES_tradnl"/>
        </w:rPr>
        <w:t>años</w:t>
      </w:r>
      <w:r w:rsidR="004D4C3D" w:rsidRPr="008A1F83">
        <w:rPr>
          <w:color w:val="auto"/>
          <w:sz w:val="20"/>
          <w:szCs w:val="20"/>
          <w:lang w:val="es-ES_tradnl"/>
        </w:rPr>
        <w:t xml:space="preserve"> en un contexto alegadamente de desapariciones en el país</w:t>
      </w:r>
      <w:r w:rsidR="00BE7254" w:rsidRPr="008A1F83">
        <w:rPr>
          <w:color w:val="auto"/>
          <w:sz w:val="20"/>
          <w:szCs w:val="20"/>
          <w:lang w:val="es-ES_tradnl"/>
        </w:rPr>
        <w:t xml:space="preserve">, </w:t>
      </w:r>
      <w:r w:rsidR="002849D9" w:rsidRPr="008A1F83">
        <w:rPr>
          <w:color w:val="auto"/>
          <w:sz w:val="20"/>
          <w:szCs w:val="20"/>
          <w:lang w:val="es-ES_tradnl"/>
        </w:rPr>
        <w:t xml:space="preserve">la fiscalía no </w:t>
      </w:r>
      <w:r w:rsidR="001A7338" w:rsidRPr="008A1F83">
        <w:rPr>
          <w:color w:val="auto"/>
          <w:sz w:val="20"/>
          <w:szCs w:val="20"/>
          <w:lang w:val="es-ES_tradnl"/>
        </w:rPr>
        <w:t>ha realizado una investigación minuciosa que permita esclarecer la verdad de los hechos</w:t>
      </w:r>
      <w:r w:rsidR="00BE7254" w:rsidRPr="008A1F83">
        <w:rPr>
          <w:color w:val="auto"/>
          <w:sz w:val="20"/>
          <w:szCs w:val="20"/>
          <w:lang w:val="es-ES_tradnl"/>
        </w:rPr>
        <w:t xml:space="preserve">, </w:t>
      </w:r>
      <w:r w:rsidR="00B23FAF" w:rsidRPr="008A1F83">
        <w:rPr>
          <w:color w:val="auto"/>
          <w:sz w:val="20"/>
          <w:szCs w:val="20"/>
          <w:lang w:val="es-ES_tradnl"/>
        </w:rPr>
        <w:t>dar con el paradero de la presunta víctima y determinar l</w:t>
      </w:r>
      <w:r w:rsidR="00E23227" w:rsidRPr="008A1F83">
        <w:rPr>
          <w:color w:val="auto"/>
          <w:sz w:val="20"/>
          <w:szCs w:val="20"/>
          <w:lang w:val="es-ES_tradnl"/>
        </w:rPr>
        <w:t>os posibles responsables</w:t>
      </w:r>
      <w:r w:rsidR="004D4C3D" w:rsidRPr="008A1F83">
        <w:rPr>
          <w:color w:val="FF0000"/>
          <w:sz w:val="20"/>
          <w:szCs w:val="20"/>
          <w:lang w:val="es-ES_tradnl"/>
        </w:rPr>
        <w:t xml:space="preserve"> </w:t>
      </w:r>
    </w:p>
    <w:p w14:paraId="4DF976D2" w14:textId="0122DC2C" w:rsidR="005F6FA4" w:rsidRPr="008A1F83" w:rsidRDefault="005B542D" w:rsidP="005F6FA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La</w:t>
      </w:r>
      <w:r w:rsidR="00EB21F5" w:rsidRPr="008A1F83">
        <w:rPr>
          <w:color w:val="auto"/>
          <w:sz w:val="20"/>
          <w:szCs w:val="20"/>
          <w:lang w:val="es-ES_tradnl"/>
        </w:rPr>
        <w:t xml:space="preserve"> peticionaria relata que e</w:t>
      </w:r>
      <w:r w:rsidR="00E852C4" w:rsidRPr="008A1F83">
        <w:rPr>
          <w:color w:val="auto"/>
          <w:sz w:val="20"/>
          <w:szCs w:val="20"/>
          <w:lang w:val="es-ES_tradnl"/>
        </w:rPr>
        <w:t xml:space="preserve">l 3 de </w:t>
      </w:r>
      <w:r w:rsidR="00FC6262" w:rsidRPr="008A1F83">
        <w:rPr>
          <w:color w:val="auto"/>
          <w:sz w:val="20"/>
          <w:szCs w:val="20"/>
          <w:lang w:val="es-ES_tradnl"/>
        </w:rPr>
        <w:t>d</w:t>
      </w:r>
      <w:r w:rsidR="00E852C4" w:rsidRPr="008A1F83">
        <w:rPr>
          <w:color w:val="auto"/>
          <w:sz w:val="20"/>
          <w:szCs w:val="20"/>
          <w:lang w:val="es-ES_tradnl"/>
        </w:rPr>
        <w:t xml:space="preserve">iciembre de 2010 </w:t>
      </w:r>
      <w:r w:rsidR="00FC6262" w:rsidRPr="008A1F83">
        <w:rPr>
          <w:color w:val="auto"/>
          <w:sz w:val="20"/>
          <w:szCs w:val="20"/>
          <w:lang w:val="es-ES_tradnl"/>
        </w:rPr>
        <w:t xml:space="preserve">Giovanna Paulina Pérez Constante </w:t>
      </w:r>
      <w:r w:rsidR="00E852C4" w:rsidRPr="008A1F83">
        <w:rPr>
          <w:color w:val="auto"/>
          <w:sz w:val="20"/>
          <w:szCs w:val="20"/>
          <w:lang w:val="es-ES_tradnl"/>
        </w:rPr>
        <w:t xml:space="preserve">conoció a </w:t>
      </w:r>
      <w:r w:rsidR="0031053E" w:rsidRPr="008A1F83">
        <w:rPr>
          <w:color w:val="auto"/>
          <w:sz w:val="20"/>
          <w:szCs w:val="20"/>
          <w:lang w:val="es-ES_tradnl"/>
        </w:rPr>
        <w:t>A.F.L.L.</w:t>
      </w:r>
      <w:r w:rsidR="00FC6262" w:rsidRPr="008A1F83">
        <w:rPr>
          <w:color w:val="auto"/>
          <w:sz w:val="20"/>
          <w:szCs w:val="20"/>
          <w:lang w:val="es-ES_tradnl"/>
        </w:rPr>
        <w:t xml:space="preserve"> </w:t>
      </w:r>
      <w:r w:rsidR="00E852C4" w:rsidRPr="008A1F83">
        <w:rPr>
          <w:color w:val="auto"/>
          <w:sz w:val="20"/>
          <w:szCs w:val="20"/>
          <w:lang w:val="es-ES_tradnl"/>
        </w:rPr>
        <w:t>en un</w:t>
      </w:r>
      <w:r w:rsidR="009B39F1" w:rsidRPr="008A1F83">
        <w:rPr>
          <w:color w:val="auto"/>
          <w:sz w:val="20"/>
          <w:szCs w:val="20"/>
          <w:lang w:val="es-ES_tradnl"/>
        </w:rPr>
        <w:t xml:space="preserve"> evento social </w:t>
      </w:r>
      <w:r w:rsidR="00EB21F5" w:rsidRPr="008A1F83">
        <w:rPr>
          <w:color w:val="auto"/>
          <w:sz w:val="20"/>
          <w:szCs w:val="20"/>
          <w:lang w:val="es-ES_tradnl"/>
        </w:rPr>
        <w:t xml:space="preserve">y acordaron verse el día siguiente en la casa de los padres de este, ubicada en el sector de Ingahurco en la ciudad de Ambato. En tal sentido, alega que la última vez que habló con la presunta víctima fue </w:t>
      </w:r>
      <w:r w:rsidR="00EA39DE" w:rsidRPr="008A1F83">
        <w:rPr>
          <w:color w:val="auto"/>
          <w:sz w:val="20"/>
          <w:szCs w:val="20"/>
          <w:lang w:val="es-ES_tradnl"/>
        </w:rPr>
        <w:t xml:space="preserve">por teléfono </w:t>
      </w:r>
      <w:r w:rsidR="00EB21F5" w:rsidRPr="008A1F83">
        <w:rPr>
          <w:color w:val="auto"/>
          <w:sz w:val="20"/>
          <w:szCs w:val="20"/>
          <w:lang w:val="es-ES_tradnl"/>
        </w:rPr>
        <w:t xml:space="preserve">a las </w:t>
      </w:r>
      <w:r w:rsidR="009B39F1" w:rsidRPr="008A1F83">
        <w:rPr>
          <w:color w:val="auto"/>
          <w:sz w:val="20"/>
          <w:szCs w:val="20"/>
          <w:lang w:val="es-ES_tradnl"/>
        </w:rPr>
        <w:t>cuatro</w:t>
      </w:r>
      <w:r w:rsidR="00EB21F5" w:rsidRPr="008A1F83">
        <w:rPr>
          <w:color w:val="auto"/>
          <w:sz w:val="20"/>
          <w:szCs w:val="20"/>
          <w:lang w:val="es-ES_tradnl"/>
        </w:rPr>
        <w:t xml:space="preserve"> y media </w:t>
      </w:r>
      <w:r w:rsidR="003237F0" w:rsidRPr="008A1F83">
        <w:rPr>
          <w:color w:val="auto"/>
          <w:sz w:val="20"/>
          <w:szCs w:val="20"/>
          <w:lang w:val="es-ES_tradnl"/>
        </w:rPr>
        <w:t>de la tarde</w:t>
      </w:r>
      <w:r w:rsidR="00BE7254" w:rsidRPr="008A1F83">
        <w:rPr>
          <w:color w:val="auto"/>
          <w:sz w:val="20"/>
          <w:szCs w:val="20"/>
          <w:lang w:val="es-ES_tradnl"/>
        </w:rPr>
        <w:t xml:space="preserve"> </w:t>
      </w:r>
      <w:r w:rsidR="009F41C3" w:rsidRPr="008A1F83">
        <w:rPr>
          <w:color w:val="auto"/>
          <w:sz w:val="20"/>
          <w:szCs w:val="20"/>
          <w:lang w:val="es-ES_tradnl"/>
        </w:rPr>
        <w:t xml:space="preserve">del 4 de diciembre de 2010 antes </w:t>
      </w:r>
      <w:r w:rsidR="003702D3" w:rsidRPr="008A1F83">
        <w:rPr>
          <w:color w:val="auto"/>
          <w:sz w:val="20"/>
          <w:szCs w:val="20"/>
          <w:lang w:val="es-ES_tradnl"/>
        </w:rPr>
        <w:t xml:space="preserve">de </w:t>
      </w:r>
      <w:r w:rsidR="009F41C3" w:rsidRPr="008A1F83">
        <w:rPr>
          <w:color w:val="auto"/>
          <w:sz w:val="20"/>
          <w:szCs w:val="20"/>
          <w:lang w:val="es-ES_tradnl"/>
        </w:rPr>
        <w:t xml:space="preserve">que </w:t>
      </w:r>
      <w:r w:rsidR="003702D3" w:rsidRPr="008A1F83">
        <w:rPr>
          <w:color w:val="auto"/>
          <w:sz w:val="20"/>
          <w:szCs w:val="20"/>
          <w:lang w:val="es-ES_tradnl"/>
        </w:rPr>
        <w:t>esta</w:t>
      </w:r>
      <w:r w:rsidR="009F41C3" w:rsidRPr="008A1F83">
        <w:rPr>
          <w:color w:val="auto"/>
          <w:sz w:val="20"/>
          <w:szCs w:val="20"/>
          <w:lang w:val="es-ES_tradnl"/>
        </w:rPr>
        <w:t xml:space="preserve"> se encontrara con </w:t>
      </w:r>
      <w:r w:rsidR="0031053E" w:rsidRPr="008A1F83">
        <w:rPr>
          <w:color w:val="auto"/>
          <w:sz w:val="20"/>
          <w:szCs w:val="20"/>
          <w:lang w:val="es-ES_tradnl"/>
        </w:rPr>
        <w:t>A.F.L.L.</w:t>
      </w:r>
      <w:r w:rsidR="00FE473F" w:rsidRPr="008A1F83">
        <w:rPr>
          <w:color w:val="auto"/>
          <w:sz w:val="20"/>
          <w:szCs w:val="20"/>
          <w:lang w:val="es-ES_tradnl"/>
        </w:rPr>
        <w:t xml:space="preserve"> Explica que </w:t>
      </w:r>
      <w:r w:rsidR="00BE7254" w:rsidRPr="008A1F83">
        <w:rPr>
          <w:color w:val="auto"/>
          <w:sz w:val="20"/>
          <w:szCs w:val="20"/>
          <w:lang w:val="es-ES_tradnl"/>
        </w:rPr>
        <w:t xml:space="preserve">a </w:t>
      </w:r>
      <w:r w:rsidR="00EB21F5" w:rsidRPr="008A1F83">
        <w:rPr>
          <w:color w:val="auto"/>
          <w:sz w:val="20"/>
          <w:szCs w:val="20"/>
          <w:lang w:val="es-ES_tradnl"/>
        </w:rPr>
        <w:t xml:space="preserve">partir de las </w:t>
      </w:r>
      <w:r w:rsidR="00BE7254" w:rsidRPr="008A1F83">
        <w:rPr>
          <w:color w:val="auto"/>
          <w:sz w:val="20"/>
          <w:szCs w:val="20"/>
          <w:lang w:val="es-ES_tradnl"/>
        </w:rPr>
        <w:t>7</w:t>
      </w:r>
      <w:r w:rsidR="003702D3" w:rsidRPr="008A1F83">
        <w:rPr>
          <w:color w:val="auto"/>
          <w:sz w:val="20"/>
          <w:szCs w:val="20"/>
          <w:lang w:val="es-ES_tradnl"/>
        </w:rPr>
        <w:t>:</w:t>
      </w:r>
      <w:r w:rsidR="00BE7254" w:rsidRPr="008A1F83">
        <w:rPr>
          <w:color w:val="auto"/>
          <w:sz w:val="20"/>
          <w:szCs w:val="20"/>
          <w:lang w:val="es-ES_tradnl"/>
        </w:rPr>
        <w:t xml:space="preserve">45 pm </w:t>
      </w:r>
      <w:r w:rsidR="009F41C3" w:rsidRPr="008A1F83">
        <w:rPr>
          <w:color w:val="auto"/>
          <w:sz w:val="20"/>
          <w:szCs w:val="20"/>
          <w:lang w:val="es-ES_tradnl"/>
        </w:rPr>
        <w:t xml:space="preserve">del mismo día </w:t>
      </w:r>
      <w:r w:rsidR="00EB21F5" w:rsidRPr="008A1F83">
        <w:rPr>
          <w:color w:val="auto"/>
          <w:sz w:val="20"/>
          <w:szCs w:val="20"/>
          <w:lang w:val="es-ES_tradnl"/>
        </w:rPr>
        <w:t xml:space="preserve">las llamadas se </w:t>
      </w:r>
      <w:r w:rsidR="00BE7254" w:rsidRPr="008A1F83">
        <w:rPr>
          <w:color w:val="auto"/>
          <w:sz w:val="20"/>
          <w:szCs w:val="20"/>
          <w:lang w:val="es-ES_tradnl"/>
        </w:rPr>
        <w:t>redirigían</w:t>
      </w:r>
      <w:r w:rsidR="00EB21F5" w:rsidRPr="008A1F83">
        <w:rPr>
          <w:color w:val="auto"/>
          <w:sz w:val="20"/>
          <w:szCs w:val="20"/>
          <w:lang w:val="es-ES_tradnl"/>
        </w:rPr>
        <w:t xml:space="preserve"> al buzón de voz</w:t>
      </w:r>
      <w:r w:rsidR="003702D3" w:rsidRPr="008A1F83">
        <w:rPr>
          <w:color w:val="auto"/>
          <w:sz w:val="20"/>
          <w:szCs w:val="20"/>
          <w:lang w:val="es-ES_tradnl"/>
        </w:rPr>
        <w:t>,</w:t>
      </w:r>
      <w:r w:rsidR="00BE7254" w:rsidRPr="008A1F83">
        <w:rPr>
          <w:color w:val="auto"/>
          <w:sz w:val="20"/>
          <w:szCs w:val="20"/>
          <w:lang w:val="es-ES_tradnl"/>
        </w:rPr>
        <w:t xml:space="preserve"> por lo </w:t>
      </w:r>
      <w:r w:rsidRPr="008A1F83">
        <w:rPr>
          <w:color w:val="auto"/>
          <w:sz w:val="20"/>
          <w:szCs w:val="20"/>
          <w:lang w:val="es-ES_tradnl"/>
        </w:rPr>
        <w:t xml:space="preserve">cual los </w:t>
      </w:r>
      <w:r w:rsidR="00BE7254" w:rsidRPr="008A1F83">
        <w:rPr>
          <w:color w:val="auto"/>
          <w:sz w:val="20"/>
          <w:szCs w:val="20"/>
          <w:lang w:val="es-ES_tradnl"/>
        </w:rPr>
        <w:t xml:space="preserve">familiares de la presunta víctima salieron </w:t>
      </w:r>
      <w:r w:rsidR="00EB21F5" w:rsidRPr="008A1F83">
        <w:rPr>
          <w:color w:val="auto"/>
          <w:sz w:val="20"/>
          <w:szCs w:val="20"/>
          <w:lang w:val="es-ES_tradnl"/>
        </w:rPr>
        <w:t>a buscar</w:t>
      </w:r>
      <w:r w:rsidR="006533B0" w:rsidRPr="008A1F83">
        <w:rPr>
          <w:color w:val="auto"/>
          <w:sz w:val="20"/>
          <w:szCs w:val="20"/>
          <w:lang w:val="es-ES_tradnl"/>
        </w:rPr>
        <w:t>la</w:t>
      </w:r>
      <w:r w:rsidR="00BE7254" w:rsidRPr="008A1F83">
        <w:rPr>
          <w:color w:val="auto"/>
          <w:sz w:val="20"/>
          <w:szCs w:val="20"/>
          <w:lang w:val="es-ES_tradnl"/>
        </w:rPr>
        <w:t xml:space="preserve"> </w:t>
      </w:r>
      <w:r w:rsidR="00EB21F5" w:rsidRPr="008A1F83">
        <w:rPr>
          <w:color w:val="auto"/>
          <w:sz w:val="20"/>
          <w:szCs w:val="20"/>
          <w:lang w:val="es-ES_tradnl"/>
        </w:rPr>
        <w:t xml:space="preserve">en hospitales y la </w:t>
      </w:r>
      <w:r w:rsidR="00BE7254" w:rsidRPr="008A1F83">
        <w:rPr>
          <w:color w:val="auto"/>
          <w:sz w:val="20"/>
          <w:szCs w:val="20"/>
          <w:lang w:val="es-ES_tradnl"/>
        </w:rPr>
        <w:t>morgue</w:t>
      </w:r>
      <w:r w:rsidR="006533B0" w:rsidRPr="008A1F83">
        <w:rPr>
          <w:color w:val="auto"/>
          <w:sz w:val="20"/>
          <w:szCs w:val="20"/>
          <w:lang w:val="es-ES_tradnl"/>
        </w:rPr>
        <w:t xml:space="preserve"> cuando no había regresado a su casa a medianoche</w:t>
      </w:r>
      <w:r w:rsidR="003237F0" w:rsidRPr="008A1F83">
        <w:rPr>
          <w:color w:val="auto"/>
          <w:sz w:val="20"/>
          <w:szCs w:val="20"/>
          <w:lang w:val="es-ES_tradnl"/>
        </w:rPr>
        <w:t xml:space="preserve">. </w:t>
      </w:r>
      <w:r w:rsidR="006533B0" w:rsidRPr="008A1F83">
        <w:rPr>
          <w:color w:val="auto"/>
          <w:sz w:val="20"/>
          <w:szCs w:val="20"/>
          <w:lang w:val="es-ES_tradnl"/>
        </w:rPr>
        <w:t>Narra</w:t>
      </w:r>
      <w:r w:rsidR="00BE7254" w:rsidRPr="008A1F83">
        <w:rPr>
          <w:color w:val="auto"/>
          <w:sz w:val="20"/>
          <w:szCs w:val="20"/>
          <w:lang w:val="es-ES_tradnl"/>
        </w:rPr>
        <w:t xml:space="preserve"> que la familia </w:t>
      </w:r>
      <w:r w:rsidR="003237F0" w:rsidRPr="008A1F83">
        <w:rPr>
          <w:color w:val="auto"/>
          <w:sz w:val="20"/>
          <w:szCs w:val="20"/>
          <w:lang w:val="es-ES_tradnl"/>
        </w:rPr>
        <w:t xml:space="preserve">Pérez Constante </w:t>
      </w:r>
      <w:r w:rsidR="00BE7254" w:rsidRPr="008A1F83">
        <w:rPr>
          <w:color w:val="auto"/>
          <w:sz w:val="20"/>
          <w:szCs w:val="20"/>
          <w:lang w:val="es-ES_tradnl"/>
        </w:rPr>
        <w:t>presentó un</w:t>
      </w:r>
      <w:r w:rsidR="003237F0" w:rsidRPr="008A1F83">
        <w:rPr>
          <w:color w:val="auto"/>
          <w:sz w:val="20"/>
          <w:szCs w:val="20"/>
          <w:lang w:val="es-ES_tradnl"/>
        </w:rPr>
        <w:t>a denuncia formal ante la Fiscalía de Tungurahua</w:t>
      </w:r>
      <w:r w:rsidR="006533B0" w:rsidRPr="008A1F83">
        <w:rPr>
          <w:color w:val="auto"/>
          <w:sz w:val="20"/>
          <w:szCs w:val="20"/>
          <w:lang w:val="es-ES_tradnl"/>
        </w:rPr>
        <w:t xml:space="preserve"> el 6 de diciembre de 2010</w:t>
      </w:r>
      <w:r w:rsidR="003237F0" w:rsidRPr="008A1F83">
        <w:rPr>
          <w:color w:val="auto"/>
          <w:sz w:val="20"/>
          <w:szCs w:val="20"/>
          <w:lang w:val="es-ES_tradnl"/>
        </w:rPr>
        <w:t xml:space="preserve">, </w:t>
      </w:r>
      <w:r w:rsidR="00BE7254" w:rsidRPr="008A1F83">
        <w:rPr>
          <w:color w:val="auto"/>
          <w:sz w:val="20"/>
          <w:szCs w:val="20"/>
          <w:lang w:val="es-ES_tradnl"/>
        </w:rPr>
        <w:t xml:space="preserve">y </w:t>
      </w:r>
      <w:r w:rsidR="003237F0" w:rsidRPr="008A1F83">
        <w:rPr>
          <w:color w:val="auto"/>
          <w:sz w:val="20"/>
          <w:szCs w:val="20"/>
          <w:lang w:val="es-ES_tradnl"/>
        </w:rPr>
        <w:t xml:space="preserve">junto con ayuda de familiares y vecinos </w:t>
      </w:r>
      <w:r w:rsidR="00BE7254" w:rsidRPr="008A1F83">
        <w:rPr>
          <w:color w:val="auto"/>
          <w:sz w:val="20"/>
          <w:szCs w:val="20"/>
          <w:lang w:val="es-ES_tradnl"/>
        </w:rPr>
        <w:t xml:space="preserve">pegaron </w:t>
      </w:r>
      <w:r w:rsidR="003237F0" w:rsidRPr="008A1F83">
        <w:rPr>
          <w:color w:val="auto"/>
          <w:sz w:val="20"/>
          <w:szCs w:val="20"/>
          <w:lang w:val="es-ES_tradnl"/>
        </w:rPr>
        <w:t>afiches</w:t>
      </w:r>
      <w:r w:rsidR="00BE7254" w:rsidRPr="008A1F83">
        <w:rPr>
          <w:color w:val="auto"/>
          <w:sz w:val="20"/>
          <w:szCs w:val="20"/>
          <w:lang w:val="es-ES_tradnl"/>
        </w:rPr>
        <w:t xml:space="preserve">, </w:t>
      </w:r>
      <w:r w:rsidR="003237F0" w:rsidRPr="008A1F83">
        <w:rPr>
          <w:color w:val="auto"/>
          <w:sz w:val="20"/>
          <w:szCs w:val="20"/>
          <w:lang w:val="es-ES_tradnl"/>
        </w:rPr>
        <w:t xml:space="preserve">realizaron publicaciones </w:t>
      </w:r>
      <w:r w:rsidR="0025708C" w:rsidRPr="008A1F83">
        <w:rPr>
          <w:color w:val="auto"/>
          <w:sz w:val="20"/>
          <w:szCs w:val="20"/>
          <w:lang w:val="es-ES_tradnl"/>
        </w:rPr>
        <w:t xml:space="preserve">y </w:t>
      </w:r>
      <w:r w:rsidR="003237F0" w:rsidRPr="008A1F83">
        <w:rPr>
          <w:color w:val="auto"/>
          <w:sz w:val="20"/>
          <w:szCs w:val="20"/>
          <w:lang w:val="es-ES_tradnl"/>
        </w:rPr>
        <w:t>dieron entrevistas en diferentes medios de comunicación</w:t>
      </w:r>
      <w:r w:rsidR="003702D3" w:rsidRPr="008A1F83">
        <w:rPr>
          <w:color w:val="auto"/>
          <w:sz w:val="20"/>
          <w:szCs w:val="20"/>
          <w:lang w:val="es-ES_tradnl"/>
        </w:rPr>
        <w:t>;</w:t>
      </w:r>
      <w:r w:rsidR="003237F0" w:rsidRPr="008A1F83">
        <w:rPr>
          <w:color w:val="auto"/>
          <w:sz w:val="20"/>
          <w:szCs w:val="20"/>
          <w:lang w:val="es-ES_tradnl"/>
        </w:rPr>
        <w:t xml:space="preserve"> </w:t>
      </w:r>
      <w:r w:rsidR="003702D3" w:rsidRPr="008A1F83">
        <w:rPr>
          <w:color w:val="auto"/>
          <w:sz w:val="20"/>
          <w:szCs w:val="20"/>
          <w:lang w:val="es-ES_tradnl"/>
        </w:rPr>
        <w:t>además</w:t>
      </w:r>
      <w:r w:rsidR="003237F0" w:rsidRPr="008A1F83">
        <w:rPr>
          <w:color w:val="auto"/>
          <w:sz w:val="20"/>
          <w:szCs w:val="20"/>
          <w:lang w:val="es-ES_tradnl"/>
        </w:rPr>
        <w:t xml:space="preserve"> han realizado plantones junto a la Asociación de Familiares y Amigos de Desaparecidos del Ecuador. </w:t>
      </w:r>
      <w:r w:rsidR="0025708C" w:rsidRPr="008A1F83">
        <w:rPr>
          <w:color w:val="auto"/>
          <w:sz w:val="20"/>
          <w:szCs w:val="20"/>
          <w:lang w:val="es-ES_tradnl"/>
        </w:rPr>
        <w:t xml:space="preserve">Asimismo, </w:t>
      </w:r>
      <w:r w:rsidR="006533B0" w:rsidRPr="008A1F83">
        <w:rPr>
          <w:color w:val="auto"/>
          <w:sz w:val="20"/>
          <w:szCs w:val="20"/>
          <w:lang w:val="es-ES_tradnl"/>
        </w:rPr>
        <w:t xml:space="preserve">describe </w:t>
      </w:r>
      <w:r w:rsidR="0025708C" w:rsidRPr="008A1F83">
        <w:rPr>
          <w:color w:val="auto"/>
          <w:sz w:val="20"/>
          <w:szCs w:val="20"/>
          <w:lang w:val="es-ES_tradnl"/>
        </w:rPr>
        <w:t xml:space="preserve">que </w:t>
      </w:r>
      <w:r w:rsidR="003237F0" w:rsidRPr="008A1F83">
        <w:rPr>
          <w:color w:val="auto"/>
          <w:sz w:val="20"/>
          <w:szCs w:val="20"/>
          <w:lang w:val="es-ES_tradnl"/>
        </w:rPr>
        <w:t>han interpuesto oficios a múltiples instituciones estatales, entre ellas la Presidencia de la República, Fiscalía General del Estado, Defensoría del Pueblo de Tungurahua y d</w:t>
      </w:r>
      <w:r w:rsidR="0025708C" w:rsidRPr="008A1F83">
        <w:rPr>
          <w:color w:val="auto"/>
          <w:sz w:val="20"/>
          <w:szCs w:val="20"/>
          <w:lang w:val="es-ES_tradnl"/>
        </w:rPr>
        <w:t xml:space="preserve">istintas </w:t>
      </w:r>
      <w:r w:rsidR="003237F0" w:rsidRPr="008A1F83">
        <w:rPr>
          <w:color w:val="auto"/>
          <w:sz w:val="20"/>
          <w:szCs w:val="20"/>
          <w:lang w:val="es-ES_tradnl"/>
        </w:rPr>
        <w:t xml:space="preserve">acciones de activismo hasta la fecha. </w:t>
      </w:r>
    </w:p>
    <w:p w14:paraId="7C58677B" w14:textId="023C3A4A" w:rsidR="009609EA" w:rsidRPr="008A1F83" w:rsidRDefault="006533B0" w:rsidP="00DA540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 xml:space="preserve">Indica </w:t>
      </w:r>
      <w:r w:rsidR="009F41C3" w:rsidRPr="008A1F83">
        <w:rPr>
          <w:color w:val="auto"/>
          <w:sz w:val="20"/>
          <w:szCs w:val="20"/>
          <w:lang w:val="es-ES_tradnl"/>
        </w:rPr>
        <w:t xml:space="preserve">que existe una </w:t>
      </w:r>
      <w:r w:rsidR="001A7338" w:rsidRPr="008A1F83">
        <w:rPr>
          <w:color w:val="auto"/>
          <w:sz w:val="20"/>
          <w:szCs w:val="20"/>
          <w:lang w:val="es-ES_tradnl"/>
        </w:rPr>
        <w:t>investigación</w:t>
      </w:r>
      <w:r w:rsidR="00EC2AAB" w:rsidRPr="008A1F83">
        <w:rPr>
          <w:color w:val="auto"/>
          <w:sz w:val="20"/>
          <w:szCs w:val="20"/>
          <w:lang w:val="es-ES_tradnl"/>
        </w:rPr>
        <w:t xml:space="preserve"> fiscal</w:t>
      </w:r>
      <w:r w:rsidR="001A7338" w:rsidRPr="008A1F83">
        <w:rPr>
          <w:color w:val="auto"/>
          <w:sz w:val="20"/>
          <w:szCs w:val="20"/>
          <w:lang w:val="es-ES_tradnl"/>
        </w:rPr>
        <w:t xml:space="preserve"> registra</w:t>
      </w:r>
      <w:r w:rsidR="009F41C3" w:rsidRPr="008A1F83">
        <w:rPr>
          <w:color w:val="auto"/>
          <w:sz w:val="20"/>
          <w:szCs w:val="20"/>
          <w:lang w:val="es-ES_tradnl"/>
        </w:rPr>
        <w:t xml:space="preserve">da bajo </w:t>
      </w:r>
      <w:r w:rsidR="001A7338" w:rsidRPr="008A1F83">
        <w:rPr>
          <w:color w:val="auto"/>
          <w:sz w:val="20"/>
          <w:szCs w:val="20"/>
          <w:lang w:val="es-ES_tradnl"/>
        </w:rPr>
        <w:t xml:space="preserve">el </w:t>
      </w:r>
      <w:r w:rsidR="009F41C3" w:rsidRPr="008A1F83">
        <w:rPr>
          <w:color w:val="auto"/>
          <w:sz w:val="20"/>
          <w:szCs w:val="20"/>
          <w:lang w:val="es-ES_tradnl"/>
        </w:rPr>
        <w:t>e</w:t>
      </w:r>
      <w:r w:rsidR="001A7338" w:rsidRPr="008A1F83">
        <w:rPr>
          <w:color w:val="auto"/>
          <w:sz w:val="20"/>
          <w:szCs w:val="20"/>
          <w:lang w:val="es-ES_tradnl"/>
        </w:rPr>
        <w:t xml:space="preserve">xpediente No. 306-2010 en la </w:t>
      </w:r>
      <w:r w:rsidR="009F41C3" w:rsidRPr="008A1F83">
        <w:rPr>
          <w:color w:val="auto"/>
          <w:sz w:val="20"/>
          <w:szCs w:val="20"/>
          <w:lang w:val="es-ES_tradnl"/>
        </w:rPr>
        <w:t xml:space="preserve">Fiscalía Especializada de Soluciones Rápidas #1 de la Provincia de Tungurahua </w:t>
      </w:r>
      <w:r w:rsidRPr="008A1F83">
        <w:rPr>
          <w:color w:val="auto"/>
          <w:sz w:val="20"/>
          <w:szCs w:val="20"/>
          <w:lang w:val="es-ES_tradnl"/>
        </w:rPr>
        <w:t xml:space="preserve">a partir de </w:t>
      </w:r>
      <w:r w:rsidR="00EA39DE" w:rsidRPr="008A1F83">
        <w:rPr>
          <w:color w:val="auto"/>
          <w:sz w:val="20"/>
          <w:szCs w:val="20"/>
          <w:lang w:val="es-ES_tradnl"/>
        </w:rPr>
        <w:t xml:space="preserve">una </w:t>
      </w:r>
      <w:r w:rsidRPr="008A1F83">
        <w:rPr>
          <w:color w:val="auto"/>
          <w:sz w:val="20"/>
          <w:szCs w:val="20"/>
          <w:lang w:val="es-ES_tradnl"/>
        </w:rPr>
        <w:t xml:space="preserve">denuncia </w:t>
      </w:r>
      <w:r w:rsidR="00EA39DE" w:rsidRPr="008A1F83">
        <w:rPr>
          <w:color w:val="auto"/>
          <w:sz w:val="20"/>
          <w:szCs w:val="20"/>
          <w:lang w:val="es-ES_tradnl"/>
        </w:rPr>
        <w:t>presentada por la familia</w:t>
      </w:r>
      <w:r w:rsidR="00313BC5" w:rsidRPr="008A1F83">
        <w:rPr>
          <w:color w:val="auto"/>
          <w:sz w:val="20"/>
          <w:szCs w:val="20"/>
          <w:lang w:val="es-ES_tradnl"/>
        </w:rPr>
        <w:t>,</w:t>
      </w:r>
      <w:r w:rsidR="00EA39DE" w:rsidRPr="008A1F83">
        <w:rPr>
          <w:color w:val="auto"/>
          <w:sz w:val="20"/>
          <w:szCs w:val="20"/>
          <w:lang w:val="es-ES_tradnl"/>
        </w:rPr>
        <w:t xml:space="preserve"> </w:t>
      </w:r>
      <w:r w:rsidR="009F41C3" w:rsidRPr="008A1F83">
        <w:rPr>
          <w:color w:val="auto"/>
          <w:sz w:val="20"/>
          <w:szCs w:val="20"/>
          <w:lang w:val="es-ES_tradnl"/>
        </w:rPr>
        <w:t>la cual a</w:t>
      </w:r>
      <w:r w:rsidR="001A7338" w:rsidRPr="008A1F83">
        <w:rPr>
          <w:color w:val="auto"/>
          <w:sz w:val="20"/>
          <w:szCs w:val="20"/>
          <w:lang w:val="es-ES_tradnl"/>
        </w:rPr>
        <w:t xml:space="preserve">ctualmente se encuentra en la etapa </w:t>
      </w:r>
      <w:r w:rsidR="003702D3" w:rsidRPr="008A1F83">
        <w:rPr>
          <w:color w:val="auto"/>
          <w:sz w:val="20"/>
          <w:szCs w:val="20"/>
          <w:lang w:val="es-ES_tradnl"/>
        </w:rPr>
        <w:t>“</w:t>
      </w:r>
      <w:r w:rsidR="001A7338" w:rsidRPr="008A1F83">
        <w:rPr>
          <w:color w:val="auto"/>
          <w:sz w:val="20"/>
          <w:szCs w:val="20"/>
          <w:lang w:val="es-ES_tradnl"/>
        </w:rPr>
        <w:t>preprocesal</w:t>
      </w:r>
      <w:r w:rsidR="003702D3" w:rsidRPr="008A1F83">
        <w:rPr>
          <w:color w:val="auto"/>
          <w:sz w:val="20"/>
          <w:szCs w:val="20"/>
          <w:lang w:val="es-ES_tradnl"/>
        </w:rPr>
        <w:t>”</w:t>
      </w:r>
      <w:r w:rsidR="00313BC5" w:rsidRPr="008A1F83">
        <w:rPr>
          <w:color w:val="auto"/>
          <w:sz w:val="20"/>
          <w:szCs w:val="20"/>
          <w:lang w:val="es-ES_tradnl"/>
        </w:rPr>
        <w:t>,</w:t>
      </w:r>
      <w:r w:rsidR="001A7338" w:rsidRPr="008A1F83">
        <w:rPr>
          <w:color w:val="auto"/>
          <w:sz w:val="20"/>
          <w:szCs w:val="20"/>
          <w:lang w:val="es-ES_tradnl"/>
        </w:rPr>
        <w:t xml:space="preserve"> y no ha logrado avanzar a una instrucción fiscal. </w:t>
      </w:r>
      <w:r w:rsidR="003702D3" w:rsidRPr="008A1F83">
        <w:rPr>
          <w:color w:val="auto"/>
          <w:sz w:val="20"/>
          <w:szCs w:val="20"/>
          <w:lang w:val="es-ES_tradnl"/>
        </w:rPr>
        <w:t>A este respecto</w:t>
      </w:r>
      <w:r w:rsidR="00C35BD5" w:rsidRPr="008A1F83">
        <w:rPr>
          <w:color w:val="auto"/>
          <w:sz w:val="20"/>
          <w:szCs w:val="20"/>
          <w:lang w:val="es-ES_tradnl"/>
        </w:rPr>
        <w:t>, d</w:t>
      </w:r>
      <w:r w:rsidR="005F6FA4" w:rsidRPr="008A1F83">
        <w:rPr>
          <w:color w:val="auto"/>
          <w:sz w:val="20"/>
          <w:szCs w:val="20"/>
          <w:lang w:val="es-ES_tradnl"/>
        </w:rPr>
        <w:t>estaca que</w:t>
      </w:r>
      <w:r w:rsidR="00DC38C1" w:rsidRPr="008A1F83">
        <w:rPr>
          <w:color w:val="auto"/>
          <w:sz w:val="20"/>
          <w:szCs w:val="20"/>
          <w:lang w:val="es-ES_tradnl"/>
        </w:rPr>
        <w:t xml:space="preserve"> </w:t>
      </w:r>
      <w:r w:rsidR="005F6FA4" w:rsidRPr="008A1F83">
        <w:rPr>
          <w:color w:val="auto"/>
          <w:sz w:val="20"/>
          <w:szCs w:val="20"/>
          <w:lang w:val="es-ES_tradnl"/>
        </w:rPr>
        <w:t xml:space="preserve">la Fiscalía de Tungurahua citó a </w:t>
      </w:r>
      <w:r w:rsidR="0031053E" w:rsidRPr="008A1F83">
        <w:rPr>
          <w:color w:val="auto"/>
          <w:sz w:val="20"/>
          <w:szCs w:val="20"/>
          <w:lang w:val="es-ES_tradnl"/>
        </w:rPr>
        <w:t>A.F.L.L.</w:t>
      </w:r>
      <w:r w:rsidR="005F6FA4" w:rsidRPr="008A1F83">
        <w:rPr>
          <w:color w:val="auto"/>
          <w:sz w:val="20"/>
          <w:szCs w:val="20"/>
          <w:lang w:val="es-ES_tradnl"/>
        </w:rPr>
        <w:t xml:space="preserve"> para rendir su versión sobre la desaparición de la presunta víctima</w:t>
      </w:r>
      <w:r w:rsidR="00313BC5" w:rsidRPr="008A1F83">
        <w:rPr>
          <w:color w:val="auto"/>
          <w:sz w:val="20"/>
          <w:szCs w:val="20"/>
          <w:lang w:val="es-ES_tradnl"/>
        </w:rPr>
        <w:t>;</w:t>
      </w:r>
      <w:r w:rsidR="005F6FA4" w:rsidRPr="008A1F83">
        <w:rPr>
          <w:color w:val="auto"/>
          <w:sz w:val="20"/>
          <w:szCs w:val="20"/>
          <w:lang w:val="es-ES_tradnl"/>
        </w:rPr>
        <w:t xml:space="preserve"> </w:t>
      </w:r>
      <w:r w:rsidR="00C35BD5" w:rsidRPr="008A1F83">
        <w:rPr>
          <w:color w:val="auto"/>
          <w:sz w:val="20"/>
          <w:szCs w:val="20"/>
          <w:lang w:val="es-ES_tradnl"/>
        </w:rPr>
        <w:t xml:space="preserve">no obstante </w:t>
      </w:r>
      <w:r w:rsidR="005F6FA4" w:rsidRPr="008A1F83">
        <w:rPr>
          <w:color w:val="auto"/>
          <w:sz w:val="20"/>
          <w:szCs w:val="20"/>
          <w:lang w:val="es-ES_tradnl"/>
        </w:rPr>
        <w:t>e</w:t>
      </w:r>
      <w:r w:rsidR="00E852C4" w:rsidRPr="008A1F83">
        <w:rPr>
          <w:color w:val="auto"/>
          <w:sz w:val="20"/>
          <w:szCs w:val="20"/>
          <w:lang w:val="es-ES_tradnl"/>
        </w:rPr>
        <w:t xml:space="preserve">l 14 de diciembre de 2010 </w:t>
      </w:r>
      <w:r w:rsidR="003702D3" w:rsidRPr="008A1F83">
        <w:rPr>
          <w:color w:val="auto"/>
          <w:sz w:val="20"/>
          <w:szCs w:val="20"/>
          <w:lang w:val="es-ES_tradnl"/>
        </w:rPr>
        <w:t>una</w:t>
      </w:r>
      <w:r w:rsidR="005F6FA4" w:rsidRPr="008A1F83">
        <w:rPr>
          <w:color w:val="auto"/>
          <w:sz w:val="20"/>
          <w:szCs w:val="20"/>
          <w:lang w:val="es-ES_tradnl"/>
        </w:rPr>
        <w:t xml:space="preserve"> </w:t>
      </w:r>
      <w:r w:rsidR="00E852C4" w:rsidRPr="008A1F83">
        <w:rPr>
          <w:color w:val="auto"/>
          <w:sz w:val="20"/>
          <w:szCs w:val="20"/>
          <w:lang w:val="es-ES_tradnl"/>
        </w:rPr>
        <w:t xml:space="preserve">hermana de </w:t>
      </w:r>
      <w:r w:rsidR="0031053E" w:rsidRPr="008A1F83">
        <w:rPr>
          <w:color w:val="auto"/>
          <w:sz w:val="20"/>
          <w:szCs w:val="20"/>
          <w:lang w:val="es-ES_tradnl"/>
        </w:rPr>
        <w:t>A.F.L.L.</w:t>
      </w:r>
      <w:r w:rsidR="00E852C4" w:rsidRPr="008A1F83">
        <w:rPr>
          <w:color w:val="auto"/>
          <w:sz w:val="20"/>
          <w:szCs w:val="20"/>
          <w:lang w:val="es-ES_tradnl"/>
        </w:rPr>
        <w:t xml:space="preserve"> formul</w:t>
      </w:r>
      <w:r w:rsidR="009F41C3" w:rsidRPr="008A1F83">
        <w:rPr>
          <w:color w:val="auto"/>
          <w:sz w:val="20"/>
          <w:szCs w:val="20"/>
          <w:lang w:val="es-ES_tradnl"/>
        </w:rPr>
        <w:t>ó</w:t>
      </w:r>
      <w:r w:rsidR="00E852C4" w:rsidRPr="008A1F83">
        <w:rPr>
          <w:color w:val="auto"/>
          <w:sz w:val="20"/>
          <w:szCs w:val="20"/>
          <w:lang w:val="es-ES_tradnl"/>
        </w:rPr>
        <w:t xml:space="preserve"> una denuncia</w:t>
      </w:r>
      <w:r w:rsidR="00C35BD5" w:rsidRPr="008A1F83">
        <w:rPr>
          <w:color w:val="auto"/>
          <w:sz w:val="20"/>
          <w:szCs w:val="20"/>
          <w:lang w:val="es-ES_tradnl"/>
        </w:rPr>
        <w:t xml:space="preserve"> llena de contradicciones</w:t>
      </w:r>
      <w:r w:rsidR="00E852C4" w:rsidRPr="008A1F83">
        <w:rPr>
          <w:color w:val="auto"/>
          <w:sz w:val="20"/>
          <w:szCs w:val="20"/>
          <w:lang w:val="es-ES_tradnl"/>
        </w:rPr>
        <w:t xml:space="preserve"> sobre </w:t>
      </w:r>
      <w:r w:rsidR="005F6FA4" w:rsidRPr="008A1F83">
        <w:rPr>
          <w:color w:val="auto"/>
          <w:sz w:val="20"/>
          <w:szCs w:val="20"/>
          <w:lang w:val="es-ES_tradnl"/>
        </w:rPr>
        <w:t xml:space="preserve">su </w:t>
      </w:r>
      <w:r w:rsidR="00E852C4" w:rsidRPr="008A1F83">
        <w:rPr>
          <w:color w:val="auto"/>
          <w:sz w:val="20"/>
          <w:szCs w:val="20"/>
          <w:lang w:val="es-ES_tradnl"/>
        </w:rPr>
        <w:t xml:space="preserve">supuesta desaparición. </w:t>
      </w:r>
      <w:r w:rsidR="00C35BD5" w:rsidRPr="008A1F83">
        <w:rPr>
          <w:color w:val="auto"/>
          <w:sz w:val="20"/>
          <w:szCs w:val="20"/>
          <w:lang w:val="es-ES_tradnl"/>
        </w:rPr>
        <w:t>D</w:t>
      </w:r>
      <w:r w:rsidR="002F4AC3" w:rsidRPr="008A1F83">
        <w:rPr>
          <w:color w:val="auto"/>
          <w:sz w:val="20"/>
          <w:szCs w:val="20"/>
          <w:lang w:val="es-ES_tradnl"/>
        </w:rPr>
        <w:t xml:space="preserve">e acuerdo </w:t>
      </w:r>
      <w:r w:rsidR="003702D3" w:rsidRPr="008A1F83">
        <w:rPr>
          <w:color w:val="auto"/>
          <w:sz w:val="20"/>
          <w:szCs w:val="20"/>
          <w:lang w:val="es-ES_tradnl"/>
        </w:rPr>
        <w:t xml:space="preserve">con </w:t>
      </w:r>
      <w:r w:rsidR="002F4AC3" w:rsidRPr="008A1F83">
        <w:rPr>
          <w:color w:val="auto"/>
          <w:sz w:val="20"/>
          <w:szCs w:val="20"/>
          <w:lang w:val="es-ES_tradnl"/>
        </w:rPr>
        <w:t xml:space="preserve">dicha denuncia, </w:t>
      </w:r>
      <w:r w:rsidR="00E852C4" w:rsidRPr="008A1F83">
        <w:rPr>
          <w:color w:val="auto"/>
          <w:sz w:val="20"/>
          <w:szCs w:val="20"/>
          <w:lang w:val="es-ES_tradnl"/>
        </w:rPr>
        <w:t>el 10 de diciembre de 2010</w:t>
      </w:r>
      <w:r w:rsidR="002F4AC3" w:rsidRPr="008A1F83">
        <w:rPr>
          <w:color w:val="auto"/>
          <w:sz w:val="20"/>
          <w:szCs w:val="20"/>
          <w:lang w:val="es-ES_tradnl"/>
        </w:rPr>
        <w:t xml:space="preserve"> </w:t>
      </w:r>
      <w:r w:rsidR="0031053E" w:rsidRPr="008A1F83">
        <w:rPr>
          <w:color w:val="auto"/>
          <w:sz w:val="20"/>
          <w:szCs w:val="20"/>
          <w:lang w:val="es-ES_tradnl"/>
        </w:rPr>
        <w:t>A.F.L.L.</w:t>
      </w:r>
      <w:r w:rsidR="00E852C4" w:rsidRPr="008A1F83">
        <w:rPr>
          <w:color w:val="auto"/>
          <w:sz w:val="20"/>
          <w:szCs w:val="20"/>
          <w:lang w:val="es-ES_tradnl"/>
        </w:rPr>
        <w:t xml:space="preserve"> report</w:t>
      </w:r>
      <w:r w:rsidR="002F4AC3" w:rsidRPr="008A1F83">
        <w:rPr>
          <w:color w:val="auto"/>
          <w:sz w:val="20"/>
          <w:szCs w:val="20"/>
          <w:lang w:val="es-ES_tradnl"/>
        </w:rPr>
        <w:t xml:space="preserve">ó su celular </w:t>
      </w:r>
      <w:r w:rsidR="00E852C4" w:rsidRPr="008A1F83">
        <w:rPr>
          <w:color w:val="auto"/>
          <w:sz w:val="20"/>
          <w:szCs w:val="20"/>
          <w:lang w:val="es-ES_tradnl"/>
        </w:rPr>
        <w:t>como robado</w:t>
      </w:r>
      <w:r w:rsidR="00FE473F" w:rsidRPr="008A1F83">
        <w:rPr>
          <w:color w:val="auto"/>
          <w:sz w:val="20"/>
          <w:szCs w:val="20"/>
          <w:lang w:val="es-ES_tradnl"/>
        </w:rPr>
        <w:t xml:space="preserve">, </w:t>
      </w:r>
      <w:r w:rsidR="00E852C4" w:rsidRPr="008A1F83">
        <w:rPr>
          <w:color w:val="auto"/>
          <w:sz w:val="20"/>
          <w:szCs w:val="20"/>
          <w:lang w:val="es-ES_tradnl"/>
        </w:rPr>
        <w:t>cerr</w:t>
      </w:r>
      <w:r w:rsidR="002F4AC3" w:rsidRPr="008A1F83">
        <w:rPr>
          <w:color w:val="auto"/>
          <w:sz w:val="20"/>
          <w:szCs w:val="20"/>
          <w:lang w:val="es-ES_tradnl"/>
        </w:rPr>
        <w:t xml:space="preserve">ó </w:t>
      </w:r>
      <w:r w:rsidR="00E852C4" w:rsidRPr="008A1F83">
        <w:rPr>
          <w:color w:val="auto"/>
          <w:sz w:val="20"/>
          <w:szCs w:val="20"/>
          <w:lang w:val="es-ES_tradnl"/>
        </w:rPr>
        <w:t>su página social de Facebook arguyendo que alguien lo amenazaba</w:t>
      </w:r>
      <w:r w:rsidR="00313BC5" w:rsidRPr="008A1F83">
        <w:rPr>
          <w:color w:val="auto"/>
          <w:sz w:val="20"/>
          <w:szCs w:val="20"/>
          <w:lang w:val="es-ES_tradnl"/>
        </w:rPr>
        <w:t>,</w:t>
      </w:r>
      <w:r w:rsidR="00FE473F" w:rsidRPr="008A1F83">
        <w:rPr>
          <w:color w:val="auto"/>
          <w:sz w:val="20"/>
          <w:szCs w:val="20"/>
          <w:lang w:val="es-ES_tradnl"/>
        </w:rPr>
        <w:t xml:space="preserve"> y el </w:t>
      </w:r>
      <w:r w:rsidR="00E852C4" w:rsidRPr="008A1F83">
        <w:rPr>
          <w:color w:val="auto"/>
          <w:sz w:val="20"/>
          <w:szCs w:val="20"/>
          <w:lang w:val="es-ES_tradnl"/>
        </w:rPr>
        <w:t xml:space="preserve">12 de </w:t>
      </w:r>
      <w:r w:rsidR="002F4AC3" w:rsidRPr="008A1F83">
        <w:rPr>
          <w:color w:val="auto"/>
          <w:sz w:val="20"/>
          <w:szCs w:val="20"/>
          <w:lang w:val="es-ES_tradnl"/>
        </w:rPr>
        <w:t>d</w:t>
      </w:r>
      <w:r w:rsidR="00E852C4" w:rsidRPr="008A1F83">
        <w:rPr>
          <w:color w:val="auto"/>
          <w:sz w:val="20"/>
          <w:szCs w:val="20"/>
          <w:lang w:val="es-ES_tradnl"/>
        </w:rPr>
        <w:t>iciembre</w:t>
      </w:r>
      <w:r w:rsidR="00FE473F" w:rsidRPr="008A1F83">
        <w:rPr>
          <w:color w:val="auto"/>
          <w:sz w:val="20"/>
          <w:szCs w:val="20"/>
          <w:lang w:val="es-ES_tradnl"/>
        </w:rPr>
        <w:t xml:space="preserve"> </w:t>
      </w:r>
      <w:r w:rsidR="002F4AC3" w:rsidRPr="008A1F83">
        <w:rPr>
          <w:color w:val="auto"/>
          <w:sz w:val="20"/>
          <w:szCs w:val="20"/>
          <w:lang w:val="es-ES_tradnl"/>
        </w:rPr>
        <w:t xml:space="preserve">desapareció </w:t>
      </w:r>
      <w:r w:rsidR="00E852C4" w:rsidRPr="008A1F83">
        <w:rPr>
          <w:color w:val="auto"/>
          <w:sz w:val="20"/>
          <w:szCs w:val="20"/>
          <w:lang w:val="es-ES_tradnl"/>
        </w:rPr>
        <w:t xml:space="preserve">en el domicilio de </w:t>
      </w:r>
      <w:r w:rsidR="002F4AC3" w:rsidRPr="008A1F83">
        <w:rPr>
          <w:color w:val="auto"/>
          <w:sz w:val="20"/>
          <w:szCs w:val="20"/>
          <w:lang w:val="es-ES_tradnl"/>
        </w:rPr>
        <w:t xml:space="preserve">su hermana </w:t>
      </w:r>
      <w:r w:rsidR="00E852C4" w:rsidRPr="008A1F83">
        <w:rPr>
          <w:color w:val="auto"/>
          <w:sz w:val="20"/>
          <w:szCs w:val="20"/>
          <w:lang w:val="es-ES_tradnl"/>
        </w:rPr>
        <w:t>en la ciudad de Ambato</w:t>
      </w:r>
      <w:r w:rsidR="002F4AC3" w:rsidRPr="008A1F83">
        <w:rPr>
          <w:color w:val="auto"/>
          <w:sz w:val="20"/>
          <w:szCs w:val="20"/>
          <w:lang w:val="es-ES_tradnl"/>
        </w:rPr>
        <w:t xml:space="preserve"> siendo visto por última vez</w:t>
      </w:r>
      <w:r w:rsidR="00E852C4" w:rsidRPr="008A1F83">
        <w:rPr>
          <w:color w:val="auto"/>
          <w:sz w:val="20"/>
          <w:szCs w:val="20"/>
          <w:lang w:val="es-ES_tradnl"/>
        </w:rPr>
        <w:t xml:space="preserve"> alrededor de las </w:t>
      </w:r>
      <w:r w:rsidR="00EA39DE" w:rsidRPr="008A1F83">
        <w:rPr>
          <w:color w:val="auto"/>
          <w:sz w:val="20"/>
          <w:szCs w:val="20"/>
          <w:lang w:val="es-ES_tradnl"/>
        </w:rPr>
        <w:t>siete de la mañana</w:t>
      </w:r>
      <w:r w:rsidR="00E852C4" w:rsidRPr="008A1F83">
        <w:rPr>
          <w:color w:val="auto"/>
          <w:sz w:val="20"/>
          <w:szCs w:val="20"/>
          <w:lang w:val="es-ES_tradnl"/>
        </w:rPr>
        <w:t xml:space="preserve">. </w:t>
      </w:r>
      <w:r w:rsidR="00313BC5" w:rsidRPr="008A1F83">
        <w:rPr>
          <w:color w:val="auto"/>
          <w:sz w:val="20"/>
          <w:szCs w:val="20"/>
          <w:lang w:val="es-ES_tradnl"/>
        </w:rPr>
        <w:t xml:space="preserve">Señala la peticionaria que </w:t>
      </w:r>
      <w:r w:rsidR="001A7338" w:rsidRPr="008A1F83">
        <w:rPr>
          <w:color w:val="auto"/>
          <w:sz w:val="20"/>
          <w:szCs w:val="20"/>
          <w:lang w:val="es-ES_tradnl"/>
        </w:rPr>
        <w:t xml:space="preserve">el 29 de </w:t>
      </w:r>
      <w:r w:rsidR="009A55DE" w:rsidRPr="008A1F83">
        <w:rPr>
          <w:color w:val="auto"/>
          <w:sz w:val="20"/>
          <w:szCs w:val="20"/>
          <w:lang w:val="es-ES_tradnl"/>
        </w:rPr>
        <w:t>d</w:t>
      </w:r>
      <w:r w:rsidR="001A7338" w:rsidRPr="008A1F83">
        <w:rPr>
          <w:color w:val="auto"/>
          <w:sz w:val="20"/>
          <w:szCs w:val="20"/>
          <w:lang w:val="es-ES_tradnl"/>
        </w:rPr>
        <w:t>iciembre de 2010</w:t>
      </w:r>
      <w:r w:rsidR="009A55DE" w:rsidRPr="008A1F83">
        <w:rPr>
          <w:color w:val="auto"/>
          <w:sz w:val="20"/>
          <w:szCs w:val="20"/>
          <w:lang w:val="es-ES_tradnl"/>
        </w:rPr>
        <w:t xml:space="preserve"> se dispuso la detención de </w:t>
      </w:r>
      <w:r w:rsidR="0031053E" w:rsidRPr="008A1F83">
        <w:rPr>
          <w:color w:val="auto"/>
          <w:sz w:val="20"/>
          <w:szCs w:val="20"/>
          <w:lang w:val="es-ES_tradnl"/>
        </w:rPr>
        <w:t>A.F.L.L.</w:t>
      </w:r>
      <w:r w:rsidR="006629B7" w:rsidRPr="008A1F83">
        <w:rPr>
          <w:color w:val="auto"/>
          <w:sz w:val="20"/>
          <w:szCs w:val="20"/>
          <w:lang w:val="es-ES_tradnl"/>
        </w:rPr>
        <w:t xml:space="preserve"> </w:t>
      </w:r>
      <w:r w:rsidR="00313BC5" w:rsidRPr="008A1F83">
        <w:rPr>
          <w:color w:val="auto"/>
          <w:sz w:val="20"/>
          <w:szCs w:val="20"/>
          <w:lang w:val="es-ES_tradnl"/>
        </w:rPr>
        <w:t xml:space="preserve">con el fin de investigar su participación en </w:t>
      </w:r>
      <w:r w:rsidR="006629B7" w:rsidRPr="008A1F83">
        <w:rPr>
          <w:color w:val="auto"/>
          <w:sz w:val="20"/>
          <w:szCs w:val="20"/>
          <w:lang w:val="es-ES_tradnl"/>
        </w:rPr>
        <w:t>la desaparición de la presunta víctima</w:t>
      </w:r>
      <w:r w:rsidR="00313BC5" w:rsidRPr="008A1F83">
        <w:rPr>
          <w:color w:val="auto"/>
          <w:sz w:val="20"/>
          <w:szCs w:val="20"/>
          <w:lang w:val="es-ES_tradnl"/>
        </w:rPr>
        <w:t>;</w:t>
      </w:r>
      <w:r w:rsidR="001A7338" w:rsidRPr="008A1F83">
        <w:rPr>
          <w:color w:val="auto"/>
          <w:sz w:val="20"/>
          <w:szCs w:val="20"/>
          <w:lang w:val="es-ES_tradnl"/>
        </w:rPr>
        <w:t xml:space="preserve"> sin embargo </w:t>
      </w:r>
      <w:r w:rsidR="00313BC5" w:rsidRPr="008A1F83">
        <w:rPr>
          <w:color w:val="auto"/>
          <w:sz w:val="20"/>
          <w:szCs w:val="20"/>
          <w:lang w:val="es-ES_tradnl"/>
        </w:rPr>
        <w:t>este</w:t>
      </w:r>
      <w:r w:rsidR="001A7338" w:rsidRPr="008A1F83">
        <w:rPr>
          <w:color w:val="auto"/>
          <w:sz w:val="20"/>
          <w:szCs w:val="20"/>
          <w:lang w:val="es-ES_tradnl"/>
        </w:rPr>
        <w:t xml:space="preserve"> </w:t>
      </w:r>
      <w:r w:rsidR="006629B7" w:rsidRPr="008A1F83">
        <w:rPr>
          <w:color w:val="auto"/>
          <w:sz w:val="20"/>
          <w:szCs w:val="20"/>
          <w:lang w:val="es-ES_tradnl"/>
        </w:rPr>
        <w:t xml:space="preserve">estaba </w:t>
      </w:r>
      <w:r w:rsidR="001A7338" w:rsidRPr="008A1F83">
        <w:rPr>
          <w:color w:val="auto"/>
          <w:sz w:val="20"/>
          <w:szCs w:val="20"/>
          <w:lang w:val="es-ES_tradnl"/>
        </w:rPr>
        <w:t>supuestamente desaparecido.</w:t>
      </w:r>
    </w:p>
    <w:p w14:paraId="209C614F" w14:textId="4868F8B9" w:rsidR="001A7338" w:rsidRPr="008A1F83" w:rsidRDefault="009A55DE" w:rsidP="003965B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A</w:t>
      </w:r>
      <w:r w:rsidR="00DC38C1" w:rsidRPr="008A1F83">
        <w:rPr>
          <w:color w:val="auto"/>
          <w:sz w:val="20"/>
          <w:szCs w:val="20"/>
          <w:lang w:val="es-ES_tradnl"/>
        </w:rPr>
        <w:t xml:space="preserve">rgumenta </w:t>
      </w:r>
      <w:r w:rsidRPr="008A1F83">
        <w:rPr>
          <w:color w:val="auto"/>
          <w:sz w:val="20"/>
          <w:szCs w:val="20"/>
          <w:lang w:val="es-ES_tradnl"/>
        </w:rPr>
        <w:t xml:space="preserve">asimismo </w:t>
      </w:r>
      <w:r w:rsidR="00DC38C1" w:rsidRPr="008A1F83">
        <w:rPr>
          <w:color w:val="auto"/>
          <w:sz w:val="20"/>
          <w:szCs w:val="20"/>
          <w:lang w:val="es-ES_tradnl"/>
        </w:rPr>
        <w:t xml:space="preserve">que han ocurrido </w:t>
      </w:r>
      <w:r w:rsidR="00FB0208" w:rsidRPr="008A1F83">
        <w:rPr>
          <w:color w:val="auto"/>
          <w:sz w:val="20"/>
          <w:szCs w:val="20"/>
          <w:lang w:val="es-ES_tradnl"/>
        </w:rPr>
        <w:t>una serie de irregularidades en</w:t>
      </w:r>
      <w:r w:rsidRPr="008A1F83">
        <w:rPr>
          <w:color w:val="auto"/>
          <w:sz w:val="20"/>
          <w:szCs w:val="20"/>
          <w:lang w:val="es-ES_tradnl"/>
        </w:rPr>
        <w:t xml:space="preserve"> </w:t>
      </w:r>
      <w:r w:rsidR="00FB0208" w:rsidRPr="008A1F83">
        <w:rPr>
          <w:color w:val="auto"/>
          <w:sz w:val="20"/>
          <w:szCs w:val="20"/>
          <w:lang w:val="es-ES_tradnl"/>
        </w:rPr>
        <w:t>la investigación</w:t>
      </w:r>
      <w:r w:rsidRPr="008A1F83">
        <w:rPr>
          <w:color w:val="auto"/>
          <w:sz w:val="20"/>
          <w:szCs w:val="20"/>
          <w:lang w:val="es-ES_tradnl"/>
        </w:rPr>
        <w:t xml:space="preserve"> fiscal</w:t>
      </w:r>
      <w:r w:rsidR="00FB0208" w:rsidRPr="008A1F83">
        <w:rPr>
          <w:color w:val="auto"/>
          <w:sz w:val="20"/>
          <w:szCs w:val="20"/>
          <w:lang w:val="es-ES_tradnl"/>
        </w:rPr>
        <w:t xml:space="preserve">. </w:t>
      </w:r>
      <w:r w:rsidR="00DC38C1" w:rsidRPr="008A1F83">
        <w:rPr>
          <w:color w:val="auto"/>
          <w:sz w:val="20"/>
          <w:szCs w:val="20"/>
          <w:lang w:val="es-ES_tradnl"/>
        </w:rPr>
        <w:t xml:space="preserve">Entre ellas, menciona </w:t>
      </w:r>
      <w:r w:rsidR="00661FCF" w:rsidRPr="008A1F83">
        <w:rPr>
          <w:color w:val="auto"/>
          <w:sz w:val="20"/>
          <w:szCs w:val="20"/>
          <w:lang w:val="es-ES_tradnl"/>
        </w:rPr>
        <w:t>el traspaso innecesario</w:t>
      </w:r>
      <w:r w:rsidR="00D12AE5" w:rsidRPr="008A1F83">
        <w:rPr>
          <w:color w:val="auto"/>
          <w:sz w:val="20"/>
          <w:szCs w:val="20"/>
          <w:lang w:val="es-ES_tradnl"/>
        </w:rPr>
        <w:t xml:space="preserve"> de la investigación</w:t>
      </w:r>
      <w:r w:rsidR="00661FCF" w:rsidRPr="008A1F83">
        <w:rPr>
          <w:color w:val="auto"/>
          <w:sz w:val="20"/>
          <w:szCs w:val="20"/>
          <w:lang w:val="es-ES_tradnl"/>
        </w:rPr>
        <w:t xml:space="preserve"> en </w:t>
      </w:r>
      <w:r w:rsidR="00DC38C1" w:rsidRPr="008A1F83">
        <w:rPr>
          <w:color w:val="auto"/>
          <w:sz w:val="20"/>
          <w:szCs w:val="20"/>
          <w:lang w:val="es-ES_tradnl"/>
        </w:rPr>
        <w:t>más</w:t>
      </w:r>
      <w:r w:rsidR="00661FCF" w:rsidRPr="008A1F83">
        <w:rPr>
          <w:color w:val="auto"/>
          <w:sz w:val="20"/>
          <w:szCs w:val="20"/>
          <w:lang w:val="es-ES_tradnl"/>
        </w:rPr>
        <w:t xml:space="preserve"> de </w:t>
      </w:r>
      <w:r w:rsidR="00C20183" w:rsidRPr="008A1F83">
        <w:rPr>
          <w:color w:val="auto"/>
          <w:sz w:val="20"/>
          <w:szCs w:val="20"/>
          <w:lang w:val="es-ES_tradnl"/>
        </w:rPr>
        <w:t>diez</w:t>
      </w:r>
      <w:r w:rsidR="00661FCF" w:rsidRPr="008A1F83">
        <w:rPr>
          <w:color w:val="auto"/>
          <w:sz w:val="20"/>
          <w:szCs w:val="20"/>
          <w:lang w:val="es-ES_tradnl"/>
        </w:rPr>
        <w:t xml:space="preserve"> oportunidades a disti</w:t>
      </w:r>
      <w:r w:rsidR="00DC38C1" w:rsidRPr="008A1F83">
        <w:rPr>
          <w:color w:val="auto"/>
          <w:sz w:val="20"/>
          <w:szCs w:val="20"/>
          <w:lang w:val="es-ES_tradnl"/>
        </w:rPr>
        <w:t>nt</w:t>
      </w:r>
      <w:r w:rsidR="00661FCF" w:rsidRPr="008A1F83">
        <w:rPr>
          <w:color w:val="auto"/>
          <w:sz w:val="20"/>
          <w:szCs w:val="20"/>
          <w:lang w:val="es-ES_tradnl"/>
        </w:rPr>
        <w:t>o</w:t>
      </w:r>
      <w:r w:rsidR="00DC38C1" w:rsidRPr="008A1F83">
        <w:rPr>
          <w:color w:val="auto"/>
          <w:sz w:val="20"/>
          <w:szCs w:val="20"/>
          <w:lang w:val="es-ES_tradnl"/>
        </w:rPr>
        <w:t>s</w:t>
      </w:r>
      <w:r w:rsidR="00661FCF" w:rsidRPr="008A1F83">
        <w:rPr>
          <w:color w:val="auto"/>
          <w:sz w:val="20"/>
          <w:szCs w:val="20"/>
          <w:lang w:val="es-ES_tradnl"/>
        </w:rPr>
        <w:t xml:space="preserve"> </w:t>
      </w:r>
      <w:r w:rsidR="00661FCF" w:rsidRPr="008A1F83">
        <w:rPr>
          <w:color w:val="auto"/>
          <w:sz w:val="20"/>
          <w:szCs w:val="20"/>
          <w:lang w:val="es-ES_tradnl"/>
        </w:rPr>
        <w:lastRenderedPageBreak/>
        <w:t>fis</w:t>
      </w:r>
      <w:r w:rsidR="00DC38C1" w:rsidRPr="008A1F83">
        <w:rPr>
          <w:color w:val="auto"/>
          <w:sz w:val="20"/>
          <w:szCs w:val="20"/>
          <w:lang w:val="es-ES_tradnl"/>
        </w:rPr>
        <w:t>c</w:t>
      </w:r>
      <w:r w:rsidR="00661FCF" w:rsidRPr="008A1F83">
        <w:rPr>
          <w:color w:val="auto"/>
          <w:sz w:val="20"/>
          <w:szCs w:val="20"/>
          <w:lang w:val="es-ES_tradnl"/>
        </w:rPr>
        <w:t>ales y la</w:t>
      </w:r>
      <w:r w:rsidR="00F9200B" w:rsidRPr="008A1F83">
        <w:rPr>
          <w:color w:val="auto"/>
          <w:sz w:val="20"/>
          <w:szCs w:val="20"/>
          <w:lang w:val="es-ES_tradnl"/>
        </w:rPr>
        <w:t xml:space="preserve"> aplicación</w:t>
      </w:r>
      <w:r w:rsidR="00661FCF" w:rsidRPr="008A1F83">
        <w:rPr>
          <w:color w:val="auto"/>
          <w:sz w:val="20"/>
          <w:szCs w:val="20"/>
          <w:lang w:val="es-ES_tradnl"/>
        </w:rPr>
        <w:t xml:space="preserve"> de estereotipos </w:t>
      </w:r>
      <w:r w:rsidR="00A436A4" w:rsidRPr="008A1F83">
        <w:rPr>
          <w:color w:val="auto"/>
          <w:sz w:val="20"/>
          <w:szCs w:val="20"/>
          <w:lang w:val="es-ES_tradnl"/>
        </w:rPr>
        <w:t xml:space="preserve">de género que han obstaculizado </w:t>
      </w:r>
      <w:r w:rsidR="001A7338" w:rsidRPr="008A1F83">
        <w:rPr>
          <w:color w:val="auto"/>
          <w:sz w:val="20"/>
          <w:szCs w:val="20"/>
          <w:lang w:val="es-ES_tradnl"/>
        </w:rPr>
        <w:t xml:space="preserve">y dilatado </w:t>
      </w:r>
      <w:r w:rsidR="00A436A4" w:rsidRPr="008A1F83">
        <w:rPr>
          <w:color w:val="auto"/>
          <w:sz w:val="20"/>
          <w:szCs w:val="20"/>
          <w:lang w:val="es-ES_tradnl"/>
        </w:rPr>
        <w:t>el desarrollo de la investigación</w:t>
      </w:r>
      <w:r w:rsidR="00661FCF" w:rsidRPr="008A1F83">
        <w:rPr>
          <w:color w:val="auto"/>
          <w:sz w:val="20"/>
          <w:szCs w:val="20"/>
          <w:lang w:val="es-ES_tradnl"/>
        </w:rPr>
        <w:t xml:space="preserve">. </w:t>
      </w:r>
      <w:r w:rsidR="008A30DF" w:rsidRPr="008A1F83">
        <w:rPr>
          <w:color w:val="auto"/>
          <w:sz w:val="20"/>
          <w:szCs w:val="20"/>
          <w:lang w:val="es-ES_tradnl"/>
        </w:rPr>
        <w:t xml:space="preserve">Alega </w:t>
      </w:r>
      <w:r w:rsidR="00E852C4" w:rsidRPr="008A1F83">
        <w:rPr>
          <w:color w:val="auto"/>
          <w:sz w:val="20"/>
          <w:szCs w:val="20"/>
          <w:lang w:val="es-ES_tradnl"/>
        </w:rPr>
        <w:t xml:space="preserve">que el </w:t>
      </w:r>
      <w:r w:rsidR="00A436A4" w:rsidRPr="008A1F83">
        <w:rPr>
          <w:color w:val="auto"/>
          <w:sz w:val="20"/>
          <w:szCs w:val="20"/>
          <w:lang w:val="es-ES_tradnl"/>
        </w:rPr>
        <w:t xml:space="preserve">primer </w:t>
      </w:r>
      <w:r w:rsidR="00D12AE5" w:rsidRPr="008A1F83">
        <w:rPr>
          <w:color w:val="auto"/>
          <w:sz w:val="20"/>
          <w:szCs w:val="20"/>
          <w:lang w:val="es-ES_tradnl"/>
        </w:rPr>
        <w:t>f</w:t>
      </w:r>
      <w:r w:rsidR="00E852C4" w:rsidRPr="008A1F83">
        <w:rPr>
          <w:color w:val="auto"/>
          <w:sz w:val="20"/>
          <w:szCs w:val="20"/>
          <w:lang w:val="es-ES_tradnl"/>
        </w:rPr>
        <w:t xml:space="preserve">iscal </w:t>
      </w:r>
      <w:r w:rsidR="00A436A4" w:rsidRPr="008A1F83">
        <w:rPr>
          <w:color w:val="auto"/>
          <w:sz w:val="20"/>
          <w:szCs w:val="20"/>
          <w:lang w:val="es-ES_tradnl"/>
        </w:rPr>
        <w:t xml:space="preserve">encargado de la investigación </w:t>
      </w:r>
      <w:r w:rsidR="008A30DF" w:rsidRPr="008A1F83">
        <w:rPr>
          <w:color w:val="auto"/>
          <w:sz w:val="20"/>
          <w:szCs w:val="20"/>
          <w:lang w:val="es-ES_tradnl"/>
        </w:rPr>
        <w:t xml:space="preserve">habría </w:t>
      </w:r>
      <w:r w:rsidR="00A436A4" w:rsidRPr="008A1F83">
        <w:rPr>
          <w:color w:val="auto"/>
          <w:sz w:val="20"/>
          <w:szCs w:val="20"/>
          <w:lang w:val="es-ES_tradnl"/>
        </w:rPr>
        <w:t>solicit</w:t>
      </w:r>
      <w:r w:rsidR="008A30DF" w:rsidRPr="008A1F83">
        <w:rPr>
          <w:color w:val="auto"/>
          <w:sz w:val="20"/>
          <w:szCs w:val="20"/>
          <w:lang w:val="es-ES_tradnl"/>
        </w:rPr>
        <w:t xml:space="preserve">ado </w:t>
      </w:r>
      <w:r w:rsidR="00830777" w:rsidRPr="008A1F83">
        <w:rPr>
          <w:color w:val="auto"/>
          <w:sz w:val="20"/>
          <w:szCs w:val="20"/>
          <w:lang w:val="es-ES_tradnl"/>
        </w:rPr>
        <w:t xml:space="preserve">que </w:t>
      </w:r>
      <w:r w:rsidR="008A30DF" w:rsidRPr="008A1F83">
        <w:rPr>
          <w:color w:val="auto"/>
          <w:sz w:val="20"/>
          <w:szCs w:val="20"/>
          <w:lang w:val="es-ES_tradnl"/>
        </w:rPr>
        <w:t xml:space="preserve">se revocara la medida cautelar </w:t>
      </w:r>
      <w:r w:rsidR="00A436A4" w:rsidRPr="008A1F83">
        <w:rPr>
          <w:color w:val="auto"/>
          <w:sz w:val="20"/>
          <w:szCs w:val="20"/>
          <w:lang w:val="es-ES_tradnl"/>
        </w:rPr>
        <w:t xml:space="preserve">al considerar que la presunta víctima </w:t>
      </w:r>
      <w:r w:rsidR="00FB0208" w:rsidRPr="008A1F83">
        <w:rPr>
          <w:color w:val="auto"/>
          <w:sz w:val="20"/>
          <w:szCs w:val="20"/>
          <w:lang w:val="es-ES_tradnl"/>
        </w:rPr>
        <w:t xml:space="preserve">como </w:t>
      </w:r>
      <w:r w:rsidR="00A436A4" w:rsidRPr="008A1F83">
        <w:rPr>
          <w:color w:val="auto"/>
          <w:sz w:val="20"/>
          <w:szCs w:val="20"/>
          <w:lang w:val="es-ES_tradnl"/>
        </w:rPr>
        <w:t>mayor de edad</w:t>
      </w:r>
      <w:r w:rsidR="004F3CA0" w:rsidRPr="008A1F83">
        <w:rPr>
          <w:color w:val="auto"/>
          <w:sz w:val="20"/>
          <w:szCs w:val="20"/>
          <w:lang w:val="es-ES_tradnl"/>
        </w:rPr>
        <w:t>,</w:t>
      </w:r>
      <w:r w:rsidR="008A30DF" w:rsidRPr="008A1F83">
        <w:rPr>
          <w:color w:val="auto"/>
          <w:sz w:val="20"/>
          <w:szCs w:val="20"/>
          <w:lang w:val="es-ES_tradnl"/>
        </w:rPr>
        <w:t xml:space="preserve"> </w:t>
      </w:r>
      <w:r w:rsidR="004F3CA0" w:rsidRPr="008A1F83">
        <w:rPr>
          <w:color w:val="auto"/>
          <w:sz w:val="20"/>
          <w:szCs w:val="20"/>
          <w:lang w:val="es-ES_tradnl"/>
        </w:rPr>
        <w:t>“</w:t>
      </w:r>
      <w:r w:rsidR="00A436A4" w:rsidRPr="008A1F83">
        <w:rPr>
          <w:color w:val="auto"/>
          <w:sz w:val="20"/>
          <w:szCs w:val="20"/>
          <w:lang w:val="es-ES_tradnl"/>
        </w:rPr>
        <w:t xml:space="preserve">había huido con </w:t>
      </w:r>
      <w:r w:rsidR="0031053E" w:rsidRPr="008A1F83">
        <w:rPr>
          <w:color w:val="auto"/>
          <w:sz w:val="20"/>
          <w:szCs w:val="20"/>
          <w:lang w:val="es-ES_tradnl"/>
        </w:rPr>
        <w:t>A.F.L.L.</w:t>
      </w:r>
      <w:r w:rsidR="00A436A4" w:rsidRPr="008A1F83">
        <w:rPr>
          <w:color w:val="auto"/>
          <w:sz w:val="20"/>
          <w:szCs w:val="20"/>
          <w:lang w:val="es-ES_tradnl"/>
        </w:rPr>
        <w:t xml:space="preserve"> o algún novio de ella, y por ende no era necesario buscarla</w:t>
      </w:r>
      <w:r w:rsidR="008A30DF" w:rsidRPr="008A1F83">
        <w:rPr>
          <w:color w:val="auto"/>
          <w:sz w:val="20"/>
          <w:szCs w:val="20"/>
          <w:lang w:val="es-ES_tradnl"/>
        </w:rPr>
        <w:t>”</w:t>
      </w:r>
      <w:r w:rsidR="004F3CA0" w:rsidRPr="008A1F83">
        <w:rPr>
          <w:color w:val="auto"/>
          <w:sz w:val="20"/>
          <w:szCs w:val="20"/>
          <w:lang w:val="es-ES_tradnl"/>
        </w:rPr>
        <w:t xml:space="preserve">; y habría solicitado se archivara la causa en tanto, de acuerdo con lo alegado por la peticionaria, “la desaparición de una persona mayor de edad por sí sola no constituye delito”. </w:t>
      </w:r>
      <w:r w:rsidR="00830777" w:rsidRPr="008A1F83">
        <w:rPr>
          <w:color w:val="auto"/>
          <w:sz w:val="20"/>
          <w:szCs w:val="20"/>
          <w:lang w:val="es-ES_tradnl"/>
        </w:rPr>
        <w:t>E</w:t>
      </w:r>
      <w:r w:rsidR="00FB0208" w:rsidRPr="008A1F83">
        <w:rPr>
          <w:color w:val="auto"/>
          <w:sz w:val="20"/>
          <w:szCs w:val="20"/>
          <w:lang w:val="es-ES_tradnl"/>
        </w:rPr>
        <w:t xml:space="preserve">sto conllevó a que el </w:t>
      </w:r>
      <w:r w:rsidR="001A7338" w:rsidRPr="008A1F83">
        <w:rPr>
          <w:color w:val="auto"/>
          <w:sz w:val="20"/>
          <w:szCs w:val="20"/>
          <w:lang w:val="es-ES_tradnl"/>
        </w:rPr>
        <w:t>Fiscal Provincial de Tungurahua deleg</w:t>
      </w:r>
      <w:r w:rsidR="00FB0208" w:rsidRPr="008A1F83">
        <w:rPr>
          <w:color w:val="auto"/>
          <w:sz w:val="20"/>
          <w:szCs w:val="20"/>
          <w:lang w:val="es-ES_tradnl"/>
        </w:rPr>
        <w:t>ara</w:t>
      </w:r>
      <w:r w:rsidR="001A7338" w:rsidRPr="008A1F83">
        <w:rPr>
          <w:color w:val="auto"/>
          <w:sz w:val="20"/>
          <w:szCs w:val="20"/>
          <w:lang w:val="es-ES_tradnl"/>
        </w:rPr>
        <w:t xml:space="preserve"> a otro </w:t>
      </w:r>
      <w:r w:rsidR="007B615D" w:rsidRPr="008A1F83">
        <w:rPr>
          <w:color w:val="auto"/>
          <w:sz w:val="20"/>
          <w:szCs w:val="20"/>
          <w:lang w:val="es-ES_tradnl"/>
        </w:rPr>
        <w:t>f</w:t>
      </w:r>
      <w:r w:rsidR="001A7338" w:rsidRPr="008A1F83">
        <w:rPr>
          <w:color w:val="auto"/>
          <w:sz w:val="20"/>
          <w:szCs w:val="20"/>
          <w:lang w:val="es-ES_tradnl"/>
        </w:rPr>
        <w:t xml:space="preserve">iscal </w:t>
      </w:r>
      <w:r w:rsidR="00FB0208" w:rsidRPr="008A1F83">
        <w:rPr>
          <w:color w:val="auto"/>
          <w:sz w:val="20"/>
          <w:szCs w:val="20"/>
          <w:lang w:val="es-ES_tradnl"/>
        </w:rPr>
        <w:t xml:space="preserve">para </w:t>
      </w:r>
      <w:r w:rsidR="001A7338" w:rsidRPr="008A1F83">
        <w:rPr>
          <w:color w:val="auto"/>
          <w:sz w:val="20"/>
          <w:szCs w:val="20"/>
          <w:lang w:val="es-ES_tradnl"/>
        </w:rPr>
        <w:t xml:space="preserve">continuar con la investigación </w:t>
      </w:r>
      <w:r w:rsidR="00836E86" w:rsidRPr="008A1F83">
        <w:rPr>
          <w:color w:val="auto"/>
          <w:sz w:val="20"/>
          <w:szCs w:val="20"/>
          <w:lang w:val="es-ES_tradnl"/>
        </w:rPr>
        <w:t>“</w:t>
      </w:r>
      <w:r w:rsidR="001A7338" w:rsidRPr="008A1F83">
        <w:rPr>
          <w:color w:val="auto"/>
          <w:sz w:val="20"/>
          <w:szCs w:val="20"/>
          <w:lang w:val="es-ES_tradnl"/>
        </w:rPr>
        <w:t>preprocesa</w:t>
      </w:r>
      <w:r w:rsidR="00FB0208" w:rsidRPr="008A1F83">
        <w:rPr>
          <w:color w:val="auto"/>
          <w:sz w:val="20"/>
          <w:szCs w:val="20"/>
          <w:lang w:val="es-ES_tradnl"/>
        </w:rPr>
        <w:t>l</w:t>
      </w:r>
      <w:r w:rsidR="00836E86" w:rsidRPr="008A1F83">
        <w:rPr>
          <w:color w:val="auto"/>
          <w:sz w:val="20"/>
          <w:szCs w:val="20"/>
          <w:lang w:val="es-ES_tradnl"/>
        </w:rPr>
        <w:t>”</w:t>
      </w:r>
      <w:r w:rsidR="003F1928" w:rsidRPr="008A1F83">
        <w:rPr>
          <w:color w:val="auto"/>
          <w:sz w:val="20"/>
          <w:szCs w:val="20"/>
          <w:lang w:val="es-ES_tradnl"/>
        </w:rPr>
        <w:t xml:space="preserve">. </w:t>
      </w:r>
      <w:r w:rsidR="0048461D" w:rsidRPr="008A1F83">
        <w:rPr>
          <w:color w:val="auto"/>
          <w:sz w:val="20"/>
          <w:szCs w:val="20"/>
          <w:lang w:val="es-ES_tradnl"/>
        </w:rPr>
        <w:t>De la mano</w:t>
      </w:r>
      <w:r w:rsidRPr="008A1F83">
        <w:rPr>
          <w:color w:val="auto"/>
          <w:sz w:val="20"/>
          <w:szCs w:val="20"/>
          <w:lang w:val="es-ES_tradnl"/>
        </w:rPr>
        <w:t xml:space="preserve"> a lo anterior</w:t>
      </w:r>
      <w:r w:rsidR="0048461D" w:rsidRPr="008A1F83">
        <w:rPr>
          <w:color w:val="auto"/>
          <w:sz w:val="20"/>
          <w:szCs w:val="20"/>
          <w:lang w:val="es-ES_tradnl"/>
        </w:rPr>
        <w:t>, s</w:t>
      </w:r>
      <w:r w:rsidR="00FB0208" w:rsidRPr="008A1F83">
        <w:rPr>
          <w:color w:val="auto"/>
          <w:sz w:val="20"/>
          <w:szCs w:val="20"/>
          <w:lang w:val="es-ES_tradnl"/>
        </w:rPr>
        <w:t xml:space="preserve">ostiene que los fiscales </w:t>
      </w:r>
      <w:r w:rsidR="0048461D" w:rsidRPr="008A1F83">
        <w:rPr>
          <w:color w:val="auto"/>
          <w:sz w:val="20"/>
          <w:szCs w:val="20"/>
          <w:lang w:val="es-ES_tradnl"/>
        </w:rPr>
        <w:t xml:space="preserve">en distintas ocasiones </w:t>
      </w:r>
      <w:r w:rsidR="00FB0208" w:rsidRPr="008A1F83">
        <w:rPr>
          <w:color w:val="auto"/>
          <w:sz w:val="20"/>
          <w:szCs w:val="20"/>
          <w:lang w:val="es-ES_tradnl"/>
        </w:rPr>
        <w:t>notifica</w:t>
      </w:r>
      <w:r w:rsidR="0048461D" w:rsidRPr="008A1F83">
        <w:rPr>
          <w:color w:val="auto"/>
          <w:sz w:val="20"/>
          <w:szCs w:val="20"/>
          <w:lang w:val="es-ES_tradnl"/>
        </w:rPr>
        <w:t xml:space="preserve">ron </w:t>
      </w:r>
      <w:r w:rsidR="00FB0208" w:rsidRPr="008A1F83">
        <w:rPr>
          <w:color w:val="auto"/>
          <w:sz w:val="20"/>
          <w:szCs w:val="20"/>
          <w:lang w:val="es-ES_tradnl"/>
        </w:rPr>
        <w:t xml:space="preserve">a los abogados de la defensa técnica de la hermana de </w:t>
      </w:r>
      <w:r w:rsidR="0031053E" w:rsidRPr="008A1F83">
        <w:rPr>
          <w:color w:val="auto"/>
          <w:sz w:val="20"/>
          <w:szCs w:val="20"/>
          <w:lang w:val="es-ES_tradnl"/>
        </w:rPr>
        <w:t>A.F.L.L.</w:t>
      </w:r>
      <w:r w:rsidR="0048461D" w:rsidRPr="008A1F83">
        <w:rPr>
          <w:color w:val="auto"/>
          <w:sz w:val="20"/>
          <w:szCs w:val="20"/>
          <w:lang w:val="es-ES_tradnl"/>
        </w:rPr>
        <w:t>,</w:t>
      </w:r>
      <w:r w:rsidR="00FB0208" w:rsidRPr="008A1F83">
        <w:rPr>
          <w:color w:val="auto"/>
          <w:sz w:val="20"/>
          <w:szCs w:val="20"/>
          <w:lang w:val="es-ES_tradnl"/>
        </w:rPr>
        <w:t xml:space="preserve"> quienes no eran parte procesal de la investigación</w:t>
      </w:r>
      <w:r w:rsidR="0048461D" w:rsidRPr="008A1F83">
        <w:rPr>
          <w:color w:val="auto"/>
          <w:sz w:val="20"/>
          <w:szCs w:val="20"/>
          <w:lang w:val="es-ES_tradnl"/>
        </w:rPr>
        <w:t>, sobre los avances en la investigación y las diligencias realizadas. Señala que esta situación se corrigió</w:t>
      </w:r>
      <w:r w:rsidR="00EA39DE" w:rsidRPr="008A1F83">
        <w:rPr>
          <w:color w:val="auto"/>
          <w:sz w:val="20"/>
          <w:szCs w:val="20"/>
          <w:lang w:val="es-ES_tradnl"/>
        </w:rPr>
        <w:t xml:space="preserve">, casi una década después, </w:t>
      </w:r>
      <w:r w:rsidR="00FB0208" w:rsidRPr="008A1F83">
        <w:rPr>
          <w:color w:val="auto"/>
          <w:sz w:val="20"/>
          <w:szCs w:val="20"/>
          <w:lang w:val="es-ES_tradnl"/>
        </w:rPr>
        <w:t>por la exigencia de la d</w:t>
      </w:r>
      <w:r w:rsidR="0048461D" w:rsidRPr="008A1F83">
        <w:rPr>
          <w:color w:val="auto"/>
          <w:sz w:val="20"/>
          <w:szCs w:val="20"/>
          <w:lang w:val="es-ES_tradnl"/>
        </w:rPr>
        <w:t>ef</w:t>
      </w:r>
      <w:r w:rsidR="00FB0208" w:rsidRPr="008A1F83">
        <w:rPr>
          <w:color w:val="auto"/>
          <w:sz w:val="20"/>
          <w:szCs w:val="20"/>
          <w:lang w:val="es-ES_tradnl"/>
        </w:rPr>
        <w:t xml:space="preserve">ensa </w:t>
      </w:r>
      <w:r w:rsidR="0048461D" w:rsidRPr="008A1F83">
        <w:rPr>
          <w:color w:val="auto"/>
          <w:sz w:val="20"/>
          <w:szCs w:val="20"/>
          <w:lang w:val="es-ES_tradnl"/>
        </w:rPr>
        <w:t>técnica</w:t>
      </w:r>
      <w:r w:rsidR="00FB0208" w:rsidRPr="008A1F83">
        <w:rPr>
          <w:color w:val="auto"/>
          <w:sz w:val="20"/>
          <w:szCs w:val="20"/>
          <w:lang w:val="es-ES_tradnl"/>
        </w:rPr>
        <w:t xml:space="preserve"> de la presunta </w:t>
      </w:r>
      <w:r w:rsidR="0048461D" w:rsidRPr="008A1F83">
        <w:rPr>
          <w:color w:val="auto"/>
          <w:sz w:val="20"/>
          <w:szCs w:val="20"/>
          <w:lang w:val="es-ES_tradnl"/>
        </w:rPr>
        <w:t>víctima</w:t>
      </w:r>
      <w:r w:rsidR="007C6550" w:rsidRPr="008A1F83">
        <w:rPr>
          <w:color w:val="auto"/>
          <w:sz w:val="20"/>
          <w:szCs w:val="20"/>
          <w:lang w:val="es-ES_tradnl"/>
        </w:rPr>
        <w:t>,</w:t>
      </w:r>
      <w:r w:rsidR="00FB0208" w:rsidRPr="008A1F83">
        <w:rPr>
          <w:color w:val="auto"/>
          <w:sz w:val="20"/>
          <w:szCs w:val="20"/>
          <w:lang w:val="es-ES_tradnl"/>
        </w:rPr>
        <w:t xml:space="preserve"> qu</w:t>
      </w:r>
      <w:r w:rsidR="007C6550" w:rsidRPr="008A1F83">
        <w:rPr>
          <w:color w:val="auto"/>
          <w:sz w:val="20"/>
          <w:szCs w:val="20"/>
          <w:lang w:val="es-ES_tradnl"/>
        </w:rPr>
        <w:t>e</w:t>
      </w:r>
      <w:r w:rsidR="00FB0208" w:rsidRPr="008A1F83">
        <w:rPr>
          <w:color w:val="auto"/>
          <w:sz w:val="20"/>
          <w:szCs w:val="20"/>
          <w:lang w:val="es-ES_tradnl"/>
        </w:rPr>
        <w:t xml:space="preserve"> solicit</w:t>
      </w:r>
      <w:r w:rsidR="0048461D" w:rsidRPr="008A1F83">
        <w:rPr>
          <w:color w:val="auto"/>
          <w:sz w:val="20"/>
          <w:szCs w:val="20"/>
          <w:lang w:val="es-ES_tradnl"/>
        </w:rPr>
        <w:t>ó</w:t>
      </w:r>
      <w:r w:rsidR="00FB0208" w:rsidRPr="008A1F83">
        <w:rPr>
          <w:color w:val="auto"/>
          <w:sz w:val="20"/>
          <w:szCs w:val="20"/>
          <w:lang w:val="es-ES_tradnl"/>
        </w:rPr>
        <w:t xml:space="preserve"> </w:t>
      </w:r>
      <w:r w:rsidR="00DE2C22" w:rsidRPr="008A1F83">
        <w:rPr>
          <w:color w:val="auto"/>
          <w:sz w:val="20"/>
          <w:szCs w:val="20"/>
          <w:lang w:val="es-ES_tradnl"/>
        </w:rPr>
        <w:t xml:space="preserve">el 29 de mayo de 2019 </w:t>
      </w:r>
      <w:r w:rsidR="00FB0208" w:rsidRPr="008A1F83">
        <w:rPr>
          <w:color w:val="auto"/>
          <w:sz w:val="20"/>
          <w:szCs w:val="20"/>
          <w:lang w:val="es-ES_tradnl"/>
        </w:rPr>
        <w:t xml:space="preserve">a la fiscal </w:t>
      </w:r>
      <w:r w:rsidRPr="008A1F83">
        <w:rPr>
          <w:color w:val="auto"/>
          <w:sz w:val="20"/>
          <w:szCs w:val="20"/>
          <w:lang w:val="es-ES_tradnl"/>
        </w:rPr>
        <w:t xml:space="preserve">el control jurídico de la investigación </w:t>
      </w:r>
      <w:r w:rsidR="003F1928" w:rsidRPr="008A1F83">
        <w:rPr>
          <w:color w:val="auto"/>
          <w:sz w:val="20"/>
          <w:szCs w:val="20"/>
          <w:lang w:val="es-ES_tradnl"/>
        </w:rPr>
        <w:t xml:space="preserve">a la </w:t>
      </w:r>
      <w:r w:rsidRPr="008A1F83">
        <w:rPr>
          <w:color w:val="auto"/>
          <w:sz w:val="20"/>
          <w:szCs w:val="20"/>
          <w:lang w:val="es-ES_tradnl"/>
        </w:rPr>
        <w:t>Fiscalía</w:t>
      </w:r>
      <w:r w:rsidR="003F1928" w:rsidRPr="008A1F83">
        <w:rPr>
          <w:color w:val="auto"/>
          <w:sz w:val="20"/>
          <w:szCs w:val="20"/>
          <w:lang w:val="es-ES_tradnl"/>
        </w:rPr>
        <w:t xml:space="preserve"> General del </w:t>
      </w:r>
      <w:r w:rsidRPr="008A1F83">
        <w:rPr>
          <w:color w:val="auto"/>
          <w:sz w:val="20"/>
          <w:szCs w:val="20"/>
          <w:lang w:val="es-ES_tradnl"/>
        </w:rPr>
        <w:t xml:space="preserve">Estado. Explica que en el marco de dicho proceso disciplinario </w:t>
      </w:r>
      <w:r w:rsidR="003F1928" w:rsidRPr="008A1F83">
        <w:rPr>
          <w:color w:val="auto"/>
          <w:sz w:val="20"/>
          <w:szCs w:val="20"/>
          <w:lang w:val="es-ES_tradnl"/>
        </w:rPr>
        <w:t>se determin</w:t>
      </w:r>
      <w:r w:rsidRPr="008A1F83">
        <w:rPr>
          <w:color w:val="auto"/>
          <w:sz w:val="20"/>
          <w:szCs w:val="20"/>
          <w:lang w:val="es-ES_tradnl"/>
        </w:rPr>
        <w:t xml:space="preserve">ó </w:t>
      </w:r>
      <w:r w:rsidR="003F1928" w:rsidRPr="008A1F83">
        <w:rPr>
          <w:color w:val="auto"/>
          <w:sz w:val="20"/>
          <w:szCs w:val="20"/>
          <w:lang w:val="es-ES_tradnl"/>
        </w:rPr>
        <w:t>que numerosos fiscales han efectuado diligencias investigativas</w:t>
      </w:r>
      <w:r w:rsidR="007C6550" w:rsidRPr="008A1F83">
        <w:rPr>
          <w:color w:val="auto"/>
          <w:sz w:val="20"/>
          <w:szCs w:val="20"/>
          <w:lang w:val="es-ES_tradnl"/>
        </w:rPr>
        <w:t>;</w:t>
      </w:r>
      <w:r w:rsidR="003F1928" w:rsidRPr="008A1F83">
        <w:rPr>
          <w:color w:val="auto"/>
          <w:sz w:val="20"/>
          <w:szCs w:val="20"/>
          <w:lang w:val="es-ES_tradnl"/>
        </w:rPr>
        <w:t xml:space="preserve"> sin embargo</w:t>
      </w:r>
      <w:r w:rsidR="004F3CA0" w:rsidRPr="008A1F83">
        <w:rPr>
          <w:color w:val="auto"/>
          <w:sz w:val="20"/>
          <w:szCs w:val="20"/>
          <w:lang w:val="es-ES_tradnl"/>
        </w:rPr>
        <w:t>,</w:t>
      </w:r>
      <w:r w:rsidR="003F1928" w:rsidRPr="008A1F83">
        <w:rPr>
          <w:color w:val="auto"/>
          <w:sz w:val="20"/>
          <w:szCs w:val="20"/>
          <w:lang w:val="es-ES_tradnl"/>
        </w:rPr>
        <w:t xml:space="preserve"> no han estado conforme a lo dispuesto en el </w:t>
      </w:r>
      <w:r w:rsidRPr="008A1F83">
        <w:rPr>
          <w:color w:val="auto"/>
          <w:sz w:val="20"/>
          <w:szCs w:val="20"/>
          <w:lang w:val="es-ES_tradnl"/>
        </w:rPr>
        <w:t>Código</w:t>
      </w:r>
      <w:r w:rsidR="003F1928" w:rsidRPr="008A1F83">
        <w:rPr>
          <w:color w:val="auto"/>
          <w:sz w:val="20"/>
          <w:szCs w:val="20"/>
          <w:lang w:val="es-ES_tradnl"/>
        </w:rPr>
        <w:t xml:space="preserve"> de </w:t>
      </w:r>
      <w:r w:rsidRPr="008A1F83">
        <w:rPr>
          <w:color w:val="auto"/>
          <w:sz w:val="20"/>
          <w:szCs w:val="20"/>
          <w:lang w:val="es-ES_tradnl"/>
        </w:rPr>
        <w:t>Procedimiento</w:t>
      </w:r>
      <w:r w:rsidR="003F1928" w:rsidRPr="008A1F83">
        <w:rPr>
          <w:color w:val="auto"/>
          <w:sz w:val="20"/>
          <w:szCs w:val="20"/>
          <w:lang w:val="es-ES_tradnl"/>
        </w:rPr>
        <w:t xml:space="preserve"> </w:t>
      </w:r>
      <w:r w:rsidRPr="008A1F83">
        <w:rPr>
          <w:color w:val="auto"/>
          <w:sz w:val="20"/>
          <w:szCs w:val="20"/>
          <w:lang w:val="es-ES_tradnl"/>
        </w:rPr>
        <w:t>P</w:t>
      </w:r>
      <w:r w:rsidR="003F1928" w:rsidRPr="008A1F83">
        <w:rPr>
          <w:color w:val="auto"/>
          <w:sz w:val="20"/>
          <w:szCs w:val="20"/>
          <w:lang w:val="es-ES_tradnl"/>
        </w:rPr>
        <w:t xml:space="preserve">enal y </w:t>
      </w:r>
      <w:r w:rsidRPr="008A1F83">
        <w:rPr>
          <w:color w:val="auto"/>
          <w:sz w:val="20"/>
          <w:szCs w:val="20"/>
          <w:lang w:val="es-ES_tradnl"/>
        </w:rPr>
        <w:t>el Código</w:t>
      </w:r>
      <w:r w:rsidR="003F1928" w:rsidRPr="008A1F83">
        <w:rPr>
          <w:color w:val="auto"/>
          <w:sz w:val="20"/>
          <w:szCs w:val="20"/>
          <w:lang w:val="es-ES_tradnl"/>
        </w:rPr>
        <w:t xml:space="preserve"> </w:t>
      </w:r>
      <w:r w:rsidRPr="008A1F83">
        <w:rPr>
          <w:color w:val="auto"/>
          <w:sz w:val="20"/>
          <w:szCs w:val="20"/>
          <w:lang w:val="es-ES_tradnl"/>
        </w:rPr>
        <w:t>Orgánico</w:t>
      </w:r>
      <w:r w:rsidR="003F1928" w:rsidRPr="008A1F83">
        <w:rPr>
          <w:color w:val="auto"/>
          <w:sz w:val="20"/>
          <w:szCs w:val="20"/>
          <w:lang w:val="es-ES_tradnl"/>
        </w:rPr>
        <w:t xml:space="preserve"> Integral Penal</w:t>
      </w:r>
      <w:r w:rsidR="00D34009" w:rsidRPr="008A1F83">
        <w:rPr>
          <w:color w:val="auto"/>
          <w:sz w:val="20"/>
          <w:szCs w:val="20"/>
          <w:lang w:val="es-ES_tradnl"/>
        </w:rPr>
        <w:t xml:space="preserve">. </w:t>
      </w:r>
    </w:p>
    <w:p w14:paraId="2D6C586C" w14:textId="77826A4B" w:rsidR="00815CD4" w:rsidRPr="008A1F83" w:rsidRDefault="00D80EDF" w:rsidP="00BD6B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A</w:t>
      </w:r>
      <w:r w:rsidR="001A7338" w:rsidRPr="008A1F83">
        <w:rPr>
          <w:color w:val="auto"/>
          <w:sz w:val="20"/>
          <w:szCs w:val="20"/>
          <w:lang w:val="es-ES_tradnl"/>
        </w:rPr>
        <w:t>firma que e</w:t>
      </w:r>
      <w:r w:rsidR="00676625" w:rsidRPr="008A1F83">
        <w:rPr>
          <w:color w:val="auto"/>
          <w:sz w:val="20"/>
          <w:szCs w:val="20"/>
          <w:lang w:val="es-ES_tradnl"/>
        </w:rPr>
        <w:t xml:space="preserve">l único recurso disponible en la legislación ecuatoriana </w:t>
      </w:r>
      <w:r w:rsidR="004458B7" w:rsidRPr="008A1F83">
        <w:rPr>
          <w:color w:val="auto"/>
          <w:sz w:val="20"/>
          <w:szCs w:val="20"/>
          <w:lang w:val="es-ES_tradnl"/>
        </w:rPr>
        <w:t xml:space="preserve">frente a los hechos alegados </w:t>
      </w:r>
      <w:r w:rsidR="00676625" w:rsidRPr="008A1F83">
        <w:rPr>
          <w:color w:val="auto"/>
          <w:sz w:val="20"/>
          <w:szCs w:val="20"/>
          <w:lang w:val="es-ES_tradnl"/>
        </w:rPr>
        <w:t xml:space="preserve">es </w:t>
      </w:r>
      <w:r w:rsidR="004458B7" w:rsidRPr="008A1F83">
        <w:rPr>
          <w:color w:val="auto"/>
          <w:sz w:val="20"/>
          <w:szCs w:val="20"/>
          <w:lang w:val="es-ES_tradnl"/>
        </w:rPr>
        <w:t xml:space="preserve">la </w:t>
      </w:r>
      <w:r w:rsidR="00676625" w:rsidRPr="008A1F83">
        <w:rPr>
          <w:color w:val="auto"/>
          <w:sz w:val="20"/>
          <w:szCs w:val="20"/>
          <w:lang w:val="es-ES_tradnl"/>
        </w:rPr>
        <w:t xml:space="preserve">denuncia </w:t>
      </w:r>
      <w:r w:rsidR="004458B7" w:rsidRPr="008A1F83">
        <w:rPr>
          <w:color w:val="auto"/>
          <w:sz w:val="20"/>
          <w:szCs w:val="20"/>
          <w:lang w:val="es-ES_tradnl"/>
        </w:rPr>
        <w:t xml:space="preserve">penal </w:t>
      </w:r>
      <w:r w:rsidR="00771B5C" w:rsidRPr="008A1F83">
        <w:rPr>
          <w:color w:val="auto"/>
          <w:sz w:val="20"/>
          <w:szCs w:val="20"/>
          <w:lang w:val="es-ES_tradnl"/>
        </w:rPr>
        <w:t>la cual</w:t>
      </w:r>
      <w:r w:rsidR="004458B7" w:rsidRPr="008A1F83">
        <w:rPr>
          <w:color w:val="auto"/>
          <w:sz w:val="20"/>
          <w:szCs w:val="20"/>
          <w:lang w:val="es-ES_tradnl"/>
        </w:rPr>
        <w:t xml:space="preserve"> fue interpuesta </w:t>
      </w:r>
      <w:r w:rsidR="00815CD4" w:rsidRPr="008A1F83">
        <w:rPr>
          <w:color w:val="auto"/>
          <w:sz w:val="20"/>
          <w:szCs w:val="20"/>
          <w:lang w:val="es-ES_tradnl"/>
        </w:rPr>
        <w:t xml:space="preserve">el 6 de diciembre de 2010 </w:t>
      </w:r>
      <w:r w:rsidR="004458B7" w:rsidRPr="008A1F83">
        <w:rPr>
          <w:color w:val="auto"/>
          <w:sz w:val="20"/>
          <w:szCs w:val="20"/>
          <w:lang w:val="es-ES_tradnl"/>
        </w:rPr>
        <w:t>por la familia</w:t>
      </w:r>
      <w:r w:rsidR="00D877B1" w:rsidRPr="008A1F83">
        <w:rPr>
          <w:color w:val="auto"/>
          <w:sz w:val="20"/>
          <w:szCs w:val="20"/>
          <w:lang w:val="es-ES_tradnl"/>
        </w:rPr>
        <w:t>,</w:t>
      </w:r>
      <w:r w:rsidR="004458B7" w:rsidRPr="008A1F83">
        <w:rPr>
          <w:color w:val="auto"/>
          <w:sz w:val="20"/>
          <w:szCs w:val="20"/>
          <w:lang w:val="es-ES_tradnl"/>
        </w:rPr>
        <w:t xml:space="preserve"> como </w:t>
      </w:r>
      <w:r w:rsidR="00676625" w:rsidRPr="008A1F83">
        <w:rPr>
          <w:color w:val="auto"/>
          <w:sz w:val="20"/>
          <w:szCs w:val="20"/>
          <w:lang w:val="es-ES_tradnl"/>
        </w:rPr>
        <w:t xml:space="preserve">registra el Expediente No. 306- 2010 en la </w:t>
      </w:r>
      <w:r w:rsidR="008D7DFD" w:rsidRPr="008A1F83">
        <w:rPr>
          <w:color w:val="auto"/>
          <w:sz w:val="20"/>
          <w:szCs w:val="20"/>
          <w:lang w:val="es-ES_tradnl"/>
        </w:rPr>
        <w:t xml:space="preserve">Fiscalía Especializada </w:t>
      </w:r>
      <w:r w:rsidR="00771B5C" w:rsidRPr="008A1F83">
        <w:rPr>
          <w:color w:val="auto"/>
          <w:sz w:val="20"/>
          <w:szCs w:val="20"/>
          <w:lang w:val="es-ES_tradnl"/>
        </w:rPr>
        <w:t>d</w:t>
      </w:r>
      <w:r w:rsidR="008D7DFD" w:rsidRPr="008A1F83">
        <w:rPr>
          <w:color w:val="auto"/>
          <w:sz w:val="20"/>
          <w:szCs w:val="20"/>
          <w:lang w:val="es-ES_tradnl"/>
        </w:rPr>
        <w:t xml:space="preserve">e Soluciones Rápidas </w:t>
      </w:r>
      <w:r w:rsidR="00771B5C" w:rsidRPr="008A1F83">
        <w:rPr>
          <w:color w:val="auto"/>
          <w:sz w:val="20"/>
          <w:szCs w:val="20"/>
          <w:lang w:val="es-ES_tradnl"/>
        </w:rPr>
        <w:t>de l</w:t>
      </w:r>
      <w:r w:rsidR="008D7DFD" w:rsidRPr="008A1F83">
        <w:rPr>
          <w:color w:val="auto"/>
          <w:sz w:val="20"/>
          <w:szCs w:val="20"/>
          <w:lang w:val="es-ES_tradnl"/>
        </w:rPr>
        <w:t xml:space="preserve">a Provincia </w:t>
      </w:r>
      <w:r w:rsidR="00771B5C" w:rsidRPr="008A1F83">
        <w:rPr>
          <w:color w:val="auto"/>
          <w:sz w:val="20"/>
          <w:szCs w:val="20"/>
          <w:lang w:val="es-ES_tradnl"/>
        </w:rPr>
        <w:t>d</w:t>
      </w:r>
      <w:r w:rsidR="008D7DFD" w:rsidRPr="008A1F83">
        <w:rPr>
          <w:color w:val="auto"/>
          <w:sz w:val="20"/>
          <w:szCs w:val="20"/>
          <w:lang w:val="es-ES_tradnl"/>
        </w:rPr>
        <w:t>e Tungurahua</w:t>
      </w:r>
      <w:r w:rsidR="00676625" w:rsidRPr="008A1F83">
        <w:rPr>
          <w:color w:val="auto"/>
          <w:sz w:val="20"/>
          <w:szCs w:val="20"/>
          <w:lang w:val="es-ES_tradnl"/>
        </w:rPr>
        <w:t xml:space="preserve">. </w:t>
      </w:r>
      <w:r w:rsidR="005836AE" w:rsidRPr="008A1F83">
        <w:rPr>
          <w:color w:val="auto"/>
          <w:sz w:val="20"/>
          <w:szCs w:val="20"/>
          <w:lang w:val="es-ES_tradnl"/>
        </w:rPr>
        <w:t>R</w:t>
      </w:r>
      <w:r w:rsidR="00771B5C" w:rsidRPr="008A1F83">
        <w:rPr>
          <w:color w:val="auto"/>
          <w:sz w:val="20"/>
          <w:szCs w:val="20"/>
          <w:lang w:val="es-ES_tradnl"/>
        </w:rPr>
        <w:t xml:space="preserve">ecalca que </w:t>
      </w:r>
      <w:r w:rsidR="00676625" w:rsidRPr="008A1F83">
        <w:rPr>
          <w:color w:val="auto"/>
          <w:sz w:val="20"/>
          <w:szCs w:val="20"/>
          <w:lang w:val="es-ES_tradnl"/>
        </w:rPr>
        <w:t xml:space="preserve">pese a tener elementos convincentes para considerar un delito y </w:t>
      </w:r>
      <w:r w:rsidR="00771B5C" w:rsidRPr="008A1F83">
        <w:rPr>
          <w:color w:val="auto"/>
          <w:sz w:val="20"/>
          <w:szCs w:val="20"/>
          <w:lang w:val="es-ES_tradnl"/>
        </w:rPr>
        <w:t xml:space="preserve">de </w:t>
      </w:r>
      <w:r w:rsidR="00676625" w:rsidRPr="008A1F83">
        <w:rPr>
          <w:color w:val="auto"/>
          <w:sz w:val="20"/>
          <w:szCs w:val="20"/>
          <w:lang w:val="es-ES_tradnl"/>
        </w:rPr>
        <w:t xml:space="preserve">haber transcurrido más de </w:t>
      </w:r>
      <w:r w:rsidR="00CA3B55" w:rsidRPr="008A1F83">
        <w:rPr>
          <w:color w:val="auto"/>
          <w:sz w:val="20"/>
          <w:szCs w:val="20"/>
          <w:lang w:val="es-ES_tradnl"/>
        </w:rPr>
        <w:t>diez</w:t>
      </w:r>
      <w:r w:rsidR="00676625" w:rsidRPr="008A1F83">
        <w:rPr>
          <w:color w:val="auto"/>
          <w:sz w:val="20"/>
          <w:szCs w:val="20"/>
          <w:lang w:val="es-ES_tradnl"/>
        </w:rPr>
        <w:t xml:space="preserve"> años, la investigación no ha avanzado</w:t>
      </w:r>
      <w:r w:rsidR="00771B5C" w:rsidRPr="008A1F83">
        <w:rPr>
          <w:color w:val="auto"/>
          <w:sz w:val="20"/>
          <w:szCs w:val="20"/>
          <w:lang w:val="es-ES_tradnl"/>
        </w:rPr>
        <w:t xml:space="preserve"> y </w:t>
      </w:r>
      <w:r w:rsidR="00676625" w:rsidRPr="008A1F83">
        <w:rPr>
          <w:color w:val="auto"/>
          <w:sz w:val="20"/>
          <w:szCs w:val="20"/>
          <w:lang w:val="es-ES_tradnl"/>
        </w:rPr>
        <w:t xml:space="preserve">se mantiene en una fase </w:t>
      </w:r>
      <w:r w:rsidR="009518F0" w:rsidRPr="008A1F83">
        <w:rPr>
          <w:color w:val="auto"/>
          <w:sz w:val="20"/>
          <w:szCs w:val="20"/>
          <w:lang w:val="es-ES_tradnl"/>
        </w:rPr>
        <w:t>“</w:t>
      </w:r>
      <w:r w:rsidR="00676625" w:rsidRPr="008A1F83">
        <w:rPr>
          <w:color w:val="auto"/>
          <w:sz w:val="20"/>
          <w:szCs w:val="20"/>
          <w:lang w:val="es-ES_tradnl"/>
        </w:rPr>
        <w:t>preprocesal</w:t>
      </w:r>
      <w:r w:rsidR="009518F0" w:rsidRPr="008A1F83">
        <w:rPr>
          <w:color w:val="auto"/>
          <w:sz w:val="20"/>
          <w:szCs w:val="20"/>
          <w:lang w:val="es-ES_tradnl"/>
        </w:rPr>
        <w:t>”</w:t>
      </w:r>
      <w:r w:rsidR="005836AE" w:rsidRPr="008A1F83">
        <w:rPr>
          <w:color w:val="auto"/>
          <w:sz w:val="20"/>
          <w:szCs w:val="20"/>
          <w:lang w:val="es-ES_tradnl"/>
        </w:rPr>
        <w:t xml:space="preserve">. </w:t>
      </w:r>
      <w:r w:rsidR="00CA3B55" w:rsidRPr="008A1F83">
        <w:rPr>
          <w:color w:val="auto"/>
          <w:sz w:val="20"/>
          <w:szCs w:val="20"/>
          <w:lang w:val="es-ES_tradnl"/>
        </w:rPr>
        <w:t xml:space="preserve">Ante </w:t>
      </w:r>
      <w:r w:rsidRPr="008A1F83">
        <w:rPr>
          <w:color w:val="auto"/>
          <w:sz w:val="20"/>
          <w:szCs w:val="20"/>
          <w:lang w:val="es-ES_tradnl"/>
        </w:rPr>
        <w:t>la supuesta falta de</w:t>
      </w:r>
      <w:r w:rsidR="00CA3B55" w:rsidRPr="008A1F83">
        <w:rPr>
          <w:color w:val="auto"/>
          <w:sz w:val="20"/>
          <w:szCs w:val="20"/>
          <w:lang w:val="es-ES_tradnl"/>
        </w:rPr>
        <w:t xml:space="preserve"> agotamiento de los recursos internos, </w:t>
      </w:r>
      <w:r w:rsidRPr="008A1F83">
        <w:rPr>
          <w:color w:val="auto"/>
          <w:sz w:val="20"/>
          <w:szCs w:val="20"/>
          <w:lang w:val="es-ES_tradnl"/>
        </w:rPr>
        <w:t xml:space="preserve">argumenta que </w:t>
      </w:r>
      <w:r w:rsidR="00CA3B55" w:rsidRPr="008A1F83">
        <w:rPr>
          <w:color w:val="auto"/>
          <w:sz w:val="20"/>
          <w:szCs w:val="20"/>
          <w:lang w:val="es-ES_tradnl"/>
        </w:rPr>
        <w:t>el Estado</w:t>
      </w:r>
      <w:r w:rsidRPr="008A1F83">
        <w:rPr>
          <w:color w:val="auto"/>
          <w:sz w:val="20"/>
          <w:szCs w:val="20"/>
          <w:lang w:val="es-ES_tradnl"/>
        </w:rPr>
        <w:t xml:space="preserve"> no ha justificado la eficacia de los recursos existentes</w:t>
      </w:r>
      <w:r w:rsidR="009518F0" w:rsidRPr="008A1F83">
        <w:rPr>
          <w:color w:val="auto"/>
          <w:sz w:val="20"/>
          <w:szCs w:val="20"/>
          <w:lang w:val="es-ES_tradnl"/>
        </w:rPr>
        <w:t>,</w:t>
      </w:r>
      <w:r w:rsidRPr="008A1F83">
        <w:rPr>
          <w:color w:val="auto"/>
          <w:sz w:val="20"/>
          <w:szCs w:val="20"/>
          <w:lang w:val="es-ES_tradnl"/>
        </w:rPr>
        <w:t xml:space="preserve"> </w:t>
      </w:r>
      <w:r w:rsidR="009518F0" w:rsidRPr="008A1F83">
        <w:rPr>
          <w:color w:val="auto"/>
          <w:sz w:val="20"/>
          <w:szCs w:val="20"/>
          <w:lang w:val="es-ES_tradnl"/>
        </w:rPr>
        <w:t xml:space="preserve">sino </w:t>
      </w:r>
      <w:r w:rsidR="00AA0648" w:rsidRPr="008A1F83">
        <w:rPr>
          <w:color w:val="auto"/>
          <w:sz w:val="20"/>
          <w:szCs w:val="20"/>
          <w:lang w:val="es-ES_tradnl"/>
        </w:rPr>
        <w:t>que,</w:t>
      </w:r>
      <w:r w:rsidRPr="008A1F83">
        <w:rPr>
          <w:color w:val="auto"/>
          <w:sz w:val="20"/>
          <w:szCs w:val="20"/>
          <w:lang w:val="es-ES_tradnl"/>
        </w:rPr>
        <w:t xml:space="preserve"> por el contrario,</w:t>
      </w:r>
      <w:r w:rsidR="00C949DE" w:rsidRPr="008A1F83">
        <w:rPr>
          <w:color w:val="auto"/>
          <w:sz w:val="20"/>
          <w:szCs w:val="20"/>
          <w:lang w:val="es-ES_tradnl"/>
        </w:rPr>
        <w:t xml:space="preserve"> ha demostrado </w:t>
      </w:r>
      <w:r w:rsidR="00726E78" w:rsidRPr="008A1F83">
        <w:rPr>
          <w:color w:val="auto"/>
          <w:sz w:val="20"/>
          <w:szCs w:val="20"/>
          <w:lang w:val="es-ES_tradnl"/>
        </w:rPr>
        <w:t>l</w:t>
      </w:r>
      <w:r w:rsidR="00C949DE" w:rsidRPr="008A1F83">
        <w:rPr>
          <w:color w:val="auto"/>
          <w:sz w:val="20"/>
          <w:szCs w:val="20"/>
          <w:lang w:val="es-ES_tradnl"/>
        </w:rPr>
        <w:t>a ineficacia del proceso penal en tanto no</w:t>
      </w:r>
      <w:r w:rsidR="00726E78" w:rsidRPr="008A1F83">
        <w:rPr>
          <w:color w:val="auto"/>
          <w:sz w:val="20"/>
          <w:szCs w:val="20"/>
          <w:lang w:val="es-ES_tradnl"/>
        </w:rPr>
        <w:t xml:space="preserve"> se</w:t>
      </w:r>
      <w:r w:rsidR="00C949DE" w:rsidRPr="008A1F83">
        <w:rPr>
          <w:color w:val="auto"/>
          <w:sz w:val="20"/>
          <w:szCs w:val="20"/>
          <w:lang w:val="es-ES_tradnl"/>
        </w:rPr>
        <w:t xml:space="preserve"> ha arrojado elementos claros de convicción que permitan </w:t>
      </w:r>
      <w:r w:rsidRPr="008A1F83">
        <w:rPr>
          <w:color w:val="auto"/>
          <w:sz w:val="20"/>
          <w:szCs w:val="20"/>
          <w:lang w:val="es-ES_tradnl"/>
        </w:rPr>
        <w:t>resolver la primera etapa del juicio penal, el único medio para acceder a la justicia.</w:t>
      </w:r>
      <w:r w:rsidR="00CA3B55" w:rsidRPr="008A1F83">
        <w:rPr>
          <w:color w:val="auto"/>
          <w:sz w:val="20"/>
          <w:szCs w:val="20"/>
          <w:lang w:val="es-ES_tradnl"/>
        </w:rPr>
        <w:t xml:space="preserve"> </w:t>
      </w:r>
      <w:r w:rsidR="00AA0648" w:rsidRPr="008A1F83">
        <w:rPr>
          <w:color w:val="auto"/>
          <w:sz w:val="20"/>
          <w:szCs w:val="20"/>
          <w:lang w:val="es-ES_tradnl"/>
        </w:rPr>
        <w:t>Frente al</w:t>
      </w:r>
      <w:r w:rsidR="00854A2E" w:rsidRPr="008A1F83">
        <w:rPr>
          <w:color w:val="auto"/>
          <w:sz w:val="20"/>
          <w:szCs w:val="20"/>
          <w:lang w:val="es-ES_tradnl"/>
        </w:rPr>
        <w:t xml:space="preserve"> argumento del Estado sobre el</w:t>
      </w:r>
      <w:r w:rsidR="00AA0648" w:rsidRPr="008A1F83">
        <w:rPr>
          <w:color w:val="auto"/>
          <w:sz w:val="20"/>
          <w:szCs w:val="20"/>
          <w:lang w:val="es-ES_tradnl"/>
        </w:rPr>
        <w:t xml:space="preserve"> recurso de h</w:t>
      </w:r>
      <w:r w:rsidR="00674E55" w:rsidRPr="008A1F83">
        <w:rPr>
          <w:color w:val="auto"/>
          <w:sz w:val="20"/>
          <w:szCs w:val="20"/>
          <w:lang w:val="es-ES_tradnl"/>
        </w:rPr>
        <w:t>á</w:t>
      </w:r>
      <w:r w:rsidR="00AA0648" w:rsidRPr="008A1F83">
        <w:rPr>
          <w:color w:val="auto"/>
          <w:sz w:val="20"/>
          <w:szCs w:val="20"/>
          <w:lang w:val="es-ES_tradnl"/>
        </w:rPr>
        <w:t>beas corpus como recurso idóneo</w:t>
      </w:r>
      <w:r w:rsidR="00726E78" w:rsidRPr="008A1F83">
        <w:rPr>
          <w:color w:val="auto"/>
          <w:sz w:val="20"/>
          <w:szCs w:val="20"/>
          <w:lang w:val="es-ES_tradnl"/>
        </w:rPr>
        <w:t xml:space="preserve"> </w:t>
      </w:r>
      <w:r w:rsidR="00854A2E" w:rsidRPr="008A1F83">
        <w:rPr>
          <w:color w:val="auto"/>
          <w:sz w:val="20"/>
          <w:szCs w:val="20"/>
          <w:lang w:val="es-ES_tradnl"/>
        </w:rPr>
        <w:t xml:space="preserve">por </w:t>
      </w:r>
      <w:r w:rsidR="00726E78" w:rsidRPr="008A1F83">
        <w:rPr>
          <w:color w:val="auto"/>
          <w:sz w:val="20"/>
          <w:szCs w:val="20"/>
          <w:lang w:val="es-ES_tradnl"/>
        </w:rPr>
        <w:t>agotar</w:t>
      </w:r>
      <w:r w:rsidR="00AA0648" w:rsidRPr="008A1F83">
        <w:rPr>
          <w:color w:val="auto"/>
          <w:sz w:val="20"/>
          <w:szCs w:val="20"/>
          <w:lang w:val="es-ES_tradnl"/>
        </w:rPr>
        <w:t>, sostiene que</w:t>
      </w:r>
      <w:r w:rsidR="00854A2E" w:rsidRPr="008A1F83">
        <w:rPr>
          <w:color w:val="auto"/>
          <w:sz w:val="20"/>
          <w:szCs w:val="20"/>
          <w:lang w:val="es-ES_tradnl"/>
        </w:rPr>
        <w:t xml:space="preserve"> la aplicación de un h</w:t>
      </w:r>
      <w:r w:rsidR="00674E55" w:rsidRPr="008A1F83">
        <w:rPr>
          <w:color w:val="auto"/>
          <w:sz w:val="20"/>
          <w:szCs w:val="20"/>
          <w:lang w:val="es-ES_tradnl"/>
        </w:rPr>
        <w:t>á</w:t>
      </w:r>
      <w:r w:rsidR="00854A2E" w:rsidRPr="008A1F83">
        <w:rPr>
          <w:color w:val="auto"/>
          <w:sz w:val="20"/>
          <w:szCs w:val="20"/>
          <w:lang w:val="es-ES_tradnl"/>
        </w:rPr>
        <w:t xml:space="preserve">beas corpus no es eficaz en tanto la presunta víctima no se encuentra detenida en algún centro penitenciario y no ha estado </w:t>
      </w:r>
      <w:r w:rsidR="00726E78" w:rsidRPr="008A1F83">
        <w:rPr>
          <w:color w:val="auto"/>
          <w:sz w:val="20"/>
          <w:szCs w:val="20"/>
          <w:lang w:val="es-ES_tradnl"/>
        </w:rPr>
        <w:t>privada de la libertad</w:t>
      </w:r>
      <w:r w:rsidR="00AA0648" w:rsidRPr="008A1F83">
        <w:rPr>
          <w:color w:val="auto"/>
          <w:sz w:val="20"/>
          <w:szCs w:val="20"/>
          <w:lang w:val="es-ES_tradnl"/>
        </w:rPr>
        <w:t xml:space="preserve"> </w:t>
      </w:r>
      <w:r w:rsidR="00854A2E" w:rsidRPr="008A1F83">
        <w:rPr>
          <w:color w:val="auto"/>
          <w:sz w:val="20"/>
          <w:szCs w:val="20"/>
          <w:lang w:val="es-ES_tradnl"/>
        </w:rPr>
        <w:t>por el Estado</w:t>
      </w:r>
      <w:r w:rsidR="00CA3B55" w:rsidRPr="008A1F83">
        <w:rPr>
          <w:color w:val="auto"/>
          <w:sz w:val="20"/>
          <w:szCs w:val="20"/>
          <w:lang w:val="es-ES_tradnl"/>
        </w:rPr>
        <w:t>.</w:t>
      </w:r>
      <w:r w:rsidR="00F2441B" w:rsidRPr="008A1F83">
        <w:rPr>
          <w:color w:val="auto"/>
          <w:sz w:val="20"/>
          <w:szCs w:val="20"/>
          <w:lang w:val="es-ES_tradnl"/>
        </w:rPr>
        <w:t xml:space="preserve"> Afirma que el Estado recalca la importancia del agotamiento de este recurso</w:t>
      </w:r>
      <w:r w:rsidR="00F2441B" w:rsidRPr="008A1F83">
        <w:rPr>
          <w:sz w:val="20"/>
          <w:szCs w:val="20"/>
          <w:lang w:val="es-ES_tradnl"/>
        </w:rPr>
        <w:t xml:space="preserve"> </w:t>
      </w:r>
      <w:r w:rsidR="00D877B1" w:rsidRPr="008A1F83">
        <w:rPr>
          <w:sz w:val="20"/>
          <w:szCs w:val="20"/>
          <w:lang w:val="es-ES_tradnl"/>
        </w:rPr>
        <w:t>en un intento de evadir</w:t>
      </w:r>
      <w:r w:rsidR="00F2441B" w:rsidRPr="008A1F83">
        <w:rPr>
          <w:sz w:val="20"/>
          <w:szCs w:val="20"/>
          <w:lang w:val="es-ES_tradnl"/>
        </w:rPr>
        <w:t xml:space="preserve"> su responsabilidad</w:t>
      </w:r>
      <w:r w:rsidR="00964528" w:rsidRPr="008A1F83">
        <w:rPr>
          <w:sz w:val="20"/>
          <w:szCs w:val="20"/>
          <w:lang w:val="es-ES_tradnl"/>
        </w:rPr>
        <w:t xml:space="preserve">. </w:t>
      </w:r>
    </w:p>
    <w:p w14:paraId="3E345A67" w14:textId="4ABE0D83" w:rsidR="00862898" w:rsidRPr="008A1F83" w:rsidRDefault="00D80EDF" w:rsidP="00E27EF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Por último</w:t>
      </w:r>
      <w:r w:rsidR="005836AE" w:rsidRPr="008A1F83">
        <w:rPr>
          <w:color w:val="auto"/>
          <w:sz w:val="20"/>
          <w:szCs w:val="20"/>
          <w:lang w:val="es-ES_tradnl"/>
        </w:rPr>
        <w:t>, a</w:t>
      </w:r>
      <w:r w:rsidR="0071626F" w:rsidRPr="008A1F83">
        <w:rPr>
          <w:color w:val="auto"/>
          <w:sz w:val="20"/>
          <w:szCs w:val="20"/>
          <w:lang w:val="es-ES_tradnl"/>
        </w:rPr>
        <w:t>firma</w:t>
      </w:r>
      <w:r w:rsidR="00570CD7" w:rsidRPr="008A1F83">
        <w:rPr>
          <w:color w:val="auto"/>
          <w:sz w:val="20"/>
          <w:szCs w:val="20"/>
          <w:lang w:val="es-ES_tradnl"/>
        </w:rPr>
        <w:t xml:space="preserve">, </w:t>
      </w:r>
      <w:r w:rsidR="003344A8" w:rsidRPr="008A1F83">
        <w:rPr>
          <w:color w:val="auto"/>
          <w:sz w:val="20"/>
          <w:szCs w:val="20"/>
          <w:lang w:val="es-ES_tradnl"/>
        </w:rPr>
        <w:t>en términos generales,</w:t>
      </w:r>
      <w:r w:rsidR="0071626F" w:rsidRPr="008A1F83">
        <w:rPr>
          <w:color w:val="auto"/>
          <w:sz w:val="20"/>
          <w:szCs w:val="20"/>
          <w:lang w:val="es-ES_tradnl"/>
        </w:rPr>
        <w:t xml:space="preserve"> </w:t>
      </w:r>
      <w:r w:rsidR="005836AE" w:rsidRPr="008A1F83">
        <w:rPr>
          <w:color w:val="auto"/>
          <w:sz w:val="20"/>
          <w:szCs w:val="20"/>
          <w:lang w:val="es-ES_tradnl"/>
        </w:rPr>
        <w:t xml:space="preserve">que los hechos alegados se enmarcan en </w:t>
      </w:r>
      <w:r w:rsidR="00676625" w:rsidRPr="008A1F83">
        <w:rPr>
          <w:color w:val="auto"/>
          <w:sz w:val="20"/>
          <w:szCs w:val="20"/>
          <w:lang w:val="es-ES_tradnl"/>
        </w:rPr>
        <w:t xml:space="preserve">un contexto </w:t>
      </w:r>
      <w:r w:rsidR="0071626F" w:rsidRPr="008A1F83">
        <w:rPr>
          <w:color w:val="auto"/>
          <w:sz w:val="20"/>
          <w:szCs w:val="20"/>
          <w:lang w:val="es-ES_tradnl"/>
        </w:rPr>
        <w:t>de desapariciones de personas en el Ecuador</w:t>
      </w:r>
      <w:r w:rsidR="00964528" w:rsidRPr="008A1F83">
        <w:rPr>
          <w:color w:val="auto"/>
          <w:sz w:val="20"/>
          <w:szCs w:val="20"/>
          <w:lang w:val="es-ES_tradnl"/>
        </w:rPr>
        <w:t xml:space="preserve"> y de altos índices de violencia contra la mujer en la ciudad de Ambato provincia de Tungurahua</w:t>
      </w:r>
      <w:r w:rsidR="009518F0" w:rsidRPr="008A1F83">
        <w:rPr>
          <w:color w:val="auto"/>
          <w:sz w:val="20"/>
          <w:szCs w:val="20"/>
          <w:lang w:val="es-ES_tradnl"/>
        </w:rPr>
        <w:t>,</w:t>
      </w:r>
      <w:r w:rsidR="0071626F" w:rsidRPr="008A1F83">
        <w:rPr>
          <w:color w:val="auto"/>
          <w:sz w:val="20"/>
          <w:szCs w:val="20"/>
          <w:lang w:val="es-ES_tradnl"/>
        </w:rPr>
        <w:t xml:space="preserve"> </w:t>
      </w:r>
      <w:r w:rsidR="00964528" w:rsidRPr="008A1F83">
        <w:rPr>
          <w:color w:val="auto"/>
          <w:sz w:val="20"/>
          <w:szCs w:val="20"/>
          <w:lang w:val="es-ES_tradnl"/>
        </w:rPr>
        <w:t xml:space="preserve">así como de </w:t>
      </w:r>
      <w:r w:rsidR="00676625" w:rsidRPr="008A1F83">
        <w:rPr>
          <w:color w:val="auto"/>
          <w:sz w:val="20"/>
          <w:szCs w:val="20"/>
          <w:lang w:val="es-ES_tradnl"/>
        </w:rPr>
        <w:t>problemas estructurales del sistema judicial</w:t>
      </w:r>
      <w:r w:rsidR="0071626F" w:rsidRPr="008A1F83">
        <w:rPr>
          <w:color w:val="auto"/>
          <w:sz w:val="20"/>
          <w:szCs w:val="20"/>
          <w:lang w:val="es-ES_tradnl"/>
        </w:rPr>
        <w:t xml:space="preserve"> en tanto </w:t>
      </w:r>
      <w:r w:rsidR="00771B5C" w:rsidRPr="008A1F83">
        <w:rPr>
          <w:color w:val="auto"/>
          <w:sz w:val="20"/>
          <w:szCs w:val="20"/>
          <w:lang w:val="es-ES_tradnl"/>
        </w:rPr>
        <w:t>existe estigmatización en contra de las víctimas</w:t>
      </w:r>
      <w:r w:rsidRPr="008A1F83">
        <w:rPr>
          <w:color w:val="auto"/>
          <w:sz w:val="20"/>
          <w:szCs w:val="20"/>
          <w:lang w:val="es-ES_tradnl"/>
        </w:rPr>
        <w:t xml:space="preserve"> y </w:t>
      </w:r>
      <w:r w:rsidR="00771B5C" w:rsidRPr="008A1F83">
        <w:rPr>
          <w:color w:val="auto"/>
          <w:sz w:val="20"/>
          <w:szCs w:val="20"/>
          <w:lang w:val="es-ES_tradnl"/>
        </w:rPr>
        <w:t>revictimiza</w:t>
      </w:r>
      <w:r w:rsidRPr="008A1F83">
        <w:rPr>
          <w:color w:val="auto"/>
          <w:sz w:val="20"/>
          <w:szCs w:val="20"/>
          <w:lang w:val="es-ES_tradnl"/>
        </w:rPr>
        <w:t xml:space="preserve">ción </w:t>
      </w:r>
      <w:r w:rsidR="00771B5C" w:rsidRPr="008A1F83">
        <w:rPr>
          <w:color w:val="auto"/>
          <w:sz w:val="20"/>
          <w:szCs w:val="20"/>
          <w:lang w:val="es-ES_tradnl"/>
        </w:rPr>
        <w:t xml:space="preserve">a los familiares </w:t>
      </w:r>
      <w:r w:rsidR="0071626F" w:rsidRPr="008A1F83">
        <w:rPr>
          <w:color w:val="auto"/>
          <w:sz w:val="20"/>
          <w:szCs w:val="20"/>
          <w:lang w:val="es-ES_tradnl"/>
        </w:rPr>
        <w:t xml:space="preserve">que </w:t>
      </w:r>
      <w:r w:rsidR="00771B5C" w:rsidRPr="008A1F83">
        <w:rPr>
          <w:color w:val="auto"/>
          <w:sz w:val="20"/>
          <w:szCs w:val="20"/>
          <w:lang w:val="es-ES_tradnl"/>
        </w:rPr>
        <w:t>acuden ante las instancias competentes.</w:t>
      </w:r>
      <w:r w:rsidRPr="008A1F83">
        <w:rPr>
          <w:color w:val="auto"/>
          <w:sz w:val="20"/>
          <w:szCs w:val="20"/>
          <w:lang w:val="es-ES_tradnl"/>
        </w:rPr>
        <w:t xml:space="preserve"> En dicha línea</w:t>
      </w:r>
      <w:r w:rsidR="00EA39DE" w:rsidRPr="008A1F83">
        <w:rPr>
          <w:color w:val="auto"/>
          <w:sz w:val="20"/>
          <w:szCs w:val="20"/>
          <w:lang w:val="es-ES_tradnl"/>
        </w:rPr>
        <w:t>, alega que los familiares de Giovanna Pérez sufren una angustia permanente al no saber su paradero y están en riesgo a un peligro aún mayor por exigir la verdad</w:t>
      </w:r>
      <w:r w:rsidR="009518F0" w:rsidRPr="008A1F83">
        <w:rPr>
          <w:color w:val="auto"/>
          <w:sz w:val="20"/>
          <w:szCs w:val="20"/>
          <w:lang w:val="es-ES_tradnl"/>
        </w:rPr>
        <w:t>,</w:t>
      </w:r>
      <w:r w:rsidRPr="008A1F83">
        <w:rPr>
          <w:color w:val="auto"/>
          <w:sz w:val="20"/>
          <w:szCs w:val="20"/>
          <w:lang w:val="es-ES_tradnl"/>
        </w:rPr>
        <w:t xml:space="preserve"> </w:t>
      </w:r>
      <w:r w:rsidR="0029682E" w:rsidRPr="008A1F83">
        <w:rPr>
          <w:color w:val="auto"/>
          <w:sz w:val="20"/>
          <w:szCs w:val="20"/>
          <w:lang w:val="es-ES_tradnl"/>
        </w:rPr>
        <w:t xml:space="preserve">indica </w:t>
      </w:r>
      <w:r w:rsidR="009518F0" w:rsidRPr="008A1F83">
        <w:rPr>
          <w:color w:val="auto"/>
          <w:sz w:val="20"/>
          <w:szCs w:val="20"/>
          <w:lang w:val="es-ES_tradnl"/>
        </w:rPr>
        <w:t>–</w:t>
      </w:r>
      <w:r w:rsidR="0029682E" w:rsidRPr="008A1F83">
        <w:rPr>
          <w:color w:val="auto"/>
          <w:sz w:val="20"/>
          <w:szCs w:val="20"/>
          <w:lang w:val="es-ES_tradnl"/>
        </w:rPr>
        <w:t xml:space="preserve">sin </w:t>
      </w:r>
      <w:r w:rsidR="009518F0" w:rsidRPr="008A1F83">
        <w:rPr>
          <w:color w:val="auto"/>
          <w:sz w:val="20"/>
          <w:szCs w:val="20"/>
          <w:lang w:val="es-ES_tradnl"/>
        </w:rPr>
        <w:t xml:space="preserve">aportar </w:t>
      </w:r>
      <w:r w:rsidR="0029682E" w:rsidRPr="008A1F83">
        <w:rPr>
          <w:color w:val="auto"/>
          <w:sz w:val="20"/>
          <w:szCs w:val="20"/>
          <w:lang w:val="es-ES_tradnl"/>
        </w:rPr>
        <w:t>mayor</w:t>
      </w:r>
      <w:r w:rsidR="009518F0" w:rsidRPr="008A1F83">
        <w:rPr>
          <w:color w:val="auto"/>
          <w:sz w:val="20"/>
          <w:szCs w:val="20"/>
          <w:lang w:val="es-ES_tradnl"/>
        </w:rPr>
        <w:t>es</w:t>
      </w:r>
      <w:r w:rsidR="0029682E" w:rsidRPr="008A1F83">
        <w:rPr>
          <w:color w:val="auto"/>
          <w:sz w:val="20"/>
          <w:szCs w:val="20"/>
          <w:lang w:val="es-ES_tradnl"/>
        </w:rPr>
        <w:t xml:space="preserve"> detalle</w:t>
      </w:r>
      <w:r w:rsidR="009518F0" w:rsidRPr="008A1F83">
        <w:rPr>
          <w:color w:val="auto"/>
          <w:sz w:val="20"/>
          <w:szCs w:val="20"/>
          <w:lang w:val="es-ES_tradnl"/>
        </w:rPr>
        <w:t>s–</w:t>
      </w:r>
      <w:r w:rsidRPr="008A1F83">
        <w:rPr>
          <w:color w:val="auto"/>
          <w:sz w:val="20"/>
          <w:szCs w:val="20"/>
          <w:lang w:val="es-ES_tradnl"/>
        </w:rPr>
        <w:t xml:space="preserve"> </w:t>
      </w:r>
      <w:r w:rsidR="009518F0" w:rsidRPr="008A1F83">
        <w:rPr>
          <w:color w:val="auto"/>
          <w:sz w:val="20"/>
          <w:szCs w:val="20"/>
          <w:lang w:val="es-ES_tradnl"/>
        </w:rPr>
        <w:t xml:space="preserve">que en repetidas ocasiones </w:t>
      </w:r>
      <w:r w:rsidR="00EA39DE" w:rsidRPr="008A1F83">
        <w:rPr>
          <w:color w:val="auto"/>
          <w:sz w:val="20"/>
          <w:szCs w:val="20"/>
          <w:lang w:val="es-ES_tradnl"/>
        </w:rPr>
        <w:t>ha</w:t>
      </w:r>
      <w:r w:rsidRPr="008A1F83">
        <w:rPr>
          <w:color w:val="auto"/>
          <w:sz w:val="20"/>
          <w:szCs w:val="20"/>
          <w:lang w:val="es-ES_tradnl"/>
        </w:rPr>
        <w:t>n</w:t>
      </w:r>
      <w:r w:rsidR="00EA39DE" w:rsidRPr="008A1F83">
        <w:rPr>
          <w:color w:val="auto"/>
          <w:sz w:val="20"/>
          <w:szCs w:val="20"/>
          <w:lang w:val="es-ES_tradnl"/>
        </w:rPr>
        <w:t xml:space="preserve"> recibido llamadas y mensajes amenazantes por parte de personas que afirman conocer el paradero de Giovanna, y a pesar de haber hecho las denuncias correspondientes, no se han establecido medidas de protección adecuadas.</w:t>
      </w:r>
    </w:p>
    <w:p w14:paraId="140B658E" w14:textId="67641F86" w:rsidR="00541290" w:rsidRPr="008A1F83" w:rsidRDefault="00541290" w:rsidP="00C5128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Por su parte, el Estado</w:t>
      </w:r>
      <w:r w:rsidR="00501528" w:rsidRPr="008A1F83">
        <w:rPr>
          <w:color w:val="auto"/>
          <w:sz w:val="20"/>
          <w:szCs w:val="20"/>
          <w:lang w:val="es-ES_tradnl"/>
        </w:rPr>
        <w:t xml:space="preserve"> ecuatoriano</w:t>
      </w:r>
      <w:r w:rsidRPr="008A1F83">
        <w:rPr>
          <w:color w:val="auto"/>
          <w:sz w:val="20"/>
          <w:szCs w:val="20"/>
          <w:lang w:val="es-ES_tradnl"/>
        </w:rPr>
        <w:t xml:space="preserve"> alega</w:t>
      </w:r>
      <w:r w:rsidR="0071626F" w:rsidRPr="008A1F83">
        <w:rPr>
          <w:color w:val="auto"/>
          <w:sz w:val="20"/>
          <w:szCs w:val="20"/>
          <w:lang w:val="es-ES_tradnl"/>
        </w:rPr>
        <w:t xml:space="preserve">, </w:t>
      </w:r>
      <w:r w:rsidR="00CA3B55" w:rsidRPr="008A1F83">
        <w:rPr>
          <w:color w:val="auto"/>
          <w:sz w:val="20"/>
          <w:szCs w:val="20"/>
          <w:lang w:val="es-ES_tradnl"/>
        </w:rPr>
        <w:t>con relación a</w:t>
      </w:r>
      <w:r w:rsidR="0071626F" w:rsidRPr="008A1F83">
        <w:rPr>
          <w:color w:val="auto"/>
          <w:sz w:val="20"/>
          <w:szCs w:val="20"/>
          <w:lang w:val="es-ES_tradnl"/>
        </w:rPr>
        <w:t xml:space="preserve"> la desaparición de la presunta víctima, </w:t>
      </w:r>
      <w:r w:rsidR="00501528" w:rsidRPr="008A1F83">
        <w:rPr>
          <w:color w:val="auto"/>
          <w:sz w:val="20"/>
          <w:szCs w:val="20"/>
          <w:lang w:val="es-ES_tradnl"/>
        </w:rPr>
        <w:t>que</w:t>
      </w:r>
      <w:r w:rsidR="00DD7BEE" w:rsidRPr="008A1F83">
        <w:rPr>
          <w:color w:val="auto"/>
          <w:sz w:val="20"/>
          <w:szCs w:val="20"/>
          <w:lang w:val="es-ES_tradnl"/>
        </w:rPr>
        <w:t xml:space="preserve"> en virtud de la denuncia penal presentada por su padre, </w:t>
      </w:r>
      <w:r w:rsidRPr="008A1F83">
        <w:rPr>
          <w:color w:val="auto"/>
          <w:sz w:val="20"/>
          <w:szCs w:val="20"/>
          <w:lang w:val="es-ES_tradnl"/>
        </w:rPr>
        <w:t xml:space="preserve">la Fiscalía de Tungurahua </w:t>
      </w:r>
      <w:r w:rsidR="00DD7BEE" w:rsidRPr="008A1F83">
        <w:rPr>
          <w:color w:val="auto"/>
          <w:sz w:val="20"/>
          <w:szCs w:val="20"/>
          <w:lang w:val="es-ES_tradnl"/>
        </w:rPr>
        <w:t xml:space="preserve">dio apertura a </w:t>
      </w:r>
      <w:r w:rsidRPr="008A1F83">
        <w:rPr>
          <w:color w:val="auto"/>
          <w:sz w:val="20"/>
          <w:szCs w:val="20"/>
          <w:lang w:val="es-ES_tradnl"/>
        </w:rPr>
        <w:t>un</w:t>
      </w:r>
      <w:r w:rsidR="00501528" w:rsidRPr="008A1F83">
        <w:rPr>
          <w:color w:val="auto"/>
          <w:sz w:val="20"/>
          <w:szCs w:val="20"/>
          <w:lang w:val="es-ES_tradnl"/>
        </w:rPr>
        <w:t>a</w:t>
      </w:r>
      <w:r w:rsidRPr="008A1F83">
        <w:rPr>
          <w:color w:val="auto"/>
          <w:sz w:val="20"/>
          <w:szCs w:val="20"/>
          <w:lang w:val="es-ES_tradnl"/>
        </w:rPr>
        <w:t xml:space="preserve"> </w:t>
      </w:r>
      <w:r w:rsidR="00501528" w:rsidRPr="008A1F83">
        <w:rPr>
          <w:color w:val="auto"/>
          <w:sz w:val="20"/>
          <w:szCs w:val="20"/>
          <w:lang w:val="es-ES_tradnl"/>
        </w:rPr>
        <w:t>investigación</w:t>
      </w:r>
      <w:r w:rsidRPr="008A1F83">
        <w:rPr>
          <w:color w:val="auto"/>
          <w:sz w:val="20"/>
          <w:szCs w:val="20"/>
          <w:lang w:val="es-ES_tradnl"/>
        </w:rPr>
        <w:t xml:space="preserve"> por el presunto delito de plagio. </w:t>
      </w:r>
      <w:r w:rsidR="00DD7BEE" w:rsidRPr="008A1F83">
        <w:rPr>
          <w:color w:val="auto"/>
          <w:sz w:val="20"/>
          <w:szCs w:val="20"/>
          <w:lang w:val="es-ES_tradnl"/>
        </w:rPr>
        <w:t>En tal sentido, s</w:t>
      </w:r>
      <w:r w:rsidR="008C4E76" w:rsidRPr="008A1F83">
        <w:rPr>
          <w:color w:val="auto"/>
          <w:sz w:val="20"/>
          <w:szCs w:val="20"/>
          <w:lang w:val="es-ES_tradnl"/>
        </w:rPr>
        <w:t>ostiene que d</w:t>
      </w:r>
      <w:r w:rsidRPr="008A1F83">
        <w:rPr>
          <w:color w:val="auto"/>
          <w:sz w:val="20"/>
          <w:szCs w:val="20"/>
          <w:lang w:val="es-ES_tradnl"/>
        </w:rPr>
        <w:t>esde la presentación de la denuncia hasta la actualidad el Estado ha</w:t>
      </w:r>
      <w:r w:rsidR="00835E5A" w:rsidRPr="008A1F83">
        <w:rPr>
          <w:color w:val="auto"/>
          <w:sz w:val="20"/>
          <w:szCs w:val="20"/>
          <w:lang w:val="es-ES_tradnl"/>
        </w:rPr>
        <w:t xml:space="preserve"> realizado</w:t>
      </w:r>
      <w:r w:rsidRPr="008A1F83">
        <w:rPr>
          <w:color w:val="auto"/>
          <w:sz w:val="20"/>
          <w:szCs w:val="20"/>
          <w:lang w:val="es-ES_tradnl"/>
        </w:rPr>
        <w:t xml:space="preserve"> numerosas diligencias investigativas orientadas a esclarecer los hechos y a localizar tanto a </w:t>
      </w:r>
      <w:r w:rsidR="008C4E76" w:rsidRPr="008A1F83">
        <w:rPr>
          <w:color w:val="auto"/>
          <w:sz w:val="20"/>
          <w:szCs w:val="20"/>
          <w:lang w:val="es-ES_tradnl"/>
        </w:rPr>
        <w:t>la presunta víctima</w:t>
      </w:r>
      <w:r w:rsidRPr="008A1F83">
        <w:rPr>
          <w:color w:val="auto"/>
          <w:sz w:val="20"/>
          <w:szCs w:val="20"/>
          <w:lang w:val="es-ES_tradnl"/>
        </w:rPr>
        <w:t xml:space="preserve"> como a </w:t>
      </w:r>
      <w:r w:rsidR="0031053E" w:rsidRPr="008A1F83">
        <w:rPr>
          <w:color w:val="auto"/>
          <w:sz w:val="20"/>
          <w:szCs w:val="20"/>
          <w:lang w:val="es-ES_tradnl"/>
        </w:rPr>
        <w:t>A.F.L.L.</w:t>
      </w:r>
      <w:r w:rsidRPr="008A1F83">
        <w:rPr>
          <w:color w:val="auto"/>
          <w:sz w:val="20"/>
          <w:szCs w:val="20"/>
          <w:lang w:val="es-ES_tradnl"/>
        </w:rPr>
        <w:t xml:space="preserve"> </w:t>
      </w:r>
      <w:r w:rsidR="00DD7BEE" w:rsidRPr="008A1F83">
        <w:rPr>
          <w:color w:val="auto"/>
          <w:sz w:val="20"/>
          <w:szCs w:val="20"/>
          <w:lang w:val="es-ES_tradnl"/>
        </w:rPr>
        <w:t>Indica que a</w:t>
      </w:r>
      <w:r w:rsidRPr="008A1F83">
        <w:rPr>
          <w:color w:val="auto"/>
          <w:sz w:val="20"/>
          <w:szCs w:val="20"/>
          <w:lang w:val="es-ES_tradnl"/>
        </w:rPr>
        <w:t xml:space="preserve">ctualmente la indagación previa </w:t>
      </w:r>
      <w:r w:rsidR="008C4E76" w:rsidRPr="008A1F83">
        <w:rPr>
          <w:color w:val="auto"/>
          <w:sz w:val="20"/>
          <w:szCs w:val="20"/>
          <w:lang w:val="es-ES_tradnl"/>
        </w:rPr>
        <w:t xml:space="preserve">se mantiene abierta en </w:t>
      </w:r>
      <w:r w:rsidRPr="008A1F83">
        <w:rPr>
          <w:color w:val="auto"/>
          <w:sz w:val="20"/>
          <w:szCs w:val="20"/>
          <w:lang w:val="es-ES_tradnl"/>
        </w:rPr>
        <w:t xml:space="preserve">fase </w:t>
      </w:r>
      <w:r w:rsidR="004434DB" w:rsidRPr="008A1F83">
        <w:rPr>
          <w:color w:val="auto"/>
          <w:sz w:val="20"/>
          <w:szCs w:val="20"/>
          <w:lang w:val="es-ES_tradnl"/>
        </w:rPr>
        <w:t>“</w:t>
      </w:r>
      <w:r w:rsidRPr="008A1F83">
        <w:rPr>
          <w:color w:val="auto"/>
          <w:sz w:val="20"/>
          <w:szCs w:val="20"/>
          <w:lang w:val="es-ES_tradnl"/>
        </w:rPr>
        <w:t>preprocesal</w:t>
      </w:r>
      <w:r w:rsidR="004434DB" w:rsidRPr="008A1F83">
        <w:rPr>
          <w:color w:val="auto"/>
          <w:sz w:val="20"/>
          <w:szCs w:val="20"/>
          <w:lang w:val="es-ES_tradnl"/>
        </w:rPr>
        <w:t>”</w:t>
      </w:r>
      <w:r w:rsidRPr="008A1F83">
        <w:rPr>
          <w:color w:val="auto"/>
          <w:sz w:val="20"/>
          <w:szCs w:val="20"/>
          <w:lang w:val="es-ES_tradnl"/>
        </w:rPr>
        <w:t xml:space="preserve"> de carácter reservado a terceros ajenos a la causa y al público en general.</w:t>
      </w:r>
    </w:p>
    <w:p w14:paraId="071A398A" w14:textId="5011B8F0" w:rsidR="00DD7BEE" w:rsidRPr="008A1F83" w:rsidRDefault="00DD7BEE" w:rsidP="00DD7BE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 xml:space="preserve">En particular, detalla que </w:t>
      </w:r>
      <w:r w:rsidR="00B004F1" w:rsidRPr="008A1F83">
        <w:rPr>
          <w:color w:val="auto"/>
          <w:sz w:val="20"/>
          <w:szCs w:val="20"/>
          <w:lang w:val="es-ES_tradnl"/>
        </w:rPr>
        <w:t xml:space="preserve">el agente fiscal mediante “la disposición” </w:t>
      </w:r>
      <w:r w:rsidRPr="008A1F83">
        <w:rPr>
          <w:color w:val="auto"/>
          <w:sz w:val="20"/>
          <w:szCs w:val="20"/>
          <w:lang w:val="es-ES_tradnl"/>
        </w:rPr>
        <w:t>de</w:t>
      </w:r>
      <w:r w:rsidR="00B004F1" w:rsidRPr="008A1F83">
        <w:rPr>
          <w:color w:val="auto"/>
          <w:sz w:val="20"/>
          <w:szCs w:val="20"/>
          <w:lang w:val="es-ES_tradnl"/>
        </w:rPr>
        <w:t>l</w:t>
      </w:r>
      <w:r w:rsidRPr="008A1F83">
        <w:rPr>
          <w:color w:val="auto"/>
          <w:sz w:val="20"/>
          <w:szCs w:val="20"/>
          <w:lang w:val="es-ES_tradnl"/>
        </w:rPr>
        <w:t xml:space="preserve"> 10 de diciembre de 2010, dispuso receptar la versión de A.F.L.L.; sin embargo, al no haber sido posible ejecutar esta diligencia por desconocerse su paradero, el 23 de diciembre de 2010 el fiscal solicitó su detención</w:t>
      </w:r>
      <w:r w:rsidR="00B004F1" w:rsidRPr="008A1F83">
        <w:rPr>
          <w:color w:val="auto"/>
          <w:sz w:val="20"/>
          <w:szCs w:val="20"/>
          <w:lang w:val="es-ES_tradnl"/>
        </w:rPr>
        <w:t xml:space="preserve"> con fines investigativos</w:t>
      </w:r>
      <w:r w:rsidRPr="008A1F83">
        <w:rPr>
          <w:color w:val="auto"/>
          <w:sz w:val="20"/>
          <w:szCs w:val="20"/>
          <w:lang w:val="es-ES_tradnl"/>
        </w:rPr>
        <w:t xml:space="preserve">, la cual fue ordenada el 29 de diciembre de 2010 por el Juzgado Segundo de Garantías Penales de Tungurahua. </w:t>
      </w:r>
      <w:r w:rsidR="00B004F1" w:rsidRPr="008A1F83">
        <w:rPr>
          <w:color w:val="auto"/>
          <w:sz w:val="20"/>
          <w:szCs w:val="20"/>
          <w:lang w:val="es-ES_tradnl"/>
        </w:rPr>
        <w:t>Asimismo, d</w:t>
      </w:r>
      <w:r w:rsidRPr="008A1F83">
        <w:rPr>
          <w:color w:val="auto"/>
          <w:sz w:val="20"/>
          <w:szCs w:val="20"/>
          <w:lang w:val="es-ES_tradnl"/>
        </w:rPr>
        <w:t>etalla que el 4 de octubre de 2011, el agente fiscal solicitó</w:t>
      </w:r>
      <w:r w:rsidR="00B004F1" w:rsidRPr="008A1F83">
        <w:rPr>
          <w:color w:val="auto"/>
          <w:sz w:val="20"/>
          <w:szCs w:val="20"/>
          <w:lang w:val="es-ES_tradnl"/>
        </w:rPr>
        <w:t xml:space="preserve"> ante el Juez Segundo de Garantías Penales</w:t>
      </w:r>
      <w:r w:rsidRPr="008A1F83">
        <w:rPr>
          <w:color w:val="auto"/>
          <w:sz w:val="20"/>
          <w:szCs w:val="20"/>
          <w:lang w:val="es-ES_tradnl"/>
        </w:rPr>
        <w:t xml:space="preserve"> revocar dicha orden de detención quien acogió dicha solicitud el 24 de noviembre de 2011, al considerar que existía una ausencia de indicios de naturaleza inculpatoria y una ineficacia de la medida que durante once meses no pudo ser hecha efectiva, pese a haber sido notificada a las autoridades policiales a nivel nacional. </w:t>
      </w:r>
      <w:r w:rsidR="00B004F1" w:rsidRPr="008A1F83">
        <w:rPr>
          <w:color w:val="auto"/>
          <w:sz w:val="20"/>
          <w:szCs w:val="20"/>
          <w:lang w:val="es-ES_tradnl"/>
        </w:rPr>
        <w:lastRenderedPageBreak/>
        <w:t xml:space="preserve">Explica que </w:t>
      </w:r>
      <w:r w:rsidRPr="008A1F83">
        <w:rPr>
          <w:color w:val="auto"/>
          <w:sz w:val="20"/>
          <w:szCs w:val="20"/>
          <w:lang w:val="es-ES_tradnl"/>
        </w:rPr>
        <w:t>el 15 de diciembre de 2011 el fiscal solicitó</w:t>
      </w:r>
      <w:r w:rsidR="00B004F1" w:rsidRPr="008A1F83">
        <w:rPr>
          <w:color w:val="auto"/>
          <w:sz w:val="20"/>
          <w:szCs w:val="20"/>
          <w:lang w:val="es-ES_tradnl"/>
        </w:rPr>
        <w:t xml:space="preserve"> </w:t>
      </w:r>
      <w:r w:rsidR="004D0E36" w:rsidRPr="008A1F83">
        <w:rPr>
          <w:color w:val="auto"/>
          <w:sz w:val="20"/>
          <w:szCs w:val="20"/>
          <w:lang w:val="es-ES_tradnl"/>
        </w:rPr>
        <w:t>al</w:t>
      </w:r>
      <w:r w:rsidR="00B004F1" w:rsidRPr="008A1F83">
        <w:rPr>
          <w:color w:val="auto"/>
          <w:sz w:val="20"/>
          <w:szCs w:val="20"/>
          <w:lang w:val="es-ES_tradnl"/>
        </w:rPr>
        <w:t xml:space="preserve"> Juez de Garantías Penales, de acuerdo con la facultad estipulada en el Código de Procedimiento Penal de la época, </w:t>
      </w:r>
      <w:r w:rsidRPr="008A1F83">
        <w:rPr>
          <w:color w:val="auto"/>
          <w:sz w:val="20"/>
          <w:szCs w:val="20"/>
          <w:lang w:val="es-ES_tradnl"/>
        </w:rPr>
        <w:t xml:space="preserve">el archivo de la denuncia argumentando que los hechos desprendidos de la indagación realizada no se subsumían al tipo penal de plagio bajo el cual se estaba desarrollando la investigación. </w:t>
      </w:r>
      <w:r w:rsidR="00BD1913" w:rsidRPr="008A1F83">
        <w:rPr>
          <w:color w:val="auto"/>
          <w:sz w:val="20"/>
          <w:szCs w:val="20"/>
          <w:lang w:val="es-ES_tradnl"/>
        </w:rPr>
        <w:t>A ese</w:t>
      </w:r>
      <w:r w:rsidRPr="008A1F83">
        <w:rPr>
          <w:color w:val="auto"/>
          <w:sz w:val="20"/>
          <w:szCs w:val="20"/>
          <w:lang w:val="es-ES_tradnl"/>
        </w:rPr>
        <w:t xml:space="preserve"> respecto, </w:t>
      </w:r>
      <w:r w:rsidR="004D0E36" w:rsidRPr="008A1F83">
        <w:rPr>
          <w:color w:val="auto"/>
          <w:sz w:val="20"/>
          <w:szCs w:val="20"/>
          <w:lang w:val="es-ES_tradnl"/>
        </w:rPr>
        <w:t xml:space="preserve">detalla que </w:t>
      </w:r>
      <w:r w:rsidRPr="008A1F83">
        <w:rPr>
          <w:color w:val="auto"/>
          <w:sz w:val="20"/>
          <w:szCs w:val="20"/>
          <w:lang w:val="es-ES_tradnl"/>
        </w:rPr>
        <w:t xml:space="preserve">el 17 de enero de 2012 el </w:t>
      </w:r>
      <w:r w:rsidR="004D0E36" w:rsidRPr="008A1F83">
        <w:rPr>
          <w:color w:val="auto"/>
          <w:sz w:val="20"/>
          <w:szCs w:val="20"/>
          <w:lang w:val="es-ES_tradnl"/>
        </w:rPr>
        <w:t>j</w:t>
      </w:r>
      <w:r w:rsidRPr="008A1F83">
        <w:rPr>
          <w:color w:val="auto"/>
          <w:sz w:val="20"/>
          <w:szCs w:val="20"/>
          <w:lang w:val="es-ES_tradnl"/>
        </w:rPr>
        <w:t>uez determinó que los hechos se vinculaban con una presunta desaparición forzada de persona por lo que, en aplicación de lo dispuesto en el Código de Procedimiento Penal, dispuso que el expediente se remetiera al fiscal superior. En esa línea, alega que el 17 de octubre de 2013 se desarrolló una audiencia de adopción de medida cautelar en la cual el Juez de Garantías Penales de Tungurahua, a pedido del fiscal de la causa, emitió nuevamente una orden de detención en contra de A.F.L.L. Es así, explica el Estado, que actualmente la indagación previa se mantiene abierta; no obstante, la información recopilada no ha arrojado elementos que permitan identificar el cometimiento de una infracción penal y que sirvan como base para abrir una instrucción fiscal en contra de una persona determinada.</w:t>
      </w:r>
    </w:p>
    <w:p w14:paraId="53F4A691" w14:textId="6A1971A1" w:rsidR="001849B7" w:rsidRPr="008A1F83" w:rsidRDefault="00C118C1" w:rsidP="0020393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 xml:space="preserve">Recalca </w:t>
      </w:r>
      <w:r w:rsidR="00AA2174" w:rsidRPr="008A1F83">
        <w:rPr>
          <w:color w:val="auto"/>
          <w:sz w:val="20"/>
          <w:szCs w:val="20"/>
          <w:lang w:val="es-ES_tradnl"/>
        </w:rPr>
        <w:t xml:space="preserve">igualmente </w:t>
      </w:r>
      <w:r w:rsidRPr="008A1F83">
        <w:rPr>
          <w:color w:val="auto"/>
          <w:sz w:val="20"/>
          <w:szCs w:val="20"/>
          <w:lang w:val="es-ES_tradnl"/>
        </w:rPr>
        <w:t xml:space="preserve">que se solicitó </w:t>
      </w:r>
      <w:r w:rsidR="001849B7" w:rsidRPr="008A1F83">
        <w:rPr>
          <w:color w:val="auto"/>
          <w:sz w:val="20"/>
          <w:szCs w:val="20"/>
          <w:lang w:val="es-ES_tradnl"/>
        </w:rPr>
        <w:t xml:space="preserve">la apertura de un sumario disciplinario </w:t>
      </w:r>
      <w:r w:rsidR="00CF4652" w:rsidRPr="008A1F83">
        <w:rPr>
          <w:color w:val="auto"/>
          <w:sz w:val="20"/>
          <w:szCs w:val="20"/>
          <w:lang w:val="es-ES_tradnl"/>
        </w:rPr>
        <w:t xml:space="preserve">en el 2014 </w:t>
      </w:r>
      <w:r w:rsidR="001849B7" w:rsidRPr="008A1F83">
        <w:rPr>
          <w:color w:val="auto"/>
          <w:sz w:val="20"/>
          <w:szCs w:val="20"/>
          <w:lang w:val="es-ES_tradnl"/>
        </w:rPr>
        <w:t xml:space="preserve">en contra de los fiscales a cargo del proceso investigativo por la desaparición de </w:t>
      </w:r>
      <w:r w:rsidRPr="008A1F83">
        <w:rPr>
          <w:color w:val="auto"/>
          <w:sz w:val="20"/>
          <w:szCs w:val="20"/>
          <w:lang w:val="es-ES_tradnl"/>
        </w:rPr>
        <w:t>la presunta víctima</w:t>
      </w:r>
      <w:r w:rsidR="001849B7" w:rsidRPr="008A1F83">
        <w:rPr>
          <w:color w:val="auto"/>
          <w:sz w:val="20"/>
          <w:szCs w:val="20"/>
          <w:lang w:val="es-ES_tradnl"/>
        </w:rPr>
        <w:t>, por lo que el Consejo de la Judicatura abrió el expediente No. 18001-2014-0017.</w:t>
      </w:r>
      <w:r w:rsidRPr="008A1F83">
        <w:rPr>
          <w:color w:val="auto"/>
          <w:sz w:val="20"/>
          <w:szCs w:val="20"/>
          <w:lang w:val="es-ES_tradnl"/>
        </w:rPr>
        <w:t xml:space="preserve"> </w:t>
      </w:r>
      <w:r w:rsidR="002C52FD" w:rsidRPr="008A1F83">
        <w:rPr>
          <w:color w:val="auto"/>
          <w:sz w:val="20"/>
          <w:szCs w:val="20"/>
          <w:lang w:val="es-ES_tradnl"/>
        </w:rPr>
        <w:t>Argumenta que l</w:t>
      </w:r>
      <w:r w:rsidR="001849B7" w:rsidRPr="008A1F83">
        <w:rPr>
          <w:color w:val="auto"/>
          <w:sz w:val="20"/>
          <w:szCs w:val="20"/>
          <w:lang w:val="es-ES_tradnl"/>
        </w:rPr>
        <w:t xml:space="preserve">uego del análisis jurídico respectivo, el Director Nacional de Transparencia del Consejo de la Judicatura resolvió </w:t>
      </w:r>
      <w:r w:rsidR="002C52FD" w:rsidRPr="008A1F83">
        <w:rPr>
          <w:color w:val="auto"/>
          <w:sz w:val="20"/>
          <w:szCs w:val="20"/>
          <w:lang w:val="es-ES_tradnl"/>
        </w:rPr>
        <w:t xml:space="preserve">mediante el Memorando No. UTGF-043-2014 del 30 de enero de 2014, </w:t>
      </w:r>
      <w:r w:rsidR="001849B7" w:rsidRPr="008A1F83">
        <w:rPr>
          <w:color w:val="auto"/>
          <w:sz w:val="20"/>
          <w:szCs w:val="20"/>
          <w:lang w:val="es-ES_tradnl"/>
        </w:rPr>
        <w:t xml:space="preserve">no admitir a trámite el proceso </w:t>
      </w:r>
      <w:r w:rsidR="00075DF6" w:rsidRPr="008A1F83">
        <w:rPr>
          <w:color w:val="auto"/>
          <w:sz w:val="20"/>
          <w:szCs w:val="20"/>
          <w:lang w:val="es-ES_tradnl"/>
        </w:rPr>
        <w:t xml:space="preserve">por considerar </w:t>
      </w:r>
      <w:r w:rsidR="001849B7" w:rsidRPr="008A1F83">
        <w:rPr>
          <w:color w:val="auto"/>
          <w:sz w:val="20"/>
          <w:szCs w:val="20"/>
          <w:lang w:val="es-ES_tradnl"/>
        </w:rPr>
        <w:t>que los hechos materia de la investigación no constituían infracción disciplinaria</w:t>
      </w:r>
      <w:r w:rsidR="002C52FD" w:rsidRPr="008A1F83">
        <w:rPr>
          <w:color w:val="auto"/>
          <w:sz w:val="20"/>
          <w:szCs w:val="20"/>
          <w:lang w:val="es-ES_tradnl"/>
        </w:rPr>
        <w:t xml:space="preserve"> </w:t>
      </w:r>
      <w:r w:rsidR="00075DF6" w:rsidRPr="008A1F83">
        <w:rPr>
          <w:color w:val="auto"/>
          <w:sz w:val="20"/>
          <w:szCs w:val="20"/>
          <w:lang w:val="es-ES_tradnl"/>
        </w:rPr>
        <w:t>de acuerdo con</w:t>
      </w:r>
      <w:r w:rsidR="002C52FD" w:rsidRPr="008A1F83">
        <w:rPr>
          <w:color w:val="auto"/>
          <w:sz w:val="20"/>
          <w:szCs w:val="20"/>
          <w:lang w:val="es-ES_tradnl"/>
        </w:rPr>
        <w:t xml:space="preserve"> </w:t>
      </w:r>
      <w:r w:rsidR="001849B7" w:rsidRPr="008A1F83">
        <w:rPr>
          <w:color w:val="auto"/>
          <w:sz w:val="20"/>
          <w:szCs w:val="20"/>
          <w:lang w:val="es-ES_tradnl"/>
        </w:rPr>
        <w:t>lo dispuesto en el Código Orgánico de la Función Judicial</w:t>
      </w:r>
      <w:r w:rsidR="002C52FD" w:rsidRPr="008A1F83">
        <w:rPr>
          <w:color w:val="auto"/>
          <w:sz w:val="20"/>
          <w:szCs w:val="20"/>
          <w:lang w:val="es-ES_tradnl"/>
        </w:rPr>
        <w:t xml:space="preserve">. </w:t>
      </w:r>
      <w:r w:rsidR="00CF4652" w:rsidRPr="008A1F83">
        <w:rPr>
          <w:color w:val="auto"/>
          <w:sz w:val="20"/>
          <w:szCs w:val="20"/>
          <w:lang w:val="es-ES_tradnl"/>
        </w:rPr>
        <w:t>E</w:t>
      </w:r>
      <w:r w:rsidR="002C52FD" w:rsidRPr="008A1F83">
        <w:rPr>
          <w:color w:val="auto"/>
          <w:sz w:val="20"/>
          <w:szCs w:val="20"/>
          <w:lang w:val="es-ES_tradnl"/>
        </w:rPr>
        <w:t xml:space="preserve">xplica </w:t>
      </w:r>
      <w:r w:rsidR="00CF4652" w:rsidRPr="008A1F83">
        <w:rPr>
          <w:color w:val="auto"/>
          <w:sz w:val="20"/>
          <w:szCs w:val="20"/>
          <w:lang w:val="es-ES_tradnl"/>
        </w:rPr>
        <w:t xml:space="preserve">igualmente </w:t>
      </w:r>
      <w:r w:rsidR="002C52FD" w:rsidRPr="008A1F83">
        <w:rPr>
          <w:color w:val="auto"/>
          <w:sz w:val="20"/>
          <w:szCs w:val="20"/>
          <w:lang w:val="es-ES_tradnl"/>
        </w:rPr>
        <w:t>que e</w:t>
      </w:r>
      <w:r w:rsidR="001849B7" w:rsidRPr="008A1F83">
        <w:rPr>
          <w:color w:val="auto"/>
          <w:sz w:val="20"/>
          <w:szCs w:val="20"/>
          <w:lang w:val="es-ES_tradnl"/>
        </w:rPr>
        <w:t>l 29 de mayo de 2019</w:t>
      </w:r>
      <w:r w:rsidR="002C52FD" w:rsidRPr="008A1F83">
        <w:rPr>
          <w:color w:val="auto"/>
          <w:sz w:val="20"/>
          <w:szCs w:val="20"/>
          <w:lang w:val="es-ES_tradnl"/>
        </w:rPr>
        <w:t>,</w:t>
      </w:r>
      <w:r w:rsidR="001849B7" w:rsidRPr="008A1F83">
        <w:rPr>
          <w:color w:val="auto"/>
          <w:sz w:val="20"/>
          <w:szCs w:val="20"/>
          <w:lang w:val="es-ES_tradnl"/>
        </w:rPr>
        <w:t xml:space="preserve"> Martha Constante presentó un escrito ante el Fiscal Provincial de Tungurahua a través del cual alegó que la fiscal encargada del caso, en ese entonces,</w:t>
      </w:r>
      <w:r w:rsidR="0058094D" w:rsidRPr="008A1F83">
        <w:rPr>
          <w:color w:val="auto"/>
          <w:sz w:val="20"/>
          <w:szCs w:val="20"/>
          <w:lang w:val="es-ES_tradnl"/>
        </w:rPr>
        <w:t xml:space="preserve"> </w:t>
      </w:r>
      <w:r w:rsidR="001849B7" w:rsidRPr="008A1F83">
        <w:rPr>
          <w:color w:val="auto"/>
          <w:sz w:val="20"/>
          <w:szCs w:val="20"/>
          <w:lang w:val="es-ES_tradnl"/>
        </w:rPr>
        <w:t xml:space="preserve">vulneró el principio de reserva en la Indagación Previa No. 306-2010 al haber realizado notificaciones al correo electrónico </w:t>
      </w:r>
      <w:r w:rsidR="0058094D" w:rsidRPr="008A1F83">
        <w:rPr>
          <w:color w:val="auto"/>
          <w:sz w:val="20"/>
          <w:szCs w:val="20"/>
          <w:lang w:val="es-ES_tradnl"/>
        </w:rPr>
        <w:t>d</w:t>
      </w:r>
      <w:r w:rsidR="001849B7" w:rsidRPr="008A1F83">
        <w:rPr>
          <w:color w:val="auto"/>
          <w:sz w:val="20"/>
          <w:szCs w:val="20"/>
          <w:lang w:val="es-ES_tradnl"/>
        </w:rPr>
        <w:t>el abogado</w:t>
      </w:r>
      <w:r w:rsidR="001849B7" w:rsidRPr="008A1F83">
        <w:rPr>
          <w:rFonts w:ascii="Times New Roman" w:eastAsia="Arial Unicode MS" w:hAnsi="Times New Roman" w:cs="Times New Roman"/>
          <w:color w:val="auto"/>
          <w:lang w:val="es-ES_tradnl" w:eastAsia="en-US"/>
        </w:rPr>
        <w:t xml:space="preserve"> </w:t>
      </w:r>
      <w:r w:rsidR="001849B7" w:rsidRPr="008A1F83">
        <w:rPr>
          <w:color w:val="auto"/>
          <w:sz w:val="20"/>
          <w:szCs w:val="20"/>
          <w:lang w:val="es-ES_tradnl"/>
        </w:rPr>
        <w:t xml:space="preserve">designado por </w:t>
      </w:r>
      <w:r w:rsidR="00075DF6" w:rsidRPr="008A1F83">
        <w:rPr>
          <w:color w:val="auto"/>
          <w:sz w:val="20"/>
          <w:szCs w:val="20"/>
          <w:lang w:val="es-ES_tradnl"/>
        </w:rPr>
        <w:t>la</w:t>
      </w:r>
      <w:r w:rsidR="001849B7" w:rsidRPr="008A1F83">
        <w:rPr>
          <w:color w:val="auto"/>
          <w:sz w:val="20"/>
          <w:szCs w:val="20"/>
          <w:lang w:val="es-ES_tradnl"/>
        </w:rPr>
        <w:t xml:space="preserve"> hermana de </w:t>
      </w:r>
      <w:r w:rsidR="0031053E" w:rsidRPr="008A1F83">
        <w:rPr>
          <w:color w:val="auto"/>
          <w:sz w:val="20"/>
          <w:szCs w:val="20"/>
          <w:lang w:val="es-ES_tradnl"/>
        </w:rPr>
        <w:t>A.F.L.L.</w:t>
      </w:r>
      <w:r w:rsidR="001849B7" w:rsidRPr="008A1F83">
        <w:rPr>
          <w:color w:val="auto"/>
          <w:sz w:val="20"/>
          <w:szCs w:val="20"/>
          <w:lang w:val="es-ES_tradnl"/>
        </w:rPr>
        <w:t xml:space="preserve">, </w:t>
      </w:r>
      <w:r w:rsidR="00CF4652" w:rsidRPr="008A1F83">
        <w:rPr>
          <w:color w:val="auto"/>
          <w:sz w:val="20"/>
          <w:szCs w:val="20"/>
          <w:lang w:val="es-ES_tradnl"/>
        </w:rPr>
        <w:t xml:space="preserve">y </w:t>
      </w:r>
      <w:r w:rsidR="001849B7" w:rsidRPr="008A1F83">
        <w:rPr>
          <w:color w:val="auto"/>
          <w:sz w:val="20"/>
          <w:szCs w:val="20"/>
          <w:lang w:val="es-ES_tradnl"/>
        </w:rPr>
        <w:t xml:space="preserve">solicitó que se </w:t>
      </w:r>
      <w:r w:rsidR="00CF4652" w:rsidRPr="008A1F83">
        <w:rPr>
          <w:color w:val="auto"/>
          <w:sz w:val="20"/>
          <w:szCs w:val="20"/>
          <w:lang w:val="es-ES_tradnl"/>
        </w:rPr>
        <w:t xml:space="preserve">realizara </w:t>
      </w:r>
      <w:r w:rsidR="001849B7" w:rsidRPr="008A1F83">
        <w:rPr>
          <w:color w:val="auto"/>
          <w:sz w:val="20"/>
          <w:szCs w:val="20"/>
          <w:lang w:val="es-ES_tradnl"/>
        </w:rPr>
        <w:t xml:space="preserve">un control jurídico del proceso investigativo. </w:t>
      </w:r>
      <w:r w:rsidR="00CF4652" w:rsidRPr="008A1F83">
        <w:rPr>
          <w:color w:val="auto"/>
          <w:sz w:val="20"/>
          <w:szCs w:val="20"/>
          <w:lang w:val="es-ES_tradnl"/>
        </w:rPr>
        <w:t>A</w:t>
      </w:r>
      <w:r w:rsidR="00DD5BFA" w:rsidRPr="008A1F83">
        <w:rPr>
          <w:color w:val="auto"/>
          <w:sz w:val="20"/>
          <w:szCs w:val="20"/>
          <w:lang w:val="es-ES_tradnl"/>
        </w:rPr>
        <w:t>sí</w:t>
      </w:r>
      <w:r w:rsidR="00CF4652" w:rsidRPr="008A1F83">
        <w:rPr>
          <w:color w:val="auto"/>
          <w:sz w:val="20"/>
          <w:szCs w:val="20"/>
          <w:lang w:val="es-ES_tradnl"/>
        </w:rPr>
        <w:t>,</w:t>
      </w:r>
      <w:r w:rsidR="0058094D" w:rsidRPr="008A1F83">
        <w:rPr>
          <w:color w:val="auto"/>
          <w:sz w:val="20"/>
          <w:szCs w:val="20"/>
          <w:lang w:val="es-ES_tradnl"/>
        </w:rPr>
        <w:t xml:space="preserve"> e</w:t>
      </w:r>
      <w:r w:rsidR="001849B7" w:rsidRPr="008A1F83">
        <w:rPr>
          <w:color w:val="auto"/>
          <w:sz w:val="20"/>
          <w:szCs w:val="20"/>
          <w:lang w:val="es-ES_tradnl"/>
        </w:rPr>
        <w:t xml:space="preserve">n atención al requerimiento hecho </w:t>
      </w:r>
      <w:r w:rsidR="004D0E36" w:rsidRPr="008A1F83">
        <w:rPr>
          <w:color w:val="auto"/>
          <w:sz w:val="20"/>
          <w:szCs w:val="20"/>
          <w:lang w:val="es-ES_tradnl"/>
        </w:rPr>
        <w:t xml:space="preserve">por la madre de la presunta víctima, </w:t>
      </w:r>
      <w:r w:rsidR="001849B7" w:rsidRPr="008A1F83">
        <w:rPr>
          <w:color w:val="auto"/>
          <w:sz w:val="20"/>
          <w:szCs w:val="20"/>
          <w:lang w:val="es-ES_tradnl"/>
        </w:rPr>
        <w:t xml:space="preserve">el 20 de junio de 2019 la Dirección de Gestión Procesal de la Fiscalía General del Estado designó un equipo de analistas jurídicos con la finalidad de que revisen las actuaciones realizadas durante la investigación vinculada con la desaparición de </w:t>
      </w:r>
      <w:r w:rsidR="00AA2174" w:rsidRPr="008A1F83">
        <w:rPr>
          <w:color w:val="auto"/>
          <w:sz w:val="20"/>
          <w:szCs w:val="20"/>
          <w:lang w:val="es-ES_tradnl"/>
        </w:rPr>
        <w:t>la presunta víctima</w:t>
      </w:r>
      <w:r w:rsidR="001849B7" w:rsidRPr="008A1F83">
        <w:rPr>
          <w:color w:val="auto"/>
          <w:sz w:val="20"/>
          <w:szCs w:val="20"/>
          <w:lang w:val="es-ES_tradnl"/>
        </w:rPr>
        <w:t>.</w:t>
      </w:r>
      <w:r w:rsidR="00DE2C22" w:rsidRPr="008A1F83">
        <w:rPr>
          <w:color w:val="auto"/>
          <w:sz w:val="20"/>
          <w:szCs w:val="20"/>
          <w:lang w:val="es-ES_tradnl"/>
        </w:rPr>
        <w:t xml:space="preserve"> </w:t>
      </w:r>
      <w:r w:rsidR="001849B7" w:rsidRPr="008A1F83">
        <w:rPr>
          <w:color w:val="auto"/>
          <w:sz w:val="20"/>
          <w:szCs w:val="20"/>
          <w:lang w:val="es-ES_tradnl"/>
        </w:rPr>
        <w:t>Una vez efectuado el control jurídico del expediente del caso, la Directora de Gestión Procesal de la Fiscalía General del Estado resolvió que el Consejo de la Judicatura e</w:t>
      </w:r>
      <w:r w:rsidR="00CF4652" w:rsidRPr="008A1F83">
        <w:rPr>
          <w:color w:val="auto"/>
          <w:sz w:val="20"/>
          <w:szCs w:val="20"/>
          <w:lang w:val="es-ES_tradnl"/>
        </w:rPr>
        <w:t>ra</w:t>
      </w:r>
      <w:r w:rsidR="001849B7" w:rsidRPr="008A1F83">
        <w:rPr>
          <w:color w:val="auto"/>
          <w:sz w:val="20"/>
          <w:szCs w:val="20"/>
          <w:lang w:val="es-ES_tradnl"/>
        </w:rPr>
        <w:t xml:space="preserve"> el órgano competente para determinar </w:t>
      </w:r>
      <w:r w:rsidR="00AA2174" w:rsidRPr="008A1F83">
        <w:rPr>
          <w:color w:val="auto"/>
          <w:sz w:val="20"/>
          <w:szCs w:val="20"/>
          <w:lang w:val="es-ES_tradnl"/>
        </w:rPr>
        <w:t>vulneraciones a</w:t>
      </w:r>
      <w:r w:rsidR="001849B7" w:rsidRPr="008A1F83">
        <w:rPr>
          <w:color w:val="auto"/>
          <w:sz w:val="20"/>
          <w:szCs w:val="20"/>
          <w:lang w:val="es-ES_tradnl"/>
        </w:rPr>
        <w:t xml:space="preserve"> los principios que conforman el debido proceso, razón por la cual </w:t>
      </w:r>
      <w:r w:rsidR="00AA2174" w:rsidRPr="008A1F83">
        <w:rPr>
          <w:color w:val="auto"/>
          <w:sz w:val="20"/>
          <w:szCs w:val="20"/>
          <w:lang w:val="es-ES_tradnl"/>
        </w:rPr>
        <w:t xml:space="preserve">se </w:t>
      </w:r>
      <w:r w:rsidR="001849B7" w:rsidRPr="008A1F83">
        <w:rPr>
          <w:color w:val="auto"/>
          <w:sz w:val="20"/>
          <w:szCs w:val="20"/>
          <w:lang w:val="es-ES_tradnl"/>
        </w:rPr>
        <w:t xml:space="preserve">remitió el informe de control jurídico a la Unidad de Control Disciplinario </w:t>
      </w:r>
      <w:r w:rsidR="00AA2174" w:rsidRPr="008A1F83">
        <w:rPr>
          <w:color w:val="auto"/>
          <w:sz w:val="20"/>
          <w:szCs w:val="20"/>
          <w:lang w:val="es-ES_tradnl"/>
        </w:rPr>
        <w:t xml:space="preserve">de dicho órgano </w:t>
      </w:r>
      <w:r w:rsidR="001849B7" w:rsidRPr="008A1F83">
        <w:rPr>
          <w:color w:val="auto"/>
          <w:sz w:val="20"/>
          <w:szCs w:val="20"/>
          <w:lang w:val="es-ES_tradnl"/>
        </w:rPr>
        <w:t>el 26 de julio de 2019</w:t>
      </w:r>
      <w:r w:rsidR="0044413A" w:rsidRPr="008A1F83">
        <w:rPr>
          <w:color w:val="auto"/>
          <w:sz w:val="20"/>
          <w:szCs w:val="20"/>
          <w:lang w:val="es-ES_tradnl"/>
        </w:rPr>
        <w:t xml:space="preserve"> y </w:t>
      </w:r>
      <w:r w:rsidR="001849B7" w:rsidRPr="008A1F83">
        <w:rPr>
          <w:color w:val="auto"/>
          <w:sz w:val="20"/>
          <w:szCs w:val="20"/>
          <w:lang w:val="es-ES_tradnl"/>
        </w:rPr>
        <w:t>al Director Provincial de Tungurahua del Consejo de la Judicatura, el 6 de agosto de 2019.</w:t>
      </w:r>
      <w:r w:rsidR="0044413A" w:rsidRPr="008A1F83">
        <w:rPr>
          <w:color w:val="auto"/>
          <w:sz w:val="20"/>
          <w:szCs w:val="20"/>
          <w:lang w:val="es-ES_tradnl"/>
        </w:rPr>
        <w:t xml:space="preserve"> </w:t>
      </w:r>
      <w:r w:rsidR="00CF4652" w:rsidRPr="008A1F83">
        <w:rPr>
          <w:color w:val="auto"/>
          <w:sz w:val="20"/>
          <w:szCs w:val="20"/>
          <w:lang w:val="es-ES_tradnl"/>
        </w:rPr>
        <w:t>Sostiene que, entre otras varias diligencias, e</w:t>
      </w:r>
      <w:r w:rsidR="001849B7" w:rsidRPr="008A1F83">
        <w:rPr>
          <w:color w:val="auto"/>
          <w:sz w:val="20"/>
          <w:szCs w:val="20"/>
          <w:lang w:val="es-ES_tradnl"/>
        </w:rPr>
        <w:t>l 9 de junio de 2020 el Director Provincial del Consejo de la Judicatura de Tungurahua avocó conocimiento del expediente administrativo No. 18001-2019-01151 y el 16 de junio de 2020 decidió proceder con la instrucción del sumario disciplinario, el cual se enc</w:t>
      </w:r>
      <w:r w:rsidR="00AA2174" w:rsidRPr="008A1F83">
        <w:rPr>
          <w:color w:val="auto"/>
          <w:sz w:val="20"/>
          <w:szCs w:val="20"/>
          <w:lang w:val="es-ES_tradnl"/>
        </w:rPr>
        <w:t>o</w:t>
      </w:r>
      <w:r w:rsidR="001849B7" w:rsidRPr="008A1F83">
        <w:rPr>
          <w:color w:val="auto"/>
          <w:sz w:val="20"/>
          <w:szCs w:val="20"/>
          <w:lang w:val="es-ES_tradnl"/>
        </w:rPr>
        <w:t>nt</w:t>
      </w:r>
      <w:r w:rsidR="004D0E36" w:rsidRPr="008A1F83">
        <w:rPr>
          <w:color w:val="auto"/>
          <w:sz w:val="20"/>
          <w:szCs w:val="20"/>
          <w:lang w:val="es-ES_tradnl"/>
        </w:rPr>
        <w:t xml:space="preserve">raba </w:t>
      </w:r>
      <w:r w:rsidR="001849B7" w:rsidRPr="008A1F83">
        <w:rPr>
          <w:color w:val="auto"/>
          <w:sz w:val="20"/>
          <w:szCs w:val="20"/>
          <w:lang w:val="es-ES_tradnl"/>
        </w:rPr>
        <w:t>en curso</w:t>
      </w:r>
      <w:r w:rsidR="004D0E36" w:rsidRPr="008A1F83">
        <w:rPr>
          <w:color w:val="auto"/>
          <w:sz w:val="20"/>
          <w:szCs w:val="20"/>
          <w:lang w:val="es-ES_tradnl"/>
        </w:rPr>
        <w:t xml:space="preserve"> para la fecha de presentación de la respuesta del Estado</w:t>
      </w:r>
      <w:r w:rsidR="001849B7" w:rsidRPr="008A1F83">
        <w:rPr>
          <w:color w:val="auto"/>
          <w:sz w:val="20"/>
          <w:szCs w:val="20"/>
          <w:lang w:val="es-ES_tradnl"/>
        </w:rPr>
        <w:t>.</w:t>
      </w:r>
    </w:p>
    <w:p w14:paraId="4AB28D29" w14:textId="227EAED1" w:rsidR="001849B7" w:rsidRPr="008A1F83" w:rsidRDefault="002D18E6" w:rsidP="008B5DC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20"/>
          <w:szCs w:val="20"/>
          <w:lang w:val="es-ES_tradnl"/>
        </w:rPr>
      </w:pPr>
      <w:r w:rsidRPr="008A1F83">
        <w:rPr>
          <w:color w:val="auto"/>
          <w:sz w:val="20"/>
          <w:szCs w:val="20"/>
          <w:lang w:val="es-ES_tradnl"/>
        </w:rPr>
        <w:t>E</w:t>
      </w:r>
      <w:r w:rsidR="001849B7" w:rsidRPr="008A1F83">
        <w:rPr>
          <w:color w:val="auto"/>
          <w:sz w:val="20"/>
          <w:szCs w:val="20"/>
          <w:lang w:val="es-ES_tradnl"/>
        </w:rPr>
        <w:t xml:space="preserve">l Estado </w:t>
      </w:r>
      <w:r w:rsidR="00DE2C22" w:rsidRPr="008A1F83">
        <w:rPr>
          <w:color w:val="auto"/>
          <w:sz w:val="20"/>
          <w:szCs w:val="20"/>
          <w:lang w:val="es-ES_tradnl"/>
        </w:rPr>
        <w:t xml:space="preserve">argumenta que </w:t>
      </w:r>
      <w:r w:rsidR="001849B7" w:rsidRPr="008A1F83">
        <w:rPr>
          <w:color w:val="auto"/>
          <w:sz w:val="20"/>
          <w:szCs w:val="20"/>
          <w:lang w:val="es-ES_tradnl"/>
        </w:rPr>
        <w:t xml:space="preserve">la </w:t>
      </w:r>
      <w:r w:rsidR="00DE2C22" w:rsidRPr="008A1F83">
        <w:rPr>
          <w:color w:val="auto"/>
          <w:sz w:val="20"/>
          <w:szCs w:val="20"/>
          <w:lang w:val="es-ES_tradnl"/>
        </w:rPr>
        <w:t xml:space="preserve">presente </w:t>
      </w:r>
      <w:r w:rsidR="001849B7" w:rsidRPr="008A1F83">
        <w:rPr>
          <w:color w:val="auto"/>
          <w:sz w:val="20"/>
          <w:szCs w:val="20"/>
          <w:lang w:val="es-ES_tradnl"/>
        </w:rPr>
        <w:t xml:space="preserve">petición fue </w:t>
      </w:r>
      <w:r w:rsidR="00DE2C22" w:rsidRPr="008A1F83">
        <w:rPr>
          <w:color w:val="auto"/>
          <w:sz w:val="20"/>
          <w:szCs w:val="20"/>
          <w:lang w:val="es-ES_tradnl"/>
        </w:rPr>
        <w:t xml:space="preserve">presentada </w:t>
      </w:r>
      <w:r w:rsidR="001849B7" w:rsidRPr="008A1F83">
        <w:rPr>
          <w:color w:val="auto"/>
          <w:sz w:val="20"/>
          <w:szCs w:val="20"/>
          <w:lang w:val="es-ES_tradnl"/>
        </w:rPr>
        <w:t>ante la C</w:t>
      </w:r>
      <w:r w:rsidR="008410BF" w:rsidRPr="008A1F83">
        <w:rPr>
          <w:color w:val="auto"/>
          <w:sz w:val="20"/>
          <w:szCs w:val="20"/>
          <w:lang w:val="es-ES_tradnl"/>
        </w:rPr>
        <w:t>omisión Interamericana</w:t>
      </w:r>
      <w:r w:rsidR="001849B7" w:rsidRPr="008A1F83">
        <w:rPr>
          <w:color w:val="auto"/>
          <w:sz w:val="20"/>
          <w:szCs w:val="20"/>
          <w:lang w:val="es-ES_tradnl"/>
        </w:rPr>
        <w:t xml:space="preserve"> sin </w:t>
      </w:r>
      <w:r w:rsidR="008410BF" w:rsidRPr="008A1F83">
        <w:rPr>
          <w:color w:val="auto"/>
          <w:sz w:val="20"/>
          <w:szCs w:val="20"/>
          <w:lang w:val="es-ES_tradnl"/>
        </w:rPr>
        <w:t>que se hubieran ag</w:t>
      </w:r>
      <w:r w:rsidR="00DE2C22" w:rsidRPr="008A1F83">
        <w:rPr>
          <w:color w:val="auto"/>
          <w:sz w:val="20"/>
          <w:szCs w:val="20"/>
          <w:lang w:val="es-ES_tradnl"/>
        </w:rPr>
        <w:t xml:space="preserve">otado los </w:t>
      </w:r>
      <w:r w:rsidR="001849B7" w:rsidRPr="008A1F83">
        <w:rPr>
          <w:color w:val="auto"/>
          <w:sz w:val="20"/>
          <w:szCs w:val="20"/>
          <w:lang w:val="es-ES_tradnl"/>
        </w:rPr>
        <w:t>recursos internos adecuados y efectivos</w:t>
      </w:r>
      <w:r w:rsidR="00DE2C22" w:rsidRPr="008A1F83">
        <w:rPr>
          <w:color w:val="auto"/>
          <w:sz w:val="20"/>
          <w:szCs w:val="20"/>
          <w:lang w:val="es-ES_tradnl"/>
        </w:rPr>
        <w:t xml:space="preserve"> que</w:t>
      </w:r>
      <w:r w:rsidR="001849B7" w:rsidRPr="008A1F83">
        <w:rPr>
          <w:color w:val="auto"/>
          <w:sz w:val="20"/>
          <w:szCs w:val="20"/>
          <w:lang w:val="es-ES_tradnl"/>
        </w:rPr>
        <w:t xml:space="preserve"> existen en el ordenamiento jurídico ecuatoriano</w:t>
      </w:r>
      <w:r w:rsidR="00D410C8" w:rsidRPr="008A1F83">
        <w:rPr>
          <w:color w:val="auto"/>
          <w:sz w:val="20"/>
          <w:szCs w:val="20"/>
          <w:lang w:val="es-ES_tradnl"/>
        </w:rPr>
        <w:t>. Al respecto, alega que</w:t>
      </w:r>
      <w:r w:rsidR="00AA2174" w:rsidRPr="008A1F83">
        <w:rPr>
          <w:color w:val="auto"/>
          <w:sz w:val="20"/>
          <w:szCs w:val="20"/>
          <w:lang w:val="es-ES_tradnl"/>
        </w:rPr>
        <w:t xml:space="preserve"> </w:t>
      </w:r>
      <w:r w:rsidR="001849B7" w:rsidRPr="008A1F83">
        <w:rPr>
          <w:color w:val="auto"/>
          <w:sz w:val="20"/>
          <w:szCs w:val="20"/>
          <w:lang w:val="es-ES_tradnl"/>
        </w:rPr>
        <w:t>la fase pre procesal</w:t>
      </w:r>
      <w:r w:rsidR="00D410C8" w:rsidRPr="008A1F83">
        <w:rPr>
          <w:color w:val="auto"/>
          <w:sz w:val="20"/>
          <w:szCs w:val="20"/>
          <w:lang w:val="es-ES_tradnl"/>
        </w:rPr>
        <w:t xml:space="preserve"> </w:t>
      </w:r>
      <w:r w:rsidR="001849B7" w:rsidRPr="008A1F83">
        <w:rPr>
          <w:color w:val="auto"/>
          <w:sz w:val="20"/>
          <w:szCs w:val="20"/>
          <w:lang w:val="es-ES_tradnl"/>
        </w:rPr>
        <w:t>y por ende el proceso penal en sí, no han culminado</w:t>
      </w:r>
      <w:r w:rsidR="00D410C8" w:rsidRPr="008A1F83">
        <w:rPr>
          <w:color w:val="auto"/>
          <w:sz w:val="20"/>
          <w:szCs w:val="20"/>
          <w:lang w:val="es-ES_tradnl"/>
        </w:rPr>
        <w:t>. Reitera que</w:t>
      </w:r>
      <w:r w:rsidR="008410BF" w:rsidRPr="008A1F83">
        <w:rPr>
          <w:color w:val="auto"/>
          <w:sz w:val="20"/>
          <w:szCs w:val="20"/>
          <w:lang w:val="es-ES_tradnl"/>
        </w:rPr>
        <w:t>,</w:t>
      </w:r>
      <w:r w:rsidR="00D410C8" w:rsidRPr="008A1F83">
        <w:rPr>
          <w:color w:val="auto"/>
          <w:sz w:val="20"/>
          <w:szCs w:val="20"/>
          <w:lang w:val="es-ES_tradnl"/>
        </w:rPr>
        <w:t xml:space="preserve"> al recibir la denuncia sobre la desaparición de la presunta víctima, la </w:t>
      </w:r>
      <w:r w:rsidR="00901790" w:rsidRPr="008A1F83">
        <w:rPr>
          <w:color w:val="auto"/>
          <w:sz w:val="20"/>
          <w:szCs w:val="20"/>
          <w:lang w:val="es-ES_tradnl"/>
        </w:rPr>
        <w:t>f</w:t>
      </w:r>
      <w:r w:rsidR="001849B7" w:rsidRPr="008A1F83">
        <w:rPr>
          <w:color w:val="auto"/>
          <w:sz w:val="20"/>
          <w:szCs w:val="20"/>
          <w:lang w:val="es-ES_tradnl"/>
        </w:rPr>
        <w:t xml:space="preserve">iscalía abrió la indagación previa respectiva y, en colaboración de la policía judicial, </w:t>
      </w:r>
      <w:r w:rsidR="00847466" w:rsidRPr="008A1F83">
        <w:rPr>
          <w:i/>
          <w:iCs/>
          <w:color w:val="auto"/>
          <w:sz w:val="20"/>
          <w:szCs w:val="20"/>
          <w:lang w:val="es-ES_tradnl"/>
        </w:rPr>
        <w:t>“</w:t>
      </w:r>
      <w:r w:rsidR="001849B7" w:rsidRPr="008A1F83">
        <w:rPr>
          <w:i/>
          <w:iCs/>
          <w:color w:val="auto"/>
          <w:sz w:val="20"/>
          <w:szCs w:val="20"/>
          <w:lang w:val="es-ES_tradnl"/>
        </w:rPr>
        <w:t>realizó y se encuentra realizando innumerables diligencias investigativas</w:t>
      </w:r>
      <w:r w:rsidR="00847466" w:rsidRPr="008A1F83">
        <w:rPr>
          <w:color w:val="auto"/>
          <w:sz w:val="20"/>
          <w:szCs w:val="20"/>
          <w:lang w:val="es-ES_tradnl"/>
        </w:rPr>
        <w:t>”</w:t>
      </w:r>
      <w:r w:rsidR="00D410C8" w:rsidRPr="008A1F83">
        <w:rPr>
          <w:color w:val="auto"/>
          <w:sz w:val="20"/>
          <w:szCs w:val="20"/>
          <w:lang w:val="es-ES_tradnl"/>
        </w:rPr>
        <w:t xml:space="preserve">. </w:t>
      </w:r>
      <w:r w:rsidR="000D0888" w:rsidRPr="008A1F83">
        <w:rPr>
          <w:color w:val="auto"/>
          <w:sz w:val="20"/>
          <w:szCs w:val="20"/>
          <w:lang w:val="es-ES_tradnl"/>
        </w:rPr>
        <w:t>En la misma línea</w:t>
      </w:r>
      <w:r w:rsidR="00D410C8" w:rsidRPr="008A1F83">
        <w:rPr>
          <w:color w:val="auto"/>
          <w:sz w:val="20"/>
          <w:szCs w:val="20"/>
          <w:lang w:val="es-ES_tradnl"/>
        </w:rPr>
        <w:t xml:space="preserve">, </w:t>
      </w:r>
      <w:r w:rsidR="000D0888" w:rsidRPr="008A1F83">
        <w:rPr>
          <w:color w:val="auto"/>
          <w:sz w:val="20"/>
          <w:szCs w:val="20"/>
          <w:lang w:val="es-ES_tradnl"/>
        </w:rPr>
        <w:t xml:space="preserve">sostiene </w:t>
      </w:r>
      <w:r w:rsidR="00D410C8" w:rsidRPr="008A1F83">
        <w:rPr>
          <w:color w:val="auto"/>
          <w:sz w:val="20"/>
          <w:szCs w:val="20"/>
          <w:lang w:val="es-ES_tradnl"/>
        </w:rPr>
        <w:t xml:space="preserve">que </w:t>
      </w:r>
      <w:r w:rsidR="000D0888" w:rsidRPr="008A1F83">
        <w:rPr>
          <w:color w:val="auto"/>
          <w:sz w:val="20"/>
          <w:szCs w:val="20"/>
          <w:lang w:val="es-ES_tradnl"/>
        </w:rPr>
        <w:t xml:space="preserve">la </w:t>
      </w:r>
      <w:r w:rsidR="00F75E9D" w:rsidRPr="008A1F83">
        <w:rPr>
          <w:color w:val="auto"/>
          <w:sz w:val="20"/>
          <w:szCs w:val="20"/>
          <w:lang w:val="es-ES_tradnl"/>
        </w:rPr>
        <w:t xml:space="preserve">Fiscalía no se ha limitado a buscar a </w:t>
      </w:r>
      <w:r w:rsidR="00D410C8" w:rsidRPr="008A1F83">
        <w:rPr>
          <w:color w:val="auto"/>
          <w:sz w:val="20"/>
          <w:szCs w:val="20"/>
          <w:lang w:val="es-ES_tradnl"/>
        </w:rPr>
        <w:t>la presunta víctima</w:t>
      </w:r>
      <w:r w:rsidR="00F75E9D" w:rsidRPr="008A1F83">
        <w:rPr>
          <w:color w:val="auto"/>
          <w:sz w:val="20"/>
          <w:szCs w:val="20"/>
          <w:lang w:val="es-ES_tradnl"/>
        </w:rPr>
        <w:t xml:space="preserve">, sino que también ha realizado enormes esfuerzos para dar con el paradero de </w:t>
      </w:r>
      <w:r w:rsidR="0031053E" w:rsidRPr="008A1F83">
        <w:rPr>
          <w:color w:val="auto"/>
          <w:sz w:val="20"/>
          <w:szCs w:val="20"/>
          <w:lang w:val="es-ES_tradnl"/>
        </w:rPr>
        <w:t>A.F.L.L.</w:t>
      </w:r>
      <w:r w:rsidR="00F75E9D" w:rsidRPr="008A1F83">
        <w:rPr>
          <w:color w:val="auto"/>
          <w:sz w:val="20"/>
          <w:szCs w:val="20"/>
          <w:lang w:val="es-ES_tradnl"/>
        </w:rPr>
        <w:t xml:space="preserve">, quien ha sido señalado como principal sospechoso por parte de la familia de Giovanna. </w:t>
      </w:r>
    </w:p>
    <w:p w14:paraId="7279796A" w14:textId="090825F0" w:rsidR="003866A4" w:rsidRPr="008A1F83" w:rsidRDefault="0077369D" w:rsidP="00C651B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A1F83">
        <w:rPr>
          <w:color w:val="auto"/>
          <w:sz w:val="20"/>
          <w:szCs w:val="20"/>
          <w:lang w:val="es-ES_tradnl"/>
        </w:rPr>
        <w:t xml:space="preserve">De la mano a lo anterior, </w:t>
      </w:r>
      <w:r w:rsidR="00BA32AB" w:rsidRPr="008A1F83">
        <w:rPr>
          <w:color w:val="auto"/>
          <w:sz w:val="20"/>
          <w:szCs w:val="20"/>
          <w:lang w:val="es-ES_tradnl"/>
        </w:rPr>
        <w:t xml:space="preserve">el Estado argumenta </w:t>
      </w:r>
      <w:r w:rsidRPr="008A1F83">
        <w:rPr>
          <w:color w:val="auto"/>
          <w:sz w:val="20"/>
          <w:szCs w:val="20"/>
          <w:lang w:val="es-ES_tradnl"/>
        </w:rPr>
        <w:t xml:space="preserve">que </w:t>
      </w:r>
      <w:r w:rsidR="003866A4" w:rsidRPr="008A1F83">
        <w:rPr>
          <w:color w:val="auto"/>
          <w:sz w:val="20"/>
          <w:szCs w:val="20"/>
          <w:lang w:val="es-ES_tradnl"/>
        </w:rPr>
        <w:t>el h</w:t>
      </w:r>
      <w:r w:rsidR="00901790" w:rsidRPr="008A1F83">
        <w:rPr>
          <w:color w:val="auto"/>
          <w:sz w:val="20"/>
          <w:szCs w:val="20"/>
          <w:lang w:val="es-ES_tradnl"/>
        </w:rPr>
        <w:t>á</w:t>
      </w:r>
      <w:r w:rsidR="003866A4" w:rsidRPr="008A1F83">
        <w:rPr>
          <w:color w:val="auto"/>
          <w:sz w:val="20"/>
          <w:szCs w:val="20"/>
          <w:lang w:val="es-ES_tradnl"/>
        </w:rPr>
        <w:t xml:space="preserve">beas corpus </w:t>
      </w:r>
      <w:r w:rsidR="003B6086" w:rsidRPr="008A1F83">
        <w:rPr>
          <w:color w:val="auto"/>
          <w:sz w:val="20"/>
          <w:szCs w:val="20"/>
          <w:lang w:val="es-ES_tradnl"/>
        </w:rPr>
        <w:t>constituía</w:t>
      </w:r>
      <w:r w:rsidR="00AA2174" w:rsidRPr="008A1F83">
        <w:rPr>
          <w:color w:val="auto"/>
          <w:sz w:val="20"/>
          <w:szCs w:val="20"/>
          <w:lang w:val="es-ES_tradnl"/>
        </w:rPr>
        <w:t xml:space="preserve"> </w:t>
      </w:r>
      <w:r w:rsidRPr="008A1F83">
        <w:rPr>
          <w:color w:val="auto"/>
          <w:sz w:val="20"/>
          <w:szCs w:val="20"/>
          <w:lang w:val="es-ES_tradnl"/>
        </w:rPr>
        <w:t xml:space="preserve">el mecanismo adecuado y efectivo para procurar su búsqueda y ubicación </w:t>
      </w:r>
      <w:r w:rsidR="00BA32AB" w:rsidRPr="008A1F83">
        <w:rPr>
          <w:color w:val="auto"/>
          <w:sz w:val="20"/>
          <w:szCs w:val="20"/>
          <w:lang w:val="es-ES_tradnl"/>
        </w:rPr>
        <w:t xml:space="preserve">al ser </w:t>
      </w:r>
      <w:r w:rsidR="003866A4" w:rsidRPr="008A1F83">
        <w:rPr>
          <w:color w:val="auto"/>
          <w:sz w:val="20"/>
          <w:szCs w:val="20"/>
          <w:lang w:val="es-ES_tradnl"/>
        </w:rPr>
        <w:t xml:space="preserve">un recurso sencillo y rápido </w:t>
      </w:r>
      <w:r w:rsidR="00307D3A" w:rsidRPr="008A1F83">
        <w:rPr>
          <w:color w:val="auto"/>
          <w:sz w:val="20"/>
          <w:szCs w:val="20"/>
          <w:lang w:val="es-ES_tradnl"/>
        </w:rPr>
        <w:t xml:space="preserve">que </w:t>
      </w:r>
      <w:r w:rsidR="003866A4" w:rsidRPr="008A1F83">
        <w:rPr>
          <w:color w:val="auto"/>
          <w:sz w:val="20"/>
          <w:szCs w:val="20"/>
          <w:lang w:val="es-ES_tradnl"/>
        </w:rPr>
        <w:t xml:space="preserve">podía ser interpuesto </w:t>
      </w:r>
      <w:r w:rsidR="00AA2174" w:rsidRPr="008A1F83">
        <w:rPr>
          <w:color w:val="auto"/>
          <w:sz w:val="20"/>
          <w:szCs w:val="20"/>
          <w:lang w:val="es-ES_tradnl"/>
        </w:rPr>
        <w:t>sin formalismos</w:t>
      </w:r>
      <w:r w:rsidR="003866A4" w:rsidRPr="008A1F83">
        <w:rPr>
          <w:color w:val="auto"/>
          <w:sz w:val="20"/>
          <w:szCs w:val="20"/>
          <w:lang w:val="es-ES_tradnl"/>
        </w:rPr>
        <w:t>, ante cualquier juez o jueza de la ciudad de Ambato</w:t>
      </w:r>
      <w:r w:rsidR="00307D3A" w:rsidRPr="008A1F83">
        <w:rPr>
          <w:color w:val="auto"/>
          <w:sz w:val="20"/>
          <w:szCs w:val="20"/>
          <w:lang w:val="es-ES_tradnl"/>
        </w:rPr>
        <w:t xml:space="preserve">. </w:t>
      </w:r>
      <w:r w:rsidRPr="008A1F83">
        <w:rPr>
          <w:color w:val="auto"/>
          <w:sz w:val="20"/>
          <w:szCs w:val="20"/>
          <w:lang w:val="es-ES_tradnl"/>
        </w:rPr>
        <w:t xml:space="preserve">Señala </w:t>
      </w:r>
      <w:r w:rsidR="003B6086" w:rsidRPr="008A1F83">
        <w:rPr>
          <w:color w:val="auto"/>
          <w:sz w:val="20"/>
          <w:szCs w:val="20"/>
          <w:lang w:val="es-ES_tradnl"/>
        </w:rPr>
        <w:t>entonces que de</w:t>
      </w:r>
      <w:r w:rsidR="00307D3A" w:rsidRPr="008A1F83">
        <w:rPr>
          <w:color w:val="auto"/>
          <w:sz w:val="20"/>
          <w:szCs w:val="20"/>
          <w:lang w:val="es-ES_tradnl"/>
        </w:rPr>
        <w:t xml:space="preserve"> haber agotado dicho recurso</w:t>
      </w:r>
      <w:r w:rsidR="003B6086" w:rsidRPr="008A1F83">
        <w:rPr>
          <w:color w:val="auto"/>
          <w:sz w:val="20"/>
          <w:szCs w:val="20"/>
          <w:lang w:val="es-ES_tradnl"/>
        </w:rPr>
        <w:t xml:space="preserve">, </w:t>
      </w:r>
      <w:r w:rsidR="001C3B14" w:rsidRPr="008A1F83">
        <w:rPr>
          <w:color w:val="auto"/>
          <w:sz w:val="20"/>
          <w:szCs w:val="20"/>
          <w:lang w:val="es-ES_tradnl"/>
        </w:rPr>
        <w:t>la autoridad judicial competente lo habría sustanciado y resuelto de conformidad con las normas y procedimientos correspondientes, y se habría dado por agotado uno de los recursos internos que se encontraban disponibles a la fecha de los acontecimientos.</w:t>
      </w:r>
      <w:r w:rsidR="00BA32AB" w:rsidRPr="008A1F83">
        <w:rPr>
          <w:color w:val="auto"/>
          <w:sz w:val="20"/>
          <w:szCs w:val="20"/>
          <w:lang w:val="es-ES_tradnl"/>
        </w:rPr>
        <w:t xml:space="preserve"> </w:t>
      </w:r>
    </w:p>
    <w:p w14:paraId="3EA61A1F" w14:textId="77777777" w:rsidR="00B34F43" w:rsidRDefault="00B34F43" w:rsidP="00E10040">
      <w:pPr>
        <w:spacing w:before="240" w:after="240"/>
        <w:ind w:firstLine="720"/>
        <w:jc w:val="both"/>
        <w:rPr>
          <w:rFonts w:ascii="Cambria" w:eastAsia="Cambria" w:hAnsi="Cambria" w:cs="Cambria"/>
          <w:b/>
          <w:bCs/>
          <w:color w:val="000000"/>
          <w:sz w:val="20"/>
          <w:szCs w:val="20"/>
          <w:u w:color="000000"/>
          <w:lang w:val="es-ES_tradnl" w:eastAsia="es-ES"/>
        </w:rPr>
      </w:pPr>
    </w:p>
    <w:p w14:paraId="4160BE6D" w14:textId="77777777" w:rsidR="00B34F43" w:rsidRDefault="00B34F43" w:rsidP="00E10040">
      <w:pPr>
        <w:spacing w:before="240" w:after="240"/>
        <w:ind w:firstLine="720"/>
        <w:jc w:val="both"/>
        <w:rPr>
          <w:rFonts w:ascii="Cambria" w:eastAsia="Cambria" w:hAnsi="Cambria" w:cs="Cambria"/>
          <w:b/>
          <w:bCs/>
          <w:color w:val="000000"/>
          <w:sz w:val="20"/>
          <w:szCs w:val="20"/>
          <w:u w:color="000000"/>
          <w:lang w:val="es-ES_tradnl" w:eastAsia="es-ES"/>
        </w:rPr>
      </w:pPr>
    </w:p>
    <w:p w14:paraId="601768EE" w14:textId="0544F467" w:rsidR="00E10040" w:rsidRPr="008A1F83" w:rsidRDefault="00E10040" w:rsidP="00E10040">
      <w:pPr>
        <w:spacing w:before="240" w:after="240"/>
        <w:ind w:firstLine="720"/>
        <w:jc w:val="both"/>
        <w:rPr>
          <w:rFonts w:ascii="Cambria" w:hAnsi="Cambria"/>
          <w:sz w:val="20"/>
          <w:szCs w:val="20"/>
          <w:lang w:val="es-ES_tradnl"/>
        </w:rPr>
      </w:pPr>
      <w:r w:rsidRPr="008A1F83">
        <w:rPr>
          <w:rFonts w:ascii="Cambria" w:eastAsia="Cambria" w:hAnsi="Cambria" w:cs="Cambria"/>
          <w:b/>
          <w:bCs/>
          <w:color w:val="000000"/>
          <w:sz w:val="20"/>
          <w:szCs w:val="20"/>
          <w:u w:color="000000"/>
          <w:lang w:val="es-ES_tradnl" w:eastAsia="es-ES"/>
        </w:rPr>
        <w:lastRenderedPageBreak/>
        <w:t>VI.</w:t>
      </w:r>
      <w:r w:rsidRPr="008A1F83">
        <w:rPr>
          <w:rFonts w:ascii="Cambria" w:eastAsia="Cambria" w:hAnsi="Cambria" w:cs="Cambria"/>
          <w:b/>
          <w:bCs/>
          <w:color w:val="000000"/>
          <w:sz w:val="20"/>
          <w:szCs w:val="20"/>
          <w:u w:color="000000"/>
          <w:lang w:val="es-ES_tradnl" w:eastAsia="es-ES"/>
        </w:rPr>
        <w:tab/>
      </w:r>
      <w:r w:rsidRPr="008A1F83">
        <w:rPr>
          <w:rFonts w:ascii="Cambria" w:hAnsi="Cambria"/>
          <w:b/>
          <w:bCs/>
          <w:sz w:val="20"/>
          <w:szCs w:val="20"/>
          <w:lang w:val="es-ES_tradnl"/>
        </w:rPr>
        <w:t xml:space="preserve">ANÁLISIS DE </w:t>
      </w:r>
      <w:r w:rsidRPr="008A1F83">
        <w:rPr>
          <w:rFonts w:ascii="Cambria" w:hAnsi="Cambria"/>
          <w:b/>
          <w:sz w:val="20"/>
          <w:szCs w:val="20"/>
          <w:lang w:val="es-ES_tradnl"/>
        </w:rPr>
        <w:t>AGOTAMIENTO DE LOS RECURSOS INTERNOS Y PLAZO DE PRESENTACIÓN</w:t>
      </w:r>
      <w:r w:rsidRPr="008A1F83">
        <w:rPr>
          <w:rFonts w:ascii="Cambria" w:eastAsia="Cambria" w:hAnsi="Cambria" w:cs="Cambria"/>
          <w:b/>
          <w:bCs/>
          <w:color w:val="000000"/>
          <w:sz w:val="20"/>
          <w:szCs w:val="20"/>
          <w:u w:color="000000"/>
          <w:lang w:val="es-ES_tradnl" w:eastAsia="es-ES"/>
        </w:rPr>
        <w:t xml:space="preserve"> </w:t>
      </w:r>
    </w:p>
    <w:p w14:paraId="63FF0A54" w14:textId="560A48EA" w:rsidR="006E2802" w:rsidRPr="008A1F83" w:rsidRDefault="006E2802" w:rsidP="00427873">
      <w:pPr>
        <w:pStyle w:val="ListParagraph"/>
        <w:numPr>
          <w:ilvl w:val="0"/>
          <w:numId w:val="5"/>
        </w:numPr>
        <w:ind w:left="0" w:firstLine="720"/>
        <w:contextualSpacing/>
        <w:jc w:val="both"/>
        <w:rPr>
          <w:rFonts w:cs="Calibri"/>
          <w:bCs/>
          <w:sz w:val="20"/>
          <w:szCs w:val="20"/>
          <w:lang w:val="es-ES_tradnl"/>
        </w:rPr>
      </w:pPr>
      <w:r w:rsidRPr="008A1F83">
        <w:rPr>
          <w:rFonts w:cs="Calibri"/>
          <w:bCs/>
          <w:sz w:val="20"/>
          <w:szCs w:val="20"/>
          <w:lang w:val="es-ES_tradnl"/>
        </w:rPr>
        <w:t xml:space="preserve">La </w:t>
      </w:r>
      <w:r w:rsidR="00CB3A6C" w:rsidRPr="008A1F83">
        <w:rPr>
          <w:rFonts w:cs="Calibri"/>
          <w:bCs/>
          <w:sz w:val="20"/>
          <w:szCs w:val="20"/>
          <w:lang w:val="es-ES_tradnl"/>
        </w:rPr>
        <w:t xml:space="preserve">parte </w:t>
      </w:r>
      <w:r w:rsidRPr="008A1F83">
        <w:rPr>
          <w:rFonts w:cs="Calibri"/>
          <w:bCs/>
          <w:sz w:val="20"/>
          <w:szCs w:val="20"/>
          <w:lang w:val="es-ES_tradnl"/>
        </w:rPr>
        <w:t>peticionaria manifiesta que subsiste la impunidad</w:t>
      </w:r>
      <w:r w:rsidR="00CB3A6C" w:rsidRPr="008A1F83">
        <w:rPr>
          <w:rFonts w:cs="Calibri"/>
          <w:bCs/>
          <w:sz w:val="20"/>
          <w:szCs w:val="20"/>
          <w:lang w:val="es-ES_tradnl"/>
        </w:rPr>
        <w:t xml:space="preserve"> de la desaparición de Giovanna Pérez,</w:t>
      </w:r>
      <w:r w:rsidRPr="008A1F83">
        <w:rPr>
          <w:rFonts w:cs="Calibri"/>
          <w:bCs/>
          <w:sz w:val="20"/>
          <w:szCs w:val="20"/>
          <w:lang w:val="es-ES_tradnl"/>
        </w:rPr>
        <w:t xml:space="preserve"> pues las autoridades aún no han esclarecido los hechos </w:t>
      </w:r>
      <w:r w:rsidR="00CB3A6C" w:rsidRPr="008A1F83">
        <w:rPr>
          <w:rFonts w:cs="Calibri"/>
          <w:bCs/>
          <w:sz w:val="20"/>
          <w:szCs w:val="20"/>
          <w:lang w:val="es-ES_tradnl"/>
        </w:rPr>
        <w:t>ni</w:t>
      </w:r>
      <w:r w:rsidRPr="008A1F83">
        <w:rPr>
          <w:rFonts w:cs="Calibri"/>
          <w:bCs/>
          <w:sz w:val="20"/>
          <w:szCs w:val="20"/>
          <w:lang w:val="es-ES_tradnl"/>
        </w:rPr>
        <w:t xml:space="preserve"> el paradero de la presunta víctima. Por su parte, el Estado sostiene que los recursos no fueron agotados toda vez que la investigación penal iniciada por la Fiscalía continúa </w:t>
      </w:r>
      <w:r w:rsidR="00B50534" w:rsidRPr="008A1F83">
        <w:rPr>
          <w:rFonts w:cs="Calibri"/>
          <w:bCs/>
          <w:sz w:val="20"/>
          <w:szCs w:val="20"/>
          <w:lang w:val="es-ES_tradnl"/>
        </w:rPr>
        <w:t>la fase pre procesal, y por ende el proceso penal en sí, no han culminado</w:t>
      </w:r>
      <w:r w:rsidRPr="008A1F83">
        <w:rPr>
          <w:rFonts w:cs="Calibri"/>
          <w:bCs/>
          <w:sz w:val="20"/>
          <w:szCs w:val="20"/>
          <w:lang w:val="es-ES_tradnl"/>
        </w:rPr>
        <w:t xml:space="preserve"> y que, además, existe el recurso de h</w:t>
      </w:r>
      <w:r w:rsidR="00CB3A6C" w:rsidRPr="008A1F83">
        <w:rPr>
          <w:rFonts w:cs="Calibri"/>
          <w:bCs/>
          <w:sz w:val="20"/>
          <w:szCs w:val="20"/>
          <w:lang w:val="es-ES_tradnl"/>
        </w:rPr>
        <w:t>á</w:t>
      </w:r>
      <w:r w:rsidRPr="008A1F83">
        <w:rPr>
          <w:rFonts w:cs="Calibri"/>
          <w:bCs/>
          <w:sz w:val="20"/>
          <w:szCs w:val="20"/>
          <w:lang w:val="es-ES_tradnl"/>
        </w:rPr>
        <w:t xml:space="preserve">beas corpus como un recurso </w:t>
      </w:r>
      <w:r w:rsidRPr="008A1F83">
        <w:rPr>
          <w:color w:val="auto"/>
          <w:sz w:val="20"/>
          <w:szCs w:val="20"/>
          <w:lang w:val="es-ES_tradnl"/>
        </w:rPr>
        <w:t xml:space="preserve">adecuado y efectivo para procurar el paradero de la presunta víctima. </w:t>
      </w:r>
    </w:p>
    <w:p w14:paraId="156CE03D" w14:textId="77777777" w:rsidR="006E2802" w:rsidRPr="008A1F83" w:rsidRDefault="006E2802" w:rsidP="006E2802">
      <w:pPr>
        <w:pStyle w:val="ListParagraph"/>
        <w:contextualSpacing/>
        <w:jc w:val="both"/>
        <w:rPr>
          <w:rFonts w:cs="Calibri"/>
          <w:bCs/>
          <w:sz w:val="20"/>
          <w:szCs w:val="20"/>
          <w:lang w:val="es-ES_tradnl"/>
        </w:rPr>
      </w:pPr>
    </w:p>
    <w:p w14:paraId="2B686270" w14:textId="5E952898" w:rsidR="00CB3A6C" w:rsidRPr="008A1F83" w:rsidRDefault="005C083F" w:rsidP="00B50534">
      <w:pPr>
        <w:pStyle w:val="ListParagraph"/>
        <w:numPr>
          <w:ilvl w:val="0"/>
          <w:numId w:val="5"/>
        </w:numPr>
        <w:ind w:left="0" w:firstLine="720"/>
        <w:contextualSpacing/>
        <w:jc w:val="both"/>
        <w:rPr>
          <w:rFonts w:cs="Calibri"/>
          <w:b/>
          <w:color w:val="auto"/>
          <w:sz w:val="20"/>
          <w:szCs w:val="20"/>
          <w:lang w:val="es-ES_tradnl"/>
        </w:rPr>
      </w:pPr>
      <w:r w:rsidRPr="008A1F83">
        <w:rPr>
          <w:sz w:val="20"/>
          <w:szCs w:val="20"/>
          <w:lang w:val="es-ES_tradnl"/>
        </w:rPr>
        <w:t>En vista de los hechos alegados en la presente petición, l</w:t>
      </w:r>
      <w:r w:rsidR="00732165" w:rsidRPr="008A1F83">
        <w:rPr>
          <w:rFonts w:cs="Calibri"/>
          <w:sz w:val="20"/>
          <w:szCs w:val="20"/>
          <w:lang w:val="es-ES_tradnl"/>
        </w:rPr>
        <w:t xml:space="preserve">a Comisión </w:t>
      </w:r>
      <w:r w:rsidRPr="008A1F83">
        <w:rPr>
          <w:rFonts w:cs="Calibri"/>
          <w:sz w:val="20"/>
          <w:szCs w:val="20"/>
          <w:lang w:val="es-ES_tradnl"/>
        </w:rPr>
        <w:t>recuerda q</w:t>
      </w:r>
      <w:r w:rsidR="00732165" w:rsidRPr="008A1F83">
        <w:rPr>
          <w:rFonts w:cs="Calibri"/>
          <w:sz w:val="20"/>
          <w:szCs w:val="20"/>
          <w:lang w:val="es-ES_tradnl"/>
        </w:rPr>
        <w:t xml:space="preserve">ue, en situaciones como la planteada que incluyen </w:t>
      </w:r>
      <w:r w:rsidR="00095433" w:rsidRPr="008A1F83">
        <w:rPr>
          <w:sz w:val="20"/>
          <w:szCs w:val="20"/>
          <w:lang w:val="es-ES_tradnl"/>
        </w:rPr>
        <w:t xml:space="preserve">delitos contra la vida e integridad, los recursos internos que deben tomarse en cuenta a los efectos de la </w:t>
      </w:r>
      <w:r w:rsidR="00095433" w:rsidRPr="008A1F83">
        <w:rPr>
          <w:color w:val="auto"/>
          <w:sz w:val="20"/>
          <w:szCs w:val="20"/>
          <w:lang w:val="es-ES_tradnl"/>
        </w:rPr>
        <w:t>admisibilidad de las peticiones son los relacionados con la investigación y sanción de los responsables, además de posibilitar otros modos de reparación de tipo pecuniario</w:t>
      </w:r>
      <w:r w:rsidR="00095433" w:rsidRPr="008A1F83">
        <w:rPr>
          <w:rStyle w:val="FootnoteReference"/>
          <w:rFonts w:cs="Calibri"/>
          <w:color w:val="auto"/>
          <w:sz w:val="20"/>
          <w:szCs w:val="20"/>
          <w:lang w:val="es-ES_tradnl"/>
        </w:rPr>
        <w:footnoteReference w:id="7"/>
      </w:r>
      <w:r w:rsidR="00732165" w:rsidRPr="008A1F83">
        <w:rPr>
          <w:rFonts w:cs="Calibri"/>
          <w:color w:val="auto"/>
          <w:sz w:val="20"/>
          <w:szCs w:val="20"/>
          <w:lang w:val="es-ES_tradnl"/>
        </w:rPr>
        <w:t xml:space="preserve">. </w:t>
      </w:r>
      <w:r w:rsidR="00095433" w:rsidRPr="008A1F83">
        <w:rPr>
          <w:color w:val="auto"/>
          <w:sz w:val="20"/>
          <w:szCs w:val="20"/>
          <w:lang w:val="es-ES_tradnl"/>
        </w:rPr>
        <w:t xml:space="preserve">En este caso, la Comisión observa que, </w:t>
      </w:r>
      <w:r w:rsidR="0087417B" w:rsidRPr="008A1F83">
        <w:rPr>
          <w:color w:val="auto"/>
          <w:sz w:val="20"/>
          <w:szCs w:val="20"/>
          <w:lang w:val="es-ES_tradnl"/>
        </w:rPr>
        <w:t xml:space="preserve">de acuerdo </w:t>
      </w:r>
      <w:r w:rsidR="0029682E" w:rsidRPr="008A1F83">
        <w:rPr>
          <w:color w:val="auto"/>
          <w:sz w:val="20"/>
          <w:szCs w:val="20"/>
          <w:lang w:val="es-ES_tradnl"/>
        </w:rPr>
        <w:t>con</w:t>
      </w:r>
      <w:r w:rsidR="0087417B" w:rsidRPr="008A1F83">
        <w:rPr>
          <w:color w:val="auto"/>
          <w:sz w:val="20"/>
          <w:szCs w:val="20"/>
          <w:lang w:val="es-ES_tradnl"/>
        </w:rPr>
        <w:t xml:space="preserve"> la información proporcionada,</w:t>
      </w:r>
      <w:r w:rsidR="006E2802" w:rsidRPr="008A1F83">
        <w:rPr>
          <w:color w:val="auto"/>
          <w:sz w:val="20"/>
          <w:szCs w:val="20"/>
          <w:lang w:val="es-ES_tradnl"/>
        </w:rPr>
        <w:t xml:space="preserve"> la familia de Giovanna Pérez Constante interpuso </w:t>
      </w:r>
      <w:r w:rsidR="00CB3A6C" w:rsidRPr="008A1F83">
        <w:rPr>
          <w:color w:val="auto"/>
          <w:sz w:val="20"/>
          <w:szCs w:val="20"/>
          <w:lang w:val="es-ES_tradnl"/>
        </w:rPr>
        <w:t xml:space="preserve">el 6 de diciembre de 2010 </w:t>
      </w:r>
      <w:r w:rsidR="006E2802" w:rsidRPr="008A1F83">
        <w:rPr>
          <w:color w:val="auto"/>
          <w:sz w:val="20"/>
          <w:szCs w:val="20"/>
          <w:lang w:val="es-ES_tradnl"/>
        </w:rPr>
        <w:t>una denuncia por su desaparición</w:t>
      </w:r>
      <w:r w:rsidR="00CB3A6C" w:rsidRPr="008A1F83">
        <w:rPr>
          <w:color w:val="auto"/>
          <w:sz w:val="20"/>
          <w:szCs w:val="20"/>
          <w:lang w:val="es-ES_tradnl"/>
        </w:rPr>
        <w:t>,</w:t>
      </w:r>
      <w:r w:rsidR="006E2802" w:rsidRPr="008A1F83">
        <w:rPr>
          <w:color w:val="auto"/>
          <w:sz w:val="20"/>
          <w:szCs w:val="20"/>
          <w:lang w:val="es-ES_tradnl"/>
        </w:rPr>
        <w:t xml:space="preserve"> en virtud de la cual se</w:t>
      </w:r>
      <w:r w:rsidR="0087417B" w:rsidRPr="008A1F83">
        <w:rPr>
          <w:color w:val="auto"/>
          <w:sz w:val="20"/>
          <w:szCs w:val="20"/>
          <w:lang w:val="es-ES_tradnl"/>
        </w:rPr>
        <w:t xml:space="preserve"> inició una investigación </w:t>
      </w:r>
      <w:r w:rsidR="006E2802" w:rsidRPr="008A1F83">
        <w:rPr>
          <w:color w:val="auto"/>
          <w:sz w:val="20"/>
          <w:szCs w:val="20"/>
          <w:lang w:val="es-ES_tradnl"/>
        </w:rPr>
        <w:t>fiscal.</w:t>
      </w:r>
      <w:r w:rsidR="003D03D3" w:rsidRPr="008A1F83">
        <w:rPr>
          <w:rFonts w:ascii="Times New Roman" w:eastAsia="Arial Unicode MS" w:hAnsi="Times New Roman" w:cs="Times New Roman"/>
          <w:color w:val="auto"/>
          <w:sz w:val="20"/>
          <w:szCs w:val="20"/>
          <w:bdr w:val="none" w:sz="0" w:space="0" w:color="auto" w:frame="1"/>
          <w:lang w:val="es-ES_tradnl" w:eastAsia="en-US"/>
        </w:rPr>
        <w:t xml:space="preserve"> </w:t>
      </w:r>
      <w:r w:rsidR="003D03D3" w:rsidRPr="008A1F83">
        <w:rPr>
          <w:color w:val="auto"/>
          <w:sz w:val="20"/>
          <w:szCs w:val="20"/>
          <w:lang w:val="es-ES_tradnl"/>
        </w:rPr>
        <w:t xml:space="preserve">Al respecto, la Comisión toma nota de los alegatos del Estado relativos a las gestiones emprendidas en la investigación de los hechos </w:t>
      </w:r>
      <w:r w:rsidR="0029682E" w:rsidRPr="008A1F83">
        <w:rPr>
          <w:color w:val="auto"/>
          <w:sz w:val="20"/>
          <w:szCs w:val="20"/>
          <w:lang w:val="es-ES_tradnl"/>
        </w:rPr>
        <w:t>denunciados</w:t>
      </w:r>
      <w:r w:rsidR="00CB3A6C" w:rsidRPr="008A1F83">
        <w:rPr>
          <w:color w:val="auto"/>
          <w:sz w:val="20"/>
          <w:szCs w:val="20"/>
          <w:lang w:val="es-ES_tradnl"/>
        </w:rPr>
        <w:t>;</w:t>
      </w:r>
      <w:r w:rsidR="003D03D3" w:rsidRPr="008A1F83">
        <w:rPr>
          <w:color w:val="auto"/>
          <w:sz w:val="20"/>
          <w:szCs w:val="20"/>
          <w:lang w:val="es-ES_tradnl"/>
        </w:rPr>
        <w:t xml:space="preserve"> sin embargo</w:t>
      </w:r>
      <w:r w:rsidR="0029682E" w:rsidRPr="008A1F83">
        <w:rPr>
          <w:color w:val="auto"/>
          <w:sz w:val="20"/>
          <w:szCs w:val="20"/>
          <w:lang w:val="es-ES_tradnl"/>
        </w:rPr>
        <w:t>,</w:t>
      </w:r>
      <w:r w:rsidR="006E2802" w:rsidRPr="008A1F83">
        <w:rPr>
          <w:color w:val="auto"/>
          <w:sz w:val="20"/>
          <w:szCs w:val="20"/>
          <w:lang w:val="es-ES_tradnl"/>
        </w:rPr>
        <w:t xml:space="preserve"> </w:t>
      </w:r>
      <w:r w:rsidR="0029682E" w:rsidRPr="008A1F83">
        <w:rPr>
          <w:color w:val="auto"/>
          <w:sz w:val="20"/>
          <w:szCs w:val="20"/>
          <w:lang w:val="es-ES_tradnl"/>
        </w:rPr>
        <w:t xml:space="preserve">observa que </w:t>
      </w:r>
      <w:r w:rsidR="0087417B" w:rsidRPr="008A1F83">
        <w:rPr>
          <w:color w:val="auto"/>
          <w:sz w:val="20"/>
          <w:szCs w:val="20"/>
          <w:lang w:val="es-ES_tradnl"/>
        </w:rPr>
        <w:t xml:space="preserve">la </w:t>
      </w:r>
      <w:r w:rsidR="006E2802" w:rsidRPr="008A1F83">
        <w:rPr>
          <w:color w:val="auto"/>
          <w:sz w:val="20"/>
          <w:szCs w:val="20"/>
          <w:lang w:val="es-ES_tradnl"/>
        </w:rPr>
        <w:t xml:space="preserve">misma </w:t>
      </w:r>
      <w:r w:rsidR="0087417B" w:rsidRPr="008A1F83">
        <w:rPr>
          <w:color w:val="auto"/>
          <w:sz w:val="20"/>
          <w:szCs w:val="20"/>
          <w:lang w:val="es-ES_tradnl"/>
        </w:rPr>
        <w:t>continuaría</w:t>
      </w:r>
      <w:r w:rsidR="00ED338A" w:rsidRPr="008A1F83">
        <w:rPr>
          <w:color w:val="auto"/>
          <w:sz w:val="20"/>
          <w:szCs w:val="20"/>
          <w:lang w:val="es-ES_tradnl"/>
        </w:rPr>
        <w:t xml:space="preserve"> en </w:t>
      </w:r>
      <w:r w:rsidR="00CB3A6C" w:rsidRPr="008A1F83">
        <w:rPr>
          <w:color w:val="auto"/>
          <w:sz w:val="20"/>
          <w:szCs w:val="20"/>
          <w:lang w:val="es-ES_tradnl"/>
        </w:rPr>
        <w:t xml:space="preserve">fase de </w:t>
      </w:r>
      <w:r w:rsidR="00ED338A" w:rsidRPr="008A1F83">
        <w:rPr>
          <w:color w:val="auto"/>
          <w:sz w:val="20"/>
          <w:szCs w:val="20"/>
          <w:lang w:val="es-ES_tradnl"/>
        </w:rPr>
        <w:t>indagación previa</w:t>
      </w:r>
      <w:r w:rsidR="00CB3A6C" w:rsidRPr="008A1F83">
        <w:rPr>
          <w:color w:val="auto"/>
          <w:sz w:val="20"/>
          <w:szCs w:val="20"/>
          <w:lang w:val="es-ES_tradnl"/>
        </w:rPr>
        <w:t>;</w:t>
      </w:r>
      <w:r w:rsidR="00ED338A" w:rsidRPr="008A1F83">
        <w:rPr>
          <w:color w:val="auto"/>
          <w:sz w:val="20"/>
          <w:szCs w:val="20"/>
          <w:lang w:val="es-ES_tradnl"/>
        </w:rPr>
        <w:t xml:space="preserve"> y habiendo transcurrido más de </w:t>
      </w:r>
      <w:r w:rsidR="00CB3A6C" w:rsidRPr="008A1F83">
        <w:rPr>
          <w:color w:val="auto"/>
          <w:sz w:val="20"/>
          <w:szCs w:val="20"/>
          <w:lang w:val="es-ES_tradnl"/>
        </w:rPr>
        <w:t>diez</w:t>
      </w:r>
      <w:r w:rsidR="00ED338A" w:rsidRPr="008A1F83">
        <w:rPr>
          <w:color w:val="auto"/>
          <w:sz w:val="20"/>
          <w:szCs w:val="20"/>
          <w:lang w:val="es-ES_tradnl"/>
        </w:rPr>
        <w:t xml:space="preserve"> años, no se ha dado con el paradero de la presunta víctima ni se ha </w:t>
      </w:r>
      <w:r w:rsidR="00117BEA" w:rsidRPr="008A1F83">
        <w:rPr>
          <w:color w:val="auto"/>
          <w:sz w:val="20"/>
          <w:szCs w:val="20"/>
          <w:lang w:val="es-ES_tradnl"/>
        </w:rPr>
        <w:t>identificado a las personas responsables</w:t>
      </w:r>
      <w:r w:rsidR="0087417B" w:rsidRPr="008A1F83">
        <w:rPr>
          <w:color w:val="auto"/>
          <w:sz w:val="20"/>
          <w:szCs w:val="20"/>
          <w:lang w:val="es-ES_tradnl"/>
        </w:rPr>
        <w:t xml:space="preserve">. </w:t>
      </w:r>
      <w:r w:rsidR="00CB3A6C" w:rsidRPr="008A1F83">
        <w:rPr>
          <w:color w:val="auto"/>
          <w:sz w:val="20"/>
          <w:szCs w:val="20"/>
          <w:lang w:val="es-ES_tradnl"/>
        </w:rPr>
        <w:t xml:space="preserve">Además del hecho de que parte del objeto de la petición lo constituyen los alegatos de la parte peticionaria cuestionando precisamente las actuaciones investigativas iniciales. </w:t>
      </w:r>
    </w:p>
    <w:p w14:paraId="1B433B1E" w14:textId="77777777" w:rsidR="00CB3A6C" w:rsidRPr="008A1F83" w:rsidRDefault="00CB3A6C" w:rsidP="00CB3A6C">
      <w:pPr>
        <w:pStyle w:val="ListParagraph"/>
        <w:contextualSpacing/>
        <w:jc w:val="both"/>
        <w:rPr>
          <w:rFonts w:cs="Calibri"/>
          <w:b/>
          <w:color w:val="auto"/>
          <w:sz w:val="20"/>
          <w:szCs w:val="20"/>
          <w:lang w:val="es-ES_tradnl"/>
        </w:rPr>
      </w:pPr>
    </w:p>
    <w:p w14:paraId="29D97997" w14:textId="367E5C9D" w:rsidR="00E90A23" w:rsidRPr="008A1F83" w:rsidRDefault="00095433" w:rsidP="00B50534">
      <w:pPr>
        <w:pStyle w:val="ListParagraph"/>
        <w:numPr>
          <w:ilvl w:val="0"/>
          <w:numId w:val="5"/>
        </w:numPr>
        <w:ind w:left="0" w:firstLine="720"/>
        <w:contextualSpacing/>
        <w:jc w:val="both"/>
        <w:rPr>
          <w:rFonts w:cs="Calibri"/>
          <w:b/>
          <w:color w:val="auto"/>
          <w:sz w:val="20"/>
          <w:szCs w:val="20"/>
          <w:lang w:val="es-ES_tradnl"/>
        </w:rPr>
      </w:pPr>
      <w:r w:rsidRPr="008A1F83">
        <w:rPr>
          <w:color w:val="auto"/>
          <w:sz w:val="20"/>
          <w:szCs w:val="20"/>
          <w:lang w:val="es-ES_tradnl"/>
        </w:rPr>
        <w:t xml:space="preserve">Atendido </w:t>
      </w:r>
      <w:r w:rsidR="00CB3A6C" w:rsidRPr="008A1F83">
        <w:rPr>
          <w:color w:val="auto"/>
          <w:sz w:val="20"/>
          <w:szCs w:val="20"/>
          <w:lang w:val="es-ES_tradnl"/>
        </w:rPr>
        <w:t xml:space="preserve">a todo </w:t>
      </w:r>
      <w:r w:rsidRPr="008A1F83">
        <w:rPr>
          <w:color w:val="auto"/>
          <w:sz w:val="20"/>
          <w:szCs w:val="20"/>
          <w:lang w:val="es-ES_tradnl"/>
        </w:rPr>
        <w:t xml:space="preserve">lo anterior, </w:t>
      </w:r>
      <w:r w:rsidR="00CB3A6C" w:rsidRPr="008A1F83">
        <w:rPr>
          <w:color w:val="auto"/>
          <w:sz w:val="20"/>
          <w:szCs w:val="20"/>
          <w:lang w:val="es-ES_tradnl"/>
        </w:rPr>
        <w:t xml:space="preserve">y sobre todo al hecho concreto, resultante, de que no se han dado avances significativos en la investigación de la desaparición de la presunta víctima, </w:t>
      </w:r>
      <w:r w:rsidRPr="008A1F83">
        <w:rPr>
          <w:color w:val="auto"/>
          <w:sz w:val="20"/>
          <w:szCs w:val="20"/>
          <w:lang w:val="es-ES_tradnl"/>
        </w:rPr>
        <w:t>la C</w:t>
      </w:r>
      <w:r w:rsidR="00ED338A" w:rsidRPr="008A1F83">
        <w:rPr>
          <w:color w:val="auto"/>
          <w:sz w:val="20"/>
          <w:szCs w:val="20"/>
          <w:lang w:val="es-ES_tradnl"/>
        </w:rPr>
        <w:t xml:space="preserve">omisión </w:t>
      </w:r>
      <w:r w:rsidRPr="008A1F83">
        <w:rPr>
          <w:color w:val="auto"/>
          <w:sz w:val="20"/>
          <w:szCs w:val="20"/>
          <w:lang w:val="es-ES_tradnl"/>
        </w:rPr>
        <w:t xml:space="preserve">concluye que en el presente </w:t>
      </w:r>
      <w:r w:rsidR="00CB3A6C" w:rsidRPr="008A1F83">
        <w:rPr>
          <w:color w:val="auto"/>
          <w:sz w:val="20"/>
          <w:szCs w:val="20"/>
          <w:lang w:val="es-ES_tradnl"/>
        </w:rPr>
        <w:t>asunto</w:t>
      </w:r>
      <w:r w:rsidRPr="008A1F83">
        <w:rPr>
          <w:color w:val="auto"/>
          <w:sz w:val="20"/>
          <w:szCs w:val="20"/>
          <w:lang w:val="es-ES_tradnl"/>
        </w:rPr>
        <w:t xml:space="preserve"> aplica la excepción al agotamiento de los recursos internos prevista en el artículo 46.2.c</w:t>
      </w:r>
      <w:r w:rsidR="00CB3A6C" w:rsidRPr="008A1F83">
        <w:rPr>
          <w:color w:val="auto"/>
          <w:sz w:val="20"/>
          <w:szCs w:val="20"/>
          <w:lang w:val="es-ES_tradnl"/>
        </w:rPr>
        <w:t>)</w:t>
      </w:r>
      <w:r w:rsidRPr="008A1F83">
        <w:rPr>
          <w:color w:val="auto"/>
          <w:sz w:val="20"/>
          <w:szCs w:val="20"/>
          <w:lang w:val="es-ES_tradnl"/>
        </w:rPr>
        <w:t xml:space="preserve"> de la Convención Americana</w:t>
      </w:r>
      <w:r w:rsidR="0029682E" w:rsidRPr="008A1F83">
        <w:rPr>
          <w:rStyle w:val="FootnoteReference"/>
          <w:color w:val="auto"/>
          <w:sz w:val="20"/>
          <w:szCs w:val="20"/>
          <w:lang w:val="es-ES_tradnl"/>
        </w:rPr>
        <w:footnoteReference w:id="8"/>
      </w:r>
      <w:r w:rsidRPr="008A1F83">
        <w:rPr>
          <w:color w:val="auto"/>
          <w:sz w:val="20"/>
          <w:szCs w:val="20"/>
          <w:lang w:val="es-ES_tradnl"/>
        </w:rPr>
        <w:t>.</w:t>
      </w:r>
      <w:r w:rsidR="00C773A5" w:rsidRPr="008A1F83">
        <w:rPr>
          <w:color w:val="auto"/>
          <w:sz w:val="20"/>
          <w:szCs w:val="20"/>
          <w:lang w:val="es-ES_tradnl"/>
        </w:rPr>
        <w:t xml:space="preserve"> </w:t>
      </w:r>
    </w:p>
    <w:p w14:paraId="2AB2382A" w14:textId="77777777" w:rsidR="00427873" w:rsidRPr="008A1F83" w:rsidRDefault="00427873" w:rsidP="00117BEA">
      <w:pPr>
        <w:pStyle w:val="ListParagraph"/>
        <w:contextualSpacing/>
        <w:jc w:val="both"/>
        <w:rPr>
          <w:rFonts w:cs="Calibri"/>
          <w:b/>
          <w:color w:val="auto"/>
          <w:sz w:val="20"/>
          <w:szCs w:val="20"/>
          <w:lang w:val="es-ES_tradnl"/>
        </w:rPr>
      </w:pPr>
    </w:p>
    <w:p w14:paraId="0876156C" w14:textId="17275F8B" w:rsidR="00427873" w:rsidRPr="008A1F83" w:rsidRDefault="00427873" w:rsidP="00427873">
      <w:pPr>
        <w:pStyle w:val="ListParagraph"/>
        <w:numPr>
          <w:ilvl w:val="0"/>
          <w:numId w:val="5"/>
        </w:numPr>
        <w:ind w:left="0" w:firstLine="720"/>
        <w:contextualSpacing/>
        <w:jc w:val="both"/>
        <w:rPr>
          <w:sz w:val="20"/>
          <w:szCs w:val="20"/>
          <w:lang w:val="es-ES_tradnl"/>
        </w:rPr>
      </w:pPr>
      <w:r w:rsidRPr="008A1F83">
        <w:rPr>
          <w:color w:val="auto"/>
          <w:sz w:val="20"/>
          <w:szCs w:val="20"/>
          <w:lang w:val="es-ES_tradnl"/>
        </w:rPr>
        <w:t>En cuanto al</w:t>
      </w:r>
      <w:r w:rsidR="00ED338A" w:rsidRPr="008A1F83">
        <w:rPr>
          <w:color w:val="auto"/>
          <w:sz w:val="20"/>
          <w:szCs w:val="20"/>
          <w:lang w:val="es-ES_tradnl"/>
        </w:rPr>
        <w:t xml:space="preserve"> argumento del Estado relativo al</w:t>
      </w:r>
      <w:r w:rsidRPr="008A1F83">
        <w:rPr>
          <w:color w:val="auto"/>
          <w:sz w:val="20"/>
          <w:szCs w:val="20"/>
          <w:lang w:val="es-ES_tradnl"/>
        </w:rPr>
        <w:t xml:space="preserve"> recurso de h</w:t>
      </w:r>
      <w:r w:rsidR="00CB3A6C" w:rsidRPr="008A1F83">
        <w:rPr>
          <w:color w:val="auto"/>
          <w:sz w:val="20"/>
          <w:szCs w:val="20"/>
          <w:lang w:val="es-ES_tradnl"/>
        </w:rPr>
        <w:t>á</w:t>
      </w:r>
      <w:r w:rsidRPr="008A1F83">
        <w:rPr>
          <w:color w:val="auto"/>
          <w:sz w:val="20"/>
          <w:szCs w:val="20"/>
          <w:lang w:val="es-ES_tradnl"/>
        </w:rPr>
        <w:t xml:space="preserve">beas corpus, </w:t>
      </w:r>
      <w:r w:rsidR="00ED338A" w:rsidRPr="008A1F83">
        <w:rPr>
          <w:color w:val="auto"/>
          <w:sz w:val="20"/>
          <w:szCs w:val="20"/>
          <w:lang w:val="es-ES_tradnl"/>
        </w:rPr>
        <w:t xml:space="preserve">la Comisión destaca que </w:t>
      </w:r>
      <w:r w:rsidRPr="008A1F83">
        <w:rPr>
          <w:color w:val="auto"/>
          <w:sz w:val="20"/>
          <w:szCs w:val="20"/>
          <w:lang w:val="es-ES_tradnl"/>
        </w:rPr>
        <w:t xml:space="preserve">si bien </w:t>
      </w:r>
      <w:r w:rsidR="00ED338A" w:rsidRPr="008A1F83">
        <w:rPr>
          <w:color w:val="auto"/>
          <w:sz w:val="20"/>
          <w:szCs w:val="20"/>
          <w:lang w:val="es-ES_tradnl"/>
        </w:rPr>
        <w:t xml:space="preserve">se </w:t>
      </w:r>
      <w:r w:rsidRPr="008A1F83">
        <w:rPr>
          <w:color w:val="auto"/>
          <w:sz w:val="20"/>
          <w:szCs w:val="20"/>
          <w:lang w:val="es-ES_tradnl"/>
        </w:rPr>
        <w:t xml:space="preserve">ha determinado que éste es un recurso idóneo en caso de alegadas desapariciones, también ha establecido que el requisito de agotamiento de los recursos internos no implica que las presuntas víctimas tengan la obligación de agotar todos los recursos posibles a su disposición, y que si la </w:t>
      </w:r>
      <w:r w:rsidR="006624CA" w:rsidRPr="008A1F83">
        <w:rPr>
          <w:color w:val="auto"/>
          <w:sz w:val="20"/>
          <w:szCs w:val="20"/>
          <w:lang w:val="es-ES_tradnl"/>
        </w:rPr>
        <w:t xml:space="preserve">parte peticionaria </w:t>
      </w:r>
      <w:r w:rsidRPr="008A1F83">
        <w:rPr>
          <w:color w:val="auto"/>
          <w:sz w:val="20"/>
          <w:szCs w:val="20"/>
          <w:lang w:val="es-ES_tradnl"/>
        </w:rPr>
        <w:t xml:space="preserve">planteó la cuestión por alguna de las alternativas válidas </w:t>
      </w:r>
      <w:r w:rsidRPr="008A1F83">
        <w:rPr>
          <w:sz w:val="20"/>
          <w:szCs w:val="20"/>
          <w:lang w:val="es-ES_tradnl"/>
        </w:rPr>
        <w:t>y adecuadas según el ordenamiento jurídico interno y el Estado tuvo la oportunidad de remediar la cuestión en su jurisdicción, la finalidad de la norma internacional está cumplida</w:t>
      </w:r>
      <w:r w:rsidR="006624CA" w:rsidRPr="008A1F83">
        <w:rPr>
          <w:rStyle w:val="FootnoteReference"/>
          <w:sz w:val="20"/>
          <w:szCs w:val="20"/>
          <w:lang w:val="es-ES_tradnl"/>
        </w:rPr>
        <w:footnoteReference w:id="9"/>
      </w:r>
      <w:r w:rsidRPr="008A1F83">
        <w:rPr>
          <w:sz w:val="20"/>
          <w:szCs w:val="20"/>
          <w:lang w:val="es-ES_tradnl"/>
        </w:rPr>
        <w:t xml:space="preserve">. </w:t>
      </w:r>
      <w:r w:rsidR="00512FF3" w:rsidRPr="008A1F83">
        <w:rPr>
          <w:sz w:val="20"/>
          <w:szCs w:val="20"/>
          <w:lang w:val="es-ES_tradnl"/>
        </w:rPr>
        <w:t xml:space="preserve">Sobre todo teniendo en cuenta, como ya se indicó, que en casos como el presente el recurso judicial que debe agotarse es la denuncia penal del hecho. </w:t>
      </w:r>
    </w:p>
    <w:p w14:paraId="3AE8C39A" w14:textId="77777777" w:rsidR="00427873" w:rsidRPr="008A1F83" w:rsidRDefault="00427873" w:rsidP="00427873">
      <w:pPr>
        <w:pStyle w:val="ListParagraph"/>
        <w:contextualSpacing/>
        <w:jc w:val="both"/>
        <w:rPr>
          <w:rFonts w:cs="Calibri"/>
          <w:b/>
          <w:sz w:val="20"/>
          <w:szCs w:val="20"/>
          <w:lang w:val="es-ES_tradnl"/>
        </w:rPr>
      </w:pPr>
    </w:p>
    <w:p w14:paraId="05334CB6" w14:textId="54E94359" w:rsidR="00E10040" w:rsidRPr="008A1F83" w:rsidRDefault="00967559" w:rsidP="00512FF3">
      <w:pPr>
        <w:pStyle w:val="ListParagraph"/>
        <w:numPr>
          <w:ilvl w:val="0"/>
          <w:numId w:val="5"/>
        </w:numPr>
        <w:ind w:left="0" w:firstLine="720"/>
        <w:contextualSpacing/>
        <w:jc w:val="both"/>
        <w:rPr>
          <w:rFonts w:cs="Calibri"/>
          <w:b/>
          <w:sz w:val="20"/>
          <w:szCs w:val="20"/>
          <w:lang w:val="es-ES_tradnl"/>
        </w:rPr>
      </w:pPr>
      <w:r w:rsidRPr="008A1F83">
        <w:rPr>
          <w:sz w:val="20"/>
          <w:szCs w:val="20"/>
          <w:lang w:val="es-ES_tradnl"/>
        </w:rPr>
        <w:t xml:space="preserve">En cuanto al plazo de presentación, </w:t>
      </w:r>
      <w:r w:rsidR="00512FF3" w:rsidRPr="008A1F83">
        <w:rPr>
          <w:sz w:val="20"/>
          <w:szCs w:val="20"/>
          <w:lang w:val="es-ES_tradnl"/>
        </w:rPr>
        <w:t>la Comisión observa que los hechos materia del reclamo iniciaron el 4 de diciembre de 2010; que a partir de ese momento los familiares de la presunta víctima denunciaron los hechos y le dieron seguimiento activamente a ese proceso; que la petición fue recibida en la CIDH el 19 de septiembre de 2018; y que los</w:t>
      </w:r>
      <w:r w:rsidRPr="008A1F83">
        <w:rPr>
          <w:sz w:val="20"/>
          <w:szCs w:val="20"/>
          <w:lang w:val="es-ES_tradnl"/>
        </w:rPr>
        <w:t xml:space="preserve"> efectos </w:t>
      </w:r>
      <w:r w:rsidR="00512FF3" w:rsidRPr="008A1F83">
        <w:rPr>
          <w:sz w:val="20"/>
          <w:szCs w:val="20"/>
          <w:lang w:val="es-ES_tradnl"/>
        </w:rPr>
        <w:t xml:space="preserve">de las violaciones, en términos de la alegada impunidad </w:t>
      </w:r>
      <w:r w:rsidRPr="008A1F83">
        <w:rPr>
          <w:sz w:val="20"/>
          <w:szCs w:val="20"/>
          <w:lang w:val="es-ES_tradnl"/>
        </w:rPr>
        <w:t>se extenderían hasta el presente</w:t>
      </w:r>
      <w:r w:rsidR="00512FF3" w:rsidRPr="008A1F83">
        <w:rPr>
          <w:sz w:val="20"/>
          <w:szCs w:val="20"/>
          <w:lang w:val="es-ES_tradnl"/>
        </w:rPr>
        <w:t xml:space="preserve">; la Comisión concluye que la presente petición </w:t>
      </w:r>
      <w:r w:rsidRPr="008A1F83">
        <w:rPr>
          <w:sz w:val="20"/>
          <w:szCs w:val="20"/>
          <w:lang w:val="es-ES_tradnl"/>
        </w:rPr>
        <w:t xml:space="preserve">fue presentada dentro de un plazo razonable </w:t>
      </w:r>
      <w:r w:rsidR="00512FF3" w:rsidRPr="008A1F83">
        <w:rPr>
          <w:sz w:val="20"/>
          <w:szCs w:val="20"/>
          <w:lang w:val="es-ES_tradnl"/>
        </w:rPr>
        <w:t>de acuerdo con el artículo 32.2 del Reglamento de la CIDH</w:t>
      </w:r>
      <w:r w:rsidRPr="008A1F83">
        <w:rPr>
          <w:sz w:val="20"/>
          <w:szCs w:val="20"/>
          <w:lang w:val="es-ES_tradnl"/>
        </w:rPr>
        <w:t>.</w:t>
      </w:r>
      <w:r w:rsidRPr="008A1F83">
        <w:rPr>
          <w:rFonts w:cs="Calibri"/>
          <w:sz w:val="20"/>
          <w:szCs w:val="20"/>
          <w:lang w:val="es-ES_tradnl"/>
        </w:rPr>
        <w:t xml:space="preserve"> </w:t>
      </w:r>
    </w:p>
    <w:p w14:paraId="11E4A42B" w14:textId="77777777" w:rsidR="00E10040" w:rsidRPr="008A1F83" w:rsidRDefault="00E10040" w:rsidP="00E10040">
      <w:pPr>
        <w:pStyle w:val="ListParagraph"/>
        <w:spacing w:before="240" w:after="240"/>
        <w:jc w:val="both"/>
        <w:rPr>
          <w:b/>
          <w:sz w:val="20"/>
          <w:szCs w:val="20"/>
          <w:lang w:val="es-ES_tradnl"/>
        </w:rPr>
      </w:pPr>
      <w:r w:rsidRPr="008A1F83">
        <w:rPr>
          <w:b/>
          <w:bCs/>
          <w:sz w:val="20"/>
          <w:szCs w:val="20"/>
          <w:lang w:val="es-ES_tradnl"/>
        </w:rPr>
        <w:t>VII.</w:t>
      </w:r>
      <w:r w:rsidRPr="008A1F83">
        <w:rPr>
          <w:b/>
          <w:bCs/>
          <w:sz w:val="20"/>
          <w:szCs w:val="20"/>
          <w:lang w:val="es-ES_tradnl"/>
        </w:rPr>
        <w:tab/>
        <w:t>ANÁLISIS DE CARACTERIZACIÓN DE LOS HECHOS ALEGADOS</w:t>
      </w:r>
    </w:p>
    <w:p w14:paraId="3723E322" w14:textId="2F93D3CC" w:rsidR="00B50534" w:rsidRPr="008A1F83" w:rsidRDefault="005C083F" w:rsidP="0072729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A1F83">
        <w:rPr>
          <w:rFonts w:eastAsia="Arial Unicode MS" w:cs="Times New Roman"/>
          <w:color w:val="auto"/>
          <w:sz w:val="20"/>
          <w:szCs w:val="20"/>
          <w:lang w:val="es-ES_tradnl" w:eastAsia="en-US"/>
        </w:rPr>
        <w:t>La Comisión observa</w:t>
      </w:r>
      <w:r w:rsidRPr="008A1F83">
        <w:rPr>
          <w:sz w:val="20"/>
          <w:szCs w:val="20"/>
          <w:lang w:val="es-ES_tradnl"/>
        </w:rPr>
        <w:t xml:space="preserve"> que la presente petición incluye alegaciones con respecto a </w:t>
      </w:r>
      <w:r w:rsidRPr="008A1F83">
        <w:rPr>
          <w:rFonts w:eastAsia="Arial Unicode MS" w:cs="Times New Roman"/>
          <w:color w:val="auto"/>
          <w:sz w:val="20"/>
          <w:szCs w:val="20"/>
          <w:lang w:val="es-ES_tradnl" w:eastAsia="en-US"/>
        </w:rPr>
        <w:t xml:space="preserve">la desaparición de </w:t>
      </w:r>
      <w:r w:rsidR="00ED338A" w:rsidRPr="008A1F83">
        <w:rPr>
          <w:rFonts w:eastAsia="Arial Unicode MS" w:cs="Times New Roman"/>
          <w:color w:val="auto"/>
          <w:sz w:val="20"/>
          <w:szCs w:val="20"/>
          <w:lang w:val="es-ES_tradnl" w:eastAsia="en-US"/>
        </w:rPr>
        <w:t>Giovanna Pérez Constante</w:t>
      </w:r>
      <w:r w:rsidR="00BF312F" w:rsidRPr="008A1F83">
        <w:rPr>
          <w:rFonts w:eastAsia="Arial Unicode MS" w:cs="Times New Roman"/>
          <w:color w:val="auto"/>
          <w:sz w:val="20"/>
          <w:szCs w:val="20"/>
          <w:lang w:val="es-ES_tradnl" w:eastAsia="en-US"/>
        </w:rPr>
        <w:t xml:space="preserve">, </w:t>
      </w:r>
      <w:r w:rsidRPr="008A1F83">
        <w:rPr>
          <w:rFonts w:eastAsia="Arial Unicode MS" w:cs="Times New Roman"/>
          <w:color w:val="auto"/>
          <w:sz w:val="20"/>
          <w:szCs w:val="20"/>
          <w:lang w:val="es-ES_tradnl" w:eastAsia="en-US"/>
        </w:rPr>
        <w:t>la falta de búsqueda oportuna</w:t>
      </w:r>
      <w:r w:rsidR="008F35B8" w:rsidRPr="008A1F83">
        <w:rPr>
          <w:rFonts w:eastAsia="Arial Unicode MS" w:cs="Times New Roman"/>
          <w:color w:val="auto"/>
          <w:sz w:val="20"/>
          <w:szCs w:val="20"/>
          <w:lang w:val="es-ES_tradnl" w:eastAsia="en-US"/>
        </w:rPr>
        <w:t xml:space="preserve"> por parte de las autoridades competentes</w:t>
      </w:r>
      <w:r w:rsidR="00BF312F" w:rsidRPr="008A1F83">
        <w:rPr>
          <w:rFonts w:eastAsia="Arial Unicode MS" w:cs="Times New Roman"/>
          <w:color w:val="auto"/>
          <w:sz w:val="20"/>
          <w:szCs w:val="20"/>
          <w:lang w:val="es-ES_tradnl" w:eastAsia="en-US"/>
        </w:rPr>
        <w:t xml:space="preserve"> y </w:t>
      </w:r>
      <w:r w:rsidR="00ED338A" w:rsidRPr="008A1F83">
        <w:rPr>
          <w:rFonts w:eastAsia="Arial Unicode MS" w:cs="Times New Roman"/>
          <w:color w:val="auto"/>
          <w:sz w:val="20"/>
          <w:szCs w:val="20"/>
          <w:lang w:val="es-ES_tradnl" w:eastAsia="en-US"/>
        </w:rPr>
        <w:t>el retraso</w:t>
      </w:r>
      <w:r w:rsidR="00BF312F" w:rsidRPr="008A1F83">
        <w:rPr>
          <w:rFonts w:eastAsia="Arial Unicode MS" w:cs="Times New Roman"/>
          <w:color w:val="auto"/>
          <w:sz w:val="20"/>
          <w:szCs w:val="20"/>
          <w:lang w:val="es-ES_tradnl" w:eastAsia="en-US"/>
        </w:rPr>
        <w:t xml:space="preserve"> injustificado de la investigación fiscal</w:t>
      </w:r>
      <w:r w:rsidR="007502D2" w:rsidRPr="008A1F83">
        <w:rPr>
          <w:rFonts w:eastAsia="Arial Unicode MS" w:cs="Times New Roman"/>
          <w:color w:val="auto"/>
          <w:sz w:val="20"/>
          <w:szCs w:val="20"/>
          <w:lang w:val="es-ES_tradnl" w:eastAsia="en-US"/>
        </w:rPr>
        <w:t xml:space="preserve"> que, de acuerdo con la información presentada </w:t>
      </w:r>
      <w:r w:rsidR="007502D2" w:rsidRPr="008A1F83">
        <w:rPr>
          <w:rFonts w:eastAsia="Arial Unicode MS" w:cs="Times New Roman"/>
          <w:color w:val="auto"/>
          <w:sz w:val="20"/>
          <w:szCs w:val="20"/>
          <w:lang w:val="es-ES_tradnl" w:eastAsia="en-US"/>
        </w:rPr>
        <w:lastRenderedPageBreak/>
        <w:t xml:space="preserve">por las partes, continua en la etapa </w:t>
      </w:r>
      <w:r w:rsidR="00E21F0B" w:rsidRPr="008A1F83">
        <w:rPr>
          <w:rFonts w:eastAsia="Arial Unicode MS" w:cs="Times New Roman"/>
          <w:color w:val="auto"/>
          <w:sz w:val="20"/>
          <w:szCs w:val="20"/>
          <w:lang w:val="es-ES_tradnl" w:eastAsia="en-US"/>
        </w:rPr>
        <w:t>“</w:t>
      </w:r>
      <w:r w:rsidR="007502D2" w:rsidRPr="008A1F83">
        <w:rPr>
          <w:rFonts w:eastAsia="Arial Unicode MS" w:cs="Times New Roman"/>
          <w:color w:val="auto"/>
          <w:sz w:val="20"/>
          <w:szCs w:val="20"/>
          <w:lang w:val="es-ES_tradnl" w:eastAsia="en-US"/>
        </w:rPr>
        <w:t>preprocesal</w:t>
      </w:r>
      <w:r w:rsidR="00E21F0B" w:rsidRPr="008A1F83">
        <w:rPr>
          <w:rFonts w:eastAsia="Arial Unicode MS" w:cs="Times New Roman"/>
          <w:color w:val="auto"/>
          <w:sz w:val="20"/>
          <w:szCs w:val="20"/>
          <w:lang w:val="es-ES_tradnl" w:eastAsia="en-US"/>
        </w:rPr>
        <w:t>”;</w:t>
      </w:r>
      <w:r w:rsidR="00BF312F" w:rsidRPr="008A1F83">
        <w:rPr>
          <w:rFonts w:eastAsia="Arial Unicode MS" w:cs="Times New Roman"/>
          <w:color w:val="auto"/>
          <w:sz w:val="20"/>
          <w:szCs w:val="20"/>
          <w:lang w:val="es-ES_tradnl" w:eastAsia="en-US"/>
        </w:rPr>
        <w:t xml:space="preserve"> así como distintas </w:t>
      </w:r>
      <w:r w:rsidR="00BF312F" w:rsidRPr="008A1F83">
        <w:rPr>
          <w:color w:val="auto"/>
          <w:sz w:val="20"/>
          <w:szCs w:val="20"/>
          <w:lang w:val="es-ES_tradnl"/>
        </w:rPr>
        <w:t>irregularidades en el marco de la misma</w:t>
      </w:r>
      <w:r w:rsidR="008F35B8" w:rsidRPr="008A1F83">
        <w:rPr>
          <w:color w:val="auto"/>
          <w:sz w:val="20"/>
          <w:szCs w:val="20"/>
          <w:lang w:val="es-ES_tradnl"/>
        </w:rPr>
        <w:t>, incluyendo la existencia de estereotipos de género</w:t>
      </w:r>
      <w:r w:rsidR="00E21F0B" w:rsidRPr="008A1F83">
        <w:rPr>
          <w:color w:val="auto"/>
          <w:sz w:val="20"/>
          <w:szCs w:val="20"/>
          <w:lang w:val="es-ES_tradnl"/>
        </w:rPr>
        <w:t>;</w:t>
      </w:r>
      <w:r w:rsidR="00117BEA" w:rsidRPr="008A1F83">
        <w:rPr>
          <w:color w:val="auto"/>
          <w:sz w:val="20"/>
          <w:szCs w:val="20"/>
          <w:lang w:val="es-ES_tradnl"/>
        </w:rPr>
        <w:t xml:space="preserve"> y presuntas amenazas a los familiares</w:t>
      </w:r>
      <w:r w:rsidRPr="008A1F83">
        <w:rPr>
          <w:sz w:val="20"/>
          <w:szCs w:val="20"/>
          <w:lang w:val="es-ES_tradnl"/>
        </w:rPr>
        <w:t xml:space="preserve">. </w:t>
      </w:r>
    </w:p>
    <w:p w14:paraId="4A1C29F6" w14:textId="15676FA5" w:rsidR="00B50534" w:rsidRPr="008A1F83" w:rsidRDefault="00B50534" w:rsidP="00B50534">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color w:val="auto"/>
          <w:sz w:val="16"/>
          <w:szCs w:val="16"/>
          <w:lang w:val="es-ES_tradnl"/>
        </w:rPr>
      </w:pPr>
      <w:r w:rsidRPr="008A1F83">
        <w:rPr>
          <w:sz w:val="20"/>
          <w:szCs w:val="20"/>
          <w:lang w:val="es-ES_tradnl"/>
        </w:rPr>
        <w:t xml:space="preserve">En el presente caso, la Comisión recuerda que los Estados tienen la obligación de impulsar una investigación </w:t>
      </w:r>
      <w:r w:rsidR="00E21F0B" w:rsidRPr="008A1F83">
        <w:rPr>
          <w:sz w:val="20"/>
          <w:szCs w:val="20"/>
          <w:lang w:val="es-ES_tradnl"/>
        </w:rPr>
        <w:t>de oficio</w:t>
      </w:r>
      <w:r w:rsidRPr="008A1F83">
        <w:rPr>
          <w:sz w:val="20"/>
          <w:szCs w:val="20"/>
          <w:lang w:val="es-ES_tradnl"/>
        </w:rPr>
        <w:t xml:space="preserve"> en los casos de desaparición de personas, como un deber jurídico propio, y no pueden reposar esta carga en la iniciativa de los familiares</w:t>
      </w:r>
      <w:r w:rsidRPr="008A1F83">
        <w:rPr>
          <w:rStyle w:val="FootnoteReference"/>
          <w:sz w:val="20"/>
          <w:szCs w:val="20"/>
          <w:lang w:val="es-ES_tradnl"/>
        </w:rPr>
        <w:footnoteReference w:id="10"/>
      </w:r>
      <w:r w:rsidRPr="008A1F83">
        <w:rPr>
          <w:sz w:val="20"/>
          <w:szCs w:val="20"/>
          <w:lang w:val="es-ES_tradnl"/>
        </w:rPr>
        <w:t>. Uno de los principios rectores del deber de debida diligencia consiste en dar seguimiento a las líneas lógicas de investigación en las indagaciones penales relativas a violaciones de derechos humanos</w:t>
      </w:r>
      <w:r w:rsidRPr="008A1F83">
        <w:rPr>
          <w:rStyle w:val="FootnoteReference"/>
          <w:sz w:val="20"/>
          <w:szCs w:val="20"/>
          <w:lang w:val="es-ES_tradnl"/>
        </w:rPr>
        <w:footnoteReference w:id="11"/>
      </w:r>
      <w:r w:rsidRPr="008A1F83">
        <w:rPr>
          <w:sz w:val="20"/>
          <w:szCs w:val="20"/>
          <w:lang w:val="es-ES_tradnl"/>
        </w:rPr>
        <w:t xml:space="preserve">. A ello se suma que, en casos de violencia contra la mujer, las obligaciones generales de los artículos 8.1 y 25 de la Convención Americana se ven reforzadas por las disposiciones de la Convención de Belém do Pará, cuyo </w:t>
      </w:r>
      <w:r w:rsidRPr="008A1F83">
        <w:rPr>
          <w:color w:val="auto"/>
          <w:sz w:val="20"/>
          <w:szCs w:val="20"/>
          <w:lang w:val="es-ES_tradnl"/>
        </w:rPr>
        <w:t>artículo 7.b) impone el deber específico de utilizar la debida diligencia para prevenir, sancionar y erradicar la violencia contra la mujer</w:t>
      </w:r>
      <w:r w:rsidRPr="008A1F83">
        <w:rPr>
          <w:rStyle w:val="FootnoteReference"/>
          <w:color w:val="auto"/>
          <w:sz w:val="20"/>
          <w:szCs w:val="20"/>
          <w:lang w:val="es-ES_tradnl"/>
        </w:rPr>
        <w:footnoteReference w:id="12"/>
      </w:r>
      <w:r w:rsidRPr="008A1F83">
        <w:rPr>
          <w:color w:val="auto"/>
          <w:sz w:val="20"/>
          <w:szCs w:val="20"/>
          <w:lang w:val="es-ES_tradnl"/>
        </w:rPr>
        <w:t>. En efecto, el deber de investigar tiene alcances adicionales cuando se trata de una mujer que sufre una muerte violenta, maltrato o afectación a su libertad personal, pues se requiere que el Estado esclarezca si el acto fue perpetrado por razón del género</w:t>
      </w:r>
      <w:r w:rsidRPr="008A1F83">
        <w:rPr>
          <w:rStyle w:val="FootnoteReference"/>
          <w:color w:val="auto"/>
          <w:sz w:val="20"/>
          <w:szCs w:val="20"/>
          <w:lang w:val="es-ES_tradnl"/>
        </w:rPr>
        <w:footnoteReference w:id="13"/>
      </w:r>
      <w:r w:rsidRPr="008A1F83">
        <w:rPr>
          <w:color w:val="auto"/>
          <w:sz w:val="20"/>
          <w:szCs w:val="20"/>
          <w:lang w:val="es-ES_tradnl"/>
        </w:rPr>
        <w:t xml:space="preserve">. Este deber cobra particular importancia en contextos generalizados de violencia contra la mujer. </w:t>
      </w:r>
    </w:p>
    <w:p w14:paraId="078CC917" w14:textId="7CE7EC8C" w:rsidR="004970FF" w:rsidRPr="008A1F83" w:rsidRDefault="005C083F" w:rsidP="0072729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A1F83">
        <w:rPr>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w:t>
      </w:r>
      <w:r w:rsidR="00E21F0B" w:rsidRPr="008A1F83">
        <w:rPr>
          <w:sz w:val="20"/>
          <w:szCs w:val="20"/>
          <w:lang w:val="es-ES_tradnl"/>
        </w:rPr>
        <w:t>;</w:t>
      </w:r>
      <w:r w:rsidRPr="008A1F83">
        <w:rPr>
          <w:sz w:val="20"/>
          <w:szCs w:val="20"/>
          <w:lang w:val="es-ES_tradnl"/>
        </w:rPr>
        <w:t xml:space="preserve"> pues los hechos alegados, de corroborarse como ciertos podrían caracterizar violaciones a los</w:t>
      </w:r>
      <w:r w:rsidR="00E21F0B" w:rsidRPr="008A1F83">
        <w:rPr>
          <w:sz w:val="20"/>
          <w:szCs w:val="20"/>
          <w:lang w:val="es-ES_tradnl"/>
        </w:rPr>
        <w:t xml:space="preserve"> derechos establecidos en los</w:t>
      </w:r>
      <w:r w:rsidRPr="008A1F83">
        <w:rPr>
          <w:sz w:val="20"/>
          <w:szCs w:val="20"/>
          <w:lang w:val="es-ES_tradnl"/>
        </w:rPr>
        <w:t xml:space="preserve"> artículos </w:t>
      </w:r>
      <w:r w:rsidRPr="008A1F83">
        <w:rPr>
          <w:rFonts w:eastAsia="Arial Unicode MS" w:cs="Times New Roman"/>
          <w:bCs/>
          <w:color w:val="auto"/>
          <w:sz w:val="20"/>
          <w:szCs w:val="20"/>
          <w:lang w:val="es-ES_tradnl" w:eastAsia="en-US"/>
        </w:rPr>
        <w:t xml:space="preserve">4 (vida), </w:t>
      </w:r>
      <w:r w:rsidR="00727291" w:rsidRPr="008A1F83">
        <w:rPr>
          <w:rFonts w:eastAsia="Arial Unicode MS" w:cs="Times New Roman"/>
          <w:bCs/>
          <w:color w:val="auto"/>
          <w:sz w:val="20"/>
          <w:szCs w:val="20"/>
          <w:lang w:val="es-ES_tradnl" w:eastAsia="en-US"/>
        </w:rPr>
        <w:t xml:space="preserve">5 (integridad personal), </w:t>
      </w:r>
      <w:r w:rsidR="00117BEA" w:rsidRPr="008A1F83">
        <w:rPr>
          <w:rFonts w:eastAsia="Arial Unicode MS" w:cs="Times New Roman"/>
          <w:bCs/>
          <w:color w:val="auto"/>
          <w:sz w:val="20"/>
          <w:szCs w:val="20"/>
          <w:lang w:val="es-ES_tradnl" w:eastAsia="en-US"/>
        </w:rPr>
        <w:t xml:space="preserve">7 (libertad personal), </w:t>
      </w:r>
      <w:r w:rsidR="008F35B8" w:rsidRPr="008A1F83">
        <w:rPr>
          <w:rFonts w:eastAsia="Arial Unicode MS" w:cs="Times New Roman"/>
          <w:bCs/>
          <w:color w:val="auto"/>
          <w:sz w:val="20"/>
          <w:szCs w:val="20"/>
          <w:lang w:val="es-ES_tradnl" w:eastAsia="en-US"/>
        </w:rPr>
        <w:t xml:space="preserve">8 (garantías judiciales), 24 (igualdad ante la ley) y 25 (protección judicial) </w:t>
      </w:r>
      <w:r w:rsidRPr="008A1F83">
        <w:rPr>
          <w:rFonts w:eastAsia="Arial Unicode MS" w:cs="Times New Roman"/>
          <w:bCs/>
          <w:color w:val="auto"/>
          <w:sz w:val="20"/>
          <w:szCs w:val="20"/>
          <w:lang w:val="es-ES_tradnl" w:eastAsia="en-US"/>
        </w:rPr>
        <w:t>de la Convención Americana</w:t>
      </w:r>
      <w:r w:rsidR="00901790" w:rsidRPr="008A1F83">
        <w:rPr>
          <w:rFonts w:eastAsia="Arial Unicode MS" w:cs="Times New Roman"/>
          <w:bCs/>
          <w:color w:val="auto"/>
          <w:sz w:val="20"/>
          <w:szCs w:val="20"/>
          <w:lang w:val="es-ES_tradnl" w:eastAsia="en-US"/>
        </w:rPr>
        <w:t>;</w:t>
      </w:r>
      <w:r w:rsidRPr="008A1F83">
        <w:rPr>
          <w:rFonts w:eastAsia="Arial Unicode MS" w:cs="Times New Roman"/>
          <w:bCs/>
          <w:color w:val="auto"/>
          <w:sz w:val="20"/>
          <w:szCs w:val="20"/>
          <w:lang w:val="es-ES_tradnl" w:eastAsia="en-US"/>
        </w:rPr>
        <w:t xml:space="preserve"> en relación con </w:t>
      </w:r>
      <w:r w:rsidR="00901790" w:rsidRPr="008A1F83">
        <w:rPr>
          <w:rFonts w:eastAsia="Arial Unicode MS" w:cs="Times New Roman"/>
          <w:bCs/>
          <w:color w:val="auto"/>
          <w:sz w:val="20"/>
          <w:szCs w:val="20"/>
          <w:lang w:val="es-ES_tradnl" w:eastAsia="en-US"/>
        </w:rPr>
        <w:t>sus</w:t>
      </w:r>
      <w:r w:rsidRPr="008A1F83">
        <w:rPr>
          <w:rFonts w:eastAsia="Arial Unicode MS" w:cs="Times New Roman"/>
          <w:bCs/>
          <w:color w:val="auto"/>
          <w:sz w:val="20"/>
          <w:szCs w:val="20"/>
          <w:lang w:val="es-ES_tradnl" w:eastAsia="en-US"/>
        </w:rPr>
        <w:t xml:space="preserve"> artículo</w:t>
      </w:r>
      <w:r w:rsidR="00901790" w:rsidRPr="008A1F83">
        <w:rPr>
          <w:rFonts w:eastAsia="Arial Unicode MS" w:cs="Times New Roman"/>
          <w:bCs/>
          <w:color w:val="auto"/>
          <w:sz w:val="20"/>
          <w:szCs w:val="20"/>
          <w:lang w:val="es-ES_tradnl" w:eastAsia="en-US"/>
        </w:rPr>
        <w:t>s</w:t>
      </w:r>
      <w:r w:rsidRPr="008A1F83">
        <w:rPr>
          <w:rFonts w:eastAsia="Arial Unicode MS" w:cs="Times New Roman"/>
          <w:bCs/>
          <w:color w:val="auto"/>
          <w:sz w:val="20"/>
          <w:szCs w:val="20"/>
          <w:lang w:val="es-ES_tradnl" w:eastAsia="en-US"/>
        </w:rPr>
        <w:t xml:space="preserve"> </w:t>
      </w:r>
      <w:r w:rsidRPr="008A1F83">
        <w:rPr>
          <w:rFonts w:eastAsia="Arial Unicode MS" w:cs="Times New Roman"/>
          <w:color w:val="auto"/>
          <w:sz w:val="20"/>
          <w:szCs w:val="20"/>
          <w:lang w:val="es-ES_tradnl" w:eastAsia="en-US"/>
        </w:rPr>
        <w:t>1.1 y 2</w:t>
      </w:r>
      <w:r w:rsidR="00901790" w:rsidRPr="008A1F83">
        <w:rPr>
          <w:rFonts w:eastAsia="Arial Unicode MS" w:cs="Times New Roman"/>
          <w:color w:val="auto"/>
          <w:sz w:val="20"/>
          <w:szCs w:val="20"/>
          <w:lang w:val="es-ES_tradnl" w:eastAsia="en-US"/>
        </w:rPr>
        <w:t xml:space="preserve">; y </w:t>
      </w:r>
      <w:r w:rsidR="00E21F0B" w:rsidRPr="008A1F83">
        <w:rPr>
          <w:rFonts w:eastAsia="Arial Unicode MS" w:cs="Times New Roman"/>
          <w:color w:val="auto"/>
          <w:sz w:val="20"/>
          <w:szCs w:val="20"/>
          <w:lang w:val="es-ES_tradnl" w:eastAsia="en-US"/>
        </w:rPr>
        <w:t>en el</w:t>
      </w:r>
      <w:r w:rsidR="00901790" w:rsidRPr="008A1F83">
        <w:rPr>
          <w:rFonts w:eastAsia="Arial Unicode MS" w:cs="Times New Roman"/>
          <w:color w:val="auto"/>
          <w:sz w:val="20"/>
          <w:szCs w:val="20"/>
          <w:lang w:val="es-ES_tradnl" w:eastAsia="en-US"/>
        </w:rPr>
        <w:t xml:space="preserve"> </w:t>
      </w:r>
      <w:r w:rsidR="00901790" w:rsidRPr="008A1F83">
        <w:rPr>
          <w:color w:val="auto"/>
          <w:sz w:val="20"/>
          <w:szCs w:val="20"/>
          <w:lang w:val="es-ES_tradnl"/>
        </w:rPr>
        <w:t>a</w:t>
      </w:r>
      <w:r w:rsidR="00901790" w:rsidRPr="008A1F83">
        <w:rPr>
          <w:bCs/>
          <w:color w:val="auto"/>
          <w:sz w:val="20"/>
          <w:szCs w:val="20"/>
          <w:lang w:val="es-ES_tradnl"/>
        </w:rPr>
        <w:t>rtículo 7 de la Convención Belem do Pará;</w:t>
      </w:r>
      <w:r w:rsidRPr="008A1F83">
        <w:rPr>
          <w:rFonts w:eastAsia="Arial Unicode MS" w:cs="Times New Roman"/>
          <w:color w:val="auto"/>
          <w:sz w:val="20"/>
          <w:szCs w:val="20"/>
          <w:lang w:val="es-ES_tradnl" w:eastAsia="en-US"/>
        </w:rPr>
        <w:t xml:space="preserve"> en perjuicio de </w:t>
      </w:r>
      <w:r w:rsidR="007502D2" w:rsidRPr="008A1F83">
        <w:rPr>
          <w:rFonts w:eastAsia="Arial Unicode MS" w:cs="Times New Roman"/>
          <w:color w:val="auto"/>
          <w:sz w:val="20"/>
          <w:szCs w:val="20"/>
          <w:lang w:val="es-ES_tradnl" w:eastAsia="en-US"/>
        </w:rPr>
        <w:t xml:space="preserve">Giovanna Pérez Constante </w:t>
      </w:r>
      <w:r w:rsidR="00727291" w:rsidRPr="008A1F83">
        <w:rPr>
          <w:rFonts w:eastAsia="Arial Unicode MS" w:cs="Times New Roman"/>
          <w:color w:val="auto"/>
          <w:sz w:val="20"/>
          <w:szCs w:val="20"/>
          <w:lang w:val="es-ES_tradnl" w:eastAsia="en-US"/>
        </w:rPr>
        <w:t xml:space="preserve">y </w:t>
      </w:r>
      <w:r w:rsidR="00901790" w:rsidRPr="008A1F83">
        <w:rPr>
          <w:rFonts w:eastAsia="Arial Unicode MS" w:cs="Times New Roman"/>
          <w:color w:val="auto"/>
          <w:sz w:val="20"/>
          <w:szCs w:val="20"/>
          <w:lang w:val="es-ES_tradnl" w:eastAsia="en-US"/>
        </w:rPr>
        <w:t xml:space="preserve">sus familiares, en los términos del presente informe. </w:t>
      </w:r>
      <w:r w:rsidR="00FA139C" w:rsidRPr="008A1F83">
        <w:rPr>
          <w:color w:val="auto"/>
          <w:sz w:val="20"/>
          <w:szCs w:val="20"/>
          <w:lang w:val="es-ES_tradnl"/>
        </w:rPr>
        <w:t xml:space="preserve"> </w:t>
      </w:r>
    </w:p>
    <w:p w14:paraId="3C589CC5" w14:textId="4C3E3119" w:rsidR="008F35B8" w:rsidRPr="008A1F83" w:rsidRDefault="004970FF" w:rsidP="004970FF">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8A1F83">
        <w:rPr>
          <w:color w:val="auto"/>
          <w:sz w:val="20"/>
          <w:szCs w:val="20"/>
          <w:lang w:val="es-ES_tradnl"/>
        </w:rPr>
        <w:t xml:space="preserve">Sobre las alegadas violaciones de los artículos </w:t>
      </w:r>
      <w:r w:rsidRPr="008A1F83">
        <w:rPr>
          <w:bCs/>
          <w:color w:val="auto"/>
          <w:sz w:val="20"/>
          <w:szCs w:val="20"/>
          <w:lang w:val="es-ES_tradnl"/>
        </w:rPr>
        <w:t>6 (derecho de toda persona a no ser sometida a esclavitud y servidumbre)</w:t>
      </w:r>
      <w:r w:rsidRPr="008A1F83">
        <w:rPr>
          <w:color w:val="auto"/>
          <w:sz w:val="20"/>
          <w:szCs w:val="20"/>
          <w:lang w:val="es-ES_tradnl"/>
        </w:rPr>
        <w:t xml:space="preserve">, 11 (honra y de la dignidad), </w:t>
      </w:r>
      <w:r w:rsidRPr="008A1F83">
        <w:rPr>
          <w:bCs/>
          <w:color w:val="auto"/>
          <w:sz w:val="20"/>
          <w:szCs w:val="20"/>
          <w:lang w:val="es-ES_tradnl"/>
        </w:rPr>
        <w:t xml:space="preserve">13 (libertad de expresión), y 26 (derechos económicos, sociales y culturales) </w:t>
      </w:r>
      <w:r w:rsidRPr="008A1F83">
        <w:rPr>
          <w:color w:val="auto"/>
          <w:sz w:val="20"/>
          <w:szCs w:val="20"/>
          <w:lang w:val="es-ES_tradnl"/>
        </w:rPr>
        <w:t xml:space="preserve">de la Convención, la </w:t>
      </w:r>
      <w:r w:rsidR="008410BF" w:rsidRPr="008A1F83">
        <w:rPr>
          <w:color w:val="auto"/>
          <w:sz w:val="20"/>
          <w:szCs w:val="20"/>
          <w:lang w:val="es-ES_tradnl"/>
        </w:rPr>
        <w:t xml:space="preserve">Comisión </w:t>
      </w:r>
      <w:r w:rsidRPr="008A1F83">
        <w:rPr>
          <w:color w:val="auto"/>
          <w:sz w:val="20"/>
          <w:szCs w:val="20"/>
          <w:lang w:val="es-ES_tradnl"/>
        </w:rPr>
        <w:t xml:space="preserve">observa que la peticionaria no ofrece alegatos o sustento para determinar, </w:t>
      </w:r>
      <w:r w:rsidRPr="008A1F83">
        <w:rPr>
          <w:i/>
          <w:iCs/>
          <w:color w:val="auto"/>
          <w:sz w:val="20"/>
          <w:szCs w:val="20"/>
          <w:lang w:val="es-ES_tradnl"/>
        </w:rPr>
        <w:t>prima facie</w:t>
      </w:r>
      <w:r w:rsidRPr="008A1F83">
        <w:rPr>
          <w:color w:val="auto"/>
          <w:sz w:val="20"/>
          <w:szCs w:val="20"/>
          <w:lang w:val="es-ES_tradnl"/>
        </w:rPr>
        <w:t xml:space="preserve">, una posible violación a los mismos. </w:t>
      </w:r>
      <w:r w:rsidR="008F35B8" w:rsidRPr="008A1F83">
        <w:rPr>
          <w:color w:val="auto"/>
          <w:sz w:val="20"/>
          <w:szCs w:val="20"/>
          <w:lang w:val="es-ES_tradnl"/>
        </w:rPr>
        <w:t>Por otra parte, sobre la alegada violación del artículo 17 (protección a la familia) de la Convención, la C</w:t>
      </w:r>
      <w:r w:rsidR="008410BF" w:rsidRPr="008A1F83">
        <w:rPr>
          <w:color w:val="auto"/>
          <w:sz w:val="20"/>
          <w:szCs w:val="20"/>
          <w:lang w:val="es-ES_tradnl"/>
        </w:rPr>
        <w:t>omisión</w:t>
      </w:r>
      <w:r w:rsidR="008F35B8" w:rsidRPr="008A1F83">
        <w:rPr>
          <w:color w:val="auto"/>
          <w:sz w:val="20"/>
          <w:szCs w:val="20"/>
          <w:lang w:val="es-ES_tradnl"/>
        </w:rPr>
        <w:t xml:space="preserve"> observa que, aun </w:t>
      </w:r>
      <w:r w:rsidR="008F35B8" w:rsidRPr="008A1F83">
        <w:rPr>
          <w:sz w:val="20"/>
          <w:szCs w:val="20"/>
          <w:lang w:val="es-ES_tradnl"/>
        </w:rPr>
        <w:t xml:space="preserve">cuando el sufrimiento de la familia es algo que la CIDH valorará en etapa de fondo, </w:t>
      </w:r>
      <w:r w:rsidRPr="008A1F83">
        <w:rPr>
          <w:sz w:val="20"/>
          <w:szCs w:val="20"/>
          <w:lang w:val="es-ES_tradnl"/>
        </w:rPr>
        <w:t>la parte peticionaria</w:t>
      </w:r>
      <w:r w:rsidR="008F35B8" w:rsidRPr="008A1F83">
        <w:rPr>
          <w:sz w:val="20"/>
          <w:szCs w:val="20"/>
          <w:lang w:val="es-ES_tradnl"/>
        </w:rPr>
        <w:t xml:space="preserve"> no ofrece alegatos o sustento para determinar, </w:t>
      </w:r>
      <w:r w:rsidR="008F35B8" w:rsidRPr="008A1F83">
        <w:rPr>
          <w:i/>
          <w:iCs/>
          <w:sz w:val="20"/>
          <w:szCs w:val="20"/>
          <w:lang w:val="es-ES_tradnl"/>
        </w:rPr>
        <w:t>prima facie</w:t>
      </w:r>
      <w:r w:rsidR="008F35B8" w:rsidRPr="008A1F83">
        <w:rPr>
          <w:sz w:val="20"/>
          <w:szCs w:val="20"/>
          <w:lang w:val="es-ES_tradnl"/>
        </w:rPr>
        <w:t xml:space="preserve">, una posible violación </w:t>
      </w:r>
      <w:r w:rsidR="00901790" w:rsidRPr="008A1F83">
        <w:rPr>
          <w:sz w:val="20"/>
          <w:szCs w:val="20"/>
          <w:lang w:val="es-ES_tradnl"/>
        </w:rPr>
        <w:t>a este derecho</w:t>
      </w:r>
      <w:r w:rsidR="008F35B8" w:rsidRPr="008A1F83">
        <w:rPr>
          <w:sz w:val="20"/>
          <w:szCs w:val="20"/>
          <w:lang w:val="es-ES_tradnl"/>
        </w:rPr>
        <w:t>.</w:t>
      </w:r>
    </w:p>
    <w:p w14:paraId="652D8B8B" w14:textId="38697590" w:rsidR="004970FF" w:rsidRPr="008A1F83" w:rsidRDefault="008F35B8" w:rsidP="00474F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contextualSpacing/>
        <w:jc w:val="both"/>
        <w:rPr>
          <w:rFonts w:cs="Calibri"/>
          <w:sz w:val="20"/>
          <w:szCs w:val="20"/>
          <w:lang w:val="es-ES_tradnl"/>
        </w:rPr>
      </w:pPr>
      <w:r w:rsidRPr="008A1F83">
        <w:rPr>
          <w:sz w:val="20"/>
          <w:szCs w:val="20"/>
          <w:lang w:val="es-ES_tradnl"/>
        </w:rPr>
        <w:t>En cuanto a la alegada violación de disposiciones de la Declaración Americana, la C</w:t>
      </w:r>
      <w:r w:rsidR="008410BF" w:rsidRPr="008A1F83">
        <w:rPr>
          <w:sz w:val="20"/>
          <w:szCs w:val="20"/>
          <w:lang w:val="es-ES_tradnl"/>
        </w:rPr>
        <w:t>omisión</w:t>
      </w:r>
      <w:r w:rsidRPr="008A1F83">
        <w:rPr>
          <w:sz w:val="20"/>
          <w:szCs w:val="20"/>
          <w:lang w:val="es-ES_tradnl"/>
        </w:rPr>
        <w:t xml:space="preserve"> ha establecido previamente que, una vez que la Convención Americana entra en vigor en relación con un Estado, ésta y no la Declaración pasa a ser la fuente primaria de derecho aplicable por la Comisión, siempre que la petición, como en este caso, se refiera a la presunta violación de derechos substancialmente idénticos en ambos</w:t>
      </w:r>
      <w:r w:rsidR="004970FF" w:rsidRPr="008A1F83">
        <w:rPr>
          <w:rStyle w:val="FootnoteReference"/>
          <w:rFonts w:cs="Calibri"/>
          <w:sz w:val="20"/>
          <w:szCs w:val="20"/>
          <w:lang w:val="es-ES_tradnl"/>
        </w:rPr>
        <w:footnoteReference w:id="14"/>
      </w:r>
      <w:r w:rsidRPr="008A1F83">
        <w:rPr>
          <w:sz w:val="20"/>
          <w:szCs w:val="20"/>
          <w:lang w:val="es-ES_tradnl"/>
        </w:rPr>
        <w:t xml:space="preserve">. Por lo tanto, la Comisión no se referirá a las presuntas violaciones a la Declaración. </w:t>
      </w:r>
      <w:r w:rsidR="00474F18" w:rsidRPr="008A1F83">
        <w:rPr>
          <w:sz w:val="20"/>
          <w:szCs w:val="20"/>
          <w:lang w:val="es-ES_tradnl"/>
        </w:rPr>
        <w:t>En relación con los artículos invocados del Protocolo de San Salvador, l</w:t>
      </w:r>
      <w:r w:rsidR="004970FF" w:rsidRPr="008A1F83">
        <w:rPr>
          <w:rFonts w:cs="Calibri"/>
          <w:sz w:val="20"/>
          <w:szCs w:val="20"/>
          <w:lang w:val="es-ES_tradnl"/>
        </w:rPr>
        <w:t>a C</w:t>
      </w:r>
      <w:r w:rsidR="008410BF" w:rsidRPr="008A1F83">
        <w:rPr>
          <w:rFonts w:cs="Calibri"/>
          <w:sz w:val="20"/>
          <w:szCs w:val="20"/>
          <w:lang w:val="es-ES_tradnl"/>
        </w:rPr>
        <w:t>omisión</w:t>
      </w:r>
      <w:r w:rsidR="004970FF" w:rsidRPr="008A1F83">
        <w:rPr>
          <w:rFonts w:cs="Calibri"/>
          <w:sz w:val="20"/>
          <w:szCs w:val="20"/>
          <w:lang w:val="es-ES_tradnl"/>
        </w:rPr>
        <w:t xml:space="preserve"> nota que la competencia prevista en los términos del artículo 19.6 de dicho tratado para establecer violaciones en el contexto de un caso individual se limita a los artículos 8.1.a y 13. Respecto a los demás artículos, de conformidad con el artículo 29 de la Convención Americana, la Comisión los puede tomar en cuenta para interpretar y aplicar la Convención Americana y otros instrumentos aplicable</w:t>
      </w:r>
      <w:r w:rsidR="00901790" w:rsidRPr="008A1F83">
        <w:rPr>
          <w:rFonts w:cs="Calibri"/>
          <w:sz w:val="20"/>
          <w:szCs w:val="20"/>
          <w:lang w:val="es-ES_tradnl"/>
        </w:rPr>
        <w:t>s</w:t>
      </w:r>
      <w:r w:rsidR="004970FF" w:rsidRPr="008A1F83">
        <w:rPr>
          <w:rStyle w:val="FootnoteReference"/>
          <w:rFonts w:cs="Calibri"/>
          <w:sz w:val="20"/>
          <w:szCs w:val="20"/>
          <w:lang w:val="es-ES_tradnl"/>
        </w:rPr>
        <w:footnoteReference w:id="15"/>
      </w:r>
      <w:r w:rsidR="004970FF" w:rsidRPr="008A1F83">
        <w:rPr>
          <w:rFonts w:cs="Calibri"/>
          <w:sz w:val="20"/>
          <w:szCs w:val="20"/>
          <w:lang w:val="es-ES_tradnl"/>
        </w:rPr>
        <w:t>.</w:t>
      </w:r>
    </w:p>
    <w:p w14:paraId="26A6ECC5" w14:textId="77777777" w:rsidR="00474F18" w:rsidRPr="008A1F83" w:rsidRDefault="00474F18" w:rsidP="00474F1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contextualSpacing/>
        <w:jc w:val="both"/>
        <w:rPr>
          <w:rFonts w:cs="Calibri"/>
          <w:sz w:val="20"/>
          <w:szCs w:val="20"/>
          <w:lang w:val="es-ES_tradnl"/>
        </w:rPr>
      </w:pPr>
    </w:p>
    <w:p w14:paraId="6574ABAF" w14:textId="40CFEFE7" w:rsidR="005C083F" w:rsidRPr="008A1F83" w:rsidRDefault="004970FF" w:rsidP="00474F1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_tradnl"/>
        </w:rPr>
      </w:pPr>
      <w:r w:rsidRPr="008A1F83">
        <w:rPr>
          <w:rFonts w:cs="Calibri"/>
          <w:sz w:val="20"/>
          <w:szCs w:val="20"/>
          <w:lang w:val="es-ES_tradnl"/>
        </w:rPr>
        <w:t xml:space="preserve">En cuanto a los alegatos sobre violaciones a los artículos </w:t>
      </w:r>
      <w:r w:rsidR="00474F18" w:rsidRPr="008A1F83">
        <w:rPr>
          <w:rFonts w:cs="Calibri"/>
          <w:sz w:val="20"/>
          <w:szCs w:val="20"/>
          <w:lang w:val="es-ES_tradnl"/>
        </w:rPr>
        <w:t xml:space="preserve">1, </w:t>
      </w:r>
      <w:r w:rsidRPr="008A1F83">
        <w:rPr>
          <w:rFonts w:cs="Calibri"/>
          <w:sz w:val="20"/>
          <w:szCs w:val="20"/>
          <w:lang w:val="es-ES_tradnl"/>
        </w:rPr>
        <w:t>2,</w:t>
      </w:r>
      <w:r w:rsidR="00474F18" w:rsidRPr="008A1F83">
        <w:rPr>
          <w:rFonts w:cs="Calibri"/>
          <w:sz w:val="20"/>
          <w:szCs w:val="20"/>
          <w:lang w:val="es-ES_tradnl"/>
        </w:rPr>
        <w:t xml:space="preserve"> 3</w:t>
      </w:r>
      <w:r w:rsidRPr="008A1F83">
        <w:rPr>
          <w:rFonts w:cs="Calibri"/>
          <w:sz w:val="20"/>
          <w:szCs w:val="20"/>
          <w:lang w:val="es-ES_tradnl"/>
        </w:rPr>
        <w:t xml:space="preserve"> y 4 de la de la Convención de Belém do Pará, la C</w:t>
      </w:r>
      <w:r w:rsidR="008410BF" w:rsidRPr="008A1F83">
        <w:rPr>
          <w:rFonts w:cs="Calibri"/>
          <w:sz w:val="20"/>
          <w:szCs w:val="20"/>
          <w:lang w:val="es-ES_tradnl"/>
        </w:rPr>
        <w:t xml:space="preserve">omisión </w:t>
      </w:r>
      <w:r w:rsidRPr="008A1F83">
        <w:rPr>
          <w:rFonts w:cs="Calibri"/>
          <w:sz w:val="20"/>
          <w:szCs w:val="20"/>
          <w:lang w:val="es-ES_tradnl"/>
        </w:rPr>
        <w:t xml:space="preserve">nota que la competencia prevista en los términos del artículo 12 de dicha </w:t>
      </w:r>
      <w:r w:rsidRPr="008A1F83">
        <w:rPr>
          <w:rFonts w:cs="Calibri"/>
          <w:sz w:val="20"/>
          <w:szCs w:val="20"/>
          <w:lang w:val="es-ES_tradnl"/>
        </w:rPr>
        <w:lastRenderedPageBreak/>
        <w:t>Convención</w:t>
      </w:r>
      <w:r w:rsidRPr="008A1F83">
        <w:rPr>
          <w:rStyle w:val="FootnoteReference"/>
          <w:rFonts w:cs="Calibri"/>
          <w:sz w:val="20"/>
          <w:szCs w:val="20"/>
          <w:lang w:val="es-ES_tradnl"/>
        </w:rPr>
        <w:footnoteReference w:id="16"/>
      </w:r>
      <w:r w:rsidRPr="008A1F83">
        <w:rPr>
          <w:rFonts w:cs="Calibri"/>
          <w:sz w:val="20"/>
          <w:szCs w:val="20"/>
          <w:lang w:val="es-ES_tradnl"/>
        </w:rPr>
        <w:t xml:space="preserve"> para pronunciarse en el contexto de un caso individual se limita al artículo 7. Respecto a los demás artículos, de conformidad con el artículo 29 de la Convención Americana, la Comisión los puede tomar en cuenta para interpretar y aplicar la Convención Americana y otros instrumentos aplicables</w:t>
      </w:r>
      <w:r w:rsidRPr="008A1F83">
        <w:rPr>
          <w:rStyle w:val="FootnoteReference"/>
          <w:rFonts w:cs="Calibri"/>
          <w:sz w:val="20"/>
          <w:szCs w:val="20"/>
          <w:lang w:val="es-ES_tradnl"/>
        </w:rPr>
        <w:footnoteReference w:id="17"/>
      </w:r>
      <w:r w:rsidRPr="008A1F83">
        <w:rPr>
          <w:rFonts w:cs="Calibri"/>
          <w:sz w:val="20"/>
          <w:szCs w:val="20"/>
          <w:lang w:val="es-ES_tradnl"/>
        </w:rPr>
        <w:t>.</w:t>
      </w:r>
      <w:r w:rsidR="00474F18" w:rsidRPr="008A1F83">
        <w:rPr>
          <w:rFonts w:cs="Calibri"/>
          <w:sz w:val="20"/>
          <w:szCs w:val="20"/>
          <w:lang w:val="es-ES_tradnl"/>
        </w:rPr>
        <w:t xml:space="preserve"> Por último</w:t>
      </w:r>
      <w:r w:rsidR="008410BF" w:rsidRPr="008A1F83">
        <w:rPr>
          <w:rFonts w:cs="Calibri"/>
          <w:sz w:val="20"/>
          <w:szCs w:val="20"/>
          <w:lang w:val="es-ES_tradnl"/>
        </w:rPr>
        <w:t xml:space="preserve">, </w:t>
      </w:r>
      <w:r w:rsidR="00474F18" w:rsidRPr="008A1F83">
        <w:rPr>
          <w:rFonts w:cs="Calibri"/>
          <w:sz w:val="20"/>
          <w:szCs w:val="20"/>
          <w:lang w:val="es-ES_tradnl"/>
        </w:rPr>
        <w:t>e</w:t>
      </w:r>
      <w:r w:rsidRPr="008A1F83">
        <w:rPr>
          <w:rFonts w:cs="Calibri"/>
          <w:sz w:val="20"/>
          <w:szCs w:val="20"/>
          <w:lang w:val="es-ES_tradnl"/>
        </w:rPr>
        <w:t xml:space="preserve">n relación con los demás instrumentos internacionales alegados por </w:t>
      </w:r>
      <w:r w:rsidR="00474F18" w:rsidRPr="008A1F83">
        <w:rPr>
          <w:rFonts w:cs="Calibri"/>
          <w:sz w:val="20"/>
          <w:szCs w:val="20"/>
          <w:lang w:val="es-ES_tradnl"/>
        </w:rPr>
        <w:t>la parte peticionaria</w:t>
      </w:r>
      <w:r w:rsidRPr="008A1F83">
        <w:rPr>
          <w:rFonts w:cs="Calibri"/>
          <w:sz w:val="20"/>
          <w:szCs w:val="20"/>
          <w:lang w:val="es-ES_tradnl"/>
        </w:rPr>
        <w:t>, la Comisión carece de competencia para establecer violaciones a las normas de dichos tratados, sin perjuicio de lo cual podrá tomarlos en cuenta como parte de su ejercicio interpretativo de las normas de la Convención Americana en la etapa de fondo del presente caso, en los términos del artículo 29 de la Convención Americana</w:t>
      </w:r>
      <w:r w:rsidRPr="008A1F83">
        <w:rPr>
          <w:rStyle w:val="FootnoteReference"/>
          <w:rFonts w:cs="Calibri"/>
          <w:sz w:val="20"/>
          <w:szCs w:val="20"/>
          <w:lang w:val="es-ES_tradnl"/>
        </w:rPr>
        <w:footnoteReference w:id="18"/>
      </w:r>
      <w:r w:rsidRPr="008A1F83">
        <w:rPr>
          <w:rFonts w:cs="Calibri"/>
          <w:sz w:val="20"/>
          <w:szCs w:val="20"/>
          <w:lang w:val="es-ES_tradnl"/>
        </w:rPr>
        <w:t>.</w:t>
      </w:r>
    </w:p>
    <w:p w14:paraId="38303FD9" w14:textId="37C04069" w:rsidR="00E10040" w:rsidRPr="008A1F83" w:rsidRDefault="00E10040" w:rsidP="00E10040">
      <w:pPr>
        <w:pStyle w:val="ListParagraph"/>
        <w:spacing w:before="240" w:after="240"/>
        <w:jc w:val="both"/>
        <w:rPr>
          <w:b/>
          <w:bCs/>
          <w:sz w:val="20"/>
          <w:szCs w:val="20"/>
          <w:lang w:val="es-ES_tradnl"/>
        </w:rPr>
      </w:pPr>
      <w:r w:rsidRPr="008A1F83">
        <w:rPr>
          <w:b/>
          <w:bCs/>
          <w:sz w:val="20"/>
          <w:szCs w:val="20"/>
          <w:lang w:val="es-ES_tradnl"/>
        </w:rPr>
        <w:t xml:space="preserve">VIII. </w:t>
      </w:r>
      <w:r w:rsidRPr="008A1F83">
        <w:rPr>
          <w:b/>
          <w:bCs/>
          <w:sz w:val="20"/>
          <w:szCs w:val="20"/>
          <w:lang w:val="es-ES_tradnl"/>
        </w:rPr>
        <w:tab/>
        <w:t>DECISIÓN</w:t>
      </w:r>
    </w:p>
    <w:p w14:paraId="2E0E3742" w14:textId="55D65330" w:rsidR="00E10040" w:rsidRPr="008A1F83" w:rsidRDefault="00E10040" w:rsidP="00E10040">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A1F83">
        <w:rPr>
          <w:rFonts w:ascii="Cambria" w:hAnsi="Cambria"/>
          <w:sz w:val="20"/>
          <w:szCs w:val="20"/>
          <w:lang w:val="es-ES_tradnl"/>
        </w:rPr>
        <w:t xml:space="preserve">Declarar admisible la presente petición en relación con </w:t>
      </w:r>
      <w:r w:rsidR="008410BF" w:rsidRPr="008A1F83">
        <w:rPr>
          <w:rFonts w:ascii="Cambria" w:hAnsi="Cambria"/>
          <w:sz w:val="20"/>
          <w:szCs w:val="20"/>
          <w:lang w:val="es-ES_tradnl"/>
        </w:rPr>
        <w:t>los artículos 4, 5, 7, 8</w:t>
      </w:r>
      <w:r w:rsidR="008C0B94" w:rsidRPr="008A1F83">
        <w:rPr>
          <w:rFonts w:ascii="Cambria" w:hAnsi="Cambria"/>
          <w:sz w:val="20"/>
          <w:szCs w:val="20"/>
          <w:lang w:val="es-ES_tradnl"/>
        </w:rPr>
        <w:t>, 24</w:t>
      </w:r>
      <w:r w:rsidR="008410BF" w:rsidRPr="008A1F83">
        <w:rPr>
          <w:rFonts w:ascii="Cambria" w:hAnsi="Cambria"/>
          <w:sz w:val="20"/>
          <w:szCs w:val="20"/>
          <w:lang w:val="es-ES_tradnl"/>
        </w:rPr>
        <w:t xml:space="preserve"> y 25 de la Convención Americana</w:t>
      </w:r>
      <w:r w:rsidR="00E21F0B" w:rsidRPr="008A1F83">
        <w:rPr>
          <w:rFonts w:ascii="Cambria" w:hAnsi="Cambria"/>
          <w:sz w:val="20"/>
          <w:szCs w:val="20"/>
          <w:lang w:val="es-ES_tradnl"/>
        </w:rPr>
        <w:t>,</w:t>
      </w:r>
      <w:r w:rsidR="008410BF" w:rsidRPr="008A1F83">
        <w:rPr>
          <w:rFonts w:ascii="Cambria" w:hAnsi="Cambria"/>
          <w:sz w:val="20"/>
          <w:szCs w:val="20"/>
          <w:lang w:val="es-ES_tradnl"/>
        </w:rPr>
        <w:t xml:space="preserve"> en relación con los artículos 1.1 y 2 del mismo instrumento</w:t>
      </w:r>
      <w:r w:rsidR="006410CF" w:rsidRPr="008A1F83">
        <w:rPr>
          <w:rFonts w:ascii="Cambria" w:hAnsi="Cambria"/>
          <w:sz w:val="20"/>
          <w:szCs w:val="20"/>
          <w:lang w:val="es-ES_tradnl"/>
        </w:rPr>
        <w:t>;</w:t>
      </w:r>
      <w:r w:rsidR="008C0B94" w:rsidRPr="008A1F83">
        <w:rPr>
          <w:rFonts w:ascii="Cambria" w:hAnsi="Cambria"/>
          <w:sz w:val="20"/>
          <w:szCs w:val="20"/>
          <w:lang w:val="es-ES_tradnl"/>
        </w:rPr>
        <w:t xml:space="preserve"> y</w:t>
      </w:r>
      <w:r w:rsidR="006410CF" w:rsidRPr="008A1F83">
        <w:rPr>
          <w:rFonts w:ascii="Cambria" w:hAnsi="Cambria"/>
          <w:sz w:val="20"/>
          <w:szCs w:val="20"/>
          <w:lang w:val="es-ES_tradnl"/>
        </w:rPr>
        <w:t xml:space="preserve"> el a</w:t>
      </w:r>
      <w:r w:rsidR="006410CF" w:rsidRPr="008A1F83">
        <w:rPr>
          <w:rFonts w:ascii="Cambria" w:hAnsi="Cambria"/>
          <w:bCs/>
          <w:sz w:val="20"/>
          <w:szCs w:val="20"/>
          <w:lang w:val="es-ES_tradnl"/>
        </w:rPr>
        <w:t>rtículo 7 de la Convención Belem do Pará</w:t>
      </w:r>
      <w:r w:rsidRPr="008A1F83">
        <w:rPr>
          <w:rFonts w:ascii="Cambria" w:hAnsi="Cambria"/>
          <w:sz w:val="20"/>
          <w:szCs w:val="20"/>
          <w:lang w:val="es-ES_tradnl"/>
        </w:rPr>
        <w:t>;</w:t>
      </w:r>
    </w:p>
    <w:p w14:paraId="726AA721" w14:textId="002B2E4B" w:rsidR="00E10040" w:rsidRPr="008A1F83" w:rsidRDefault="00E10040" w:rsidP="00E10040">
      <w:pPr>
        <w:pStyle w:val="ListParagraph"/>
        <w:numPr>
          <w:ilvl w:val="0"/>
          <w:numId w:val="1"/>
        </w:numPr>
        <w:rPr>
          <w:rFonts w:eastAsia="Arial Unicode MS" w:cs="Times New Roman"/>
          <w:color w:val="auto"/>
          <w:sz w:val="20"/>
          <w:szCs w:val="20"/>
          <w:lang w:val="es-ES_tradnl" w:eastAsia="en-US"/>
        </w:rPr>
      </w:pPr>
      <w:r w:rsidRPr="008A1F83">
        <w:rPr>
          <w:rFonts w:eastAsia="Arial Unicode MS" w:cs="Times New Roman"/>
          <w:color w:val="auto"/>
          <w:sz w:val="20"/>
          <w:szCs w:val="20"/>
          <w:lang w:val="es-ES_tradnl" w:eastAsia="en-US"/>
        </w:rPr>
        <w:t xml:space="preserve">Declarar inadmisible la presente petición en relación con </w:t>
      </w:r>
      <w:r w:rsidR="006410CF" w:rsidRPr="008A1F83">
        <w:rPr>
          <w:rFonts w:eastAsia="Arial Unicode MS" w:cs="Times New Roman"/>
          <w:color w:val="auto"/>
          <w:sz w:val="20"/>
          <w:szCs w:val="20"/>
          <w:lang w:val="es-ES_tradnl" w:eastAsia="en-US"/>
        </w:rPr>
        <w:t>los artículos 6, 11, 13, 17 y 26 de la Convención Americana</w:t>
      </w:r>
      <w:r w:rsidR="00DA4031">
        <w:rPr>
          <w:rFonts w:eastAsia="Arial Unicode MS" w:cs="Times New Roman"/>
          <w:color w:val="auto"/>
          <w:sz w:val="20"/>
          <w:szCs w:val="20"/>
          <w:lang w:val="es-ES_tradnl" w:eastAsia="en-US"/>
        </w:rPr>
        <w:t>,</w:t>
      </w:r>
      <w:r w:rsidRPr="008A1F83">
        <w:rPr>
          <w:rFonts w:eastAsia="Arial Unicode MS" w:cs="Times New Roman"/>
          <w:color w:val="auto"/>
          <w:sz w:val="20"/>
          <w:szCs w:val="20"/>
          <w:lang w:val="es-ES_tradnl" w:eastAsia="en-US"/>
        </w:rPr>
        <w:t xml:space="preserve"> y</w:t>
      </w:r>
      <w:r w:rsidR="00DA4031">
        <w:rPr>
          <w:rFonts w:eastAsia="Arial Unicode MS" w:cs="Times New Roman"/>
          <w:color w:val="auto"/>
          <w:sz w:val="20"/>
          <w:szCs w:val="20"/>
          <w:lang w:val="es-ES_tradnl" w:eastAsia="en-US"/>
        </w:rPr>
        <w:t>;</w:t>
      </w:r>
    </w:p>
    <w:p w14:paraId="009A9A1F" w14:textId="77777777" w:rsidR="00E10040" w:rsidRPr="008A1F83" w:rsidRDefault="00E10040" w:rsidP="00E10040">
      <w:pPr>
        <w:pStyle w:val="ListParagraph"/>
        <w:rPr>
          <w:rFonts w:eastAsia="Arial Unicode MS" w:cs="Times New Roman"/>
          <w:color w:val="auto"/>
          <w:sz w:val="20"/>
          <w:szCs w:val="20"/>
          <w:lang w:val="es-ES_tradnl" w:eastAsia="en-US"/>
        </w:rPr>
      </w:pPr>
    </w:p>
    <w:p w14:paraId="51BDE6CE" w14:textId="5C94A15B" w:rsidR="00844AF5" w:rsidRDefault="00E10040" w:rsidP="001A2897">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8A1F83">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C37FD5A" w14:textId="254B7952" w:rsidR="00DA4031" w:rsidRPr="00A56CDB" w:rsidRDefault="00DA4031" w:rsidP="00A56CD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71788">
        <w:rPr>
          <w:rStyle w:val="normaltextrun"/>
          <w:rFonts w:ascii="Cambria" w:hAnsi="Cambria" w:cs="Segoe UI"/>
          <w:sz w:val="20"/>
          <w:szCs w:val="20"/>
          <w:lang w:val="es-CL"/>
        </w:rPr>
        <w:t>7</w:t>
      </w:r>
      <w:r>
        <w:rPr>
          <w:rStyle w:val="normaltextrun"/>
          <w:rFonts w:ascii="Cambria" w:hAnsi="Cambria" w:cs="Segoe UI"/>
          <w:sz w:val="20"/>
          <w:szCs w:val="20"/>
          <w:lang w:val="es-CL"/>
        </w:rPr>
        <w:t xml:space="preserve"> días del mes de julio de 2022.  (Firmado): Julissa Mantilla Falcón, Presidenta; Stuardo Ralón Orellana, Primer Vicepresidente; Esmeralda E. Arosemena Bernal de Troitiño y Joel Hernández, </w:t>
      </w:r>
      <w:r w:rsidR="00A56CD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p>
    <w:sectPr w:rsidR="00DA4031" w:rsidRPr="00A56CDB" w:rsidSect="00545F14">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1CCC" w14:textId="77777777" w:rsidR="006D5F34" w:rsidRDefault="006D5F34" w:rsidP="00E10040">
      <w:r>
        <w:separator/>
      </w:r>
    </w:p>
  </w:endnote>
  <w:endnote w:type="continuationSeparator" w:id="0">
    <w:p w14:paraId="5114969E" w14:textId="77777777" w:rsidR="006D5F34" w:rsidRDefault="006D5F34"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E10040" w:rsidRPr="00934A2C" w:rsidRDefault="00E1004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E10040" w:rsidRDefault="00E10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E10040" w:rsidRPr="00934A2C" w:rsidRDefault="00E10040">
    <w:pPr>
      <w:pStyle w:val="Footer"/>
      <w:jc w:val="center"/>
      <w:rPr>
        <w:sz w:val="16"/>
        <w:szCs w:val="22"/>
      </w:rPr>
    </w:pPr>
  </w:p>
  <w:p w14:paraId="6CF30CE2" w14:textId="77777777" w:rsidR="00E10040" w:rsidRDefault="00E10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BB22" w14:textId="77777777" w:rsidR="006D5F34" w:rsidRDefault="006D5F34" w:rsidP="00E10040">
      <w:r>
        <w:separator/>
      </w:r>
    </w:p>
  </w:footnote>
  <w:footnote w:type="continuationSeparator" w:id="0">
    <w:p w14:paraId="126E6D25" w14:textId="77777777" w:rsidR="006D5F34" w:rsidRDefault="006D5F34" w:rsidP="00E10040">
      <w:r>
        <w:continuationSeparator/>
      </w:r>
    </w:p>
  </w:footnote>
  <w:footnote w:id="1">
    <w:p w14:paraId="6CBCF77A" w14:textId="70ACE5E6" w:rsidR="00216C14" w:rsidRPr="00570CD7" w:rsidRDefault="00216C14" w:rsidP="00570CD7">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w:t>
      </w:r>
      <w:r w:rsidR="006410CF" w:rsidRPr="00570CD7">
        <w:rPr>
          <w:rFonts w:ascii="Cambria" w:hAnsi="Cambria"/>
          <w:sz w:val="16"/>
          <w:szCs w:val="16"/>
          <w:lang w:val="es-MX"/>
        </w:rPr>
        <w:t>La petición fue pr</w:t>
      </w:r>
      <w:r w:rsidR="006410CF" w:rsidRPr="00570CD7">
        <w:rPr>
          <w:rFonts w:ascii="Cambria" w:hAnsi="Cambria"/>
          <w:color w:val="auto"/>
          <w:sz w:val="16"/>
          <w:szCs w:val="16"/>
          <w:lang w:val="es-MX"/>
        </w:rPr>
        <w:t xml:space="preserve">esentada inicialmente por </w:t>
      </w:r>
      <w:r w:rsidR="006410CF" w:rsidRPr="00570CD7">
        <w:rPr>
          <w:rFonts w:ascii="Cambria" w:hAnsi="Cambria"/>
          <w:color w:val="auto"/>
          <w:sz w:val="16"/>
          <w:szCs w:val="16"/>
          <w:lang w:val="es-VE"/>
        </w:rPr>
        <w:t>Andrea Isabel Duran Goyes</w:t>
      </w:r>
      <w:r w:rsidR="006410CF" w:rsidRPr="00570CD7">
        <w:rPr>
          <w:rFonts w:ascii="Cambria" w:hAnsi="Cambria"/>
          <w:color w:val="auto"/>
          <w:sz w:val="16"/>
          <w:szCs w:val="16"/>
          <w:lang w:val="es-MX"/>
        </w:rPr>
        <w:t xml:space="preserve">, </w:t>
      </w:r>
      <w:r w:rsidR="00DF2BCF">
        <w:rPr>
          <w:rFonts w:ascii="Cambria" w:hAnsi="Cambria"/>
          <w:color w:val="auto"/>
          <w:sz w:val="16"/>
          <w:szCs w:val="16"/>
          <w:lang w:val="es-MX"/>
        </w:rPr>
        <w:t xml:space="preserve">sin embargo, </w:t>
      </w:r>
      <w:r w:rsidR="006410CF" w:rsidRPr="00570CD7">
        <w:rPr>
          <w:rFonts w:ascii="Cambria" w:hAnsi="Cambria"/>
          <w:color w:val="auto"/>
          <w:sz w:val="16"/>
          <w:szCs w:val="16"/>
          <w:lang w:val="es-MX"/>
        </w:rPr>
        <w:t xml:space="preserve">mediante comunicación de fecha 26 de noviembre de 2019, Martha </w:t>
      </w:r>
      <w:r w:rsidR="006410CF" w:rsidRPr="00570CD7">
        <w:rPr>
          <w:rFonts w:ascii="Cambria" w:hAnsi="Cambria"/>
          <w:sz w:val="16"/>
          <w:szCs w:val="16"/>
          <w:lang w:val="es-MX"/>
        </w:rPr>
        <w:t xml:space="preserve">Yanera Constante, madre de la presunta víctima, </w:t>
      </w:r>
      <w:r w:rsidR="00732C76" w:rsidRPr="00570CD7">
        <w:rPr>
          <w:rFonts w:ascii="Cambria" w:hAnsi="Cambria"/>
          <w:sz w:val="16"/>
          <w:szCs w:val="16"/>
          <w:lang w:val="es-MX"/>
        </w:rPr>
        <w:t>comunicó</w:t>
      </w:r>
      <w:r w:rsidR="006410CF" w:rsidRPr="00570CD7">
        <w:rPr>
          <w:rFonts w:ascii="Cambria" w:hAnsi="Cambria"/>
          <w:sz w:val="16"/>
          <w:szCs w:val="16"/>
          <w:lang w:val="es-MX"/>
        </w:rPr>
        <w:t xml:space="preserve"> que </w:t>
      </w:r>
      <w:r w:rsidR="00732C76" w:rsidRPr="00570CD7">
        <w:rPr>
          <w:rFonts w:ascii="Cambria" w:hAnsi="Cambria"/>
          <w:sz w:val="16"/>
          <w:szCs w:val="16"/>
          <w:lang w:val="es-MX"/>
        </w:rPr>
        <w:t xml:space="preserve">aquella </w:t>
      </w:r>
      <w:r w:rsidR="006410CF" w:rsidRPr="00570CD7">
        <w:rPr>
          <w:rFonts w:ascii="Cambria" w:hAnsi="Cambria"/>
          <w:sz w:val="16"/>
          <w:szCs w:val="16"/>
          <w:lang w:val="es-MX"/>
        </w:rPr>
        <w:t>renunciaba a su asistencia técnica.</w:t>
      </w:r>
    </w:p>
  </w:footnote>
  <w:footnote w:id="2">
    <w:p w14:paraId="0E9E820E" w14:textId="02D4FCAC" w:rsidR="00F3571B" w:rsidRPr="00570CD7" w:rsidRDefault="00F3571B" w:rsidP="00570CD7">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La presente petición identifica a </w:t>
      </w:r>
      <w:r w:rsidR="00720D04" w:rsidRPr="00570CD7">
        <w:rPr>
          <w:rFonts w:ascii="Cambria" w:hAnsi="Cambria"/>
          <w:sz w:val="16"/>
          <w:szCs w:val="16"/>
          <w:lang w:val="es-VE"/>
        </w:rPr>
        <w:t>Martha Yanera Constante Velasco</w:t>
      </w:r>
      <w:r w:rsidRPr="00570CD7">
        <w:rPr>
          <w:rFonts w:ascii="Cambria" w:hAnsi="Cambria"/>
          <w:sz w:val="16"/>
          <w:szCs w:val="16"/>
          <w:lang w:val="es-VE"/>
        </w:rPr>
        <w:t xml:space="preserve">, Mauro </w:t>
      </w:r>
      <w:r w:rsidR="00720D04" w:rsidRPr="00570CD7">
        <w:rPr>
          <w:rFonts w:ascii="Cambria" w:hAnsi="Cambria"/>
          <w:sz w:val="16"/>
          <w:szCs w:val="16"/>
          <w:lang w:val="es-VE"/>
        </w:rPr>
        <w:t xml:space="preserve">Giovanny </w:t>
      </w:r>
      <w:r w:rsidRPr="00570CD7">
        <w:rPr>
          <w:rFonts w:ascii="Cambria" w:hAnsi="Cambria"/>
          <w:sz w:val="16"/>
          <w:szCs w:val="16"/>
          <w:lang w:val="es-VE"/>
        </w:rPr>
        <w:t xml:space="preserve">Pérez </w:t>
      </w:r>
      <w:r w:rsidR="00720D04" w:rsidRPr="00570CD7">
        <w:rPr>
          <w:rFonts w:ascii="Cambria" w:hAnsi="Cambria"/>
          <w:sz w:val="16"/>
          <w:szCs w:val="16"/>
          <w:lang w:val="es-VE"/>
        </w:rPr>
        <w:t xml:space="preserve">Velasco </w:t>
      </w:r>
      <w:r w:rsidRPr="00570CD7">
        <w:rPr>
          <w:rFonts w:ascii="Cambria" w:hAnsi="Cambria"/>
          <w:sz w:val="16"/>
          <w:szCs w:val="16"/>
          <w:lang w:val="es-VE"/>
        </w:rPr>
        <w:t>y Denisse Pérez como la madre, padre y hermana respectivamente de la presunta víctima.</w:t>
      </w:r>
    </w:p>
  </w:footnote>
  <w:footnote w:id="3">
    <w:p w14:paraId="1E4B8EEC" w14:textId="6210F612" w:rsidR="00B170C0" w:rsidRPr="00570CD7" w:rsidRDefault="00B170C0" w:rsidP="00570CD7">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En adelante “</w:t>
      </w:r>
      <w:r w:rsidR="00732C76" w:rsidRPr="00570CD7">
        <w:rPr>
          <w:rFonts w:ascii="Cambria" w:hAnsi="Cambria"/>
          <w:sz w:val="16"/>
          <w:szCs w:val="16"/>
          <w:lang w:val="es-VE"/>
        </w:rPr>
        <w:t xml:space="preserve">la </w:t>
      </w:r>
      <w:r w:rsidRPr="00570CD7">
        <w:rPr>
          <w:rFonts w:ascii="Cambria" w:hAnsi="Cambria"/>
          <w:sz w:val="16"/>
          <w:szCs w:val="16"/>
          <w:lang w:val="es-VE"/>
        </w:rPr>
        <w:t>Convención Americana” o “</w:t>
      </w:r>
      <w:r w:rsidR="00732C76" w:rsidRPr="00570CD7">
        <w:rPr>
          <w:rFonts w:ascii="Cambria" w:hAnsi="Cambria"/>
          <w:sz w:val="16"/>
          <w:szCs w:val="16"/>
          <w:lang w:val="es-VE"/>
        </w:rPr>
        <w:t xml:space="preserve">la </w:t>
      </w:r>
      <w:r w:rsidRPr="00570CD7">
        <w:rPr>
          <w:rFonts w:ascii="Cambria" w:hAnsi="Cambria"/>
          <w:sz w:val="16"/>
          <w:szCs w:val="16"/>
          <w:lang w:val="es-VE"/>
        </w:rPr>
        <w:t>Convención”.</w:t>
      </w:r>
    </w:p>
  </w:footnote>
  <w:footnote w:id="4">
    <w:p w14:paraId="7BE1DD4B" w14:textId="77777777" w:rsidR="00281A45" w:rsidRPr="00570CD7" w:rsidRDefault="00281A45" w:rsidP="00570CD7">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En adelante, “la Declaración Americana” o “la Declaración”. </w:t>
      </w:r>
    </w:p>
  </w:footnote>
  <w:footnote w:id="5">
    <w:p w14:paraId="0DB80EAC" w14:textId="5CFBE756" w:rsidR="00992A89" w:rsidRPr="00570CD7" w:rsidRDefault="00992A89" w:rsidP="00570CD7">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00676625" w:rsidRPr="00570CD7">
        <w:rPr>
          <w:rFonts w:ascii="Cambria" w:hAnsi="Cambria"/>
          <w:sz w:val="16"/>
          <w:szCs w:val="16"/>
          <w:lang w:val="es-VE"/>
        </w:rPr>
        <w:t xml:space="preserve"> </w:t>
      </w:r>
      <w:r w:rsidRPr="00570CD7">
        <w:rPr>
          <w:rFonts w:ascii="Cambria" w:hAnsi="Cambria"/>
          <w:sz w:val="16"/>
          <w:szCs w:val="16"/>
          <w:lang w:val="es-VE"/>
        </w:rPr>
        <w:t>Pacto Internacional de Derechos Civiles y Políticos</w:t>
      </w:r>
      <w:r w:rsidR="00676625" w:rsidRPr="00570CD7">
        <w:rPr>
          <w:rFonts w:ascii="Cambria" w:hAnsi="Cambria"/>
          <w:sz w:val="16"/>
          <w:szCs w:val="16"/>
          <w:lang w:val="es-VE"/>
        </w:rPr>
        <w:t>,</w:t>
      </w:r>
      <w:r w:rsidRPr="00570CD7">
        <w:rPr>
          <w:rFonts w:ascii="Cambria" w:hAnsi="Cambria"/>
          <w:sz w:val="16"/>
          <w:szCs w:val="16"/>
          <w:lang w:val="es-VE"/>
        </w:rPr>
        <w:t xml:space="preserve"> Pacto Internacional de Derechos Económicos, Sociales y Culturales</w:t>
      </w:r>
      <w:r w:rsidR="00676625" w:rsidRPr="00570CD7">
        <w:rPr>
          <w:rFonts w:ascii="Cambria" w:hAnsi="Cambria"/>
          <w:sz w:val="16"/>
          <w:szCs w:val="16"/>
          <w:lang w:val="es-VE"/>
        </w:rPr>
        <w:t>, Convención Interamericana para Prevenir, Sancionar y Erradicar la Violencia contra la Mujer y Convención de Viena sobre el Derecho de los Tratados</w:t>
      </w:r>
      <w:r w:rsidRPr="00570CD7">
        <w:rPr>
          <w:rFonts w:ascii="Cambria" w:hAnsi="Cambria"/>
          <w:sz w:val="16"/>
          <w:szCs w:val="16"/>
          <w:lang w:val="es-VE"/>
        </w:rPr>
        <w:t xml:space="preserve">. </w:t>
      </w:r>
    </w:p>
  </w:footnote>
  <w:footnote w:id="6">
    <w:p w14:paraId="64CFC33C" w14:textId="77777777" w:rsidR="00E10040" w:rsidRPr="00570CD7" w:rsidRDefault="00E10040" w:rsidP="00570CD7">
      <w:pPr>
        <w:pStyle w:val="FootnoteText"/>
        <w:ind w:firstLine="720"/>
        <w:jc w:val="both"/>
        <w:rPr>
          <w:rFonts w:ascii="Cambria" w:hAnsi="Cambria"/>
          <w:sz w:val="16"/>
          <w:szCs w:val="16"/>
          <w:lang w:val="es-ES"/>
        </w:rPr>
      </w:pPr>
      <w:r w:rsidRPr="00570CD7">
        <w:rPr>
          <w:rStyle w:val="FootnoteReference"/>
          <w:rFonts w:ascii="Cambria" w:hAnsi="Cambria"/>
          <w:sz w:val="16"/>
          <w:szCs w:val="16"/>
        </w:rPr>
        <w:footnoteRef/>
      </w:r>
      <w:r w:rsidRPr="00570CD7">
        <w:rPr>
          <w:rFonts w:ascii="Cambria" w:hAnsi="Cambria"/>
          <w:sz w:val="16"/>
          <w:szCs w:val="16"/>
          <w:lang w:val="es-ES"/>
        </w:rPr>
        <w:t xml:space="preserve"> Las observaciones de cada parte fueron debidamente trasladadas a la parte contraria.</w:t>
      </w:r>
    </w:p>
  </w:footnote>
  <w:footnote w:id="7">
    <w:p w14:paraId="3B18C4D2" w14:textId="12C76D2D" w:rsidR="00095433" w:rsidRPr="00570CD7" w:rsidRDefault="00095433" w:rsidP="00570CD7">
      <w:pPr>
        <w:pStyle w:val="FootnoteText"/>
        <w:ind w:firstLine="720"/>
        <w:jc w:val="both"/>
        <w:rPr>
          <w:rFonts w:ascii="Cambria" w:hAnsi="Cambria"/>
          <w:sz w:val="16"/>
          <w:szCs w:val="16"/>
          <w:lang w:val="es-ES_tradnl"/>
        </w:rPr>
      </w:pPr>
      <w:r w:rsidRPr="00570CD7">
        <w:rPr>
          <w:rStyle w:val="FootnoteReference"/>
          <w:rFonts w:ascii="Cambria" w:hAnsi="Cambria"/>
          <w:sz w:val="16"/>
          <w:szCs w:val="16"/>
        </w:rPr>
        <w:footnoteRef/>
      </w:r>
      <w:r w:rsidRPr="00570CD7">
        <w:rPr>
          <w:rFonts w:ascii="Cambria" w:hAnsi="Cambria"/>
          <w:sz w:val="16"/>
          <w:szCs w:val="16"/>
          <w:lang w:val="es-ES"/>
        </w:rPr>
        <w:t xml:space="preserve"> CIDH, Informe No. 78/16, Petición 1170-09. Admisibilidad. </w:t>
      </w:r>
      <w:r w:rsidRPr="00570CD7">
        <w:rPr>
          <w:rFonts w:ascii="Cambria" w:hAnsi="Cambria"/>
          <w:sz w:val="16"/>
          <w:szCs w:val="16"/>
          <w:lang w:val="pt-BR"/>
        </w:rPr>
        <w:t xml:space="preserve">Almir Muniz Da Silva. Brasil. </w:t>
      </w:r>
      <w:r w:rsidRPr="00570CD7">
        <w:rPr>
          <w:rFonts w:ascii="Cambria" w:hAnsi="Cambria"/>
          <w:sz w:val="16"/>
          <w:szCs w:val="16"/>
          <w:lang w:val="es-ES"/>
        </w:rPr>
        <w:t>30 de diciembre de 2016, párr. 31.</w:t>
      </w:r>
    </w:p>
  </w:footnote>
  <w:footnote w:id="8">
    <w:p w14:paraId="73A1CD7D" w14:textId="77777777" w:rsidR="0029682E" w:rsidRPr="00570CD7" w:rsidRDefault="0029682E" w:rsidP="00570CD7">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CIDH, Informe No. 59/18. Admisibilidad. Tatiana Marisa Barrı́a Mardones e hija. </w:t>
      </w:r>
      <w:r w:rsidRPr="00570CD7">
        <w:rPr>
          <w:rFonts w:ascii="Cambria" w:hAnsi="Cambria"/>
          <w:sz w:val="16"/>
          <w:szCs w:val="16"/>
          <w:lang w:val="es-US"/>
        </w:rPr>
        <w:t>Chile. 5 de mayo de 2018, párr. 10.</w:t>
      </w:r>
    </w:p>
  </w:footnote>
  <w:footnote w:id="9">
    <w:p w14:paraId="0E816EF8" w14:textId="79A4517C" w:rsidR="006624CA" w:rsidRPr="00570CD7" w:rsidRDefault="006624CA" w:rsidP="00570CD7">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CIDH, Informe No. 71/17, Petición 271-07. Admisibilidad. Jorge Luis de la Rosa Mejía y otros. Colombia. 29 de junio de 2017, párr. 48.</w:t>
      </w:r>
    </w:p>
  </w:footnote>
  <w:footnote w:id="10">
    <w:p w14:paraId="6CAFC5F1" w14:textId="77777777" w:rsidR="00B50534" w:rsidRPr="00570CD7" w:rsidRDefault="00B50534" w:rsidP="00B50534">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Corte IDH. Caso Guachalá Chimbo y otros Vs. Ecuador. Fondo, Reparaciones y Costas. Sentencia de 26 de marzo de 2021. Serie C No. 423, párr. 200.</w:t>
      </w:r>
    </w:p>
  </w:footnote>
  <w:footnote w:id="11">
    <w:p w14:paraId="2E49B2F3" w14:textId="77777777" w:rsidR="00B50534" w:rsidRPr="00570CD7" w:rsidRDefault="00B50534" w:rsidP="00B50534">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Corte IDH. Caso Vicky Hernández y otras Vs. Honduras. Fondo, Reparaciones y Costas. Sentencia de 26 de marzo de 2021. Serie C No. 42, párr. 106.</w:t>
      </w:r>
    </w:p>
  </w:footnote>
  <w:footnote w:id="12">
    <w:p w14:paraId="5C62EC9E" w14:textId="77777777" w:rsidR="00B50534" w:rsidRPr="00570CD7" w:rsidRDefault="00B50534" w:rsidP="00B50534">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CIDH, Informe No. 187/21. Petición 457-13. Admisibilidad. Gemma Mávil Hernández y familiares. </w:t>
      </w:r>
      <w:r w:rsidRPr="00B50534">
        <w:rPr>
          <w:rFonts w:ascii="Cambria" w:hAnsi="Cambria"/>
          <w:sz w:val="16"/>
          <w:szCs w:val="16"/>
          <w:lang w:val="es-VE"/>
        </w:rPr>
        <w:t xml:space="preserve">México. 30 de agosto de 2021, párr. 20; y </w:t>
      </w:r>
      <w:r w:rsidRPr="00570CD7">
        <w:rPr>
          <w:rFonts w:ascii="Cambria" w:hAnsi="Cambria"/>
          <w:sz w:val="16"/>
          <w:szCs w:val="16"/>
          <w:lang w:val="es-VE"/>
        </w:rPr>
        <w:t>Corte IDH. Caso Velásquez Paiz y otros Vs. Guatemala. Excepciones Preliminares, Fondo, Reparaciones y Costas. Sentencia de 19 de noviembre de 2015. Serie C No. 307, párr. 145.</w:t>
      </w:r>
    </w:p>
  </w:footnote>
  <w:footnote w:id="13">
    <w:p w14:paraId="5A1C4928" w14:textId="77777777" w:rsidR="00B50534" w:rsidRPr="00570CD7" w:rsidRDefault="00B50534" w:rsidP="00B50534">
      <w:pPr>
        <w:pStyle w:val="FootnoteText"/>
        <w:ind w:firstLine="720"/>
        <w:jc w:val="both"/>
        <w:rPr>
          <w:rFonts w:ascii="Cambria" w:hAnsi="Cambria"/>
          <w:sz w:val="16"/>
          <w:szCs w:val="16"/>
          <w:lang w:val="es-VE"/>
        </w:rPr>
      </w:pPr>
      <w:r w:rsidRPr="00570CD7">
        <w:rPr>
          <w:rStyle w:val="FootnoteReference"/>
          <w:rFonts w:ascii="Cambria" w:hAnsi="Cambria"/>
          <w:sz w:val="16"/>
          <w:szCs w:val="16"/>
        </w:rPr>
        <w:footnoteRef/>
      </w:r>
      <w:r w:rsidRPr="00570CD7">
        <w:rPr>
          <w:rFonts w:ascii="Cambria" w:hAnsi="Cambria"/>
          <w:sz w:val="16"/>
          <w:szCs w:val="16"/>
          <w:lang w:val="es-VE"/>
        </w:rPr>
        <w:t xml:space="preserve"> CIDH, Informe No. 187/21. Petición 457-13. Admisibilidad. Gemma Mávil Hernández y familiares. </w:t>
      </w:r>
      <w:r w:rsidRPr="00B50534">
        <w:rPr>
          <w:rFonts w:ascii="Cambria" w:hAnsi="Cambria"/>
          <w:sz w:val="16"/>
          <w:szCs w:val="16"/>
          <w:lang w:val="es-VE"/>
        </w:rPr>
        <w:t xml:space="preserve">México. 30 de agosto de 2021, párr. 20; y </w:t>
      </w:r>
      <w:r w:rsidRPr="00570CD7">
        <w:rPr>
          <w:rFonts w:ascii="Cambria" w:hAnsi="Cambria"/>
          <w:sz w:val="16"/>
          <w:szCs w:val="16"/>
          <w:lang w:val="es-VE"/>
        </w:rPr>
        <w:t>Corte IDH. Caso Velásquez Paiz y otros Vs. Guatemala. Excepciones Preliminares, Fondo, Reparaciones y Costas. Sentencia de 19 de noviembre de 2015. Serie C No. 307, párr. 146.</w:t>
      </w:r>
    </w:p>
  </w:footnote>
  <w:footnote w:id="14">
    <w:p w14:paraId="0B0D3C0B" w14:textId="0BE0EDFB" w:rsidR="004970FF" w:rsidRPr="00570CD7" w:rsidRDefault="004970FF" w:rsidP="00570CD7">
      <w:pPr>
        <w:pStyle w:val="FootnoteText"/>
        <w:ind w:firstLine="720"/>
        <w:jc w:val="both"/>
        <w:rPr>
          <w:rFonts w:ascii="Cambria" w:hAnsi="Cambria"/>
          <w:sz w:val="16"/>
          <w:szCs w:val="16"/>
          <w:lang w:val="es-ES"/>
        </w:rPr>
      </w:pPr>
      <w:r w:rsidRPr="00570CD7">
        <w:rPr>
          <w:rStyle w:val="FootnoteReference"/>
          <w:rFonts w:ascii="Cambria" w:hAnsi="Cambria"/>
          <w:sz w:val="16"/>
          <w:szCs w:val="16"/>
        </w:rPr>
        <w:footnoteRef/>
      </w:r>
      <w:r w:rsidRPr="00570CD7">
        <w:rPr>
          <w:rFonts w:ascii="Cambria" w:hAnsi="Cambria"/>
          <w:sz w:val="16"/>
          <w:szCs w:val="16"/>
          <w:lang w:val="es-ES"/>
        </w:rPr>
        <w:t xml:space="preserve"> CIDH, Informe No. 180/18. Petición 1616-07. Admisibilidad. A.G.A. y familiares. Colombia. 26 de diciembre de 2018, párr. 17.</w:t>
      </w:r>
    </w:p>
  </w:footnote>
  <w:footnote w:id="15">
    <w:p w14:paraId="3DC88427" w14:textId="4F1677F8" w:rsidR="004970FF" w:rsidRPr="00570CD7" w:rsidRDefault="004970FF" w:rsidP="00570CD7">
      <w:pPr>
        <w:pStyle w:val="FootnoteText"/>
        <w:ind w:firstLine="720"/>
        <w:jc w:val="both"/>
        <w:rPr>
          <w:rFonts w:ascii="Cambria" w:hAnsi="Cambria"/>
          <w:sz w:val="16"/>
          <w:szCs w:val="16"/>
          <w:lang w:val="es-ES"/>
        </w:rPr>
      </w:pPr>
      <w:r w:rsidRPr="00570CD7">
        <w:rPr>
          <w:rStyle w:val="FootnoteReference"/>
          <w:rFonts w:ascii="Cambria" w:hAnsi="Cambria"/>
          <w:sz w:val="16"/>
          <w:szCs w:val="16"/>
        </w:rPr>
        <w:footnoteRef/>
      </w:r>
      <w:r w:rsidRPr="00570CD7">
        <w:rPr>
          <w:rFonts w:ascii="Cambria" w:hAnsi="Cambria"/>
          <w:sz w:val="16"/>
          <w:szCs w:val="16"/>
          <w:lang w:val="es-ES"/>
        </w:rPr>
        <w:t xml:space="preserve"> CIDH, Informe No. 76/19. Admisibilidad. Hugo Eduardo Ibarbuden. Argentina. 21 de mayo de 2019, párr. 12.</w:t>
      </w:r>
    </w:p>
  </w:footnote>
  <w:footnote w:id="16">
    <w:p w14:paraId="50829885" w14:textId="0D8966D8" w:rsidR="004970FF" w:rsidRPr="00570CD7" w:rsidRDefault="004970FF" w:rsidP="00570CD7">
      <w:pPr>
        <w:pStyle w:val="FootnoteText"/>
        <w:ind w:firstLine="720"/>
        <w:jc w:val="both"/>
        <w:rPr>
          <w:rFonts w:ascii="Cambria" w:hAnsi="Cambria"/>
          <w:sz w:val="16"/>
          <w:szCs w:val="16"/>
          <w:lang w:val="es-ES"/>
        </w:rPr>
      </w:pPr>
      <w:r w:rsidRPr="00570CD7">
        <w:rPr>
          <w:rStyle w:val="FootnoteReference"/>
          <w:rFonts w:ascii="Cambria" w:hAnsi="Cambria"/>
          <w:sz w:val="16"/>
          <w:szCs w:val="16"/>
        </w:rPr>
        <w:footnoteRef/>
      </w:r>
      <w:r w:rsidRPr="00570CD7">
        <w:rPr>
          <w:rFonts w:ascii="Cambria" w:hAnsi="Cambria"/>
          <w:sz w:val="16"/>
          <w:szCs w:val="16"/>
          <w:lang w:val="es-ES"/>
        </w:rPr>
        <w:t xml:space="preserve"> El artículo 12 de la Convención de Belén Do Pará establece: Cualquier persona o grupo de personas, o entidad no gubernamental legalmente reconocida en uno o más Estados miembros de la Organización, puede presentar a la Comisión Interamericana de Derechos Humanos peticiones que contengan denuncias o quejas de violación del artículo 7 de la presente Convención por un Estado Parte, y la Comisión las considerará de acuerdo con las normas y los requisitos de procedimiento para la presentación y consideración de peticiones estipulados en la Convención Americana sobre Derechos Humanos y en el Estatuto y el Reglamento de la Comisión Interamericana de Derechos Humanos.</w:t>
      </w:r>
    </w:p>
  </w:footnote>
  <w:footnote w:id="17">
    <w:p w14:paraId="3D2203AD" w14:textId="6B3B1EF8" w:rsidR="004970FF" w:rsidRPr="00570CD7" w:rsidRDefault="004970FF" w:rsidP="00570CD7">
      <w:pPr>
        <w:pStyle w:val="FootnoteText"/>
        <w:ind w:firstLine="720"/>
        <w:jc w:val="both"/>
        <w:rPr>
          <w:rFonts w:ascii="Cambria" w:hAnsi="Cambria"/>
          <w:sz w:val="16"/>
          <w:szCs w:val="16"/>
          <w:lang w:val="es-ES"/>
        </w:rPr>
      </w:pPr>
      <w:r w:rsidRPr="00570CD7">
        <w:rPr>
          <w:rStyle w:val="FootnoteReference"/>
          <w:rFonts w:ascii="Cambria" w:hAnsi="Cambria"/>
          <w:sz w:val="16"/>
          <w:szCs w:val="16"/>
        </w:rPr>
        <w:footnoteRef/>
      </w:r>
      <w:r w:rsidRPr="00570CD7">
        <w:rPr>
          <w:rFonts w:ascii="Cambria" w:hAnsi="Cambria"/>
          <w:sz w:val="16"/>
          <w:szCs w:val="16"/>
          <w:lang w:val="es-ES"/>
        </w:rPr>
        <w:t xml:space="preserve"> CIDH, Informe No. 174/17, Petición 831-11. Admisibilidad. Hester Suzanne Van Nierop y familia. México. 30 de diciembre de 2017, párr. 11. </w:t>
      </w:r>
    </w:p>
  </w:footnote>
  <w:footnote w:id="18">
    <w:p w14:paraId="7DCDDDC4" w14:textId="561FFA44" w:rsidR="004970FF" w:rsidRPr="00570CD7" w:rsidRDefault="004970FF" w:rsidP="00570CD7">
      <w:pPr>
        <w:pStyle w:val="FootnoteText"/>
        <w:ind w:firstLine="720"/>
        <w:jc w:val="both"/>
        <w:rPr>
          <w:rFonts w:ascii="Cambria" w:hAnsi="Cambria"/>
          <w:sz w:val="16"/>
          <w:szCs w:val="16"/>
          <w:lang w:val="es-ES"/>
        </w:rPr>
      </w:pPr>
      <w:r w:rsidRPr="00570CD7">
        <w:rPr>
          <w:rStyle w:val="FootnoteReference"/>
          <w:rFonts w:ascii="Cambria" w:hAnsi="Cambria"/>
          <w:sz w:val="16"/>
          <w:szCs w:val="16"/>
        </w:rPr>
        <w:footnoteRef/>
      </w:r>
      <w:r w:rsidRPr="00570CD7">
        <w:rPr>
          <w:rFonts w:ascii="Cambria" w:hAnsi="Cambria"/>
          <w:sz w:val="16"/>
          <w:szCs w:val="16"/>
          <w:lang w:val="es-ES"/>
        </w:rPr>
        <w:t xml:space="preserve"> CIDH, Informe No. 111/17. Petición 883-07. Admisibilidad. Rosario Bedoya Becerra. Colombia. 7 de septiembre de 2017,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E10040" w:rsidRDefault="00E10040" w:rsidP="00545F1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E10040" w:rsidRDefault="00E10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E10040" w:rsidRDefault="00E10040" w:rsidP="00545F14">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E10040" w:rsidRPr="00EC7D62" w:rsidRDefault="002907AE" w:rsidP="00545F14">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D2261"/>
    <w:multiLevelType w:val="hybridMultilevel"/>
    <w:tmpl w:val="BB8804B2"/>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F75AD"/>
    <w:multiLevelType w:val="hybridMultilevel"/>
    <w:tmpl w:val="C560B0A6"/>
    <w:lvl w:ilvl="0" w:tplc="6E0EAAC0">
      <w:start w:val="1"/>
      <w:numFmt w:val="decimal"/>
      <w:lvlText w:val="%1."/>
      <w:lvlJc w:val="left"/>
      <w:pPr>
        <w:ind w:left="720" w:hanging="360"/>
      </w:pPr>
      <w:rPr>
        <w:b w:val="0"/>
        <w:bCs/>
        <w:sz w:val="20"/>
        <w:szCs w:val="20"/>
        <w:lang w:val="es-UY"/>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num w:numId="1" w16cid:durableId="1397776629">
    <w:abstractNumId w:val="6"/>
  </w:num>
  <w:num w:numId="2" w16cid:durableId="1674214047">
    <w:abstractNumId w:val="3"/>
  </w:num>
  <w:num w:numId="3" w16cid:durableId="1385061734">
    <w:abstractNumId w:val="2"/>
  </w:num>
  <w:num w:numId="4" w16cid:durableId="285359560">
    <w:abstractNumId w:val="5"/>
  </w:num>
  <w:num w:numId="5" w16cid:durableId="405297718">
    <w:abstractNumId w:val="7"/>
  </w:num>
  <w:num w:numId="6" w16cid:durableId="1224215547">
    <w:abstractNumId w:val="0"/>
  </w:num>
  <w:num w:numId="7" w16cid:durableId="511070383">
    <w:abstractNumId w:val="4"/>
  </w:num>
  <w:num w:numId="8" w16cid:durableId="513350202">
    <w:abstractNumId w:val="8"/>
  </w:num>
  <w:num w:numId="9" w16cid:durableId="197174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DWysDQwMzU1MrRU0lEKTi0uzszPAykwrgUAabf/4CwAAAA="/>
  </w:docVars>
  <w:rsids>
    <w:rsidRoot w:val="00E10040"/>
    <w:rsid w:val="000366BA"/>
    <w:rsid w:val="00075DF6"/>
    <w:rsid w:val="000857C6"/>
    <w:rsid w:val="00095433"/>
    <w:rsid w:val="000D0888"/>
    <w:rsid w:val="000D6625"/>
    <w:rsid w:val="001070A7"/>
    <w:rsid w:val="001161BC"/>
    <w:rsid w:val="00117BEA"/>
    <w:rsid w:val="00143083"/>
    <w:rsid w:val="001451D8"/>
    <w:rsid w:val="00173AF8"/>
    <w:rsid w:val="001849B7"/>
    <w:rsid w:val="00197A5B"/>
    <w:rsid w:val="001A2897"/>
    <w:rsid w:val="001A7338"/>
    <w:rsid w:val="001B3D91"/>
    <w:rsid w:val="001C2805"/>
    <w:rsid w:val="001C3B14"/>
    <w:rsid w:val="001F69B9"/>
    <w:rsid w:val="00216C14"/>
    <w:rsid w:val="00244EFB"/>
    <w:rsid w:val="00245A41"/>
    <w:rsid w:val="0025708C"/>
    <w:rsid w:val="002770D0"/>
    <w:rsid w:val="00281A45"/>
    <w:rsid w:val="002849D9"/>
    <w:rsid w:val="002907AE"/>
    <w:rsid w:val="0029682E"/>
    <w:rsid w:val="002A6625"/>
    <w:rsid w:val="002C52FD"/>
    <w:rsid w:val="002D18E6"/>
    <w:rsid w:val="002D7EDE"/>
    <w:rsid w:val="002E7BD1"/>
    <w:rsid w:val="002F4AC3"/>
    <w:rsid w:val="00307D3A"/>
    <w:rsid w:val="0031053E"/>
    <w:rsid w:val="00313BC5"/>
    <w:rsid w:val="003237F0"/>
    <w:rsid w:val="003344A8"/>
    <w:rsid w:val="0033757F"/>
    <w:rsid w:val="00342CB9"/>
    <w:rsid w:val="00350D12"/>
    <w:rsid w:val="003702D3"/>
    <w:rsid w:val="003866A4"/>
    <w:rsid w:val="003B6086"/>
    <w:rsid w:val="003C6C7E"/>
    <w:rsid w:val="003C6DA5"/>
    <w:rsid w:val="003D03D3"/>
    <w:rsid w:val="003E2156"/>
    <w:rsid w:val="003F1928"/>
    <w:rsid w:val="003F2492"/>
    <w:rsid w:val="003F2520"/>
    <w:rsid w:val="004206C8"/>
    <w:rsid w:val="00427873"/>
    <w:rsid w:val="004434DB"/>
    <w:rsid w:val="0044413A"/>
    <w:rsid w:val="004458B7"/>
    <w:rsid w:val="00474F18"/>
    <w:rsid w:val="0048461D"/>
    <w:rsid w:val="00490BDA"/>
    <w:rsid w:val="004970FF"/>
    <w:rsid w:val="004B4824"/>
    <w:rsid w:val="004B73D4"/>
    <w:rsid w:val="004D0E36"/>
    <w:rsid w:val="004D4C3D"/>
    <w:rsid w:val="004F3CA0"/>
    <w:rsid w:val="00501528"/>
    <w:rsid w:val="0050457A"/>
    <w:rsid w:val="00512FF3"/>
    <w:rsid w:val="00526710"/>
    <w:rsid w:val="00541290"/>
    <w:rsid w:val="00545F14"/>
    <w:rsid w:val="00554CA8"/>
    <w:rsid w:val="00570CD7"/>
    <w:rsid w:val="0058094D"/>
    <w:rsid w:val="005836AE"/>
    <w:rsid w:val="00584605"/>
    <w:rsid w:val="005907E4"/>
    <w:rsid w:val="005A5720"/>
    <w:rsid w:val="005B542D"/>
    <w:rsid w:val="005C083F"/>
    <w:rsid w:val="005C2221"/>
    <w:rsid w:val="005E0388"/>
    <w:rsid w:val="005F6FA4"/>
    <w:rsid w:val="006155DC"/>
    <w:rsid w:val="006410CF"/>
    <w:rsid w:val="006533B0"/>
    <w:rsid w:val="00661FCF"/>
    <w:rsid w:val="006624CA"/>
    <w:rsid w:val="006629B7"/>
    <w:rsid w:val="00670800"/>
    <w:rsid w:val="00671788"/>
    <w:rsid w:val="0067235A"/>
    <w:rsid w:val="00674E55"/>
    <w:rsid w:val="00676145"/>
    <w:rsid w:val="00676625"/>
    <w:rsid w:val="006A6369"/>
    <w:rsid w:val="006B25A6"/>
    <w:rsid w:val="006D5F34"/>
    <w:rsid w:val="006E0315"/>
    <w:rsid w:val="006E2802"/>
    <w:rsid w:val="00702EEB"/>
    <w:rsid w:val="0071626F"/>
    <w:rsid w:val="00720D04"/>
    <w:rsid w:val="00726E78"/>
    <w:rsid w:val="00727291"/>
    <w:rsid w:val="00732165"/>
    <w:rsid w:val="00732C76"/>
    <w:rsid w:val="007464B8"/>
    <w:rsid w:val="007502D2"/>
    <w:rsid w:val="007543A1"/>
    <w:rsid w:val="00762A7D"/>
    <w:rsid w:val="00771B5C"/>
    <w:rsid w:val="0077369D"/>
    <w:rsid w:val="00777ACB"/>
    <w:rsid w:val="007A3EBF"/>
    <w:rsid w:val="007B615D"/>
    <w:rsid w:val="007B6D25"/>
    <w:rsid w:val="007C6550"/>
    <w:rsid w:val="007D0A69"/>
    <w:rsid w:val="007E55FC"/>
    <w:rsid w:val="00811964"/>
    <w:rsid w:val="00815CD4"/>
    <w:rsid w:val="00823F16"/>
    <w:rsid w:val="00830777"/>
    <w:rsid w:val="00832A6A"/>
    <w:rsid w:val="00835E5A"/>
    <w:rsid w:val="00836E86"/>
    <w:rsid w:val="008410BF"/>
    <w:rsid w:val="00844AF5"/>
    <w:rsid w:val="00847466"/>
    <w:rsid w:val="00854A2E"/>
    <w:rsid w:val="00862380"/>
    <w:rsid w:val="00862898"/>
    <w:rsid w:val="0087417B"/>
    <w:rsid w:val="008A1F83"/>
    <w:rsid w:val="008A30DF"/>
    <w:rsid w:val="008C0B94"/>
    <w:rsid w:val="008C4E76"/>
    <w:rsid w:val="008D7DFD"/>
    <w:rsid w:val="008E6DEA"/>
    <w:rsid w:val="008F027F"/>
    <w:rsid w:val="008F35B8"/>
    <w:rsid w:val="008F79AF"/>
    <w:rsid w:val="00901790"/>
    <w:rsid w:val="00922365"/>
    <w:rsid w:val="009405FC"/>
    <w:rsid w:val="009518F0"/>
    <w:rsid w:val="009609EA"/>
    <w:rsid w:val="00960BA0"/>
    <w:rsid w:val="00964528"/>
    <w:rsid w:val="00967559"/>
    <w:rsid w:val="00992A89"/>
    <w:rsid w:val="0099655C"/>
    <w:rsid w:val="009A1578"/>
    <w:rsid w:val="009A55DE"/>
    <w:rsid w:val="009B39F1"/>
    <w:rsid w:val="009C2E2A"/>
    <w:rsid w:val="009E0C17"/>
    <w:rsid w:val="009F41C3"/>
    <w:rsid w:val="00A06660"/>
    <w:rsid w:val="00A23613"/>
    <w:rsid w:val="00A25F52"/>
    <w:rsid w:val="00A34074"/>
    <w:rsid w:val="00A436A4"/>
    <w:rsid w:val="00A438E4"/>
    <w:rsid w:val="00A56CDB"/>
    <w:rsid w:val="00A8229F"/>
    <w:rsid w:val="00AA0648"/>
    <w:rsid w:val="00AA2174"/>
    <w:rsid w:val="00AC49B9"/>
    <w:rsid w:val="00AF1867"/>
    <w:rsid w:val="00B004F1"/>
    <w:rsid w:val="00B05E6A"/>
    <w:rsid w:val="00B10CEA"/>
    <w:rsid w:val="00B170C0"/>
    <w:rsid w:val="00B2298F"/>
    <w:rsid w:val="00B23FAF"/>
    <w:rsid w:val="00B34F43"/>
    <w:rsid w:val="00B47DB4"/>
    <w:rsid w:val="00B50534"/>
    <w:rsid w:val="00B879A5"/>
    <w:rsid w:val="00B9238B"/>
    <w:rsid w:val="00BA32AB"/>
    <w:rsid w:val="00BD1913"/>
    <w:rsid w:val="00BE7254"/>
    <w:rsid w:val="00BF312F"/>
    <w:rsid w:val="00C118C1"/>
    <w:rsid w:val="00C20183"/>
    <w:rsid w:val="00C35BD5"/>
    <w:rsid w:val="00C5128A"/>
    <w:rsid w:val="00C560E3"/>
    <w:rsid w:val="00C773A5"/>
    <w:rsid w:val="00C949DE"/>
    <w:rsid w:val="00CA3B55"/>
    <w:rsid w:val="00CB3A6C"/>
    <w:rsid w:val="00CB6AFE"/>
    <w:rsid w:val="00CF4652"/>
    <w:rsid w:val="00CF4998"/>
    <w:rsid w:val="00D10670"/>
    <w:rsid w:val="00D12AE5"/>
    <w:rsid w:val="00D2120F"/>
    <w:rsid w:val="00D278A3"/>
    <w:rsid w:val="00D34009"/>
    <w:rsid w:val="00D410C8"/>
    <w:rsid w:val="00D72980"/>
    <w:rsid w:val="00D80EDF"/>
    <w:rsid w:val="00D877B1"/>
    <w:rsid w:val="00DA4031"/>
    <w:rsid w:val="00DC38C1"/>
    <w:rsid w:val="00DD1851"/>
    <w:rsid w:val="00DD5BFA"/>
    <w:rsid w:val="00DD7BEE"/>
    <w:rsid w:val="00DE2C22"/>
    <w:rsid w:val="00DE457F"/>
    <w:rsid w:val="00DF2BCF"/>
    <w:rsid w:val="00DF4174"/>
    <w:rsid w:val="00DF4F93"/>
    <w:rsid w:val="00DF7C89"/>
    <w:rsid w:val="00E10040"/>
    <w:rsid w:val="00E150E9"/>
    <w:rsid w:val="00E21F0B"/>
    <w:rsid w:val="00E23227"/>
    <w:rsid w:val="00E65D2E"/>
    <w:rsid w:val="00E82E87"/>
    <w:rsid w:val="00E852C4"/>
    <w:rsid w:val="00E90A23"/>
    <w:rsid w:val="00EA2278"/>
    <w:rsid w:val="00EA3277"/>
    <w:rsid w:val="00EA39DE"/>
    <w:rsid w:val="00EB21F5"/>
    <w:rsid w:val="00EC2A26"/>
    <w:rsid w:val="00EC2AAB"/>
    <w:rsid w:val="00ED338A"/>
    <w:rsid w:val="00ED764E"/>
    <w:rsid w:val="00EE25E9"/>
    <w:rsid w:val="00EF00E9"/>
    <w:rsid w:val="00F00B9C"/>
    <w:rsid w:val="00F2441B"/>
    <w:rsid w:val="00F3571B"/>
    <w:rsid w:val="00F533C4"/>
    <w:rsid w:val="00F667B8"/>
    <w:rsid w:val="00F70EE3"/>
    <w:rsid w:val="00F75E9D"/>
    <w:rsid w:val="00F9200B"/>
    <w:rsid w:val="00F97845"/>
    <w:rsid w:val="00FA139C"/>
    <w:rsid w:val="00FA5C8D"/>
    <w:rsid w:val="00FB0208"/>
    <w:rsid w:val="00FC2E85"/>
    <w:rsid w:val="00FC6262"/>
    <w:rsid w:val="00FE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8">
    <w:name w:val="List 8"/>
    <w:basedOn w:val="NoList"/>
    <w:rsid w:val="005C083F"/>
    <w:pPr>
      <w:numPr>
        <w:numId w:val="8"/>
      </w:numPr>
    </w:pPr>
  </w:style>
  <w:style w:type="character" w:styleId="CommentReference">
    <w:name w:val="annotation reference"/>
    <w:basedOn w:val="DefaultParagraphFont"/>
    <w:uiPriority w:val="99"/>
    <w:semiHidden/>
    <w:unhideWhenUsed/>
    <w:rsid w:val="009518F0"/>
    <w:rPr>
      <w:sz w:val="16"/>
      <w:szCs w:val="16"/>
    </w:rPr>
  </w:style>
  <w:style w:type="paragraph" w:styleId="CommentText">
    <w:name w:val="annotation text"/>
    <w:basedOn w:val="Normal"/>
    <w:link w:val="CommentTextChar"/>
    <w:uiPriority w:val="99"/>
    <w:semiHidden/>
    <w:unhideWhenUsed/>
    <w:rsid w:val="009518F0"/>
    <w:rPr>
      <w:sz w:val="20"/>
      <w:szCs w:val="20"/>
    </w:rPr>
  </w:style>
  <w:style w:type="character" w:customStyle="1" w:styleId="CommentTextChar">
    <w:name w:val="Comment Text Char"/>
    <w:basedOn w:val="DefaultParagraphFont"/>
    <w:link w:val="CommentText"/>
    <w:uiPriority w:val="99"/>
    <w:semiHidden/>
    <w:rsid w:val="009518F0"/>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9518F0"/>
    <w:rPr>
      <w:b/>
      <w:bCs/>
    </w:rPr>
  </w:style>
  <w:style w:type="character" w:customStyle="1" w:styleId="CommentSubjectChar">
    <w:name w:val="Comment Subject Char"/>
    <w:basedOn w:val="CommentTextChar"/>
    <w:link w:val="CommentSubject"/>
    <w:uiPriority w:val="99"/>
    <w:semiHidden/>
    <w:rsid w:val="009518F0"/>
    <w:rPr>
      <w:rFonts w:ascii="Times New Roman" w:eastAsia="Arial Unicode MS" w:hAnsi="Times New Roman" w:cs="Times New Roman"/>
      <w:b/>
      <w:bCs/>
      <w:sz w:val="20"/>
      <w:szCs w:val="20"/>
      <w:bdr w:val="nil"/>
    </w:rPr>
  </w:style>
  <w:style w:type="paragraph" w:customStyle="1" w:styleId="Default">
    <w:name w:val="Default"/>
    <w:rsid w:val="00E90A23"/>
    <w:pPr>
      <w:autoSpaceDE w:val="0"/>
      <w:autoSpaceDN w:val="0"/>
      <w:adjustRightInd w:val="0"/>
      <w:spacing w:after="0" w:line="240" w:lineRule="auto"/>
    </w:pPr>
    <w:rPr>
      <w:rFonts w:ascii="Book Antiqua" w:hAnsi="Book Antiqua" w:cs="Book Antiqua"/>
      <w:color w:val="000000"/>
      <w:sz w:val="24"/>
      <w:szCs w:val="24"/>
    </w:rPr>
  </w:style>
  <w:style w:type="paragraph" w:customStyle="1" w:styleId="paragraph">
    <w:name w:val="paragraph"/>
    <w:basedOn w:val="Normal"/>
    <w:rsid w:val="00DA40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DA4031"/>
  </w:style>
  <w:style w:type="character" w:customStyle="1" w:styleId="eop">
    <w:name w:val="eop"/>
    <w:basedOn w:val="DefaultParagraphFont"/>
    <w:rsid w:val="00DA4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29703">
      <w:bodyDiv w:val="1"/>
      <w:marLeft w:val="0"/>
      <w:marRight w:val="0"/>
      <w:marTop w:val="0"/>
      <w:marBottom w:val="0"/>
      <w:divBdr>
        <w:top w:val="none" w:sz="0" w:space="0" w:color="auto"/>
        <w:left w:val="none" w:sz="0" w:space="0" w:color="auto"/>
        <w:bottom w:val="none" w:sz="0" w:space="0" w:color="auto"/>
        <w:right w:val="none" w:sz="0" w:space="0" w:color="auto"/>
      </w:divBdr>
      <w:divsChild>
        <w:div w:id="180820880">
          <w:marLeft w:val="0"/>
          <w:marRight w:val="0"/>
          <w:marTop w:val="0"/>
          <w:marBottom w:val="0"/>
          <w:divBdr>
            <w:top w:val="none" w:sz="0" w:space="0" w:color="auto"/>
            <w:left w:val="none" w:sz="0" w:space="0" w:color="auto"/>
            <w:bottom w:val="none" w:sz="0" w:space="0" w:color="auto"/>
            <w:right w:val="none" w:sz="0" w:space="0" w:color="auto"/>
          </w:divBdr>
          <w:divsChild>
            <w:div w:id="1444376512">
              <w:marLeft w:val="0"/>
              <w:marRight w:val="0"/>
              <w:marTop w:val="0"/>
              <w:marBottom w:val="0"/>
              <w:divBdr>
                <w:top w:val="none" w:sz="0" w:space="0" w:color="auto"/>
                <w:left w:val="none" w:sz="0" w:space="0" w:color="auto"/>
                <w:bottom w:val="none" w:sz="0" w:space="0" w:color="auto"/>
                <w:right w:val="none" w:sz="0" w:space="0" w:color="auto"/>
              </w:divBdr>
            </w:div>
            <w:div w:id="1426999348">
              <w:marLeft w:val="0"/>
              <w:marRight w:val="0"/>
              <w:marTop w:val="0"/>
              <w:marBottom w:val="0"/>
              <w:divBdr>
                <w:top w:val="none" w:sz="0" w:space="0" w:color="auto"/>
                <w:left w:val="none" w:sz="0" w:space="0" w:color="auto"/>
                <w:bottom w:val="none" w:sz="0" w:space="0" w:color="auto"/>
                <w:right w:val="none" w:sz="0" w:space="0" w:color="auto"/>
              </w:divBdr>
            </w:div>
          </w:divsChild>
        </w:div>
        <w:div w:id="2005083787">
          <w:marLeft w:val="0"/>
          <w:marRight w:val="0"/>
          <w:marTop w:val="0"/>
          <w:marBottom w:val="0"/>
          <w:divBdr>
            <w:top w:val="none" w:sz="0" w:space="0" w:color="auto"/>
            <w:left w:val="none" w:sz="0" w:space="0" w:color="auto"/>
            <w:bottom w:val="none" w:sz="0" w:space="0" w:color="auto"/>
            <w:right w:val="none" w:sz="0" w:space="0" w:color="auto"/>
          </w:divBdr>
          <w:divsChild>
            <w:div w:id="285702859">
              <w:marLeft w:val="0"/>
              <w:marRight w:val="0"/>
              <w:marTop w:val="0"/>
              <w:marBottom w:val="0"/>
              <w:divBdr>
                <w:top w:val="none" w:sz="0" w:space="0" w:color="auto"/>
                <w:left w:val="none" w:sz="0" w:space="0" w:color="auto"/>
                <w:bottom w:val="none" w:sz="0" w:space="0" w:color="auto"/>
                <w:right w:val="none" w:sz="0" w:space="0" w:color="auto"/>
              </w:divBdr>
              <w:divsChild>
                <w:div w:id="16337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7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115D83"/>
    <w:rsid w:val="003365BA"/>
    <w:rsid w:val="003C7367"/>
    <w:rsid w:val="00412704"/>
    <w:rsid w:val="00416690"/>
    <w:rsid w:val="004F3A5A"/>
    <w:rsid w:val="005966D2"/>
    <w:rsid w:val="005D6053"/>
    <w:rsid w:val="007405B1"/>
    <w:rsid w:val="00815B4E"/>
    <w:rsid w:val="008F3819"/>
    <w:rsid w:val="00A33617"/>
    <w:rsid w:val="00BB0A2A"/>
    <w:rsid w:val="00BC3540"/>
    <w:rsid w:val="00EC2350"/>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3888</Words>
  <Characters>22166</Characters>
  <Application>Microsoft Office Word</Application>
  <DocSecurity>0</DocSecurity>
  <Lines>184</Lines>
  <Paragraphs>52</Paragraphs>
  <ScaleCrop>false</ScaleCrop>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2022-10-11T14:18:00Z</dcterms:created>
  <dcterms:modified xsi:type="dcterms:W3CDTF">2022-10-11T14:18:00Z</dcterms:modified>
</cp:coreProperties>
</file>