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8BBE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2D366A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B746E">
                              <w:rPr>
                                <w:rFonts w:asciiTheme="majorHAnsi" w:hAnsiTheme="majorHAnsi" w:cs="Arial"/>
                                <w:b/>
                                <w:bCs/>
                                <w:color w:val="0D0D0D" w:themeColor="text1" w:themeTint="F2"/>
                                <w:sz w:val="36"/>
                                <w:szCs w:val="22"/>
                                <w:lang w:val="es-ES_tradnl"/>
                              </w:rPr>
                              <w:t>261</w:t>
                            </w:r>
                            <w:r w:rsidR="007B05C4">
                              <w:rPr>
                                <w:rFonts w:asciiTheme="majorHAnsi" w:hAnsiTheme="majorHAnsi" w:cs="Arial"/>
                                <w:b/>
                                <w:bCs/>
                                <w:color w:val="0D0D0D" w:themeColor="text1" w:themeTint="F2"/>
                                <w:sz w:val="36"/>
                                <w:szCs w:val="22"/>
                                <w:lang w:val="es-ES_tradnl"/>
                              </w:rPr>
                              <w:t>/</w:t>
                            </w:r>
                            <w:r w:rsidR="00AA305F">
                              <w:rPr>
                                <w:rFonts w:asciiTheme="majorHAnsi" w:hAnsiTheme="majorHAnsi" w:cs="Arial"/>
                                <w:b/>
                                <w:bCs/>
                                <w:color w:val="0D0D0D" w:themeColor="text1" w:themeTint="F2"/>
                                <w:sz w:val="36"/>
                                <w:szCs w:val="22"/>
                                <w:lang w:val="es-ES_tradnl"/>
                              </w:rPr>
                              <w:t>22</w:t>
                            </w:r>
                          </w:p>
                          <w:p w14:paraId="45F30ECA" w14:textId="4A551F1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01E9D">
                              <w:rPr>
                                <w:rFonts w:asciiTheme="majorHAnsi" w:hAnsiTheme="majorHAnsi" w:cs="Arial"/>
                                <w:b/>
                                <w:color w:val="0D0D0D" w:themeColor="text1" w:themeTint="F2"/>
                                <w:sz w:val="36"/>
                                <w:szCs w:val="22"/>
                                <w:lang w:val="es-ES_tradnl"/>
                              </w:rPr>
                              <w:t>597</w:t>
                            </w:r>
                            <w:r w:rsidR="00246D1F" w:rsidRPr="004E2649">
                              <w:rPr>
                                <w:rFonts w:asciiTheme="majorHAnsi" w:hAnsiTheme="majorHAnsi" w:cs="Arial"/>
                                <w:b/>
                                <w:color w:val="0D0D0D" w:themeColor="text1" w:themeTint="F2"/>
                                <w:sz w:val="36"/>
                                <w:szCs w:val="22"/>
                                <w:lang w:val="es-ES_tradnl"/>
                              </w:rPr>
                              <w:t>-</w:t>
                            </w:r>
                            <w:r w:rsidR="00C01E9D">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64B8360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D49783D" w:rsidR="005B52B0" w:rsidRPr="0010736F" w:rsidRDefault="00DF4C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ALBERTO CALDERÓN PARDO Y OTROS</w:t>
                            </w:r>
                          </w:p>
                          <w:bookmarkEnd w:id="0"/>
                          <w:p w14:paraId="0B9F7D22" w14:textId="3124CD69" w:rsidR="005B52B0" w:rsidRPr="00F56ECB" w:rsidRDefault="00DF4CC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2D366A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B746E">
                        <w:rPr>
                          <w:rFonts w:asciiTheme="majorHAnsi" w:hAnsiTheme="majorHAnsi" w:cs="Arial"/>
                          <w:b/>
                          <w:bCs/>
                          <w:color w:val="0D0D0D" w:themeColor="text1" w:themeTint="F2"/>
                          <w:sz w:val="36"/>
                          <w:szCs w:val="22"/>
                          <w:lang w:val="es-ES_tradnl"/>
                        </w:rPr>
                        <w:t>261</w:t>
                      </w:r>
                      <w:r w:rsidR="007B05C4">
                        <w:rPr>
                          <w:rFonts w:asciiTheme="majorHAnsi" w:hAnsiTheme="majorHAnsi" w:cs="Arial"/>
                          <w:b/>
                          <w:bCs/>
                          <w:color w:val="0D0D0D" w:themeColor="text1" w:themeTint="F2"/>
                          <w:sz w:val="36"/>
                          <w:szCs w:val="22"/>
                          <w:lang w:val="es-ES_tradnl"/>
                        </w:rPr>
                        <w:t>/</w:t>
                      </w:r>
                      <w:r w:rsidR="00AA305F">
                        <w:rPr>
                          <w:rFonts w:asciiTheme="majorHAnsi" w:hAnsiTheme="majorHAnsi" w:cs="Arial"/>
                          <w:b/>
                          <w:bCs/>
                          <w:color w:val="0D0D0D" w:themeColor="text1" w:themeTint="F2"/>
                          <w:sz w:val="36"/>
                          <w:szCs w:val="22"/>
                          <w:lang w:val="es-ES_tradnl"/>
                        </w:rPr>
                        <w:t>22</w:t>
                      </w:r>
                    </w:p>
                    <w:p w14:paraId="45F30ECA" w14:textId="4A551F1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01E9D">
                        <w:rPr>
                          <w:rFonts w:asciiTheme="majorHAnsi" w:hAnsiTheme="majorHAnsi" w:cs="Arial"/>
                          <w:b/>
                          <w:color w:val="0D0D0D" w:themeColor="text1" w:themeTint="F2"/>
                          <w:sz w:val="36"/>
                          <w:szCs w:val="22"/>
                          <w:lang w:val="es-ES_tradnl"/>
                        </w:rPr>
                        <w:t>597</w:t>
                      </w:r>
                      <w:r w:rsidR="00246D1F" w:rsidRPr="004E2649">
                        <w:rPr>
                          <w:rFonts w:asciiTheme="majorHAnsi" w:hAnsiTheme="majorHAnsi" w:cs="Arial"/>
                          <w:b/>
                          <w:color w:val="0D0D0D" w:themeColor="text1" w:themeTint="F2"/>
                          <w:sz w:val="36"/>
                          <w:szCs w:val="22"/>
                          <w:lang w:val="es-ES_tradnl"/>
                        </w:rPr>
                        <w:t>-</w:t>
                      </w:r>
                      <w:r w:rsidR="00C01E9D">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64B8360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D49783D" w:rsidR="005B52B0" w:rsidRPr="0010736F" w:rsidRDefault="00DF4C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ALBERTO CALDERÓN PARDO Y OTROS</w:t>
                      </w:r>
                    </w:p>
                    <w:bookmarkEnd w:id="1"/>
                    <w:p w14:paraId="0B9F7D22" w14:textId="3124CD69" w:rsidR="005B52B0" w:rsidRPr="00F56ECB" w:rsidRDefault="00DF4CC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EDD8237" w:rsidR="00627C9F" w:rsidRPr="0004768F" w:rsidRDefault="00834D49" w:rsidP="007A5817">
                            <w:pPr>
                              <w:spacing w:line="276" w:lineRule="auto"/>
                              <w:jc w:val="right"/>
                              <w:rPr>
                                <w:rFonts w:asciiTheme="minorHAnsi" w:hAnsiTheme="minorHAnsi"/>
                                <w:color w:val="FFFFFF" w:themeColor="background1"/>
                                <w:sz w:val="22"/>
                                <w:lang w:val="es-419"/>
                              </w:rPr>
                            </w:pPr>
                            <w:r w:rsidRPr="0004768F">
                              <w:rPr>
                                <w:rFonts w:asciiTheme="minorHAnsi" w:hAnsiTheme="minorHAnsi"/>
                                <w:color w:val="FFFFFF" w:themeColor="background1"/>
                                <w:sz w:val="22"/>
                                <w:lang w:val="es-419"/>
                              </w:rPr>
                              <w:t>OEA/Ser.L/V/II</w:t>
                            </w:r>
                          </w:p>
                          <w:p w14:paraId="71D2D5D2" w14:textId="3D8CD53E" w:rsidR="00627C9F" w:rsidRPr="009234CC" w:rsidRDefault="00627C9F" w:rsidP="007A5817">
                            <w:pPr>
                              <w:spacing w:line="276" w:lineRule="auto"/>
                              <w:jc w:val="right"/>
                              <w:rPr>
                                <w:rFonts w:asciiTheme="minorHAnsi" w:hAnsiTheme="minorHAnsi"/>
                                <w:color w:val="FFFFFF" w:themeColor="background1"/>
                                <w:sz w:val="22"/>
                                <w:lang w:val="es-419"/>
                              </w:rPr>
                            </w:pPr>
                            <w:r w:rsidRPr="009234CC">
                              <w:rPr>
                                <w:rFonts w:asciiTheme="minorHAnsi" w:hAnsiTheme="minorHAnsi"/>
                                <w:color w:val="FFFFFF" w:themeColor="background1"/>
                                <w:sz w:val="22"/>
                                <w:lang w:val="es-419"/>
                              </w:rPr>
                              <w:t xml:space="preserve">Doc. </w:t>
                            </w:r>
                            <w:r w:rsidR="009234CC" w:rsidRPr="009234CC">
                              <w:rPr>
                                <w:rFonts w:asciiTheme="minorHAnsi" w:hAnsiTheme="minorHAnsi"/>
                                <w:color w:val="FFFFFF" w:themeColor="background1"/>
                                <w:sz w:val="22"/>
                                <w:lang w:val="es-419"/>
                              </w:rPr>
                              <w:t>26</w:t>
                            </w:r>
                            <w:r w:rsidR="009234CC">
                              <w:rPr>
                                <w:rFonts w:asciiTheme="minorHAnsi" w:hAnsiTheme="minorHAnsi"/>
                                <w:color w:val="FFFFFF" w:themeColor="background1"/>
                                <w:sz w:val="22"/>
                                <w:lang w:val="es-419"/>
                              </w:rPr>
                              <w:t>5</w:t>
                            </w:r>
                          </w:p>
                          <w:p w14:paraId="4061DBBD" w14:textId="35D13423" w:rsidR="00627C9F" w:rsidRPr="00C25ADB" w:rsidRDefault="00C01E9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w:t>
                            </w:r>
                            <w:r w:rsidR="003906C8">
                              <w:rPr>
                                <w:rFonts w:asciiTheme="minorHAnsi" w:hAnsiTheme="minorHAnsi"/>
                                <w:color w:val="FFFFFF" w:themeColor="background1"/>
                                <w:sz w:val="22"/>
                                <w:lang w:val="es-PA"/>
                              </w:rPr>
                              <w:t>bre</w:t>
                            </w:r>
                            <w:r w:rsidR="00C42413">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5EDD8237" w:rsidR="00627C9F" w:rsidRPr="0004768F" w:rsidRDefault="00834D49" w:rsidP="007A5817">
                      <w:pPr>
                        <w:spacing w:line="276" w:lineRule="auto"/>
                        <w:jc w:val="right"/>
                        <w:rPr>
                          <w:rFonts w:asciiTheme="minorHAnsi" w:hAnsiTheme="minorHAnsi"/>
                          <w:color w:val="FFFFFF" w:themeColor="background1"/>
                          <w:sz w:val="22"/>
                          <w:lang w:val="es-419"/>
                        </w:rPr>
                      </w:pPr>
                      <w:r w:rsidRPr="0004768F">
                        <w:rPr>
                          <w:rFonts w:asciiTheme="minorHAnsi" w:hAnsiTheme="minorHAnsi"/>
                          <w:color w:val="FFFFFF" w:themeColor="background1"/>
                          <w:sz w:val="22"/>
                          <w:lang w:val="es-419"/>
                        </w:rPr>
                        <w:t>OEA/Ser.L/V/II</w:t>
                      </w:r>
                    </w:p>
                    <w:p w14:paraId="71D2D5D2" w14:textId="3D8CD53E" w:rsidR="00627C9F" w:rsidRPr="009234CC" w:rsidRDefault="00627C9F" w:rsidP="007A5817">
                      <w:pPr>
                        <w:spacing w:line="276" w:lineRule="auto"/>
                        <w:jc w:val="right"/>
                        <w:rPr>
                          <w:rFonts w:asciiTheme="minorHAnsi" w:hAnsiTheme="minorHAnsi"/>
                          <w:color w:val="FFFFFF" w:themeColor="background1"/>
                          <w:sz w:val="22"/>
                          <w:lang w:val="es-419"/>
                        </w:rPr>
                      </w:pPr>
                      <w:r w:rsidRPr="009234CC">
                        <w:rPr>
                          <w:rFonts w:asciiTheme="minorHAnsi" w:hAnsiTheme="minorHAnsi"/>
                          <w:color w:val="FFFFFF" w:themeColor="background1"/>
                          <w:sz w:val="22"/>
                          <w:lang w:val="es-419"/>
                        </w:rPr>
                        <w:t xml:space="preserve">Doc. </w:t>
                      </w:r>
                      <w:r w:rsidR="009234CC" w:rsidRPr="009234CC">
                        <w:rPr>
                          <w:rFonts w:asciiTheme="minorHAnsi" w:hAnsiTheme="minorHAnsi"/>
                          <w:color w:val="FFFFFF" w:themeColor="background1"/>
                          <w:sz w:val="22"/>
                          <w:lang w:val="es-419"/>
                        </w:rPr>
                        <w:t>26</w:t>
                      </w:r>
                      <w:r w:rsidR="009234CC">
                        <w:rPr>
                          <w:rFonts w:asciiTheme="minorHAnsi" w:hAnsiTheme="minorHAnsi"/>
                          <w:color w:val="FFFFFF" w:themeColor="background1"/>
                          <w:sz w:val="22"/>
                          <w:lang w:val="es-419"/>
                        </w:rPr>
                        <w:t>5</w:t>
                      </w:r>
                    </w:p>
                    <w:p w14:paraId="4061DBBD" w14:textId="35D13423" w:rsidR="00627C9F" w:rsidRPr="00C25ADB" w:rsidRDefault="00C01E9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w:t>
                      </w:r>
                      <w:r w:rsidR="003906C8">
                        <w:rPr>
                          <w:rFonts w:asciiTheme="minorHAnsi" w:hAnsiTheme="minorHAnsi"/>
                          <w:color w:val="FFFFFF" w:themeColor="background1"/>
                          <w:sz w:val="22"/>
                          <w:lang w:val="es-PA"/>
                        </w:rPr>
                        <w:t>bre</w:t>
                      </w:r>
                      <w:r w:rsidR="00C42413">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9934EE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B746E">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1B746E">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E14DA">
                              <w:rPr>
                                <w:rFonts w:asciiTheme="majorHAnsi" w:hAnsiTheme="majorHAnsi"/>
                                <w:color w:val="0D0D0D" w:themeColor="text1" w:themeTint="F2"/>
                                <w:sz w:val="18"/>
                                <w:szCs w:val="22"/>
                                <w:lang w:val="es-ES"/>
                              </w:rPr>
                              <w:t>2</w:t>
                            </w:r>
                            <w:r w:rsidR="001B746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9934EE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B746E">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1B746E">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EE14DA">
                        <w:rPr>
                          <w:rFonts w:asciiTheme="majorHAnsi" w:hAnsiTheme="majorHAnsi"/>
                          <w:color w:val="0D0D0D" w:themeColor="text1" w:themeTint="F2"/>
                          <w:sz w:val="18"/>
                          <w:szCs w:val="22"/>
                          <w:lang w:val="es-ES"/>
                        </w:rPr>
                        <w:t>2</w:t>
                      </w:r>
                      <w:r w:rsidR="001B746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B519D" w14:textId="77777777" w:rsidR="001B746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B746E" w:rsidRPr="001B746E">
                              <w:rPr>
                                <w:rFonts w:asciiTheme="majorHAnsi" w:hAnsiTheme="majorHAnsi"/>
                                <w:color w:val="595959" w:themeColor="text1" w:themeTint="A6"/>
                                <w:sz w:val="18"/>
                                <w:szCs w:val="18"/>
                                <w:lang w:val="pt-BR"/>
                              </w:rPr>
                              <w:t>261</w:t>
                            </w:r>
                            <w:r w:rsidR="007B05C4" w:rsidRPr="001B746E">
                              <w:rPr>
                                <w:rFonts w:asciiTheme="majorHAnsi" w:hAnsiTheme="majorHAnsi"/>
                                <w:color w:val="595959" w:themeColor="text1" w:themeTint="A6"/>
                                <w:sz w:val="18"/>
                                <w:szCs w:val="18"/>
                                <w:lang w:val="pt-BR"/>
                              </w:rPr>
                              <w:t>/</w:t>
                            </w:r>
                            <w:r w:rsidR="001B746E" w:rsidRPr="001B746E">
                              <w:rPr>
                                <w:rFonts w:asciiTheme="majorHAnsi" w:hAnsiTheme="majorHAnsi"/>
                                <w:color w:val="595959" w:themeColor="text1" w:themeTint="A6"/>
                                <w:sz w:val="18"/>
                                <w:szCs w:val="18"/>
                                <w:lang w:val="pt-BR"/>
                              </w:rPr>
                              <w:t>22</w:t>
                            </w:r>
                            <w:r w:rsidRPr="001B746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E14DA">
                              <w:rPr>
                                <w:rFonts w:asciiTheme="majorHAnsi" w:hAnsiTheme="majorHAnsi"/>
                                <w:color w:val="595959" w:themeColor="text1" w:themeTint="A6"/>
                                <w:sz w:val="18"/>
                                <w:szCs w:val="18"/>
                                <w:lang w:val="es-ES"/>
                              </w:rPr>
                              <w:t>597</w:t>
                            </w:r>
                            <w:r w:rsidR="000433C9">
                              <w:rPr>
                                <w:rFonts w:asciiTheme="majorHAnsi" w:hAnsiTheme="majorHAnsi"/>
                                <w:color w:val="595959" w:themeColor="text1" w:themeTint="A6"/>
                                <w:sz w:val="18"/>
                                <w:szCs w:val="18"/>
                                <w:lang w:val="es-ES"/>
                              </w:rPr>
                              <w:t>-</w:t>
                            </w:r>
                            <w:r w:rsidR="00EE14DA">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65D05791" w:rsidR="00113F73" w:rsidRPr="007B05C4" w:rsidRDefault="00EE14D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Alberto Calderón Pardo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C457F1">
                              <w:rPr>
                                <w:rFonts w:asciiTheme="majorHAnsi" w:hAnsiTheme="majorHAnsi"/>
                                <w:color w:val="595959" w:themeColor="text1" w:themeTint="A6"/>
                                <w:sz w:val="18"/>
                                <w:szCs w:val="18"/>
                                <w:lang w:val="es-ES"/>
                              </w:rPr>
                              <w:t>3 de octubre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94B519D" w14:textId="77777777" w:rsidR="001B746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B746E" w:rsidRPr="001B746E">
                        <w:rPr>
                          <w:rFonts w:asciiTheme="majorHAnsi" w:hAnsiTheme="majorHAnsi"/>
                          <w:color w:val="595959" w:themeColor="text1" w:themeTint="A6"/>
                          <w:sz w:val="18"/>
                          <w:szCs w:val="18"/>
                          <w:lang w:val="pt-BR"/>
                        </w:rPr>
                        <w:t>261</w:t>
                      </w:r>
                      <w:r w:rsidR="007B05C4" w:rsidRPr="001B746E">
                        <w:rPr>
                          <w:rFonts w:asciiTheme="majorHAnsi" w:hAnsiTheme="majorHAnsi"/>
                          <w:color w:val="595959" w:themeColor="text1" w:themeTint="A6"/>
                          <w:sz w:val="18"/>
                          <w:szCs w:val="18"/>
                          <w:lang w:val="pt-BR"/>
                        </w:rPr>
                        <w:t>/</w:t>
                      </w:r>
                      <w:r w:rsidR="001B746E" w:rsidRPr="001B746E">
                        <w:rPr>
                          <w:rFonts w:asciiTheme="majorHAnsi" w:hAnsiTheme="majorHAnsi"/>
                          <w:color w:val="595959" w:themeColor="text1" w:themeTint="A6"/>
                          <w:sz w:val="18"/>
                          <w:szCs w:val="18"/>
                          <w:lang w:val="pt-BR"/>
                        </w:rPr>
                        <w:t>22</w:t>
                      </w:r>
                      <w:r w:rsidRPr="001B746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E14DA">
                        <w:rPr>
                          <w:rFonts w:asciiTheme="majorHAnsi" w:hAnsiTheme="majorHAnsi"/>
                          <w:color w:val="595959" w:themeColor="text1" w:themeTint="A6"/>
                          <w:sz w:val="18"/>
                          <w:szCs w:val="18"/>
                          <w:lang w:val="es-ES"/>
                        </w:rPr>
                        <w:t>597</w:t>
                      </w:r>
                      <w:r w:rsidR="000433C9">
                        <w:rPr>
                          <w:rFonts w:asciiTheme="majorHAnsi" w:hAnsiTheme="majorHAnsi"/>
                          <w:color w:val="595959" w:themeColor="text1" w:themeTint="A6"/>
                          <w:sz w:val="18"/>
                          <w:szCs w:val="18"/>
                          <w:lang w:val="es-ES"/>
                        </w:rPr>
                        <w:t>-</w:t>
                      </w:r>
                      <w:r w:rsidR="00EE14DA">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65D05791" w:rsidR="00113F73" w:rsidRPr="007B05C4" w:rsidRDefault="00EE14D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Luis Alberto Calderón Pardo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C457F1">
                        <w:rPr>
                          <w:rFonts w:asciiTheme="majorHAnsi" w:hAnsiTheme="majorHAnsi"/>
                          <w:color w:val="595959" w:themeColor="text1" w:themeTint="A6"/>
                          <w:sz w:val="18"/>
                          <w:szCs w:val="18"/>
                          <w:lang w:val="es-ES"/>
                        </w:rPr>
                        <w:t>3 de octubre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63529"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2EFFA49A" w:rsidR="003239B8" w:rsidRPr="00800446" w:rsidRDefault="0004768F" w:rsidP="008D2290">
            <w:pPr>
              <w:jc w:val="both"/>
              <w:rPr>
                <w:rFonts w:asciiTheme="majorHAnsi" w:hAnsiTheme="majorHAnsi"/>
                <w:bCs/>
                <w:sz w:val="20"/>
                <w:szCs w:val="20"/>
                <w:lang w:val="es-CO"/>
              </w:rPr>
            </w:pPr>
            <w:r w:rsidRPr="0004768F">
              <w:rPr>
                <w:rFonts w:asciiTheme="majorHAnsi" w:hAnsiTheme="majorHAnsi"/>
                <w:bCs/>
                <w:sz w:val="20"/>
                <w:szCs w:val="20"/>
                <w:lang w:val="es-CO"/>
              </w:rPr>
              <w:t>Tachi Jerez</w:t>
            </w:r>
            <w:r w:rsidR="00F73D62">
              <w:rPr>
                <w:rFonts w:asciiTheme="majorHAnsi" w:hAnsiTheme="majorHAnsi"/>
                <w:bCs/>
                <w:sz w:val="20"/>
                <w:szCs w:val="20"/>
                <w:lang w:val="es-CO"/>
              </w:rPr>
              <w:t xml:space="preserve"> </w:t>
            </w:r>
            <w:r w:rsidR="00800446" w:rsidRPr="00800446">
              <w:rPr>
                <w:rFonts w:asciiTheme="majorHAnsi" w:hAnsiTheme="majorHAnsi"/>
                <w:bCs/>
                <w:sz w:val="20"/>
                <w:szCs w:val="20"/>
                <w:lang w:val="es-CO"/>
              </w:rPr>
              <w:t>y M</w:t>
            </w:r>
            <w:r w:rsidR="00800446">
              <w:rPr>
                <w:rFonts w:asciiTheme="majorHAnsi" w:hAnsiTheme="majorHAnsi"/>
                <w:bCs/>
                <w:sz w:val="20"/>
                <w:szCs w:val="20"/>
                <w:lang w:val="es-CO"/>
              </w:rPr>
              <w:t>PR Sociedad Jurídica S.A.S.</w:t>
            </w:r>
          </w:p>
        </w:tc>
      </w:tr>
      <w:tr w:rsidR="003239B8" w:rsidRPr="00AB79FD"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C31183"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7D1E833D" w:rsidR="003239B8" w:rsidRPr="00EE5F9D" w:rsidRDefault="006E57E2" w:rsidP="006E57E2">
            <w:pPr>
              <w:jc w:val="both"/>
              <w:rPr>
                <w:rFonts w:asciiTheme="majorHAnsi" w:hAnsiTheme="majorHAnsi"/>
                <w:bCs/>
                <w:sz w:val="19"/>
                <w:szCs w:val="19"/>
              </w:rPr>
            </w:pPr>
            <w:r w:rsidRPr="00EE5F9D">
              <w:rPr>
                <w:rFonts w:asciiTheme="majorHAnsi" w:hAnsiTheme="majorHAnsi"/>
                <w:bCs/>
                <w:sz w:val="19"/>
                <w:szCs w:val="19"/>
              </w:rPr>
              <w:t xml:space="preserve">Luis Alberto Calderón Pardo, Fredy </w:t>
            </w:r>
            <w:r w:rsidR="00E9392E" w:rsidRPr="00EE5F9D">
              <w:rPr>
                <w:rFonts w:asciiTheme="majorHAnsi" w:hAnsiTheme="majorHAnsi"/>
                <w:bCs/>
                <w:sz w:val="19"/>
                <w:szCs w:val="19"/>
              </w:rPr>
              <w:t>Fabián</w:t>
            </w:r>
            <w:r w:rsidRPr="00EE5F9D">
              <w:rPr>
                <w:rFonts w:asciiTheme="majorHAnsi" w:hAnsiTheme="majorHAnsi"/>
                <w:bCs/>
                <w:sz w:val="19"/>
                <w:szCs w:val="19"/>
              </w:rPr>
              <w:t xml:space="preserve"> Torres Beltrán, Jorge Heladio Ortiz Quimbay, Jhon Jairo Giral</w:t>
            </w:r>
            <w:r w:rsidR="00340D47" w:rsidRPr="00EE5F9D">
              <w:rPr>
                <w:rFonts w:asciiTheme="majorHAnsi" w:hAnsiTheme="majorHAnsi"/>
                <w:bCs/>
                <w:sz w:val="19"/>
                <w:szCs w:val="19"/>
              </w:rPr>
              <w:t>d</w:t>
            </w:r>
            <w:r w:rsidRPr="00EE5F9D">
              <w:rPr>
                <w:rFonts w:asciiTheme="majorHAnsi" w:hAnsiTheme="majorHAnsi"/>
                <w:bCs/>
                <w:sz w:val="19"/>
                <w:szCs w:val="19"/>
              </w:rPr>
              <w:t xml:space="preserve">o Gonzales, </w:t>
            </w:r>
            <w:r w:rsidR="00340D47" w:rsidRPr="00EE5F9D">
              <w:rPr>
                <w:rFonts w:asciiTheme="majorHAnsi" w:hAnsiTheme="majorHAnsi"/>
                <w:bCs/>
                <w:sz w:val="19"/>
                <w:szCs w:val="19"/>
              </w:rPr>
              <w:t>José</w:t>
            </w:r>
            <w:r w:rsidRPr="00EE5F9D">
              <w:rPr>
                <w:rFonts w:asciiTheme="majorHAnsi" w:hAnsiTheme="majorHAnsi"/>
                <w:bCs/>
                <w:sz w:val="19"/>
                <w:szCs w:val="19"/>
              </w:rPr>
              <w:t xml:space="preserve"> Adonay Niño D</w:t>
            </w:r>
            <w:r w:rsidR="008C44CB" w:rsidRPr="00EE5F9D">
              <w:rPr>
                <w:rFonts w:asciiTheme="majorHAnsi" w:hAnsiTheme="majorHAnsi"/>
                <w:bCs/>
                <w:sz w:val="19"/>
                <w:szCs w:val="19"/>
              </w:rPr>
              <w:t>í</w:t>
            </w:r>
            <w:r w:rsidRPr="00EE5F9D">
              <w:rPr>
                <w:rFonts w:asciiTheme="majorHAnsi" w:hAnsiTheme="majorHAnsi"/>
                <w:bCs/>
                <w:sz w:val="19"/>
                <w:szCs w:val="19"/>
              </w:rPr>
              <w:t>az</w:t>
            </w:r>
            <w:r w:rsidR="00890083" w:rsidRPr="00EE5F9D">
              <w:rPr>
                <w:rFonts w:asciiTheme="majorHAnsi" w:hAnsiTheme="majorHAnsi"/>
                <w:bCs/>
                <w:sz w:val="19"/>
                <w:szCs w:val="19"/>
              </w:rPr>
              <w:t>,</w:t>
            </w:r>
            <w:r w:rsidR="00AB79FD" w:rsidRPr="00EE5F9D">
              <w:rPr>
                <w:rFonts w:asciiTheme="majorHAnsi" w:hAnsiTheme="majorHAnsi"/>
                <w:bCs/>
                <w:sz w:val="19"/>
                <w:szCs w:val="19"/>
              </w:rPr>
              <w:t xml:space="preserve"> Orlando Ladino A</w:t>
            </w:r>
            <w:r w:rsidR="008D7243" w:rsidRPr="00EE5F9D">
              <w:rPr>
                <w:rFonts w:asciiTheme="majorHAnsi" w:hAnsiTheme="majorHAnsi"/>
                <w:bCs/>
                <w:sz w:val="19"/>
                <w:szCs w:val="19"/>
              </w:rPr>
              <w:t>gudelo, Salvador Amaya Rozo, José Arnilfar Ramírez Guali, Josue Trinidad Amaya Vela, Pedro Eberto González Rincón, Haminson Alexis Arana Alava, Jairo</w:t>
            </w:r>
            <w:r w:rsidR="007F00F4" w:rsidRPr="00EE5F9D">
              <w:rPr>
                <w:rFonts w:asciiTheme="majorHAnsi" w:hAnsiTheme="majorHAnsi"/>
                <w:bCs/>
                <w:sz w:val="19"/>
                <w:szCs w:val="19"/>
              </w:rPr>
              <w:t xml:space="preserve"> </w:t>
            </w:r>
            <w:r w:rsidR="00D82BDC" w:rsidRPr="00EE5F9D">
              <w:rPr>
                <w:rFonts w:asciiTheme="majorHAnsi" w:hAnsiTheme="majorHAnsi"/>
                <w:bCs/>
                <w:sz w:val="19"/>
                <w:szCs w:val="19"/>
              </w:rPr>
              <w:t>Cárdenas López, Óscar Antonio L</w:t>
            </w:r>
            <w:r w:rsidR="007F00F4" w:rsidRPr="00EE5F9D">
              <w:rPr>
                <w:rFonts w:asciiTheme="majorHAnsi" w:hAnsiTheme="majorHAnsi"/>
                <w:bCs/>
                <w:sz w:val="19"/>
                <w:szCs w:val="19"/>
              </w:rPr>
              <w:t xml:space="preserve">adina Pasive, Heiver Alfonso Ruiz Hernández, Frank Giovanni Trejos Mariño, Fredy Bastidas Silva, Edilfrando Tamayo </w:t>
            </w:r>
            <w:r w:rsidR="00B26EA8" w:rsidRPr="00EE5F9D">
              <w:rPr>
                <w:rFonts w:asciiTheme="majorHAnsi" w:hAnsiTheme="majorHAnsi"/>
                <w:bCs/>
                <w:sz w:val="19"/>
                <w:szCs w:val="19"/>
              </w:rPr>
              <w:t>Medina, Edgar Bairo Murcia Canencio, Álvaro Antonio Cruz Cardona,</w:t>
            </w:r>
            <w:r w:rsidR="0078101C" w:rsidRPr="00EE5F9D">
              <w:rPr>
                <w:rFonts w:asciiTheme="majorHAnsi" w:hAnsiTheme="majorHAnsi"/>
                <w:bCs/>
                <w:sz w:val="19"/>
                <w:szCs w:val="19"/>
              </w:rPr>
              <w:t xml:space="preserve"> Luis Alfonso D</w:t>
            </w:r>
            <w:r w:rsidR="00895E3D" w:rsidRPr="00EE5F9D">
              <w:rPr>
                <w:rFonts w:asciiTheme="majorHAnsi" w:hAnsiTheme="majorHAnsi"/>
                <w:bCs/>
                <w:sz w:val="19"/>
                <w:szCs w:val="19"/>
              </w:rPr>
              <w:t>í</w:t>
            </w:r>
            <w:r w:rsidR="0078101C" w:rsidRPr="00EE5F9D">
              <w:rPr>
                <w:rFonts w:asciiTheme="majorHAnsi" w:hAnsiTheme="majorHAnsi"/>
                <w:bCs/>
                <w:sz w:val="19"/>
                <w:szCs w:val="19"/>
              </w:rPr>
              <w:t>az</w:t>
            </w:r>
            <w:r w:rsidR="00602A52" w:rsidRPr="00EE5F9D">
              <w:rPr>
                <w:rFonts w:asciiTheme="majorHAnsi" w:hAnsiTheme="majorHAnsi"/>
                <w:bCs/>
                <w:sz w:val="19"/>
                <w:szCs w:val="19"/>
              </w:rPr>
              <w:t>, Jhonny Oswaldo Correa Gamez</w:t>
            </w:r>
            <w:r w:rsidR="00340D47" w:rsidRPr="00EE5F9D">
              <w:rPr>
                <w:rFonts w:asciiTheme="majorHAnsi" w:hAnsiTheme="majorHAnsi"/>
                <w:bCs/>
                <w:sz w:val="19"/>
                <w:szCs w:val="19"/>
              </w:rPr>
              <w:t xml:space="preserve"> y familiares</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79EDB0EC" w:rsidR="003239B8" w:rsidRPr="00547797" w:rsidRDefault="00B52ACC"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2"/>
            </w:r>
          </w:p>
        </w:tc>
      </w:tr>
      <w:tr w:rsidR="00223A29" w:rsidRPr="00263529"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4B05CC0B" w:rsidR="00223A29" w:rsidRPr="00EE5F9D" w:rsidRDefault="0042687D" w:rsidP="008D2290">
            <w:pPr>
              <w:jc w:val="both"/>
              <w:rPr>
                <w:rFonts w:asciiTheme="majorHAnsi" w:hAnsiTheme="majorHAnsi"/>
                <w:bCs/>
                <w:sz w:val="19"/>
                <w:szCs w:val="19"/>
                <w:lang w:val="es-CO"/>
              </w:rPr>
            </w:pPr>
            <w:r w:rsidRPr="00EE5F9D">
              <w:rPr>
                <w:rFonts w:asciiTheme="majorHAnsi" w:hAnsiTheme="majorHAnsi"/>
                <w:bCs/>
                <w:sz w:val="19"/>
                <w:szCs w:val="19"/>
                <w:lang w:val="es-PA"/>
              </w:rPr>
              <w:t>Artículos 4 (vida), 5 (integridad personal), 8 (garantías judiciales), 10 (indemnización), 17 (</w:t>
            </w:r>
            <w:r w:rsidR="00940F3D" w:rsidRPr="00EE5F9D">
              <w:rPr>
                <w:rFonts w:asciiTheme="majorHAnsi" w:hAnsiTheme="majorHAnsi"/>
                <w:bCs/>
                <w:sz w:val="19"/>
                <w:szCs w:val="19"/>
                <w:lang w:val="es-PA"/>
              </w:rPr>
              <w:t xml:space="preserve">17 (protección a la familia), 22 (circulación y residencia), </w:t>
            </w:r>
            <w:r w:rsidRPr="00EE5F9D">
              <w:rPr>
                <w:rFonts w:asciiTheme="majorHAnsi" w:hAnsiTheme="majorHAnsi"/>
                <w:bCs/>
                <w:sz w:val="19"/>
                <w:szCs w:val="19"/>
                <w:lang w:val="es-PA"/>
              </w:rPr>
              <w:t>24 (igualdad ante la ley) y 25 (protección judicial) de la Convención Americana sobre Derechos Humanos</w:t>
            </w:r>
            <w:r w:rsidRPr="00EE5F9D">
              <w:rPr>
                <w:rStyle w:val="FootnoteReference"/>
                <w:rFonts w:asciiTheme="majorHAnsi" w:hAnsiTheme="majorHAnsi"/>
                <w:bCs/>
                <w:sz w:val="19"/>
                <w:szCs w:val="19"/>
                <w:lang w:val="es-PA"/>
              </w:rPr>
              <w:footnoteReference w:id="3"/>
            </w:r>
            <w:r w:rsidRPr="00EE5F9D">
              <w:rPr>
                <w:rFonts w:asciiTheme="majorHAnsi" w:hAnsiTheme="majorHAnsi"/>
                <w:bCs/>
                <w:sz w:val="19"/>
                <w:szCs w:val="19"/>
                <w:lang w:val="es-PA"/>
              </w:rPr>
              <w:t>, y artículos I, II, V</w:t>
            </w:r>
            <w:r w:rsidR="00940F3D" w:rsidRPr="00EE5F9D">
              <w:rPr>
                <w:rFonts w:asciiTheme="majorHAnsi" w:hAnsiTheme="majorHAnsi"/>
                <w:bCs/>
                <w:sz w:val="19"/>
                <w:szCs w:val="19"/>
                <w:lang w:val="es-PA"/>
              </w:rPr>
              <w:t>III</w:t>
            </w:r>
            <w:r w:rsidRPr="00EE5F9D">
              <w:rPr>
                <w:rFonts w:asciiTheme="majorHAnsi" w:hAnsiTheme="majorHAnsi"/>
                <w:bCs/>
                <w:sz w:val="19"/>
                <w:szCs w:val="19"/>
                <w:lang w:val="es-PA"/>
              </w:rPr>
              <w:t xml:space="preserve">, </w:t>
            </w:r>
            <w:r w:rsidR="003461DE" w:rsidRPr="00EE5F9D">
              <w:rPr>
                <w:rFonts w:asciiTheme="majorHAnsi" w:hAnsiTheme="majorHAnsi"/>
                <w:bCs/>
                <w:sz w:val="19"/>
                <w:szCs w:val="19"/>
                <w:lang w:val="es-PA"/>
              </w:rPr>
              <w:t xml:space="preserve">XI y </w:t>
            </w:r>
            <w:r w:rsidRPr="00EE5F9D">
              <w:rPr>
                <w:rFonts w:asciiTheme="majorHAnsi" w:hAnsiTheme="majorHAnsi"/>
                <w:bCs/>
                <w:sz w:val="19"/>
                <w:szCs w:val="19"/>
                <w:lang w:val="es-PA"/>
              </w:rPr>
              <w:t>XVIII de la Declaración Americana de Derechos y Deberes del Hombre</w:t>
            </w:r>
            <w:r w:rsidRPr="00EE5F9D">
              <w:rPr>
                <w:rStyle w:val="FootnoteReference"/>
                <w:rFonts w:asciiTheme="majorHAnsi" w:hAnsiTheme="majorHAnsi"/>
                <w:bCs/>
                <w:sz w:val="19"/>
                <w:szCs w:val="19"/>
                <w:lang w:val="es-PA"/>
              </w:rPr>
              <w:footnoteReference w:id="4"/>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49F10919" w:rsidR="004C2312" w:rsidRPr="00547797" w:rsidRDefault="00DA11F1" w:rsidP="002625EA">
            <w:pPr>
              <w:jc w:val="both"/>
              <w:rPr>
                <w:rFonts w:asciiTheme="majorHAnsi" w:hAnsiTheme="majorHAnsi"/>
                <w:bCs/>
                <w:sz w:val="20"/>
                <w:szCs w:val="20"/>
                <w:lang w:val="es-ES"/>
              </w:rPr>
            </w:pPr>
            <w:r>
              <w:rPr>
                <w:rFonts w:asciiTheme="majorHAnsi" w:hAnsiTheme="majorHAnsi"/>
                <w:bCs/>
                <w:sz w:val="20"/>
                <w:szCs w:val="20"/>
                <w:lang w:val="es-ES"/>
              </w:rPr>
              <w:t>15 de mayo de 2009</w:t>
            </w:r>
          </w:p>
        </w:tc>
      </w:tr>
      <w:tr w:rsidR="004C2312" w:rsidRPr="003906C8"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7A0BEC8B" w:rsidR="004C2312" w:rsidRPr="00547797" w:rsidRDefault="00581575" w:rsidP="008D2290">
            <w:pPr>
              <w:jc w:val="both"/>
              <w:rPr>
                <w:rFonts w:asciiTheme="majorHAnsi" w:hAnsiTheme="majorHAnsi"/>
                <w:bCs/>
                <w:sz w:val="20"/>
                <w:szCs w:val="20"/>
                <w:lang w:val="es-ES"/>
              </w:rPr>
            </w:pPr>
            <w:r>
              <w:rPr>
                <w:rFonts w:asciiTheme="majorHAnsi" w:hAnsiTheme="majorHAnsi"/>
                <w:bCs/>
                <w:sz w:val="20"/>
                <w:szCs w:val="20"/>
                <w:lang w:val="es-ES"/>
              </w:rPr>
              <w:t>9 de abril de 2015</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7524E83E" w:rsidR="004C2312" w:rsidRPr="00547797" w:rsidRDefault="00832181" w:rsidP="008D2290">
            <w:pPr>
              <w:jc w:val="both"/>
              <w:rPr>
                <w:rFonts w:asciiTheme="majorHAnsi" w:hAnsiTheme="majorHAnsi"/>
                <w:bCs/>
                <w:sz w:val="20"/>
                <w:szCs w:val="20"/>
                <w:lang w:val="es-ES"/>
              </w:rPr>
            </w:pPr>
            <w:r>
              <w:rPr>
                <w:rFonts w:asciiTheme="majorHAnsi" w:hAnsiTheme="majorHAnsi"/>
                <w:bCs/>
                <w:sz w:val="20"/>
                <w:szCs w:val="20"/>
                <w:lang w:val="es-ES"/>
              </w:rPr>
              <w:t>29 de diciembre de 2017</w:t>
            </w:r>
          </w:p>
        </w:tc>
      </w:tr>
      <w:tr w:rsidR="004C2312" w:rsidRPr="003906C8"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67043EC7" w:rsidR="004C2312" w:rsidRPr="00547797" w:rsidRDefault="00B519D8" w:rsidP="008D2290">
            <w:pPr>
              <w:jc w:val="both"/>
              <w:rPr>
                <w:rFonts w:asciiTheme="majorHAnsi" w:hAnsiTheme="majorHAnsi"/>
                <w:bCs/>
                <w:sz w:val="20"/>
                <w:szCs w:val="20"/>
                <w:lang w:val="es-ES"/>
              </w:rPr>
            </w:pPr>
            <w:r>
              <w:rPr>
                <w:rFonts w:asciiTheme="majorHAnsi" w:hAnsiTheme="majorHAnsi"/>
                <w:bCs/>
                <w:sz w:val="20"/>
                <w:szCs w:val="20"/>
                <w:lang w:val="es-ES"/>
              </w:rPr>
              <w:t>6 de junio de 2018</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43161D57" w:rsidR="004C2312" w:rsidRPr="00547797" w:rsidRDefault="00716F47" w:rsidP="008D2290">
            <w:pPr>
              <w:jc w:val="both"/>
              <w:rPr>
                <w:rFonts w:asciiTheme="majorHAnsi" w:hAnsiTheme="majorHAnsi"/>
                <w:bCs/>
                <w:sz w:val="20"/>
                <w:szCs w:val="20"/>
              </w:rPr>
            </w:pPr>
            <w:r>
              <w:rPr>
                <w:rFonts w:asciiTheme="majorHAnsi" w:hAnsiTheme="majorHAnsi"/>
                <w:bCs/>
                <w:sz w:val="20"/>
                <w:szCs w:val="20"/>
              </w:rPr>
              <w:t>21 de julio de 2021</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01EC6602" w:rsidR="003239B8" w:rsidRPr="00547797" w:rsidRDefault="00226D41"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042B5E8D" w:rsidR="003239B8" w:rsidRPr="00547797" w:rsidRDefault="00226D41"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0ED6F66E" w:rsidR="003239B8" w:rsidRPr="00547797" w:rsidRDefault="00226D41" w:rsidP="008D2290">
            <w:pPr>
              <w:rPr>
                <w:rFonts w:asciiTheme="majorHAnsi" w:hAnsiTheme="majorHAnsi"/>
                <w:bCs/>
                <w:sz w:val="20"/>
                <w:szCs w:val="20"/>
              </w:rPr>
            </w:pPr>
            <w:r>
              <w:rPr>
                <w:rFonts w:asciiTheme="majorHAnsi" w:hAnsiTheme="majorHAnsi"/>
                <w:bCs/>
                <w:sz w:val="20"/>
                <w:szCs w:val="20"/>
              </w:rPr>
              <w:t>Sí</w:t>
            </w:r>
          </w:p>
        </w:tc>
      </w:tr>
      <w:tr w:rsidR="003239B8" w:rsidRPr="00263529"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78D8469C" w:rsidR="003239B8" w:rsidRPr="00547797" w:rsidRDefault="00AF44D6" w:rsidP="008D2290">
            <w:pPr>
              <w:jc w:val="both"/>
              <w:rPr>
                <w:rFonts w:asciiTheme="majorHAnsi" w:hAnsiTheme="majorHAnsi"/>
                <w:bCs/>
                <w:sz w:val="20"/>
                <w:szCs w:val="20"/>
                <w:lang w:val="es-ES"/>
              </w:rPr>
            </w:pPr>
            <w:r w:rsidRPr="00DD7C73">
              <w:rPr>
                <w:rFonts w:asciiTheme="majorHAnsi" w:hAnsiTheme="majorHAnsi"/>
                <w:bCs/>
                <w:sz w:val="20"/>
                <w:szCs w:val="20"/>
                <w:lang w:val="es-ES"/>
              </w:rPr>
              <w:t xml:space="preserve">Sí, Convención Americana </w:t>
            </w:r>
            <w:r w:rsidRPr="00DD7C73">
              <w:rPr>
                <w:rFonts w:ascii="Cambria" w:hAnsi="Cambria"/>
                <w:bCs/>
                <w:sz w:val="20"/>
                <w:szCs w:val="20"/>
                <w:lang w:val="es-ES"/>
              </w:rPr>
              <w:t>(depósito del instrumento realizado el</w:t>
            </w:r>
            <w:r>
              <w:rPr>
                <w:rFonts w:ascii="Cambria" w:hAnsi="Cambria"/>
                <w:bCs/>
                <w:sz w:val="20"/>
                <w:szCs w:val="20"/>
                <w:lang w:val="es-ES"/>
              </w:rPr>
              <w:t xml:space="preserve"> 31 de julio de 1973</w:t>
            </w:r>
            <w:r w:rsidRPr="00DD7C73">
              <w:rPr>
                <w:rFonts w:ascii="Cambria" w:hAnsi="Cambria"/>
                <w:bCs/>
                <w:sz w:val="20"/>
                <w:szCs w:val="20"/>
                <w:lang w:val="es-ES"/>
              </w:rPr>
              <w:t>)</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906C8"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258114C8" w:rsidR="00EE00E9" w:rsidRPr="00547797" w:rsidRDefault="00AF44D6"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263529"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5E4E74F1" w:rsidR="003239B8" w:rsidRPr="00C444B2" w:rsidRDefault="00C444B2" w:rsidP="008D2290">
            <w:pPr>
              <w:jc w:val="both"/>
              <w:rPr>
                <w:rFonts w:asciiTheme="majorHAnsi" w:hAnsiTheme="majorHAnsi"/>
                <w:bCs/>
                <w:sz w:val="20"/>
                <w:szCs w:val="20"/>
                <w:lang w:val="es-US"/>
              </w:rPr>
            </w:pPr>
            <w:r>
              <w:rPr>
                <w:rFonts w:asciiTheme="majorHAnsi" w:hAnsiTheme="majorHAnsi"/>
                <w:bCs/>
                <w:sz w:val="20"/>
                <w:szCs w:val="20"/>
                <w:lang w:val="es-ES"/>
              </w:rPr>
              <w:t>No, en los términos de la Sección VII</w:t>
            </w:r>
          </w:p>
        </w:tc>
      </w:tr>
      <w:tr w:rsidR="003239B8" w:rsidRPr="00263529"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70BC1815" w:rsidR="003239B8" w:rsidRPr="00547797" w:rsidRDefault="005453DF" w:rsidP="008D2290">
            <w:pPr>
              <w:rPr>
                <w:rFonts w:asciiTheme="majorHAnsi" w:hAnsiTheme="majorHAnsi"/>
                <w:bCs/>
                <w:sz w:val="20"/>
                <w:szCs w:val="20"/>
                <w:lang w:val="es-ES"/>
              </w:rPr>
            </w:pPr>
            <w:r>
              <w:rPr>
                <w:rFonts w:asciiTheme="majorHAnsi" w:hAnsiTheme="majorHAnsi"/>
                <w:bCs/>
                <w:sz w:val="20"/>
                <w:szCs w:val="20"/>
                <w:lang w:val="es-ES"/>
              </w:rPr>
              <w:t>No, en los términos de la Sección VI</w:t>
            </w:r>
          </w:p>
        </w:tc>
      </w:tr>
      <w:tr w:rsidR="003239B8" w:rsidRPr="00263529"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6C3E327D" w:rsidR="003239B8" w:rsidRPr="005453DF" w:rsidRDefault="004C76CF" w:rsidP="008D2290">
            <w:pPr>
              <w:rPr>
                <w:rFonts w:asciiTheme="majorHAnsi" w:hAnsiTheme="majorHAnsi"/>
                <w:bCs/>
                <w:sz w:val="20"/>
                <w:szCs w:val="20"/>
                <w:lang w:val="es-CO"/>
              </w:rPr>
            </w:pPr>
            <w:r w:rsidRPr="005453DF">
              <w:rPr>
                <w:rFonts w:asciiTheme="majorHAnsi" w:hAnsiTheme="majorHAnsi"/>
                <w:bCs/>
                <w:sz w:val="20"/>
                <w:szCs w:val="20"/>
                <w:lang w:val="es-CO"/>
              </w:rPr>
              <w:t>No</w:t>
            </w:r>
            <w:r w:rsidR="005453DF">
              <w:rPr>
                <w:rFonts w:asciiTheme="majorHAnsi" w:hAnsiTheme="majorHAnsi"/>
                <w:bCs/>
                <w:sz w:val="20"/>
                <w:szCs w:val="20"/>
                <w:lang w:val="es-ES"/>
              </w:rPr>
              <w:t>, en los términos de la Sección VI</w:t>
            </w:r>
          </w:p>
        </w:tc>
      </w:tr>
    </w:tbl>
    <w:p w14:paraId="56FD5D57" w14:textId="252B1FD5" w:rsidR="003239B8" w:rsidRPr="00C22AD0" w:rsidRDefault="00223A29" w:rsidP="003239B8">
      <w:pPr>
        <w:spacing w:before="240" w:after="240"/>
        <w:ind w:firstLine="720"/>
        <w:jc w:val="both"/>
        <w:rPr>
          <w:rFonts w:asciiTheme="majorHAnsi" w:hAnsiTheme="majorHAnsi"/>
          <w:b/>
          <w:sz w:val="20"/>
          <w:szCs w:val="20"/>
          <w:lang w:val="es-ES_tradnl"/>
        </w:rPr>
      </w:pPr>
      <w:r w:rsidRPr="00C22AD0">
        <w:rPr>
          <w:rFonts w:asciiTheme="majorHAnsi" w:hAnsiTheme="majorHAnsi"/>
          <w:b/>
          <w:sz w:val="20"/>
          <w:szCs w:val="20"/>
          <w:lang w:val="es-ES_tradnl"/>
        </w:rPr>
        <w:lastRenderedPageBreak/>
        <w:t xml:space="preserve">V. </w:t>
      </w:r>
      <w:r w:rsidRPr="00C22AD0">
        <w:rPr>
          <w:rFonts w:asciiTheme="majorHAnsi" w:hAnsiTheme="majorHAnsi"/>
          <w:b/>
          <w:sz w:val="20"/>
          <w:szCs w:val="20"/>
          <w:lang w:val="es-ES_tradnl"/>
        </w:rPr>
        <w:tab/>
      </w:r>
      <w:r w:rsidR="004241A0" w:rsidRPr="00C22AD0">
        <w:rPr>
          <w:rFonts w:asciiTheme="majorHAnsi" w:hAnsiTheme="majorHAnsi"/>
          <w:b/>
          <w:sz w:val="20"/>
          <w:szCs w:val="20"/>
          <w:lang w:val="es-ES_tradnl"/>
        </w:rPr>
        <w:t>POSICIÓN DE LAS PARTES</w:t>
      </w:r>
      <w:r w:rsidR="003239B8" w:rsidRPr="00C22AD0">
        <w:rPr>
          <w:rFonts w:asciiTheme="majorHAnsi" w:hAnsiTheme="majorHAnsi"/>
          <w:b/>
          <w:sz w:val="20"/>
          <w:szCs w:val="20"/>
          <w:lang w:val="es-ES_tradnl"/>
        </w:rPr>
        <w:t xml:space="preserve"> </w:t>
      </w:r>
    </w:p>
    <w:p w14:paraId="46AC04C7" w14:textId="792F7B33" w:rsidR="003F74B4" w:rsidRPr="00C22AD0" w:rsidRDefault="0051394A" w:rsidP="009A4B55">
      <w:pPr>
        <w:pStyle w:val="ListParagraph"/>
        <w:numPr>
          <w:ilvl w:val="0"/>
          <w:numId w:val="60"/>
        </w:numPr>
        <w:spacing w:before="240" w:after="240"/>
        <w:ind w:firstLine="720"/>
        <w:jc w:val="both"/>
        <w:rPr>
          <w:rFonts w:asciiTheme="majorHAnsi" w:hAnsiTheme="majorHAnsi"/>
          <w:bCs/>
          <w:sz w:val="20"/>
          <w:szCs w:val="20"/>
          <w:lang w:val="es-ES_tradnl"/>
        </w:rPr>
      </w:pPr>
      <w:r w:rsidRPr="00C22AD0">
        <w:rPr>
          <w:rFonts w:asciiTheme="majorHAnsi" w:hAnsiTheme="majorHAnsi"/>
          <w:bCs/>
          <w:sz w:val="20"/>
          <w:szCs w:val="20"/>
          <w:lang w:val="es-ES_tradnl"/>
        </w:rPr>
        <w:t xml:space="preserve">La parte peticionaria </w:t>
      </w:r>
      <w:r w:rsidR="008942B0" w:rsidRPr="00C22AD0">
        <w:rPr>
          <w:rFonts w:asciiTheme="majorHAnsi" w:hAnsiTheme="majorHAnsi"/>
          <w:bCs/>
          <w:sz w:val="20"/>
          <w:szCs w:val="20"/>
          <w:lang w:val="es-ES_tradnl"/>
        </w:rPr>
        <w:t>solicit</w:t>
      </w:r>
      <w:r w:rsidRPr="00C22AD0">
        <w:rPr>
          <w:rFonts w:asciiTheme="majorHAnsi" w:hAnsiTheme="majorHAnsi"/>
          <w:bCs/>
          <w:sz w:val="20"/>
          <w:szCs w:val="20"/>
          <w:lang w:val="es-ES_tradnl"/>
        </w:rPr>
        <w:t xml:space="preserve">a </w:t>
      </w:r>
      <w:r w:rsidR="002A7789" w:rsidRPr="00C22AD0">
        <w:rPr>
          <w:rFonts w:asciiTheme="majorHAnsi" w:hAnsiTheme="majorHAnsi"/>
          <w:bCs/>
          <w:sz w:val="20"/>
          <w:szCs w:val="20"/>
          <w:lang w:val="es-ES_tradnl"/>
        </w:rPr>
        <w:t xml:space="preserve">que se declare </w:t>
      </w:r>
      <w:r w:rsidRPr="00C22AD0">
        <w:rPr>
          <w:rFonts w:asciiTheme="majorHAnsi" w:hAnsiTheme="majorHAnsi"/>
          <w:bCs/>
          <w:sz w:val="20"/>
          <w:szCs w:val="20"/>
          <w:lang w:val="es-ES_tradnl"/>
        </w:rPr>
        <w:t xml:space="preserve">la </w:t>
      </w:r>
      <w:r w:rsidR="006F4622" w:rsidRPr="00C22AD0">
        <w:rPr>
          <w:rFonts w:asciiTheme="majorHAnsi" w:hAnsiTheme="majorHAnsi"/>
          <w:bCs/>
          <w:sz w:val="20"/>
          <w:szCs w:val="20"/>
          <w:lang w:val="es-ES_tradnl"/>
        </w:rPr>
        <w:t xml:space="preserve">responsabilidad del Estado </w:t>
      </w:r>
      <w:r w:rsidR="007804BA" w:rsidRPr="00C22AD0">
        <w:rPr>
          <w:rFonts w:asciiTheme="majorHAnsi" w:hAnsiTheme="majorHAnsi"/>
          <w:bCs/>
          <w:sz w:val="20"/>
          <w:szCs w:val="20"/>
          <w:lang w:val="es-ES_tradnl"/>
        </w:rPr>
        <w:t xml:space="preserve">colombiano </w:t>
      </w:r>
      <w:r w:rsidR="006F4622" w:rsidRPr="00C22AD0">
        <w:rPr>
          <w:rFonts w:asciiTheme="majorHAnsi" w:hAnsiTheme="majorHAnsi"/>
          <w:bCs/>
          <w:sz w:val="20"/>
          <w:szCs w:val="20"/>
          <w:lang w:val="es-ES_tradnl"/>
        </w:rPr>
        <w:t>por el asesinato, desaparición forzada y secuestro de</w:t>
      </w:r>
      <w:r w:rsidR="00B80F22" w:rsidRPr="00C22AD0">
        <w:rPr>
          <w:rFonts w:asciiTheme="majorHAnsi" w:hAnsiTheme="majorHAnsi"/>
          <w:bCs/>
          <w:sz w:val="20"/>
          <w:szCs w:val="20"/>
          <w:lang w:val="es-ES_tradnl"/>
        </w:rPr>
        <w:t xml:space="preserve"> </w:t>
      </w:r>
      <w:r w:rsidR="00357DFA" w:rsidRPr="00C22AD0">
        <w:rPr>
          <w:rFonts w:asciiTheme="majorHAnsi" w:hAnsiTheme="majorHAnsi"/>
          <w:bCs/>
          <w:sz w:val="20"/>
          <w:szCs w:val="20"/>
          <w:lang w:val="es-ES_tradnl"/>
        </w:rPr>
        <w:t>veintiún</w:t>
      </w:r>
      <w:r w:rsidR="00985AD4" w:rsidRPr="00C22AD0">
        <w:rPr>
          <w:rFonts w:asciiTheme="majorHAnsi" w:hAnsiTheme="majorHAnsi"/>
          <w:bCs/>
          <w:sz w:val="20"/>
          <w:szCs w:val="20"/>
          <w:lang w:val="es-ES_tradnl"/>
        </w:rPr>
        <w:t xml:space="preserve"> agentes de la fuerza pública durante una incursión guerrillera en el municipio de Puerto Rico, departamento del Meta, entre el 10 y el 12 de julio de 1999.</w:t>
      </w:r>
    </w:p>
    <w:p w14:paraId="0A0BC6E9" w14:textId="00A5280A" w:rsidR="009A4B55" w:rsidRPr="00C22AD0" w:rsidRDefault="00A82543" w:rsidP="009A4B55">
      <w:pPr>
        <w:pStyle w:val="ListParagraph"/>
        <w:numPr>
          <w:ilvl w:val="0"/>
          <w:numId w:val="60"/>
        </w:numPr>
        <w:spacing w:before="240"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Los peticionarios relatan que e</w:t>
      </w:r>
      <w:r w:rsidR="00352734" w:rsidRPr="00C22AD0">
        <w:rPr>
          <w:rFonts w:asciiTheme="majorHAnsi" w:hAnsiTheme="majorHAnsi"/>
          <w:sz w:val="20"/>
          <w:szCs w:val="20"/>
          <w:lang w:val="es-ES_tradnl"/>
        </w:rPr>
        <w:t>ntre el 10 y 12 de ju</w:t>
      </w:r>
      <w:r w:rsidR="00E60420" w:rsidRPr="00C22AD0">
        <w:rPr>
          <w:rFonts w:asciiTheme="majorHAnsi" w:hAnsiTheme="majorHAnsi"/>
          <w:sz w:val="20"/>
          <w:szCs w:val="20"/>
          <w:lang w:val="es-ES_tradnl"/>
        </w:rPr>
        <w:t>l</w:t>
      </w:r>
      <w:r w:rsidR="00352734" w:rsidRPr="00C22AD0">
        <w:rPr>
          <w:rFonts w:asciiTheme="majorHAnsi" w:hAnsiTheme="majorHAnsi"/>
          <w:sz w:val="20"/>
          <w:szCs w:val="20"/>
          <w:lang w:val="es-ES_tradnl"/>
        </w:rPr>
        <w:t>io</w:t>
      </w:r>
      <w:r w:rsidR="00E60420" w:rsidRPr="00C22AD0">
        <w:rPr>
          <w:rFonts w:asciiTheme="majorHAnsi" w:hAnsiTheme="majorHAnsi"/>
          <w:sz w:val="20"/>
          <w:szCs w:val="20"/>
          <w:lang w:val="es-ES_tradnl"/>
        </w:rPr>
        <w:t xml:space="preserve"> de 1999</w:t>
      </w:r>
      <w:r w:rsidRPr="00C22AD0">
        <w:rPr>
          <w:rFonts w:asciiTheme="majorHAnsi" w:hAnsiTheme="majorHAnsi"/>
          <w:sz w:val="20"/>
          <w:szCs w:val="20"/>
          <w:lang w:val="es-ES_tradnl"/>
        </w:rPr>
        <w:t xml:space="preserve"> la guerrilla de las Fuerzas Armadas Revolucionarias de Colombia (en adelante “FARC”)</w:t>
      </w:r>
      <w:r w:rsidR="001D5528" w:rsidRPr="00C22AD0">
        <w:rPr>
          <w:rFonts w:asciiTheme="majorHAnsi" w:hAnsiTheme="majorHAnsi"/>
          <w:sz w:val="20"/>
          <w:szCs w:val="20"/>
          <w:lang w:val="es-ES_tradnl"/>
        </w:rPr>
        <w:t xml:space="preserve"> </w:t>
      </w:r>
      <w:r w:rsidR="00A72FF8" w:rsidRPr="00C22AD0">
        <w:rPr>
          <w:rFonts w:asciiTheme="majorHAnsi" w:hAnsiTheme="majorHAnsi"/>
          <w:sz w:val="20"/>
          <w:szCs w:val="20"/>
          <w:lang w:val="es-ES_tradnl"/>
        </w:rPr>
        <w:t>ejecut</w:t>
      </w:r>
      <w:r w:rsidR="00A70DD5" w:rsidRPr="00C22AD0">
        <w:rPr>
          <w:rFonts w:asciiTheme="majorHAnsi" w:hAnsiTheme="majorHAnsi"/>
          <w:sz w:val="20"/>
          <w:szCs w:val="20"/>
          <w:lang w:val="es-ES_tradnl"/>
        </w:rPr>
        <w:t xml:space="preserve">ó un ataque </w:t>
      </w:r>
      <w:r w:rsidR="00357DFA" w:rsidRPr="00C22AD0">
        <w:rPr>
          <w:rFonts w:asciiTheme="majorHAnsi" w:hAnsiTheme="majorHAnsi"/>
          <w:sz w:val="20"/>
          <w:szCs w:val="20"/>
          <w:lang w:val="es-ES_tradnl"/>
        </w:rPr>
        <w:t>al</w:t>
      </w:r>
      <w:r w:rsidR="00A72FF8" w:rsidRPr="00C22AD0">
        <w:rPr>
          <w:rFonts w:asciiTheme="majorHAnsi" w:hAnsiTheme="majorHAnsi"/>
          <w:sz w:val="20"/>
          <w:szCs w:val="20"/>
          <w:lang w:val="es-ES_tradnl"/>
        </w:rPr>
        <w:t xml:space="preserve"> municipio donde prestaban servicio las presuntas víctimas, en una redada de aproximadamente </w:t>
      </w:r>
      <w:r w:rsidR="00357DFA" w:rsidRPr="00C22AD0">
        <w:rPr>
          <w:rFonts w:asciiTheme="majorHAnsi" w:hAnsiTheme="majorHAnsi"/>
          <w:sz w:val="20"/>
          <w:szCs w:val="20"/>
          <w:lang w:val="es-ES_tradnl"/>
        </w:rPr>
        <w:t>dos mil</w:t>
      </w:r>
      <w:r w:rsidR="00213CCA" w:rsidRPr="00C22AD0">
        <w:rPr>
          <w:rFonts w:asciiTheme="majorHAnsi" w:hAnsiTheme="majorHAnsi"/>
          <w:sz w:val="20"/>
          <w:szCs w:val="20"/>
          <w:lang w:val="es-ES_tradnl"/>
        </w:rPr>
        <w:t xml:space="preserve"> guerrilleros, en la </w:t>
      </w:r>
      <w:r w:rsidR="00357DFA" w:rsidRPr="00C22AD0">
        <w:rPr>
          <w:rFonts w:asciiTheme="majorHAnsi" w:hAnsiTheme="majorHAnsi"/>
          <w:sz w:val="20"/>
          <w:szCs w:val="20"/>
          <w:lang w:val="es-ES_tradnl"/>
        </w:rPr>
        <w:t>que</w:t>
      </w:r>
      <w:r w:rsidR="001D5528" w:rsidRPr="00C22AD0">
        <w:rPr>
          <w:rFonts w:asciiTheme="majorHAnsi" w:hAnsiTheme="majorHAnsi"/>
          <w:sz w:val="20"/>
          <w:szCs w:val="20"/>
          <w:lang w:val="es-ES_tradnl"/>
        </w:rPr>
        <w:t xml:space="preserve"> </w:t>
      </w:r>
      <w:r w:rsidR="00213CCA" w:rsidRPr="00C22AD0">
        <w:rPr>
          <w:rFonts w:asciiTheme="majorHAnsi" w:hAnsiTheme="majorHAnsi"/>
          <w:sz w:val="20"/>
          <w:szCs w:val="20"/>
          <w:lang w:val="es-ES_tradnl"/>
        </w:rPr>
        <w:t xml:space="preserve">las presuntas víctimas </w:t>
      </w:r>
      <w:r w:rsidR="00357DFA" w:rsidRPr="00C22AD0">
        <w:rPr>
          <w:rFonts w:asciiTheme="majorHAnsi" w:hAnsiTheme="majorHAnsi"/>
          <w:sz w:val="20"/>
          <w:szCs w:val="20"/>
          <w:lang w:val="es-ES_tradnl"/>
        </w:rPr>
        <w:t>fueron</w:t>
      </w:r>
      <w:r w:rsidR="00213CCA" w:rsidRPr="00C22AD0">
        <w:rPr>
          <w:rFonts w:asciiTheme="majorHAnsi" w:hAnsiTheme="majorHAnsi"/>
          <w:sz w:val="20"/>
          <w:szCs w:val="20"/>
          <w:lang w:val="es-ES_tradnl"/>
        </w:rPr>
        <w:t xml:space="preserve"> ejecutadas, desaparecidas o secuestradas. </w:t>
      </w:r>
      <w:r w:rsidR="008B6EF7" w:rsidRPr="00C22AD0">
        <w:rPr>
          <w:rFonts w:asciiTheme="majorHAnsi" w:hAnsiTheme="majorHAnsi"/>
          <w:sz w:val="20"/>
          <w:szCs w:val="20"/>
          <w:lang w:val="es-ES_tradnl"/>
        </w:rPr>
        <w:t xml:space="preserve">La parte peticionaria sostiene que, a </w:t>
      </w:r>
      <w:r w:rsidR="001D5528" w:rsidRPr="00C22AD0">
        <w:rPr>
          <w:rFonts w:asciiTheme="majorHAnsi" w:hAnsiTheme="majorHAnsi"/>
          <w:sz w:val="20"/>
          <w:szCs w:val="20"/>
          <w:lang w:val="es-ES_tradnl"/>
        </w:rPr>
        <w:t xml:space="preserve">pesar de </w:t>
      </w:r>
      <w:r w:rsidR="008B6EF7" w:rsidRPr="00C22AD0">
        <w:rPr>
          <w:rFonts w:asciiTheme="majorHAnsi" w:hAnsiTheme="majorHAnsi"/>
          <w:sz w:val="20"/>
          <w:szCs w:val="20"/>
          <w:lang w:val="es-ES_tradnl"/>
        </w:rPr>
        <w:t xml:space="preserve">que el Estado tenía </w:t>
      </w:r>
      <w:r w:rsidR="001D5528" w:rsidRPr="00C22AD0">
        <w:rPr>
          <w:rFonts w:asciiTheme="majorHAnsi" w:hAnsiTheme="majorHAnsi"/>
          <w:sz w:val="20"/>
          <w:szCs w:val="20"/>
          <w:lang w:val="es-ES_tradnl"/>
        </w:rPr>
        <w:t xml:space="preserve">conocimiento de la reiterada presencia guerrillera en </w:t>
      </w:r>
      <w:r w:rsidR="009A3B2F" w:rsidRPr="00C22AD0">
        <w:rPr>
          <w:rFonts w:asciiTheme="majorHAnsi" w:hAnsiTheme="majorHAnsi"/>
          <w:sz w:val="20"/>
          <w:szCs w:val="20"/>
          <w:lang w:val="es-ES_tradnl"/>
        </w:rPr>
        <w:t>cercanías</w:t>
      </w:r>
      <w:r w:rsidR="001D5528" w:rsidRPr="00C22AD0">
        <w:rPr>
          <w:rFonts w:asciiTheme="majorHAnsi" w:hAnsiTheme="majorHAnsi"/>
          <w:sz w:val="20"/>
          <w:szCs w:val="20"/>
          <w:lang w:val="es-ES_tradnl"/>
        </w:rPr>
        <w:t xml:space="preserve"> a Puerto Rico, </w:t>
      </w:r>
      <w:r w:rsidR="008B6EF7" w:rsidRPr="00C22AD0">
        <w:rPr>
          <w:rFonts w:asciiTheme="majorHAnsi" w:hAnsiTheme="majorHAnsi"/>
          <w:sz w:val="20"/>
          <w:szCs w:val="20"/>
          <w:lang w:val="es-ES_tradnl"/>
        </w:rPr>
        <w:t>“</w:t>
      </w:r>
      <w:r w:rsidR="0073365F" w:rsidRPr="00C22AD0">
        <w:rPr>
          <w:rFonts w:asciiTheme="majorHAnsi" w:hAnsiTheme="majorHAnsi"/>
          <w:i/>
          <w:iCs/>
          <w:sz w:val="20"/>
          <w:szCs w:val="20"/>
          <w:lang w:val="es-ES_tradnl"/>
        </w:rPr>
        <w:t>no tomó las prevenciones y medios de control, protección y defensa necesarios que garantizaran los derechos de los miembros de la Fuerza Pública</w:t>
      </w:r>
      <w:r w:rsidR="008B6EF7" w:rsidRPr="00C22AD0">
        <w:rPr>
          <w:rFonts w:asciiTheme="majorHAnsi" w:hAnsiTheme="majorHAnsi"/>
          <w:sz w:val="20"/>
          <w:szCs w:val="20"/>
          <w:lang w:val="es-ES_tradnl"/>
        </w:rPr>
        <w:t>”</w:t>
      </w:r>
      <w:r w:rsidR="0073365F" w:rsidRPr="00C22AD0">
        <w:rPr>
          <w:rFonts w:asciiTheme="majorHAnsi" w:hAnsiTheme="majorHAnsi"/>
          <w:sz w:val="20"/>
          <w:szCs w:val="20"/>
          <w:lang w:val="es-ES_tradnl"/>
        </w:rPr>
        <w:t>.</w:t>
      </w:r>
      <w:r w:rsidR="00B607DE" w:rsidRPr="00C22AD0">
        <w:rPr>
          <w:rFonts w:asciiTheme="majorHAnsi" w:hAnsiTheme="majorHAnsi"/>
          <w:sz w:val="20"/>
          <w:szCs w:val="20"/>
          <w:lang w:val="es-ES_tradnl"/>
        </w:rPr>
        <w:t xml:space="preserve"> </w:t>
      </w:r>
      <w:r w:rsidR="00D445D2" w:rsidRPr="00C22AD0">
        <w:rPr>
          <w:rFonts w:asciiTheme="majorHAnsi" w:hAnsiTheme="majorHAnsi"/>
          <w:sz w:val="20"/>
          <w:szCs w:val="20"/>
          <w:lang w:val="es-ES_tradnl"/>
        </w:rPr>
        <w:t xml:space="preserve">Aseguran que en el departamento del Meta </w:t>
      </w:r>
      <w:r w:rsidR="004A111B" w:rsidRPr="00C22AD0">
        <w:rPr>
          <w:rFonts w:asciiTheme="majorHAnsi" w:hAnsiTheme="majorHAnsi"/>
          <w:sz w:val="20"/>
          <w:szCs w:val="20"/>
          <w:lang w:val="es-ES_tradnl"/>
        </w:rPr>
        <w:t xml:space="preserve">había </w:t>
      </w:r>
      <w:r w:rsidR="00D445D2" w:rsidRPr="00C22AD0">
        <w:rPr>
          <w:rFonts w:asciiTheme="majorHAnsi" w:hAnsiTheme="majorHAnsi"/>
          <w:sz w:val="20"/>
          <w:szCs w:val="20"/>
          <w:lang w:val="es-ES_tradnl"/>
        </w:rPr>
        <w:t xml:space="preserve">altos mandos militares y policivos con tropa suficiente, armamento y </w:t>
      </w:r>
      <w:r w:rsidR="004A111B" w:rsidRPr="00C22AD0">
        <w:rPr>
          <w:rFonts w:asciiTheme="majorHAnsi" w:hAnsiTheme="majorHAnsi"/>
          <w:sz w:val="20"/>
          <w:szCs w:val="20"/>
          <w:lang w:val="es-ES_tradnl"/>
        </w:rPr>
        <w:t xml:space="preserve">otras condiciones </w:t>
      </w:r>
      <w:r w:rsidR="00D445D2" w:rsidRPr="00C22AD0">
        <w:rPr>
          <w:rFonts w:asciiTheme="majorHAnsi" w:hAnsiTheme="majorHAnsi"/>
          <w:sz w:val="20"/>
          <w:szCs w:val="20"/>
          <w:lang w:val="es-ES_tradnl"/>
        </w:rPr>
        <w:t xml:space="preserve">logísticas </w:t>
      </w:r>
      <w:r w:rsidR="004A111B" w:rsidRPr="00C22AD0">
        <w:rPr>
          <w:rFonts w:asciiTheme="majorHAnsi" w:hAnsiTheme="majorHAnsi"/>
          <w:sz w:val="20"/>
          <w:szCs w:val="20"/>
          <w:lang w:val="es-ES_tradnl"/>
        </w:rPr>
        <w:t>“</w:t>
      </w:r>
      <w:r w:rsidR="00D445D2" w:rsidRPr="00C22AD0">
        <w:rPr>
          <w:rFonts w:asciiTheme="majorHAnsi" w:hAnsiTheme="majorHAnsi"/>
          <w:i/>
          <w:iCs/>
          <w:sz w:val="20"/>
          <w:szCs w:val="20"/>
          <w:lang w:val="es-ES_tradnl"/>
        </w:rPr>
        <w:t>que hubiera evitado la presencia guerrillera</w:t>
      </w:r>
      <w:r w:rsidR="00D445D2" w:rsidRPr="00C22AD0">
        <w:rPr>
          <w:rFonts w:asciiTheme="majorHAnsi" w:hAnsiTheme="majorHAnsi"/>
          <w:sz w:val="20"/>
          <w:szCs w:val="20"/>
          <w:lang w:val="es-ES_tradnl"/>
        </w:rPr>
        <w:t>”.</w:t>
      </w:r>
    </w:p>
    <w:p w14:paraId="15C80652" w14:textId="17630E3C" w:rsidR="00422233" w:rsidRPr="00C22AD0" w:rsidRDefault="000425A7" w:rsidP="00902E3A">
      <w:pPr>
        <w:pStyle w:val="ListParagraph"/>
        <w:numPr>
          <w:ilvl w:val="0"/>
          <w:numId w:val="60"/>
        </w:numPr>
        <w:spacing w:before="240"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La parte </w:t>
      </w:r>
      <w:r w:rsidR="009A4B55" w:rsidRPr="00C22AD0">
        <w:rPr>
          <w:rFonts w:asciiTheme="majorHAnsi" w:hAnsiTheme="majorHAnsi"/>
          <w:sz w:val="20"/>
          <w:szCs w:val="20"/>
          <w:lang w:val="es-ES_tradnl"/>
        </w:rPr>
        <w:t xml:space="preserve">peticionaria </w:t>
      </w:r>
      <w:r w:rsidR="008A2649" w:rsidRPr="00C22AD0">
        <w:rPr>
          <w:rFonts w:asciiTheme="majorHAnsi" w:hAnsiTheme="majorHAnsi"/>
          <w:sz w:val="20"/>
          <w:szCs w:val="20"/>
          <w:lang w:val="es-ES_tradnl"/>
        </w:rPr>
        <w:t xml:space="preserve">narra que los familiares de </w:t>
      </w:r>
      <w:r w:rsidR="00956DE5" w:rsidRPr="00C22AD0">
        <w:rPr>
          <w:rFonts w:asciiTheme="majorHAnsi" w:hAnsiTheme="majorHAnsi"/>
          <w:bCs/>
          <w:sz w:val="20"/>
          <w:szCs w:val="20"/>
          <w:lang w:val="es-ES_tradnl"/>
        </w:rPr>
        <w:t xml:space="preserve">Luis Alberto Calderón Pardo, Fredy </w:t>
      </w:r>
      <w:r w:rsidR="00E9392E" w:rsidRPr="00C22AD0">
        <w:rPr>
          <w:rFonts w:asciiTheme="majorHAnsi" w:hAnsiTheme="majorHAnsi"/>
          <w:bCs/>
          <w:sz w:val="20"/>
          <w:szCs w:val="20"/>
          <w:lang w:val="es-ES_tradnl"/>
        </w:rPr>
        <w:t>Fabián</w:t>
      </w:r>
      <w:r w:rsidR="00956DE5" w:rsidRPr="00C22AD0">
        <w:rPr>
          <w:rFonts w:asciiTheme="majorHAnsi" w:hAnsiTheme="majorHAnsi"/>
          <w:bCs/>
          <w:sz w:val="20"/>
          <w:szCs w:val="20"/>
          <w:lang w:val="es-ES_tradnl"/>
        </w:rPr>
        <w:t xml:space="preserve"> Torres Beltrán, Jorge Heladio Ortiz Quimbay, Jhon Jairo Giraldo Gonzales</w:t>
      </w:r>
      <w:r w:rsidR="008028DA" w:rsidRPr="00C22AD0">
        <w:rPr>
          <w:rFonts w:asciiTheme="majorHAnsi" w:hAnsiTheme="majorHAnsi"/>
          <w:bCs/>
          <w:sz w:val="20"/>
          <w:szCs w:val="20"/>
          <w:lang w:val="es-ES_tradnl"/>
        </w:rPr>
        <w:t xml:space="preserve"> y</w:t>
      </w:r>
      <w:r w:rsidR="00956DE5" w:rsidRPr="00C22AD0">
        <w:rPr>
          <w:rFonts w:asciiTheme="majorHAnsi" w:hAnsiTheme="majorHAnsi"/>
          <w:bCs/>
          <w:sz w:val="20"/>
          <w:szCs w:val="20"/>
          <w:lang w:val="es-ES_tradnl"/>
        </w:rPr>
        <w:t xml:space="preserve"> José Adonay Niño D</w:t>
      </w:r>
      <w:r w:rsidR="008C44CB" w:rsidRPr="00C22AD0">
        <w:rPr>
          <w:rFonts w:asciiTheme="majorHAnsi" w:hAnsiTheme="majorHAnsi"/>
          <w:bCs/>
          <w:sz w:val="20"/>
          <w:szCs w:val="20"/>
          <w:lang w:val="es-ES_tradnl"/>
        </w:rPr>
        <w:t>í</w:t>
      </w:r>
      <w:r w:rsidR="00956DE5" w:rsidRPr="00C22AD0">
        <w:rPr>
          <w:rFonts w:asciiTheme="majorHAnsi" w:hAnsiTheme="majorHAnsi"/>
          <w:bCs/>
          <w:sz w:val="20"/>
          <w:szCs w:val="20"/>
          <w:lang w:val="es-ES_tradnl"/>
        </w:rPr>
        <w:t xml:space="preserve">az interpusieron una demanda de reparación directa ante la jurisdicción contencioso-administrativa, que sería denegada </w:t>
      </w:r>
      <w:r w:rsidR="001A489D" w:rsidRPr="00C22AD0">
        <w:rPr>
          <w:rFonts w:asciiTheme="majorHAnsi" w:hAnsiTheme="majorHAnsi"/>
          <w:bCs/>
          <w:sz w:val="20"/>
          <w:szCs w:val="20"/>
          <w:lang w:val="es-ES_tradnl"/>
        </w:rPr>
        <w:t>por el Tribunal Administrativo del Meta</w:t>
      </w:r>
      <w:r w:rsidR="00956DE5" w:rsidRPr="00C22AD0">
        <w:rPr>
          <w:rFonts w:asciiTheme="majorHAnsi" w:hAnsiTheme="majorHAnsi"/>
          <w:bCs/>
          <w:sz w:val="20"/>
          <w:szCs w:val="20"/>
          <w:lang w:val="es-ES_tradnl"/>
        </w:rPr>
        <w:t xml:space="preserve">. </w:t>
      </w:r>
      <w:r w:rsidR="00577792" w:rsidRPr="00C22AD0">
        <w:rPr>
          <w:rFonts w:asciiTheme="majorHAnsi" w:hAnsiTheme="majorHAnsi"/>
          <w:bCs/>
          <w:sz w:val="20"/>
          <w:szCs w:val="20"/>
          <w:lang w:val="es-ES_tradnl"/>
        </w:rPr>
        <w:t>Como prueba de ello</w:t>
      </w:r>
      <w:r w:rsidR="00B25C58" w:rsidRPr="00C22AD0">
        <w:rPr>
          <w:rFonts w:asciiTheme="majorHAnsi" w:hAnsiTheme="majorHAnsi"/>
          <w:bCs/>
          <w:sz w:val="20"/>
          <w:szCs w:val="20"/>
          <w:lang w:val="es-ES_tradnl"/>
        </w:rPr>
        <w:t>,</w:t>
      </w:r>
      <w:r w:rsidR="00577792" w:rsidRPr="00C22AD0">
        <w:rPr>
          <w:rFonts w:asciiTheme="majorHAnsi" w:hAnsiTheme="majorHAnsi"/>
          <w:bCs/>
          <w:sz w:val="20"/>
          <w:szCs w:val="20"/>
          <w:lang w:val="es-ES_tradnl"/>
        </w:rPr>
        <w:t xml:space="preserve"> anexan </w:t>
      </w:r>
      <w:r w:rsidR="00387160" w:rsidRPr="00C22AD0">
        <w:rPr>
          <w:rFonts w:asciiTheme="majorHAnsi" w:hAnsiTheme="majorHAnsi"/>
          <w:bCs/>
          <w:sz w:val="20"/>
          <w:szCs w:val="20"/>
          <w:lang w:val="es-ES_tradnl"/>
        </w:rPr>
        <w:t xml:space="preserve">todo el expediente del proceso contencioso-administrativo, incluyendo </w:t>
      </w:r>
      <w:r w:rsidR="00577792" w:rsidRPr="00C22AD0">
        <w:rPr>
          <w:rFonts w:asciiTheme="majorHAnsi" w:hAnsiTheme="majorHAnsi"/>
          <w:bCs/>
          <w:sz w:val="20"/>
          <w:szCs w:val="20"/>
          <w:lang w:val="es-ES_tradnl"/>
        </w:rPr>
        <w:t xml:space="preserve">la sentencia del </w:t>
      </w:r>
      <w:r w:rsidR="001A489D" w:rsidRPr="00C22AD0">
        <w:rPr>
          <w:rFonts w:asciiTheme="majorHAnsi" w:hAnsiTheme="majorHAnsi"/>
          <w:sz w:val="20"/>
          <w:szCs w:val="20"/>
          <w:lang w:val="es-ES_tradnl"/>
        </w:rPr>
        <w:t xml:space="preserve">Tribunal </w:t>
      </w:r>
      <w:r w:rsidR="00577792" w:rsidRPr="00C22AD0">
        <w:rPr>
          <w:rFonts w:asciiTheme="majorHAnsi" w:hAnsiTheme="majorHAnsi"/>
          <w:sz w:val="20"/>
          <w:szCs w:val="20"/>
          <w:lang w:val="es-ES_tradnl"/>
        </w:rPr>
        <w:t xml:space="preserve">proferida el </w:t>
      </w:r>
      <w:r w:rsidR="00AB0063" w:rsidRPr="00C22AD0">
        <w:rPr>
          <w:rFonts w:asciiTheme="majorHAnsi" w:hAnsiTheme="majorHAnsi"/>
          <w:sz w:val="20"/>
          <w:szCs w:val="20"/>
          <w:lang w:val="es-ES_tradnl"/>
        </w:rPr>
        <w:t>7 de septiembre de 2006</w:t>
      </w:r>
      <w:r w:rsidR="00577792" w:rsidRPr="00C22AD0">
        <w:rPr>
          <w:rFonts w:asciiTheme="majorHAnsi" w:hAnsiTheme="majorHAnsi"/>
          <w:sz w:val="20"/>
          <w:szCs w:val="20"/>
          <w:lang w:val="es-ES_tradnl"/>
        </w:rPr>
        <w:t>, que les fue notificada mediante</w:t>
      </w:r>
      <w:r w:rsidR="0011166F" w:rsidRPr="00C22AD0">
        <w:rPr>
          <w:rFonts w:asciiTheme="majorHAnsi" w:hAnsiTheme="majorHAnsi"/>
          <w:sz w:val="20"/>
          <w:szCs w:val="20"/>
          <w:lang w:val="es-ES_tradnl"/>
        </w:rPr>
        <w:t xml:space="preserve"> </w:t>
      </w:r>
      <w:r w:rsidR="00577792" w:rsidRPr="00C22AD0">
        <w:rPr>
          <w:rFonts w:asciiTheme="majorHAnsi" w:hAnsiTheme="majorHAnsi"/>
          <w:sz w:val="20"/>
          <w:szCs w:val="20"/>
          <w:lang w:val="es-ES_tradnl"/>
        </w:rPr>
        <w:t>e</w:t>
      </w:r>
      <w:r w:rsidR="0011166F" w:rsidRPr="00C22AD0">
        <w:rPr>
          <w:rFonts w:asciiTheme="majorHAnsi" w:hAnsiTheme="majorHAnsi"/>
          <w:sz w:val="20"/>
          <w:szCs w:val="20"/>
          <w:lang w:val="es-ES_tradnl"/>
        </w:rPr>
        <w:t xml:space="preserve">dicto </w:t>
      </w:r>
      <w:r w:rsidR="004854D5" w:rsidRPr="00C22AD0">
        <w:rPr>
          <w:rFonts w:asciiTheme="majorHAnsi" w:hAnsiTheme="majorHAnsi"/>
          <w:sz w:val="20"/>
          <w:szCs w:val="20"/>
          <w:lang w:val="es-ES_tradnl"/>
        </w:rPr>
        <w:t>fijado hasta el 22 de septiembre de 2006.</w:t>
      </w:r>
      <w:r w:rsidR="001A489D" w:rsidRPr="00C22AD0">
        <w:rPr>
          <w:rFonts w:asciiTheme="majorHAnsi" w:hAnsiTheme="majorHAnsi"/>
          <w:sz w:val="20"/>
          <w:szCs w:val="20"/>
          <w:lang w:val="es-ES_tradnl"/>
        </w:rPr>
        <w:t xml:space="preserve"> </w:t>
      </w:r>
      <w:r w:rsidR="00C64604" w:rsidRPr="00C22AD0">
        <w:rPr>
          <w:rFonts w:asciiTheme="majorHAnsi" w:hAnsiTheme="majorHAnsi"/>
          <w:sz w:val="20"/>
          <w:szCs w:val="20"/>
          <w:lang w:val="es-ES_tradnl"/>
        </w:rPr>
        <w:t>La parte peticionaria no ofrece detalles sobre el resultado del recurso de apelación interpuesto contra dicha sentencia, pero el Estado informa que el recurso fue rechazado por tratarse de un proceso de única instancia.</w:t>
      </w:r>
    </w:p>
    <w:p w14:paraId="19CED3BA" w14:textId="7CB36CF6" w:rsidR="00A106CF" w:rsidRPr="00C22AD0" w:rsidRDefault="00A106CF" w:rsidP="00902E3A">
      <w:pPr>
        <w:pStyle w:val="ListParagraph"/>
        <w:numPr>
          <w:ilvl w:val="0"/>
          <w:numId w:val="60"/>
        </w:numPr>
        <w:spacing w:before="240"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En respuesta a las observaciones del Estado, la parte peticionaria </w:t>
      </w:r>
      <w:r w:rsidR="004E00A0" w:rsidRPr="00C22AD0">
        <w:rPr>
          <w:rFonts w:asciiTheme="majorHAnsi" w:hAnsiTheme="majorHAnsi"/>
          <w:sz w:val="20"/>
          <w:szCs w:val="20"/>
          <w:lang w:val="es-ES_tradnl"/>
        </w:rPr>
        <w:t xml:space="preserve">reitera </w:t>
      </w:r>
      <w:r w:rsidRPr="00C22AD0">
        <w:rPr>
          <w:rFonts w:asciiTheme="majorHAnsi" w:hAnsiTheme="majorHAnsi"/>
          <w:sz w:val="20"/>
          <w:szCs w:val="20"/>
          <w:lang w:val="es-ES_tradnl"/>
        </w:rPr>
        <w:t xml:space="preserve">que </w:t>
      </w:r>
      <w:r w:rsidR="001F228C" w:rsidRPr="00C22AD0">
        <w:rPr>
          <w:rFonts w:asciiTheme="majorHAnsi" w:hAnsiTheme="majorHAnsi"/>
          <w:sz w:val="20"/>
          <w:szCs w:val="20"/>
          <w:lang w:val="es-ES_tradnl"/>
        </w:rPr>
        <w:t>los hechos son atribuibles a</w:t>
      </w:r>
      <w:r w:rsidR="004E00A0" w:rsidRPr="00C22AD0">
        <w:rPr>
          <w:rFonts w:asciiTheme="majorHAnsi" w:hAnsiTheme="majorHAnsi"/>
          <w:sz w:val="20"/>
          <w:szCs w:val="20"/>
          <w:lang w:val="es-ES_tradnl"/>
        </w:rPr>
        <w:t>l Estado</w:t>
      </w:r>
      <w:r w:rsidR="001F228C" w:rsidRPr="00C22AD0">
        <w:rPr>
          <w:rFonts w:asciiTheme="majorHAnsi" w:hAnsiTheme="majorHAnsi"/>
          <w:sz w:val="20"/>
          <w:szCs w:val="20"/>
          <w:lang w:val="es-ES_tradnl"/>
        </w:rPr>
        <w:t xml:space="preserve">, pese a que fueron cometidos por terceros, </w:t>
      </w:r>
      <w:r w:rsidR="00C46B95" w:rsidRPr="00C22AD0">
        <w:rPr>
          <w:rFonts w:asciiTheme="majorHAnsi" w:hAnsiTheme="majorHAnsi"/>
          <w:sz w:val="20"/>
          <w:szCs w:val="20"/>
          <w:lang w:val="es-ES_tradnl"/>
        </w:rPr>
        <w:t>por la omisión del Estado de prevenir el ataque y la toma guerrillera del municipio durante tres días.</w:t>
      </w:r>
      <w:r w:rsidR="00712427" w:rsidRPr="00C22AD0">
        <w:rPr>
          <w:rFonts w:asciiTheme="majorHAnsi" w:hAnsiTheme="majorHAnsi"/>
          <w:sz w:val="20"/>
          <w:szCs w:val="20"/>
          <w:lang w:val="es-ES_tradnl"/>
        </w:rPr>
        <w:t xml:space="preserve"> </w:t>
      </w:r>
      <w:r w:rsidR="00C94A5F" w:rsidRPr="00C22AD0">
        <w:rPr>
          <w:rFonts w:asciiTheme="majorHAnsi" w:hAnsiTheme="majorHAnsi"/>
          <w:sz w:val="20"/>
          <w:szCs w:val="20"/>
          <w:lang w:val="es-ES_tradnl"/>
        </w:rPr>
        <w:t xml:space="preserve">Afirman </w:t>
      </w:r>
      <w:r w:rsidR="00A435F0" w:rsidRPr="00C22AD0">
        <w:rPr>
          <w:rFonts w:asciiTheme="majorHAnsi" w:hAnsiTheme="majorHAnsi"/>
          <w:sz w:val="20"/>
          <w:szCs w:val="20"/>
          <w:lang w:val="es-ES_tradnl"/>
        </w:rPr>
        <w:t xml:space="preserve">que la causa </w:t>
      </w:r>
      <w:r w:rsidR="00C94A5F" w:rsidRPr="00C22AD0">
        <w:rPr>
          <w:rFonts w:asciiTheme="majorHAnsi" w:hAnsiTheme="majorHAnsi"/>
          <w:sz w:val="20"/>
          <w:szCs w:val="20"/>
          <w:lang w:val="es-ES_tradnl"/>
        </w:rPr>
        <w:t xml:space="preserve">principal </w:t>
      </w:r>
      <w:r w:rsidR="00A435F0" w:rsidRPr="00C22AD0">
        <w:rPr>
          <w:rFonts w:asciiTheme="majorHAnsi" w:hAnsiTheme="majorHAnsi"/>
          <w:sz w:val="20"/>
          <w:szCs w:val="20"/>
          <w:lang w:val="es-ES_tradnl"/>
        </w:rPr>
        <w:t xml:space="preserve">de las violaciones alegadas </w:t>
      </w:r>
      <w:r w:rsidR="00CC6792" w:rsidRPr="00C22AD0">
        <w:rPr>
          <w:rFonts w:asciiTheme="majorHAnsi" w:hAnsiTheme="majorHAnsi"/>
          <w:sz w:val="20"/>
          <w:szCs w:val="20"/>
          <w:lang w:val="es-ES_tradnl"/>
        </w:rPr>
        <w:t>fu</w:t>
      </w:r>
      <w:r w:rsidR="00A435F0" w:rsidRPr="00C22AD0">
        <w:rPr>
          <w:rFonts w:asciiTheme="majorHAnsi" w:hAnsiTheme="majorHAnsi"/>
          <w:sz w:val="20"/>
          <w:szCs w:val="20"/>
          <w:lang w:val="es-ES_tradnl"/>
        </w:rPr>
        <w:t>e el conflicto armado</w:t>
      </w:r>
      <w:r w:rsidR="00CC6792" w:rsidRPr="00C22AD0">
        <w:rPr>
          <w:rFonts w:asciiTheme="majorHAnsi" w:hAnsiTheme="majorHAnsi"/>
          <w:sz w:val="20"/>
          <w:szCs w:val="20"/>
          <w:lang w:val="es-ES_tradnl"/>
        </w:rPr>
        <w:t xml:space="preserve"> interno del país</w:t>
      </w:r>
      <w:r w:rsidR="00D279C2" w:rsidRPr="00C22AD0">
        <w:rPr>
          <w:rFonts w:asciiTheme="majorHAnsi" w:hAnsiTheme="majorHAnsi"/>
          <w:sz w:val="20"/>
          <w:szCs w:val="20"/>
          <w:lang w:val="es-ES_tradnl"/>
        </w:rPr>
        <w:t>.</w:t>
      </w:r>
      <w:r w:rsidR="00A435F0" w:rsidRPr="00C22AD0">
        <w:rPr>
          <w:rFonts w:asciiTheme="majorHAnsi" w:hAnsiTheme="majorHAnsi"/>
          <w:sz w:val="20"/>
          <w:szCs w:val="20"/>
          <w:lang w:val="es-ES_tradnl"/>
        </w:rPr>
        <w:t xml:space="preserve"> </w:t>
      </w:r>
      <w:r w:rsidR="008D4680" w:rsidRPr="00C22AD0">
        <w:rPr>
          <w:rFonts w:asciiTheme="majorHAnsi" w:hAnsiTheme="majorHAnsi"/>
          <w:sz w:val="20"/>
          <w:szCs w:val="20"/>
          <w:lang w:val="es-ES_tradnl"/>
        </w:rPr>
        <w:t xml:space="preserve">Arguyen que la petición no incurre en la configuración de una cuarta instancia internacional por </w:t>
      </w:r>
      <w:r w:rsidR="008A1E90" w:rsidRPr="00C22AD0">
        <w:rPr>
          <w:rFonts w:asciiTheme="majorHAnsi" w:hAnsiTheme="majorHAnsi"/>
          <w:sz w:val="20"/>
          <w:szCs w:val="20"/>
          <w:lang w:val="es-ES_tradnl"/>
        </w:rPr>
        <w:t>cuanto pretende que se declare responsable al Estado colombiano por su “</w:t>
      </w:r>
      <w:r w:rsidR="008D4680" w:rsidRPr="00C22AD0">
        <w:rPr>
          <w:rFonts w:asciiTheme="majorHAnsi" w:hAnsiTheme="majorHAnsi"/>
          <w:i/>
          <w:iCs/>
          <w:sz w:val="20"/>
          <w:szCs w:val="20"/>
          <w:lang w:val="es-ES_tradnl"/>
        </w:rPr>
        <w:t>comportamiento negligente, permisivo y omisivo</w:t>
      </w:r>
      <w:r w:rsidR="008A1E90" w:rsidRPr="00C22AD0">
        <w:rPr>
          <w:rFonts w:asciiTheme="majorHAnsi" w:hAnsiTheme="majorHAnsi"/>
          <w:sz w:val="20"/>
          <w:szCs w:val="20"/>
          <w:lang w:val="es-ES_tradnl"/>
        </w:rPr>
        <w:t>”</w:t>
      </w:r>
      <w:r w:rsidR="00C31990" w:rsidRPr="00C22AD0">
        <w:rPr>
          <w:rFonts w:asciiTheme="majorHAnsi" w:hAnsiTheme="majorHAnsi"/>
          <w:sz w:val="20"/>
          <w:szCs w:val="20"/>
          <w:lang w:val="es-ES_tradnl"/>
        </w:rPr>
        <w:t xml:space="preserve"> en prevenir el ataque guerrillero</w:t>
      </w:r>
      <w:r w:rsidR="008D4680" w:rsidRPr="00C22AD0">
        <w:rPr>
          <w:rFonts w:asciiTheme="majorHAnsi" w:hAnsiTheme="majorHAnsi"/>
          <w:sz w:val="20"/>
          <w:szCs w:val="20"/>
          <w:lang w:val="es-ES_tradnl"/>
        </w:rPr>
        <w:t>.</w:t>
      </w:r>
      <w:r w:rsidR="008A1E90" w:rsidRPr="00C22AD0">
        <w:rPr>
          <w:rFonts w:asciiTheme="majorHAnsi" w:hAnsiTheme="majorHAnsi"/>
          <w:sz w:val="20"/>
          <w:szCs w:val="20"/>
          <w:lang w:val="es-ES_tradnl"/>
        </w:rPr>
        <w:t xml:space="preserve"> </w:t>
      </w:r>
      <w:r w:rsidR="00712427" w:rsidRPr="00C22AD0">
        <w:rPr>
          <w:rFonts w:asciiTheme="majorHAnsi" w:hAnsiTheme="majorHAnsi"/>
          <w:sz w:val="20"/>
          <w:szCs w:val="20"/>
          <w:lang w:val="es-ES_tradnl"/>
        </w:rPr>
        <w:t>Aducen</w:t>
      </w:r>
      <w:r w:rsidR="008A1E90" w:rsidRPr="00C22AD0">
        <w:rPr>
          <w:rFonts w:asciiTheme="majorHAnsi" w:hAnsiTheme="majorHAnsi"/>
          <w:sz w:val="20"/>
          <w:szCs w:val="20"/>
          <w:lang w:val="es-ES_tradnl"/>
        </w:rPr>
        <w:t xml:space="preserve"> </w:t>
      </w:r>
      <w:r w:rsidR="00712427" w:rsidRPr="00C22AD0">
        <w:rPr>
          <w:rFonts w:asciiTheme="majorHAnsi" w:hAnsiTheme="majorHAnsi"/>
          <w:sz w:val="20"/>
          <w:szCs w:val="20"/>
          <w:lang w:val="es-ES_tradnl"/>
        </w:rPr>
        <w:t xml:space="preserve">que han transcurrido más de </w:t>
      </w:r>
      <w:r w:rsidR="00765047" w:rsidRPr="00C22AD0">
        <w:rPr>
          <w:rFonts w:asciiTheme="majorHAnsi" w:hAnsiTheme="majorHAnsi"/>
          <w:sz w:val="20"/>
          <w:szCs w:val="20"/>
          <w:lang w:val="es-ES_tradnl"/>
        </w:rPr>
        <w:t>diecinueve</w:t>
      </w:r>
      <w:r w:rsidR="00712427" w:rsidRPr="00C22AD0">
        <w:rPr>
          <w:rFonts w:asciiTheme="majorHAnsi" w:hAnsiTheme="majorHAnsi"/>
          <w:sz w:val="20"/>
          <w:szCs w:val="20"/>
          <w:lang w:val="es-ES_tradnl"/>
        </w:rPr>
        <w:t xml:space="preserve"> años sin que los hechos hayan sido esclarecidos y </w:t>
      </w:r>
      <w:r w:rsidR="00E96CB6" w:rsidRPr="00C22AD0">
        <w:rPr>
          <w:rFonts w:asciiTheme="majorHAnsi" w:hAnsiTheme="majorHAnsi"/>
          <w:sz w:val="20"/>
          <w:szCs w:val="20"/>
          <w:lang w:val="es-ES_tradnl"/>
        </w:rPr>
        <w:t xml:space="preserve">sin que </w:t>
      </w:r>
      <w:r w:rsidR="00712427" w:rsidRPr="00C22AD0">
        <w:rPr>
          <w:rFonts w:asciiTheme="majorHAnsi" w:hAnsiTheme="majorHAnsi"/>
          <w:sz w:val="20"/>
          <w:szCs w:val="20"/>
          <w:lang w:val="es-ES_tradnl"/>
        </w:rPr>
        <w:t>todos los responsables hayan sido condenados.</w:t>
      </w:r>
      <w:r w:rsidR="00722121" w:rsidRPr="00C22AD0">
        <w:rPr>
          <w:rFonts w:asciiTheme="majorHAnsi" w:hAnsiTheme="majorHAnsi"/>
          <w:sz w:val="20"/>
          <w:szCs w:val="20"/>
          <w:lang w:val="es-ES_tradnl"/>
        </w:rPr>
        <w:t xml:space="preserve"> </w:t>
      </w:r>
      <w:r w:rsidR="00D11A52" w:rsidRPr="00C22AD0">
        <w:rPr>
          <w:rFonts w:asciiTheme="majorHAnsi" w:hAnsiTheme="majorHAnsi"/>
          <w:sz w:val="20"/>
          <w:szCs w:val="20"/>
          <w:lang w:val="es-ES_tradnl"/>
        </w:rPr>
        <w:t>Así, s</w:t>
      </w:r>
      <w:r w:rsidR="00722121" w:rsidRPr="00C22AD0">
        <w:rPr>
          <w:rFonts w:asciiTheme="majorHAnsi" w:hAnsiTheme="majorHAnsi"/>
          <w:sz w:val="20"/>
          <w:szCs w:val="20"/>
          <w:lang w:val="es-ES_tradnl"/>
        </w:rPr>
        <w:t>ostiene</w:t>
      </w:r>
      <w:r w:rsidR="00D11A52" w:rsidRPr="00C22AD0">
        <w:rPr>
          <w:rFonts w:asciiTheme="majorHAnsi" w:hAnsiTheme="majorHAnsi"/>
          <w:sz w:val="20"/>
          <w:szCs w:val="20"/>
          <w:lang w:val="es-ES_tradnl"/>
        </w:rPr>
        <w:t>n</w:t>
      </w:r>
      <w:r w:rsidR="00722121" w:rsidRPr="00C22AD0">
        <w:rPr>
          <w:rFonts w:asciiTheme="majorHAnsi" w:hAnsiTheme="majorHAnsi"/>
          <w:sz w:val="20"/>
          <w:szCs w:val="20"/>
          <w:lang w:val="es-ES_tradnl"/>
        </w:rPr>
        <w:t xml:space="preserve"> que Colombia no cumplió con </w:t>
      </w:r>
      <w:r w:rsidR="00FA530E" w:rsidRPr="00C22AD0">
        <w:rPr>
          <w:rFonts w:asciiTheme="majorHAnsi" w:hAnsiTheme="majorHAnsi"/>
          <w:sz w:val="20"/>
          <w:szCs w:val="20"/>
          <w:lang w:val="es-ES_tradnl"/>
        </w:rPr>
        <w:t xml:space="preserve">el deber de </w:t>
      </w:r>
      <w:r w:rsidR="00722121" w:rsidRPr="00C22AD0">
        <w:rPr>
          <w:rFonts w:asciiTheme="majorHAnsi" w:hAnsiTheme="majorHAnsi"/>
          <w:sz w:val="20"/>
          <w:szCs w:val="20"/>
          <w:lang w:val="es-ES_tradnl"/>
        </w:rPr>
        <w:t xml:space="preserve">debida diligencia, ni con el plazo razonable </w:t>
      </w:r>
      <w:r w:rsidR="005B36AC" w:rsidRPr="00C22AD0">
        <w:rPr>
          <w:rFonts w:asciiTheme="majorHAnsi" w:hAnsiTheme="majorHAnsi"/>
          <w:sz w:val="20"/>
          <w:szCs w:val="20"/>
          <w:lang w:val="es-ES_tradnl"/>
        </w:rPr>
        <w:t>en la</w:t>
      </w:r>
      <w:r w:rsidR="00722121" w:rsidRPr="00C22AD0">
        <w:rPr>
          <w:rFonts w:asciiTheme="majorHAnsi" w:hAnsiTheme="majorHAnsi"/>
          <w:sz w:val="20"/>
          <w:szCs w:val="20"/>
          <w:lang w:val="es-ES_tradnl"/>
        </w:rPr>
        <w:t xml:space="preserve"> investiga</w:t>
      </w:r>
      <w:r w:rsidR="005B36AC" w:rsidRPr="00C22AD0">
        <w:rPr>
          <w:rFonts w:asciiTheme="majorHAnsi" w:hAnsiTheme="majorHAnsi"/>
          <w:sz w:val="20"/>
          <w:szCs w:val="20"/>
          <w:lang w:val="es-ES_tradnl"/>
        </w:rPr>
        <w:t>ción de</w:t>
      </w:r>
      <w:r w:rsidR="00722121" w:rsidRPr="00C22AD0">
        <w:rPr>
          <w:rFonts w:asciiTheme="majorHAnsi" w:hAnsiTheme="majorHAnsi"/>
          <w:sz w:val="20"/>
          <w:szCs w:val="20"/>
          <w:lang w:val="es-ES_tradnl"/>
        </w:rPr>
        <w:t xml:space="preserve"> los sucesos.</w:t>
      </w:r>
      <w:r w:rsidR="00E33312" w:rsidRPr="00C22AD0">
        <w:rPr>
          <w:rFonts w:asciiTheme="majorHAnsi" w:hAnsiTheme="majorHAnsi"/>
          <w:sz w:val="20"/>
          <w:szCs w:val="20"/>
          <w:lang w:val="es-ES_tradnl"/>
        </w:rPr>
        <w:t xml:space="preserve"> </w:t>
      </w:r>
      <w:r w:rsidR="00765047" w:rsidRPr="00C22AD0">
        <w:rPr>
          <w:rFonts w:asciiTheme="majorHAnsi" w:hAnsiTheme="majorHAnsi"/>
          <w:sz w:val="20"/>
          <w:szCs w:val="20"/>
          <w:lang w:val="es-ES_tradnl"/>
        </w:rPr>
        <w:t>Además,</w:t>
      </w:r>
      <w:r w:rsidR="00E33312" w:rsidRPr="00C22AD0">
        <w:rPr>
          <w:rFonts w:asciiTheme="majorHAnsi" w:hAnsiTheme="majorHAnsi"/>
          <w:sz w:val="20"/>
          <w:szCs w:val="20"/>
          <w:lang w:val="es-ES_tradnl"/>
        </w:rPr>
        <w:t xml:space="preserve"> señala que los familiares</w:t>
      </w:r>
      <w:r w:rsidR="001727CF" w:rsidRPr="00C22AD0">
        <w:rPr>
          <w:rFonts w:asciiTheme="majorHAnsi" w:hAnsiTheme="majorHAnsi"/>
          <w:sz w:val="20"/>
          <w:szCs w:val="20"/>
          <w:lang w:val="es-ES_tradnl"/>
        </w:rPr>
        <w:t xml:space="preserve"> de las presuntas víctimas no se constituyeron como parte civil en el proceso penal por temor a correr riesgos a su seguridad personal.</w:t>
      </w:r>
      <w:r w:rsidR="00856ED1" w:rsidRPr="00C22AD0">
        <w:rPr>
          <w:rFonts w:asciiTheme="majorHAnsi" w:hAnsiTheme="majorHAnsi"/>
          <w:sz w:val="20"/>
          <w:szCs w:val="20"/>
          <w:lang w:val="es-ES_tradnl"/>
        </w:rPr>
        <w:t xml:space="preserve"> </w:t>
      </w:r>
    </w:p>
    <w:p w14:paraId="0286258A" w14:textId="7A628424" w:rsidR="002B26D6" w:rsidRPr="00C22AD0" w:rsidRDefault="00C95DEA" w:rsidP="004E4E1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El Estado</w:t>
      </w:r>
      <w:r w:rsidR="00765047" w:rsidRPr="00C22AD0">
        <w:rPr>
          <w:rFonts w:asciiTheme="majorHAnsi" w:hAnsiTheme="majorHAnsi"/>
          <w:sz w:val="20"/>
          <w:szCs w:val="20"/>
          <w:lang w:val="es-ES_tradnl"/>
        </w:rPr>
        <w:t xml:space="preserve"> colombiano</w:t>
      </w:r>
      <w:r w:rsidRPr="00C22AD0">
        <w:rPr>
          <w:rFonts w:asciiTheme="majorHAnsi" w:hAnsiTheme="majorHAnsi"/>
          <w:sz w:val="20"/>
          <w:szCs w:val="20"/>
          <w:lang w:val="es-ES_tradnl"/>
        </w:rPr>
        <w:t>, por su parte, solicita que la presente petición sea declarada inadmisible por la configuración de la excepción de la c</w:t>
      </w:r>
      <w:r w:rsidR="00A5348D" w:rsidRPr="00C22AD0">
        <w:rPr>
          <w:rFonts w:asciiTheme="majorHAnsi" w:hAnsiTheme="majorHAnsi"/>
          <w:sz w:val="20"/>
          <w:szCs w:val="20"/>
          <w:lang w:val="es-ES_tradnl"/>
        </w:rPr>
        <w:t>uarta instancia</w:t>
      </w:r>
      <w:r w:rsidRPr="00C22AD0">
        <w:rPr>
          <w:rFonts w:asciiTheme="majorHAnsi" w:hAnsiTheme="majorHAnsi"/>
          <w:sz w:val="20"/>
          <w:szCs w:val="20"/>
          <w:lang w:val="es-ES_tradnl"/>
        </w:rPr>
        <w:t xml:space="preserve"> internacional</w:t>
      </w:r>
      <w:r w:rsidR="007B50E5" w:rsidRPr="00C22AD0">
        <w:rPr>
          <w:rFonts w:asciiTheme="majorHAnsi" w:hAnsiTheme="majorHAnsi"/>
          <w:sz w:val="20"/>
          <w:szCs w:val="20"/>
          <w:lang w:val="es-ES_tradnl"/>
        </w:rPr>
        <w:t>,</w:t>
      </w:r>
      <w:r w:rsidRPr="00C22AD0">
        <w:rPr>
          <w:rFonts w:asciiTheme="majorHAnsi" w:hAnsiTheme="majorHAnsi"/>
          <w:sz w:val="20"/>
          <w:szCs w:val="20"/>
          <w:lang w:val="es-ES_tradnl"/>
        </w:rPr>
        <w:t xml:space="preserve"> porque no contiene hechos que caractericen violaciones </w:t>
      </w:r>
      <w:r w:rsidR="00A862DF" w:rsidRPr="00C22AD0">
        <w:rPr>
          <w:rFonts w:asciiTheme="majorHAnsi" w:hAnsiTheme="majorHAnsi"/>
          <w:sz w:val="20"/>
          <w:szCs w:val="20"/>
          <w:lang w:val="es-ES_tradnl"/>
        </w:rPr>
        <w:t xml:space="preserve">a los derechos consagrados en la Convención, y </w:t>
      </w:r>
      <w:r w:rsidR="007B50E5" w:rsidRPr="00C22AD0">
        <w:rPr>
          <w:rFonts w:asciiTheme="majorHAnsi" w:hAnsiTheme="majorHAnsi"/>
          <w:sz w:val="20"/>
          <w:szCs w:val="20"/>
          <w:lang w:val="es-ES_tradnl"/>
        </w:rPr>
        <w:t>dado que</w:t>
      </w:r>
      <w:r w:rsidR="00474EF4" w:rsidRPr="00C22AD0">
        <w:rPr>
          <w:rFonts w:asciiTheme="majorHAnsi" w:hAnsiTheme="majorHAnsi"/>
          <w:sz w:val="20"/>
          <w:szCs w:val="20"/>
          <w:lang w:val="es-ES_tradnl"/>
        </w:rPr>
        <w:t xml:space="preserve"> </w:t>
      </w:r>
      <w:r w:rsidR="00A862DF" w:rsidRPr="00C22AD0">
        <w:rPr>
          <w:rFonts w:asciiTheme="majorHAnsi" w:hAnsiTheme="majorHAnsi"/>
          <w:sz w:val="20"/>
          <w:szCs w:val="20"/>
          <w:lang w:val="es-ES_tradnl"/>
        </w:rPr>
        <w:t>es</w:t>
      </w:r>
      <w:r w:rsidR="001204A7" w:rsidRPr="00C22AD0">
        <w:rPr>
          <w:rFonts w:asciiTheme="majorHAnsi" w:hAnsiTheme="majorHAnsi"/>
          <w:sz w:val="20"/>
          <w:szCs w:val="20"/>
          <w:lang w:val="es-ES_tradnl"/>
        </w:rPr>
        <w:t xml:space="preserve"> extempor</w:t>
      </w:r>
      <w:r w:rsidR="00A862DF" w:rsidRPr="00C22AD0">
        <w:rPr>
          <w:rFonts w:asciiTheme="majorHAnsi" w:hAnsiTheme="majorHAnsi"/>
          <w:sz w:val="20"/>
          <w:szCs w:val="20"/>
          <w:lang w:val="es-ES_tradnl"/>
        </w:rPr>
        <w:t>ánea</w:t>
      </w:r>
      <w:r w:rsidR="001204A7" w:rsidRPr="00C22AD0">
        <w:rPr>
          <w:rFonts w:asciiTheme="majorHAnsi" w:hAnsiTheme="majorHAnsi"/>
          <w:sz w:val="20"/>
          <w:szCs w:val="20"/>
          <w:lang w:val="es-ES_tradnl"/>
        </w:rPr>
        <w:t>.</w:t>
      </w:r>
    </w:p>
    <w:p w14:paraId="36FB9B26" w14:textId="1157064A" w:rsidR="0004617F" w:rsidRPr="00C22AD0" w:rsidRDefault="00676C54" w:rsidP="009C37D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El Estado reseña que </w:t>
      </w:r>
      <w:r w:rsidR="00623105" w:rsidRPr="00C22AD0">
        <w:rPr>
          <w:rFonts w:asciiTheme="majorHAnsi" w:hAnsiTheme="majorHAnsi"/>
          <w:sz w:val="20"/>
          <w:szCs w:val="20"/>
          <w:lang w:val="es-ES_tradnl"/>
        </w:rPr>
        <w:t xml:space="preserve">entre </w:t>
      </w:r>
      <w:r w:rsidRPr="00C22AD0">
        <w:rPr>
          <w:rFonts w:asciiTheme="majorHAnsi" w:hAnsiTheme="majorHAnsi"/>
          <w:sz w:val="20"/>
          <w:szCs w:val="20"/>
          <w:lang w:val="es-ES_tradnl"/>
        </w:rPr>
        <w:t xml:space="preserve">el </w:t>
      </w:r>
      <w:r w:rsidR="00623105" w:rsidRPr="00C22AD0">
        <w:rPr>
          <w:rFonts w:asciiTheme="majorHAnsi" w:hAnsiTheme="majorHAnsi"/>
          <w:sz w:val="20"/>
          <w:szCs w:val="20"/>
          <w:lang w:val="es-ES_tradnl"/>
        </w:rPr>
        <w:t xml:space="preserve">10 </w:t>
      </w:r>
      <w:r w:rsidRPr="00C22AD0">
        <w:rPr>
          <w:rFonts w:asciiTheme="majorHAnsi" w:hAnsiTheme="majorHAnsi"/>
          <w:sz w:val="20"/>
          <w:szCs w:val="20"/>
          <w:lang w:val="es-ES_tradnl"/>
        </w:rPr>
        <w:t xml:space="preserve">y el </w:t>
      </w:r>
      <w:r w:rsidR="00623105" w:rsidRPr="00C22AD0">
        <w:rPr>
          <w:rFonts w:asciiTheme="majorHAnsi" w:hAnsiTheme="majorHAnsi"/>
          <w:sz w:val="20"/>
          <w:szCs w:val="20"/>
          <w:lang w:val="es-ES_tradnl"/>
        </w:rPr>
        <w:t xml:space="preserve">12 de julio de 1999 </w:t>
      </w:r>
      <w:r w:rsidR="00B8570E" w:rsidRPr="00C22AD0">
        <w:rPr>
          <w:rFonts w:asciiTheme="majorHAnsi" w:hAnsiTheme="majorHAnsi"/>
          <w:sz w:val="20"/>
          <w:szCs w:val="20"/>
          <w:lang w:val="es-ES_tradnl"/>
        </w:rPr>
        <w:t xml:space="preserve">la guerrilla de las FARC </w:t>
      </w:r>
      <w:r w:rsidR="00623105" w:rsidRPr="00C22AD0">
        <w:rPr>
          <w:rFonts w:asciiTheme="majorHAnsi" w:hAnsiTheme="majorHAnsi"/>
          <w:sz w:val="20"/>
          <w:szCs w:val="20"/>
          <w:lang w:val="es-ES_tradnl"/>
        </w:rPr>
        <w:t>llevó a cabo una emboscada en el municipio de Puerto Rico</w:t>
      </w:r>
      <w:r w:rsidR="00BB6518" w:rsidRPr="00C22AD0">
        <w:rPr>
          <w:rFonts w:asciiTheme="majorHAnsi" w:hAnsiTheme="majorHAnsi"/>
          <w:sz w:val="20"/>
          <w:szCs w:val="20"/>
          <w:lang w:val="es-ES_tradnl"/>
        </w:rPr>
        <w:t xml:space="preserve"> en la que resultaron asesinad</w:t>
      </w:r>
      <w:r w:rsidR="005A2EB4" w:rsidRPr="00C22AD0">
        <w:rPr>
          <w:rFonts w:asciiTheme="majorHAnsi" w:hAnsiTheme="majorHAnsi"/>
          <w:sz w:val="20"/>
          <w:szCs w:val="20"/>
          <w:lang w:val="es-ES_tradnl"/>
        </w:rPr>
        <w:t>as las presuntas víctimas</w:t>
      </w:r>
      <w:r w:rsidR="00623105" w:rsidRPr="00C22AD0">
        <w:rPr>
          <w:rFonts w:asciiTheme="majorHAnsi" w:hAnsiTheme="majorHAnsi"/>
          <w:sz w:val="20"/>
          <w:szCs w:val="20"/>
          <w:lang w:val="es-ES_tradnl"/>
        </w:rPr>
        <w:t xml:space="preserve">. </w:t>
      </w:r>
      <w:r w:rsidR="00CC45F9" w:rsidRPr="00C22AD0">
        <w:rPr>
          <w:rFonts w:asciiTheme="majorHAnsi" w:hAnsiTheme="majorHAnsi"/>
          <w:sz w:val="20"/>
          <w:szCs w:val="20"/>
          <w:lang w:val="es-ES_tradnl"/>
        </w:rPr>
        <w:t>Informa que a</w:t>
      </w:r>
      <w:r w:rsidR="00E85588" w:rsidRPr="00C22AD0">
        <w:rPr>
          <w:rFonts w:asciiTheme="majorHAnsi" w:hAnsiTheme="majorHAnsi"/>
          <w:sz w:val="20"/>
          <w:szCs w:val="20"/>
          <w:lang w:val="es-ES_tradnl"/>
        </w:rPr>
        <w:t xml:space="preserve"> raíz de </w:t>
      </w:r>
      <w:r w:rsidR="00DE5F1C" w:rsidRPr="00C22AD0">
        <w:rPr>
          <w:rFonts w:asciiTheme="majorHAnsi" w:hAnsiTheme="majorHAnsi"/>
          <w:sz w:val="20"/>
          <w:szCs w:val="20"/>
          <w:lang w:val="es-ES_tradnl"/>
        </w:rPr>
        <w:t>est</w:t>
      </w:r>
      <w:r w:rsidR="00E85588" w:rsidRPr="00C22AD0">
        <w:rPr>
          <w:rFonts w:asciiTheme="majorHAnsi" w:hAnsiTheme="majorHAnsi"/>
          <w:sz w:val="20"/>
          <w:szCs w:val="20"/>
          <w:lang w:val="es-ES_tradnl"/>
        </w:rPr>
        <w:t xml:space="preserve">os hechos la Fiscalía General de la Nación </w:t>
      </w:r>
      <w:r w:rsidR="00592493" w:rsidRPr="00C22AD0">
        <w:rPr>
          <w:rFonts w:asciiTheme="majorHAnsi" w:hAnsiTheme="majorHAnsi"/>
          <w:sz w:val="20"/>
          <w:szCs w:val="20"/>
          <w:lang w:val="es-ES_tradnl"/>
        </w:rPr>
        <w:t>inició</w:t>
      </w:r>
      <w:r w:rsidR="00E85588" w:rsidRPr="00C22AD0">
        <w:rPr>
          <w:rFonts w:asciiTheme="majorHAnsi" w:hAnsiTheme="majorHAnsi"/>
          <w:sz w:val="20"/>
          <w:szCs w:val="20"/>
          <w:lang w:val="es-ES_tradnl"/>
        </w:rPr>
        <w:t xml:space="preserve"> </w:t>
      </w:r>
      <w:r w:rsidR="00592493" w:rsidRPr="00C22AD0">
        <w:rPr>
          <w:rFonts w:asciiTheme="majorHAnsi" w:hAnsiTheme="majorHAnsi"/>
          <w:sz w:val="20"/>
          <w:szCs w:val="20"/>
          <w:lang w:val="es-ES_tradnl"/>
        </w:rPr>
        <w:t>un</w:t>
      </w:r>
      <w:r w:rsidR="00DF763C" w:rsidRPr="00C22AD0">
        <w:rPr>
          <w:rFonts w:asciiTheme="majorHAnsi" w:hAnsiTheme="majorHAnsi"/>
          <w:sz w:val="20"/>
          <w:szCs w:val="20"/>
          <w:lang w:val="es-ES_tradnl"/>
        </w:rPr>
        <w:t xml:space="preserve">a </w:t>
      </w:r>
      <w:r w:rsidR="00E85588" w:rsidRPr="00C22AD0">
        <w:rPr>
          <w:rFonts w:asciiTheme="majorHAnsi" w:hAnsiTheme="majorHAnsi"/>
          <w:sz w:val="20"/>
          <w:szCs w:val="20"/>
          <w:lang w:val="es-ES_tradnl"/>
        </w:rPr>
        <w:t xml:space="preserve">investigación </w:t>
      </w:r>
      <w:r w:rsidR="00DF763C" w:rsidRPr="00C22AD0">
        <w:rPr>
          <w:rFonts w:asciiTheme="majorHAnsi" w:hAnsiTheme="majorHAnsi"/>
          <w:sz w:val="20"/>
          <w:szCs w:val="20"/>
          <w:lang w:val="es-ES_tradnl"/>
        </w:rPr>
        <w:t xml:space="preserve">previa </w:t>
      </w:r>
      <w:r w:rsidR="00E85588" w:rsidRPr="00C22AD0">
        <w:rPr>
          <w:rFonts w:asciiTheme="majorHAnsi" w:hAnsiTheme="majorHAnsi"/>
          <w:sz w:val="20"/>
          <w:szCs w:val="20"/>
          <w:lang w:val="es-ES_tradnl"/>
        </w:rPr>
        <w:t xml:space="preserve">el 12 de julio de 1999 bajo el radicado </w:t>
      </w:r>
      <w:r w:rsidR="00BA19F9" w:rsidRPr="00C22AD0">
        <w:rPr>
          <w:rFonts w:asciiTheme="majorHAnsi" w:hAnsiTheme="majorHAnsi"/>
          <w:sz w:val="20"/>
          <w:szCs w:val="20"/>
          <w:lang w:val="es-ES_tradnl"/>
        </w:rPr>
        <w:t>N</w:t>
      </w:r>
      <w:r w:rsidR="00592493" w:rsidRPr="00C22AD0">
        <w:rPr>
          <w:rFonts w:asciiTheme="majorHAnsi" w:hAnsiTheme="majorHAnsi"/>
          <w:sz w:val="20"/>
          <w:szCs w:val="20"/>
          <w:lang w:val="es-ES_tradnl"/>
        </w:rPr>
        <w:t xml:space="preserve">o. </w:t>
      </w:r>
      <w:r w:rsidR="00E85588" w:rsidRPr="00C22AD0">
        <w:rPr>
          <w:rFonts w:asciiTheme="majorHAnsi" w:hAnsiTheme="majorHAnsi"/>
          <w:sz w:val="20"/>
          <w:szCs w:val="20"/>
          <w:lang w:val="es-ES_tradnl"/>
        </w:rPr>
        <w:t>531</w:t>
      </w:r>
      <w:r w:rsidR="00592493" w:rsidRPr="00C22AD0">
        <w:rPr>
          <w:rFonts w:asciiTheme="majorHAnsi" w:hAnsiTheme="majorHAnsi"/>
          <w:sz w:val="20"/>
          <w:szCs w:val="20"/>
          <w:lang w:val="es-ES_tradnl"/>
        </w:rPr>
        <w:t xml:space="preserve">, </w:t>
      </w:r>
      <w:r w:rsidR="0009595B" w:rsidRPr="00C22AD0">
        <w:rPr>
          <w:rFonts w:asciiTheme="majorHAnsi" w:hAnsiTheme="majorHAnsi"/>
          <w:sz w:val="20"/>
          <w:szCs w:val="20"/>
          <w:lang w:val="es-ES_tradnl"/>
        </w:rPr>
        <w:t>a par</w:t>
      </w:r>
      <w:r w:rsidR="002776F5" w:rsidRPr="00C22AD0">
        <w:rPr>
          <w:rFonts w:asciiTheme="majorHAnsi" w:hAnsiTheme="majorHAnsi"/>
          <w:sz w:val="20"/>
          <w:szCs w:val="20"/>
          <w:lang w:val="es-ES_tradnl"/>
        </w:rPr>
        <w:t xml:space="preserve">tir de la cual </w:t>
      </w:r>
      <w:r w:rsidR="00E85588" w:rsidRPr="00C22AD0">
        <w:rPr>
          <w:rFonts w:asciiTheme="majorHAnsi" w:hAnsiTheme="majorHAnsi"/>
          <w:sz w:val="20"/>
          <w:szCs w:val="20"/>
          <w:lang w:val="es-ES_tradnl"/>
        </w:rPr>
        <w:t xml:space="preserve">se </w:t>
      </w:r>
      <w:r w:rsidR="002776F5" w:rsidRPr="00C22AD0">
        <w:rPr>
          <w:rFonts w:asciiTheme="majorHAnsi" w:hAnsiTheme="majorHAnsi"/>
          <w:sz w:val="20"/>
          <w:szCs w:val="20"/>
          <w:lang w:val="es-ES_tradnl"/>
        </w:rPr>
        <w:t xml:space="preserve">han </w:t>
      </w:r>
      <w:r w:rsidR="00E85588" w:rsidRPr="00C22AD0">
        <w:rPr>
          <w:rFonts w:asciiTheme="majorHAnsi" w:hAnsiTheme="majorHAnsi"/>
          <w:sz w:val="20"/>
          <w:szCs w:val="20"/>
          <w:lang w:val="es-ES_tradnl"/>
        </w:rPr>
        <w:t>libr</w:t>
      </w:r>
      <w:r w:rsidR="002776F5" w:rsidRPr="00C22AD0">
        <w:rPr>
          <w:rFonts w:asciiTheme="majorHAnsi" w:hAnsiTheme="majorHAnsi"/>
          <w:sz w:val="20"/>
          <w:szCs w:val="20"/>
          <w:lang w:val="es-ES_tradnl"/>
        </w:rPr>
        <w:t>ado</w:t>
      </w:r>
      <w:r w:rsidR="00E85588" w:rsidRPr="00C22AD0">
        <w:rPr>
          <w:rFonts w:asciiTheme="majorHAnsi" w:hAnsiTheme="majorHAnsi"/>
          <w:sz w:val="20"/>
          <w:szCs w:val="20"/>
          <w:lang w:val="es-ES_tradnl"/>
        </w:rPr>
        <w:t xml:space="preserve"> </w:t>
      </w:r>
      <w:r w:rsidR="0009595B" w:rsidRPr="00C22AD0">
        <w:rPr>
          <w:rFonts w:asciiTheme="majorHAnsi" w:hAnsiTheme="majorHAnsi"/>
          <w:sz w:val="20"/>
          <w:szCs w:val="20"/>
          <w:lang w:val="es-ES_tradnl"/>
        </w:rPr>
        <w:t>órdenes</w:t>
      </w:r>
      <w:r w:rsidR="00E85588" w:rsidRPr="00C22AD0">
        <w:rPr>
          <w:rFonts w:asciiTheme="majorHAnsi" w:hAnsiTheme="majorHAnsi"/>
          <w:sz w:val="20"/>
          <w:szCs w:val="20"/>
          <w:lang w:val="es-ES_tradnl"/>
        </w:rPr>
        <w:t xml:space="preserve"> de captura sobre </w:t>
      </w:r>
      <w:r w:rsidR="00BA19F9" w:rsidRPr="00C22AD0">
        <w:rPr>
          <w:rFonts w:asciiTheme="majorHAnsi" w:hAnsiTheme="majorHAnsi"/>
          <w:sz w:val="20"/>
          <w:szCs w:val="20"/>
          <w:lang w:val="es-ES_tradnl"/>
        </w:rPr>
        <w:t>dieciocho</w:t>
      </w:r>
      <w:r w:rsidR="00E85588" w:rsidRPr="00C22AD0">
        <w:rPr>
          <w:rFonts w:asciiTheme="majorHAnsi" w:hAnsiTheme="majorHAnsi"/>
          <w:sz w:val="20"/>
          <w:szCs w:val="20"/>
          <w:lang w:val="es-ES_tradnl"/>
        </w:rPr>
        <w:t xml:space="preserve"> personas, y se han condena</w:t>
      </w:r>
      <w:r w:rsidR="002776F5" w:rsidRPr="00C22AD0">
        <w:rPr>
          <w:rFonts w:asciiTheme="majorHAnsi" w:hAnsiTheme="majorHAnsi"/>
          <w:sz w:val="20"/>
          <w:szCs w:val="20"/>
          <w:lang w:val="es-ES_tradnl"/>
        </w:rPr>
        <w:t xml:space="preserve">do a </w:t>
      </w:r>
      <w:r w:rsidR="00BA19F9" w:rsidRPr="00C22AD0">
        <w:rPr>
          <w:rFonts w:asciiTheme="majorHAnsi" w:hAnsiTheme="majorHAnsi"/>
          <w:sz w:val="20"/>
          <w:szCs w:val="20"/>
          <w:lang w:val="es-ES_tradnl"/>
        </w:rPr>
        <w:t>trece</w:t>
      </w:r>
      <w:r w:rsidR="00E85588" w:rsidRPr="00C22AD0">
        <w:rPr>
          <w:rFonts w:asciiTheme="majorHAnsi" w:hAnsiTheme="majorHAnsi"/>
          <w:sz w:val="20"/>
          <w:szCs w:val="20"/>
          <w:lang w:val="es-ES_tradnl"/>
        </w:rPr>
        <w:t xml:space="preserve"> personas</w:t>
      </w:r>
      <w:r w:rsidR="00B76DF0" w:rsidRPr="00C22AD0">
        <w:rPr>
          <w:rFonts w:asciiTheme="majorHAnsi" w:hAnsiTheme="majorHAnsi"/>
          <w:sz w:val="20"/>
          <w:szCs w:val="20"/>
          <w:lang w:val="es-ES_tradnl"/>
        </w:rPr>
        <w:t>, cuatro de las cuales aceptaron su</w:t>
      </w:r>
      <w:r w:rsidR="00E85588" w:rsidRPr="00C22AD0">
        <w:rPr>
          <w:rFonts w:asciiTheme="majorHAnsi" w:hAnsiTheme="majorHAnsi"/>
          <w:sz w:val="20"/>
          <w:szCs w:val="20"/>
          <w:lang w:val="es-ES_tradnl"/>
        </w:rPr>
        <w:t xml:space="preserve"> </w:t>
      </w:r>
      <w:r w:rsidR="00B76DF0" w:rsidRPr="00C22AD0">
        <w:rPr>
          <w:rFonts w:asciiTheme="majorHAnsi" w:hAnsiTheme="majorHAnsi"/>
          <w:sz w:val="20"/>
          <w:szCs w:val="20"/>
          <w:lang w:val="es-ES_tradnl"/>
        </w:rPr>
        <w:t xml:space="preserve">participación en </w:t>
      </w:r>
      <w:r w:rsidR="00E85588" w:rsidRPr="00C22AD0">
        <w:rPr>
          <w:rFonts w:asciiTheme="majorHAnsi" w:hAnsiTheme="majorHAnsi"/>
          <w:sz w:val="20"/>
          <w:szCs w:val="20"/>
          <w:lang w:val="es-ES_tradnl"/>
        </w:rPr>
        <w:t>los hechos del caso.</w:t>
      </w:r>
    </w:p>
    <w:p w14:paraId="06E844E7" w14:textId="3D109AC0" w:rsidR="00E85588" w:rsidRPr="00C22AD0" w:rsidRDefault="0004617F" w:rsidP="009C37D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En cuanto al proceso contencioso-administrativo, </w:t>
      </w:r>
      <w:r w:rsidR="00C60A30" w:rsidRPr="00C22AD0">
        <w:rPr>
          <w:rFonts w:asciiTheme="majorHAnsi" w:hAnsiTheme="majorHAnsi"/>
          <w:sz w:val="20"/>
          <w:szCs w:val="20"/>
          <w:lang w:val="es-ES_tradnl"/>
        </w:rPr>
        <w:t xml:space="preserve">Colombia </w:t>
      </w:r>
      <w:r w:rsidR="0078753E" w:rsidRPr="00C22AD0">
        <w:rPr>
          <w:rFonts w:asciiTheme="majorHAnsi" w:hAnsiTheme="majorHAnsi"/>
          <w:sz w:val="20"/>
          <w:szCs w:val="20"/>
          <w:lang w:val="es-ES_tradnl"/>
        </w:rPr>
        <w:t>advierte que los familiares de cinco</w:t>
      </w:r>
      <w:r w:rsidR="001569CC" w:rsidRPr="00C22AD0">
        <w:rPr>
          <w:rFonts w:asciiTheme="majorHAnsi" w:hAnsiTheme="majorHAnsi"/>
          <w:sz w:val="20"/>
          <w:szCs w:val="20"/>
          <w:lang w:val="es-ES_tradnl"/>
        </w:rPr>
        <w:t xml:space="preserve"> presuntas víctimas iniciaron una acción de reparación</w:t>
      </w:r>
      <w:r w:rsidR="00006D38" w:rsidRPr="00C22AD0">
        <w:rPr>
          <w:rFonts w:asciiTheme="majorHAnsi" w:hAnsiTheme="majorHAnsi"/>
          <w:sz w:val="20"/>
          <w:szCs w:val="20"/>
          <w:lang w:val="es-ES_tradnl"/>
        </w:rPr>
        <w:t xml:space="preserve"> </w:t>
      </w:r>
      <w:r w:rsidR="001569CC" w:rsidRPr="00C22AD0">
        <w:rPr>
          <w:rFonts w:asciiTheme="majorHAnsi" w:hAnsiTheme="majorHAnsi"/>
          <w:sz w:val="20"/>
          <w:szCs w:val="20"/>
          <w:lang w:val="es-ES_tradnl"/>
        </w:rPr>
        <w:t>directa en contra del Ministerio de Defensa, el Ejército Nacional, la Fuerza Aérea y la</w:t>
      </w:r>
      <w:r w:rsidR="00006D38" w:rsidRPr="00C22AD0">
        <w:rPr>
          <w:rFonts w:asciiTheme="majorHAnsi" w:hAnsiTheme="majorHAnsi"/>
          <w:sz w:val="20"/>
          <w:szCs w:val="20"/>
          <w:lang w:val="es-ES_tradnl"/>
        </w:rPr>
        <w:t xml:space="preserve"> </w:t>
      </w:r>
      <w:r w:rsidR="001569CC" w:rsidRPr="00C22AD0">
        <w:rPr>
          <w:rFonts w:asciiTheme="majorHAnsi" w:hAnsiTheme="majorHAnsi"/>
          <w:sz w:val="20"/>
          <w:szCs w:val="20"/>
          <w:lang w:val="es-ES_tradnl"/>
        </w:rPr>
        <w:t>Policía Nacional.</w:t>
      </w:r>
      <w:r w:rsidR="0078753E" w:rsidRPr="00C22AD0">
        <w:rPr>
          <w:rFonts w:asciiTheme="majorHAnsi" w:hAnsiTheme="majorHAnsi"/>
          <w:sz w:val="20"/>
          <w:szCs w:val="20"/>
          <w:lang w:val="es-ES_tradnl"/>
        </w:rPr>
        <w:t xml:space="preserve"> Indica que e</w:t>
      </w:r>
      <w:r w:rsidR="001569CC" w:rsidRPr="00C22AD0">
        <w:rPr>
          <w:rFonts w:asciiTheme="majorHAnsi" w:hAnsiTheme="majorHAnsi"/>
          <w:sz w:val="20"/>
          <w:szCs w:val="20"/>
          <w:lang w:val="es-ES_tradnl"/>
        </w:rPr>
        <w:t xml:space="preserve">l Tribunal Administrativo del Meta </w:t>
      </w:r>
      <w:r w:rsidR="0078753E" w:rsidRPr="00C22AD0">
        <w:rPr>
          <w:rFonts w:asciiTheme="majorHAnsi" w:hAnsiTheme="majorHAnsi"/>
          <w:sz w:val="20"/>
          <w:szCs w:val="20"/>
          <w:lang w:val="es-ES_tradnl"/>
        </w:rPr>
        <w:t xml:space="preserve">negó las pretensiones de la demanda </w:t>
      </w:r>
      <w:r w:rsidR="001569CC" w:rsidRPr="00C22AD0">
        <w:rPr>
          <w:rFonts w:asciiTheme="majorHAnsi" w:hAnsiTheme="majorHAnsi"/>
          <w:sz w:val="20"/>
          <w:szCs w:val="20"/>
          <w:lang w:val="es-ES_tradnl"/>
        </w:rPr>
        <w:t>en sentencia del 7 de</w:t>
      </w:r>
      <w:r w:rsidR="00006D38" w:rsidRPr="00C22AD0">
        <w:rPr>
          <w:rFonts w:asciiTheme="majorHAnsi" w:hAnsiTheme="majorHAnsi"/>
          <w:sz w:val="20"/>
          <w:szCs w:val="20"/>
          <w:lang w:val="es-ES_tradnl"/>
        </w:rPr>
        <w:t xml:space="preserve"> </w:t>
      </w:r>
      <w:r w:rsidR="001569CC" w:rsidRPr="00C22AD0">
        <w:rPr>
          <w:rFonts w:asciiTheme="majorHAnsi" w:hAnsiTheme="majorHAnsi"/>
          <w:sz w:val="20"/>
          <w:szCs w:val="20"/>
          <w:lang w:val="es-ES_tradnl"/>
        </w:rPr>
        <w:t>septiembre de 2006</w:t>
      </w:r>
      <w:r w:rsidR="00BA19F9" w:rsidRPr="00C22AD0">
        <w:rPr>
          <w:rFonts w:asciiTheme="majorHAnsi" w:hAnsiTheme="majorHAnsi"/>
          <w:sz w:val="20"/>
          <w:szCs w:val="20"/>
          <w:lang w:val="es-ES_tradnl"/>
        </w:rPr>
        <w:t>;</w:t>
      </w:r>
      <w:r w:rsidR="003F3FB9" w:rsidRPr="00C22AD0">
        <w:rPr>
          <w:rFonts w:asciiTheme="majorHAnsi" w:hAnsiTheme="majorHAnsi"/>
          <w:sz w:val="20"/>
          <w:szCs w:val="20"/>
          <w:lang w:val="es-ES_tradnl"/>
        </w:rPr>
        <w:t xml:space="preserve"> y aunque apelaron la decisión,</w:t>
      </w:r>
      <w:r w:rsidR="001569CC" w:rsidRPr="00C22AD0">
        <w:rPr>
          <w:rFonts w:asciiTheme="majorHAnsi" w:hAnsiTheme="majorHAnsi"/>
          <w:sz w:val="20"/>
          <w:szCs w:val="20"/>
          <w:lang w:val="es-ES_tradnl"/>
        </w:rPr>
        <w:t xml:space="preserve"> el Consejo de Estado,</w:t>
      </w:r>
      <w:r w:rsidR="00006D38" w:rsidRPr="00C22AD0">
        <w:rPr>
          <w:rFonts w:asciiTheme="majorHAnsi" w:hAnsiTheme="majorHAnsi"/>
          <w:sz w:val="20"/>
          <w:szCs w:val="20"/>
          <w:lang w:val="es-ES_tradnl"/>
        </w:rPr>
        <w:t xml:space="preserve"> </w:t>
      </w:r>
      <w:r w:rsidR="001569CC" w:rsidRPr="00C22AD0">
        <w:rPr>
          <w:rFonts w:asciiTheme="majorHAnsi" w:hAnsiTheme="majorHAnsi"/>
          <w:sz w:val="20"/>
          <w:szCs w:val="20"/>
          <w:lang w:val="es-ES_tradnl"/>
        </w:rPr>
        <w:t>mediante auto del 20 de abril de 2007, inadmitió el recurso de apelación bajo el</w:t>
      </w:r>
      <w:r w:rsidR="00006D38" w:rsidRPr="00C22AD0">
        <w:rPr>
          <w:rFonts w:asciiTheme="majorHAnsi" w:hAnsiTheme="majorHAnsi"/>
          <w:sz w:val="20"/>
          <w:szCs w:val="20"/>
          <w:lang w:val="es-ES_tradnl"/>
        </w:rPr>
        <w:t xml:space="preserve"> </w:t>
      </w:r>
      <w:r w:rsidR="001569CC" w:rsidRPr="00C22AD0">
        <w:rPr>
          <w:rFonts w:asciiTheme="majorHAnsi" w:hAnsiTheme="majorHAnsi"/>
          <w:sz w:val="20"/>
          <w:szCs w:val="20"/>
          <w:lang w:val="es-ES_tradnl"/>
        </w:rPr>
        <w:t xml:space="preserve">sustento de que </w:t>
      </w:r>
      <w:r w:rsidR="003F3FB9" w:rsidRPr="00C22AD0">
        <w:rPr>
          <w:rFonts w:asciiTheme="majorHAnsi" w:hAnsiTheme="majorHAnsi"/>
          <w:sz w:val="20"/>
          <w:szCs w:val="20"/>
          <w:lang w:val="es-ES_tradnl"/>
        </w:rPr>
        <w:t xml:space="preserve">dada la cuantía del </w:t>
      </w:r>
      <w:r w:rsidR="001569CC" w:rsidRPr="00C22AD0">
        <w:rPr>
          <w:rFonts w:asciiTheme="majorHAnsi" w:hAnsiTheme="majorHAnsi"/>
          <w:sz w:val="20"/>
          <w:szCs w:val="20"/>
          <w:lang w:val="es-ES_tradnl"/>
        </w:rPr>
        <w:t>proceso</w:t>
      </w:r>
      <w:r w:rsidR="003F3FB9" w:rsidRPr="00C22AD0">
        <w:rPr>
          <w:rFonts w:asciiTheme="majorHAnsi" w:hAnsiTheme="majorHAnsi"/>
          <w:sz w:val="20"/>
          <w:szCs w:val="20"/>
          <w:lang w:val="es-ES_tradnl"/>
        </w:rPr>
        <w:t>, éste</w:t>
      </w:r>
      <w:r w:rsidR="001569CC" w:rsidRPr="00C22AD0">
        <w:rPr>
          <w:rFonts w:asciiTheme="majorHAnsi" w:hAnsiTheme="majorHAnsi"/>
          <w:sz w:val="20"/>
          <w:szCs w:val="20"/>
          <w:lang w:val="es-ES_tradnl"/>
        </w:rPr>
        <w:t xml:space="preserve"> </w:t>
      </w:r>
      <w:r w:rsidR="003F3FB9" w:rsidRPr="00C22AD0">
        <w:rPr>
          <w:rFonts w:asciiTheme="majorHAnsi" w:hAnsiTheme="majorHAnsi"/>
          <w:sz w:val="20"/>
          <w:szCs w:val="20"/>
          <w:lang w:val="es-ES_tradnl"/>
        </w:rPr>
        <w:t xml:space="preserve">era </w:t>
      </w:r>
      <w:r w:rsidR="001569CC" w:rsidRPr="00C22AD0">
        <w:rPr>
          <w:rFonts w:asciiTheme="majorHAnsi" w:hAnsiTheme="majorHAnsi"/>
          <w:sz w:val="20"/>
          <w:szCs w:val="20"/>
          <w:lang w:val="es-ES_tradnl"/>
        </w:rPr>
        <w:t>de única instancia</w:t>
      </w:r>
      <w:r w:rsidR="00006D38" w:rsidRPr="00C22AD0">
        <w:rPr>
          <w:rFonts w:asciiTheme="majorHAnsi" w:hAnsiTheme="majorHAnsi"/>
          <w:sz w:val="20"/>
          <w:szCs w:val="20"/>
          <w:lang w:val="es-ES_tradnl"/>
        </w:rPr>
        <w:t>.</w:t>
      </w:r>
    </w:p>
    <w:p w14:paraId="709612E9" w14:textId="0831BE57" w:rsidR="000847F4" w:rsidRPr="00C22AD0" w:rsidRDefault="00B81EBD" w:rsidP="001D36F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El Estado arguye que</w:t>
      </w:r>
      <w:r w:rsidR="00C2771A" w:rsidRPr="00C22AD0">
        <w:rPr>
          <w:rFonts w:asciiTheme="majorHAnsi" w:hAnsiTheme="majorHAnsi"/>
          <w:sz w:val="20"/>
          <w:szCs w:val="20"/>
          <w:lang w:val="es-ES_tradnl"/>
        </w:rPr>
        <w:t>, en</w:t>
      </w:r>
      <w:r w:rsidRPr="00C22AD0">
        <w:rPr>
          <w:rFonts w:asciiTheme="majorHAnsi" w:hAnsiTheme="majorHAnsi"/>
          <w:sz w:val="20"/>
          <w:szCs w:val="20"/>
          <w:lang w:val="es-ES_tradnl"/>
        </w:rPr>
        <w:t xml:space="preserve"> la presente petición </w:t>
      </w:r>
      <w:r w:rsidR="00C2771A" w:rsidRPr="00C22AD0">
        <w:rPr>
          <w:rFonts w:asciiTheme="majorHAnsi" w:hAnsiTheme="majorHAnsi"/>
          <w:sz w:val="20"/>
          <w:szCs w:val="20"/>
          <w:lang w:val="es-ES_tradnl"/>
        </w:rPr>
        <w:t xml:space="preserve">se </w:t>
      </w:r>
      <w:r w:rsidR="004C25E9" w:rsidRPr="00C22AD0">
        <w:rPr>
          <w:rFonts w:asciiTheme="majorHAnsi" w:hAnsiTheme="majorHAnsi"/>
          <w:sz w:val="20"/>
          <w:szCs w:val="20"/>
          <w:lang w:val="es-ES_tradnl"/>
        </w:rPr>
        <w:t xml:space="preserve">configura la fórmula de la cuarta instancia respecto de los procesos penal y contencioso-administrativo; </w:t>
      </w:r>
      <w:r w:rsidR="00A67289" w:rsidRPr="00C22AD0">
        <w:rPr>
          <w:rFonts w:asciiTheme="majorHAnsi" w:hAnsiTheme="majorHAnsi"/>
          <w:sz w:val="20"/>
          <w:szCs w:val="20"/>
          <w:lang w:val="es-ES_tradnl"/>
        </w:rPr>
        <w:t xml:space="preserve">toda vez </w:t>
      </w:r>
      <w:r w:rsidR="004C25E9" w:rsidRPr="00C22AD0">
        <w:rPr>
          <w:rFonts w:asciiTheme="majorHAnsi" w:hAnsiTheme="majorHAnsi"/>
          <w:sz w:val="20"/>
          <w:szCs w:val="20"/>
          <w:lang w:val="es-ES_tradnl"/>
        </w:rPr>
        <w:t xml:space="preserve">que </w:t>
      </w:r>
      <w:r w:rsidR="00A54670" w:rsidRPr="00C22AD0">
        <w:rPr>
          <w:rFonts w:asciiTheme="majorHAnsi" w:hAnsiTheme="majorHAnsi"/>
          <w:sz w:val="20"/>
          <w:szCs w:val="20"/>
          <w:lang w:val="es-ES_tradnl"/>
        </w:rPr>
        <w:t xml:space="preserve">considera que </w:t>
      </w:r>
      <w:r w:rsidR="00941694" w:rsidRPr="00C22AD0">
        <w:rPr>
          <w:rFonts w:asciiTheme="majorHAnsi" w:hAnsiTheme="majorHAnsi"/>
          <w:sz w:val="20"/>
          <w:szCs w:val="20"/>
          <w:lang w:val="es-ES_tradnl"/>
        </w:rPr>
        <w:t xml:space="preserve">cumplió con las </w:t>
      </w:r>
      <w:r w:rsidR="00941694" w:rsidRPr="00C22AD0">
        <w:rPr>
          <w:rFonts w:asciiTheme="majorHAnsi" w:hAnsiTheme="majorHAnsi"/>
          <w:sz w:val="20"/>
          <w:szCs w:val="20"/>
          <w:lang w:val="es-ES_tradnl"/>
        </w:rPr>
        <w:lastRenderedPageBreak/>
        <w:t>obligaciones de investigación y sanción penal, garantizando el debido proceso de las presuntas víctimas dentro de un plazo razonable</w:t>
      </w:r>
      <w:r w:rsidR="00AE0DAA" w:rsidRPr="00C22AD0">
        <w:rPr>
          <w:rFonts w:asciiTheme="majorHAnsi" w:hAnsiTheme="majorHAnsi"/>
          <w:sz w:val="20"/>
          <w:szCs w:val="20"/>
          <w:lang w:val="es-ES_tradnl"/>
        </w:rPr>
        <w:t xml:space="preserve"> en el proceso penal</w:t>
      </w:r>
      <w:r w:rsidR="00A67289" w:rsidRPr="00C22AD0">
        <w:rPr>
          <w:rFonts w:asciiTheme="majorHAnsi" w:hAnsiTheme="majorHAnsi"/>
          <w:sz w:val="20"/>
          <w:szCs w:val="20"/>
          <w:lang w:val="es-ES_tradnl"/>
        </w:rPr>
        <w:t>;</w:t>
      </w:r>
      <w:r w:rsidR="00941694" w:rsidRPr="00C22AD0">
        <w:rPr>
          <w:rFonts w:asciiTheme="majorHAnsi" w:hAnsiTheme="majorHAnsi"/>
          <w:sz w:val="20"/>
          <w:szCs w:val="20"/>
          <w:lang w:val="es-ES_tradnl"/>
        </w:rPr>
        <w:t xml:space="preserve"> y </w:t>
      </w:r>
      <w:r w:rsidR="003C4988" w:rsidRPr="00C22AD0">
        <w:rPr>
          <w:rFonts w:asciiTheme="majorHAnsi" w:hAnsiTheme="majorHAnsi"/>
          <w:sz w:val="20"/>
          <w:szCs w:val="20"/>
          <w:lang w:val="es-ES_tradnl"/>
        </w:rPr>
        <w:t>respet</w:t>
      </w:r>
      <w:r w:rsidR="00941694" w:rsidRPr="00C22AD0">
        <w:rPr>
          <w:rFonts w:asciiTheme="majorHAnsi" w:hAnsiTheme="majorHAnsi"/>
          <w:sz w:val="20"/>
          <w:szCs w:val="20"/>
          <w:lang w:val="es-ES_tradnl"/>
        </w:rPr>
        <w:t xml:space="preserve">ó </w:t>
      </w:r>
      <w:r w:rsidR="00973CA4" w:rsidRPr="00C22AD0">
        <w:rPr>
          <w:rFonts w:asciiTheme="majorHAnsi" w:hAnsiTheme="majorHAnsi"/>
          <w:sz w:val="20"/>
          <w:szCs w:val="20"/>
          <w:lang w:val="es-ES_tradnl"/>
        </w:rPr>
        <w:t xml:space="preserve">los derechos de los familiares de las presuntas víctimas </w:t>
      </w:r>
      <w:r w:rsidR="001E7A96" w:rsidRPr="00C22AD0">
        <w:rPr>
          <w:rFonts w:asciiTheme="majorHAnsi" w:hAnsiTheme="majorHAnsi"/>
          <w:sz w:val="20"/>
          <w:szCs w:val="20"/>
          <w:lang w:val="es-ES_tradnl"/>
        </w:rPr>
        <w:t>en el proceso contencioso-administrativo</w:t>
      </w:r>
      <w:r w:rsidR="00E85195" w:rsidRPr="00C22AD0">
        <w:rPr>
          <w:rFonts w:asciiTheme="majorHAnsi" w:hAnsiTheme="majorHAnsi"/>
          <w:sz w:val="20"/>
          <w:szCs w:val="20"/>
          <w:lang w:val="es-ES_tradnl"/>
        </w:rPr>
        <w:t>.</w:t>
      </w:r>
      <w:r w:rsidR="001D36F8" w:rsidRPr="00C22AD0">
        <w:rPr>
          <w:rFonts w:asciiTheme="majorHAnsi" w:hAnsiTheme="majorHAnsi"/>
          <w:sz w:val="20"/>
          <w:szCs w:val="20"/>
          <w:lang w:val="es-ES_tradnl"/>
        </w:rPr>
        <w:t xml:space="preserve"> El Estado enfatiza que </w:t>
      </w:r>
      <w:r w:rsidR="00C32EF9" w:rsidRPr="00C22AD0">
        <w:rPr>
          <w:rFonts w:asciiTheme="majorHAnsi" w:hAnsiTheme="majorHAnsi"/>
          <w:sz w:val="20"/>
          <w:szCs w:val="20"/>
          <w:lang w:val="es-ES_tradnl"/>
        </w:rPr>
        <w:t xml:space="preserve">los órganos del </w:t>
      </w:r>
      <w:r w:rsidR="00F318C7" w:rsidRPr="00C22AD0">
        <w:rPr>
          <w:rFonts w:asciiTheme="majorHAnsi" w:hAnsiTheme="majorHAnsi"/>
          <w:sz w:val="20"/>
          <w:szCs w:val="20"/>
          <w:lang w:val="es-ES_tradnl"/>
        </w:rPr>
        <w:t>S</w:t>
      </w:r>
      <w:r w:rsidR="00C32EF9" w:rsidRPr="00C22AD0">
        <w:rPr>
          <w:rFonts w:asciiTheme="majorHAnsi" w:hAnsiTheme="majorHAnsi"/>
          <w:sz w:val="20"/>
          <w:szCs w:val="20"/>
          <w:lang w:val="es-ES_tradnl"/>
        </w:rPr>
        <w:t xml:space="preserve">istema </w:t>
      </w:r>
      <w:r w:rsidR="00F318C7" w:rsidRPr="00C22AD0">
        <w:rPr>
          <w:rFonts w:asciiTheme="majorHAnsi" w:hAnsiTheme="majorHAnsi"/>
          <w:sz w:val="20"/>
          <w:szCs w:val="20"/>
          <w:lang w:val="es-ES_tradnl"/>
        </w:rPr>
        <w:t xml:space="preserve">Interamericano </w:t>
      </w:r>
      <w:r w:rsidR="00C32EF9" w:rsidRPr="00C22AD0">
        <w:rPr>
          <w:rFonts w:asciiTheme="majorHAnsi" w:hAnsiTheme="majorHAnsi"/>
          <w:sz w:val="20"/>
          <w:szCs w:val="20"/>
          <w:lang w:val="es-ES_tradnl"/>
        </w:rPr>
        <w:t xml:space="preserve">no pueden actuar como una instancia adicional de los procedimientos internos; </w:t>
      </w:r>
      <w:r w:rsidR="00C722F9" w:rsidRPr="00C22AD0">
        <w:rPr>
          <w:rFonts w:asciiTheme="majorHAnsi" w:hAnsiTheme="majorHAnsi"/>
          <w:sz w:val="20"/>
          <w:szCs w:val="20"/>
          <w:lang w:val="es-ES_tradnl"/>
        </w:rPr>
        <w:t xml:space="preserve">pues, </w:t>
      </w:r>
      <w:r w:rsidR="00C32EF9" w:rsidRPr="00C22AD0">
        <w:rPr>
          <w:rFonts w:asciiTheme="majorHAnsi" w:hAnsiTheme="majorHAnsi"/>
          <w:sz w:val="20"/>
          <w:szCs w:val="20"/>
          <w:lang w:val="es-ES_tradnl"/>
        </w:rPr>
        <w:t xml:space="preserve">para que sean competentes para revisar una decisión judicial dictada por tribunales domésticos, se requiere que dicha decisión en sí misma refleje una evidente violación a la </w:t>
      </w:r>
      <w:r w:rsidR="00E64BE1" w:rsidRPr="00C22AD0">
        <w:rPr>
          <w:rFonts w:asciiTheme="majorHAnsi" w:hAnsiTheme="majorHAnsi"/>
          <w:sz w:val="20"/>
          <w:szCs w:val="20"/>
          <w:lang w:val="es-ES_tradnl"/>
        </w:rPr>
        <w:t>Convención Americana</w:t>
      </w:r>
      <w:r w:rsidR="00C32EF9" w:rsidRPr="00C22AD0">
        <w:rPr>
          <w:rFonts w:asciiTheme="majorHAnsi" w:hAnsiTheme="majorHAnsi"/>
          <w:sz w:val="20"/>
          <w:szCs w:val="20"/>
          <w:lang w:val="es-ES_tradnl"/>
        </w:rPr>
        <w:t>.</w:t>
      </w:r>
    </w:p>
    <w:p w14:paraId="1D96FC6C" w14:textId="41173E8C" w:rsidR="00185A40" w:rsidRPr="00C22AD0" w:rsidRDefault="006D6020" w:rsidP="00EE52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En tal sentido, Colombia afirma que </w:t>
      </w:r>
      <w:r w:rsidR="004558B2" w:rsidRPr="00C22AD0">
        <w:rPr>
          <w:rFonts w:asciiTheme="majorHAnsi" w:hAnsiTheme="majorHAnsi"/>
          <w:sz w:val="20"/>
          <w:szCs w:val="20"/>
          <w:lang w:val="es-ES_tradnl"/>
        </w:rPr>
        <w:t xml:space="preserve">el proceso penal </w:t>
      </w:r>
      <w:r w:rsidR="00A00668" w:rsidRPr="00C22AD0">
        <w:rPr>
          <w:rFonts w:asciiTheme="majorHAnsi" w:hAnsiTheme="majorHAnsi"/>
          <w:sz w:val="20"/>
          <w:szCs w:val="20"/>
          <w:lang w:val="es-ES_tradnl"/>
        </w:rPr>
        <w:t xml:space="preserve">siguió los estándares de debida diligencia en la investigación y del plazo razonable. </w:t>
      </w:r>
      <w:r w:rsidR="00A00668" w:rsidRPr="00C22AD0">
        <w:rPr>
          <w:rFonts w:asciiTheme="majorHAnsi" w:eastAsia="Arial Unicode MS" w:hAnsiTheme="majorHAnsi" w:cs="Times New Roman"/>
          <w:color w:val="auto"/>
          <w:sz w:val="20"/>
          <w:szCs w:val="20"/>
          <w:lang w:val="es-ES_tradnl" w:eastAsia="en-US"/>
        </w:rPr>
        <w:t xml:space="preserve">Señala que la fiscalía desplegó varias </w:t>
      </w:r>
      <w:r w:rsidR="00E85D83" w:rsidRPr="00C22AD0">
        <w:rPr>
          <w:rFonts w:asciiTheme="majorHAnsi" w:hAnsiTheme="majorHAnsi"/>
          <w:sz w:val="20"/>
          <w:szCs w:val="20"/>
          <w:lang w:val="es-ES_tradnl"/>
        </w:rPr>
        <w:t xml:space="preserve">diligencias investigativas como </w:t>
      </w:r>
      <w:r w:rsidR="0074600E" w:rsidRPr="00C22AD0">
        <w:rPr>
          <w:rFonts w:asciiTheme="majorHAnsi" w:hAnsiTheme="majorHAnsi"/>
          <w:sz w:val="20"/>
          <w:szCs w:val="20"/>
          <w:lang w:val="es-ES_tradnl"/>
        </w:rPr>
        <w:t xml:space="preserve">la </w:t>
      </w:r>
      <w:r w:rsidR="00226A1B" w:rsidRPr="00C22AD0">
        <w:rPr>
          <w:rFonts w:asciiTheme="majorHAnsi" w:hAnsiTheme="majorHAnsi"/>
          <w:sz w:val="20"/>
          <w:szCs w:val="20"/>
          <w:lang w:val="es-ES_tradnl"/>
        </w:rPr>
        <w:t xml:space="preserve">recepción de declaraciones de testigos, exámenes de necropsia practicados a las </w:t>
      </w:r>
      <w:r w:rsidR="0074600E" w:rsidRPr="00C22AD0">
        <w:rPr>
          <w:rFonts w:asciiTheme="majorHAnsi" w:hAnsiTheme="majorHAnsi"/>
          <w:sz w:val="20"/>
          <w:szCs w:val="20"/>
          <w:lang w:val="es-ES_tradnl"/>
        </w:rPr>
        <w:t xml:space="preserve">presuntas </w:t>
      </w:r>
      <w:r w:rsidR="00226A1B" w:rsidRPr="00C22AD0">
        <w:rPr>
          <w:rFonts w:asciiTheme="majorHAnsi" w:hAnsiTheme="majorHAnsi"/>
          <w:sz w:val="20"/>
          <w:szCs w:val="20"/>
          <w:lang w:val="es-ES_tradnl"/>
        </w:rPr>
        <w:t xml:space="preserve">víctimas, </w:t>
      </w:r>
      <w:r w:rsidR="009E4040" w:rsidRPr="00C22AD0">
        <w:rPr>
          <w:rFonts w:asciiTheme="majorHAnsi" w:hAnsiTheme="majorHAnsi"/>
          <w:sz w:val="20"/>
          <w:szCs w:val="20"/>
          <w:lang w:val="es-ES_tradnl"/>
        </w:rPr>
        <w:t>examen a los informes de inteligencia del ejército, inspección judicial al lugar de los hechos, entre otr</w:t>
      </w:r>
      <w:r w:rsidR="0074600E" w:rsidRPr="00C22AD0">
        <w:rPr>
          <w:rFonts w:asciiTheme="majorHAnsi" w:hAnsiTheme="majorHAnsi"/>
          <w:sz w:val="20"/>
          <w:szCs w:val="20"/>
          <w:lang w:val="es-ES_tradnl"/>
        </w:rPr>
        <w:t>a</w:t>
      </w:r>
      <w:r w:rsidR="009E4040" w:rsidRPr="00C22AD0">
        <w:rPr>
          <w:rFonts w:asciiTheme="majorHAnsi" w:hAnsiTheme="majorHAnsi"/>
          <w:sz w:val="20"/>
          <w:szCs w:val="20"/>
          <w:lang w:val="es-ES_tradnl"/>
        </w:rPr>
        <w:t>s</w:t>
      </w:r>
      <w:r w:rsidR="009F440E" w:rsidRPr="00C22AD0">
        <w:rPr>
          <w:rFonts w:asciiTheme="majorHAnsi" w:hAnsiTheme="majorHAnsi"/>
          <w:sz w:val="20"/>
          <w:szCs w:val="20"/>
          <w:lang w:val="es-ES_tradnl"/>
        </w:rPr>
        <w:t>. Lo anterior llevó a que a partir de 2001 se vincularan a posibles autores de los hechos</w:t>
      </w:r>
      <w:r w:rsidR="0074600E" w:rsidRPr="00C22AD0">
        <w:rPr>
          <w:rFonts w:asciiTheme="majorHAnsi" w:hAnsiTheme="majorHAnsi"/>
          <w:sz w:val="20"/>
          <w:szCs w:val="20"/>
          <w:lang w:val="es-ES_tradnl"/>
        </w:rPr>
        <w:t xml:space="preserve"> con la emisión de </w:t>
      </w:r>
      <w:r w:rsidR="00E64BE1" w:rsidRPr="00C22AD0">
        <w:rPr>
          <w:rFonts w:asciiTheme="majorHAnsi" w:hAnsiTheme="majorHAnsi"/>
          <w:sz w:val="20"/>
          <w:szCs w:val="20"/>
          <w:lang w:val="es-ES_tradnl"/>
        </w:rPr>
        <w:t>dieciocho</w:t>
      </w:r>
      <w:r w:rsidR="009F440E" w:rsidRPr="00C22AD0">
        <w:rPr>
          <w:rFonts w:asciiTheme="majorHAnsi" w:hAnsiTheme="majorHAnsi"/>
          <w:sz w:val="20"/>
          <w:szCs w:val="20"/>
          <w:lang w:val="es-ES_tradnl"/>
        </w:rPr>
        <w:t xml:space="preserve"> órdenes de captura. </w:t>
      </w:r>
      <w:r w:rsidR="00675CDC" w:rsidRPr="00C22AD0">
        <w:rPr>
          <w:rFonts w:asciiTheme="majorHAnsi" w:hAnsiTheme="majorHAnsi"/>
          <w:sz w:val="20"/>
          <w:szCs w:val="20"/>
          <w:lang w:val="es-ES_tradnl"/>
        </w:rPr>
        <w:t xml:space="preserve">Indica que </w:t>
      </w:r>
      <w:r w:rsidR="009F440E" w:rsidRPr="00C22AD0">
        <w:rPr>
          <w:rFonts w:asciiTheme="majorHAnsi" w:hAnsiTheme="majorHAnsi"/>
          <w:sz w:val="20"/>
          <w:szCs w:val="20"/>
          <w:lang w:val="es-ES_tradnl"/>
        </w:rPr>
        <w:t>el Estado ejecut</w:t>
      </w:r>
      <w:r w:rsidR="00675CDC" w:rsidRPr="00C22AD0">
        <w:rPr>
          <w:rFonts w:asciiTheme="majorHAnsi" w:hAnsiTheme="majorHAnsi"/>
          <w:sz w:val="20"/>
          <w:szCs w:val="20"/>
          <w:lang w:val="es-ES_tradnl"/>
        </w:rPr>
        <w:t>ó</w:t>
      </w:r>
      <w:r w:rsidR="009F440E" w:rsidRPr="00C22AD0">
        <w:rPr>
          <w:rFonts w:asciiTheme="majorHAnsi" w:hAnsiTheme="majorHAnsi"/>
          <w:sz w:val="20"/>
          <w:szCs w:val="20"/>
          <w:lang w:val="es-ES_tradnl"/>
        </w:rPr>
        <w:t xml:space="preserve"> más de </w:t>
      </w:r>
      <w:r w:rsidR="00E64BE1" w:rsidRPr="00C22AD0">
        <w:rPr>
          <w:rFonts w:asciiTheme="majorHAnsi" w:hAnsiTheme="majorHAnsi"/>
          <w:sz w:val="20"/>
          <w:szCs w:val="20"/>
          <w:lang w:val="es-ES_tradnl"/>
        </w:rPr>
        <w:t>sesenta</w:t>
      </w:r>
      <w:r w:rsidR="009F440E" w:rsidRPr="00C22AD0">
        <w:rPr>
          <w:rFonts w:asciiTheme="majorHAnsi" w:hAnsiTheme="majorHAnsi"/>
          <w:sz w:val="20"/>
          <w:szCs w:val="20"/>
          <w:lang w:val="es-ES_tradnl"/>
        </w:rPr>
        <w:t xml:space="preserve"> actuaciones en </w:t>
      </w:r>
      <w:r w:rsidR="00675CDC" w:rsidRPr="00C22AD0">
        <w:rPr>
          <w:rFonts w:asciiTheme="majorHAnsi" w:hAnsiTheme="majorHAnsi"/>
          <w:sz w:val="20"/>
          <w:szCs w:val="20"/>
          <w:lang w:val="es-ES_tradnl"/>
        </w:rPr>
        <w:t>cuatro</w:t>
      </w:r>
      <w:r w:rsidR="009F440E" w:rsidRPr="00C22AD0">
        <w:rPr>
          <w:rFonts w:asciiTheme="majorHAnsi" w:hAnsiTheme="majorHAnsi"/>
          <w:sz w:val="20"/>
          <w:szCs w:val="20"/>
          <w:lang w:val="es-ES_tradnl"/>
        </w:rPr>
        <w:t xml:space="preserve"> años, entre las cuales se comprenden informes de inteligencia militar, informes e inspecciones judiciales</w:t>
      </w:r>
      <w:r w:rsidR="006622F4" w:rsidRPr="00C22AD0">
        <w:rPr>
          <w:rFonts w:asciiTheme="majorHAnsi" w:hAnsiTheme="majorHAnsi"/>
          <w:sz w:val="20"/>
          <w:szCs w:val="20"/>
          <w:lang w:val="es-ES_tradnl"/>
        </w:rPr>
        <w:t>,</w:t>
      </w:r>
      <w:r w:rsidR="009F440E" w:rsidRPr="00C22AD0">
        <w:rPr>
          <w:rFonts w:asciiTheme="majorHAnsi" w:hAnsiTheme="majorHAnsi"/>
          <w:sz w:val="20"/>
          <w:szCs w:val="20"/>
          <w:lang w:val="es-ES_tradnl"/>
        </w:rPr>
        <w:t xml:space="preserve"> capturas efectivas</w:t>
      </w:r>
      <w:r w:rsidR="006622F4" w:rsidRPr="00C22AD0">
        <w:rPr>
          <w:rFonts w:asciiTheme="majorHAnsi" w:hAnsiTheme="majorHAnsi"/>
          <w:sz w:val="20"/>
          <w:szCs w:val="20"/>
          <w:lang w:val="es-ES_tradnl"/>
        </w:rPr>
        <w:t>, entre otras</w:t>
      </w:r>
      <w:r w:rsidR="009F440E" w:rsidRPr="00C22AD0">
        <w:rPr>
          <w:rFonts w:asciiTheme="majorHAnsi" w:hAnsiTheme="majorHAnsi"/>
          <w:sz w:val="20"/>
          <w:szCs w:val="20"/>
          <w:lang w:val="es-ES_tradnl"/>
        </w:rPr>
        <w:t>.</w:t>
      </w:r>
      <w:r w:rsidR="00675CDC" w:rsidRPr="00C22AD0">
        <w:rPr>
          <w:rFonts w:asciiTheme="majorHAnsi" w:hAnsiTheme="majorHAnsi"/>
          <w:sz w:val="20"/>
          <w:szCs w:val="20"/>
          <w:lang w:val="es-ES_tradnl"/>
        </w:rPr>
        <w:t xml:space="preserve"> </w:t>
      </w:r>
      <w:r w:rsidR="00863585" w:rsidRPr="00C22AD0">
        <w:rPr>
          <w:rFonts w:asciiTheme="majorHAnsi" w:hAnsiTheme="majorHAnsi"/>
          <w:sz w:val="20"/>
          <w:szCs w:val="20"/>
          <w:lang w:val="es-ES_tradnl"/>
        </w:rPr>
        <w:t>Entre 2010 y 201</w:t>
      </w:r>
      <w:r w:rsidR="00675CDC" w:rsidRPr="00C22AD0">
        <w:rPr>
          <w:rFonts w:asciiTheme="majorHAnsi" w:hAnsiTheme="majorHAnsi"/>
          <w:sz w:val="20"/>
          <w:szCs w:val="20"/>
          <w:lang w:val="es-ES_tradnl"/>
        </w:rPr>
        <w:t>8</w:t>
      </w:r>
      <w:r w:rsidR="00863585" w:rsidRPr="00C22AD0">
        <w:rPr>
          <w:rFonts w:asciiTheme="majorHAnsi" w:hAnsiTheme="majorHAnsi"/>
          <w:sz w:val="20"/>
          <w:szCs w:val="20"/>
          <w:lang w:val="es-ES_tradnl"/>
        </w:rPr>
        <w:t xml:space="preserve"> se emitieron </w:t>
      </w:r>
      <w:r w:rsidR="00E64BE1" w:rsidRPr="00C22AD0">
        <w:rPr>
          <w:rFonts w:asciiTheme="majorHAnsi" w:hAnsiTheme="majorHAnsi"/>
          <w:sz w:val="20"/>
          <w:szCs w:val="20"/>
          <w:lang w:val="es-ES_tradnl"/>
        </w:rPr>
        <w:t>trece</w:t>
      </w:r>
      <w:r w:rsidR="00675CDC" w:rsidRPr="00C22AD0">
        <w:rPr>
          <w:rFonts w:asciiTheme="majorHAnsi" w:hAnsiTheme="majorHAnsi"/>
          <w:sz w:val="20"/>
          <w:szCs w:val="20"/>
          <w:lang w:val="es-ES_tradnl"/>
        </w:rPr>
        <w:t xml:space="preserve"> </w:t>
      </w:r>
      <w:r w:rsidR="00863585" w:rsidRPr="00C22AD0">
        <w:rPr>
          <w:rFonts w:asciiTheme="majorHAnsi" w:hAnsiTheme="majorHAnsi"/>
          <w:sz w:val="20"/>
          <w:szCs w:val="20"/>
          <w:lang w:val="es-ES_tradnl"/>
        </w:rPr>
        <w:t>sentencias condenatorias</w:t>
      </w:r>
      <w:r w:rsidR="00675CDC" w:rsidRPr="00C22AD0">
        <w:rPr>
          <w:rFonts w:asciiTheme="majorHAnsi" w:hAnsiTheme="majorHAnsi"/>
          <w:sz w:val="20"/>
          <w:szCs w:val="20"/>
          <w:lang w:val="es-ES_tradnl"/>
        </w:rPr>
        <w:t>.</w:t>
      </w:r>
      <w:r w:rsidR="006526AC" w:rsidRPr="00C22AD0">
        <w:rPr>
          <w:rFonts w:asciiTheme="majorHAnsi" w:hAnsiTheme="majorHAnsi"/>
          <w:sz w:val="20"/>
          <w:szCs w:val="20"/>
          <w:lang w:val="es-ES_tradnl"/>
        </w:rPr>
        <w:t xml:space="preserve"> </w:t>
      </w:r>
      <w:r w:rsidR="00C314A1" w:rsidRPr="00C22AD0">
        <w:rPr>
          <w:rFonts w:asciiTheme="majorHAnsi" w:hAnsiTheme="majorHAnsi"/>
          <w:sz w:val="20"/>
          <w:szCs w:val="20"/>
          <w:lang w:val="es-ES_tradnl"/>
        </w:rPr>
        <w:t>Colombia s</w:t>
      </w:r>
      <w:r w:rsidR="006526AC" w:rsidRPr="00C22AD0">
        <w:rPr>
          <w:rFonts w:asciiTheme="majorHAnsi" w:hAnsiTheme="majorHAnsi"/>
          <w:sz w:val="20"/>
          <w:szCs w:val="20"/>
          <w:lang w:val="es-ES_tradnl"/>
        </w:rPr>
        <w:t xml:space="preserve">ostiene que el caso reviste de un alto nivel de complejidad por </w:t>
      </w:r>
      <w:r w:rsidR="00A14B6A" w:rsidRPr="00C22AD0">
        <w:rPr>
          <w:rFonts w:asciiTheme="majorHAnsi" w:hAnsiTheme="majorHAnsi"/>
          <w:sz w:val="20"/>
          <w:szCs w:val="20"/>
          <w:lang w:val="es-ES_tradnl"/>
        </w:rPr>
        <w:t xml:space="preserve">la magnitud de los hechos, pues la </w:t>
      </w:r>
      <w:r w:rsidR="00282007" w:rsidRPr="00C22AD0">
        <w:rPr>
          <w:rFonts w:asciiTheme="majorHAnsi" w:hAnsiTheme="majorHAnsi"/>
          <w:sz w:val="20"/>
          <w:szCs w:val="20"/>
          <w:lang w:val="es-ES_tradnl"/>
        </w:rPr>
        <w:t xml:space="preserve">toma guerrillera </w:t>
      </w:r>
      <w:r w:rsidR="00A14B6A" w:rsidRPr="00C22AD0">
        <w:rPr>
          <w:rFonts w:asciiTheme="majorHAnsi" w:hAnsiTheme="majorHAnsi"/>
          <w:sz w:val="20"/>
          <w:szCs w:val="20"/>
          <w:lang w:val="es-ES_tradnl"/>
        </w:rPr>
        <w:t xml:space="preserve">fue </w:t>
      </w:r>
      <w:r w:rsidR="00282007" w:rsidRPr="00C22AD0">
        <w:rPr>
          <w:rFonts w:asciiTheme="majorHAnsi" w:hAnsiTheme="majorHAnsi"/>
          <w:sz w:val="20"/>
          <w:szCs w:val="20"/>
          <w:lang w:val="es-ES_tradnl"/>
        </w:rPr>
        <w:t xml:space="preserve">ejecutada por aproximadamente 2.000 de miembros del grupo armado en un </w:t>
      </w:r>
      <w:r w:rsidR="00AC724A" w:rsidRPr="00C22AD0">
        <w:rPr>
          <w:rFonts w:asciiTheme="majorHAnsi" w:hAnsiTheme="majorHAnsi"/>
          <w:sz w:val="20"/>
          <w:szCs w:val="20"/>
          <w:lang w:val="es-ES_tradnl"/>
        </w:rPr>
        <w:t>lapso</w:t>
      </w:r>
      <w:r w:rsidR="00282007" w:rsidRPr="00C22AD0">
        <w:rPr>
          <w:rFonts w:asciiTheme="majorHAnsi" w:hAnsiTheme="majorHAnsi"/>
          <w:sz w:val="20"/>
          <w:szCs w:val="20"/>
          <w:lang w:val="es-ES_tradnl"/>
        </w:rPr>
        <w:t xml:space="preserve"> de tres días</w:t>
      </w:r>
      <w:r w:rsidR="00B156CE" w:rsidRPr="00C22AD0">
        <w:rPr>
          <w:rFonts w:asciiTheme="majorHAnsi" w:hAnsiTheme="majorHAnsi"/>
          <w:sz w:val="20"/>
          <w:szCs w:val="20"/>
          <w:lang w:val="es-ES_tradnl"/>
        </w:rPr>
        <w:t>. El Estado también</w:t>
      </w:r>
      <w:r w:rsidR="00B808AC" w:rsidRPr="00C22AD0">
        <w:rPr>
          <w:rFonts w:asciiTheme="majorHAnsi" w:hAnsiTheme="majorHAnsi"/>
          <w:sz w:val="20"/>
          <w:szCs w:val="20"/>
          <w:lang w:val="es-ES_tradnl"/>
        </w:rPr>
        <w:t xml:space="preserve"> destaca que los familiares de las presuntas víctimas no se constituyeron </w:t>
      </w:r>
      <w:r w:rsidR="00282007" w:rsidRPr="00C22AD0">
        <w:rPr>
          <w:rFonts w:asciiTheme="majorHAnsi" w:hAnsiTheme="majorHAnsi"/>
          <w:sz w:val="20"/>
          <w:szCs w:val="20"/>
          <w:lang w:val="es-ES_tradnl"/>
        </w:rPr>
        <w:t>como</w:t>
      </w:r>
      <w:r w:rsidR="001F14BF" w:rsidRPr="00C22AD0">
        <w:rPr>
          <w:rFonts w:asciiTheme="majorHAnsi" w:hAnsiTheme="majorHAnsi"/>
          <w:sz w:val="20"/>
          <w:szCs w:val="20"/>
          <w:lang w:val="es-ES_tradnl"/>
        </w:rPr>
        <w:t xml:space="preserve"> </w:t>
      </w:r>
      <w:r w:rsidR="00282007" w:rsidRPr="00C22AD0">
        <w:rPr>
          <w:rFonts w:asciiTheme="majorHAnsi" w:hAnsiTheme="majorHAnsi"/>
          <w:sz w:val="20"/>
          <w:szCs w:val="20"/>
          <w:lang w:val="es-ES_tradnl"/>
        </w:rPr>
        <w:t xml:space="preserve">parte civil </w:t>
      </w:r>
      <w:r w:rsidR="00B808AC" w:rsidRPr="00C22AD0">
        <w:rPr>
          <w:rFonts w:asciiTheme="majorHAnsi" w:hAnsiTheme="majorHAnsi"/>
          <w:sz w:val="20"/>
          <w:szCs w:val="20"/>
          <w:lang w:val="es-ES_tradnl"/>
        </w:rPr>
        <w:t xml:space="preserve">en el </w:t>
      </w:r>
      <w:r w:rsidR="00282007" w:rsidRPr="00C22AD0">
        <w:rPr>
          <w:rFonts w:asciiTheme="majorHAnsi" w:hAnsiTheme="majorHAnsi"/>
          <w:sz w:val="20"/>
          <w:szCs w:val="20"/>
          <w:lang w:val="es-ES_tradnl"/>
        </w:rPr>
        <w:t>proceso</w:t>
      </w:r>
      <w:r w:rsidR="00B808AC" w:rsidRPr="00C22AD0">
        <w:rPr>
          <w:rFonts w:asciiTheme="majorHAnsi" w:hAnsiTheme="majorHAnsi"/>
          <w:sz w:val="20"/>
          <w:szCs w:val="20"/>
          <w:lang w:val="es-ES_tradnl"/>
        </w:rPr>
        <w:t xml:space="preserve"> penal</w:t>
      </w:r>
      <w:r w:rsidR="00282007" w:rsidRPr="00C22AD0">
        <w:rPr>
          <w:rFonts w:asciiTheme="majorHAnsi" w:hAnsiTheme="majorHAnsi"/>
          <w:sz w:val="20"/>
          <w:szCs w:val="20"/>
          <w:lang w:val="es-ES_tradnl"/>
        </w:rPr>
        <w:t xml:space="preserve">, </w:t>
      </w:r>
      <w:r w:rsidR="005F05C0" w:rsidRPr="00C22AD0">
        <w:rPr>
          <w:rFonts w:asciiTheme="majorHAnsi" w:hAnsiTheme="majorHAnsi"/>
          <w:sz w:val="20"/>
          <w:szCs w:val="20"/>
          <w:lang w:val="es-ES_tradnl"/>
        </w:rPr>
        <w:t xml:space="preserve">lo que lleva a concluir que las condenas </w:t>
      </w:r>
      <w:r w:rsidR="00974930" w:rsidRPr="00C22AD0">
        <w:rPr>
          <w:rFonts w:asciiTheme="majorHAnsi" w:hAnsiTheme="majorHAnsi"/>
          <w:sz w:val="20"/>
          <w:szCs w:val="20"/>
          <w:lang w:val="es-ES_tradnl"/>
        </w:rPr>
        <w:t xml:space="preserve">fueron proferidas dentro del plazo razonable. </w:t>
      </w:r>
    </w:p>
    <w:p w14:paraId="5CD8A85B" w14:textId="3F82B367" w:rsidR="00FD71AA" w:rsidRPr="00C22AD0" w:rsidRDefault="00C033F5" w:rsidP="00FD71A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Con respecto </w:t>
      </w:r>
      <w:r w:rsidR="00DF3553" w:rsidRPr="00C22AD0">
        <w:rPr>
          <w:rFonts w:asciiTheme="majorHAnsi" w:hAnsiTheme="majorHAnsi"/>
          <w:sz w:val="20"/>
          <w:szCs w:val="20"/>
          <w:lang w:val="es-ES_tradnl"/>
        </w:rPr>
        <w:t>al proceso contencioso-administrativo</w:t>
      </w:r>
      <w:r w:rsidRPr="00C22AD0">
        <w:rPr>
          <w:rFonts w:asciiTheme="majorHAnsi" w:hAnsiTheme="majorHAnsi"/>
          <w:sz w:val="20"/>
          <w:szCs w:val="20"/>
          <w:lang w:val="es-ES_tradnl"/>
        </w:rPr>
        <w:t>,</w:t>
      </w:r>
      <w:r w:rsidR="00DF3553" w:rsidRPr="00C22AD0">
        <w:rPr>
          <w:rFonts w:asciiTheme="majorHAnsi" w:hAnsiTheme="majorHAnsi"/>
          <w:sz w:val="20"/>
          <w:szCs w:val="20"/>
          <w:lang w:val="es-ES_tradnl"/>
        </w:rPr>
        <w:t xml:space="preserve"> </w:t>
      </w:r>
      <w:r w:rsidR="00EB7B6A" w:rsidRPr="00C22AD0">
        <w:rPr>
          <w:rFonts w:asciiTheme="majorHAnsi" w:hAnsiTheme="majorHAnsi"/>
          <w:sz w:val="20"/>
          <w:szCs w:val="20"/>
          <w:lang w:val="es-ES_tradnl"/>
        </w:rPr>
        <w:t xml:space="preserve">el Estado </w:t>
      </w:r>
      <w:r w:rsidRPr="00C22AD0">
        <w:rPr>
          <w:rFonts w:asciiTheme="majorHAnsi" w:hAnsiTheme="majorHAnsi"/>
          <w:sz w:val="20"/>
          <w:szCs w:val="20"/>
          <w:lang w:val="es-ES_tradnl"/>
        </w:rPr>
        <w:t xml:space="preserve">sostiene que </w:t>
      </w:r>
      <w:r w:rsidR="00EB7B6A" w:rsidRPr="00C22AD0">
        <w:rPr>
          <w:rFonts w:asciiTheme="majorHAnsi" w:hAnsiTheme="majorHAnsi"/>
          <w:sz w:val="20"/>
          <w:szCs w:val="20"/>
          <w:lang w:val="es-ES_tradnl"/>
        </w:rPr>
        <w:t xml:space="preserve">garantizó los derechos de </w:t>
      </w:r>
      <w:r w:rsidRPr="00C22AD0">
        <w:rPr>
          <w:rFonts w:asciiTheme="majorHAnsi" w:hAnsiTheme="majorHAnsi"/>
          <w:sz w:val="20"/>
          <w:szCs w:val="20"/>
          <w:lang w:val="es-ES_tradnl"/>
        </w:rPr>
        <w:t xml:space="preserve">los familiares de </w:t>
      </w:r>
      <w:r w:rsidR="00EB7B6A" w:rsidRPr="00C22AD0">
        <w:rPr>
          <w:rFonts w:asciiTheme="majorHAnsi" w:hAnsiTheme="majorHAnsi"/>
          <w:sz w:val="20"/>
          <w:szCs w:val="20"/>
          <w:lang w:val="es-ES_tradnl"/>
        </w:rPr>
        <w:t>las presuntas víctimas al debido proceso</w:t>
      </w:r>
      <w:r w:rsidRPr="00C22AD0">
        <w:rPr>
          <w:rFonts w:asciiTheme="majorHAnsi" w:hAnsiTheme="majorHAnsi"/>
          <w:sz w:val="20"/>
          <w:szCs w:val="20"/>
          <w:lang w:val="es-ES_tradnl"/>
        </w:rPr>
        <w:t>,</w:t>
      </w:r>
      <w:r w:rsidR="00EB7B6A" w:rsidRPr="00C22AD0">
        <w:rPr>
          <w:rFonts w:asciiTheme="majorHAnsi" w:hAnsiTheme="majorHAnsi"/>
          <w:sz w:val="20"/>
          <w:szCs w:val="20"/>
          <w:lang w:val="es-ES_tradnl"/>
        </w:rPr>
        <w:t xml:space="preserve"> </w:t>
      </w:r>
      <w:r w:rsidRPr="00C22AD0">
        <w:rPr>
          <w:rFonts w:asciiTheme="majorHAnsi" w:hAnsiTheme="majorHAnsi"/>
          <w:sz w:val="20"/>
          <w:szCs w:val="20"/>
          <w:lang w:val="es-ES_tradnl"/>
        </w:rPr>
        <w:t xml:space="preserve">ya </w:t>
      </w:r>
      <w:r w:rsidR="00EB7B6A" w:rsidRPr="00C22AD0">
        <w:rPr>
          <w:rFonts w:asciiTheme="majorHAnsi" w:hAnsiTheme="majorHAnsi"/>
          <w:sz w:val="20"/>
          <w:szCs w:val="20"/>
          <w:lang w:val="es-ES_tradnl"/>
        </w:rPr>
        <w:t xml:space="preserve">que </w:t>
      </w:r>
      <w:r w:rsidR="00D51C75" w:rsidRPr="00C22AD0">
        <w:rPr>
          <w:rFonts w:asciiTheme="majorHAnsi" w:hAnsiTheme="majorHAnsi"/>
          <w:sz w:val="20"/>
          <w:szCs w:val="20"/>
          <w:lang w:val="es-ES_tradnl"/>
        </w:rPr>
        <w:t xml:space="preserve">la Constitución colombiana permite </w:t>
      </w:r>
      <w:r w:rsidR="00EB7B6A" w:rsidRPr="00C22AD0">
        <w:rPr>
          <w:rFonts w:asciiTheme="majorHAnsi" w:hAnsiTheme="majorHAnsi"/>
          <w:sz w:val="20"/>
          <w:szCs w:val="20"/>
          <w:lang w:val="es-ES_tradnl"/>
        </w:rPr>
        <w:t xml:space="preserve">establecer excepciones al derecho de doble instancia en ciertos ámbitos jurisdiccionales, </w:t>
      </w:r>
      <w:r w:rsidR="00D51C75" w:rsidRPr="00C22AD0">
        <w:rPr>
          <w:rFonts w:asciiTheme="majorHAnsi" w:hAnsiTheme="majorHAnsi"/>
          <w:sz w:val="20"/>
          <w:szCs w:val="20"/>
          <w:lang w:val="es-ES_tradnl"/>
        </w:rPr>
        <w:t xml:space="preserve">y </w:t>
      </w:r>
      <w:r w:rsidR="00EB7B6A" w:rsidRPr="00C22AD0">
        <w:rPr>
          <w:rFonts w:asciiTheme="majorHAnsi" w:hAnsiTheme="majorHAnsi"/>
          <w:sz w:val="20"/>
          <w:szCs w:val="20"/>
          <w:lang w:val="es-ES_tradnl"/>
        </w:rPr>
        <w:t>en tanto se verifique el cumplimiento de determinados requisitos excepcionales.</w:t>
      </w:r>
      <w:r w:rsidR="007E11A4" w:rsidRPr="00C22AD0">
        <w:rPr>
          <w:rFonts w:asciiTheme="majorHAnsi" w:hAnsiTheme="majorHAnsi"/>
          <w:sz w:val="20"/>
          <w:szCs w:val="20"/>
          <w:lang w:val="es-ES_tradnl"/>
        </w:rPr>
        <w:t xml:space="preserve"> </w:t>
      </w:r>
      <w:r w:rsidR="00D51C75" w:rsidRPr="00C22AD0">
        <w:rPr>
          <w:rFonts w:asciiTheme="majorHAnsi" w:hAnsiTheme="majorHAnsi"/>
          <w:sz w:val="20"/>
          <w:szCs w:val="20"/>
          <w:lang w:val="es-ES_tradnl"/>
        </w:rPr>
        <w:t>En esa medida, la Corte Constitucional evaluó la c</w:t>
      </w:r>
      <w:r w:rsidR="007E11A4" w:rsidRPr="00C22AD0">
        <w:rPr>
          <w:rFonts w:asciiTheme="majorHAnsi" w:hAnsiTheme="majorHAnsi"/>
          <w:sz w:val="20"/>
          <w:szCs w:val="20"/>
          <w:lang w:val="es-ES_tradnl"/>
        </w:rPr>
        <w:t xml:space="preserve">onvencionalidad de la </w:t>
      </w:r>
      <w:r w:rsidR="00D51C75" w:rsidRPr="00C22AD0">
        <w:rPr>
          <w:rFonts w:asciiTheme="majorHAnsi" w:hAnsiTheme="majorHAnsi"/>
          <w:sz w:val="20"/>
          <w:szCs w:val="20"/>
          <w:lang w:val="es-ES_tradnl"/>
        </w:rPr>
        <w:t>única instancia en los procesos contencioso-administrativos</w:t>
      </w:r>
      <w:r w:rsidR="00500617" w:rsidRPr="00C22AD0">
        <w:rPr>
          <w:rFonts w:asciiTheme="majorHAnsi" w:hAnsiTheme="majorHAnsi"/>
          <w:sz w:val="20"/>
          <w:szCs w:val="20"/>
          <w:lang w:val="es-ES_tradnl"/>
        </w:rPr>
        <w:t>,</w:t>
      </w:r>
      <w:r w:rsidR="00D51C75" w:rsidRPr="00C22AD0">
        <w:rPr>
          <w:rFonts w:asciiTheme="majorHAnsi" w:hAnsiTheme="majorHAnsi"/>
          <w:sz w:val="20"/>
          <w:szCs w:val="20"/>
          <w:lang w:val="es-ES_tradnl"/>
        </w:rPr>
        <w:t xml:space="preserve"> y </w:t>
      </w:r>
      <w:r w:rsidR="00955976" w:rsidRPr="00C22AD0">
        <w:rPr>
          <w:rFonts w:asciiTheme="majorHAnsi" w:hAnsiTheme="majorHAnsi"/>
          <w:sz w:val="20"/>
          <w:szCs w:val="20"/>
          <w:lang w:val="es-ES_tradnl"/>
        </w:rPr>
        <w:t>concluyó que ésta se adecúa a las garantías judiciales contempladas en la Convención Americana y en la Constitución colombiana</w:t>
      </w:r>
      <w:r w:rsidR="004262C5" w:rsidRPr="00C22AD0">
        <w:rPr>
          <w:rFonts w:asciiTheme="majorHAnsi" w:hAnsiTheme="majorHAnsi"/>
          <w:sz w:val="20"/>
          <w:szCs w:val="20"/>
          <w:lang w:val="es-ES_tradnl"/>
        </w:rPr>
        <w:t>.</w:t>
      </w:r>
    </w:p>
    <w:p w14:paraId="6CEECF56" w14:textId="1746D577" w:rsidR="001F0CE9" w:rsidRPr="00C22AD0" w:rsidRDefault="00AA6C61" w:rsidP="00FD71A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Por otro lado, el Estado plantea la a</w:t>
      </w:r>
      <w:r w:rsidR="000B46B5" w:rsidRPr="00C22AD0">
        <w:rPr>
          <w:rFonts w:asciiTheme="majorHAnsi" w:hAnsiTheme="majorHAnsi"/>
          <w:sz w:val="20"/>
          <w:szCs w:val="20"/>
          <w:lang w:val="es-ES_tradnl"/>
        </w:rPr>
        <w:t xml:space="preserve">usencia de hechos </w:t>
      </w:r>
      <w:r w:rsidR="002E25F0" w:rsidRPr="00C22AD0">
        <w:rPr>
          <w:rFonts w:asciiTheme="majorHAnsi" w:hAnsiTheme="majorHAnsi"/>
          <w:sz w:val="20"/>
          <w:szCs w:val="20"/>
          <w:lang w:val="es-ES_tradnl"/>
        </w:rPr>
        <w:t xml:space="preserve">en la petición </w:t>
      </w:r>
      <w:r w:rsidR="000B46B5" w:rsidRPr="00C22AD0">
        <w:rPr>
          <w:rFonts w:asciiTheme="majorHAnsi" w:hAnsiTheme="majorHAnsi"/>
          <w:sz w:val="20"/>
          <w:szCs w:val="20"/>
          <w:lang w:val="es-ES_tradnl"/>
        </w:rPr>
        <w:t xml:space="preserve">que caractericen una violación </w:t>
      </w:r>
      <w:r w:rsidRPr="00C22AD0">
        <w:rPr>
          <w:rFonts w:asciiTheme="majorHAnsi" w:hAnsiTheme="majorHAnsi"/>
          <w:sz w:val="20"/>
          <w:szCs w:val="20"/>
          <w:lang w:val="es-ES_tradnl"/>
        </w:rPr>
        <w:t xml:space="preserve">de los derechos invocados que sea </w:t>
      </w:r>
      <w:r w:rsidR="00D9209E" w:rsidRPr="00C22AD0">
        <w:rPr>
          <w:rFonts w:asciiTheme="majorHAnsi" w:hAnsiTheme="majorHAnsi"/>
          <w:sz w:val="20"/>
          <w:szCs w:val="20"/>
          <w:lang w:val="es-ES_tradnl"/>
        </w:rPr>
        <w:t>potencialmente atribuible al Estado</w:t>
      </w:r>
      <w:r w:rsidR="000E5CBE" w:rsidRPr="00C22AD0">
        <w:rPr>
          <w:rFonts w:asciiTheme="majorHAnsi" w:hAnsiTheme="majorHAnsi"/>
          <w:sz w:val="20"/>
          <w:szCs w:val="20"/>
          <w:lang w:val="es-ES_tradnl"/>
        </w:rPr>
        <w:t xml:space="preserve">, lo que torna la presente petición inadmisible, de conformidad con el artículo 47(b) de la Convención. </w:t>
      </w:r>
      <w:r w:rsidR="00A5606E" w:rsidRPr="00C22AD0">
        <w:rPr>
          <w:rFonts w:asciiTheme="majorHAnsi" w:hAnsiTheme="majorHAnsi"/>
          <w:sz w:val="20"/>
          <w:szCs w:val="20"/>
          <w:lang w:val="es-ES_tradnl"/>
        </w:rPr>
        <w:t xml:space="preserve">Sostiene que el estudio </w:t>
      </w:r>
      <w:r w:rsidR="00A5606E" w:rsidRPr="00C22AD0">
        <w:rPr>
          <w:rFonts w:asciiTheme="majorHAnsi" w:hAnsiTheme="majorHAnsi"/>
          <w:i/>
          <w:iCs/>
          <w:sz w:val="20"/>
          <w:szCs w:val="20"/>
          <w:lang w:val="es-ES_tradnl"/>
        </w:rPr>
        <w:t>prima facie</w:t>
      </w:r>
      <w:r w:rsidR="00A5606E" w:rsidRPr="00C22AD0">
        <w:rPr>
          <w:rFonts w:asciiTheme="majorHAnsi" w:hAnsiTheme="majorHAnsi"/>
          <w:sz w:val="20"/>
          <w:szCs w:val="20"/>
          <w:lang w:val="es-ES_tradnl"/>
        </w:rPr>
        <w:t xml:space="preserve"> de la existencia de una potencial violación no sólo comprende el desconocimiento de un derecho o garantía particular, sino también su atribución al Estado. En esa medida, </w:t>
      </w:r>
      <w:r w:rsidR="000E5CBE" w:rsidRPr="00C22AD0">
        <w:rPr>
          <w:rFonts w:asciiTheme="majorHAnsi" w:hAnsiTheme="majorHAnsi"/>
          <w:sz w:val="20"/>
          <w:szCs w:val="20"/>
          <w:lang w:val="es-ES_tradnl"/>
        </w:rPr>
        <w:t>Colombia asevera</w:t>
      </w:r>
      <w:r w:rsidR="00D9209E" w:rsidRPr="00C22AD0">
        <w:rPr>
          <w:rFonts w:asciiTheme="majorHAnsi" w:hAnsiTheme="majorHAnsi"/>
          <w:sz w:val="20"/>
          <w:szCs w:val="20"/>
          <w:lang w:val="es-ES_tradnl"/>
        </w:rPr>
        <w:t xml:space="preserve"> </w:t>
      </w:r>
      <w:r w:rsidR="000E5CBE" w:rsidRPr="00C22AD0">
        <w:rPr>
          <w:rFonts w:asciiTheme="majorHAnsi" w:hAnsiTheme="majorHAnsi"/>
          <w:sz w:val="20"/>
          <w:szCs w:val="20"/>
          <w:lang w:val="es-ES_tradnl"/>
        </w:rPr>
        <w:t xml:space="preserve">que </w:t>
      </w:r>
      <w:r w:rsidR="00267A78" w:rsidRPr="00C22AD0">
        <w:rPr>
          <w:rFonts w:asciiTheme="majorHAnsi" w:hAnsiTheme="majorHAnsi"/>
          <w:sz w:val="20"/>
          <w:szCs w:val="20"/>
          <w:lang w:val="es-ES_tradnl"/>
        </w:rPr>
        <w:t xml:space="preserve">los hechos </w:t>
      </w:r>
      <w:r w:rsidR="000E5CBE" w:rsidRPr="00C22AD0">
        <w:rPr>
          <w:rFonts w:asciiTheme="majorHAnsi" w:hAnsiTheme="majorHAnsi"/>
          <w:sz w:val="20"/>
          <w:szCs w:val="20"/>
          <w:lang w:val="es-ES_tradnl"/>
        </w:rPr>
        <w:t xml:space="preserve">por lo que las presuntas víctimas </w:t>
      </w:r>
      <w:r w:rsidR="00267A78" w:rsidRPr="00C22AD0">
        <w:rPr>
          <w:rFonts w:asciiTheme="majorHAnsi" w:hAnsiTheme="majorHAnsi"/>
          <w:sz w:val="20"/>
          <w:szCs w:val="20"/>
          <w:lang w:val="es-ES_tradnl"/>
        </w:rPr>
        <w:t xml:space="preserve">perdieron la vida </w:t>
      </w:r>
      <w:r w:rsidR="000E5CBE" w:rsidRPr="00C22AD0">
        <w:rPr>
          <w:rFonts w:asciiTheme="majorHAnsi" w:hAnsiTheme="majorHAnsi"/>
          <w:sz w:val="20"/>
          <w:szCs w:val="20"/>
          <w:lang w:val="es-ES_tradnl"/>
        </w:rPr>
        <w:t xml:space="preserve">no </w:t>
      </w:r>
      <w:r w:rsidR="00267A78" w:rsidRPr="00C22AD0">
        <w:rPr>
          <w:rFonts w:asciiTheme="majorHAnsi" w:hAnsiTheme="majorHAnsi"/>
          <w:sz w:val="20"/>
          <w:szCs w:val="20"/>
          <w:lang w:val="es-ES_tradnl"/>
        </w:rPr>
        <w:t>son atribuibles al Estado</w:t>
      </w:r>
      <w:r w:rsidR="00BD7EBB" w:rsidRPr="00C22AD0">
        <w:rPr>
          <w:rFonts w:asciiTheme="majorHAnsi" w:hAnsiTheme="majorHAnsi"/>
          <w:sz w:val="20"/>
          <w:szCs w:val="20"/>
          <w:lang w:val="es-ES_tradnl"/>
        </w:rPr>
        <w:t>,</w:t>
      </w:r>
      <w:r w:rsidR="00267A78" w:rsidRPr="00C22AD0">
        <w:rPr>
          <w:rFonts w:asciiTheme="majorHAnsi" w:hAnsiTheme="majorHAnsi"/>
          <w:sz w:val="20"/>
          <w:szCs w:val="20"/>
          <w:lang w:val="es-ES_tradnl"/>
        </w:rPr>
        <w:t xml:space="preserve"> </w:t>
      </w:r>
      <w:r w:rsidR="002455F7" w:rsidRPr="00C22AD0">
        <w:rPr>
          <w:rFonts w:asciiTheme="majorHAnsi" w:hAnsiTheme="majorHAnsi"/>
          <w:sz w:val="20"/>
          <w:szCs w:val="20"/>
          <w:lang w:val="es-ES_tradnl"/>
        </w:rPr>
        <w:t xml:space="preserve">puesto que fueron </w:t>
      </w:r>
      <w:r w:rsidR="00267A78" w:rsidRPr="00C22AD0">
        <w:rPr>
          <w:rFonts w:asciiTheme="majorHAnsi" w:hAnsiTheme="majorHAnsi"/>
          <w:sz w:val="20"/>
          <w:szCs w:val="20"/>
          <w:lang w:val="es-ES_tradnl"/>
        </w:rPr>
        <w:t>cometidos por terceros</w:t>
      </w:r>
      <w:r w:rsidR="002455F7" w:rsidRPr="00C22AD0">
        <w:rPr>
          <w:rFonts w:asciiTheme="majorHAnsi" w:hAnsiTheme="majorHAnsi"/>
          <w:sz w:val="20"/>
          <w:szCs w:val="20"/>
          <w:lang w:val="es-ES_tradnl"/>
        </w:rPr>
        <w:t>, esto es, un grupo guerrillero</w:t>
      </w:r>
      <w:r w:rsidR="00267A78" w:rsidRPr="00C22AD0">
        <w:rPr>
          <w:rFonts w:asciiTheme="majorHAnsi" w:hAnsiTheme="majorHAnsi"/>
          <w:sz w:val="20"/>
          <w:szCs w:val="20"/>
          <w:lang w:val="es-ES_tradnl"/>
        </w:rPr>
        <w:t>.</w:t>
      </w:r>
      <w:r w:rsidR="001F0CE9" w:rsidRPr="00C22AD0">
        <w:rPr>
          <w:rFonts w:asciiTheme="majorHAnsi" w:hAnsiTheme="majorHAnsi"/>
          <w:sz w:val="20"/>
          <w:szCs w:val="20"/>
          <w:lang w:val="es-ES_tradnl"/>
        </w:rPr>
        <w:t xml:space="preserve"> Aduce que el Estado no incurrió en una causal de responsabilidad por hechos de terceros, dado que no hubo tolerancia, complicidad ni aquiescencia de agentes del Estado</w:t>
      </w:r>
      <w:r w:rsidR="00031949" w:rsidRPr="00C22AD0">
        <w:rPr>
          <w:rFonts w:asciiTheme="majorHAnsi" w:hAnsiTheme="majorHAnsi"/>
          <w:sz w:val="20"/>
          <w:szCs w:val="20"/>
          <w:lang w:val="es-ES_tradnl"/>
        </w:rPr>
        <w:t xml:space="preserve"> en la toma guerrillera, ni tampoco una</w:t>
      </w:r>
      <w:r w:rsidR="001F0CE9" w:rsidRPr="00C22AD0">
        <w:rPr>
          <w:rFonts w:asciiTheme="majorHAnsi" w:hAnsiTheme="majorHAnsi"/>
          <w:sz w:val="20"/>
          <w:szCs w:val="20"/>
          <w:lang w:val="es-ES_tradnl"/>
        </w:rPr>
        <w:t xml:space="preserve"> falta de diligencia del deber de prevención de un acto particular. </w:t>
      </w:r>
      <w:r w:rsidR="00387689" w:rsidRPr="00C22AD0">
        <w:rPr>
          <w:rFonts w:asciiTheme="majorHAnsi" w:hAnsiTheme="majorHAnsi"/>
          <w:sz w:val="20"/>
          <w:szCs w:val="20"/>
          <w:lang w:val="es-ES_tradnl"/>
        </w:rPr>
        <w:t>Enfatiza que e</w:t>
      </w:r>
      <w:r w:rsidR="001F0CE9" w:rsidRPr="00C22AD0">
        <w:rPr>
          <w:rFonts w:asciiTheme="majorHAnsi" w:hAnsiTheme="majorHAnsi"/>
          <w:sz w:val="20"/>
          <w:szCs w:val="20"/>
          <w:lang w:val="es-ES_tradnl"/>
        </w:rPr>
        <w:t>l Tribunal Administrativo del Meta consideró que para el momento de los hechos se había asignado una unidad auxiliar de Contraguerrilla del Ejército Nacional</w:t>
      </w:r>
      <w:r w:rsidR="00FE25C7" w:rsidRPr="00C22AD0">
        <w:rPr>
          <w:rFonts w:asciiTheme="majorHAnsi" w:hAnsiTheme="majorHAnsi"/>
          <w:sz w:val="20"/>
          <w:szCs w:val="20"/>
          <w:lang w:val="es-ES_tradnl"/>
        </w:rPr>
        <w:t xml:space="preserve"> al municipio</w:t>
      </w:r>
      <w:r w:rsidR="001F0CE9" w:rsidRPr="00C22AD0">
        <w:rPr>
          <w:rFonts w:asciiTheme="majorHAnsi" w:hAnsiTheme="majorHAnsi"/>
          <w:sz w:val="20"/>
          <w:szCs w:val="20"/>
          <w:lang w:val="es-ES_tradnl"/>
        </w:rPr>
        <w:t xml:space="preserve"> y </w:t>
      </w:r>
      <w:r w:rsidR="00BD7EBB" w:rsidRPr="00C22AD0">
        <w:rPr>
          <w:rFonts w:asciiTheme="majorHAnsi" w:hAnsiTheme="majorHAnsi"/>
          <w:sz w:val="20"/>
          <w:szCs w:val="20"/>
          <w:lang w:val="es-ES_tradnl"/>
        </w:rPr>
        <w:t>dieciséis</w:t>
      </w:r>
      <w:r w:rsidR="00FE25C7" w:rsidRPr="00C22AD0">
        <w:rPr>
          <w:rFonts w:asciiTheme="majorHAnsi" w:hAnsiTheme="majorHAnsi"/>
          <w:sz w:val="20"/>
          <w:szCs w:val="20"/>
          <w:lang w:val="es-ES_tradnl"/>
        </w:rPr>
        <w:t xml:space="preserve"> </w:t>
      </w:r>
      <w:r w:rsidR="001F0CE9" w:rsidRPr="00C22AD0">
        <w:rPr>
          <w:rFonts w:asciiTheme="majorHAnsi" w:hAnsiTheme="majorHAnsi"/>
          <w:sz w:val="20"/>
          <w:szCs w:val="20"/>
          <w:lang w:val="es-ES_tradnl"/>
        </w:rPr>
        <w:t>policías más a</w:t>
      </w:r>
      <w:r w:rsidR="00FE25C7" w:rsidRPr="00C22AD0">
        <w:rPr>
          <w:rFonts w:asciiTheme="majorHAnsi" w:hAnsiTheme="majorHAnsi"/>
          <w:sz w:val="20"/>
          <w:szCs w:val="20"/>
          <w:lang w:val="es-ES_tradnl"/>
        </w:rPr>
        <w:t xml:space="preserve"> la estación</w:t>
      </w:r>
      <w:r w:rsidR="001F0CE9" w:rsidRPr="00C22AD0">
        <w:rPr>
          <w:rFonts w:asciiTheme="majorHAnsi" w:hAnsiTheme="majorHAnsi"/>
          <w:sz w:val="20"/>
          <w:szCs w:val="20"/>
          <w:lang w:val="es-ES_tradnl"/>
        </w:rPr>
        <w:t xml:space="preserve">. </w:t>
      </w:r>
      <w:r w:rsidR="00097DBC" w:rsidRPr="00C22AD0">
        <w:rPr>
          <w:rFonts w:asciiTheme="majorHAnsi" w:hAnsiTheme="majorHAnsi"/>
          <w:sz w:val="20"/>
          <w:szCs w:val="20"/>
          <w:lang w:val="es-ES_tradnl"/>
        </w:rPr>
        <w:t>El Estado cita el siguiente aparte de la sentencia del Tribunal:</w:t>
      </w:r>
    </w:p>
    <w:p w14:paraId="37458022" w14:textId="77777777" w:rsidR="002D32AC" w:rsidRPr="00C22AD0" w:rsidRDefault="002D32AC" w:rsidP="00097D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C22AD0">
        <w:rPr>
          <w:rFonts w:asciiTheme="majorHAnsi" w:hAnsiTheme="majorHAnsi"/>
          <w:sz w:val="20"/>
          <w:szCs w:val="20"/>
          <w:lang w:val="es-ES_tradnl"/>
        </w:rPr>
        <w:t>Para la Sala, la prueba que obra en el expediente (investigación de Procuraduría y Policía) allegada por el actor, nos indica que a pesar de que no había certeza de la posible incursión guerrillera, si se tomaron las medidas tendientes a evitar el funesto desenlace, que además, el factor sorpresa y la cantidad que conformaba el grupo de subversivos era de 2.000 hombres, que ingresaron al casco urbano por la zona rural, desplazándose por agua y tierra, empleando tractores y tanquetas cargadas por toda clase de explosivos, lo que obligo a que las Fuerzas Militares desplegaran su apoyo por aire con helicópteros y el avión fantasma, aeronaves que debían rotarse en ambos municipios, según la información que les suministraran en tierra a través de los radios de comunicación, pero en ningún momento hubo desprotección a los uniformados, como erróneamente se afirma en la demanda ni falla en la táctica operacional, como tampoco en las comunicaciones y dotación.</w:t>
      </w:r>
    </w:p>
    <w:p w14:paraId="2B67F5E2" w14:textId="1318FF76" w:rsidR="002346C0" w:rsidRPr="00C22AD0" w:rsidRDefault="003300FF" w:rsidP="002346C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A</w:t>
      </w:r>
      <w:r w:rsidR="00113348" w:rsidRPr="00C22AD0">
        <w:rPr>
          <w:rFonts w:asciiTheme="majorHAnsi" w:hAnsiTheme="majorHAnsi"/>
          <w:sz w:val="20"/>
          <w:szCs w:val="20"/>
          <w:lang w:val="es-ES_tradnl"/>
        </w:rPr>
        <w:t>sí</w:t>
      </w:r>
      <w:r w:rsidRPr="00C22AD0">
        <w:rPr>
          <w:rFonts w:asciiTheme="majorHAnsi" w:hAnsiTheme="majorHAnsi"/>
          <w:sz w:val="20"/>
          <w:szCs w:val="20"/>
          <w:lang w:val="es-ES_tradnl"/>
        </w:rPr>
        <w:t>,</w:t>
      </w:r>
      <w:r w:rsidR="00113348" w:rsidRPr="00C22AD0">
        <w:rPr>
          <w:rFonts w:asciiTheme="majorHAnsi" w:hAnsiTheme="majorHAnsi"/>
          <w:sz w:val="20"/>
          <w:szCs w:val="20"/>
          <w:lang w:val="es-ES_tradnl"/>
        </w:rPr>
        <w:t xml:space="preserve"> </w:t>
      </w:r>
      <w:r w:rsidR="00BD7EBB" w:rsidRPr="00C22AD0">
        <w:rPr>
          <w:rFonts w:asciiTheme="majorHAnsi" w:hAnsiTheme="majorHAnsi"/>
          <w:sz w:val="20"/>
          <w:szCs w:val="20"/>
          <w:lang w:val="es-ES_tradnl"/>
        </w:rPr>
        <w:t>Colombia</w:t>
      </w:r>
      <w:r w:rsidRPr="00C22AD0">
        <w:rPr>
          <w:rFonts w:asciiTheme="majorHAnsi" w:hAnsiTheme="majorHAnsi"/>
          <w:sz w:val="20"/>
          <w:szCs w:val="20"/>
          <w:lang w:val="es-ES_tradnl"/>
        </w:rPr>
        <w:t xml:space="preserve"> </w:t>
      </w:r>
      <w:r w:rsidR="00113348" w:rsidRPr="00C22AD0">
        <w:rPr>
          <w:rFonts w:asciiTheme="majorHAnsi" w:hAnsiTheme="majorHAnsi"/>
          <w:sz w:val="20"/>
          <w:szCs w:val="20"/>
          <w:lang w:val="es-ES_tradnl"/>
        </w:rPr>
        <w:t>solicita declarar la presente petición inadmisible en virtud del artículo 47(b) de la Convención</w:t>
      </w:r>
      <w:r w:rsidR="00BD7EBB" w:rsidRPr="00C22AD0">
        <w:rPr>
          <w:rFonts w:asciiTheme="majorHAnsi" w:hAnsiTheme="majorHAnsi"/>
          <w:sz w:val="20"/>
          <w:szCs w:val="20"/>
          <w:lang w:val="es-ES_tradnl"/>
        </w:rPr>
        <w:t>;</w:t>
      </w:r>
      <w:r w:rsidR="00113348" w:rsidRPr="00C22AD0">
        <w:rPr>
          <w:rFonts w:asciiTheme="majorHAnsi" w:hAnsiTheme="majorHAnsi"/>
          <w:sz w:val="20"/>
          <w:szCs w:val="20"/>
          <w:lang w:val="es-ES_tradnl"/>
        </w:rPr>
        <w:t xml:space="preserve"> </w:t>
      </w:r>
      <w:r w:rsidR="00BD7EBB" w:rsidRPr="00C22AD0">
        <w:rPr>
          <w:rFonts w:asciiTheme="majorHAnsi" w:hAnsiTheme="majorHAnsi"/>
          <w:sz w:val="20"/>
          <w:szCs w:val="20"/>
          <w:lang w:val="es-ES_tradnl"/>
        </w:rPr>
        <w:t>y porque</w:t>
      </w:r>
      <w:r w:rsidR="00113348" w:rsidRPr="00C22AD0">
        <w:rPr>
          <w:rFonts w:asciiTheme="majorHAnsi" w:hAnsiTheme="majorHAnsi"/>
          <w:sz w:val="20"/>
          <w:szCs w:val="20"/>
          <w:lang w:val="es-ES_tradnl"/>
        </w:rPr>
        <w:t xml:space="preserve"> </w:t>
      </w:r>
      <w:r w:rsidRPr="00C22AD0">
        <w:rPr>
          <w:rFonts w:asciiTheme="majorHAnsi" w:hAnsiTheme="majorHAnsi"/>
          <w:sz w:val="20"/>
          <w:szCs w:val="20"/>
          <w:lang w:val="es-ES_tradnl"/>
        </w:rPr>
        <w:t xml:space="preserve">los </w:t>
      </w:r>
      <w:r w:rsidR="00BD7EBB" w:rsidRPr="00C22AD0">
        <w:rPr>
          <w:rFonts w:asciiTheme="majorHAnsi" w:hAnsiTheme="majorHAnsi"/>
          <w:sz w:val="20"/>
          <w:szCs w:val="20"/>
          <w:lang w:val="es-ES_tradnl"/>
        </w:rPr>
        <w:t>soldados</w:t>
      </w:r>
      <w:r w:rsidRPr="00C22AD0">
        <w:rPr>
          <w:rFonts w:asciiTheme="majorHAnsi" w:hAnsiTheme="majorHAnsi"/>
          <w:sz w:val="20"/>
          <w:szCs w:val="20"/>
          <w:lang w:val="es-ES_tradnl"/>
        </w:rPr>
        <w:t xml:space="preserve"> afectados por </w:t>
      </w:r>
      <w:r w:rsidR="006F2B24" w:rsidRPr="00C22AD0">
        <w:rPr>
          <w:rFonts w:asciiTheme="majorHAnsi" w:hAnsiTheme="majorHAnsi"/>
          <w:sz w:val="20"/>
          <w:szCs w:val="20"/>
          <w:lang w:val="es-ES_tradnl"/>
        </w:rPr>
        <w:t xml:space="preserve">el ataque habían asumido los </w:t>
      </w:r>
      <w:r w:rsidR="00112EC6" w:rsidRPr="00C22AD0">
        <w:rPr>
          <w:rFonts w:asciiTheme="majorHAnsi" w:hAnsiTheme="majorHAnsi"/>
          <w:sz w:val="20"/>
          <w:szCs w:val="20"/>
          <w:lang w:val="es-ES_tradnl"/>
        </w:rPr>
        <w:t xml:space="preserve">riesgos que conllevaba la </w:t>
      </w:r>
      <w:r w:rsidR="00112EC6" w:rsidRPr="00C22AD0">
        <w:rPr>
          <w:rFonts w:asciiTheme="majorHAnsi" w:hAnsiTheme="majorHAnsi"/>
          <w:sz w:val="20"/>
          <w:szCs w:val="20"/>
          <w:lang w:val="es-ES_tradnl"/>
        </w:rPr>
        <w:lastRenderedPageBreak/>
        <w:t xml:space="preserve">prestación del servicio en el municipio de Puerto Rico, </w:t>
      </w:r>
      <w:r w:rsidR="001F7359" w:rsidRPr="00C22AD0">
        <w:rPr>
          <w:rFonts w:asciiTheme="majorHAnsi" w:hAnsiTheme="majorHAnsi"/>
          <w:sz w:val="20"/>
          <w:szCs w:val="20"/>
          <w:lang w:val="es-ES_tradnl"/>
        </w:rPr>
        <w:t>pues estaban al tanto de la situación de seguridad que se vivía en la zona desde hace algún tiempo. Por esta razón,</w:t>
      </w:r>
      <w:r w:rsidR="00112EC6" w:rsidRPr="00C22AD0">
        <w:rPr>
          <w:rFonts w:asciiTheme="majorHAnsi" w:hAnsiTheme="majorHAnsi"/>
          <w:sz w:val="20"/>
          <w:szCs w:val="20"/>
          <w:lang w:val="es-ES_tradnl"/>
        </w:rPr>
        <w:t xml:space="preserve"> </w:t>
      </w:r>
      <w:r w:rsidRPr="00C22AD0">
        <w:rPr>
          <w:rFonts w:asciiTheme="majorHAnsi" w:hAnsiTheme="majorHAnsi"/>
          <w:sz w:val="20"/>
          <w:szCs w:val="20"/>
          <w:lang w:val="es-ES_tradnl"/>
        </w:rPr>
        <w:t>contaban con unas condiciones laborales y salariales particulares</w:t>
      </w:r>
      <w:r w:rsidR="001F7359" w:rsidRPr="00C22AD0">
        <w:rPr>
          <w:rFonts w:asciiTheme="majorHAnsi" w:hAnsiTheme="majorHAnsi"/>
          <w:sz w:val="20"/>
          <w:szCs w:val="20"/>
          <w:lang w:val="es-ES_tradnl"/>
        </w:rPr>
        <w:t>, y</w:t>
      </w:r>
      <w:r w:rsidR="00112EC6" w:rsidRPr="00C22AD0">
        <w:rPr>
          <w:rFonts w:asciiTheme="majorHAnsi" w:hAnsiTheme="majorHAnsi"/>
          <w:sz w:val="20"/>
          <w:szCs w:val="20"/>
          <w:lang w:val="es-ES_tradnl"/>
        </w:rPr>
        <w:t xml:space="preserve"> </w:t>
      </w:r>
      <w:r w:rsidR="00845785" w:rsidRPr="00C22AD0">
        <w:rPr>
          <w:rFonts w:asciiTheme="majorHAnsi" w:hAnsiTheme="majorHAnsi"/>
          <w:sz w:val="20"/>
          <w:szCs w:val="20"/>
          <w:lang w:val="es-ES_tradnl"/>
        </w:rPr>
        <w:t>se enlistaron de forma voluntaria</w:t>
      </w:r>
      <w:r w:rsidR="001F7359" w:rsidRPr="00C22AD0">
        <w:rPr>
          <w:rFonts w:asciiTheme="majorHAnsi" w:hAnsiTheme="majorHAnsi"/>
          <w:sz w:val="20"/>
          <w:szCs w:val="20"/>
          <w:lang w:val="es-ES_tradnl"/>
        </w:rPr>
        <w:t>.</w:t>
      </w:r>
      <w:r w:rsidR="00845785" w:rsidRPr="00C22AD0">
        <w:rPr>
          <w:rFonts w:asciiTheme="majorHAnsi" w:hAnsiTheme="majorHAnsi"/>
          <w:sz w:val="20"/>
          <w:szCs w:val="20"/>
          <w:lang w:val="es-ES_tradnl"/>
        </w:rPr>
        <w:t xml:space="preserve"> </w:t>
      </w:r>
      <w:r w:rsidR="001F7359" w:rsidRPr="00C22AD0">
        <w:rPr>
          <w:rFonts w:asciiTheme="majorHAnsi" w:hAnsiTheme="majorHAnsi"/>
          <w:sz w:val="20"/>
          <w:szCs w:val="20"/>
          <w:lang w:val="es-ES_tradnl"/>
        </w:rPr>
        <w:t>E</w:t>
      </w:r>
      <w:r w:rsidR="00281CB1" w:rsidRPr="00C22AD0">
        <w:rPr>
          <w:rFonts w:asciiTheme="majorHAnsi" w:hAnsiTheme="majorHAnsi"/>
          <w:sz w:val="20"/>
          <w:szCs w:val="20"/>
          <w:lang w:val="es-ES_tradnl"/>
        </w:rPr>
        <w:t xml:space="preserve">l Estado </w:t>
      </w:r>
      <w:r w:rsidR="001F7359" w:rsidRPr="00C22AD0">
        <w:rPr>
          <w:rFonts w:asciiTheme="majorHAnsi" w:hAnsiTheme="majorHAnsi"/>
          <w:sz w:val="20"/>
          <w:szCs w:val="20"/>
          <w:lang w:val="es-ES_tradnl"/>
        </w:rPr>
        <w:t xml:space="preserve">asegura que, en todo caso, </w:t>
      </w:r>
      <w:r w:rsidR="00112EC6" w:rsidRPr="00C22AD0">
        <w:rPr>
          <w:rFonts w:asciiTheme="majorHAnsi" w:hAnsiTheme="majorHAnsi"/>
          <w:sz w:val="20"/>
          <w:szCs w:val="20"/>
          <w:lang w:val="es-ES_tradnl"/>
        </w:rPr>
        <w:t xml:space="preserve">no </w:t>
      </w:r>
      <w:r w:rsidR="00281CB1" w:rsidRPr="00C22AD0">
        <w:rPr>
          <w:rFonts w:asciiTheme="majorHAnsi" w:hAnsiTheme="majorHAnsi"/>
          <w:sz w:val="20"/>
          <w:szCs w:val="20"/>
          <w:lang w:val="es-ES_tradnl"/>
        </w:rPr>
        <w:t xml:space="preserve">omitió el cumplimiento de </w:t>
      </w:r>
      <w:r w:rsidR="001F7359" w:rsidRPr="00C22AD0">
        <w:rPr>
          <w:rFonts w:asciiTheme="majorHAnsi" w:hAnsiTheme="majorHAnsi"/>
          <w:sz w:val="20"/>
          <w:szCs w:val="20"/>
          <w:lang w:val="es-ES_tradnl"/>
        </w:rPr>
        <w:t xml:space="preserve">la </w:t>
      </w:r>
      <w:r w:rsidR="00281CB1" w:rsidRPr="00C22AD0">
        <w:rPr>
          <w:rFonts w:asciiTheme="majorHAnsi" w:hAnsiTheme="majorHAnsi"/>
          <w:sz w:val="20"/>
          <w:szCs w:val="20"/>
          <w:lang w:val="es-ES_tradnl"/>
        </w:rPr>
        <w:t>obligación</w:t>
      </w:r>
      <w:r w:rsidR="001F7359" w:rsidRPr="00C22AD0">
        <w:rPr>
          <w:rFonts w:asciiTheme="majorHAnsi" w:hAnsiTheme="majorHAnsi"/>
          <w:sz w:val="20"/>
          <w:szCs w:val="20"/>
          <w:lang w:val="es-ES_tradnl"/>
        </w:rPr>
        <w:t xml:space="preserve"> de debida diligencia y desplegó sus fuerzas en apoyo </w:t>
      </w:r>
      <w:r w:rsidR="002346C0" w:rsidRPr="00C22AD0">
        <w:rPr>
          <w:rFonts w:asciiTheme="majorHAnsi" w:hAnsiTheme="majorHAnsi"/>
          <w:sz w:val="20"/>
          <w:szCs w:val="20"/>
          <w:lang w:val="es-ES_tradnl"/>
        </w:rPr>
        <w:t>para repeler el ataque</w:t>
      </w:r>
      <w:r w:rsidR="00281CB1" w:rsidRPr="00C22AD0">
        <w:rPr>
          <w:rFonts w:asciiTheme="majorHAnsi" w:hAnsiTheme="majorHAnsi"/>
          <w:sz w:val="20"/>
          <w:szCs w:val="20"/>
          <w:lang w:val="es-ES_tradnl"/>
        </w:rPr>
        <w:t>.</w:t>
      </w:r>
    </w:p>
    <w:p w14:paraId="491BFAA5" w14:textId="557931A6" w:rsidR="00196762" w:rsidRPr="00C22AD0" w:rsidRDefault="00B53FD6" w:rsidP="002346C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Adicionalmente, el Estado alega la e</w:t>
      </w:r>
      <w:r w:rsidR="00196762" w:rsidRPr="00C22AD0">
        <w:rPr>
          <w:rFonts w:asciiTheme="majorHAnsi" w:hAnsiTheme="majorHAnsi"/>
          <w:sz w:val="20"/>
          <w:szCs w:val="20"/>
          <w:lang w:val="es-ES_tradnl"/>
        </w:rPr>
        <w:t>xtemporaneidad</w:t>
      </w:r>
      <w:r w:rsidRPr="00C22AD0">
        <w:rPr>
          <w:rFonts w:asciiTheme="majorHAnsi" w:hAnsiTheme="majorHAnsi"/>
          <w:sz w:val="20"/>
          <w:szCs w:val="20"/>
          <w:lang w:val="es-ES_tradnl"/>
        </w:rPr>
        <w:t xml:space="preserve"> de la presente petición, por incumplimiento del plazo de presentación de seis meses desde la decisión que agotó los recursos internos, </w:t>
      </w:r>
      <w:r w:rsidR="00414EAA" w:rsidRPr="00C22AD0">
        <w:rPr>
          <w:rFonts w:asciiTheme="majorHAnsi" w:hAnsiTheme="majorHAnsi"/>
          <w:sz w:val="20"/>
          <w:szCs w:val="20"/>
          <w:lang w:val="es-ES_tradnl"/>
        </w:rPr>
        <w:t>conforme al artículo 46.1 (b) de la Convención Americana. El Estado manifiesta que</w:t>
      </w:r>
      <w:r w:rsidR="00196762" w:rsidRPr="00C22AD0">
        <w:rPr>
          <w:rFonts w:asciiTheme="majorHAnsi" w:hAnsiTheme="majorHAnsi"/>
          <w:sz w:val="20"/>
          <w:szCs w:val="20"/>
          <w:lang w:val="es-ES_tradnl"/>
        </w:rPr>
        <w:t xml:space="preserve"> la </w:t>
      </w:r>
      <w:r w:rsidR="00414EAA" w:rsidRPr="00C22AD0">
        <w:rPr>
          <w:rFonts w:asciiTheme="majorHAnsi" w:hAnsiTheme="majorHAnsi"/>
          <w:sz w:val="20"/>
          <w:szCs w:val="20"/>
          <w:lang w:val="es-ES_tradnl"/>
        </w:rPr>
        <w:t xml:space="preserve">parte peticionaria </w:t>
      </w:r>
      <w:r w:rsidR="00196762" w:rsidRPr="00C22AD0">
        <w:rPr>
          <w:rFonts w:asciiTheme="majorHAnsi" w:hAnsiTheme="majorHAnsi"/>
          <w:sz w:val="20"/>
          <w:szCs w:val="20"/>
          <w:lang w:val="es-ES_tradnl"/>
        </w:rPr>
        <w:t xml:space="preserve">fue notificada de la </w:t>
      </w:r>
      <w:r w:rsidR="00414EAA" w:rsidRPr="00C22AD0">
        <w:rPr>
          <w:rFonts w:asciiTheme="majorHAnsi" w:hAnsiTheme="majorHAnsi"/>
          <w:sz w:val="20"/>
          <w:szCs w:val="20"/>
          <w:lang w:val="es-ES_tradnl"/>
        </w:rPr>
        <w:t xml:space="preserve">última </w:t>
      </w:r>
      <w:r w:rsidR="00196762" w:rsidRPr="00C22AD0">
        <w:rPr>
          <w:rFonts w:asciiTheme="majorHAnsi" w:hAnsiTheme="majorHAnsi"/>
          <w:sz w:val="20"/>
          <w:szCs w:val="20"/>
          <w:lang w:val="es-ES_tradnl"/>
        </w:rPr>
        <w:t>decisión del proceso contencioso-administrativo el 20 de abril de 2007</w:t>
      </w:r>
      <w:r w:rsidR="00BD7EBB" w:rsidRPr="00C22AD0">
        <w:rPr>
          <w:rFonts w:asciiTheme="majorHAnsi" w:hAnsiTheme="majorHAnsi"/>
          <w:sz w:val="20"/>
          <w:szCs w:val="20"/>
          <w:lang w:val="es-ES_tradnl"/>
        </w:rPr>
        <w:t>,</w:t>
      </w:r>
      <w:r w:rsidR="00196762" w:rsidRPr="00C22AD0">
        <w:rPr>
          <w:rFonts w:asciiTheme="majorHAnsi" w:hAnsiTheme="majorHAnsi"/>
          <w:sz w:val="20"/>
          <w:szCs w:val="20"/>
          <w:lang w:val="es-ES_tradnl"/>
        </w:rPr>
        <w:t xml:space="preserve"> y </w:t>
      </w:r>
      <w:r w:rsidR="00414EAA" w:rsidRPr="00C22AD0">
        <w:rPr>
          <w:rFonts w:asciiTheme="majorHAnsi" w:hAnsiTheme="majorHAnsi"/>
          <w:sz w:val="20"/>
          <w:szCs w:val="20"/>
          <w:lang w:val="es-ES_tradnl"/>
        </w:rPr>
        <w:t xml:space="preserve">la petición fue </w:t>
      </w:r>
      <w:r w:rsidR="00196762" w:rsidRPr="00C22AD0">
        <w:rPr>
          <w:rFonts w:asciiTheme="majorHAnsi" w:hAnsiTheme="majorHAnsi"/>
          <w:sz w:val="20"/>
          <w:szCs w:val="20"/>
          <w:lang w:val="es-ES_tradnl"/>
        </w:rPr>
        <w:t>el 15 de mayo de 2009,</w:t>
      </w:r>
      <w:r w:rsidR="00414EAA" w:rsidRPr="00C22AD0">
        <w:rPr>
          <w:rFonts w:asciiTheme="majorHAnsi" w:hAnsiTheme="majorHAnsi"/>
          <w:sz w:val="20"/>
          <w:szCs w:val="20"/>
          <w:lang w:val="es-ES_tradnl"/>
        </w:rPr>
        <w:t xml:space="preserve"> </w:t>
      </w:r>
      <w:r w:rsidR="00196762" w:rsidRPr="00C22AD0">
        <w:rPr>
          <w:rFonts w:asciiTheme="majorHAnsi" w:hAnsiTheme="majorHAnsi"/>
          <w:sz w:val="20"/>
          <w:szCs w:val="20"/>
          <w:lang w:val="es-ES_tradnl"/>
        </w:rPr>
        <w:t>más de dos años después</w:t>
      </w:r>
      <w:r w:rsidR="00BD7EBB" w:rsidRPr="00C22AD0">
        <w:rPr>
          <w:rFonts w:asciiTheme="majorHAnsi" w:hAnsiTheme="majorHAnsi"/>
          <w:sz w:val="20"/>
          <w:szCs w:val="20"/>
          <w:lang w:val="es-ES_tradnl"/>
        </w:rPr>
        <w:t>. En exceso del plazo de seis meses establecido en dicha norma.</w:t>
      </w:r>
    </w:p>
    <w:p w14:paraId="247424AE" w14:textId="59C4D472" w:rsidR="00305068" w:rsidRPr="00C22AD0" w:rsidRDefault="00305068" w:rsidP="002346C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Por último, </w:t>
      </w:r>
      <w:r w:rsidR="009039B8" w:rsidRPr="00C22AD0">
        <w:rPr>
          <w:rFonts w:asciiTheme="majorHAnsi" w:hAnsiTheme="majorHAnsi"/>
          <w:sz w:val="20"/>
          <w:szCs w:val="20"/>
          <w:lang w:val="es-ES_tradnl"/>
        </w:rPr>
        <w:t xml:space="preserve">el </w:t>
      </w:r>
      <w:r w:rsidR="00BD7EBB" w:rsidRPr="00C22AD0">
        <w:rPr>
          <w:rFonts w:asciiTheme="majorHAnsi" w:hAnsiTheme="majorHAnsi"/>
          <w:sz w:val="20"/>
          <w:szCs w:val="20"/>
          <w:lang w:val="es-ES_tradnl"/>
        </w:rPr>
        <w:t>Colombia</w:t>
      </w:r>
      <w:r w:rsidR="009039B8" w:rsidRPr="00C22AD0">
        <w:rPr>
          <w:rFonts w:asciiTheme="majorHAnsi" w:hAnsiTheme="majorHAnsi"/>
          <w:sz w:val="20"/>
          <w:szCs w:val="20"/>
          <w:lang w:val="es-ES_tradnl"/>
        </w:rPr>
        <w:t xml:space="preserve"> aduce que la CIDH carece de competencia para analizar las alegadas violaciones a la Declaración Americana de los Derechos y Deberes del Hombre</w:t>
      </w:r>
      <w:r w:rsidR="00E61B2C" w:rsidRPr="00C22AD0">
        <w:rPr>
          <w:rFonts w:asciiTheme="majorHAnsi" w:hAnsiTheme="majorHAnsi"/>
          <w:sz w:val="20"/>
          <w:szCs w:val="20"/>
          <w:lang w:val="es-ES_tradnl"/>
        </w:rPr>
        <w:t>; ya que su</w:t>
      </w:r>
      <w:r w:rsidR="009039B8" w:rsidRPr="00C22AD0">
        <w:rPr>
          <w:rFonts w:asciiTheme="majorHAnsi" w:hAnsiTheme="majorHAnsi"/>
          <w:sz w:val="20"/>
          <w:szCs w:val="20"/>
          <w:lang w:val="es-ES_tradnl"/>
        </w:rPr>
        <w:t xml:space="preserve"> competencia material está determinada por las obligaciones asumidas por los Estados Parte en el marco de la Convención y los instrumentos interamericanos aplicables, en particular, por los artículos </w:t>
      </w:r>
      <w:r w:rsidR="009039B8" w:rsidRPr="00C22AD0">
        <w:rPr>
          <w:bCs/>
          <w:sz w:val="20"/>
          <w:szCs w:val="20"/>
          <w:lang w:val="es-ES_tradnl"/>
        </w:rPr>
        <w:t>44 de la Convención Americana, 19.a</w:t>
      </w:r>
      <w:r w:rsidR="008B4EB0" w:rsidRPr="00C22AD0">
        <w:rPr>
          <w:bCs/>
          <w:sz w:val="20"/>
          <w:szCs w:val="20"/>
          <w:lang w:val="es-ES_tradnl"/>
        </w:rPr>
        <w:t>)</w:t>
      </w:r>
      <w:r w:rsidR="009039B8" w:rsidRPr="00C22AD0">
        <w:rPr>
          <w:bCs/>
          <w:sz w:val="20"/>
          <w:szCs w:val="20"/>
          <w:lang w:val="es-ES_tradnl"/>
        </w:rPr>
        <w:t xml:space="preserve"> del Estatuto de la Comisión y 23 </w:t>
      </w:r>
      <w:r w:rsidR="008B4EB0" w:rsidRPr="00C22AD0">
        <w:rPr>
          <w:bCs/>
          <w:sz w:val="20"/>
          <w:szCs w:val="20"/>
          <w:lang w:val="es-ES_tradnl"/>
        </w:rPr>
        <w:t>de su Reglamento</w:t>
      </w:r>
      <w:r w:rsidR="009039B8" w:rsidRPr="00C22AD0">
        <w:rPr>
          <w:bCs/>
          <w:sz w:val="20"/>
          <w:szCs w:val="20"/>
          <w:lang w:val="es-ES_tradnl"/>
        </w:rPr>
        <w:t>.</w:t>
      </w:r>
    </w:p>
    <w:p w14:paraId="51F68C92" w14:textId="77777777" w:rsidR="003239B8" w:rsidRPr="00C22AD0" w:rsidRDefault="003239B8" w:rsidP="003239B8">
      <w:pPr>
        <w:spacing w:before="240" w:after="240"/>
        <w:ind w:firstLine="720"/>
        <w:jc w:val="both"/>
        <w:rPr>
          <w:rFonts w:asciiTheme="majorHAnsi" w:hAnsiTheme="majorHAnsi"/>
          <w:sz w:val="20"/>
          <w:szCs w:val="20"/>
          <w:lang w:val="es-ES_tradnl"/>
        </w:rPr>
      </w:pPr>
      <w:r w:rsidRPr="00C22AD0">
        <w:rPr>
          <w:rFonts w:asciiTheme="majorHAnsi" w:eastAsia="Cambria" w:hAnsiTheme="majorHAnsi" w:cs="Cambria"/>
          <w:b/>
          <w:bCs/>
          <w:color w:val="000000"/>
          <w:sz w:val="20"/>
          <w:szCs w:val="20"/>
          <w:u w:color="000000"/>
          <w:lang w:val="es-ES_tradnl" w:eastAsia="es-ES"/>
        </w:rPr>
        <w:t>VI.</w:t>
      </w:r>
      <w:r w:rsidRPr="00C22AD0">
        <w:rPr>
          <w:rFonts w:asciiTheme="majorHAnsi" w:eastAsia="Cambria" w:hAnsiTheme="majorHAnsi" w:cs="Cambria"/>
          <w:b/>
          <w:bCs/>
          <w:color w:val="000000"/>
          <w:sz w:val="20"/>
          <w:szCs w:val="20"/>
          <w:u w:color="000000"/>
          <w:lang w:val="es-ES_tradnl" w:eastAsia="es-ES"/>
        </w:rPr>
        <w:tab/>
      </w:r>
      <w:r w:rsidR="004A6A54" w:rsidRPr="00C22AD0">
        <w:rPr>
          <w:rFonts w:asciiTheme="majorHAnsi" w:hAnsiTheme="majorHAnsi"/>
          <w:b/>
          <w:bCs/>
          <w:sz w:val="20"/>
          <w:szCs w:val="20"/>
          <w:lang w:val="es-ES_tradnl"/>
        </w:rPr>
        <w:t xml:space="preserve">ANÁLISIS DE </w:t>
      </w:r>
      <w:r w:rsidR="00C21FEF" w:rsidRPr="00C22AD0">
        <w:rPr>
          <w:rFonts w:asciiTheme="majorHAnsi" w:hAnsiTheme="majorHAnsi"/>
          <w:b/>
          <w:sz w:val="20"/>
          <w:szCs w:val="20"/>
          <w:lang w:val="es-ES_tradnl"/>
        </w:rPr>
        <w:t>AGOTAMIENTO DE LOS RECURSOS INTERNOS Y PLAZO DE PRESENTACIÓN</w:t>
      </w:r>
      <w:r w:rsidR="00C21FEF" w:rsidRPr="00C22AD0">
        <w:rPr>
          <w:rFonts w:asciiTheme="majorHAnsi" w:eastAsia="Cambria" w:hAnsiTheme="majorHAnsi" w:cs="Cambria"/>
          <w:b/>
          <w:bCs/>
          <w:color w:val="000000"/>
          <w:sz w:val="20"/>
          <w:szCs w:val="20"/>
          <w:u w:color="000000"/>
          <w:lang w:val="es-ES_tradnl" w:eastAsia="es-ES"/>
        </w:rPr>
        <w:t xml:space="preserve"> </w:t>
      </w:r>
    </w:p>
    <w:p w14:paraId="3E977883" w14:textId="68D4647C" w:rsidR="00F6578A" w:rsidRPr="00C22AD0" w:rsidRDefault="002C6F50" w:rsidP="00F6578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La </w:t>
      </w:r>
      <w:r w:rsidR="001C4CEC" w:rsidRPr="00C22AD0">
        <w:rPr>
          <w:rFonts w:asciiTheme="majorHAnsi" w:hAnsiTheme="majorHAnsi"/>
          <w:sz w:val="20"/>
          <w:szCs w:val="20"/>
          <w:lang w:val="es-ES_tradnl"/>
        </w:rPr>
        <w:t xml:space="preserve">Comisión observa que la </w:t>
      </w:r>
      <w:r w:rsidRPr="00C22AD0">
        <w:rPr>
          <w:rFonts w:asciiTheme="majorHAnsi" w:hAnsiTheme="majorHAnsi"/>
          <w:sz w:val="20"/>
          <w:szCs w:val="20"/>
          <w:lang w:val="es-ES_tradnl"/>
        </w:rPr>
        <w:t>parte peticionaria</w:t>
      </w:r>
      <w:r w:rsidR="00CF368C" w:rsidRPr="00C22AD0">
        <w:rPr>
          <w:rFonts w:asciiTheme="majorHAnsi" w:hAnsiTheme="majorHAnsi"/>
          <w:sz w:val="20"/>
          <w:szCs w:val="20"/>
          <w:lang w:val="es-ES_tradnl"/>
        </w:rPr>
        <w:t xml:space="preserve"> </w:t>
      </w:r>
      <w:r w:rsidR="001A16C6" w:rsidRPr="00C22AD0">
        <w:rPr>
          <w:rFonts w:asciiTheme="majorHAnsi" w:hAnsiTheme="majorHAnsi"/>
          <w:sz w:val="20"/>
          <w:szCs w:val="20"/>
          <w:lang w:val="es-ES_tradnl"/>
        </w:rPr>
        <w:t>alega la falta de esclarecimiento de los hechos y condena a los responsables</w:t>
      </w:r>
      <w:r w:rsidR="00361844" w:rsidRPr="00C22AD0">
        <w:rPr>
          <w:rFonts w:asciiTheme="majorHAnsi" w:hAnsiTheme="majorHAnsi"/>
          <w:sz w:val="20"/>
          <w:szCs w:val="20"/>
          <w:lang w:val="es-ES_tradnl"/>
        </w:rPr>
        <w:t xml:space="preserve"> de la incursión guerrillera de julio de 1999</w:t>
      </w:r>
      <w:r w:rsidR="001A16C6" w:rsidRPr="00C22AD0">
        <w:rPr>
          <w:rFonts w:asciiTheme="majorHAnsi" w:hAnsiTheme="majorHAnsi"/>
          <w:sz w:val="20"/>
          <w:szCs w:val="20"/>
          <w:lang w:val="es-ES_tradnl"/>
        </w:rPr>
        <w:t xml:space="preserve">, aunque no </w:t>
      </w:r>
      <w:r w:rsidR="007843C9" w:rsidRPr="00C22AD0">
        <w:rPr>
          <w:rFonts w:asciiTheme="majorHAnsi" w:hAnsiTheme="majorHAnsi"/>
          <w:sz w:val="20"/>
          <w:szCs w:val="20"/>
          <w:lang w:val="es-ES_tradnl"/>
        </w:rPr>
        <w:t xml:space="preserve">ofrece información alguna sobre el agotamiento </w:t>
      </w:r>
      <w:r w:rsidR="00743B3C" w:rsidRPr="00C22AD0">
        <w:rPr>
          <w:rFonts w:asciiTheme="majorHAnsi" w:hAnsiTheme="majorHAnsi"/>
          <w:sz w:val="20"/>
          <w:szCs w:val="20"/>
          <w:lang w:val="es-ES_tradnl"/>
        </w:rPr>
        <w:t xml:space="preserve">y trámite </w:t>
      </w:r>
      <w:r w:rsidR="007843C9" w:rsidRPr="00C22AD0">
        <w:rPr>
          <w:rFonts w:asciiTheme="majorHAnsi" w:hAnsiTheme="majorHAnsi"/>
          <w:sz w:val="20"/>
          <w:szCs w:val="20"/>
          <w:lang w:val="es-ES_tradnl"/>
        </w:rPr>
        <w:t>del proceso penal. Por otr</w:t>
      </w:r>
      <w:r w:rsidR="00615D16" w:rsidRPr="00C22AD0">
        <w:rPr>
          <w:rFonts w:asciiTheme="majorHAnsi" w:hAnsiTheme="majorHAnsi"/>
          <w:sz w:val="20"/>
          <w:szCs w:val="20"/>
          <w:lang w:val="es-ES_tradnl"/>
        </w:rPr>
        <w:t>o</w:t>
      </w:r>
      <w:r w:rsidR="007843C9" w:rsidRPr="00C22AD0">
        <w:rPr>
          <w:rFonts w:asciiTheme="majorHAnsi" w:hAnsiTheme="majorHAnsi"/>
          <w:sz w:val="20"/>
          <w:szCs w:val="20"/>
          <w:lang w:val="es-ES_tradnl"/>
        </w:rPr>
        <w:t xml:space="preserve"> </w:t>
      </w:r>
      <w:r w:rsidR="00615D16" w:rsidRPr="00C22AD0">
        <w:rPr>
          <w:rFonts w:asciiTheme="majorHAnsi" w:hAnsiTheme="majorHAnsi"/>
          <w:sz w:val="20"/>
          <w:szCs w:val="20"/>
          <w:lang w:val="es-ES_tradnl"/>
        </w:rPr>
        <w:t>lado</w:t>
      </w:r>
      <w:r w:rsidR="007843C9" w:rsidRPr="00C22AD0">
        <w:rPr>
          <w:rFonts w:asciiTheme="majorHAnsi" w:hAnsiTheme="majorHAnsi"/>
          <w:sz w:val="20"/>
          <w:szCs w:val="20"/>
          <w:lang w:val="es-ES_tradnl"/>
        </w:rPr>
        <w:t>, s</w:t>
      </w:r>
      <w:r w:rsidR="00CF368C" w:rsidRPr="00C22AD0">
        <w:rPr>
          <w:rFonts w:asciiTheme="majorHAnsi" w:hAnsiTheme="majorHAnsi"/>
          <w:sz w:val="20"/>
          <w:szCs w:val="20"/>
          <w:lang w:val="es-ES_tradnl"/>
        </w:rPr>
        <w:t xml:space="preserve">eñala que los familiares de Luis Alberto Calderón Pardo, Fredy </w:t>
      </w:r>
      <w:r w:rsidR="00E9392E" w:rsidRPr="00C22AD0">
        <w:rPr>
          <w:rFonts w:asciiTheme="majorHAnsi" w:hAnsiTheme="majorHAnsi"/>
          <w:sz w:val="20"/>
          <w:szCs w:val="20"/>
          <w:lang w:val="es-ES_tradnl"/>
        </w:rPr>
        <w:t>Fabián</w:t>
      </w:r>
      <w:r w:rsidR="00CF368C" w:rsidRPr="00C22AD0">
        <w:rPr>
          <w:rFonts w:asciiTheme="majorHAnsi" w:hAnsiTheme="majorHAnsi"/>
          <w:sz w:val="20"/>
          <w:szCs w:val="20"/>
          <w:lang w:val="es-ES_tradnl"/>
        </w:rPr>
        <w:t xml:space="preserve"> Torres Beltrán, Jorge Heladio Ortiz Quimbay, Jhon Jairo Giraldo Gonzales</w:t>
      </w:r>
      <w:r w:rsidR="00615D16" w:rsidRPr="00C22AD0">
        <w:rPr>
          <w:rFonts w:asciiTheme="majorHAnsi" w:hAnsiTheme="majorHAnsi"/>
          <w:sz w:val="20"/>
          <w:szCs w:val="20"/>
          <w:lang w:val="es-ES_tradnl"/>
        </w:rPr>
        <w:t xml:space="preserve"> y</w:t>
      </w:r>
      <w:r w:rsidR="00CF368C" w:rsidRPr="00C22AD0">
        <w:rPr>
          <w:rFonts w:asciiTheme="majorHAnsi" w:hAnsiTheme="majorHAnsi"/>
          <w:sz w:val="20"/>
          <w:szCs w:val="20"/>
          <w:lang w:val="es-ES_tradnl"/>
        </w:rPr>
        <w:t xml:space="preserve"> José Adonay Niño D</w:t>
      </w:r>
      <w:r w:rsidR="00895E3D" w:rsidRPr="00C22AD0">
        <w:rPr>
          <w:rFonts w:asciiTheme="majorHAnsi" w:hAnsiTheme="majorHAnsi"/>
          <w:sz w:val="20"/>
          <w:szCs w:val="20"/>
          <w:lang w:val="es-ES_tradnl"/>
        </w:rPr>
        <w:t>í</w:t>
      </w:r>
      <w:r w:rsidR="00CF368C" w:rsidRPr="00C22AD0">
        <w:rPr>
          <w:rFonts w:asciiTheme="majorHAnsi" w:hAnsiTheme="majorHAnsi"/>
          <w:sz w:val="20"/>
          <w:szCs w:val="20"/>
          <w:lang w:val="es-ES_tradnl"/>
        </w:rPr>
        <w:t>az</w:t>
      </w:r>
      <w:r w:rsidR="00055F8A" w:rsidRPr="00C22AD0">
        <w:rPr>
          <w:rFonts w:asciiTheme="majorHAnsi" w:hAnsiTheme="majorHAnsi"/>
          <w:sz w:val="20"/>
          <w:szCs w:val="20"/>
          <w:lang w:val="es-ES_tradnl"/>
        </w:rPr>
        <w:t xml:space="preserve"> demandaron al Estado en un proceso contencioso-administrativo que habría culminado el 20 de abril de 2007</w:t>
      </w:r>
      <w:r w:rsidR="007B6790" w:rsidRPr="00C22AD0">
        <w:rPr>
          <w:rFonts w:asciiTheme="majorHAnsi" w:hAnsiTheme="majorHAnsi"/>
          <w:sz w:val="20"/>
          <w:szCs w:val="20"/>
          <w:lang w:val="es-ES_tradnl"/>
        </w:rPr>
        <w:t xml:space="preserve">, y anexan </w:t>
      </w:r>
      <w:r w:rsidR="00006768" w:rsidRPr="00C22AD0">
        <w:rPr>
          <w:rFonts w:asciiTheme="majorHAnsi" w:hAnsiTheme="majorHAnsi"/>
          <w:sz w:val="20"/>
          <w:szCs w:val="20"/>
          <w:lang w:val="es-ES_tradnl"/>
        </w:rPr>
        <w:t xml:space="preserve">el </w:t>
      </w:r>
      <w:r w:rsidR="007B6790" w:rsidRPr="00C22AD0">
        <w:rPr>
          <w:rFonts w:asciiTheme="majorHAnsi" w:hAnsiTheme="majorHAnsi"/>
          <w:sz w:val="20"/>
          <w:szCs w:val="20"/>
          <w:lang w:val="es-ES_tradnl"/>
        </w:rPr>
        <w:t>expediente</w:t>
      </w:r>
      <w:r w:rsidR="00055F8A" w:rsidRPr="00C22AD0">
        <w:rPr>
          <w:rFonts w:asciiTheme="majorHAnsi" w:hAnsiTheme="majorHAnsi"/>
          <w:sz w:val="20"/>
          <w:szCs w:val="20"/>
          <w:lang w:val="es-ES_tradnl"/>
        </w:rPr>
        <w:t>.</w:t>
      </w:r>
      <w:r w:rsidR="00EC5A7A" w:rsidRPr="00C22AD0">
        <w:rPr>
          <w:rFonts w:asciiTheme="majorHAnsi" w:hAnsiTheme="majorHAnsi"/>
          <w:sz w:val="20"/>
          <w:szCs w:val="20"/>
          <w:lang w:val="es-ES_tradnl"/>
        </w:rPr>
        <w:t xml:space="preserve"> </w:t>
      </w:r>
      <w:r w:rsidR="001A16C6" w:rsidRPr="00C22AD0">
        <w:rPr>
          <w:rFonts w:asciiTheme="majorHAnsi" w:hAnsiTheme="majorHAnsi"/>
          <w:sz w:val="20"/>
          <w:szCs w:val="20"/>
          <w:lang w:val="es-ES_tradnl"/>
        </w:rPr>
        <w:t>La parte peticionaria n</w:t>
      </w:r>
      <w:r w:rsidR="00EC5A7A" w:rsidRPr="00C22AD0">
        <w:rPr>
          <w:rFonts w:asciiTheme="majorHAnsi" w:hAnsiTheme="majorHAnsi"/>
          <w:sz w:val="20"/>
          <w:szCs w:val="20"/>
          <w:lang w:val="es-ES_tradnl"/>
        </w:rPr>
        <w:t xml:space="preserve">o menciona si los familiares de </w:t>
      </w:r>
      <w:r w:rsidR="00596C0C" w:rsidRPr="00C22AD0">
        <w:rPr>
          <w:rFonts w:asciiTheme="majorHAnsi" w:hAnsiTheme="majorHAnsi"/>
          <w:sz w:val="20"/>
          <w:szCs w:val="20"/>
          <w:lang w:val="es-ES_tradnl"/>
        </w:rPr>
        <w:t xml:space="preserve">las demás </w:t>
      </w:r>
      <w:r w:rsidR="00EC5A7A" w:rsidRPr="00C22AD0">
        <w:rPr>
          <w:rFonts w:asciiTheme="majorHAnsi" w:hAnsiTheme="majorHAnsi"/>
          <w:sz w:val="20"/>
          <w:szCs w:val="20"/>
          <w:lang w:val="es-ES_tradnl"/>
        </w:rPr>
        <w:t>presuntas víctimas han interpuesto demandas similares.</w:t>
      </w:r>
      <w:r w:rsidR="00B23C6A" w:rsidRPr="00C22AD0">
        <w:rPr>
          <w:rFonts w:asciiTheme="majorHAnsi" w:hAnsiTheme="majorHAnsi"/>
          <w:sz w:val="20"/>
          <w:szCs w:val="20"/>
          <w:lang w:val="es-ES_tradnl"/>
        </w:rPr>
        <w:t xml:space="preserve"> Por su parte, el Estado propone la excepción de extemporaneidad de la petición por incumplimiento del </w:t>
      </w:r>
      <w:r w:rsidR="00783332" w:rsidRPr="00C22AD0">
        <w:rPr>
          <w:rFonts w:asciiTheme="majorHAnsi" w:hAnsiTheme="majorHAnsi"/>
          <w:sz w:val="20"/>
          <w:szCs w:val="20"/>
          <w:lang w:val="es-ES_tradnl"/>
        </w:rPr>
        <w:t>plazo de presentación de seis meses desde la culminación del proceso contencioso-administrativo.</w:t>
      </w:r>
    </w:p>
    <w:p w14:paraId="4D7045E1" w14:textId="371FC715" w:rsidR="008C5E2D" w:rsidRPr="00C22AD0" w:rsidRDefault="009C7CCE" w:rsidP="00F6578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Para efectos de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considerado en concreto, en que provea una oportunidad real para que la alegada lesión a los derechos humanos sea remediada y resuelta por las autoridades nacionales antes de que se pueda acudir al Sistema Interamericano de protección</w:t>
      </w:r>
      <w:r w:rsidRPr="00C22AD0">
        <w:rPr>
          <w:rStyle w:val="FootnoteReference"/>
          <w:rFonts w:asciiTheme="majorHAnsi" w:hAnsiTheme="majorHAnsi"/>
          <w:sz w:val="20"/>
          <w:szCs w:val="20"/>
          <w:lang w:val="es-ES_tradnl"/>
        </w:rPr>
        <w:footnoteReference w:id="6"/>
      </w:r>
      <w:r w:rsidRPr="00C22AD0">
        <w:rPr>
          <w:rFonts w:asciiTheme="majorHAnsi" w:hAnsiTheme="majorHAnsi"/>
          <w:sz w:val="20"/>
          <w:szCs w:val="20"/>
          <w:lang w:val="es-ES_tradnl"/>
        </w:rPr>
        <w:t xml:space="preserve">. Bajo este entendido, la Comisión </w:t>
      </w:r>
      <w:r w:rsidR="00DE5270" w:rsidRPr="00C22AD0">
        <w:rPr>
          <w:rFonts w:asciiTheme="majorHAnsi" w:hAnsiTheme="majorHAnsi"/>
          <w:sz w:val="20"/>
          <w:szCs w:val="20"/>
          <w:lang w:val="es-ES_tradnl"/>
        </w:rPr>
        <w:t xml:space="preserve">encuentra que </w:t>
      </w:r>
      <w:r w:rsidR="00033CA5" w:rsidRPr="00C22AD0">
        <w:rPr>
          <w:rFonts w:asciiTheme="majorHAnsi" w:hAnsiTheme="majorHAnsi"/>
          <w:sz w:val="20"/>
          <w:szCs w:val="20"/>
          <w:lang w:val="es-ES_tradnl"/>
        </w:rPr>
        <w:t>la parte peticionaria formula dos reclamos en particular</w:t>
      </w:r>
      <w:r w:rsidR="0084115C" w:rsidRPr="00C22AD0">
        <w:rPr>
          <w:rFonts w:asciiTheme="majorHAnsi" w:hAnsiTheme="majorHAnsi"/>
          <w:sz w:val="20"/>
          <w:szCs w:val="20"/>
          <w:lang w:val="es-ES_tradnl"/>
        </w:rPr>
        <w:t>, a saber</w:t>
      </w:r>
      <w:r w:rsidR="006F720B" w:rsidRPr="00C22AD0">
        <w:rPr>
          <w:rFonts w:asciiTheme="majorHAnsi" w:hAnsiTheme="majorHAnsi"/>
          <w:sz w:val="20"/>
          <w:szCs w:val="20"/>
          <w:lang w:val="es-ES_tradnl"/>
        </w:rPr>
        <w:t>: (i) la declaratoria de responsabilidad administrativa del Estado y la falta de reparación a los familiares de las presuntas víctimas; y (ii) la falta de esclarecimiento de los hechos y sanción a los responsables.</w:t>
      </w:r>
    </w:p>
    <w:p w14:paraId="5489C6B9" w14:textId="0D47B143" w:rsidR="006F720B" w:rsidRPr="00C22AD0" w:rsidRDefault="005A2A2C" w:rsidP="00F6578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En cuanto al primer reclamo, la Comisión considera que la petición no cumple con el plazo de presentación previsto en el artículo 46.1(</w:t>
      </w:r>
      <w:r w:rsidR="00D12B83" w:rsidRPr="00C22AD0">
        <w:rPr>
          <w:rFonts w:asciiTheme="majorHAnsi" w:hAnsiTheme="majorHAnsi"/>
          <w:sz w:val="20"/>
          <w:szCs w:val="20"/>
          <w:lang w:val="es-ES_tradnl"/>
        </w:rPr>
        <w:t xml:space="preserve">b) de la Convención Americana respecto de los familiares de Luis Alberto Calderón Pardo, Fredy </w:t>
      </w:r>
      <w:r w:rsidR="00E9392E" w:rsidRPr="00C22AD0">
        <w:rPr>
          <w:rFonts w:asciiTheme="majorHAnsi" w:hAnsiTheme="majorHAnsi"/>
          <w:sz w:val="20"/>
          <w:szCs w:val="20"/>
          <w:lang w:val="es-ES_tradnl"/>
        </w:rPr>
        <w:t>Fabián</w:t>
      </w:r>
      <w:r w:rsidR="00D12B83" w:rsidRPr="00C22AD0">
        <w:rPr>
          <w:rFonts w:asciiTheme="majorHAnsi" w:hAnsiTheme="majorHAnsi"/>
          <w:sz w:val="20"/>
          <w:szCs w:val="20"/>
          <w:lang w:val="es-ES_tradnl"/>
        </w:rPr>
        <w:t xml:space="preserve"> Torres Beltrán, Jorge Heladio Ortiz Quimbay </w:t>
      </w:r>
      <w:r w:rsidR="005B70D2" w:rsidRPr="00C22AD0">
        <w:rPr>
          <w:rFonts w:asciiTheme="majorHAnsi" w:hAnsiTheme="majorHAnsi"/>
          <w:sz w:val="20"/>
          <w:szCs w:val="20"/>
          <w:lang w:val="es-ES_tradnl"/>
        </w:rPr>
        <w:t>y</w:t>
      </w:r>
      <w:r w:rsidR="00D12B83" w:rsidRPr="00C22AD0">
        <w:rPr>
          <w:rFonts w:asciiTheme="majorHAnsi" w:hAnsiTheme="majorHAnsi"/>
          <w:sz w:val="20"/>
          <w:szCs w:val="20"/>
          <w:lang w:val="es-ES_tradnl"/>
        </w:rPr>
        <w:t xml:space="preserve"> Jhon Jairo Giraldo Gonzales y José Adonay Niño D</w:t>
      </w:r>
      <w:r w:rsidR="00895E3D" w:rsidRPr="00C22AD0">
        <w:rPr>
          <w:rFonts w:asciiTheme="majorHAnsi" w:hAnsiTheme="majorHAnsi"/>
          <w:sz w:val="20"/>
          <w:szCs w:val="20"/>
          <w:lang w:val="es-ES_tradnl"/>
        </w:rPr>
        <w:t>í</w:t>
      </w:r>
      <w:r w:rsidR="00D12B83" w:rsidRPr="00C22AD0">
        <w:rPr>
          <w:rFonts w:asciiTheme="majorHAnsi" w:hAnsiTheme="majorHAnsi"/>
          <w:sz w:val="20"/>
          <w:szCs w:val="20"/>
          <w:lang w:val="es-ES_tradnl"/>
        </w:rPr>
        <w:t>az</w:t>
      </w:r>
      <w:r w:rsidR="005B70D2" w:rsidRPr="00C22AD0">
        <w:rPr>
          <w:rFonts w:asciiTheme="majorHAnsi" w:hAnsiTheme="majorHAnsi"/>
          <w:sz w:val="20"/>
          <w:szCs w:val="20"/>
          <w:lang w:val="es-ES_tradnl"/>
        </w:rPr>
        <w:t xml:space="preserve">. Con relación a los familiares de las otras presuntas víctimas, la parte peticionaria no ha brindado ninguna información </w:t>
      </w:r>
      <w:r w:rsidR="008B342A" w:rsidRPr="00C22AD0">
        <w:rPr>
          <w:rFonts w:asciiTheme="majorHAnsi" w:hAnsiTheme="majorHAnsi"/>
          <w:sz w:val="20"/>
          <w:szCs w:val="20"/>
          <w:lang w:val="es-ES_tradnl"/>
        </w:rPr>
        <w:t xml:space="preserve">sobre el agotamiento de recursos internos, por lo cual, la Comisión estima que </w:t>
      </w:r>
      <w:r w:rsidR="00421A25" w:rsidRPr="00C22AD0">
        <w:rPr>
          <w:rFonts w:asciiTheme="majorHAnsi" w:hAnsiTheme="majorHAnsi"/>
          <w:sz w:val="20"/>
          <w:szCs w:val="20"/>
          <w:lang w:val="es-ES_tradnl"/>
        </w:rPr>
        <w:t xml:space="preserve">la petición </w:t>
      </w:r>
      <w:r w:rsidR="008B342A" w:rsidRPr="00C22AD0">
        <w:rPr>
          <w:rFonts w:asciiTheme="majorHAnsi" w:hAnsiTheme="majorHAnsi"/>
          <w:sz w:val="20"/>
          <w:szCs w:val="20"/>
          <w:lang w:val="es-ES_tradnl"/>
        </w:rPr>
        <w:t>no cumple con el requisito</w:t>
      </w:r>
      <w:r w:rsidR="00421A25" w:rsidRPr="00C22AD0">
        <w:rPr>
          <w:rFonts w:asciiTheme="majorHAnsi" w:hAnsiTheme="majorHAnsi"/>
          <w:sz w:val="20"/>
          <w:szCs w:val="20"/>
          <w:lang w:val="es-ES_tradnl"/>
        </w:rPr>
        <w:t xml:space="preserve"> establecido en el artículo 46.1 (a) de la Convención en ese extremo.</w:t>
      </w:r>
    </w:p>
    <w:p w14:paraId="09007324" w14:textId="0C0393AD" w:rsidR="00144CB5" w:rsidRPr="00C22AD0" w:rsidRDefault="00144CB5" w:rsidP="00F6578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En lo relativo al reclamo planteado </w:t>
      </w:r>
      <w:r w:rsidR="001849D9" w:rsidRPr="00C22AD0">
        <w:rPr>
          <w:rFonts w:asciiTheme="majorHAnsi" w:hAnsiTheme="majorHAnsi"/>
          <w:sz w:val="20"/>
          <w:szCs w:val="20"/>
          <w:lang w:val="es-ES_tradnl"/>
        </w:rPr>
        <w:t xml:space="preserve">respecto del proceso penal, </w:t>
      </w:r>
      <w:r w:rsidR="006B7CE4" w:rsidRPr="00C22AD0">
        <w:rPr>
          <w:rFonts w:asciiTheme="majorHAnsi" w:hAnsiTheme="majorHAnsi"/>
          <w:sz w:val="20"/>
          <w:szCs w:val="20"/>
          <w:lang w:val="es-ES_tradnl"/>
        </w:rPr>
        <w:t xml:space="preserve">la Comisión </w:t>
      </w:r>
      <w:r w:rsidR="00A1265A" w:rsidRPr="00C22AD0">
        <w:rPr>
          <w:rFonts w:asciiTheme="majorHAnsi" w:hAnsiTheme="majorHAnsi"/>
          <w:sz w:val="20"/>
          <w:szCs w:val="20"/>
          <w:lang w:val="es-ES_tradnl"/>
        </w:rPr>
        <w:t>estima que</w:t>
      </w:r>
      <w:r w:rsidR="00917AF2" w:rsidRPr="00C22AD0">
        <w:rPr>
          <w:rFonts w:asciiTheme="majorHAnsi" w:hAnsiTheme="majorHAnsi"/>
          <w:sz w:val="20"/>
          <w:szCs w:val="20"/>
          <w:lang w:val="es-ES_tradnl"/>
        </w:rPr>
        <w:t xml:space="preserve"> las sentencias condenatorias proferidas entre 2010 y 2018 son decisiones que agotaron la vía penal.</w:t>
      </w:r>
      <w:r w:rsidR="00A1265A" w:rsidRPr="00C22AD0">
        <w:rPr>
          <w:rFonts w:asciiTheme="majorHAnsi" w:hAnsiTheme="majorHAnsi"/>
          <w:sz w:val="20"/>
          <w:szCs w:val="20"/>
          <w:lang w:val="es-ES_tradnl"/>
        </w:rPr>
        <w:t xml:space="preserve"> </w:t>
      </w:r>
      <w:r w:rsidR="009565FB" w:rsidRPr="00C22AD0">
        <w:rPr>
          <w:rFonts w:asciiTheme="majorHAnsi" w:hAnsiTheme="majorHAnsi"/>
          <w:bCs/>
          <w:sz w:val="20"/>
          <w:szCs w:val="20"/>
          <w:lang w:val="es-ES_tradnl"/>
        </w:rPr>
        <w:t>En ese sentido, la Comisión estima que el requisito establecido en el artículo 46.1</w:t>
      </w:r>
      <w:r w:rsidR="0090606B" w:rsidRPr="00C22AD0">
        <w:rPr>
          <w:rFonts w:asciiTheme="majorHAnsi" w:hAnsiTheme="majorHAnsi"/>
          <w:bCs/>
          <w:sz w:val="20"/>
          <w:szCs w:val="20"/>
          <w:lang w:val="es-ES_tradnl"/>
        </w:rPr>
        <w:t xml:space="preserve"> (</w:t>
      </w:r>
      <w:r w:rsidR="009565FB" w:rsidRPr="00C22AD0">
        <w:rPr>
          <w:rFonts w:asciiTheme="majorHAnsi" w:hAnsiTheme="majorHAnsi"/>
          <w:bCs/>
          <w:sz w:val="20"/>
          <w:szCs w:val="20"/>
          <w:lang w:val="es-ES_tradnl"/>
        </w:rPr>
        <w:t xml:space="preserve">a) de la Convención Americana </w:t>
      </w:r>
      <w:r w:rsidR="009565FB" w:rsidRPr="00C22AD0">
        <w:rPr>
          <w:rFonts w:asciiTheme="majorHAnsi" w:hAnsiTheme="majorHAnsi"/>
          <w:bCs/>
          <w:sz w:val="20"/>
          <w:szCs w:val="20"/>
          <w:lang w:val="es-ES_tradnl"/>
        </w:rPr>
        <w:lastRenderedPageBreak/>
        <w:t>quedó cumplido</w:t>
      </w:r>
      <w:r w:rsidR="0020442B" w:rsidRPr="00C22AD0">
        <w:rPr>
          <w:rFonts w:asciiTheme="majorHAnsi" w:hAnsiTheme="majorHAnsi"/>
          <w:sz w:val="20"/>
          <w:szCs w:val="20"/>
          <w:lang w:val="es-ES_tradnl"/>
        </w:rPr>
        <w:t>, y dado que la petición fue presentada el 1</w:t>
      </w:r>
      <w:r w:rsidR="00401E7E" w:rsidRPr="00C22AD0">
        <w:rPr>
          <w:rFonts w:asciiTheme="majorHAnsi" w:hAnsiTheme="majorHAnsi"/>
          <w:sz w:val="20"/>
          <w:szCs w:val="20"/>
          <w:lang w:val="es-ES_tradnl"/>
        </w:rPr>
        <w:t>5</w:t>
      </w:r>
      <w:r w:rsidR="0020442B" w:rsidRPr="00C22AD0">
        <w:rPr>
          <w:rFonts w:asciiTheme="majorHAnsi" w:hAnsiTheme="majorHAnsi"/>
          <w:sz w:val="20"/>
          <w:szCs w:val="20"/>
          <w:lang w:val="es-ES_tradnl"/>
        </w:rPr>
        <w:t xml:space="preserve"> de </w:t>
      </w:r>
      <w:r w:rsidR="00401E7E" w:rsidRPr="00C22AD0">
        <w:rPr>
          <w:rFonts w:asciiTheme="majorHAnsi" w:hAnsiTheme="majorHAnsi"/>
          <w:sz w:val="20"/>
          <w:szCs w:val="20"/>
          <w:lang w:val="es-ES_tradnl"/>
        </w:rPr>
        <w:t xml:space="preserve">mayo </w:t>
      </w:r>
      <w:r w:rsidR="0020442B" w:rsidRPr="00C22AD0">
        <w:rPr>
          <w:rFonts w:asciiTheme="majorHAnsi" w:hAnsiTheme="majorHAnsi"/>
          <w:sz w:val="20"/>
          <w:szCs w:val="20"/>
          <w:lang w:val="es-ES_tradnl"/>
        </w:rPr>
        <w:t xml:space="preserve">de 2009, la Comisión </w:t>
      </w:r>
      <w:r w:rsidR="0090606B" w:rsidRPr="00C22AD0">
        <w:rPr>
          <w:rFonts w:asciiTheme="majorHAnsi" w:hAnsiTheme="majorHAnsi"/>
          <w:sz w:val="20"/>
          <w:szCs w:val="20"/>
          <w:lang w:val="es-ES_tradnl"/>
        </w:rPr>
        <w:t xml:space="preserve">considera </w:t>
      </w:r>
      <w:r w:rsidR="0020442B" w:rsidRPr="00C22AD0">
        <w:rPr>
          <w:rFonts w:asciiTheme="majorHAnsi" w:hAnsiTheme="majorHAnsi"/>
          <w:sz w:val="20"/>
          <w:szCs w:val="20"/>
          <w:lang w:val="es-ES_tradnl"/>
        </w:rPr>
        <w:t>que ésta cumple con el plazo de presentación establecido en el artículo 46.1</w:t>
      </w:r>
      <w:r w:rsidR="0090606B" w:rsidRPr="00C22AD0">
        <w:rPr>
          <w:rFonts w:asciiTheme="majorHAnsi" w:hAnsiTheme="majorHAnsi"/>
          <w:sz w:val="20"/>
          <w:szCs w:val="20"/>
          <w:lang w:val="es-ES_tradnl"/>
        </w:rPr>
        <w:t xml:space="preserve"> (</w:t>
      </w:r>
      <w:r w:rsidR="0020442B" w:rsidRPr="00C22AD0">
        <w:rPr>
          <w:rFonts w:asciiTheme="majorHAnsi" w:hAnsiTheme="majorHAnsi"/>
          <w:sz w:val="20"/>
          <w:szCs w:val="20"/>
          <w:lang w:val="es-ES_tradnl"/>
        </w:rPr>
        <w:t>b) de la Convención Americana</w:t>
      </w:r>
      <w:r w:rsidR="0090606B" w:rsidRPr="00C22AD0">
        <w:rPr>
          <w:rFonts w:asciiTheme="majorHAnsi" w:hAnsiTheme="majorHAnsi"/>
          <w:sz w:val="20"/>
          <w:szCs w:val="20"/>
          <w:lang w:val="es-ES_tradnl"/>
        </w:rPr>
        <w:t xml:space="preserve"> en este extremo</w:t>
      </w:r>
      <w:r w:rsidR="0020442B" w:rsidRPr="00C22AD0">
        <w:rPr>
          <w:rFonts w:asciiTheme="majorHAnsi" w:hAnsiTheme="majorHAnsi"/>
          <w:sz w:val="20"/>
          <w:szCs w:val="20"/>
          <w:lang w:val="es-ES_tradnl"/>
        </w:rPr>
        <w:t>.</w:t>
      </w:r>
    </w:p>
    <w:p w14:paraId="673598AF" w14:textId="77777777" w:rsidR="003239B8" w:rsidRPr="00C22AD0" w:rsidRDefault="003239B8" w:rsidP="003239B8">
      <w:pPr>
        <w:pStyle w:val="ListParagraph"/>
        <w:spacing w:before="240" w:after="240"/>
        <w:jc w:val="both"/>
        <w:rPr>
          <w:rFonts w:asciiTheme="majorHAnsi" w:hAnsiTheme="majorHAnsi"/>
          <w:b/>
          <w:sz w:val="20"/>
          <w:szCs w:val="20"/>
          <w:lang w:val="es-ES_tradnl"/>
        </w:rPr>
      </w:pPr>
      <w:r w:rsidRPr="00C22AD0">
        <w:rPr>
          <w:rFonts w:asciiTheme="majorHAnsi" w:hAnsiTheme="majorHAnsi"/>
          <w:b/>
          <w:bCs/>
          <w:sz w:val="20"/>
          <w:szCs w:val="20"/>
          <w:lang w:val="es-ES_tradnl"/>
        </w:rPr>
        <w:t>VII.</w:t>
      </w:r>
      <w:r w:rsidRPr="00C22AD0">
        <w:rPr>
          <w:rFonts w:asciiTheme="majorHAnsi" w:hAnsiTheme="majorHAnsi"/>
          <w:b/>
          <w:bCs/>
          <w:sz w:val="20"/>
          <w:szCs w:val="20"/>
          <w:lang w:val="es-ES_tradnl"/>
        </w:rPr>
        <w:tab/>
      </w:r>
      <w:r w:rsidR="004A6A54" w:rsidRPr="00C22AD0">
        <w:rPr>
          <w:rFonts w:asciiTheme="majorHAnsi" w:hAnsiTheme="majorHAnsi"/>
          <w:b/>
          <w:bCs/>
          <w:sz w:val="20"/>
          <w:szCs w:val="20"/>
          <w:lang w:val="es-ES_tradnl"/>
        </w:rPr>
        <w:t xml:space="preserve">ANÁLISIS DE </w:t>
      </w:r>
      <w:r w:rsidR="00C21FEF" w:rsidRPr="00C22AD0">
        <w:rPr>
          <w:rFonts w:asciiTheme="majorHAnsi" w:hAnsiTheme="majorHAnsi"/>
          <w:b/>
          <w:bCs/>
          <w:sz w:val="20"/>
          <w:szCs w:val="20"/>
          <w:lang w:val="es-ES_tradnl"/>
        </w:rPr>
        <w:t>CARACTERIZACIÓN DE LOS HECHOS ALEGADOS</w:t>
      </w:r>
    </w:p>
    <w:p w14:paraId="0302DC7B" w14:textId="0AE61213" w:rsidR="00B379B1" w:rsidRPr="00C22AD0" w:rsidRDefault="008C5E2D" w:rsidP="00C71DA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La presente petición inclu</w:t>
      </w:r>
      <w:r w:rsidR="004B421C" w:rsidRPr="00C22AD0">
        <w:rPr>
          <w:rFonts w:asciiTheme="majorHAnsi" w:hAnsiTheme="majorHAnsi"/>
          <w:sz w:val="20"/>
          <w:szCs w:val="20"/>
          <w:lang w:val="es-ES_tradnl"/>
        </w:rPr>
        <w:t xml:space="preserve">ye alegaciones con respecto a </w:t>
      </w:r>
      <w:r w:rsidR="00CB6A8F" w:rsidRPr="00C22AD0">
        <w:rPr>
          <w:rFonts w:asciiTheme="majorHAnsi" w:hAnsiTheme="majorHAnsi"/>
          <w:sz w:val="20"/>
          <w:szCs w:val="20"/>
          <w:lang w:val="es-ES_tradnl"/>
        </w:rPr>
        <w:t xml:space="preserve">la falta de esclarecimiento de los hechos y </w:t>
      </w:r>
      <w:r w:rsidR="001D54F5" w:rsidRPr="00C22AD0">
        <w:rPr>
          <w:rFonts w:asciiTheme="majorHAnsi" w:hAnsiTheme="majorHAnsi"/>
          <w:sz w:val="20"/>
          <w:szCs w:val="20"/>
          <w:lang w:val="es-ES_tradnl"/>
        </w:rPr>
        <w:t xml:space="preserve">la ausencia de </w:t>
      </w:r>
      <w:r w:rsidR="00CB6A8F" w:rsidRPr="00C22AD0">
        <w:rPr>
          <w:rFonts w:asciiTheme="majorHAnsi" w:hAnsiTheme="majorHAnsi"/>
          <w:sz w:val="20"/>
          <w:szCs w:val="20"/>
          <w:lang w:val="es-ES_tradnl"/>
        </w:rPr>
        <w:t xml:space="preserve">condena a todos los responsables. El Estado replica que </w:t>
      </w:r>
      <w:r w:rsidR="005B420C" w:rsidRPr="00C22AD0">
        <w:rPr>
          <w:rFonts w:asciiTheme="majorHAnsi" w:hAnsiTheme="majorHAnsi"/>
          <w:sz w:val="20"/>
          <w:szCs w:val="20"/>
          <w:lang w:val="es-ES_tradnl"/>
        </w:rPr>
        <w:t>los peticionarios pretenden hacer uso de la CIDH como tribunal de cuarta instancia frente a las decisiones adoptadas en el proceso penal; y rebuta que los hechos alegados puedan ser atribuidos al Estado, en tanto éste ha cumplido con la debida diligencia en la investigación dentro del plazo razonable.</w:t>
      </w:r>
    </w:p>
    <w:p w14:paraId="5EA9CEF2" w14:textId="32D060BB" w:rsidR="008707D1" w:rsidRPr="00C22AD0" w:rsidRDefault="00744E71" w:rsidP="00C71DA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La Comisión observa que la parte peticionaria no aporta alegatos específicos de violaciones </w:t>
      </w:r>
      <w:r w:rsidR="00603128" w:rsidRPr="00C22AD0">
        <w:rPr>
          <w:rFonts w:asciiTheme="majorHAnsi" w:hAnsiTheme="majorHAnsi"/>
          <w:sz w:val="20"/>
          <w:szCs w:val="20"/>
          <w:lang w:val="es-ES_tradnl"/>
        </w:rPr>
        <w:t xml:space="preserve">a las garantías judiciales </w:t>
      </w:r>
      <w:r w:rsidR="00213E21" w:rsidRPr="00C22AD0">
        <w:rPr>
          <w:rFonts w:asciiTheme="majorHAnsi" w:hAnsiTheme="majorHAnsi"/>
          <w:sz w:val="20"/>
          <w:szCs w:val="20"/>
          <w:lang w:val="es-ES_tradnl"/>
        </w:rPr>
        <w:t xml:space="preserve">en el marco de la investigación y proceso penal, y, por el contrario, se limita a hacer afirmaciones genéricas de supuesta falta de investigación. </w:t>
      </w:r>
      <w:r w:rsidR="00AE7520" w:rsidRPr="00C22AD0">
        <w:rPr>
          <w:rFonts w:asciiTheme="majorHAnsi" w:hAnsiTheme="majorHAnsi"/>
          <w:sz w:val="20"/>
          <w:szCs w:val="20"/>
          <w:lang w:val="es-ES_tradnl"/>
        </w:rPr>
        <w:t xml:space="preserve">Por su parte, el Estado ofrece elementos concretos de diligencias iniciadas inmediatamente después de los hechos, y de la emisión de condenas de varios responsables, así como de confesiones que tendrían la virtud de esclarecer la verdad de los sucesos. </w:t>
      </w:r>
      <w:r w:rsidR="00E42175" w:rsidRPr="00C22AD0">
        <w:rPr>
          <w:rFonts w:asciiTheme="majorHAnsi" w:hAnsiTheme="majorHAnsi"/>
          <w:sz w:val="20"/>
          <w:szCs w:val="20"/>
          <w:lang w:val="es-ES_tradnl"/>
        </w:rPr>
        <w:t xml:space="preserve">La CIDH advierte que la </w:t>
      </w:r>
      <w:r w:rsidR="00603128" w:rsidRPr="00C22AD0">
        <w:rPr>
          <w:rFonts w:asciiTheme="majorHAnsi" w:hAnsiTheme="majorHAnsi"/>
          <w:sz w:val="20"/>
          <w:szCs w:val="20"/>
          <w:lang w:val="es-ES_tradnl"/>
        </w:rPr>
        <w:t>p</w:t>
      </w:r>
      <w:r w:rsidR="00E42175" w:rsidRPr="00C22AD0">
        <w:rPr>
          <w:rFonts w:asciiTheme="majorHAnsi" w:hAnsiTheme="majorHAnsi"/>
          <w:sz w:val="20"/>
          <w:szCs w:val="20"/>
          <w:lang w:val="es-ES_tradnl"/>
        </w:rPr>
        <w:t>arte peticionaria n</w:t>
      </w:r>
      <w:r w:rsidR="006E3548" w:rsidRPr="00C22AD0">
        <w:rPr>
          <w:rFonts w:asciiTheme="majorHAnsi" w:hAnsiTheme="majorHAnsi"/>
          <w:sz w:val="20"/>
          <w:szCs w:val="20"/>
          <w:lang w:val="es-ES_tradnl"/>
        </w:rPr>
        <w:t xml:space="preserve">o controvierte </w:t>
      </w:r>
      <w:r w:rsidR="00E42175" w:rsidRPr="00C22AD0">
        <w:rPr>
          <w:rFonts w:asciiTheme="majorHAnsi" w:hAnsiTheme="majorHAnsi"/>
          <w:sz w:val="20"/>
          <w:szCs w:val="20"/>
          <w:lang w:val="es-ES_tradnl"/>
        </w:rPr>
        <w:t xml:space="preserve">estos alegatos, </w:t>
      </w:r>
      <w:r w:rsidR="006E3548" w:rsidRPr="00C22AD0">
        <w:rPr>
          <w:rFonts w:asciiTheme="majorHAnsi" w:hAnsiTheme="majorHAnsi"/>
          <w:sz w:val="20"/>
          <w:szCs w:val="20"/>
          <w:lang w:val="es-ES_tradnl"/>
        </w:rPr>
        <w:t xml:space="preserve">de </w:t>
      </w:r>
      <w:r w:rsidR="00E42175" w:rsidRPr="00C22AD0">
        <w:rPr>
          <w:rFonts w:asciiTheme="majorHAnsi" w:hAnsiTheme="majorHAnsi"/>
          <w:sz w:val="20"/>
          <w:szCs w:val="20"/>
          <w:lang w:val="es-ES_tradnl"/>
        </w:rPr>
        <w:t xml:space="preserve">manera </w:t>
      </w:r>
      <w:r w:rsidR="006E3548" w:rsidRPr="00C22AD0">
        <w:rPr>
          <w:rFonts w:asciiTheme="majorHAnsi" w:hAnsiTheme="majorHAnsi"/>
          <w:sz w:val="20"/>
          <w:szCs w:val="20"/>
          <w:lang w:val="es-ES_tradnl"/>
        </w:rPr>
        <w:t xml:space="preserve">que se </w:t>
      </w:r>
      <w:r w:rsidR="00CE7060" w:rsidRPr="00C22AD0">
        <w:rPr>
          <w:rFonts w:asciiTheme="majorHAnsi" w:hAnsiTheme="majorHAnsi"/>
          <w:sz w:val="20"/>
          <w:szCs w:val="20"/>
          <w:lang w:val="es-ES_tradnl"/>
        </w:rPr>
        <w:t xml:space="preserve">pueda entender, al menos </w:t>
      </w:r>
      <w:r w:rsidR="00CE7060" w:rsidRPr="00C22AD0">
        <w:rPr>
          <w:rFonts w:asciiTheme="majorHAnsi" w:hAnsiTheme="majorHAnsi"/>
          <w:i/>
          <w:iCs/>
          <w:sz w:val="20"/>
          <w:szCs w:val="20"/>
          <w:lang w:val="es-ES_tradnl"/>
        </w:rPr>
        <w:t>prima facie</w:t>
      </w:r>
      <w:r w:rsidR="00CE7060" w:rsidRPr="00C22AD0">
        <w:rPr>
          <w:rFonts w:asciiTheme="majorHAnsi" w:hAnsiTheme="majorHAnsi"/>
          <w:sz w:val="20"/>
          <w:szCs w:val="20"/>
          <w:lang w:val="es-ES_tradnl"/>
        </w:rPr>
        <w:t>,</w:t>
      </w:r>
      <w:r w:rsidR="00F04BB7" w:rsidRPr="00C22AD0">
        <w:rPr>
          <w:rFonts w:asciiTheme="majorHAnsi" w:hAnsiTheme="majorHAnsi"/>
          <w:sz w:val="20"/>
          <w:szCs w:val="20"/>
          <w:lang w:val="es-ES_tradnl"/>
        </w:rPr>
        <w:t xml:space="preserve"> </w:t>
      </w:r>
      <w:r w:rsidR="00CE7060" w:rsidRPr="00C22AD0">
        <w:rPr>
          <w:rFonts w:asciiTheme="majorHAnsi" w:hAnsiTheme="majorHAnsi"/>
          <w:sz w:val="20"/>
          <w:szCs w:val="20"/>
          <w:lang w:val="es-ES_tradnl"/>
        </w:rPr>
        <w:t>un eventual cuadro</w:t>
      </w:r>
      <w:r w:rsidR="00F04BB7" w:rsidRPr="00C22AD0">
        <w:rPr>
          <w:rFonts w:asciiTheme="majorHAnsi" w:hAnsiTheme="majorHAnsi"/>
          <w:sz w:val="20"/>
          <w:szCs w:val="20"/>
          <w:lang w:val="es-ES_tradnl"/>
        </w:rPr>
        <w:t xml:space="preserve"> de impunidad</w:t>
      </w:r>
      <w:r w:rsidR="00E42175" w:rsidRPr="00C22AD0">
        <w:rPr>
          <w:rFonts w:asciiTheme="majorHAnsi" w:hAnsiTheme="majorHAnsi"/>
          <w:sz w:val="20"/>
          <w:szCs w:val="20"/>
          <w:lang w:val="es-ES_tradnl"/>
        </w:rPr>
        <w:t xml:space="preserve"> de los hechos denunciados.</w:t>
      </w:r>
      <w:r w:rsidR="00F04BB7" w:rsidRPr="00C22AD0">
        <w:rPr>
          <w:rFonts w:asciiTheme="majorHAnsi" w:hAnsiTheme="majorHAnsi"/>
          <w:sz w:val="20"/>
          <w:szCs w:val="20"/>
          <w:lang w:val="es-ES_tradnl"/>
        </w:rPr>
        <w:t xml:space="preserve"> </w:t>
      </w:r>
      <w:r w:rsidR="00603128" w:rsidRPr="00C22AD0">
        <w:rPr>
          <w:rFonts w:asciiTheme="majorHAnsi" w:hAnsiTheme="majorHAnsi"/>
          <w:sz w:val="20"/>
          <w:szCs w:val="20"/>
          <w:lang w:val="es-ES_tradnl"/>
        </w:rPr>
        <w:t xml:space="preserve">Tampoco </w:t>
      </w:r>
      <w:r w:rsidR="00B45D39" w:rsidRPr="00C22AD0">
        <w:rPr>
          <w:rFonts w:asciiTheme="majorHAnsi" w:hAnsiTheme="majorHAnsi"/>
          <w:sz w:val="20"/>
          <w:szCs w:val="20"/>
          <w:lang w:val="es-ES_tradnl"/>
        </w:rPr>
        <w:t xml:space="preserve">ofrece elementos concretos que demuestren que el Estado tenía la capacidad </w:t>
      </w:r>
      <w:r w:rsidR="00D92F0F" w:rsidRPr="00C22AD0">
        <w:rPr>
          <w:rFonts w:asciiTheme="majorHAnsi" w:hAnsiTheme="majorHAnsi"/>
          <w:sz w:val="20"/>
          <w:szCs w:val="20"/>
          <w:lang w:val="es-ES_tradnl"/>
        </w:rPr>
        <w:t xml:space="preserve">razonable </w:t>
      </w:r>
      <w:r w:rsidR="00B45D39" w:rsidRPr="00C22AD0">
        <w:rPr>
          <w:rFonts w:asciiTheme="majorHAnsi" w:hAnsiTheme="majorHAnsi"/>
          <w:sz w:val="20"/>
          <w:szCs w:val="20"/>
          <w:lang w:val="es-ES_tradnl"/>
        </w:rPr>
        <w:t xml:space="preserve">de prevenir un ataque de tal magnitud, o repelerlo </w:t>
      </w:r>
      <w:r w:rsidR="00D92F0F" w:rsidRPr="00C22AD0">
        <w:rPr>
          <w:rFonts w:asciiTheme="majorHAnsi" w:hAnsiTheme="majorHAnsi"/>
          <w:sz w:val="20"/>
          <w:szCs w:val="20"/>
          <w:lang w:val="es-ES_tradnl"/>
        </w:rPr>
        <w:t>sin los enfrentamientos que resultaron en la muerte, desaparición y secuestro de las presuntas víctimas.</w:t>
      </w:r>
      <w:r w:rsidR="00C22AD0" w:rsidRPr="00C22AD0">
        <w:rPr>
          <w:rFonts w:asciiTheme="majorHAnsi" w:hAnsiTheme="majorHAnsi"/>
          <w:sz w:val="20"/>
          <w:szCs w:val="20"/>
          <w:lang w:val="es-ES_tradnl"/>
        </w:rPr>
        <w:t xml:space="preserve"> Es decir, los peticionarios no cumplieron con aportar los argumentos jurídicos e información básica para poder establecer, al menos para efectos de admisibilidad, estas eventuales violaciones atribuibles al Estado.</w:t>
      </w:r>
    </w:p>
    <w:p w14:paraId="4C15DD82" w14:textId="60492B5F" w:rsidR="004B421C" w:rsidRPr="00C22AD0" w:rsidRDefault="00E44842" w:rsidP="00C71DA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22AD0">
        <w:rPr>
          <w:rFonts w:asciiTheme="majorHAnsi" w:hAnsiTheme="majorHAnsi"/>
          <w:sz w:val="20"/>
          <w:szCs w:val="20"/>
          <w:lang w:val="es-ES_tradnl"/>
        </w:rPr>
        <w:t xml:space="preserve">En consecuencia, la Comisión </w:t>
      </w:r>
      <w:r w:rsidR="00185389" w:rsidRPr="00C22AD0">
        <w:rPr>
          <w:rFonts w:asciiTheme="majorHAnsi" w:hAnsiTheme="majorHAnsi"/>
          <w:sz w:val="20"/>
          <w:szCs w:val="20"/>
          <w:lang w:val="es-ES_tradnl"/>
        </w:rPr>
        <w:t xml:space="preserve">considera </w:t>
      </w:r>
      <w:r w:rsidRPr="00C22AD0">
        <w:rPr>
          <w:rFonts w:asciiTheme="majorHAnsi" w:hAnsiTheme="majorHAnsi"/>
          <w:sz w:val="20"/>
          <w:szCs w:val="20"/>
          <w:lang w:val="es-ES_tradnl"/>
        </w:rPr>
        <w:t xml:space="preserve">que los peticionarios no han ofrecido alegatos o </w:t>
      </w:r>
      <w:r w:rsidR="00B51F87" w:rsidRPr="00C22AD0">
        <w:rPr>
          <w:rFonts w:asciiTheme="majorHAnsi" w:hAnsiTheme="majorHAnsi"/>
          <w:sz w:val="20"/>
          <w:szCs w:val="20"/>
          <w:lang w:val="es-ES_tradnl"/>
        </w:rPr>
        <w:t>fundame</w:t>
      </w:r>
      <w:r w:rsidRPr="00C22AD0">
        <w:rPr>
          <w:rFonts w:asciiTheme="majorHAnsi" w:hAnsiTheme="majorHAnsi"/>
          <w:sz w:val="20"/>
          <w:szCs w:val="20"/>
          <w:lang w:val="es-ES_tradnl"/>
        </w:rPr>
        <w:t>nto</w:t>
      </w:r>
      <w:r w:rsidR="00B51F87" w:rsidRPr="00C22AD0">
        <w:rPr>
          <w:rFonts w:asciiTheme="majorHAnsi" w:hAnsiTheme="majorHAnsi"/>
          <w:sz w:val="20"/>
          <w:szCs w:val="20"/>
          <w:lang w:val="es-ES_tradnl"/>
        </w:rPr>
        <w:t>s</w:t>
      </w:r>
      <w:r w:rsidRPr="00C22AD0">
        <w:rPr>
          <w:rFonts w:asciiTheme="majorHAnsi" w:hAnsiTheme="majorHAnsi"/>
          <w:sz w:val="20"/>
          <w:szCs w:val="20"/>
          <w:lang w:val="es-ES_tradnl"/>
        </w:rPr>
        <w:t xml:space="preserve"> suficiente</w:t>
      </w:r>
      <w:r w:rsidR="00B51F87" w:rsidRPr="00C22AD0">
        <w:rPr>
          <w:rFonts w:asciiTheme="majorHAnsi" w:hAnsiTheme="majorHAnsi"/>
          <w:sz w:val="20"/>
          <w:szCs w:val="20"/>
          <w:lang w:val="es-ES_tradnl"/>
        </w:rPr>
        <w:t>s</w:t>
      </w:r>
      <w:r w:rsidRPr="00C22AD0">
        <w:rPr>
          <w:rFonts w:asciiTheme="majorHAnsi" w:hAnsiTheme="majorHAnsi"/>
          <w:sz w:val="20"/>
          <w:szCs w:val="20"/>
          <w:lang w:val="es-ES_tradnl"/>
        </w:rPr>
        <w:t xml:space="preserve"> que permita</w:t>
      </w:r>
      <w:r w:rsidR="00B51F87" w:rsidRPr="00C22AD0">
        <w:rPr>
          <w:rFonts w:asciiTheme="majorHAnsi" w:hAnsiTheme="majorHAnsi"/>
          <w:sz w:val="20"/>
          <w:szCs w:val="20"/>
          <w:lang w:val="es-ES_tradnl"/>
        </w:rPr>
        <w:t>n</w:t>
      </w:r>
      <w:r w:rsidRPr="00C22AD0">
        <w:rPr>
          <w:rFonts w:asciiTheme="majorHAnsi" w:hAnsiTheme="majorHAnsi"/>
          <w:sz w:val="20"/>
          <w:szCs w:val="20"/>
          <w:lang w:val="es-ES_tradnl"/>
        </w:rPr>
        <w:t xml:space="preserve"> </w:t>
      </w:r>
      <w:r w:rsidR="00664F96" w:rsidRPr="00C22AD0">
        <w:rPr>
          <w:rFonts w:asciiTheme="majorHAnsi" w:hAnsiTheme="majorHAnsi"/>
          <w:sz w:val="20"/>
          <w:szCs w:val="20"/>
          <w:lang w:val="es-ES_tradnl"/>
        </w:rPr>
        <w:t xml:space="preserve">concluir </w:t>
      </w:r>
      <w:r w:rsidR="00185389" w:rsidRPr="00C22AD0">
        <w:rPr>
          <w:rFonts w:asciiTheme="majorHAnsi" w:hAnsiTheme="majorHAnsi"/>
          <w:sz w:val="20"/>
          <w:szCs w:val="20"/>
          <w:lang w:val="es-ES_tradnl"/>
        </w:rPr>
        <w:t>que</w:t>
      </w:r>
      <w:r w:rsidR="00664F96" w:rsidRPr="00C22AD0">
        <w:rPr>
          <w:rFonts w:asciiTheme="majorHAnsi" w:hAnsiTheme="majorHAnsi"/>
          <w:sz w:val="20"/>
          <w:szCs w:val="20"/>
          <w:lang w:val="es-ES_tradnl"/>
        </w:rPr>
        <w:t>,</w:t>
      </w:r>
      <w:r w:rsidR="00185389" w:rsidRPr="00C22AD0">
        <w:rPr>
          <w:rFonts w:asciiTheme="majorHAnsi" w:hAnsiTheme="majorHAnsi"/>
          <w:sz w:val="20"/>
          <w:szCs w:val="20"/>
          <w:lang w:val="es-ES_tradnl"/>
        </w:rPr>
        <w:t xml:space="preserve"> </w:t>
      </w:r>
      <w:r w:rsidRPr="00C22AD0">
        <w:rPr>
          <w:rFonts w:asciiTheme="majorHAnsi" w:hAnsiTheme="majorHAnsi"/>
          <w:i/>
          <w:iCs/>
          <w:sz w:val="20"/>
          <w:szCs w:val="20"/>
          <w:lang w:val="es-ES_tradnl"/>
        </w:rPr>
        <w:t>prima facie</w:t>
      </w:r>
      <w:r w:rsidR="00664F96" w:rsidRPr="00C22AD0">
        <w:rPr>
          <w:rFonts w:asciiTheme="majorHAnsi" w:hAnsiTheme="majorHAnsi"/>
          <w:sz w:val="20"/>
          <w:szCs w:val="20"/>
          <w:lang w:val="es-ES_tradnl"/>
        </w:rPr>
        <w:t>,</w:t>
      </w:r>
      <w:r w:rsidRPr="00C22AD0">
        <w:rPr>
          <w:rFonts w:asciiTheme="majorHAnsi" w:hAnsiTheme="majorHAnsi"/>
          <w:sz w:val="20"/>
          <w:szCs w:val="20"/>
          <w:lang w:val="es-ES_tradnl"/>
        </w:rPr>
        <w:t xml:space="preserve"> </w:t>
      </w:r>
      <w:r w:rsidR="00185389" w:rsidRPr="00C22AD0">
        <w:rPr>
          <w:rFonts w:asciiTheme="majorHAnsi" w:hAnsiTheme="majorHAnsi"/>
          <w:sz w:val="20"/>
          <w:szCs w:val="20"/>
          <w:lang w:val="es-ES_tradnl"/>
        </w:rPr>
        <w:t xml:space="preserve">el Estado es responsable por la </w:t>
      </w:r>
      <w:r w:rsidRPr="00C22AD0">
        <w:rPr>
          <w:rFonts w:asciiTheme="majorHAnsi" w:hAnsiTheme="majorHAnsi"/>
          <w:sz w:val="20"/>
          <w:szCs w:val="20"/>
          <w:lang w:val="es-ES_tradnl"/>
        </w:rPr>
        <w:t>violación</w:t>
      </w:r>
      <w:r w:rsidR="00664F96" w:rsidRPr="00C22AD0">
        <w:rPr>
          <w:rFonts w:asciiTheme="majorHAnsi" w:hAnsiTheme="majorHAnsi"/>
          <w:sz w:val="20"/>
          <w:szCs w:val="20"/>
          <w:lang w:val="es-ES_tradnl"/>
        </w:rPr>
        <w:t xml:space="preserve"> de los derechos invocados.</w:t>
      </w:r>
      <w:r w:rsidR="005B5392" w:rsidRPr="00C22AD0">
        <w:rPr>
          <w:rFonts w:asciiTheme="majorHAnsi" w:hAnsiTheme="majorHAnsi"/>
          <w:sz w:val="20"/>
          <w:szCs w:val="20"/>
          <w:lang w:val="es-ES_tradnl"/>
        </w:rPr>
        <w:t xml:space="preserve"> Por consiguiente, la Comisión concluye que la presente petición </w:t>
      </w:r>
      <w:r w:rsidR="00AC6DB2" w:rsidRPr="00C22AD0">
        <w:rPr>
          <w:rFonts w:asciiTheme="majorHAnsi" w:hAnsiTheme="majorHAnsi"/>
          <w:sz w:val="20"/>
          <w:szCs w:val="20"/>
          <w:lang w:val="es-ES_tradnl"/>
        </w:rPr>
        <w:t xml:space="preserve">es </w:t>
      </w:r>
      <w:r w:rsidR="005B5392" w:rsidRPr="00C22AD0">
        <w:rPr>
          <w:rFonts w:asciiTheme="majorHAnsi" w:hAnsiTheme="majorHAnsi"/>
          <w:sz w:val="20"/>
          <w:szCs w:val="20"/>
          <w:lang w:val="es-ES_tradnl"/>
        </w:rPr>
        <w:t xml:space="preserve">inadmisible en los términos del artículo 47 </w:t>
      </w:r>
      <w:r w:rsidR="009B7C49" w:rsidRPr="00C22AD0">
        <w:rPr>
          <w:rFonts w:asciiTheme="majorHAnsi" w:hAnsiTheme="majorHAnsi"/>
          <w:sz w:val="20"/>
          <w:szCs w:val="20"/>
          <w:lang w:val="es-ES_tradnl"/>
        </w:rPr>
        <w:t xml:space="preserve">(b) </w:t>
      </w:r>
      <w:r w:rsidR="005B5392" w:rsidRPr="00C22AD0">
        <w:rPr>
          <w:rFonts w:asciiTheme="majorHAnsi" w:hAnsiTheme="majorHAnsi"/>
          <w:sz w:val="20"/>
          <w:szCs w:val="20"/>
          <w:lang w:val="es-ES_tradnl"/>
        </w:rPr>
        <w:t>de la Convención Americana sobre Derechos Humanos</w:t>
      </w:r>
      <w:r w:rsidR="00AC6DB2" w:rsidRPr="00C22AD0">
        <w:rPr>
          <w:rFonts w:asciiTheme="majorHAnsi" w:hAnsiTheme="majorHAnsi"/>
          <w:sz w:val="20"/>
          <w:szCs w:val="20"/>
          <w:lang w:val="es-ES_tradnl"/>
        </w:rPr>
        <w:t>.</w:t>
      </w:r>
    </w:p>
    <w:p w14:paraId="445BF42E" w14:textId="77777777" w:rsidR="003239B8" w:rsidRPr="00C22AD0" w:rsidRDefault="003239B8" w:rsidP="003239B8">
      <w:pPr>
        <w:pStyle w:val="ListParagraph"/>
        <w:spacing w:before="240" w:after="240"/>
        <w:jc w:val="both"/>
        <w:rPr>
          <w:rFonts w:asciiTheme="majorHAnsi" w:hAnsiTheme="majorHAnsi"/>
          <w:b/>
          <w:bCs/>
          <w:sz w:val="20"/>
          <w:szCs w:val="20"/>
          <w:lang w:val="es-ES_tradnl"/>
        </w:rPr>
      </w:pPr>
      <w:r w:rsidRPr="00C22AD0">
        <w:rPr>
          <w:rFonts w:asciiTheme="majorHAnsi" w:hAnsiTheme="majorHAnsi"/>
          <w:b/>
          <w:bCs/>
          <w:sz w:val="20"/>
          <w:szCs w:val="20"/>
          <w:lang w:val="es-ES_tradnl"/>
        </w:rPr>
        <w:t xml:space="preserve">VIII. </w:t>
      </w:r>
      <w:r w:rsidRPr="00C22AD0">
        <w:rPr>
          <w:rFonts w:asciiTheme="majorHAnsi" w:hAnsiTheme="majorHAnsi"/>
          <w:b/>
          <w:bCs/>
          <w:sz w:val="20"/>
          <w:szCs w:val="20"/>
          <w:lang w:val="es-ES_tradnl"/>
        </w:rPr>
        <w:tab/>
        <w:t>DECISIÓN</w:t>
      </w:r>
    </w:p>
    <w:p w14:paraId="7CCCB663" w14:textId="3173E3FF" w:rsidR="000419AD" w:rsidRPr="00C22AD0" w:rsidRDefault="000419AD" w:rsidP="00305835">
      <w:pPr>
        <w:pStyle w:val="ListParagraph"/>
        <w:numPr>
          <w:ilvl w:val="0"/>
          <w:numId w:val="55"/>
        </w:numPr>
        <w:rPr>
          <w:rFonts w:asciiTheme="majorHAnsi" w:eastAsia="Arial Unicode MS" w:hAnsiTheme="majorHAnsi" w:cs="Times New Roman"/>
          <w:color w:val="auto"/>
          <w:sz w:val="20"/>
          <w:szCs w:val="20"/>
          <w:lang w:val="es-ES_tradnl" w:eastAsia="en-US"/>
        </w:rPr>
      </w:pPr>
      <w:r w:rsidRPr="00C22AD0">
        <w:rPr>
          <w:rFonts w:asciiTheme="majorHAnsi" w:eastAsia="Arial Unicode MS" w:hAnsiTheme="majorHAnsi" w:cs="Times New Roman"/>
          <w:color w:val="auto"/>
          <w:sz w:val="20"/>
          <w:szCs w:val="20"/>
          <w:lang w:val="es-ES_tradnl" w:eastAsia="en-US"/>
        </w:rPr>
        <w:t>Declarar inadmisible la presente petición</w:t>
      </w:r>
      <w:r w:rsidR="00A758AA" w:rsidRPr="00C22AD0">
        <w:rPr>
          <w:rFonts w:asciiTheme="majorHAnsi" w:eastAsia="Arial Unicode MS" w:hAnsiTheme="majorHAnsi" w:cs="Times New Roman"/>
          <w:color w:val="auto"/>
          <w:sz w:val="20"/>
          <w:szCs w:val="20"/>
          <w:lang w:val="es-ES_tradnl" w:eastAsia="en-US"/>
        </w:rPr>
        <w:t>;</w:t>
      </w:r>
      <w:r w:rsidR="004A6A54" w:rsidRPr="00C22AD0">
        <w:rPr>
          <w:rFonts w:asciiTheme="majorHAnsi" w:eastAsia="Arial Unicode MS" w:hAnsiTheme="majorHAnsi" w:cs="Times New Roman"/>
          <w:color w:val="auto"/>
          <w:sz w:val="20"/>
          <w:szCs w:val="20"/>
          <w:lang w:val="es-ES_tradnl" w:eastAsia="en-US"/>
        </w:rPr>
        <w:t xml:space="preserve"> y</w:t>
      </w:r>
    </w:p>
    <w:p w14:paraId="547DFF8E" w14:textId="77777777" w:rsidR="000419AD" w:rsidRPr="00C22AD0" w:rsidRDefault="000419AD" w:rsidP="000419AD">
      <w:pPr>
        <w:pStyle w:val="ListParagraph"/>
        <w:rPr>
          <w:rFonts w:asciiTheme="majorHAnsi" w:eastAsia="Arial Unicode MS" w:hAnsiTheme="majorHAnsi" w:cs="Times New Roman"/>
          <w:color w:val="auto"/>
          <w:sz w:val="20"/>
          <w:szCs w:val="20"/>
          <w:lang w:val="es-ES_tradnl" w:eastAsia="en-US"/>
        </w:rPr>
      </w:pPr>
    </w:p>
    <w:p w14:paraId="2CF77B14" w14:textId="0C7757AF" w:rsidR="008D768D" w:rsidRDefault="004A6A54" w:rsidP="003635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22AD0">
        <w:rPr>
          <w:rFonts w:asciiTheme="majorHAnsi" w:hAnsiTheme="majorHAnsi"/>
          <w:sz w:val="20"/>
          <w:szCs w:val="20"/>
          <w:lang w:val="es-ES_tradnl"/>
        </w:rPr>
        <w:t>Notificar a las partes la presente decisión; y publicar esta decisión e incluirla en su Informe Anual a la Asamblea General de la</w:t>
      </w:r>
      <w:r w:rsidRPr="00547797">
        <w:rPr>
          <w:rFonts w:asciiTheme="majorHAnsi" w:hAnsiTheme="majorHAnsi"/>
          <w:sz w:val="20"/>
          <w:szCs w:val="20"/>
          <w:lang w:val="es-ES"/>
        </w:rPr>
        <w:t xml:space="preserve"> Organización de los Estados Americanos.</w:t>
      </w:r>
    </w:p>
    <w:p w14:paraId="147B33C3" w14:textId="19E90FE1" w:rsidR="00EE5F9D" w:rsidRPr="00263529" w:rsidRDefault="00EE5F9D" w:rsidP="00263529">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263529">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EE5F9D" w:rsidRPr="0026352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36E4" w14:textId="77777777" w:rsidR="0035289A" w:rsidRDefault="0035289A">
      <w:r>
        <w:separator/>
      </w:r>
    </w:p>
  </w:endnote>
  <w:endnote w:type="continuationSeparator" w:id="0">
    <w:p w14:paraId="3D841E1A" w14:textId="77777777" w:rsidR="0035289A" w:rsidRDefault="0035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F864" w14:textId="77777777" w:rsidR="0035289A" w:rsidRPr="000F35ED" w:rsidRDefault="0035289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49BC66" w14:textId="77777777" w:rsidR="0035289A" w:rsidRPr="000F35ED" w:rsidRDefault="0035289A" w:rsidP="000F35ED">
      <w:pPr>
        <w:rPr>
          <w:rFonts w:asciiTheme="majorHAnsi" w:hAnsiTheme="majorHAnsi"/>
          <w:sz w:val="16"/>
          <w:szCs w:val="16"/>
        </w:rPr>
      </w:pPr>
      <w:r w:rsidRPr="000F35ED">
        <w:rPr>
          <w:rFonts w:asciiTheme="majorHAnsi" w:hAnsiTheme="majorHAnsi"/>
          <w:sz w:val="16"/>
          <w:szCs w:val="16"/>
        </w:rPr>
        <w:separator/>
      </w:r>
    </w:p>
    <w:p w14:paraId="6ACD5E42" w14:textId="77777777" w:rsidR="0035289A" w:rsidRPr="000F35ED" w:rsidRDefault="0035289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CADBF2" w14:textId="77777777" w:rsidR="0035289A" w:rsidRPr="000F35ED" w:rsidRDefault="0035289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213A9EA7" w:rsidR="004A6A54" w:rsidRPr="00306F33" w:rsidRDefault="004A6A54" w:rsidP="00B52AC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B52ACC">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B52ACC">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2DE10101" w14:textId="77777777" w:rsidR="0042687D" w:rsidRPr="00530AF4" w:rsidRDefault="0042687D" w:rsidP="0042687D">
      <w:pPr>
        <w:pStyle w:val="FootnoteText"/>
        <w:ind w:firstLine="720"/>
        <w:jc w:val="both"/>
        <w:rPr>
          <w:rFonts w:asciiTheme="majorHAnsi" w:hAnsiTheme="majorHAnsi"/>
          <w:color w:val="auto"/>
          <w:sz w:val="16"/>
          <w:szCs w:val="16"/>
          <w:lang w:val="es-US"/>
        </w:rPr>
      </w:pPr>
      <w:r w:rsidRPr="00530AF4">
        <w:rPr>
          <w:rStyle w:val="FootnoteReference"/>
          <w:rFonts w:asciiTheme="majorHAnsi" w:hAnsiTheme="majorHAnsi"/>
          <w:color w:val="auto"/>
          <w:sz w:val="16"/>
          <w:szCs w:val="16"/>
        </w:rPr>
        <w:footnoteRef/>
      </w:r>
      <w:r w:rsidRPr="00530AF4">
        <w:rPr>
          <w:rFonts w:asciiTheme="majorHAnsi" w:hAnsiTheme="majorHAnsi"/>
          <w:color w:val="auto"/>
          <w:sz w:val="16"/>
          <w:szCs w:val="16"/>
          <w:lang w:val="es-PA"/>
        </w:rPr>
        <w:t xml:space="preserve"> En adelante “la Convención Americana” o “la Convención”.</w:t>
      </w:r>
    </w:p>
  </w:footnote>
  <w:footnote w:id="4">
    <w:p w14:paraId="2BF04BAC" w14:textId="77777777" w:rsidR="0042687D" w:rsidRPr="004C0CB8" w:rsidRDefault="0042687D" w:rsidP="0042687D">
      <w:pPr>
        <w:pStyle w:val="FootnoteText"/>
        <w:ind w:firstLine="720"/>
        <w:jc w:val="both"/>
        <w:rPr>
          <w:rFonts w:asciiTheme="majorHAnsi" w:hAnsiTheme="majorHAnsi"/>
          <w:lang w:val="es-CO"/>
        </w:rPr>
      </w:pPr>
      <w:r w:rsidRPr="004C0CB8">
        <w:rPr>
          <w:rStyle w:val="FootnoteReference"/>
          <w:rFonts w:asciiTheme="majorHAnsi" w:hAnsiTheme="majorHAnsi"/>
          <w:sz w:val="16"/>
          <w:szCs w:val="16"/>
        </w:rPr>
        <w:footnoteRef/>
      </w:r>
      <w:r w:rsidRPr="004C0CB8">
        <w:rPr>
          <w:rFonts w:asciiTheme="majorHAnsi" w:hAnsiTheme="majorHAnsi"/>
          <w:sz w:val="16"/>
          <w:szCs w:val="16"/>
          <w:lang w:val="es-CO"/>
        </w:rPr>
        <w:t xml:space="preserve"> </w:t>
      </w:r>
      <w:r>
        <w:rPr>
          <w:rFonts w:asciiTheme="majorHAnsi" w:hAnsiTheme="majorHAnsi"/>
          <w:sz w:val="16"/>
          <w:szCs w:val="16"/>
          <w:lang w:val="es-CO"/>
        </w:rPr>
        <w:t>En adelante “la Declaración Americana” o “la Declaración”.</w:t>
      </w:r>
    </w:p>
  </w:footnote>
  <w:footnote w:id="5">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6">
    <w:p w14:paraId="10561D79" w14:textId="7C8ADC37" w:rsidR="009C7CCE" w:rsidRPr="007219EC" w:rsidRDefault="009C7CCE" w:rsidP="00A40DAE">
      <w:pPr>
        <w:pStyle w:val="FootnoteText"/>
        <w:ind w:firstLine="720"/>
        <w:jc w:val="both"/>
        <w:rPr>
          <w:rFonts w:ascii="Cambria" w:hAnsi="Cambria"/>
          <w:lang w:val="es-CO"/>
        </w:rPr>
      </w:pPr>
      <w:r w:rsidRPr="00DA5555">
        <w:rPr>
          <w:rStyle w:val="FootnoteReference"/>
          <w:rFonts w:ascii="Cambria" w:hAnsi="Cambria"/>
          <w:sz w:val="16"/>
          <w:szCs w:val="16"/>
        </w:rPr>
        <w:footnoteRef/>
      </w:r>
      <w:r w:rsidRPr="00442B26">
        <w:rPr>
          <w:rFonts w:ascii="Cambria" w:hAnsi="Cambria"/>
          <w:sz w:val="16"/>
          <w:szCs w:val="16"/>
          <w:lang w:val="es-CO"/>
        </w:rPr>
        <w:t xml:space="preserve"> CIDH. Informe No. Informe No. 89/21, Petición 5-12, Trabajadores Mineros de Cananea y sus familiares</w:t>
      </w:r>
      <w:r>
        <w:rPr>
          <w:rFonts w:ascii="Cambria" w:hAnsi="Cambria"/>
          <w:sz w:val="16"/>
          <w:szCs w:val="16"/>
          <w:lang w:val="es-CO"/>
        </w:rPr>
        <w:t xml:space="preserve">. </w:t>
      </w:r>
      <w:r w:rsidRPr="007219EC">
        <w:rPr>
          <w:rFonts w:ascii="Cambria" w:hAnsi="Cambria"/>
          <w:sz w:val="16"/>
          <w:szCs w:val="16"/>
          <w:lang w:val="es-CO"/>
        </w:rPr>
        <w:t>México. 28 de marzo de 2021, párr. 32</w:t>
      </w:r>
      <w:r w:rsidR="00A40DAE">
        <w:rPr>
          <w:rFonts w:ascii="Cambria" w:hAnsi="Cambria"/>
          <w:sz w:val="16"/>
          <w:szCs w:val="16"/>
          <w:lang w:val="es-CO"/>
        </w:rPr>
        <w:t xml:space="preserve">: </w:t>
      </w:r>
      <w:r w:rsidR="00A40DAE" w:rsidRPr="00A40DAE">
        <w:rPr>
          <w:rFonts w:ascii="Cambria" w:hAnsi="Cambria"/>
          <w:sz w:val="16"/>
          <w:szCs w:val="16"/>
          <w:lang w:val="es-CO"/>
        </w:rPr>
        <w:t>CIDH, Informe No. 279/21. Petición 2106-12. Admisibilidad. Comunidades Huitosachi,Mogótavo y Bacajípare del pueblo indígena Rarámuri. México. 29 de octubre de 2021</w:t>
      </w:r>
      <w:r w:rsidR="00A40DAE">
        <w:rPr>
          <w:rFonts w:ascii="Cambria" w:hAnsi="Cambria"/>
          <w:sz w:val="16"/>
          <w:szCs w:val="16"/>
          <w:lang w:val="es-CO"/>
        </w:rPr>
        <w:t xml:space="preserve">, párr. </w:t>
      </w:r>
      <w:r w:rsidR="00D72F9E">
        <w:rPr>
          <w:rFonts w:ascii="Cambria" w:hAnsi="Cambria"/>
          <w:sz w:val="16"/>
          <w:szCs w:val="16"/>
          <w:lang w:val="es-CO"/>
        </w:rPr>
        <w:t>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31183"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7CD3BD6"/>
    <w:multiLevelType w:val="hybridMultilevel"/>
    <w:tmpl w:val="746E1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FB431C"/>
    <w:multiLevelType w:val="hybridMultilevel"/>
    <w:tmpl w:val="B7BE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DF73FBA"/>
    <w:multiLevelType w:val="hybridMultilevel"/>
    <w:tmpl w:val="CD1A016C"/>
    <w:lvl w:ilvl="0" w:tplc="D4869A30">
      <w:start w:val="1"/>
      <w:numFmt w:val="decimal"/>
      <w:lvlText w:val="%1."/>
      <w:lvlJc w:val="left"/>
      <w:pPr>
        <w:ind w:left="0" w:hanging="720"/>
      </w:pPr>
      <w:rPr>
        <w:rFonts w:hint="default"/>
        <w:lang w:val="es-AR"/>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743DC2"/>
    <w:multiLevelType w:val="hybridMultilevel"/>
    <w:tmpl w:val="073C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C270B1"/>
    <w:multiLevelType w:val="hybridMultilevel"/>
    <w:tmpl w:val="F49A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34424692">
    <w:abstractNumId w:val="3"/>
  </w:num>
  <w:num w:numId="2" w16cid:durableId="794952835">
    <w:abstractNumId w:val="4"/>
  </w:num>
  <w:num w:numId="3" w16cid:durableId="527649100">
    <w:abstractNumId w:val="55"/>
  </w:num>
  <w:num w:numId="4" w16cid:durableId="838276918">
    <w:abstractNumId w:val="21"/>
  </w:num>
  <w:num w:numId="5" w16cid:durableId="2032416226">
    <w:abstractNumId w:val="49"/>
  </w:num>
  <w:num w:numId="6" w16cid:durableId="561645777">
    <w:abstractNumId w:val="28"/>
  </w:num>
  <w:num w:numId="7" w16cid:durableId="2047488366">
    <w:abstractNumId w:val="6"/>
  </w:num>
  <w:num w:numId="8" w16cid:durableId="1099255075">
    <w:abstractNumId w:val="16"/>
  </w:num>
  <w:num w:numId="9" w16cid:durableId="142160718">
    <w:abstractNumId w:val="44"/>
  </w:num>
  <w:num w:numId="10" w16cid:durableId="108671413">
    <w:abstractNumId w:val="0"/>
  </w:num>
  <w:num w:numId="11" w16cid:durableId="624190152">
    <w:abstractNumId w:val="38"/>
  </w:num>
  <w:num w:numId="12" w16cid:durableId="1259371377">
    <w:abstractNumId w:val="39"/>
  </w:num>
  <w:num w:numId="13" w16cid:durableId="631253410">
    <w:abstractNumId w:val="46"/>
  </w:num>
  <w:num w:numId="14" w16cid:durableId="1907496453">
    <w:abstractNumId w:val="1"/>
  </w:num>
  <w:num w:numId="15" w16cid:durableId="1165705271">
    <w:abstractNumId w:val="2"/>
  </w:num>
  <w:num w:numId="16" w16cid:durableId="346948674">
    <w:abstractNumId w:val="7"/>
  </w:num>
  <w:num w:numId="17" w16cid:durableId="837501946">
    <w:abstractNumId w:val="8"/>
  </w:num>
  <w:num w:numId="18" w16cid:durableId="961496146">
    <w:abstractNumId w:val="9"/>
  </w:num>
  <w:num w:numId="19" w16cid:durableId="786704312">
    <w:abstractNumId w:val="10"/>
  </w:num>
  <w:num w:numId="20" w16cid:durableId="745806465">
    <w:abstractNumId w:val="11"/>
  </w:num>
  <w:num w:numId="21" w16cid:durableId="1669674857">
    <w:abstractNumId w:val="12"/>
  </w:num>
  <w:num w:numId="22" w16cid:durableId="892040145">
    <w:abstractNumId w:val="13"/>
  </w:num>
  <w:num w:numId="23" w16cid:durableId="1953514068">
    <w:abstractNumId w:val="14"/>
  </w:num>
  <w:num w:numId="24" w16cid:durableId="471674305">
    <w:abstractNumId w:val="15"/>
  </w:num>
  <w:num w:numId="25" w16cid:durableId="1768576660">
    <w:abstractNumId w:val="17"/>
  </w:num>
  <w:num w:numId="26" w16cid:durableId="1937982989">
    <w:abstractNumId w:val="18"/>
  </w:num>
  <w:num w:numId="27" w16cid:durableId="1584752708">
    <w:abstractNumId w:val="22"/>
  </w:num>
  <w:num w:numId="28" w16cid:durableId="201870101">
    <w:abstractNumId w:val="23"/>
  </w:num>
  <w:num w:numId="29" w16cid:durableId="838737355">
    <w:abstractNumId w:val="24"/>
  </w:num>
  <w:num w:numId="30" w16cid:durableId="872615635">
    <w:abstractNumId w:val="26"/>
  </w:num>
  <w:num w:numId="31" w16cid:durableId="1983463225">
    <w:abstractNumId w:val="29"/>
  </w:num>
  <w:num w:numId="32" w16cid:durableId="1816988745">
    <w:abstractNumId w:val="30"/>
  </w:num>
  <w:num w:numId="33" w16cid:durableId="628172169">
    <w:abstractNumId w:val="31"/>
  </w:num>
  <w:num w:numId="34" w16cid:durableId="145051434">
    <w:abstractNumId w:val="32"/>
  </w:num>
  <w:num w:numId="35" w16cid:durableId="1526290757">
    <w:abstractNumId w:val="33"/>
  </w:num>
  <w:num w:numId="36" w16cid:durableId="1494682869">
    <w:abstractNumId w:val="34"/>
  </w:num>
  <w:num w:numId="37" w16cid:durableId="682708035">
    <w:abstractNumId w:val="35"/>
  </w:num>
  <w:num w:numId="38" w16cid:durableId="90468867">
    <w:abstractNumId w:val="36"/>
  </w:num>
  <w:num w:numId="39" w16cid:durableId="1845125342">
    <w:abstractNumId w:val="41"/>
  </w:num>
  <w:num w:numId="40" w16cid:durableId="705253365">
    <w:abstractNumId w:val="42"/>
  </w:num>
  <w:num w:numId="41" w16cid:durableId="1223366813">
    <w:abstractNumId w:val="48"/>
  </w:num>
  <w:num w:numId="42" w16cid:durableId="403454212">
    <w:abstractNumId w:val="50"/>
  </w:num>
  <w:num w:numId="43" w16cid:durableId="1452478110">
    <w:abstractNumId w:val="51"/>
  </w:num>
  <w:num w:numId="44" w16cid:durableId="258025642">
    <w:abstractNumId w:val="53"/>
  </w:num>
  <w:num w:numId="45" w16cid:durableId="600798120">
    <w:abstractNumId w:val="54"/>
  </w:num>
  <w:num w:numId="46" w16cid:durableId="605621045">
    <w:abstractNumId w:val="56"/>
  </w:num>
  <w:num w:numId="47" w16cid:durableId="899052897">
    <w:abstractNumId w:val="57"/>
  </w:num>
  <w:num w:numId="48" w16cid:durableId="1009603909">
    <w:abstractNumId w:val="58"/>
  </w:num>
  <w:num w:numId="49" w16cid:durableId="650058637">
    <w:abstractNumId w:val="61"/>
  </w:num>
  <w:num w:numId="50" w16cid:durableId="290945049">
    <w:abstractNumId w:val="62"/>
  </w:num>
  <w:num w:numId="51" w16cid:durableId="973562701">
    <w:abstractNumId w:val="20"/>
  </w:num>
  <w:num w:numId="52" w16cid:durableId="621570620">
    <w:abstractNumId w:val="43"/>
  </w:num>
  <w:num w:numId="53" w16cid:durableId="1529104930">
    <w:abstractNumId w:val="52"/>
  </w:num>
  <w:num w:numId="54" w16cid:durableId="607279565">
    <w:abstractNumId w:val="47"/>
  </w:num>
  <w:num w:numId="55" w16cid:durableId="1011298261">
    <w:abstractNumId w:val="45"/>
  </w:num>
  <w:num w:numId="56" w16cid:durableId="889536247">
    <w:abstractNumId w:val="27"/>
  </w:num>
  <w:num w:numId="57" w16cid:durableId="454569377">
    <w:abstractNumId w:val="25"/>
  </w:num>
  <w:num w:numId="58" w16cid:durableId="246888038">
    <w:abstractNumId w:val="37"/>
  </w:num>
  <w:num w:numId="59" w16cid:durableId="489912009">
    <w:abstractNumId w:val="5"/>
  </w:num>
  <w:num w:numId="60" w16cid:durableId="269902230">
    <w:abstractNumId w:val="40"/>
  </w:num>
  <w:num w:numId="61" w16cid:durableId="202644376">
    <w:abstractNumId w:val="60"/>
  </w:num>
  <w:num w:numId="62" w16cid:durableId="1909226054">
    <w:abstractNumId w:val="19"/>
  </w:num>
  <w:num w:numId="63" w16cid:durableId="17520403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768"/>
    <w:rsid w:val="00006D38"/>
    <w:rsid w:val="00006E1F"/>
    <w:rsid w:val="000070D7"/>
    <w:rsid w:val="0001788C"/>
    <w:rsid w:val="00027AFD"/>
    <w:rsid w:val="00031949"/>
    <w:rsid w:val="0003227A"/>
    <w:rsid w:val="000337EF"/>
    <w:rsid w:val="00033CA5"/>
    <w:rsid w:val="00040C3A"/>
    <w:rsid w:val="0004131D"/>
    <w:rsid w:val="000419AD"/>
    <w:rsid w:val="000425A7"/>
    <w:rsid w:val="000433C9"/>
    <w:rsid w:val="00043D62"/>
    <w:rsid w:val="0004617F"/>
    <w:rsid w:val="0004768F"/>
    <w:rsid w:val="00055F8A"/>
    <w:rsid w:val="00061855"/>
    <w:rsid w:val="00061EF5"/>
    <w:rsid w:val="00064A88"/>
    <w:rsid w:val="00071174"/>
    <w:rsid w:val="000716C5"/>
    <w:rsid w:val="00075E23"/>
    <w:rsid w:val="000807FF"/>
    <w:rsid w:val="000847F4"/>
    <w:rsid w:val="000873D0"/>
    <w:rsid w:val="0009344A"/>
    <w:rsid w:val="0009595B"/>
    <w:rsid w:val="00097DBC"/>
    <w:rsid w:val="000A392E"/>
    <w:rsid w:val="000A575F"/>
    <w:rsid w:val="000B46B5"/>
    <w:rsid w:val="000C7F1C"/>
    <w:rsid w:val="000D05CB"/>
    <w:rsid w:val="000D10DB"/>
    <w:rsid w:val="000D465D"/>
    <w:rsid w:val="000E2D7E"/>
    <w:rsid w:val="000E5CBE"/>
    <w:rsid w:val="000E5EB5"/>
    <w:rsid w:val="000F35ED"/>
    <w:rsid w:val="001004FE"/>
    <w:rsid w:val="00107131"/>
    <w:rsid w:val="0010736F"/>
    <w:rsid w:val="00107E22"/>
    <w:rsid w:val="0011166F"/>
    <w:rsid w:val="00112181"/>
    <w:rsid w:val="00112EC6"/>
    <w:rsid w:val="00113348"/>
    <w:rsid w:val="00113F73"/>
    <w:rsid w:val="001204A7"/>
    <w:rsid w:val="00121CC2"/>
    <w:rsid w:val="00131425"/>
    <w:rsid w:val="00133727"/>
    <w:rsid w:val="00133EE5"/>
    <w:rsid w:val="00144CB5"/>
    <w:rsid w:val="00155BAE"/>
    <w:rsid w:val="001569CC"/>
    <w:rsid w:val="00167A34"/>
    <w:rsid w:val="001727CF"/>
    <w:rsid w:val="0018333F"/>
    <w:rsid w:val="001849D9"/>
    <w:rsid w:val="00185389"/>
    <w:rsid w:val="00185A40"/>
    <w:rsid w:val="00193E31"/>
    <w:rsid w:val="00196762"/>
    <w:rsid w:val="001A0BC9"/>
    <w:rsid w:val="001A16C6"/>
    <w:rsid w:val="001A489D"/>
    <w:rsid w:val="001A520D"/>
    <w:rsid w:val="001A7870"/>
    <w:rsid w:val="001B2FB7"/>
    <w:rsid w:val="001B3124"/>
    <w:rsid w:val="001B3A00"/>
    <w:rsid w:val="001B478B"/>
    <w:rsid w:val="001B746E"/>
    <w:rsid w:val="001C0F81"/>
    <w:rsid w:val="001C1B41"/>
    <w:rsid w:val="001C4CEC"/>
    <w:rsid w:val="001D3573"/>
    <w:rsid w:val="001D36F8"/>
    <w:rsid w:val="001D54F5"/>
    <w:rsid w:val="001D5528"/>
    <w:rsid w:val="001D65EF"/>
    <w:rsid w:val="001D6FBE"/>
    <w:rsid w:val="001D7F96"/>
    <w:rsid w:val="001E2609"/>
    <w:rsid w:val="001E49E7"/>
    <w:rsid w:val="001E7A96"/>
    <w:rsid w:val="001F0CE9"/>
    <w:rsid w:val="001F14BF"/>
    <w:rsid w:val="001F228C"/>
    <w:rsid w:val="001F7201"/>
    <w:rsid w:val="001F7359"/>
    <w:rsid w:val="00203FDB"/>
    <w:rsid w:val="0020442B"/>
    <w:rsid w:val="00213CCA"/>
    <w:rsid w:val="00213E21"/>
    <w:rsid w:val="00223A29"/>
    <w:rsid w:val="002250A3"/>
    <w:rsid w:val="00226A1B"/>
    <w:rsid w:val="00226D41"/>
    <w:rsid w:val="002346C0"/>
    <w:rsid w:val="00235217"/>
    <w:rsid w:val="0024222C"/>
    <w:rsid w:val="002455F7"/>
    <w:rsid w:val="00246D1F"/>
    <w:rsid w:val="00247403"/>
    <w:rsid w:val="00247542"/>
    <w:rsid w:val="00263529"/>
    <w:rsid w:val="00266B61"/>
    <w:rsid w:val="0026712A"/>
    <w:rsid w:val="00267A78"/>
    <w:rsid w:val="002704DB"/>
    <w:rsid w:val="002776F5"/>
    <w:rsid w:val="00281CB1"/>
    <w:rsid w:val="00282007"/>
    <w:rsid w:val="002A0AAE"/>
    <w:rsid w:val="002A35FE"/>
    <w:rsid w:val="002A5820"/>
    <w:rsid w:val="002A7789"/>
    <w:rsid w:val="002B26D6"/>
    <w:rsid w:val="002C6F50"/>
    <w:rsid w:val="002D1636"/>
    <w:rsid w:val="002D2B26"/>
    <w:rsid w:val="002D32AC"/>
    <w:rsid w:val="002D4DEC"/>
    <w:rsid w:val="002D6A51"/>
    <w:rsid w:val="002D7EA2"/>
    <w:rsid w:val="002E187C"/>
    <w:rsid w:val="002E25F0"/>
    <w:rsid w:val="002F22AD"/>
    <w:rsid w:val="00302733"/>
    <w:rsid w:val="00304C36"/>
    <w:rsid w:val="00305068"/>
    <w:rsid w:val="00305835"/>
    <w:rsid w:val="00306F33"/>
    <w:rsid w:val="00314078"/>
    <w:rsid w:val="0031535D"/>
    <w:rsid w:val="003220F0"/>
    <w:rsid w:val="003239B8"/>
    <w:rsid w:val="003300FF"/>
    <w:rsid w:val="0033169F"/>
    <w:rsid w:val="00333430"/>
    <w:rsid w:val="00340D47"/>
    <w:rsid w:val="00344977"/>
    <w:rsid w:val="003461DE"/>
    <w:rsid w:val="00346C95"/>
    <w:rsid w:val="00352734"/>
    <w:rsid w:val="0035289A"/>
    <w:rsid w:val="00356185"/>
    <w:rsid w:val="00357DFA"/>
    <w:rsid w:val="00360380"/>
    <w:rsid w:val="00361844"/>
    <w:rsid w:val="0036351A"/>
    <w:rsid w:val="0037519E"/>
    <w:rsid w:val="003764C5"/>
    <w:rsid w:val="00386CF0"/>
    <w:rsid w:val="00387160"/>
    <w:rsid w:val="00387689"/>
    <w:rsid w:val="003906C8"/>
    <w:rsid w:val="00394073"/>
    <w:rsid w:val="003A0D20"/>
    <w:rsid w:val="003A250C"/>
    <w:rsid w:val="003B042F"/>
    <w:rsid w:val="003B70FB"/>
    <w:rsid w:val="003C4988"/>
    <w:rsid w:val="003C676B"/>
    <w:rsid w:val="003D3BC2"/>
    <w:rsid w:val="003E3D45"/>
    <w:rsid w:val="003E6CA1"/>
    <w:rsid w:val="003F3FB9"/>
    <w:rsid w:val="003F5154"/>
    <w:rsid w:val="003F6B4A"/>
    <w:rsid w:val="003F74B4"/>
    <w:rsid w:val="00401E7E"/>
    <w:rsid w:val="00405F9C"/>
    <w:rsid w:val="004065A8"/>
    <w:rsid w:val="00406E9D"/>
    <w:rsid w:val="00414EAA"/>
    <w:rsid w:val="004165C2"/>
    <w:rsid w:val="00421A25"/>
    <w:rsid w:val="00422233"/>
    <w:rsid w:val="004241A0"/>
    <w:rsid w:val="0042488C"/>
    <w:rsid w:val="004257AE"/>
    <w:rsid w:val="004262C5"/>
    <w:rsid w:val="0042687D"/>
    <w:rsid w:val="00440730"/>
    <w:rsid w:val="00441ECB"/>
    <w:rsid w:val="0044444E"/>
    <w:rsid w:val="00445193"/>
    <w:rsid w:val="00450F4D"/>
    <w:rsid w:val="004558B2"/>
    <w:rsid w:val="00462C1B"/>
    <w:rsid w:val="00467B7E"/>
    <w:rsid w:val="00473BB4"/>
    <w:rsid w:val="00474EF4"/>
    <w:rsid w:val="00477592"/>
    <w:rsid w:val="00481558"/>
    <w:rsid w:val="004854D5"/>
    <w:rsid w:val="00486F1C"/>
    <w:rsid w:val="0049419D"/>
    <w:rsid w:val="004A057B"/>
    <w:rsid w:val="004A111B"/>
    <w:rsid w:val="004A6A54"/>
    <w:rsid w:val="004B13AC"/>
    <w:rsid w:val="004B1790"/>
    <w:rsid w:val="004B421C"/>
    <w:rsid w:val="004C20D2"/>
    <w:rsid w:val="004C2312"/>
    <w:rsid w:val="004C25E9"/>
    <w:rsid w:val="004C3D12"/>
    <w:rsid w:val="004C4B62"/>
    <w:rsid w:val="004C54C9"/>
    <w:rsid w:val="004C76CF"/>
    <w:rsid w:val="004D4ABA"/>
    <w:rsid w:val="004D6025"/>
    <w:rsid w:val="004E00A0"/>
    <w:rsid w:val="004E2649"/>
    <w:rsid w:val="004E4E13"/>
    <w:rsid w:val="004E7F3F"/>
    <w:rsid w:val="004F4970"/>
    <w:rsid w:val="004F6036"/>
    <w:rsid w:val="004F626F"/>
    <w:rsid w:val="00500617"/>
    <w:rsid w:val="00501399"/>
    <w:rsid w:val="005047ED"/>
    <w:rsid w:val="0050633D"/>
    <w:rsid w:val="00507BC4"/>
    <w:rsid w:val="005128E4"/>
    <w:rsid w:val="005133DB"/>
    <w:rsid w:val="0051394A"/>
    <w:rsid w:val="00514504"/>
    <w:rsid w:val="00521E1F"/>
    <w:rsid w:val="00523A03"/>
    <w:rsid w:val="00525560"/>
    <w:rsid w:val="005348EC"/>
    <w:rsid w:val="00544151"/>
    <w:rsid w:val="00544C49"/>
    <w:rsid w:val="005453DF"/>
    <w:rsid w:val="00547797"/>
    <w:rsid w:val="005516A1"/>
    <w:rsid w:val="005559EF"/>
    <w:rsid w:val="00563557"/>
    <w:rsid w:val="0057402A"/>
    <w:rsid w:val="00575E36"/>
    <w:rsid w:val="005771D0"/>
    <w:rsid w:val="00577792"/>
    <w:rsid w:val="00581575"/>
    <w:rsid w:val="00585C0A"/>
    <w:rsid w:val="005862A2"/>
    <w:rsid w:val="0059191A"/>
    <w:rsid w:val="005921FF"/>
    <w:rsid w:val="00592493"/>
    <w:rsid w:val="00596C0C"/>
    <w:rsid w:val="005A24ED"/>
    <w:rsid w:val="005A2A2C"/>
    <w:rsid w:val="005A2EB4"/>
    <w:rsid w:val="005A3EDC"/>
    <w:rsid w:val="005A6D0E"/>
    <w:rsid w:val="005A76EB"/>
    <w:rsid w:val="005B36AC"/>
    <w:rsid w:val="005B420C"/>
    <w:rsid w:val="005B52B0"/>
    <w:rsid w:val="005B5392"/>
    <w:rsid w:val="005B6806"/>
    <w:rsid w:val="005B70D2"/>
    <w:rsid w:val="005C4225"/>
    <w:rsid w:val="005F05C0"/>
    <w:rsid w:val="005F0DAD"/>
    <w:rsid w:val="005F0F33"/>
    <w:rsid w:val="005F639A"/>
    <w:rsid w:val="00600DEB"/>
    <w:rsid w:val="00602A52"/>
    <w:rsid w:val="00603128"/>
    <w:rsid w:val="00603275"/>
    <w:rsid w:val="00615D16"/>
    <w:rsid w:val="00623105"/>
    <w:rsid w:val="00627C9F"/>
    <w:rsid w:val="006311E9"/>
    <w:rsid w:val="00632354"/>
    <w:rsid w:val="00635421"/>
    <w:rsid w:val="00636087"/>
    <w:rsid w:val="00636A4D"/>
    <w:rsid w:val="00642810"/>
    <w:rsid w:val="00651059"/>
    <w:rsid w:val="00652333"/>
    <w:rsid w:val="006526AC"/>
    <w:rsid w:val="006622F4"/>
    <w:rsid w:val="00664F96"/>
    <w:rsid w:val="00667330"/>
    <w:rsid w:val="00675CDC"/>
    <w:rsid w:val="00676C54"/>
    <w:rsid w:val="0068009E"/>
    <w:rsid w:val="00680B88"/>
    <w:rsid w:val="00692219"/>
    <w:rsid w:val="006A17D2"/>
    <w:rsid w:val="006A73E6"/>
    <w:rsid w:val="006B2D5C"/>
    <w:rsid w:val="006B5697"/>
    <w:rsid w:val="006B7CE4"/>
    <w:rsid w:val="006C0ECF"/>
    <w:rsid w:val="006C4EB1"/>
    <w:rsid w:val="006D23C2"/>
    <w:rsid w:val="006D6020"/>
    <w:rsid w:val="006E0166"/>
    <w:rsid w:val="006E2FFB"/>
    <w:rsid w:val="006E3548"/>
    <w:rsid w:val="006E57E2"/>
    <w:rsid w:val="006E7B34"/>
    <w:rsid w:val="006F2B24"/>
    <w:rsid w:val="006F4622"/>
    <w:rsid w:val="006F720B"/>
    <w:rsid w:val="0070697F"/>
    <w:rsid w:val="007103C4"/>
    <w:rsid w:val="00712427"/>
    <w:rsid w:val="00716F47"/>
    <w:rsid w:val="0072199C"/>
    <w:rsid w:val="00722121"/>
    <w:rsid w:val="00722C9F"/>
    <w:rsid w:val="007242DB"/>
    <w:rsid w:val="007253B8"/>
    <w:rsid w:val="00732E5A"/>
    <w:rsid w:val="0073365F"/>
    <w:rsid w:val="0073741F"/>
    <w:rsid w:val="00743B3C"/>
    <w:rsid w:val="00744E71"/>
    <w:rsid w:val="0074600E"/>
    <w:rsid w:val="00753712"/>
    <w:rsid w:val="0075783D"/>
    <w:rsid w:val="00765047"/>
    <w:rsid w:val="0076643F"/>
    <w:rsid w:val="007757F5"/>
    <w:rsid w:val="00777F63"/>
    <w:rsid w:val="007804BA"/>
    <w:rsid w:val="0078101C"/>
    <w:rsid w:val="00783332"/>
    <w:rsid w:val="007843C9"/>
    <w:rsid w:val="007864B3"/>
    <w:rsid w:val="0078753E"/>
    <w:rsid w:val="007908EB"/>
    <w:rsid w:val="007A5817"/>
    <w:rsid w:val="007B05C4"/>
    <w:rsid w:val="007B50E5"/>
    <w:rsid w:val="007B60E9"/>
    <w:rsid w:val="007B6790"/>
    <w:rsid w:val="007B6CC3"/>
    <w:rsid w:val="007B76D3"/>
    <w:rsid w:val="007C269F"/>
    <w:rsid w:val="007C3334"/>
    <w:rsid w:val="007D2B98"/>
    <w:rsid w:val="007E11A4"/>
    <w:rsid w:val="007E21BC"/>
    <w:rsid w:val="007E7C82"/>
    <w:rsid w:val="007F00F4"/>
    <w:rsid w:val="007F04A6"/>
    <w:rsid w:val="007F13EA"/>
    <w:rsid w:val="007F2AA1"/>
    <w:rsid w:val="007F588D"/>
    <w:rsid w:val="00800446"/>
    <w:rsid w:val="008028DA"/>
    <w:rsid w:val="00803F1C"/>
    <w:rsid w:val="0080600E"/>
    <w:rsid w:val="008123DF"/>
    <w:rsid w:val="0081322F"/>
    <w:rsid w:val="00814688"/>
    <w:rsid w:val="00817612"/>
    <w:rsid w:val="00823EE9"/>
    <w:rsid w:val="00832181"/>
    <w:rsid w:val="008337E4"/>
    <w:rsid w:val="008338A4"/>
    <w:rsid w:val="00834D49"/>
    <w:rsid w:val="00836A42"/>
    <w:rsid w:val="00837C45"/>
    <w:rsid w:val="0084115C"/>
    <w:rsid w:val="00844730"/>
    <w:rsid w:val="00845785"/>
    <w:rsid w:val="008457C2"/>
    <w:rsid w:val="008557A4"/>
    <w:rsid w:val="00856ED1"/>
    <w:rsid w:val="00857A82"/>
    <w:rsid w:val="008612F7"/>
    <w:rsid w:val="00863585"/>
    <w:rsid w:val="008707D1"/>
    <w:rsid w:val="00873836"/>
    <w:rsid w:val="00881D55"/>
    <w:rsid w:val="00885737"/>
    <w:rsid w:val="00890083"/>
    <w:rsid w:val="00890650"/>
    <w:rsid w:val="00890D96"/>
    <w:rsid w:val="008942B0"/>
    <w:rsid w:val="008944DC"/>
    <w:rsid w:val="00895E3D"/>
    <w:rsid w:val="00897E12"/>
    <w:rsid w:val="008A1E90"/>
    <w:rsid w:val="008A2649"/>
    <w:rsid w:val="008A6400"/>
    <w:rsid w:val="008A7E0F"/>
    <w:rsid w:val="008B12F5"/>
    <w:rsid w:val="008B342A"/>
    <w:rsid w:val="008B4EB0"/>
    <w:rsid w:val="008B6EF7"/>
    <w:rsid w:val="008C44CB"/>
    <w:rsid w:val="008C5E2D"/>
    <w:rsid w:val="008D1104"/>
    <w:rsid w:val="008D4680"/>
    <w:rsid w:val="008D7243"/>
    <w:rsid w:val="008D768D"/>
    <w:rsid w:val="008E3759"/>
    <w:rsid w:val="008E3BFE"/>
    <w:rsid w:val="008F1912"/>
    <w:rsid w:val="0090270B"/>
    <w:rsid w:val="00903138"/>
    <w:rsid w:val="009039B8"/>
    <w:rsid w:val="009041DC"/>
    <w:rsid w:val="0090606B"/>
    <w:rsid w:val="00917AF2"/>
    <w:rsid w:val="00917B5A"/>
    <w:rsid w:val="00920A58"/>
    <w:rsid w:val="00920A8C"/>
    <w:rsid w:val="009234CC"/>
    <w:rsid w:val="00924DF2"/>
    <w:rsid w:val="00927B68"/>
    <w:rsid w:val="0093114B"/>
    <w:rsid w:val="00934A2C"/>
    <w:rsid w:val="00940F3D"/>
    <w:rsid w:val="00941694"/>
    <w:rsid w:val="00952475"/>
    <w:rsid w:val="00955976"/>
    <w:rsid w:val="009565FB"/>
    <w:rsid w:val="00956DE5"/>
    <w:rsid w:val="00965DF1"/>
    <w:rsid w:val="0096706E"/>
    <w:rsid w:val="00973CA4"/>
    <w:rsid w:val="00974491"/>
    <w:rsid w:val="00974930"/>
    <w:rsid w:val="00975C4E"/>
    <w:rsid w:val="00981FBA"/>
    <w:rsid w:val="00984222"/>
    <w:rsid w:val="00985AD4"/>
    <w:rsid w:val="0099328A"/>
    <w:rsid w:val="00994934"/>
    <w:rsid w:val="00997BC5"/>
    <w:rsid w:val="009A3B2F"/>
    <w:rsid w:val="009A4B55"/>
    <w:rsid w:val="009A4F41"/>
    <w:rsid w:val="009A56CE"/>
    <w:rsid w:val="009B381B"/>
    <w:rsid w:val="009B416C"/>
    <w:rsid w:val="009B7C49"/>
    <w:rsid w:val="009C17E7"/>
    <w:rsid w:val="009C7CCE"/>
    <w:rsid w:val="009D1753"/>
    <w:rsid w:val="009D7611"/>
    <w:rsid w:val="009E0B61"/>
    <w:rsid w:val="009E4040"/>
    <w:rsid w:val="009E53DE"/>
    <w:rsid w:val="009F440E"/>
    <w:rsid w:val="00A00668"/>
    <w:rsid w:val="00A032F8"/>
    <w:rsid w:val="00A106CF"/>
    <w:rsid w:val="00A11212"/>
    <w:rsid w:val="00A11E44"/>
    <w:rsid w:val="00A1265A"/>
    <w:rsid w:val="00A14B6A"/>
    <w:rsid w:val="00A15562"/>
    <w:rsid w:val="00A168EF"/>
    <w:rsid w:val="00A16DCC"/>
    <w:rsid w:val="00A30100"/>
    <w:rsid w:val="00A328B3"/>
    <w:rsid w:val="00A40DAE"/>
    <w:rsid w:val="00A435F0"/>
    <w:rsid w:val="00A458BF"/>
    <w:rsid w:val="00A50FCF"/>
    <w:rsid w:val="00A528D1"/>
    <w:rsid w:val="00A5348D"/>
    <w:rsid w:val="00A54670"/>
    <w:rsid w:val="00A5606E"/>
    <w:rsid w:val="00A610CD"/>
    <w:rsid w:val="00A67289"/>
    <w:rsid w:val="00A70950"/>
    <w:rsid w:val="00A70DD5"/>
    <w:rsid w:val="00A716E7"/>
    <w:rsid w:val="00A72FF8"/>
    <w:rsid w:val="00A758AA"/>
    <w:rsid w:val="00A82543"/>
    <w:rsid w:val="00A82735"/>
    <w:rsid w:val="00A862DF"/>
    <w:rsid w:val="00AA09A2"/>
    <w:rsid w:val="00AA2F99"/>
    <w:rsid w:val="00AA305F"/>
    <w:rsid w:val="00AA6C61"/>
    <w:rsid w:val="00AA7996"/>
    <w:rsid w:val="00AB0063"/>
    <w:rsid w:val="00AB79FD"/>
    <w:rsid w:val="00AC19CB"/>
    <w:rsid w:val="00AC6DB2"/>
    <w:rsid w:val="00AC724A"/>
    <w:rsid w:val="00AE0DAA"/>
    <w:rsid w:val="00AE5488"/>
    <w:rsid w:val="00AE6F91"/>
    <w:rsid w:val="00AE7520"/>
    <w:rsid w:val="00AF44D6"/>
    <w:rsid w:val="00AF5571"/>
    <w:rsid w:val="00B04818"/>
    <w:rsid w:val="00B07341"/>
    <w:rsid w:val="00B156CE"/>
    <w:rsid w:val="00B23C6A"/>
    <w:rsid w:val="00B25C58"/>
    <w:rsid w:val="00B26EA8"/>
    <w:rsid w:val="00B30539"/>
    <w:rsid w:val="00B314DB"/>
    <w:rsid w:val="00B361F2"/>
    <w:rsid w:val="00B3718B"/>
    <w:rsid w:val="00B3745F"/>
    <w:rsid w:val="00B379B1"/>
    <w:rsid w:val="00B45D39"/>
    <w:rsid w:val="00B4632A"/>
    <w:rsid w:val="00B519D8"/>
    <w:rsid w:val="00B51F87"/>
    <w:rsid w:val="00B52ACC"/>
    <w:rsid w:val="00B530F1"/>
    <w:rsid w:val="00B53FD6"/>
    <w:rsid w:val="00B607DE"/>
    <w:rsid w:val="00B760C5"/>
    <w:rsid w:val="00B76DF0"/>
    <w:rsid w:val="00B808AC"/>
    <w:rsid w:val="00B80F22"/>
    <w:rsid w:val="00B81EBD"/>
    <w:rsid w:val="00B8570E"/>
    <w:rsid w:val="00B93D7F"/>
    <w:rsid w:val="00BA19F9"/>
    <w:rsid w:val="00BA276C"/>
    <w:rsid w:val="00BB019D"/>
    <w:rsid w:val="00BB2E88"/>
    <w:rsid w:val="00BB306F"/>
    <w:rsid w:val="00BB6518"/>
    <w:rsid w:val="00BB6B88"/>
    <w:rsid w:val="00BC08FB"/>
    <w:rsid w:val="00BC20B8"/>
    <w:rsid w:val="00BD0FF5"/>
    <w:rsid w:val="00BD4B89"/>
    <w:rsid w:val="00BD5922"/>
    <w:rsid w:val="00BD7EBB"/>
    <w:rsid w:val="00BE61C9"/>
    <w:rsid w:val="00BF02CB"/>
    <w:rsid w:val="00BF6FD8"/>
    <w:rsid w:val="00C01E9D"/>
    <w:rsid w:val="00C033F5"/>
    <w:rsid w:val="00C03680"/>
    <w:rsid w:val="00C054DF"/>
    <w:rsid w:val="00C05905"/>
    <w:rsid w:val="00C124B3"/>
    <w:rsid w:val="00C21762"/>
    <w:rsid w:val="00C21FEF"/>
    <w:rsid w:val="00C22AD0"/>
    <w:rsid w:val="00C239E8"/>
    <w:rsid w:val="00C23BA4"/>
    <w:rsid w:val="00C24543"/>
    <w:rsid w:val="00C256A2"/>
    <w:rsid w:val="00C25ADB"/>
    <w:rsid w:val="00C2771A"/>
    <w:rsid w:val="00C31183"/>
    <w:rsid w:val="00C314A1"/>
    <w:rsid w:val="00C31990"/>
    <w:rsid w:val="00C32EF9"/>
    <w:rsid w:val="00C42413"/>
    <w:rsid w:val="00C444B2"/>
    <w:rsid w:val="00C4478E"/>
    <w:rsid w:val="00C457F1"/>
    <w:rsid w:val="00C46B95"/>
    <w:rsid w:val="00C51515"/>
    <w:rsid w:val="00C5660B"/>
    <w:rsid w:val="00C576F7"/>
    <w:rsid w:val="00C60146"/>
    <w:rsid w:val="00C60A30"/>
    <w:rsid w:val="00C6113A"/>
    <w:rsid w:val="00C64604"/>
    <w:rsid w:val="00C66B72"/>
    <w:rsid w:val="00C71DA4"/>
    <w:rsid w:val="00C722F9"/>
    <w:rsid w:val="00C87AC4"/>
    <w:rsid w:val="00C94A5F"/>
    <w:rsid w:val="00C9567A"/>
    <w:rsid w:val="00C95DEA"/>
    <w:rsid w:val="00CB212D"/>
    <w:rsid w:val="00CB2660"/>
    <w:rsid w:val="00CB6A8F"/>
    <w:rsid w:val="00CC45F9"/>
    <w:rsid w:val="00CC5E90"/>
    <w:rsid w:val="00CC6792"/>
    <w:rsid w:val="00CD046C"/>
    <w:rsid w:val="00CD10D2"/>
    <w:rsid w:val="00CD22FB"/>
    <w:rsid w:val="00CD5768"/>
    <w:rsid w:val="00CD6FE3"/>
    <w:rsid w:val="00CE076C"/>
    <w:rsid w:val="00CE5199"/>
    <w:rsid w:val="00CE66D5"/>
    <w:rsid w:val="00CE6B8F"/>
    <w:rsid w:val="00CE7060"/>
    <w:rsid w:val="00CF368C"/>
    <w:rsid w:val="00CF637A"/>
    <w:rsid w:val="00D00AA6"/>
    <w:rsid w:val="00D059DE"/>
    <w:rsid w:val="00D05ABD"/>
    <w:rsid w:val="00D11862"/>
    <w:rsid w:val="00D11A52"/>
    <w:rsid w:val="00D12B83"/>
    <w:rsid w:val="00D13FCE"/>
    <w:rsid w:val="00D175EB"/>
    <w:rsid w:val="00D241DC"/>
    <w:rsid w:val="00D279C2"/>
    <w:rsid w:val="00D306D1"/>
    <w:rsid w:val="00D30800"/>
    <w:rsid w:val="00D34786"/>
    <w:rsid w:val="00D37BFC"/>
    <w:rsid w:val="00D445D2"/>
    <w:rsid w:val="00D46531"/>
    <w:rsid w:val="00D47A8E"/>
    <w:rsid w:val="00D51C75"/>
    <w:rsid w:val="00D52D14"/>
    <w:rsid w:val="00D61E70"/>
    <w:rsid w:val="00D62781"/>
    <w:rsid w:val="00D63C11"/>
    <w:rsid w:val="00D712D3"/>
    <w:rsid w:val="00D71422"/>
    <w:rsid w:val="00D72DC6"/>
    <w:rsid w:val="00D72F9E"/>
    <w:rsid w:val="00D7558D"/>
    <w:rsid w:val="00D81D92"/>
    <w:rsid w:val="00D82BDC"/>
    <w:rsid w:val="00D876F9"/>
    <w:rsid w:val="00D9209E"/>
    <w:rsid w:val="00D92F0F"/>
    <w:rsid w:val="00DA11F1"/>
    <w:rsid w:val="00DA7B5F"/>
    <w:rsid w:val="00DB382E"/>
    <w:rsid w:val="00DB4F24"/>
    <w:rsid w:val="00DC11E7"/>
    <w:rsid w:val="00DC24E3"/>
    <w:rsid w:val="00DC7023"/>
    <w:rsid w:val="00DC769A"/>
    <w:rsid w:val="00DD3D86"/>
    <w:rsid w:val="00DD4AD2"/>
    <w:rsid w:val="00DE2862"/>
    <w:rsid w:val="00DE3724"/>
    <w:rsid w:val="00DE5270"/>
    <w:rsid w:val="00DE5F1C"/>
    <w:rsid w:val="00DF1EC4"/>
    <w:rsid w:val="00DF3553"/>
    <w:rsid w:val="00DF4CC5"/>
    <w:rsid w:val="00DF763C"/>
    <w:rsid w:val="00E0340B"/>
    <w:rsid w:val="00E04A90"/>
    <w:rsid w:val="00E0551F"/>
    <w:rsid w:val="00E070D3"/>
    <w:rsid w:val="00E219C7"/>
    <w:rsid w:val="00E33312"/>
    <w:rsid w:val="00E4118C"/>
    <w:rsid w:val="00E42175"/>
    <w:rsid w:val="00E43157"/>
    <w:rsid w:val="00E44842"/>
    <w:rsid w:val="00E461CE"/>
    <w:rsid w:val="00E573E4"/>
    <w:rsid w:val="00E60420"/>
    <w:rsid w:val="00E61B2C"/>
    <w:rsid w:val="00E64BE1"/>
    <w:rsid w:val="00E64C3D"/>
    <w:rsid w:val="00E720CA"/>
    <w:rsid w:val="00E754E3"/>
    <w:rsid w:val="00E84EB5"/>
    <w:rsid w:val="00E85195"/>
    <w:rsid w:val="00E85588"/>
    <w:rsid w:val="00E85662"/>
    <w:rsid w:val="00E85D83"/>
    <w:rsid w:val="00E8789F"/>
    <w:rsid w:val="00E9392E"/>
    <w:rsid w:val="00E96CB6"/>
    <w:rsid w:val="00E97B71"/>
    <w:rsid w:val="00EA3D34"/>
    <w:rsid w:val="00EB454D"/>
    <w:rsid w:val="00EB7B6A"/>
    <w:rsid w:val="00EC5A7A"/>
    <w:rsid w:val="00ED549D"/>
    <w:rsid w:val="00ED5E10"/>
    <w:rsid w:val="00ED76BE"/>
    <w:rsid w:val="00EE00E9"/>
    <w:rsid w:val="00EE14DA"/>
    <w:rsid w:val="00EE5F9D"/>
    <w:rsid w:val="00EF1AAA"/>
    <w:rsid w:val="00EF619B"/>
    <w:rsid w:val="00F00896"/>
    <w:rsid w:val="00F00B55"/>
    <w:rsid w:val="00F02AD1"/>
    <w:rsid w:val="00F04BB7"/>
    <w:rsid w:val="00F253CC"/>
    <w:rsid w:val="00F318C7"/>
    <w:rsid w:val="00F37106"/>
    <w:rsid w:val="00F44E25"/>
    <w:rsid w:val="00F519CF"/>
    <w:rsid w:val="00F56BA5"/>
    <w:rsid w:val="00F56ECB"/>
    <w:rsid w:val="00F60E22"/>
    <w:rsid w:val="00F6578A"/>
    <w:rsid w:val="00F724BA"/>
    <w:rsid w:val="00F73D62"/>
    <w:rsid w:val="00F74673"/>
    <w:rsid w:val="00F81395"/>
    <w:rsid w:val="00F81BB8"/>
    <w:rsid w:val="00F842A1"/>
    <w:rsid w:val="00F90C64"/>
    <w:rsid w:val="00F917D1"/>
    <w:rsid w:val="00F93543"/>
    <w:rsid w:val="00F9653B"/>
    <w:rsid w:val="00FA530E"/>
    <w:rsid w:val="00FB62CF"/>
    <w:rsid w:val="00FC3E56"/>
    <w:rsid w:val="00FD3C3B"/>
    <w:rsid w:val="00FD71AA"/>
    <w:rsid w:val="00FE057E"/>
    <w:rsid w:val="00FE07DD"/>
    <w:rsid w:val="00FE145F"/>
    <w:rsid w:val="00FE25C7"/>
    <w:rsid w:val="00FE33B4"/>
    <w:rsid w:val="00FE6B45"/>
    <w:rsid w:val="00FF55F3"/>
    <w:rsid w:val="00FF5851"/>
    <w:rsid w:val="00FF65B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42687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1B61"/>
    <w:rsid w:val="00200821"/>
    <w:rsid w:val="00203A18"/>
    <w:rsid w:val="0022265F"/>
    <w:rsid w:val="0025245B"/>
    <w:rsid w:val="002A3923"/>
    <w:rsid w:val="002C424D"/>
    <w:rsid w:val="00394049"/>
    <w:rsid w:val="003B0C71"/>
    <w:rsid w:val="004B5BBB"/>
    <w:rsid w:val="004F2DF8"/>
    <w:rsid w:val="00517E2A"/>
    <w:rsid w:val="006D3128"/>
    <w:rsid w:val="006F24A1"/>
    <w:rsid w:val="00875B8A"/>
    <w:rsid w:val="008953BC"/>
    <w:rsid w:val="00944013"/>
    <w:rsid w:val="009A261B"/>
    <w:rsid w:val="00AA2E17"/>
    <w:rsid w:val="00AC15A4"/>
    <w:rsid w:val="00B0336C"/>
    <w:rsid w:val="00B754DD"/>
    <w:rsid w:val="00D241E9"/>
    <w:rsid w:val="00D7750D"/>
    <w:rsid w:val="00ED2827"/>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2821</Words>
  <Characters>16082</Characters>
  <Application>Microsoft Office Word</Application>
  <DocSecurity>0</DocSecurity>
  <Lines>134</Lines>
  <Paragraphs>37</Paragraphs>
  <ScaleCrop>false</ScaleCrop>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2022-11-14T13:47:00Z</dcterms:created>
  <dcterms:modified xsi:type="dcterms:W3CDTF">2022-11-14T13:47:00Z</dcterms:modified>
</cp:coreProperties>
</file>