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6269" w14:textId="33F86302" w:rsidR="000673D0" w:rsidRPr="0090270B" w:rsidRDefault="000673D0" w:rsidP="000673D0">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F6DF1"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511EBB" w:rsidRDefault="00511EBB"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A26BCBE" w14:textId="77777777" w:rsidR="00511EBB" w:rsidRDefault="00511EBB"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643535">
        <w:rPr>
          <w:rFonts w:asciiTheme="majorHAnsi" w:hAnsiTheme="majorHAnsi" w:cs="Univers"/>
          <w:b/>
          <w:bCs/>
          <w:sz w:val="22"/>
          <w:szCs w:val="22"/>
          <w:lang w:val="es-ES_tradnl"/>
        </w:rPr>
        <w:t xml:space="preserve"> </w:t>
      </w:r>
      <w:r>
        <w:rPr>
          <w:rFonts w:asciiTheme="majorHAnsi" w:hAnsiTheme="majorHAnsi" w:cs="Univers"/>
          <w:b/>
          <w:bCs/>
          <w:sz w:val="22"/>
          <w:szCs w:val="22"/>
          <w:lang w:val="es-ES_tradnl"/>
        </w:rPr>
        <w:t xml:space="preserve"> </w:t>
      </w:r>
    </w:p>
    <w:p w14:paraId="397534B4"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6073C012"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539C54D8" w14:textId="77777777" w:rsidR="000673D0" w:rsidRPr="0090270B" w:rsidRDefault="000673D0" w:rsidP="000673D0">
      <w:pPr>
        <w:tabs>
          <w:tab w:val="center" w:pos="5400"/>
        </w:tabs>
        <w:suppressAutoHyphens/>
        <w:rPr>
          <w:rFonts w:asciiTheme="majorHAnsi" w:hAnsiTheme="majorHAnsi"/>
          <w:sz w:val="22"/>
          <w:szCs w:val="22"/>
          <w:lang w:val="es-ES_tradnl"/>
        </w:rPr>
      </w:pPr>
    </w:p>
    <w:p w14:paraId="2F6FC84C" w14:textId="77777777" w:rsidR="000673D0" w:rsidRPr="0090270B" w:rsidRDefault="000673D0" w:rsidP="000673D0">
      <w:pPr>
        <w:tabs>
          <w:tab w:val="center" w:pos="5400"/>
        </w:tabs>
        <w:suppressAutoHyphens/>
        <w:rPr>
          <w:rFonts w:asciiTheme="majorHAnsi" w:hAnsiTheme="majorHAnsi"/>
          <w:sz w:val="22"/>
          <w:szCs w:val="22"/>
          <w:lang w:val="es-ES_tradnl"/>
        </w:rPr>
      </w:pPr>
    </w:p>
    <w:p w14:paraId="6E63DFAD" w14:textId="77777777" w:rsidR="000673D0" w:rsidRPr="0090270B" w:rsidRDefault="000673D0" w:rsidP="000673D0">
      <w:pPr>
        <w:tabs>
          <w:tab w:val="center" w:pos="5400"/>
        </w:tabs>
        <w:suppressAutoHyphens/>
        <w:rPr>
          <w:rFonts w:asciiTheme="majorHAnsi" w:hAnsiTheme="majorHAnsi"/>
          <w:sz w:val="22"/>
          <w:szCs w:val="22"/>
          <w:lang w:val="es-ES_tradnl"/>
        </w:rPr>
      </w:pPr>
    </w:p>
    <w:p w14:paraId="0888E86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748C1A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D3A4F1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0F9891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00C04E0"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823EBF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51FBCA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D95BB77"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6683F5A4" wp14:editId="6F7391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0532B" w14:textId="733E4EEC" w:rsidR="00511EBB" w:rsidRPr="004E2649" w:rsidRDefault="00511EBB"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480CB7">
                              <w:rPr>
                                <w:rFonts w:asciiTheme="majorHAnsi" w:hAnsiTheme="majorHAnsi" w:cs="Arial"/>
                                <w:b/>
                                <w:bCs/>
                                <w:color w:val="0D0D0D" w:themeColor="text1" w:themeTint="F2"/>
                                <w:sz w:val="36"/>
                                <w:szCs w:val="22"/>
                                <w:lang w:val="es-ES_tradnl"/>
                              </w:rPr>
                              <w:t>163</w:t>
                            </w:r>
                            <w:r>
                              <w:rPr>
                                <w:rFonts w:asciiTheme="majorHAnsi" w:hAnsiTheme="majorHAnsi" w:cs="Arial"/>
                                <w:b/>
                                <w:bCs/>
                                <w:color w:val="0D0D0D" w:themeColor="text1" w:themeTint="F2"/>
                                <w:sz w:val="36"/>
                                <w:szCs w:val="22"/>
                                <w:lang w:val="es-ES_tradnl"/>
                              </w:rPr>
                              <w:t>/2</w:t>
                            </w:r>
                            <w:r w:rsidR="009B42B5">
                              <w:rPr>
                                <w:rFonts w:asciiTheme="majorHAnsi" w:hAnsiTheme="majorHAnsi" w:cs="Arial"/>
                                <w:b/>
                                <w:bCs/>
                                <w:color w:val="0D0D0D" w:themeColor="text1" w:themeTint="F2"/>
                                <w:sz w:val="36"/>
                                <w:szCs w:val="22"/>
                                <w:lang w:val="es-ES_tradnl"/>
                              </w:rPr>
                              <w:t>2</w:t>
                            </w:r>
                          </w:p>
                          <w:p w14:paraId="5626D0A4" w14:textId="0A28B8C4"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0B0C0F">
                              <w:rPr>
                                <w:rFonts w:ascii="Cambria" w:hAnsi="Cambria" w:cs="Arial"/>
                                <w:b/>
                                <w:color w:val="0D0D0D"/>
                                <w:sz w:val="36"/>
                                <w:szCs w:val="22"/>
                                <w:lang w:val="es-ES_tradnl"/>
                              </w:rPr>
                              <w:t>397</w:t>
                            </w:r>
                            <w:r w:rsidR="00A33348">
                              <w:rPr>
                                <w:rFonts w:ascii="Cambria" w:hAnsi="Cambria" w:cs="Arial"/>
                                <w:b/>
                                <w:color w:val="0D0D0D"/>
                                <w:sz w:val="36"/>
                                <w:szCs w:val="22"/>
                                <w:lang w:val="es-ES_tradnl"/>
                              </w:rPr>
                              <w:t>-1</w:t>
                            </w:r>
                            <w:r w:rsidR="000B0C0F">
                              <w:rPr>
                                <w:rFonts w:ascii="Cambria" w:hAnsi="Cambria" w:cs="Arial"/>
                                <w:b/>
                                <w:color w:val="0D0D0D"/>
                                <w:sz w:val="36"/>
                                <w:szCs w:val="22"/>
                                <w:lang w:val="es-ES_tradnl"/>
                              </w:rPr>
                              <w:t>3</w:t>
                            </w:r>
                            <w:r>
                              <w:rPr>
                                <w:rFonts w:ascii="Cambria" w:hAnsi="Cambria" w:cs="Arial"/>
                                <w:b/>
                                <w:color w:val="0D0D0D"/>
                                <w:sz w:val="36"/>
                                <w:szCs w:val="22"/>
                                <w:lang w:val="es-ES_tradnl"/>
                              </w:rPr>
                              <w:tab/>
                            </w:r>
                          </w:p>
                          <w:p w14:paraId="2A1EFAA5" w14:textId="55946DDA"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01826855" w14:textId="77777777"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p w14:paraId="02E936EF" w14:textId="7A0AC8B9" w:rsidR="00511EBB" w:rsidRPr="00B46622" w:rsidRDefault="000B0C0F"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JORGE TADEO MAYO CASTRO</w:t>
                            </w:r>
                          </w:p>
                          <w:bookmarkEnd w:id="0"/>
                          <w:p w14:paraId="6D9AEAC1" w14:textId="3DAE6A9E" w:rsidR="00511EBB" w:rsidRPr="00AE5488" w:rsidRDefault="00B149FF" w:rsidP="000673D0">
                            <w:pPr>
                              <w:rPr>
                                <w:color w:val="0D0D0D" w:themeColor="text1" w:themeTint="F2"/>
                                <w:lang w:val="es-ES_tradnl"/>
                              </w:rPr>
                            </w:pPr>
                            <w:r>
                              <w:rPr>
                                <w:rFonts w:ascii="Cambria" w:hAnsi="Cambria" w:cs="Arial"/>
                                <w:color w:val="0D0D0D"/>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3F5A4"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6250532B" w14:textId="733E4EEC" w:rsidR="00511EBB" w:rsidRPr="004E2649" w:rsidRDefault="00511EBB"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480CB7">
                        <w:rPr>
                          <w:rFonts w:asciiTheme="majorHAnsi" w:hAnsiTheme="majorHAnsi" w:cs="Arial"/>
                          <w:b/>
                          <w:bCs/>
                          <w:color w:val="0D0D0D" w:themeColor="text1" w:themeTint="F2"/>
                          <w:sz w:val="36"/>
                          <w:szCs w:val="22"/>
                          <w:lang w:val="es-ES_tradnl"/>
                        </w:rPr>
                        <w:t>163</w:t>
                      </w:r>
                      <w:r>
                        <w:rPr>
                          <w:rFonts w:asciiTheme="majorHAnsi" w:hAnsiTheme="majorHAnsi" w:cs="Arial"/>
                          <w:b/>
                          <w:bCs/>
                          <w:color w:val="0D0D0D" w:themeColor="text1" w:themeTint="F2"/>
                          <w:sz w:val="36"/>
                          <w:szCs w:val="22"/>
                          <w:lang w:val="es-ES_tradnl"/>
                        </w:rPr>
                        <w:t>/2</w:t>
                      </w:r>
                      <w:r w:rsidR="009B42B5">
                        <w:rPr>
                          <w:rFonts w:asciiTheme="majorHAnsi" w:hAnsiTheme="majorHAnsi" w:cs="Arial"/>
                          <w:b/>
                          <w:bCs/>
                          <w:color w:val="0D0D0D" w:themeColor="text1" w:themeTint="F2"/>
                          <w:sz w:val="36"/>
                          <w:szCs w:val="22"/>
                          <w:lang w:val="es-ES_tradnl"/>
                        </w:rPr>
                        <w:t>2</w:t>
                      </w:r>
                    </w:p>
                    <w:p w14:paraId="5626D0A4" w14:textId="0A28B8C4"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0B0C0F">
                        <w:rPr>
                          <w:rFonts w:ascii="Cambria" w:hAnsi="Cambria" w:cs="Arial"/>
                          <w:b/>
                          <w:color w:val="0D0D0D"/>
                          <w:sz w:val="36"/>
                          <w:szCs w:val="22"/>
                          <w:lang w:val="es-ES_tradnl"/>
                        </w:rPr>
                        <w:t>397</w:t>
                      </w:r>
                      <w:r w:rsidR="00A33348">
                        <w:rPr>
                          <w:rFonts w:ascii="Cambria" w:hAnsi="Cambria" w:cs="Arial"/>
                          <w:b/>
                          <w:color w:val="0D0D0D"/>
                          <w:sz w:val="36"/>
                          <w:szCs w:val="22"/>
                          <w:lang w:val="es-ES_tradnl"/>
                        </w:rPr>
                        <w:t>-1</w:t>
                      </w:r>
                      <w:r w:rsidR="000B0C0F">
                        <w:rPr>
                          <w:rFonts w:ascii="Cambria" w:hAnsi="Cambria" w:cs="Arial"/>
                          <w:b/>
                          <w:color w:val="0D0D0D"/>
                          <w:sz w:val="36"/>
                          <w:szCs w:val="22"/>
                          <w:lang w:val="es-ES_tradnl"/>
                        </w:rPr>
                        <w:t>3</w:t>
                      </w:r>
                      <w:r>
                        <w:rPr>
                          <w:rFonts w:ascii="Cambria" w:hAnsi="Cambria" w:cs="Arial"/>
                          <w:b/>
                          <w:color w:val="0D0D0D"/>
                          <w:sz w:val="36"/>
                          <w:szCs w:val="22"/>
                          <w:lang w:val="es-ES_tradnl"/>
                        </w:rPr>
                        <w:tab/>
                      </w:r>
                    </w:p>
                    <w:p w14:paraId="2A1EFAA5" w14:textId="55946DDA"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01826855" w14:textId="77777777"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14:paraId="02E936EF" w14:textId="7A0AC8B9" w:rsidR="00511EBB" w:rsidRPr="00B46622" w:rsidRDefault="000B0C0F"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JORGE TADEO MAYO CASTRO</w:t>
                      </w:r>
                    </w:p>
                    <w:bookmarkEnd w:id="1"/>
                    <w:p w14:paraId="6D9AEAC1" w14:textId="3DAE6A9E" w:rsidR="00511EBB" w:rsidRPr="00AE5488" w:rsidRDefault="00B149FF" w:rsidP="000673D0">
                      <w:pPr>
                        <w:rPr>
                          <w:color w:val="0D0D0D" w:themeColor="text1" w:themeTint="F2"/>
                          <w:lang w:val="es-ES_tradnl"/>
                        </w:rPr>
                      </w:pPr>
                      <w:r>
                        <w:rPr>
                          <w:rFonts w:ascii="Cambria" w:hAnsi="Cambria" w:cs="Arial"/>
                          <w:color w:val="0D0D0D"/>
                          <w:szCs w:val="22"/>
                          <w:lang w:val="es-ES_tradnl"/>
                        </w:rPr>
                        <w:t>COLOMBIA</w:t>
                      </w:r>
                    </w:p>
                  </w:txbxContent>
                </v:textbox>
              </v:shape>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101F1ADB" w:rsidR="00511EBB" w:rsidRPr="007735A3" w:rsidRDefault="00511EBB" w:rsidP="000673D0">
                            <w:pPr>
                              <w:spacing w:line="276" w:lineRule="auto"/>
                              <w:jc w:val="right"/>
                              <w:rPr>
                                <w:rFonts w:asciiTheme="minorHAnsi" w:hAnsiTheme="minorHAnsi"/>
                                <w:color w:val="FFFFFF" w:themeColor="background1"/>
                                <w:sz w:val="22"/>
                                <w:lang w:val="es-AR"/>
                              </w:rPr>
                            </w:pPr>
                            <w:r w:rsidRPr="007735A3">
                              <w:rPr>
                                <w:rFonts w:asciiTheme="minorHAnsi" w:hAnsiTheme="minorHAnsi"/>
                                <w:color w:val="FFFFFF" w:themeColor="background1"/>
                                <w:sz w:val="22"/>
                                <w:lang w:val="es-AR"/>
                              </w:rPr>
                              <w:t>OEA/Ser.L/V/II</w:t>
                            </w:r>
                          </w:p>
                          <w:p w14:paraId="3449BBFC" w14:textId="60C7F996" w:rsidR="00511EBB" w:rsidRPr="007735A3" w:rsidRDefault="00511EBB" w:rsidP="000673D0">
                            <w:pPr>
                              <w:spacing w:line="276" w:lineRule="auto"/>
                              <w:jc w:val="right"/>
                              <w:rPr>
                                <w:rFonts w:asciiTheme="minorHAnsi" w:hAnsiTheme="minorHAnsi"/>
                                <w:color w:val="FFFFFF" w:themeColor="background1"/>
                                <w:sz w:val="22"/>
                                <w:lang w:val="es-AR"/>
                              </w:rPr>
                            </w:pPr>
                            <w:r w:rsidRPr="007735A3">
                              <w:rPr>
                                <w:rFonts w:asciiTheme="minorHAnsi" w:hAnsiTheme="minorHAnsi"/>
                                <w:color w:val="FFFFFF" w:themeColor="background1"/>
                                <w:sz w:val="22"/>
                                <w:lang w:val="es-AR"/>
                              </w:rPr>
                              <w:t xml:space="preserve">Doc. </w:t>
                            </w:r>
                            <w:r w:rsidR="00431485" w:rsidRPr="007735A3">
                              <w:rPr>
                                <w:rFonts w:asciiTheme="minorHAnsi" w:hAnsiTheme="minorHAnsi"/>
                                <w:color w:val="FFFFFF" w:themeColor="background1"/>
                                <w:sz w:val="22"/>
                                <w:lang w:val="es-AR"/>
                              </w:rPr>
                              <w:t>166</w:t>
                            </w:r>
                          </w:p>
                          <w:p w14:paraId="0BBD91A2" w14:textId="13DFF208" w:rsidR="00511EBB" w:rsidRPr="00C25ADB" w:rsidRDefault="00431485"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 julio</w:t>
                            </w:r>
                            <w:r w:rsidR="00511EBB" w:rsidRPr="00C25ADB">
                              <w:rPr>
                                <w:rFonts w:asciiTheme="minorHAnsi" w:hAnsiTheme="minorHAnsi"/>
                                <w:color w:val="FFFFFF" w:themeColor="background1"/>
                                <w:sz w:val="22"/>
                                <w:lang w:val="es-PA"/>
                              </w:rPr>
                              <w:t xml:space="preserve"> 202</w:t>
                            </w:r>
                            <w:r w:rsidR="009B42B5">
                              <w:rPr>
                                <w:rFonts w:asciiTheme="minorHAnsi" w:hAnsiTheme="minorHAnsi"/>
                                <w:color w:val="FFFFFF" w:themeColor="background1"/>
                                <w:sz w:val="22"/>
                                <w:lang w:val="es-PA"/>
                              </w:rPr>
                              <w:t>2</w:t>
                            </w:r>
                          </w:p>
                          <w:p w14:paraId="0288BA97" w14:textId="77777777" w:rsidR="00511EBB" w:rsidRPr="00C25ADB" w:rsidRDefault="00511EBB"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E3426"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B2CE493" w14:textId="101F1ADB" w:rsidR="00511EBB" w:rsidRPr="007735A3" w:rsidRDefault="00511EBB" w:rsidP="000673D0">
                      <w:pPr>
                        <w:spacing w:line="276" w:lineRule="auto"/>
                        <w:jc w:val="right"/>
                        <w:rPr>
                          <w:rFonts w:asciiTheme="minorHAnsi" w:hAnsiTheme="minorHAnsi"/>
                          <w:color w:val="FFFFFF" w:themeColor="background1"/>
                          <w:sz w:val="22"/>
                          <w:lang w:val="es-AR"/>
                        </w:rPr>
                      </w:pPr>
                      <w:r w:rsidRPr="007735A3">
                        <w:rPr>
                          <w:rFonts w:asciiTheme="minorHAnsi" w:hAnsiTheme="minorHAnsi"/>
                          <w:color w:val="FFFFFF" w:themeColor="background1"/>
                          <w:sz w:val="22"/>
                          <w:lang w:val="es-AR"/>
                        </w:rPr>
                        <w:t>OEA/Ser.L/V/II</w:t>
                      </w:r>
                    </w:p>
                    <w:p w14:paraId="3449BBFC" w14:textId="60C7F996" w:rsidR="00511EBB" w:rsidRPr="007735A3" w:rsidRDefault="00511EBB" w:rsidP="000673D0">
                      <w:pPr>
                        <w:spacing w:line="276" w:lineRule="auto"/>
                        <w:jc w:val="right"/>
                        <w:rPr>
                          <w:rFonts w:asciiTheme="minorHAnsi" w:hAnsiTheme="minorHAnsi"/>
                          <w:color w:val="FFFFFF" w:themeColor="background1"/>
                          <w:sz w:val="22"/>
                          <w:lang w:val="es-AR"/>
                        </w:rPr>
                      </w:pPr>
                      <w:r w:rsidRPr="007735A3">
                        <w:rPr>
                          <w:rFonts w:asciiTheme="minorHAnsi" w:hAnsiTheme="minorHAnsi"/>
                          <w:color w:val="FFFFFF" w:themeColor="background1"/>
                          <w:sz w:val="22"/>
                          <w:lang w:val="es-AR"/>
                        </w:rPr>
                        <w:t xml:space="preserve">Doc. </w:t>
                      </w:r>
                      <w:r w:rsidR="00431485" w:rsidRPr="007735A3">
                        <w:rPr>
                          <w:rFonts w:asciiTheme="minorHAnsi" w:hAnsiTheme="minorHAnsi"/>
                          <w:color w:val="FFFFFF" w:themeColor="background1"/>
                          <w:sz w:val="22"/>
                          <w:lang w:val="es-AR"/>
                        </w:rPr>
                        <w:t>166</w:t>
                      </w:r>
                    </w:p>
                    <w:p w14:paraId="0BBD91A2" w14:textId="13DFF208" w:rsidR="00511EBB" w:rsidRPr="00C25ADB" w:rsidRDefault="00431485"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 julio</w:t>
                      </w:r>
                      <w:r w:rsidR="00511EBB" w:rsidRPr="00C25ADB">
                        <w:rPr>
                          <w:rFonts w:asciiTheme="minorHAnsi" w:hAnsiTheme="minorHAnsi"/>
                          <w:color w:val="FFFFFF" w:themeColor="background1"/>
                          <w:sz w:val="22"/>
                          <w:lang w:val="es-PA"/>
                        </w:rPr>
                        <w:t xml:space="preserve"> 202</w:t>
                      </w:r>
                      <w:r w:rsidR="009B42B5">
                        <w:rPr>
                          <w:rFonts w:asciiTheme="minorHAnsi" w:hAnsiTheme="minorHAnsi"/>
                          <w:color w:val="FFFFFF" w:themeColor="background1"/>
                          <w:sz w:val="22"/>
                          <w:lang w:val="es-PA"/>
                        </w:rPr>
                        <w:t>2</w:t>
                      </w:r>
                    </w:p>
                    <w:p w14:paraId="0288BA97" w14:textId="77777777" w:rsidR="00511EBB" w:rsidRPr="00C25ADB" w:rsidRDefault="00511EBB"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59BB07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0CE2CD6" w14:textId="77777777" w:rsidR="000673D0" w:rsidRPr="0090270B" w:rsidRDefault="000673D0" w:rsidP="000673D0">
      <w:pPr>
        <w:tabs>
          <w:tab w:val="center" w:pos="5400"/>
        </w:tabs>
        <w:suppressAutoHyphens/>
        <w:jc w:val="center"/>
        <w:rPr>
          <w:rFonts w:asciiTheme="majorHAnsi" w:hAnsiTheme="majorHAnsi" w:cs="Arial"/>
          <w:sz w:val="22"/>
          <w:szCs w:val="22"/>
          <w:lang w:val="es-ES_tradnl"/>
        </w:rPr>
      </w:pPr>
    </w:p>
    <w:p w14:paraId="709AD286"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E8B552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24E26A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B2E007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ED5356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46F0F55"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3ABF1F8"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66E728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62BE70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D49DBE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58695F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7333B02"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36B8A5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FA680C0"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51A5FD1F"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EC710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74B88FB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6EB44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D06DC3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2B3BDED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2E086F1"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AA5A52A"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FBE1F63"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BC6FEB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26A618"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1BECB0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C1C2A41" wp14:editId="1F8DCC4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53FBA" w14:textId="7C91585B" w:rsidR="00511EBB" w:rsidRPr="00890650" w:rsidRDefault="00511EBB"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831C47">
                              <w:rPr>
                                <w:rFonts w:asciiTheme="majorHAnsi" w:hAnsiTheme="majorHAnsi"/>
                                <w:color w:val="0D0D0D" w:themeColor="text1" w:themeTint="F2"/>
                                <w:sz w:val="18"/>
                                <w:szCs w:val="22"/>
                                <w:lang w:val="es-ES"/>
                              </w:rPr>
                              <w:t>8</w:t>
                            </w:r>
                            <w:r w:rsidRPr="00890650">
                              <w:rPr>
                                <w:rFonts w:asciiTheme="majorHAnsi" w:hAnsiTheme="majorHAnsi"/>
                                <w:color w:val="0D0D0D" w:themeColor="text1" w:themeTint="F2"/>
                                <w:sz w:val="18"/>
                                <w:szCs w:val="22"/>
                                <w:lang w:val="es-ES"/>
                              </w:rPr>
                              <w:t xml:space="preserve"> de </w:t>
                            </w:r>
                            <w:r w:rsidR="00831C47">
                              <w:rPr>
                                <w:rFonts w:asciiTheme="majorHAnsi" w:hAnsiTheme="majorHAnsi"/>
                                <w:color w:val="0D0D0D" w:themeColor="text1" w:themeTint="F2"/>
                                <w:sz w:val="18"/>
                                <w:szCs w:val="22"/>
                                <w:lang w:val="es-ES"/>
                              </w:rPr>
                              <w:t>julio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9B42B5">
                              <w:rPr>
                                <w:rFonts w:asciiTheme="majorHAnsi" w:hAnsiTheme="majorHAnsi"/>
                                <w:color w:val="0D0D0D" w:themeColor="text1" w:themeTint="F2"/>
                                <w:sz w:val="18"/>
                                <w:szCs w:val="22"/>
                                <w:lang w:val="es-ES"/>
                              </w:rPr>
                              <w:t>2</w:t>
                            </w:r>
                          </w:p>
                          <w:p w14:paraId="4F6ABB5B" w14:textId="77777777" w:rsidR="00511EBB" w:rsidRPr="007A5817" w:rsidRDefault="00511EBB"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511EBB" w:rsidRPr="00167A34" w:rsidRDefault="00511EBB" w:rsidP="000673D0">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C2A41"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7053FBA" w14:textId="7C91585B" w:rsidR="00511EBB" w:rsidRPr="00890650" w:rsidRDefault="00511EBB"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831C47">
                        <w:rPr>
                          <w:rFonts w:asciiTheme="majorHAnsi" w:hAnsiTheme="majorHAnsi"/>
                          <w:color w:val="0D0D0D" w:themeColor="text1" w:themeTint="F2"/>
                          <w:sz w:val="18"/>
                          <w:szCs w:val="22"/>
                          <w:lang w:val="es-ES"/>
                        </w:rPr>
                        <w:t>8</w:t>
                      </w:r>
                      <w:r w:rsidRPr="00890650">
                        <w:rPr>
                          <w:rFonts w:asciiTheme="majorHAnsi" w:hAnsiTheme="majorHAnsi"/>
                          <w:color w:val="0D0D0D" w:themeColor="text1" w:themeTint="F2"/>
                          <w:sz w:val="18"/>
                          <w:szCs w:val="22"/>
                          <w:lang w:val="es-ES"/>
                        </w:rPr>
                        <w:t xml:space="preserve"> de </w:t>
                      </w:r>
                      <w:r w:rsidR="00831C47">
                        <w:rPr>
                          <w:rFonts w:asciiTheme="majorHAnsi" w:hAnsiTheme="majorHAnsi"/>
                          <w:color w:val="0D0D0D" w:themeColor="text1" w:themeTint="F2"/>
                          <w:sz w:val="18"/>
                          <w:szCs w:val="22"/>
                          <w:lang w:val="es-ES"/>
                        </w:rPr>
                        <w:t>julio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9B42B5">
                        <w:rPr>
                          <w:rFonts w:asciiTheme="majorHAnsi" w:hAnsiTheme="majorHAnsi"/>
                          <w:color w:val="0D0D0D" w:themeColor="text1" w:themeTint="F2"/>
                          <w:sz w:val="18"/>
                          <w:szCs w:val="22"/>
                          <w:lang w:val="es-ES"/>
                        </w:rPr>
                        <w:t>2</w:t>
                      </w:r>
                    </w:p>
                    <w:p w14:paraId="4F6ABB5B" w14:textId="77777777" w:rsidR="00511EBB" w:rsidRPr="007A5817" w:rsidRDefault="00511EBB"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511EBB" w:rsidRPr="00167A34" w:rsidRDefault="00511EBB" w:rsidP="000673D0">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F806D85"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F638D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CEFA9C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1514C6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6ECD0BB"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1DE21F94" wp14:editId="06E2203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1EBD3A" w14:textId="77777777" w:rsidR="00480CB7" w:rsidRDefault="00511EBB" w:rsidP="000673D0">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31C47" w:rsidRPr="00480CB7">
                              <w:rPr>
                                <w:rFonts w:asciiTheme="majorHAnsi" w:hAnsiTheme="majorHAnsi"/>
                                <w:color w:val="595959" w:themeColor="text1" w:themeTint="A6"/>
                                <w:sz w:val="18"/>
                                <w:szCs w:val="18"/>
                                <w:lang w:val="pt-BR"/>
                              </w:rPr>
                              <w:t>163</w:t>
                            </w:r>
                            <w:r w:rsidRPr="00480CB7">
                              <w:rPr>
                                <w:rFonts w:asciiTheme="majorHAnsi" w:hAnsiTheme="majorHAnsi"/>
                                <w:color w:val="595959" w:themeColor="text1" w:themeTint="A6"/>
                                <w:sz w:val="18"/>
                                <w:szCs w:val="18"/>
                                <w:lang w:val="pt-BR"/>
                              </w:rPr>
                              <w:t>/2</w:t>
                            </w:r>
                            <w:r w:rsidR="009B42B5" w:rsidRPr="00480CB7">
                              <w:rPr>
                                <w:rFonts w:asciiTheme="majorHAnsi" w:hAnsiTheme="majorHAnsi"/>
                                <w:color w:val="595959" w:themeColor="text1" w:themeTint="A6"/>
                                <w:sz w:val="18"/>
                                <w:szCs w:val="18"/>
                                <w:lang w:val="pt-BR"/>
                              </w:rPr>
                              <w:t>2</w:t>
                            </w:r>
                            <w:r w:rsidRPr="00480CB7">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0B0C0F">
                              <w:rPr>
                                <w:rFonts w:asciiTheme="majorHAnsi" w:hAnsiTheme="majorHAnsi"/>
                                <w:color w:val="595959" w:themeColor="text1" w:themeTint="A6"/>
                                <w:sz w:val="18"/>
                                <w:szCs w:val="18"/>
                                <w:lang w:val="es-ES"/>
                              </w:rPr>
                              <w:t>397</w:t>
                            </w:r>
                            <w:r w:rsidR="00A33348">
                              <w:rPr>
                                <w:rFonts w:asciiTheme="majorHAnsi" w:hAnsiTheme="majorHAnsi"/>
                                <w:color w:val="595959" w:themeColor="text1" w:themeTint="A6"/>
                                <w:sz w:val="18"/>
                                <w:szCs w:val="18"/>
                                <w:lang w:val="es-ES"/>
                              </w:rPr>
                              <w:t>-1</w:t>
                            </w:r>
                            <w:r w:rsidR="000B0C0F">
                              <w:rPr>
                                <w:rFonts w:asciiTheme="majorHAnsi" w:hAnsiTheme="majorHAnsi"/>
                                <w:color w:val="595959" w:themeColor="text1" w:themeTint="A6"/>
                                <w:sz w:val="18"/>
                                <w:szCs w:val="18"/>
                                <w:lang w:val="es-ES"/>
                              </w:rPr>
                              <w:t>3</w:t>
                            </w:r>
                            <w:r>
                              <w:rPr>
                                <w:rFonts w:asciiTheme="majorHAnsi" w:hAnsiTheme="majorHAnsi"/>
                                <w:color w:val="595959" w:themeColor="text1" w:themeTint="A6"/>
                                <w:sz w:val="18"/>
                                <w:szCs w:val="18"/>
                                <w:lang w:val="es-ES"/>
                              </w:rPr>
                              <w:t xml:space="preserve"> </w:t>
                            </w:r>
                            <w:r w:rsidR="00480CB7">
                              <w:rPr>
                                <w:rFonts w:asciiTheme="majorHAnsi" w:hAnsiTheme="majorHAnsi"/>
                                <w:color w:val="595959" w:themeColor="text1" w:themeTint="A6"/>
                                <w:sz w:val="18"/>
                                <w:szCs w:val="18"/>
                                <w:lang w:val="es-ES_tradnl"/>
                              </w:rPr>
                              <w:t>A</w:t>
                            </w:r>
                            <w:r w:rsidR="00A33348">
                              <w:rPr>
                                <w:rFonts w:asciiTheme="majorHAnsi" w:hAnsiTheme="majorHAnsi"/>
                                <w:color w:val="595959" w:themeColor="text1" w:themeTint="A6"/>
                                <w:sz w:val="18"/>
                                <w:szCs w:val="18"/>
                                <w:lang w:val="es-ES_tradnl"/>
                              </w:rPr>
                              <w:t>dmibisibilidad</w:t>
                            </w:r>
                            <w:r w:rsidRPr="00890650">
                              <w:rPr>
                                <w:rFonts w:asciiTheme="majorHAnsi" w:hAnsiTheme="majorHAnsi"/>
                                <w:color w:val="595959" w:themeColor="text1" w:themeTint="A6"/>
                                <w:sz w:val="18"/>
                                <w:szCs w:val="18"/>
                                <w:lang w:val="es-ES_tradnl"/>
                              </w:rPr>
                              <w:t xml:space="preserve">. </w:t>
                            </w:r>
                          </w:p>
                          <w:p w14:paraId="0CF2B52A" w14:textId="72E36821" w:rsidR="00511EBB" w:rsidRPr="007B05C4" w:rsidRDefault="000B0C0F" w:rsidP="000673D0">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Jorge Tadeo Mayo Castro</w:t>
                            </w:r>
                            <w:r w:rsidR="00511EBB" w:rsidRPr="00890650">
                              <w:rPr>
                                <w:rFonts w:asciiTheme="majorHAnsi" w:hAnsiTheme="majorHAnsi"/>
                                <w:color w:val="595959" w:themeColor="text1" w:themeTint="A6"/>
                                <w:sz w:val="18"/>
                                <w:szCs w:val="18"/>
                                <w:lang w:val="es-ES_tradnl"/>
                              </w:rPr>
                              <w:t xml:space="preserve">. </w:t>
                            </w:r>
                            <w:r w:rsidR="00511EBB">
                              <w:rPr>
                                <w:rFonts w:asciiTheme="majorHAnsi" w:hAnsiTheme="majorHAnsi"/>
                                <w:color w:val="595959" w:themeColor="text1" w:themeTint="A6"/>
                                <w:sz w:val="18"/>
                                <w:szCs w:val="18"/>
                                <w:lang w:val="es-ES_tradnl"/>
                              </w:rPr>
                              <w:t>C</w:t>
                            </w:r>
                            <w:r w:rsidR="00B149FF">
                              <w:rPr>
                                <w:rFonts w:asciiTheme="majorHAnsi" w:hAnsiTheme="majorHAnsi"/>
                                <w:color w:val="595959" w:themeColor="text1" w:themeTint="A6"/>
                                <w:sz w:val="18"/>
                                <w:szCs w:val="18"/>
                                <w:lang w:val="es-ES_tradnl"/>
                              </w:rPr>
                              <w:t>olombia</w:t>
                            </w:r>
                            <w:r w:rsidR="00511EBB" w:rsidRPr="00890650">
                              <w:rPr>
                                <w:rFonts w:asciiTheme="majorHAnsi" w:hAnsiTheme="majorHAnsi"/>
                                <w:color w:val="595959" w:themeColor="text1" w:themeTint="A6"/>
                                <w:sz w:val="18"/>
                                <w:szCs w:val="18"/>
                                <w:lang w:val="es-ES_tradnl"/>
                              </w:rPr>
                              <w:t xml:space="preserve">. </w:t>
                            </w:r>
                            <w:r w:rsidR="00480CB7">
                              <w:rPr>
                                <w:rFonts w:asciiTheme="majorHAnsi" w:hAnsiTheme="majorHAnsi"/>
                                <w:color w:val="595959" w:themeColor="text1" w:themeTint="A6"/>
                                <w:sz w:val="18"/>
                                <w:szCs w:val="18"/>
                                <w:lang w:val="es-ES"/>
                              </w:rPr>
                              <w:t>8 de julio de 2022</w:t>
                            </w:r>
                            <w:r w:rsidR="00511EBB"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1F94"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191EBD3A" w14:textId="77777777" w:rsidR="00480CB7" w:rsidRDefault="00511EBB" w:rsidP="000673D0">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31C47" w:rsidRPr="00480CB7">
                        <w:rPr>
                          <w:rFonts w:asciiTheme="majorHAnsi" w:hAnsiTheme="majorHAnsi"/>
                          <w:color w:val="595959" w:themeColor="text1" w:themeTint="A6"/>
                          <w:sz w:val="18"/>
                          <w:szCs w:val="18"/>
                          <w:lang w:val="pt-BR"/>
                        </w:rPr>
                        <w:t>163</w:t>
                      </w:r>
                      <w:r w:rsidRPr="00480CB7">
                        <w:rPr>
                          <w:rFonts w:asciiTheme="majorHAnsi" w:hAnsiTheme="majorHAnsi"/>
                          <w:color w:val="595959" w:themeColor="text1" w:themeTint="A6"/>
                          <w:sz w:val="18"/>
                          <w:szCs w:val="18"/>
                          <w:lang w:val="pt-BR"/>
                        </w:rPr>
                        <w:t>/2</w:t>
                      </w:r>
                      <w:r w:rsidR="009B42B5" w:rsidRPr="00480CB7">
                        <w:rPr>
                          <w:rFonts w:asciiTheme="majorHAnsi" w:hAnsiTheme="majorHAnsi"/>
                          <w:color w:val="595959" w:themeColor="text1" w:themeTint="A6"/>
                          <w:sz w:val="18"/>
                          <w:szCs w:val="18"/>
                          <w:lang w:val="pt-BR"/>
                        </w:rPr>
                        <w:t>2</w:t>
                      </w:r>
                      <w:r w:rsidRPr="00480CB7">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0B0C0F">
                        <w:rPr>
                          <w:rFonts w:asciiTheme="majorHAnsi" w:hAnsiTheme="majorHAnsi"/>
                          <w:color w:val="595959" w:themeColor="text1" w:themeTint="A6"/>
                          <w:sz w:val="18"/>
                          <w:szCs w:val="18"/>
                          <w:lang w:val="es-ES"/>
                        </w:rPr>
                        <w:t>397</w:t>
                      </w:r>
                      <w:r w:rsidR="00A33348">
                        <w:rPr>
                          <w:rFonts w:asciiTheme="majorHAnsi" w:hAnsiTheme="majorHAnsi"/>
                          <w:color w:val="595959" w:themeColor="text1" w:themeTint="A6"/>
                          <w:sz w:val="18"/>
                          <w:szCs w:val="18"/>
                          <w:lang w:val="es-ES"/>
                        </w:rPr>
                        <w:t>-1</w:t>
                      </w:r>
                      <w:r w:rsidR="000B0C0F">
                        <w:rPr>
                          <w:rFonts w:asciiTheme="majorHAnsi" w:hAnsiTheme="majorHAnsi"/>
                          <w:color w:val="595959" w:themeColor="text1" w:themeTint="A6"/>
                          <w:sz w:val="18"/>
                          <w:szCs w:val="18"/>
                          <w:lang w:val="es-ES"/>
                        </w:rPr>
                        <w:t>3</w:t>
                      </w:r>
                      <w:r>
                        <w:rPr>
                          <w:rFonts w:asciiTheme="majorHAnsi" w:hAnsiTheme="majorHAnsi"/>
                          <w:color w:val="595959" w:themeColor="text1" w:themeTint="A6"/>
                          <w:sz w:val="18"/>
                          <w:szCs w:val="18"/>
                          <w:lang w:val="es-ES"/>
                        </w:rPr>
                        <w:t xml:space="preserve"> </w:t>
                      </w:r>
                      <w:r w:rsidR="00480CB7">
                        <w:rPr>
                          <w:rFonts w:asciiTheme="majorHAnsi" w:hAnsiTheme="majorHAnsi"/>
                          <w:color w:val="595959" w:themeColor="text1" w:themeTint="A6"/>
                          <w:sz w:val="18"/>
                          <w:szCs w:val="18"/>
                          <w:lang w:val="es-ES_tradnl"/>
                        </w:rPr>
                        <w:t>A</w:t>
                      </w:r>
                      <w:r w:rsidR="00A33348">
                        <w:rPr>
                          <w:rFonts w:asciiTheme="majorHAnsi" w:hAnsiTheme="majorHAnsi"/>
                          <w:color w:val="595959" w:themeColor="text1" w:themeTint="A6"/>
                          <w:sz w:val="18"/>
                          <w:szCs w:val="18"/>
                          <w:lang w:val="es-ES_tradnl"/>
                        </w:rPr>
                        <w:t>dmibisibilidad</w:t>
                      </w:r>
                      <w:r w:rsidRPr="00890650">
                        <w:rPr>
                          <w:rFonts w:asciiTheme="majorHAnsi" w:hAnsiTheme="majorHAnsi"/>
                          <w:color w:val="595959" w:themeColor="text1" w:themeTint="A6"/>
                          <w:sz w:val="18"/>
                          <w:szCs w:val="18"/>
                          <w:lang w:val="es-ES_tradnl"/>
                        </w:rPr>
                        <w:t xml:space="preserve">. </w:t>
                      </w:r>
                    </w:p>
                    <w:p w14:paraId="0CF2B52A" w14:textId="72E36821" w:rsidR="00511EBB" w:rsidRPr="007B05C4" w:rsidRDefault="000B0C0F" w:rsidP="000673D0">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Jorge Tadeo Mayo Castro</w:t>
                      </w:r>
                      <w:r w:rsidR="00511EBB" w:rsidRPr="00890650">
                        <w:rPr>
                          <w:rFonts w:asciiTheme="majorHAnsi" w:hAnsiTheme="majorHAnsi"/>
                          <w:color w:val="595959" w:themeColor="text1" w:themeTint="A6"/>
                          <w:sz w:val="18"/>
                          <w:szCs w:val="18"/>
                          <w:lang w:val="es-ES_tradnl"/>
                        </w:rPr>
                        <w:t xml:space="preserve">. </w:t>
                      </w:r>
                      <w:r w:rsidR="00511EBB">
                        <w:rPr>
                          <w:rFonts w:asciiTheme="majorHAnsi" w:hAnsiTheme="majorHAnsi"/>
                          <w:color w:val="595959" w:themeColor="text1" w:themeTint="A6"/>
                          <w:sz w:val="18"/>
                          <w:szCs w:val="18"/>
                          <w:lang w:val="es-ES_tradnl"/>
                        </w:rPr>
                        <w:t>C</w:t>
                      </w:r>
                      <w:r w:rsidR="00B149FF">
                        <w:rPr>
                          <w:rFonts w:asciiTheme="majorHAnsi" w:hAnsiTheme="majorHAnsi"/>
                          <w:color w:val="595959" w:themeColor="text1" w:themeTint="A6"/>
                          <w:sz w:val="18"/>
                          <w:szCs w:val="18"/>
                          <w:lang w:val="es-ES_tradnl"/>
                        </w:rPr>
                        <w:t>olombia</w:t>
                      </w:r>
                      <w:r w:rsidR="00511EBB" w:rsidRPr="00890650">
                        <w:rPr>
                          <w:rFonts w:asciiTheme="majorHAnsi" w:hAnsiTheme="majorHAnsi"/>
                          <w:color w:val="595959" w:themeColor="text1" w:themeTint="A6"/>
                          <w:sz w:val="18"/>
                          <w:szCs w:val="18"/>
                          <w:lang w:val="es-ES_tradnl"/>
                        </w:rPr>
                        <w:t xml:space="preserve">. </w:t>
                      </w:r>
                      <w:r w:rsidR="00480CB7">
                        <w:rPr>
                          <w:rFonts w:asciiTheme="majorHAnsi" w:hAnsiTheme="majorHAnsi"/>
                          <w:color w:val="595959" w:themeColor="text1" w:themeTint="A6"/>
                          <w:sz w:val="18"/>
                          <w:szCs w:val="18"/>
                          <w:lang w:val="es-ES"/>
                        </w:rPr>
                        <w:t>8 de julio de 2022</w:t>
                      </w:r>
                      <w:r w:rsidR="00511EBB" w:rsidRPr="007B05C4">
                        <w:rPr>
                          <w:rFonts w:asciiTheme="majorHAnsi" w:hAnsiTheme="majorHAnsi"/>
                          <w:color w:val="595959" w:themeColor="text1" w:themeTint="A6"/>
                          <w:sz w:val="18"/>
                          <w:szCs w:val="18"/>
                          <w:lang w:val="es-ES"/>
                        </w:rPr>
                        <w:t>.</w:t>
                      </w:r>
                    </w:p>
                  </w:txbxContent>
                </v:textbox>
              </v:shape>
            </w:pict>
          </mc:Fallback>
        </mc:AlternateContent>
      </w:r>
    </w:p>
    <w:p w14:paraId="16104A1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9F6F1A8" w14:textId="17DC584C" w:rsidR="000673D0" w:rsidRDefault="000673D0" w:rsidP="000673D0">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9E975DD" wp14:editId="17788D9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511EBB" w:rsidRPr="004B7EB6" w:rsidRDefault="00511EBB"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75DD"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0B589E4B" w14:textId="77777777" w:rsidR="00511EBB" w:rsidRPr="004B7EB6" w:rsidRDefault="00511EBB"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7B3410E1" w:rsidR="000673D0" w:rsidRDefault="00A50398" w:rsidP="000673D0">
      <w:pPr>
        <w:tabs>
          <w:tab w:val="center" w:pos="5400"/>
        </w:tabs>
        <w:suppressAutoHyphens/>
        <w:jc w:val="center"/>
        <w:rPr>
          <w:rFonts w:asciiTheme="majorHAnsi" w:hAnsiTheme="majorHAnsi"/>
          <w:b/>
          <w:sz w:val="20"/>
          <w:lang w:val="es-ES_tradnl"/>
        </w:rPr>
        <w:sectPr w:rsidR="000673D0"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2BF9F72E" wp14:editId="76162DB4">
                <wp:simplePos x="0" y="0"/>
                <wp:positionH relativeFrom="column">
                  <wp:posOffset>1301115</wp:posOffset>
                </wp:positionH>
                <wp:positionV relativeFrom="paragraph">
                  <wp:posOffset>622300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4B9197D3" w:rsidR="00511EBB" w:rsidRPr="00D72DC6" w:rsidRDefault="00792D9D" w:rsidP="000673D0">
                            <w:pPr>
                              <w:rPr>
                                <w:color w:val="FFFFFF" w:themeColor="background1"/>
                                <w14:textFill>
                                  <w14:noFill/>
                                </w14:textFill>
                              </w:rPr>
                            </w:pPr>
                            <w:r>
                              <w:rPr>
                                <w:noProof/>
                                <w:color w:val="FFFFFF" w:themeColor="background1"/>
                              </w:rPr>
                              <w:drawing>
                                <wp:inline distT="0" distB="0" distL="0" distR="0" wp14:anchorId="2B7A5E0F" wp14:editId="4B67DD07">
                                  <wp:extent cx="1590675" cy="409157"/>
                                  <wp:effectExtent l="0" t="0" r="0" b="0"/>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97365" cy="41087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F72E" id="Text Box 9" o:spid="_x0000_s1032" type="#_x0000_t202" style="position:absolute;left:0;text-align:left;margin-left:102.45pt;margin-top:49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" fillcolor="white [3201]" stroked="f" strokeweight=".5pt">
                <v:textbox>
                  <w:txbxContent>
                    <w:p w14:paraId="561CB564" w14:textId="4B9197D3" w:rsidR="00511EBB" w:rsidRPr="00D72DC6" w:rsidRDefault="00792D9D" w:rsidP="000673D0">
                      <w:pPr>
                        <w:rPr>
                          <w:color w:val="FFFFFF" w:themeColor="background1"/>
                          <w14:textFill>
                            <w14:noFill/>
                          </w14:textFill>
                        </w:rPr>
                      </w:pPr>
                      <w:r>
                        <w:rPr>
                          <w:noProof/>
                          <w:color w:val="FFFFFF" w:themeColor="background1"/>
                        </w:rPr>
                        <w:drawing>
                          <wp:inline distT="0" distB="0" distL="0" distR="0" wp14:anchorId="2B7A5E0F" wp14:editId="4B67DD07">
                            <wp:extent cx="1590675" cy="409157"/>
                            <wp:effectExtent l="0" t="0" r="0" b="0"/>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97365" cy="410878"/>
                                    </a:xfrm>
                                    <a:prstGeom prst="rect">
                                      <a:avLst/>
                                    </a:prstGeom>
                                  </pic:spPr>
                                </pic:pic>
                              </a:graphicData>
                            </a:graphic>
                          </wp:inline>
                        </w:drawing>
                      </w:r>
                    </w:p>
                  </w:txbxContent>
                </v:textbox>
              </v:shape>
            </w:pict>
          </mc:Fallback>
        </mc:AlternateContent>
      </w:r>
      <w:r w:rsidR="000673D0">
        <w:rPr>
          <w:rFonts w:asciiTheme="majorHAnsi" w:hAnsiTheme="majorHAnsi"/>
          <w:b/>
          <w:sz w:val="20"/>
          <w:lang w:val="es-ES_tradnl"/>
        </w:rPr>
        <w:tab/>
      </w:r>
    </w:p>
    <w:p w14:paraId="0912847B" w14:textId="77777777" w:rsidR="000673D0" w:rsidRPr="000673D0" w:rsidRDefault="000673D0" w:rsidP="000673D0">
      <w:pPr>
        <w:spacing w:after="240"/>
        <w:ind w:firstLine="720"/>
        <w:jc w:val="both"/>
        <w:rPr>
          <w:rFonts w:asciiTheme="majorHAnsi" w:hAnsiTheme="majorHAnsi"/>
          <w:b/>
          <w:bCs/>
          <w:sz w:val="20"/>
          <w:szCs w:val="20"/>
          <w:lang w:val="es-ES"/>
        </w:rPr>
      </w:pPr>
      <w:r w:rsidRPr="000673D0">
        <w:rPr>
          <w:rFonts w:asciiTheme="majorHAnsi" w:hAnsiTheme="majorHAnsi"/>
          <w:b/>
          <w:bCs/>
          <w:sz w:val="20"/>
          <w:szCs w:val="20"/>
          <w:lang w:val="es-ES"/>
        </w:rPr>
        <w:lastRenderedPageBreak/>
        <w:t>I.</w:t>
      </w:r>
      <w:r w:rsidRPr="000673D0">
        <w:rPr>
          <w:rFonts w:asciiTheme="majorHAnsi" w:hAnsiTheme="majorHAnsi"/>
          <w:b/>
          <w:bCs/>
          <w:sz w:val="20"/>
          <w:szCs w:val="20"/>
          <w:lang w:val="es-ES"/>
        </w:rPr>
        <w:tab/>
        <w:t xml:space="preserve">DATOS DE LA PETICIÓN </w:t>
      </w:r>
    </w:p>
    <w:tbl>
      <w:tblPr>
        <w:tblStyle w:val="TableGrid"/>
        <w:tblW w:w="9157" w:type="dxa"/>
        <w:tblInd w:w="108" w:type="dxa"/>
        <w:tblBorders>
          <w:insideH w:val="single" w:sz="6" w:space="0" w:color="auto"/>
          <w:insideV w:val="single" w:sz="6" w:space="0" w:color="auto"/>
        </w:tblBorders>
        <w:tblLook w:val="04A0" w:firstRow="1" w:lastRow="0" w:firstColumn="1" w:lastColumn="0" w:noHBand="0" w:noVBand="1"/>
      </w:tblPr>
      <w:tblGrid>
        <w:gridCol w:w="3600"/>
        <w:gridCol w:w="5557"/>
      </w:tblGrid>
      <w:tr w:rsidR="000673D0" w:rsidRPr="00A33348" w14:paraId="325744E4" w14:textId="77777777" w:rsidTr="00DD7C73">
        <w:tc>
          <w:tcPr>
            <w:tcW w:w="3600" w:type="dxa"/>
            <w:tcBorders>
              <w:top w:val="single" w:sz="4" w:space="0" w:color="auto"/>
              <w:bottom w:val="single" w:sz="6" w:space="0" w:color="auto"/>
            </w:tcBorders>
            <w:shd w:val="clear" w:color="auto" w:fill="386294"/>
            <w:vAlign w:val="center"/>
          </w:tcPr>
          <w:p w14:paraId="26710EBE"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Parte peticionaria:</w:t>
            </w:r>
          </w:p>
        </w:tc>
        <w:tc>
          <w:tcPr>
            <w:tcW w:w="5557" w:type="dxa"/>
            <w:vAlign w:val="center"/>
          </w:tcPr>
          <w:p w14:paraId="5A4F615E" w14:textId="20064F0E" w:rsidR="000673D0" w:rsidRPr="00DD7C73" w:rsidRDefault="000B0C0F" w:rsidP="00B46185">
            <w:pPr>
              <w:jc w:val="both"/>
              <w:rPr>
                <w:rFonts w:asciiTheme="majorHAnsi" w:hAnsiTheme="majorHAnsi"/>
                <w:bCs/>
                <w:sz w:val="20"/>
                <w:szCs w:val="20"/>
                <w:lang w:val="es-PA"/>
              </w:rPr>
            </w:pPr>
            <w:r>
              <w:rPr>
                <w:rFonts w:ascii="Cambria" w:hAnsi="Cambria"/>
                <w:bCs/>
                <w:sz w:val="20"/>
                <w:szCs w:val="20"/>
                <w:lang w:val="es-ES"/>
              </w:rPr>
              <w:t>Mauricio Burely Mayo Castro</w:t>
            </w:r>
            <w:r w:rsidR="000E35B6" w:rsidRPr="00DD7C73">
              <w:rPr>
                <w:rFonts w:ascii="Cambria" w:hAnsi="Cambria"/>
                <w:bCs/>
                <w:sz w:val="20"/>
                <w:szCs w:val="20"/>
                <w:lang w:val="es-ES"/>
              </w:rPr>
              <w:t xml:space="preserve"> </w:t>
            </w:r>
          </w:p>
        </w:tc>
      </w:tr>
      <w:tr w:rsidR="000673D0" w:rsidRPr="000B0C0F" w14:paraId="79A5B539" w14:textId="77777777" w:rsidTr="00DD7C73">
        <w:tc>
          <w:tcPr>
            <w:tcW w:w="3600" w:type="dxa"/>
            <w:tcBorders>
              <w:top w:val="single" w:sz="6" w:space="0" w:color="auto"/>
              <w:bottom w:val="single" w:sz="6" w:space="0" w:color="auto"/>
            </w:tcBorders>
            <w:shd w:val="clear" w:color="auto" w:fill="386294"/>
            <w:vAlign w:val="center"/>
          </w:tcPr>
          <w:p w14:paraId="58FAAE53" w14:textId="77777777" w:rsidR="000673D0" w:rsidRPr="00DD7C73" w:rsidRDefault="005262C9" w:rsidP="00B46185">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673D0" w:rsidRPr="00DD7C73">
                  <w:rPr>
                    <w:rFonts w:asciiTheme="majorHAnsi" w:hAnsiTheme="majorHAnsi"/>
                    <w:b/>
                    <w:bCs/>
                    <w:color w:val="FFFFFF" w:themeColor="background1"/>
                    <w:sz w:val="20"/>
                    <w:szCs w:val="20"/>
                  </w:rPr>
                  <w:t>Presunta víctima</w:t>
                </w:r>
              </w:sdtContent>
            </w:sdt>
            <w:r w:rsidR="000673D0" w:rsidRPr="00DD7C73">
              <w:rPr>
                <w:rFonts w:asciiTheme="majorHAnsi" w:hAnsiTheme="majorHAnsi"/>
                <w:b/>
                <w:bCs/>
                <w:color w:val="FFFFFF" w:themeColor="background1"/>
                <w:sz w:val="20"/>
                <w:szCs w:val="20"/>
              </w:rPr>
              <w:t>:</w:t>
            </w:r>
          </w:p>
        </w:tc>
        <w:tc>
          <w:tcPr>
            <w:tcW w:w="5557" w:type="dxa"/>
            <w:vAlign w:val="center"/>
          </w:tcPr>
          <w:p w14:paraId="23FE9BA4" w14:textId="1214ADF2" w:rsidR="000673D0" w:rsidRPr="00DD7C73" w:rsidRDefault="000B0C0F" w:rsidP="00B46622">
            <w:pPr>
              <w:jc w:val="both"/>
              <w:rPr>
                <w:rFonts w:asciiTheme="majorHAnsi" w:hAnsiTheme="majorHAnsi"/>
                <w:bCs/>
                <w:sz w:val="20"/>
                <w:szCs w:val="20"/>
                <w:lang w:val="es-ES"/>
              </w:rPr>
            </w:pPr>
            <w:r>
              <w:rPr>
                <w:rFonts w:asciiTheme="majorHAnsi" w:hAnsiTheme="majorHAnsi"/>
                <w:bCs/>
                <w:sz w:val="20"/>
                <w:szCs w:val="20"/>
                <w:lang w:val="es-ES"/>
              </w:rPr>
              <w:t>Jorge Tadeo Mayo Castro</w:t>
            </w:r>
            <w:r w:rsidR="000E35B6" w:rsidRPr="00DD7C73">
              <w:rPr>
                <w:rFonts w:asciiTheme="majorHAnsi" w:hAnsiTheme="majorHAnsi"/>
                <w:bCs/>
                <w:sz w:val="20"/>
                <w:szCs w:val="20"/>
                <w:lang w:val="es-ES"/>
              </w:rPr>
              <w:t xml:space="preserve"> </w:t>
            </w:r>
          </w:p>
        </w:tc>
      </w:tr>
      <w:tr w:rsidR="000673D0" w:rsidRPr="00DD7C73" w14:paraId="45362DF7" w14:textId="77777777" w:rsidTr="00DD7C73">
        <w:tc>
          <w:tcPr>
            <w:tcW w:w="3600" w:type="dxa"/>
            <w:tcBorders>
              <w:top w:val="single" w:sz="6" w:space="0" w:color="auto"/>
              <w:bottom w:val="single" w:sz="6" w:space="0" w:color="auto"/>
            </w:tcBorders>
            <w:shd w:val="clear" w:color="auto" w:fill="386294"/>
            <w:vAlign w:val="center"/>
          </w:tcPr>
          <w:p w14:paraId="652632F5"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Estado denunciado:</w:t>
            </w:r>
          </w:p>
        </w:tc>
        <w:tc>
          <w:tcPr>
            <w:tcW w:w="5557" w:type="dxa"/>
            <w:vAlign w:val="center"/>
          </w:tcPr>
          <w:p w14:paraId="057DC689" w14:textId="399618B2" w:rsidR="000673D0" w:rsidRPr="00DD7C73" w:rsidRDefault="00456D10" w:rsidP="00B46185">
            <w:pPr>
              <w:jc w:val="both"/>
              <w:rPr>
                <w:rFonts w:asciiTheme="majorHAnsi" w:hAnsiTheme="majorHAnsi"/>
                <w:bCs/>
                <w:sz w:val="20"/>
                <w:szCs w:val="20"/>
              </w:rPr>
            </w:pPr>
            <w:r>
              <w:rPr>
                <w:rFonts w:asciiTheme="majorHAnsi" w:hAnsiTheme="majorHAnsi"/>
                <w:bCs/>
                <w:sz w:val="20"/>
                <w:szCs w:val="20"/>
              </w:rPr>
              <w:t>Colombia</w:t>
            </w:r>
            <w:r>
              <w:rPr>
                <w:rStyle w:val="FootnoteReference"/>
                <w:rFonts w:asciiTheme="majorHAnsi" w:hAnsiTheme="majorHAnsi"/>
                <w:bCs/>
                <w:sz w:val="20"/>
                <w:szCs w:val="20"/>
              </w:rPr>
              <w:footnoteReference w:id="2"/>
            </w:r>
          </w:p>
        </w:tc>
      </w:tr>
      <w:tr w:rsidR="000673D0" w:rsidRPr="007735A3" w14:paraId="4329FE9B" w14:textId="77777777" w:rsidTr="00DD7C73">
        <w:tc>
          <w:tcPr>
            <w:tcW w:w="3600" w:type="dxa"/>
            <w:tcBorders>
              <w:top w:val="single" w:sz="6" w:space="0" w:color="auto"/>
              <w:bottom w:val="single" w:sz="6" w:space="0" w:color="auto"/>
            </w:tcBorders>
            <w:shd w:val="clear" w:color="auto" w:fill="386294"/>
            <w:vAlign w:val="center"/>
          </w:tcPr>
          <w:p w14:paraId="4A8E3F69"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Derechos invocados:</w:t>
            </w:r>
          </w:p>
        </w:tc>
        <w:tc>
          <w:tcPr>
            <w:tcW w:w="5557" w:type="dxa"/>
            <w:vAlign w:val="center"/>
          </w:tcPr>
          <w:p w14:paraId="4E238173" w14:textId="65151CBB" w:rsidR="000673D0" w:rsidRPr="00DD7C73" w:rsidRDefault="00F308F1" w:rsidP="00BB4786">
            <w:pPr>
              <w:jc w:val="both"/>
              <w:rPr>
                <w:rFonts w:asciiTheme="majorHAnsi" w:hAnsiTheme="majorHAnsi"/>
                <w:bCs/>
                <w:sz w:val="20"/>
                <w:szCs w:val="20"/>
                <w:lang w:val="es-PA"/>
              </w:rPr>
            </w:pPr>
            <w:r w:rsidRPr="00DD7C73">
              <w:rPr>
                <w:rFonts w:asciiTheme="majorHAnsi" w:hAnsiTheme="majorHAnsi"/>
                <w:bCs/>
                <w:sz w:val="20"/>
                <w:szCs w:val="20"/>
                <w:lang w:val="es-PA"/>
              </w:rPr>
              <w:t>Artículos</w:t>
            </w:r>
            <w:r w:rsidR="001B57D0">
              <w:rPr>
                <w:rFonts w:asciiTheme="majorHAnsi" w:hAnsiTheme="majorHAnsi"/>
                <w:bCs/>
                <w:sz w:val="20"/>
                <w:szCs w:val="20"/>
                <w:lang w:val="es-PA"/>
              </w:rPr>
              <w:t xml:space="preserve"> 4 (vida), </w:t>
            </w:r>
            <w:r w:rsidR="000B0C0F">
              <w:rPr>
                <w:rFonts w:asciiTheme="majorHAnsi" w:hAnsiTheme="majorHAnsi"/>
                <w:bCs/>
                <w:sz w:val="20"/>
                <w:szCs w:val="20"/>
                <w:lang w:val="es-PA"/>
              </w:rPr>
              <w:t xml:space="preserve">8, (garantías judiciales), 25 (protección judicial) y 26 (derechos económicos sociales y culturales) de </w:t>
            </w:r>
            <w:r w:rsidR="00902235">
              <w:rPr>
                <w:rFonts w:asciiTheme="majorHAnsi" w:hAnsiTheme="majorHAnsi"/>
                <w:bCs/>
                <w:sz w:val="20"/>
                <w:szCs w:val="20"/>
                <w:lang w:val="es-PA"/>
              </w:rPr>
              <w:t>la</w:t>
            </w:r>
            <w:r w:rsidR="001B57D0">
              <w:rPr>
                <w:rFonts w:asciiTheme="majorHAnsi" w:hAnsiTheme="majorHAnsi"/>
                <w:bCs/>
                <w:sz w:val="20"/>
                <w:szCs w:val="20"/>
                <w:lang w:val="es-PA"/>
              </w:rPr>
              <w:t xml:space="preserve"> </w:t>
            </w:r>
            <w:r w:rsidRPr="00DD7C73">
              <w:rPr>
                <w:rFonts w:asciiTheme="majorHAnsi" w:hAnsiTheme="majorHAnsi"/>
                <w:bCs/>
                <w:sz w:val="20"/>
                <w:szCs w:val="20"/>
                <w:lang w:val="es-PA"/>
              </w:rPr>
              <w:t xml:space="preserve">Convención Americana </w:t>
            </w:r>
            <w:r w:rsidR="00DD7C73" w:rsidRPr="00DD7C73">
              <w:rPr>
                <w:rFonts w:asciiTheme="majorHAnsi" w:hAnsiTheme="majorHAnsi"/>
                <w:bCs/>
                <w:sz w:val="20"/>
                <w:szCs w:val="20"/>
                <w:lang w:val="es-PA"/>
              </w:rPr>
              <w:t>s</w:t>
            </w:r>
            <w:r w:rsidRPr="00DD7C73">
              <w:rPr>
                <w:rFonts w:asciiTheme="majorHAnsi" w:hAnsiTheme="majorHAnsi"/>
                <w:bCs/>
                <w:sz w:val="20"/>
                <w:szCs w:val="20"/>
                <w:lang w:val="es-PA"/>
              </w:rPr>
              <w:t>obre Derechos Humanos</w:t>
            </w:r>
            <w:r w:rsidRPr="00DD7C73">
              <w:rPr>
                <w:rStyle w:val="FootnoteReference"/>
                <w:rFonts w:asciiTheme="majorHAnsi" w:hAnsiTheme="majorHAnsi"/>
                <w:bCs/>
                <w:sz w:val="20"/>
                <w:szCs w:val="20"/>
                <w:lang w:val="es-PA"/>
              </w:rPr>
              <w:footnoteReference w:id="3"/>
            </w:r>
            <w:r w:rsidR="00FB2B14">
              <w:rPr>
                <w:rFonts w:asciiTheme="majorHAnsi" w:hAnsiTheme="majorHAnsi"/>
                <w:bCs/>
                <w:sz w:val="20"/>
                <w:szCs w:val="20"/>
                <w:lang w:val="es-PA"/>
              </w:rPr>
              <w:t>,</w:t>
            </w:r>
            <w:r w:rsidR="00381659">
              <w:rPr>
                <w:rFonts w:asciiTheme="majorHAnsi" w:hAnsiTheme="majorHAnsi"/>
                <w:bCs/>
                <w:sz w:val="20"/>
                <w:szCs w:val="20"/>
                <w:lang w:val="es-PA"/>
              </w:rPr>
              <w:t xml:space="preserve"> </w:t>
            </w:r>
            <w:r w:rsidR="000B0C0F">
              <w:rPr>
                <w:rFonts w:asciiTheme="majorHAnsi" w:hAnsiTheme="majorHAnsi"/>
                <w:bCs/>
                <w:sz w:val="20"/>
                <w:szCs w:val="20"/>
                <w:lang w:val="es-PA"/>
              </w:rPr>
              <w:t>en relación con su artículo 1.1 (obligación de respetar los derechos)</w:t>
            </w:r>
          </w:p>
        </w:tc>
      </w:tr>
    </w:tbl>
    <w:p w14:paraId="3D195461" w14:textId="77777777"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II.</w:t>
      </w:r>
      <w:r w:rsidRPr="009C6CB7">
        <w:rPr>
          <w:rFonts w:asciiTheme="majorHAnsi" w:hAnsiTheme="majorHAnsi"/>
          <w:b/>
          <w:bCs/>
          <w:sz w:val="19"/>
          <w:szCs w:val="19"/>
          <w:lang w:val="es-ES"/>
        </w:rPr>
        <w:tab/>
        <w:t>TRÁMITE ANTE LA CIDH</w:t>
      </w:r>
      <w:r w:rsidRPr="009C6CB7">
        <w:rPr>
          <w:rStyle w:val="FootnoteReference"/>
          <w:rFonts w:asciiTheme="majorHAnsi" w:hAnsiTheme="majorHAnsi"/>
          <w:b/>
          <w:sz w:val="19"/>
          <w:szCs w:val="19"/>
        </w:rPr>
        <w:footnoteReference w:id="4"/>
      </w:r>
    </w:p>
    <w:tbl>
      <w:tblPr>
        <w:tblStyle w:val="TableGrid"/>
        <w:tblW w:w="9157" w:type="dxa"/>
        <w:tblInd w:w="108" w:type="dxa"/>
        <w:tblBorders>
          <w:insideH w:val="single" w:sz="6" w:space="0" w:color="auto"/>
          <w:insideV w:val="single" w:sz="6" w:space="0" w:color="auto"/>
        </w:tblBorders>
        <w:tblLook w:val="04A0" w:firstRow="1" w:lastRow="0" w:firstColumn="1" w:lastColumn="0" w:noHBand="0" w:noVBand="1"/>
      </w:tblPr>
      <w:tblGrid>
        <w:gridCol w:w="3600"/>
        <w:gridCol w:w="5557"/>
      </w:tblGrid>
      <w:tr w:rsidR="000673D0" w:rsidRPr="00DD7C73" w14:paraId="6D778EBA" w14:textId="77777777" w:rsidTr="00DD7C73">
        <w:tc>
          <w:tcPr>
            <w:tcW w:w="3600" w:type="dxa"/>
            <w:tcBorders>
              <w:top w:val="single" w:sz="6" w:space="0" w:color="auto"/>
              <w:bottom w:val="single" w:sz="6" w:space="0" w:color="auto"/>
            </w:tcBorders>
            <w:shd w:val="clear" w:color="auto" w:fill="386294"/>
            <w:vAlign w:val="center"/>
          </w:tcPr>
          <w:p w14:paraId="0FC6DF70"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bCs/>
                <w:color w:val="FFFFFF" w:themeColor="background1"/>
                <w:sz w:val="20"/>
                <w:szCs w:val="20"/>
                <w:lang w:val="es-ES"/>
              </w:rPr>
              <w:t>Presentación de la petición:</w:t>
            </w:r>
          </w:p>
        </w:tc>
        <w:tc>
          <w:tcPr>
            <w:tcW w:w="5557" w:type="dxa"/>
            <w:vAlign w:val="center"/>
          </w:tcPr>
          <w:p w14:paraId="5B768921" w14:textId="6DAFD09A" w:rsidR="000673D0" w:rsidRPr="00DD7C73" w:rsidRDefault="000B0C0F" w:rsidP="006C3525">
            <w:pPr>
              <w:jc w:val="both"/>
              <w:rPr>
                <w:rFonts w:asciiTheme="majorHAnsi" w:hAnsiTheme="majorHAnsi"/>
                <w:bCs/>
                <w:sz w:val="20"/>
                <w:szCs w:val="20"/>
                <w:lang w:val="es-ES"/>
              </w:rPr>
            </w:pPr>
            <w:r>
              <w:rPr>
                <w:rFonts w:asciiTheme="majorHAnsi" w:hAnsiTheme="majorHAnsi"/>
                <w:bCs/>
                <w:sz w:val="20"/>
                <w:szCs w:val="20"/>
                <w:lang w:val="es-ES"/>
              </w:rPr>
              <w:t>11 de mayo de 2013</w:t>
            </w:r>
          </w:p>
        </w:tc>
      </w:tr>
      <w:tr w:rsidR="00902235" w:rsidRPr="00902235" w14:paraId="2317EEE9" w14:textId="77777777" w:rsidTr="00DD7C73">
        <w:tc>
          <w:tcPr>
            <w:tcW w:w="3600" w:type="dxa"/>
            <w:tcBorders>
              <w:top w:val="single" w:sz="6" w:space="0" w:color="auto"/>
              <w:bottom w:val="single" w:sz="6" w:space="0" w:color="auto"/>
            </w:tcBorders>
            <w:shd w:val="clear" w:color="auto" w:fill="386294"/>
            <w:vAlign w:val="center"/>
          </w:tcPr>
          <w:p w14:paraId="75CF9753" w14:textId="1F9F6B4B" w:rsidR="00902235" w:rsidRPr="00DD7C73" w:rsidRDefault="00902235" w:rsidP="00B46185">
            <w:pPr>
              <w:jc w:val="center"/>
              <w:rPr>
                <w:rFonts w:asciiTheme="majorHAnsi" w:hAnsiTheme="majorHAnsi"/>
                <w:b/>
                <w:bCs/>
                <w:color w:val="FFFFFF" w:themeColor="background1"/>
                <w:sz w:val="20"/>
                <w:szCs w:val="20"/>
                <w:lang w:val="es-ES"/>
              </w:rPr>
            </w:pPr>
            <w:r>
              <w:rPr>
                <w:rFonts w:asciiTheme="majorHAnsi" w:hAnsiTheme="majorHAnsi"/>
                <w:b/>
                <w:bCs/>
                <w:color w:val="FFFFFF" w:themeColor="background1"/>
                <w:sz w:val="20"/>
                <w:szCs w:val="20"/>
                <w:lang w:val="es-ES"/>
              </w:rPr>
              <w:t>Información adicional recibida durante la etapa de estudio:</w:t>
            </w:r>
          </w:p>
        </w:tc>
        <w:tc>
          <w:tcPr>
            <w:tcW w:w="5557" w:type="dxa"/>
            <w:vAlign w:val="center"/>
          </w:tcPr>
          <w:p w14:paraId="37ED3BB2" w14:textId="35420540" w:rsidR="00902235" w:rsidRDefault="000B0C0F" w:rsidP="006C3525">
            <w:pPr>
              <w:jc w:val="both"/>
              <w:rPr>
                <w:rFonts w:asciiTheme="majorHAnsi" w:hAnsiTheme="majorHAnsi"/>
                <w:bCs/>
                <w:sz w:val="20"/>
                <w:szCs w:val="20"/>
                <w:lang w:val="es-ES"/>
              </w:rPr>
            </w:pPr>
            <w:r>
              <w:rPr>
                <w:rFonts w:asciiTheme="majorHAnsi" w:hAnsiTheme="majorHAnsi"/>
                <w:bCs/>
                <w:sz w:val="20"/>
                <w:szCs w:val="20"/>
                <w:lang w:val="es-ES"/>
              </w:rPr>
              <w:t>24 de enero de 2017</w:t>
            </w:r>
          </w:p>
        </w:tc>
      </w:tr>
      <w:tr w:rsidR="000673D0" w:rsidRPr="00DD7C73" w14:paraId="5511A9CE" w14:textId="77777777" w:rsidTr="00DD7C73">
        <w:tc>
          <w:tcPr>
            <w:tcW w:w="3600" w:type="dxa"/>
            <w:tcBorders>
              <w:top w:val="single" w:sz="6" w:space="0" w:color="auto"/>
              <w:bottom w:val="single" w:sz="6" w:space="0" w:color="auto"/>
            </w:tcBorders>
            <w:shd w:val="clear" w:color="auto" w:fill="386294"/>
            <w:vAlign w:val="center"/>
          </w:tcPr>
          <w:p w14:paraId="1EAB6A50"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color w:val="FFFFFF" w:themeColor="background1"/>
                <w:sz w:val="20"/>
                <w:szCs w:val="20"/>
                <w:lang w:val="es-ES"/>
              </w:rPr>
              <w:t>Notificación de la petición al Estado:</w:t>
            </w:r>
          </w:p>
        </w:tc>
        <w:tc>
          <w:tcPr>
            <w:tcW w:w="5557" w:type="dxa"/>
            <w:vAlign w:val="center"/>
          </w:tcPr>
          <w:p w14:paraId="311A328A" w14:textId="334F14C7" w:rsidR="000673D0" w:rsidRPr="00DD7C73" w:rsidRDefault="000B0C0F" w:rsidP="006C3525">
            <w:pPr>
              <w:jc w:val="both"/>
              <w:rPr>
                <w:rFonts w:asciiTheme="majorHAnsi" w:hAnsiTheme="majorHAnsi"/>
                <w:bCs/>
                <w:sz w:val="20"/>
                <w:szCs w:val="20"/>
                <w:lang w:val="es-ES"/>
              </w:rPr>
            </w:pPr>
            <w:r>
              <w:rPr>
                <w:rFonts w:asciiTheme="majorHAnsi" w:hAnsiTheme="majorHAnsi"/>
                <w:bCs/>
                <w:sz w:val="20"/>
                <w:szCs w:val="20"/>
                <w:lang w:val="es-ES"/>
              </w:rPr>
              <w:t>1 de agosto de 2019</w:t>
            </w:r>
          </w:p>
        </w:tc>
      </w:tr>
      <w:tr w:rsidR="000673D0" w:rsidRPr="00DD7C73" w14:paraId="474D175D" w14:textId="77777777" w:rsidTr="00DD7C73">
        <w:tc>
          <w:tcPr>
            <w:tcW w:w="3600" w:type="dxa"/>
            <w:tcBorders>
              <w:top w:val="single" w:sz="6" w:space="0" w:color="auto"/>
              <w:bottom w:val="single" w:sz="6" w:space="0" w:color="auto"/>
            </w:tcBorders>
            <w:shd w:val="clear" w:color="auto" w:fill="386294"/>
            <w:vAlign w:val="center"/>
          </w:tcPr>
          <w:p w14:paraId="21AC1D3A"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color w:val="FFFFFF" w:themeColor="background1"/>
                <w:sz w:val="20"/>
                <w:szCs w:val="20"/>
                <w:lang w:val="es-ES"/>
              </w:rPr>
              <w:t>Primera respuesta del Estado:</w:t>
            </w:r>
          </w:p>
        </w:tc>
        <w:tc>
          <w:tcPr>
            <w:tcW w:w="5557" w:type="dxa"/>
            <w:vAlign w:val="center"/>
          </w:tcPr>
          <w:p w14:paraId="62EA084B" w14:textId="50689DC6" w:rsidR="000673D0" w:rsidRPr="00DD7C73" w:rsidRDefault="003C0171" w:rsidP="006C3525">
            <w:pPr>
              <w:jc w:val="both"/>
              <w:rPr>
                <w:rFonts w:asciiTheme="majorHAnsi" w:hAnsiTheme="majorHAnsi"/>
                <w:bCs/>
                <w:sz w:val="20"/>
                <w:szCs w:val="20"/>
                <w:lang w:val="es-ES"/>
              </w:rPr>
            </w:pPr>
            <w:r>
              <w:rPr>
                <w:rFonts w:asciiTheme="majorHAnsi" w:hAnsiTheme="majorHAnsi"/>
                <w:bCs/>
                <w:sz w:val="20"/>
                <w:szCs w:val="20"/>
                <w:lang w:val="es-ES"/>
              </w:rPr>
              <w:t>24 de agosto de 2020</w:t>
            </w:r>
          </w:p>
        </w:tc>
      </w:tr>
      <w:tr w:rsidR="003C0171" w:rsidRPr="003C0171" w14:paraId="7D772183" w14:textId="77777777" w:rsidTr="00DD7C73">
        <w:tc>
          <w:tcPr>
            <w:tcW w:w="3600" w:type="dxa"/>
            <w:tcBorders>
              <w:top w:val="single" w:sz="6" w:space="0" w:color="auto"/>
              <w:bottom w:val="single" w:sz="6" w:space="0" w:color="auto"/>
            </w:tcBorders>
            <w:shd w:val="clear" w:color="auto" w:fill="386294"/>
            <w:vAlign w:val="center"/>
          </w:tcPr>
          <w:p w14:paraId="76F852FE" w14:textId="511726A5" w:rsidR="003C0171" w:rsidRPr="00DD7C73" w:rsidRDefault="003C0171" w:rsidP="00B46185">
            <w:pPr>
              <w:jc w:val="center"/>
              <w:rPr>
                <w:rFonts w:asciiTheme="majorHAnsi" w:hAnsiTheme="majorHAnsi"/>
                <w:b/>
                <w:color w:val="FFFFFF" w:themeColor="background1"/>
                <w:sz w:val="20"/>
                <w:szCs w:val="20"/>
                <w:lang w:val="es-ES"/>
              </w:rPr>
            </w:pPr>
            <w:r>
              <w:rPr>
                <w:rFonts w:asciiTheme="majorHAnsi" w:hAnsiTheme="majorHAnsi"/>
                <w:b/>
                <w:color w:val="FFFFFF" w:themeColor="background1"/>
                <w:sz w:val="20"/>
                <w:szCs w:val="20"/>
                <w:lang w:val="es-ES"/>
              </w:rPr>
              <w:t>Observaciones adicionales de la pare peticionaria:</w:t>
            </w:r>
          </w:p>
        </w:tc>
        <w:tc>
          <w:tcPr>
            <w:tcW w:w="5557" w:type="dxa"/>
            <w:vAlign w:val="center"/>
          </w:tcPr>
          <w:p w14:paraId="2F94E08C" w14:textId="18487674" w:rsidR="003C0171" w:rsidRDefault="003C0171" w:rsidP="006C3525">
            <w:pPr>
              <w:jc w:val="both"/>
              <w:rPr>
                <w:rFonts w:asciiTheme="majorHAnsi" w:hAnsiTheme="majorHAnsi"/>
                <w:bCs/>
                <w:sz w:val="20"/>
                <w:szCs w:val="20"/>
                <w:lang w:val="es-ES"/>
              </w:rPr>
            </w:pPr>
            <w:r>
              <w:rPr>
                <w:rFonts w:asciiTheme="majorHAnsi" w:hAnsiTheme="majorHAnsi"/>
                <w:bCs/>
                <w:sz w:val="20"/>
                <w:szCs w:val="20"/>
                <w:lang w:val="es-ES"/>
              </w:rPr>
              <w:t>11 de diciembre de 2020</w:t>
            </w:r>
          </w:p>
        </w:tc>
      </w:tr>
      <w:tr w:rsidR="003C0171" w:rsidRPr="003C0171" w14:paraId="14799B53" w14:textId="77777777" w:rsidTr="00DD7C73">
        <w:tc>
          <w:tcPr>
            <w:tcW w:w="3600" w:type="dxa"/>
            <w:tcBorders>
              <w:top w:val="single" w:sz="6" w:space="0" w:color="auto"/>
              <w:bottom w:val="single" w:sz="6" w:space="0" w:color="auto"/>
            </w:tcBorders>
            <w:shd w:val="clear" w:color="auto" w:fill="386294"/>
            <w:vAlign w:val="center"/>
          </w:tcPr>
          <w:p w14:paraId="7B04C106" w14:textId="01BBF758" w:rsidR="003C0171" w:rsidRDefault="003C0171" w:rsidP="00B46185">
            <w:pPr>
              <w:jc w:val="center"/>
              <w:rPr>
                <w:rFonts w:asciiTheme="majorHAnsi" w:hAnsiTheme="majorHAnsi"/>
                <w:b/>
                <w:color w:val="FFFFFF" w:themeColor="background1"/>
                <w:sz w:val="20"/>
                <w:szCs w:val="20"/>
                <w:lang w:val="es-ES"/>
              </w:rPr>
            </w:pPr>
            <w:r>
              <w:rPr>
                <w:rFonts w:asciiTheme="majorHAnsi" w:hAnsiTheme="majorHAnsi"/>
                <w:b/>
                <w:color w:val="FFFFFF" w:themeColor="background1"/>
                <w:sz w:val="20"/>
                <w:szCs w:val="20"/>
                <w:lang w:val="es-ES"/>
              </w:rPr>
              <w:t>Observaciones adicionales del Estado</w:t>
            </w:r>
          </w:p>
        </w:tc>
        <w:tc>
          <w:tcPr>
            <w:tcW w:w="5557" w:type="dxa"/>
            <w:vAlign w:val="center"/>
          </w:tcPr>
          <w:p w14:paraId="006DEF15" w14:textId="1D0C02C9" w:rsidR="003C0171" w:rsidRDefault="003C0171" w:rsidP="006C3525">
            <w:pPr>
              <w:jc w:val="both"/>
              <w:rPr>
                <w:rFonts w:asciiTheme="majorHAnsi" w:hAnsiTheme="majorHAnsi"/>
                <w:bCs/>
                <w:sz w:val="20"/>
                <w:szCs w:val="20"/>
                <w:lang w:val="es-ES"/>
              </w:rPr>
            </w:pPr>
            <w:r>
              <w:rPr>
                <w:rFonts w:asciiTheme="majorHAnsi" w:hAnsiTheme="majorHAnsi"/>
                <w:bCs/>
                <w:sz w:val="20"/>
                <w:szCs w:val="20"/>
                <w:lang w:val="es-ES"/>
              </w:rPr>
              <w:t>22 de octubre de 2021</w:t>
            </w:r>
          </w:p>
        </w:tc>
      </w:tr>
    </w:tbl>
    <w:p w14:paraId="738616C2" w14:textId="77777777"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 xml:space="preserve">III. </w:t>
      </w:r>
      <w:r w:rsidRPr="009C6CB7">
        <w:rPr>
          <w:rFonts w:asciiTheme="majorHAnsi" w:hAnsiTheme="majorHAnsi"/>
          <w:b/>
          <w:bCs/>
          <w:sz w:val="19"/>
          <w:szCs w:val="19"/>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596"/>
      </w:tblGrid>
      <w:tr w:rsidR="000673D0" w:rsidRPr="00DD7C73" w14:paraId="3225DD29" w14:textId="77777777" w:rsidTr="00DD7C73">
        <w:trPr>
          <w:cantSplit/>
        </w:trPr>
        <w:tc>
          <w:tcPr>
            <w:tcW w:w="3561" w:type="dxa"/>
            <w:tcBorders>
              <w:top w:val="single" w:sz="4" w:space="0" w:color="auto"/>
              <w:bottom w:val="single" w:sz="6" w:space="0" w:color="auto"/>
            </w:tcBorders>
            <w:shd w:val="clear" w:color="auto" w:fill="386294"/>
            <w:vAlign w:val="center"/>
          </w:tcPr>
          <w:p w14:paraId="7A2417B8" w14:textId="77777777" w:rsidR="000673D0" w:rsidRPr="00DD7C73" w:rsidRDefault="000673D0" w:rsidP="00B46185">
            <w:pPr>
              <w:jc w:val="center"/>
              <w:rPr>
                <w:rFonts w:asciiTheme="majorHAnsi" w:hAnsiTheme="majorHAnsi"/>
                <w:b/>
                <w:bCs/>
                <w:i/>
                <w:color w:val="FFFFFF" w:themeColor="background1"/>
                <w:sz w:val="20"/>
                <w:szCs w:val="20"/>
              </w:rPr>
            </w:pPr>
            <w:r w:rsidRPr="00DD7C73">
              <w:rPr>
                <w:rFonts w:asciiTheme="majorHAnsi" w:hAnsiTheme="majorHAnsi"/>
                <w:b/>
                <w:bCs/>
                <w:color w:val="FFFFFF" w:themeColor="background1"/>
                <w:sz w:val="20"/>
                <w:szCs w:val="20"/>
              </w:rPr>
              <w:t>Competencia</w:t>
            </w:r>
            <w:r w:rsidRPr="00DD7C73">
              <w:rPr>
                <w:rFonts w:asciiTheme="majorHAnsi" w:hAnsiTheme="majorHAnsi"/>
                <w:b/>
                <w:bCs/>
                <w:i/>
                <w:color w:val="FFFFFF" w:themeColor="background1"/>
                <w:sz w:val="20"/>
                <w:szCs w:val="20"/>
              </w:rPr>
              <w:t xml:space="preserve"> Ratione personae:</w:t>
            </w:r>
          </w:p>
        </w:tc>
        <w:tc>
          <w:tcPr>
            <w:tcW w:w="5596" w:type="dxa"/>
            <w:vAlign w:val="center"/>
          </w:tcPr>
          <w:p w14:paraId="55AEE8CD" w14:textId="77777777" w:rsidR="000673D0" w:rsidRPr="00DD7C73" w:rsidRDefault="000673D0" w:rsidP="00B46185">
            <w:pPr>
              <w:rPr>
                <w:rFonts w:asciiTheme="majorHAnsi" w:hAnsiTheme="majorHAnsi"/>
                <w:bCs/>
                <w:sz w:val="20"/>
                <w:szCs w:val="20"/>
              </w:rPr>
            </w:pPr>
            <w:r w:rsidRPr="00DD7C73">
              <w:rPr>
                <w:rFonts w:asciiTheme="majorHAnsi" w:hAnsiTheme="majorHAnsi"/>
                <w:bCs/>
                <w:sz w:val="20"/>
                <w:szCs w:val="20"/>
              </w:rPr>
              <w:t>Sí</w:t>
            </w:r>
          </w:p>
        </w:tc>
      </w:tr>
      <w:tr w:rsidR="000673D0" w:rsidRPr="00DD7C73" w14:paraId="10BCE6F2" w14:textId="77777777" w:rsidTr="00DD7C73">
        <w:trPr>
          <w:cantSplit/>
        </w:trPr>
        <w:tc>
          <w:tcPr>
            <w:tcW w:w="3561" w:type="dxa"/>
            <w:tcBorders>
              <w:top w:val="single" w:sz="6" w:space="0" w:color="auto"/>
              <w:bottom w:val="single" w:sz="6" w:space="0" w:color="auto"/>
            </w:tcBorders>
            <w:shd w:val="clear" w:color="auto" w:fill="386294"/>
            <w:vAlign w:val="center"/>
          </w:tcPr>
          <w:p w14:paraId="71A23BD1"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Competencia</w:t>
            </w:r>
            <w:r w:rsidRPr="00DD7C73">
              <w:rPr>
                <w:rFonts w:asciiTheme="majorHAnsi" w:hAnsiTheme="majorHAnsi"/>
                <w:b/>
                <w:bCs/>
                <w:i/>
                <w:color w:val="FFFFFF" w:themeColor="background1"/>
                <w:sz w:val="20"/>
                <w:szCs w:val="20"/>
              </w:rPr>
              <w:t xml:space="preserve"> Ratione loci</w:t>
            </w:r>
            <w:r w:rsidRPr="00DD7C73">
              <w:rPr>
                <w:rFonts w:asciiTheme="majorHAnsi" w:hAnsiTheme="majorHAnsi"/>
                <w:b/>
                <w:bCs/>
                <w:color w:val="FFFFFF" w:themeColor="background1"/>
                <w:sz w:val="20"/>
                <w:szCs w:val="20"/>
              </w:rPr>
              <w:t>:</w:t>
            </w:r>
          </w:p>
        </w:tc>
        <w:tc>
          <w:tcPr>
            <w:tcW w:w="5596" w:type="dxa"/>
            <w:vAlign w:val="center"/>
          </w:tcPr>
          <w:p w14:paraId="77DDBD87" w14:textId="77777777" w:rsidR="000673D0" w:rsidRPr="00DD7C73" w:rsidRDefault="000673D0" w:rsidP="00B46185">
            <w:pPr>
              <w:rPr>
                <w:rFonts w:asciiTheme="majorHAnsi" w:hAnsiTheme="majorHAnsi"/>
                <w:bCs/>
                <w:sz w:val="20"/>
                <w:szCs w:val="20"/>
              </w:rPr>
            </w:pPr>
            <w:r w:rsidRPr="00DD7C73">
              <w:rPr>
                <w:rFonts w:asciiTheme="majorHAnsi" w:hAnsiTheme="majorHAnsi"/>
                <w:bCs/>
                <w:sz w:val="20"/>
                <w:szCs w:val="20"/>
              </w:rPr>
              <w:t>Sí</w:t>
            </w:r>
          </w:p>
        </w:tc>
      </w:tr>
      <w:tr w:rsidR="000673D0" w:rsidRPr="00DD7C73" w14:paraId="351D9A06" w14:textId="77777777" w:rsidTr="00DD7C73">
        <w:trPr>
          <w:cantSplit/>
        </w:trPr>
        <w:tc>
          <w:tcPr>
            <w:tcW w:w="3561" w:type="dxa"/>
            <w:tcBorders>
              <w:top w:val="single" w:sz="6" w:space="0" w:color="auto"/>
              <w:bottom w:val="single" w:sz="6" w:space="0" w:color="auto"/>
            </w:tcBorders>
            <w:shd w:val="clear" w:color="auto" w:fill="386294"/>
            <w:vAlign w:val="center"/>
          </w:tcPr>
          <w:p w14:paraId="39F491FA"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Competencia</w:t>
            </w:r>
            <w:r w:rsidRPr="00DD7C73">
              <w:rPr>
                <w:rFonts w:asciiTheme="majorHAnsi" w:hAnsiTheme="majorHAnsi"/>
                <w:b/>
                <w:bCs/>
                <w:i/>
                <w:color w:val="FFFFFF" w:themeColor="background1"/>
                <w:sz w:val="20"/>
                <w:szCs w:val="20"/>
              </w:rPr>
              <w:t xml:space="preserve"> Ratione temporis</w:t>
            </w:r>
            <w:r w:rsidRPr="00DD7C73">
              <w:rPr>
                <w:rFonts w:asciiTheme="majorHAnsi" w:hAnsiTheme="majorHAnsi"/>
                <w:b/>
                <w:bCs/>
                <w:color w:val="FFFFFF" w:themeColor="background1"/>
                <w:sz w:val="20"/>
                <w:szCs w:val="20"/>
              </w:rPr>
              <w:t>:</w:t>
            </w:r>
          </w:p>
        </w:tc>
        <w:tc>
          <w:tcPr>
            <w:tcW w:w="5596" w:type="dxa"/>
            <w:vAlign w:val="center"/>
          </w:tcPr>
          <w:p w14:paraId="76910945" w14:textId="06FE982B" w:rsidR="000673D0" w:rsidRPr="00DD7C73" w:rsidRDefault="000673D0" w:rsidP="00CF41C4">
            <w:pPr>
              <w:rPr>
                <w:rFonts w:asciiTheme="majorHAnsi" w:hAnsiTheme="majorHAnsi"/>
                <w:bCs/>
                <w:sz w:val="20"/>
                <w:szCs w:val="20"/>
                <w:lang w:val="es-PA"/>
              </w:rPr>
            </w:pPr>
            <w:r w:rsidRPr="00DD7C73">
              <w:rPr>
                <w:rFonts w:asciiTheme="majorHAnsi" w:hAnsiTheme="majorHAnsi"/>
                <w:bCs/>
                <w:sz w:val="20"/>
                <w:szCs w:val="20"/>
                <w:lang w:val="es-PA"/>
              </w:rPr>
              <w:t>Sí</w:t>
            </w:r>
            <w:r w:rsidR="009C6CB7" w:rsidRPr="00DD7C73">
              <w:rPr>
                <w:rFonts w:asciiTheme="majorHAnsi" w:hAnsiTheme="majorHAnsi"/>
                <w:bCs/>
                <w:sz w:val="20"/>
                <w:szCs w:val="20"/>
                <w:lang w:val="es-PA"/>
              </w:rPr>
              <w:t>,</w:t>
            </w:r>
          </w:p>
        </w:tc>
      </w:tr>
      <w:tr w:rsidR="000673D0" w:rsidRPr="007735A3" w14:paraId="160B34C2" w14:textId="77777777" w:rsidTr="00DD7C73">
        <w:trPr>
          <w:cantSplit/>
        </w:trPr>
        <w:tc>
          <w:tcPr>
            <w:tcW w:w="3561" w:type="dxa"/>
            <w:tcBorders>
              <w:top w:val="single" w:sz="6" w:space="0" w:color="auto"/>
              <w:bottom w:val="single" w:sz="6" w:space="0" w:color="auto"/>
            </w:tcBorders>
            <w:shd w:val="clear" w:color="auto" w:fill="386294"/>
            <w:vAlign w:val="center"/>
          </w:tcPr>
          <w:p w14:paraId="4BAA98B1"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Competencia</w:t>
            </w:r>
            <w:r w:rsidRPr="00DD7C73">
              <w:rPr>
                <w:rFonts w:asciiTheme="majorHAnsi" w:hAnsiTheme="majorHAnsi"/>
                <w:b/>
                <w:bCs/>
                <w:i/>
                <w:color w:val="FFFFFF" w:themeColor="background1"/>
                <w:sz w:val="20"/>
                <w:szCs w:val="20"/>
              </w:rPr>
              <w:t xml:space="preserve"> Ratione materiae</w:t>
            </w:r>
            <w:r w:rsidRPr="00DD7C73">
              <w:rPr>
                <w:rFonts w:asciiTheme="majorHAnsi" w:hAnsiTheme="majorHAnsi"/>
                <w:b/>
                <w:bCs/>
                <w:color w:val="FFFFFF" w:themeColor="background1"/>
                <w:sz w:val="20"/>
                <w:szCs w:val="20"/>
              </w:rPr>
              <w:t>:</w:t>
            </w:r>
          </w:p>
        </w:tc>
        <w:tc>
          <w:tcPr>
            <w:tcW w:w="5596" w:type="dxa"/>
            <w:vAlign w:val="center"/>
          </w:tcPr>
          <w:p w14:paraId="6AB0A733" w14:textId="057F14FA" w:rsidR="000673D0" w:rsidRPr="00DD7C73" w:rsidRDefault="000673D0" w:rsidP="00DD7C73">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DD7C73">
              <w:rPr>
                <w:rFonts w:asciiTheme="majorHAnsi" w:hAnsiTheme="majorHAnsi"/>
                <w:bCs/>
                <w:sz w:val="20"/>
                <w:szCs w:val="20"/>
                <w:lang w:val="es-ES"/>
              </w:rPr>
              <w:t xml:space="preserve">Sí, Convención Americana </w:t>
            </w:r>
            <w:r w:rsidR="0030535D" w:rsidRPr="00DD7C73">
              <w:rPr>
                <w:rFonts w:ascii="Cambria" w:hAnsi="Cambria"/>
                <w:bCs/>
                <w:sz w:val="20"/>
                <w:szCs w:val="20"/>
                <w:lang w:val="es-ES"/>
              </w:rPr>
              <w:t>(depósito del instrumento</w:t>
            </w:r>
            <w:r w:rsidR="00FB2B14">
              <w:rPr>
                <w:rFonts w:ascii="Cambria" w:hAnsi="Cambria"/>
                <w:bCs/>
                <w:sz w:val="20"/>
                <w:szCs w:val="20"/>
                <w:lang w:val="es-ES"/>
              </w:rPr>
              <w:t xml:space="preserve"> de ratificación</w:t>
            </w:r>
            <w:r w:rsidR="0030535D" w:rsidRPr="00DD7C73">
              <w:rPr>
                <w:rFonts w:ascii="Cambria" w:hAnsi="Cambria"/>
                <w:bCs/>
                <w:sz w:val="20"/>
                <w:szCs w:val="20"/>
                <w:lang w:val="es-ES"/>
              </w:rPr>
              <w:t xml:space="preserve"> realizado el</w:t>
            </w:r>
            <w:r w:rsidR="00DD7C73">
              <w:rPr>
                <w:rFonts w:ascii="Cambria" w:hAnsi="Cambria"/>
                <w:bCs/>
                <w:sz w:val="20"/>
                <w:szCs w:val="20"/>
                <w:lang w:val="es-ES"/>
              </w:rPr>
              <w:t xml:space="preserve"> </w:t>
            </w:r>
            <w:r w:rsidR="00486BCE">
              <w:rPr>
                <w:rFonts w:ascii="Cambria" w:hAnsi="Cambria"/>
                <w:bCs/>
                <w:sz w:val="20"/>
                <w:szCs w:val="20"/>
                <w:lang w:val="es-ES"/>
              </w:rPr>
              <w:t>31 de julio de 1973</w:t>
            </w:r>
            <w:r w:rsidR="0030535D" w:rsidRPr="00DD7C73">
              <w:rPr>
                <w:rFonts w:ascii="Cambria" w:hAnsi="Cambria"/>
                <w:bCs/>
                <w:sz w:val="20"/>
                <w:szCs w:val="20"/>
                <w:lang w:val="es-ES"/>
              </w:rPr>
              <w:t>)</w:t>
            </w:r>
          </w:p>
        </w:tc>
      </w:tr>
    </w:tbl>
    <w:p w14:paraId="46F3B92A" w14:textId="369696BD"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 xml:space="preserve">IV. </w:t>
      </w:r>
      <w:r w:rsidRPr="009C6CB7">
        <w:rPr>
          <w:rFonts w:asciiTheme="majorHAnsi" w:hAnsiTheme="majorHAnsi"/>
          <w:b/>
          <w:bCs/>
          <w:sz w:val="19"/>
          <w:szCs w:val="19"/>
          <w:lang w:val="es-ES"/>
        </w:rPr>
        <w:tab/>
        <w:t>DUPLICACIÓN</w:t>
      </w:r>
      <w:r w:rsidRPr="009C6CB7">
        <w:rPr>
          <w:rFonts w:asciiTheme="majorHAnsi" w:hAnsiTheme="majorHAnsi"/>
          <w:b/>
          <w:bCs/>
          <w:color w:val="FFFFFF" w:themeColor="background1"/>
          <w:sz w:val="19"/>
          <w:szCs w:val="19"/>
          <w:lang w:val="es-ES"/>
        </w:rPr>
        <w:t xml:space="preserve"> </w:t>
      </w:r>
      <w:r w:rsidRPr="009C6CB7">
        <w:rPr>
          <w:rFonts w:asciiTheme="majorHAnsi" w:hAnsiTheme="majorHAnsi"/>
          <w:b/>
          <w:bCs/>
          <w:sz w:val="19"/>
          <w:szCs w:val="19"/>
          <w:lang w:val="es-ES"/>
        </w:rPr>
        <w:t>DE PROCEDIMIENTOS Y COSA JUZGADA</w:t>
      </w:r>
      <w:r w:rsidR="002E4781" w:rsidRPr="009C6CB7">
        <w:rPr>
          <w:rFonts w:asciiTheme="majorHAnsi" w:hAnsiTheme="majorHAnsi"/>
          <w:b/>
          <w:bCs/>
          <w:i/>
          <w:sz w:val="19"/>
          <w:szCs w:val="19"/>
          <w:lang w:val="es-ES"/>
        </w:rPr>
        <w:t xml:space="preserve"> </w:t>
      </w:r>
      <w:r w:rsidR="00CF41C4">
        <w:rPr>
          <w:rFonts w:asciiTheme="majorHAnsi" w:hAnsiTheme="majorHAnsi"/>
          <w:b/>
          <w:bCs/>
          <w:sz w:val="19"/>
          <w:szCs w:val="19"/>
          <w:lang w:val="es-ES"/>
        </w:rPr>
        <w:t xml:space="preserve">INTERNACIONAL, </w:t>
      </w:r>
      <w:r w:rsidRPr="009C6CB7">
        <w:rPr>
          <w:rFonts w:asciiTheme="majorHAnsi" w:hAnsiTheme="majorHAnsi"/>
          <w:b/>
          <w:bCs/>
          <w:sz w:val="19"/>
          <w:szCs w:val="19"/>
          <w:lang w:val="es-ES"/>
        </w:rPr>
        <w:t xml:space="preserve">CARACTERIZACIÓN, </w:t>
      </w:r>
      <w:r w:rsidRPr="009C6CB7">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593"/>
      </w:tblGrid>
      <w:tr w:rsidR="000673D0" w:rsidRPr="00DD7C73" w14:paraId="3755C687" w14:textId="77777777" w:rsidTr="00DD7C73">
        <w:trPr>
          <w:cantSplit/>
        </w:trPr>
        <w:tc>
          <w:tcPr>
            <w:tcW w:w="3564" w:type="dxa"/>
            <w:tcBorders>
              <w:top w:val="single" w:sz="4" w:space="0" w:color="auto"/>
              <w:bottom w:val="single" w:sz="6" w:space="0" w:color="auto"/>
            </w:tcBorders>
            <w:shd w:val="clear" w:color="auto" w:fill="386294"/>
            <w:vAlign w:val="center"/>
          </w:tcPr>
          <w:p w14:paraId="0F134D10"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bCs/>
                <w:color w:val="FFFFFF" w:themeColor="background1"/>
                <w:sz w:val="20"/>
                <w:szCs w:val="20"/>
                <w:lang w:val="es-ES"/>
              </w:rPr>
              <w:t>Duplicación de procedimientos y cosa juzgada internacional:</w:t>
            </w:r>
          </w:p>
        </w:tc>
        <w:tc>
          <w:tcPr>
            <w:tcW w:w="5593" w:type="dxa"/>
            <w:vAlign w:val="center"/>
          </w:tcPr>
          <w:p w14:paraId="72801941" w14:textId="77777777" w:rsidR="000673D0" w:rsidRPr="00DD7C73" w:rsidRDefault="000673D0" w:rsidP="00B46185">
            <w:pPr>
              <w:jc w:val="both"/>
              <w:rPr>
                <w:rFonts w:asciiTheme="majorHAnsi" w:hAnsiTheme="majorHAnsi"/>
                <w:bCs/>
                <w:sz w:val="20"/>
                <w:szCs w:val="20"/>
                <w:lang w:val="es-ES"/>
              </w:rPr>
            </w:pPr>
            <w:r w:rsidRPr="00DD7C73">
              <w:rPr>
                <w:rFonts w:asciiTheme="majorHAnsi" w:hAnsiTheme="majorHAnsi"/>
                <w:bCs/>
                <w:sz w:val="20"/>
                <w:szCs w:val="20"/>
                <w:lang w:val="es-ES"/>
              </w:rPr>
              <w:t>No</w:t>
            </w:r>
          </w:p>
        </w:tc>
      </w:tr>
      <w:tr w:rsidR="000673D0" w:rsidRPr="007735A3" w14:paraId="5733AA78" w14:textId="77777777" w:rsidTr="00486BCE">
        <w:trPr>
          <w:cantSplit/>
          <w:trHeight w:val="300"/>
        </w:trPr>
        <w:tc>
          <w:tcPr>
            <w:tcW w:w="3564" w:type="dxa"/>
            <w:tcBorders>
              <w:top w:val="single" w:sz="4" w:space="0" w:color="auto"/>
              <w:bottom w:val="single" w:sz="6" w:space="0" w:color="auto"/>
            </w:tcBorders>
            <w:shd w:val="clear" w:color="auto" w:fill="386294"/>
            <w:vAlign w:val="center"/>
          </w:tcPr>
          <w:p w14:paraId="70AE02E1" w14:textId="77777777" w:rsidR="000673D0" w:rsidRPr="00DD7C73" w:rsidRDefault="000673D0" w:rsidP="00B46185">
            <w:pPr>
              <w:jc w:val="center"/>
              <w:rPr>
                <w:rFonts w:asciiTheme="majorHAnsi" w:hAnsiTheme="majorHAnsi"/>
                <w:b/>
                <w:bCs/>
                <w:i/>
                <w:color w:val="FFFFFF" w:themeColor="background1"/>
                <w:sz w:val="20"/>
                <w:szCs w:val="20"/>
              </w:rPr>
            </w:pPr>
            <w:r w:rsidRPr="00DD7C73">
              <w:rPr>
                <w:rFonts w:asciiTheme="majorHAnsi" w:hAnsiTheme="majorHAnsi"/>
                <w:b/>
                <w:bCs/>
                <w:color w:val="FFFFFF" w:themeColor="background1"/>
                <w:sz w:val="20"/>
                <w:szCs w:val="20"/>
              </w:rPr>
              <w:t>Derechos declarados admisibles</w:t>
            </w:r>
            <w:r w:rsidRPr="00DD7C73">
              <w:rPr>
                <w:rFonts w:asciiTheme="majorHAnsi" w:hAnsiTheme="majorHAnsi"/>
                <w:b/>
                <w:bCs/>
                <w:i/>
                <w:color w:val="FFFFFF" w:themeColor="background1"/>
                <w:sz w:val="20"/>
                <w:szCs w:val="20"/>
              </w:rPr>
              <w:t>:</w:t>
            </w:r>
          </w:p>
        </w:tc>
        <w:tc>
          <w:tcPr>
            <w:tcW w:w="5593" w:type="dxa"/>
            <w:vAlign w:val="center"/>
          </w:tcPr>
          <w:p w14:paraId="5EB169C6" w14:textId="07E42384" w:rsidR="000673D0" w:rsidRPr="00DD7C73" w:rsidRDefault="003C0171" w:rsidP="00CE73C2">
            <w:pPr>
              <w:jc w:val="both"/>
              <w:rPr>
                <w:rFonts w:asciiTheme="majorHAnsi" w:hAnsiTheme="majorHAnsi"/>
                <w:bCs/>
                <w:sz w:val="20"/>
                <w:szCs w:val="20"/>
                <w:lang w:val="es-PA" w:eastAsia="es-ES"/>
              </w:rPr>
            </w:pPr>
            <w:r>
              <w:rPr>
                <w:rFonts w:asciiTheme="majorHAnsi" w:hAnsiTheme="majorHAnsi"/>
                <w:bCs/>
                <w:sz w:val="20"/>
                <w:szCs w:val="20"/>
                <w:lang w:val="es-PA"/>
              </w:rPr>
              <w:t>Artículos 4 (vida), 8 (garantías judiciales) y 25 (protección judicial) de la Convención Americana</w:t>
            </w:r>
            <w:r w:rsidR="00FB2B14">
              <w:rPr>
                <w:rFonts w:asciiTheme="majorHAnsi" w:hAnsiTheme="majorHAnsi"/>
                <w:bCs/>
                <w:sz w:val="20"/>
                <w:szCs w:val="20"/>
                <w:lang w:val="es-PA"/>
              </w:rPr>
              <w:t>,</w:t>
            </w:r>
            <w:r>
              <w:rPr>
                <w:rFonts w:asciiTheme="majorHAnsi" w:hAnsiTheme="majorHAnsi"/>
                <w:bCs/>
                <w:sz w:val="20"/>
                <w:szCs w:val="20"/>
                <w:lang w:val="es-PA"/>
              </w:rPr>
              <w:t xml:space="preserve"> en relación con su artículo 1.1 (obligación de respetar los derechos)</w:t>
            </w:r>
          </w:p>
        </w:tc>
      </w:tr>
      <w:tr w:rsidR="000673D0" w:rsidRPr="007735A3" w14:paraId="56C738B6" w14:textId="77777777" w:rsidTr="00DD7C73">
        <w:trPr>
          <w:cantSplit/>
        </w:trPr>
        <w:tc>
          <w:tcPr>
            <w:tcW w:w="3564" w:type="dxa"/>
            <w:tcBorders>
              <w:top w:val="single" w:sz="6" w:space="0" w:color="auto"/>
              <w:bottom w:val="single" w:sz="6" w:space="0" w:color="auto"/>
            </w:tcBorders>
            <w:shd w:val="clear" w:color="auto" w:fill="386294"/>
            <w:vAlign w:val="center"/>
          </w:tcPr>
          <w:p w14:paraId="741F99C1"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bCs/>
                <w:color w:val="FFFFFF" w:themeColor="background1"/>
                <w:sz w:val="20"/>
                <w:szCs w:val="20"/>
                <w:lang w:val="es-ES"/>
              </w:rPr>
              <w:t>Agotamiento de recursos internos o procedencia de una excepción:</w:t>
            </w:r>
          </w:p>
        </w:tc>
        <w:tc>
          <w:tcPr>
            <w:tcW w:w="5593" w:type="dxa"/>
            <w:vAlign w:val="center"/>
          </w:tcPr>
          <w:p w14:paraId="7B5A6AFC" w14:textId="65901F7E" w:rsidR="000673D0" w:rsidRPr="00DD7C73" w:rsidRDefault="003C0171" w:rsidP="00C53390">
            <w:pPr>
              <w:rPr>
                <w:rFonts w:asciiTheme="majorHAnsi" w:hAnsiTheme="majorHAnsi"/>
                <w:bCs/>
                <w:sz w:val="20"/>
                <w:szCs w:val="20"/>
                <w:lang w:val="es-ES"/>
              </w:rPr>
            </w:pPr>
            <w:r>
              <w:rPr>
                <w:rFonts w:asciiTheme="majorHAnsi" w:hAnsiTheme="majorHAnsi"/>
                <w:bCs/>
                <w:sz w:val="20"/>
                <w:szCs w:val="20"/>
                <w:lang w:val="es-ES"/>
              </w:rPr>
              <w:t>Si, aplica excepción prevista en el artículo 46.2</w:t>
            </w:r>
            <w:r w:rsidR="00FB2B14">
              <w:rPr>
                <w:rFonts w:asciiTheme="majorHAnsi" w:hAnsiTheme="majorHAnsi"/>
                <w:bCs/>
                <w:sz w:val="20"/>
                <w:szCs w:val="20"/>
                <w:lang w:val="es-ES"/>
              </w:rPr>
              <w:t>.</w:t>
            </w:r>
            <w:r>
              <w:rPr>
                <w:rFonts w:asciiTheme="majorHAnsi" w:hAnsiTheme="majorHAnsi"/>
                <w:bCs/>
                <w:sz w:val="20"/>
                <w:szCs w:val="20"/>
                <w:lang w:val="es-ES"/>
              </w:rPr>
              <w:t>c) de la Convención Americana</w:t>
            </w:r>
          </w:p>
        </w:tc>
      </w:tr>
      <w:tr w:rsidR="000673D0" w:rsidRPr="007735A3" w14:paraId="64377EF5" w14:textId="77777777" w:rsidTr="00804DC5">
        <w:trPr>
          <w:cantSplit/>
          <w:trHeight w:val="102"/>
        </w:trPr>
        <w:tc>
          <w:tcPr>
            <w:tcW w:w="3564" w:type="dxa"/>
            <w:tcBorders>
              <w:top w:val="single" w:sz="6" w:space="0" w:color="auto"/>
              <w:bottom w:val="single" w:sz="6" w:space="0" w:color="auto"/>
            </w:tcBorders>
            <w:shd w:val="clear" w:color="auto" w:fill="386294"/>
            <w:vAlign w:val="center"/>
          </w:tcPr>
          <w:p w14:paraId="33D77F00"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lang w:val="es-PA"/>
              </w:rPr>
              <w:t>Presentación dentro de plaz</w:t>
            </w:r>
            <w:r w:rsidRPr="00DD7C73">
              <w:rPr>
                <w:rFonts w:asciiTheme="majorHAnsi" w:hAnsiTheme="majorHAnsi"/>
                <w:b/>
                <w:bCs/>
                <w:color w:val="FFFFFF" w:themeColor="background1"/>
                <w:sz w:val="20"/>
                <w:szCs w:val="20"/>
              </w:rPr>
              <w:t>o:</w:t>
            </w:r>
          </w:p>
        </w:tc>
        <w:tc>
          <w:tcPr>
            <w:tcW w:w="5593" w:type="dxa"/>
            <w:vAlign w:val="center"/>
          </w:tcPr>
          <w:p w14:paraId="6D2FF784" w14:textId="1D87B66A" w:rsidR="000673D0" w:rsidRPr="00DD7C73" w:rsidRDefault="003C0171" w:rsidP="00C53390">
            <w:pPr>
              <w:rPr>
                <w:rFonts w:asciiTheme="majorHAnsi" w:hAnsiTheme="majorHAnsi"/>
                <w:bCs/>
                <w:sz w:val="20"/>
                <w:szCs w:val="20"/>
                <w:lang w:val="es-PA"/>
              </w:rPr>
            </w:pPr>
            <w:r>
              <w:rPr>
                <w:rFonts w:asciiTheme="majorHAnsi" w:hAnsiTheme="majorHAnsi"/>
                <w:bCs/>
                <w:sz w:val="20"/>
                <w:szCs w:val="20"/>
                <w:lang w:val="es-PA"/>
              </w:rPr>
              <w:t xml:space="preserve">Sí, plazo razonable en los términos del artículo 32.2 del Reglamento de la Comisión. </w:t>
            </w:r>
          </w:p>
        </w:tc>
      </w:tr>
    </w:tbl>
    <w:p w14:paraId="4B975951" w14:textId="797B0E8A" w:rsidR="00D95005" w:rsidRPr="00F34A60" w:rsidRDefault="00223A29" w:rsidP="00D95005">
      <w:pPr>
        <w:spacing w:before="240" w:after="240"/>
        <w:ind w:firstLine="720"/>
        <w:jc w:val="both"/>
        <w:rPr>
          <w:rFonts w:asciiTheme="majorHAnsi" w:hAnsiTheme="majorHAnsi"/>
          <w:b/>
          <w:sz w:val="20"/>
          <w:szCs w:val="20"/>
          <w:lang w:val="es-ES_tradnl"/>
        </w:rPr>
      </w:pPr>
      <w:r w:rsidRPr="00940285">
        <w:rPr>
          <w:rFonts w:asciiTheme="majorHAnsi" w:hAnsiTheme="majorHAnsi"/>
          <w:b/>
          <w:sz w:val="20"/>
          <w:szCs w:val="20"/>
          <w:lang w:val="es-ES_tradnl"/>
        </w:rPr>
        <w:t>V</w:t>
      </w:r>
      <w:r w:rsidRPr="00F34A60">
        <w:rPr>
          <w:rFonts w:asciiTheme="majorHAnsi" w:hAnsiTheme="majorHAnsi"/>
          <w:b/>
          <w:sz w:val="20"/>
          <w:szCs w:val="20"/>
          <w:lang w:val="es-ES_tradnl"/>
        </w:rPr>
        <w:t xml:space="preserve">. </w:t>
      </w:r>
      <w:r w:rsidRPr="00F34A60">
        <w:rPr>
          <w:rFonts w:asciiTheme="majorHAnsi" w:hAnsiTheme="majorHAnsi"/>
          <w:b/>
          <w:sz w:val="20"/>
          <w:szCs w:val="20"/>
          <w:lang w:val="es-ES_tradnl"/>
        </w:rPr>
        <w:tab/>
      </w:r>
      <w:r w:rsidR="00486B1F" w:rsidRPr="00F34A60">
        <w:rPr>
          <w:rFonts w:asciiTheme="majorHAnsi" w:hAnsiTheme="majorHAnsi"/>
          <w:b/>
          <w:sz w:val="20"/>
          <w:szCs w:val="20"/>
          <w:lang w:val="es-ES_tradnl"/>
        </w:rPr>
        <w:t>POSICIÓN DE LAS PARTES</w:t>
      </w:r>
    </w:p>
    <w:p w14:paraId="20722E75" w14:textId="101C0EF1" w:rsidR="00486BCE" w:rsidRPr="00F34A60" w:rsidRDefault="003C0171" w:rsidP="0052042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F34A60">
        <w:rPr>
          <w:rFonts w:asciiTheme="majorHAnsi" w:hAnsiTheme="majorHAnsi"/>
          <w:bCs/>
          <w:color w:val="auto"/>
          <w:sz w:val="20"/>
          <w:szCs w:val="20"/>
          <w:lang w:val="es-ES_tradnl"/>
        </w:rPr>
        <w:t xml:space="preserve">El peticionario denuncia que la presunta víctima, su hermano, fue </w:t>
      </w:r>
      <w:r w:rsidR="00AA3368" w:rsidRPr="00F34A60">
        <w:rPr>
          <w:rFonts w:asciiTheme="majorHAnsi" w:hAnsiTheme="majorHAnsi"/>
          <w:bCs/>
          <w:color w:val="auto"/>
          <w:sz w:val="20"/>
          <w:szCs w:val="20"/>
          <w:lang w:val="es-ES_tradnl"/>
        </w:rPr>
        <w:t xml:space="preserve">asesinado durante los eventos de la toma del palacio de justicia de Bogotá por parte del grupo </w:t>
      </w:r>
      <w:r w:rsidR="005C49F1" w:rsidRPr="00F34A60">
        <w:rPr>
          <w:rFonts w:asciiTheme="majorHAnsi" w:hAnsiTheme="majorHAnsi"/>
          <w:bCs/>
          <w:color w:val="auto"/>
          <w:sz w:val="20"/>
          <w:szCs w:val="20"/>
          <w:lang w:val="es-ES_tradnl"/>
        </w:rPr>
        <w:t>guerrillero</w:t>
      </w:r>
      <w:r w:rsidR="00AA3368" w:rsidRPr="00F34A60">
        <w:rPr>
          <w:rFonts w:asciiTheme="majorHAnsi" w:hAnsiTheme="majorHAnsi"/>
          <w:bCs/>
          <w:color w:val="auto"/>
          <w:sz w:val="20"/>
          <w:szCs w:val="20"/>
          <w:lang w:val="es-ES_tradnl"/>
        </w:rPr>
        <w:t xml:space="preserve"> M-19 ocurrida el 6 de noviembre de 1985. La petición reclama que</w:t>
      </w:r>
      <w:r w:rsidR="00852CAE" w:rsidRPr="00F34A60">
        <w:rPr>
          <w:rFonts w:asciiTheme="majorHAnsi" w:hAnsiTheme="majorHAnsi"/>
          <w:bCs/>
          <w:color w:val="auto"/>
          <w:sz w:val="20"/>
          <w:szCs w:val="20"/>
          <w:lang w:val="es-ES_tradnl"/>
        </w:rPr>
        <w:t>,</w:t>
      </w:r>
      <w:r w:rsidR="00AA3368" w:rsidRPr="00F34A60">
        <w:rPr>
          <w:rFonts w:asciiTheme="majorHAnsi" w:hAnsiTheme="majorHAnsi"/>
          <w:bCs/>
          <w:color w:val="auto"/>
          <w:sz w:val="20"/>
          <w:szCs w:val="20"/>
          <w:lang w:val="es-ES_tradnl"/>
        </w:rPr>
        <w:t xml:space="preserve"> pese a haber transcurrido treinta y cinco años desde el hecho</w:t>
      </w:r>
      <w:r w:rsidR="00852CAE" w:rsidRPr="00F34A60">
        <w:rPr>
          <w:rFonts w:asciiTheme="majorHAnsi" w:hAnsiTheme="majorHAnsi"/>
          <w:bCs/>
          <w:color w:val="auto"/>
          <w:sz w:val="20"/>
          <w:szCs w:val="20"/>
          <w:lang w:val="es-ES_tradnl"/>
        </w:rPr>
        <w:t>,</w:t>
      </w:r>
      <w:r w:rsidR="00AA3368" w:rsidRPr="00F34A60">
        <w:rPr>
          <w:rFonts w:asciiTheme="majorHAnsi" w:hAnsiTheme="majorHAnsi"/>
          <w:bCs/>
          <w:color w:val="auto"/>
          <w:sz w:val="20"/>
          <w:szCs w:val="20"/>
          <w:lang w:val="es-ES_tradnl"/>
        </w:rPr>
        <w:t xml:space="preserve"> el </w:t>
      </w:r>
      <w:r w:rsidR="00AA3368" w:rsidRPr="00F34A60">
        <w:rPr>
          <w:rFonts w:asciiTheme="majorHAnsi" w:hAnsiTheme="majorHAnsi"/>
          <w:bCs/>
          <w:color w:val="auto"/>
          <w:sz w:val="20"/>
          <w:szCs w:val="20"/>
          <w:lang w:val="es-ES_tradnl"/>
        </w:rPr>
        <w:lastRenderedPageBreak/>
        <w:t>Estado no ha identificado ni sancionado a sus autores ni</w:t>
      </w:r>
      <w:r w:rsidR="0064573F" w:rsidRPr="00F34A60">
        <w:rPr>
          <w:rFonts w:asciiTheme="majorHAnsi" w:hAnsiTheme="majorHAnsi"/>
          <w:bCs/>
          <w:color w:val="auto"/>
          <w:sz w:val="20"/>
          <w:szCs w:val="20"/>
          <w:lang w:val="es-ES_tradnl"/>
        </w:rPr>
        <w:t xml:space="preserve"> ha</w:t>
      </w:r>
      <w:r w:rsidR="00AA3368" w:rsidRPr="00F34A60">
        <w:rPr>
          <w:rFonts w:asciiTheme="majorHAnsi" w:hAnsiTheme="majorHAnsi"/>
          <w:bCs/>
          <w:color w:val="auto"/>
          <w:sz w:val="20"/>
          <w:szCs w:val="20"/>
          <w:lang w:val="es-ES_tradnl"/>
        </w:rPr>
        <w:t xml:space="preserve"> brindado reparación integral a </w:t>
      </w:r>
      <w:r w:rsidR="005C49F1" w:rsidRPr="00F34A60">
        <w:rPr>
          <w:rFonts w:asciiTheme="majorHAnsi" w:hAnsiTheme="majorHAnsi"/>
          <w:bCs/>
          <w:color w:val="auto"/>
          <w:sz w:val="20"/>
          <w:szCs w:val="20"/>
          <w:lang w:val="es-ES_tradnl"/>
        </w:rPr>
        <w:t>los</w:t>
      </w:r>
      <w:r w:rsidR="00AA3368" w:rsidRPr="00F34A60">
        <w:rPr>
          <w:rFonts w:asciiTheme="majorHAnsi" w:hAnsiTheme="majorHAnsi"/>
          <w:bCs/>
          <w:color w:val="auto"/>
          <w:sz w:val="20"/>
          <w:szCs w:val="20"/>
          <w:lang w:val="es-ES_tradnl"/>
        </w:rPr>
        <w:t xml:space="preserve"> familiares de la presunta víctima. </w:t>
      </w:r>
    </w:p>
    <w:p w14:paraId="53C1042B" w14:textId="77777777" w:rsidR="00AA3368" w:rsidRPr="00F34A60" w:rsidRDefault="00AA3368" w:rsidP="00AA336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color w:val="auto"/>
          <w:sz w:val="20"/>
          <w:szCs w:val="20"/>
          <w:lang w:val="es-ES_tradnl"/>
        </w:rPr>
      </w:pPr>
    </w:p>
    <w:p w14:paraId="5B30D060" w14:textId="58943B31" w:rsidR="00AA3368" w:rsidRPr="00F34A60" w:rsidRDefault="005C49F1" w:rsidP="0052042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F34A60">
        <w:rPr>
          <w:rFonts w:asciiTheme="majorHAnsi" w:hAnsiTheme="majorHAnsi"/>
          <w:bCs/>
          <w:color w:val="auto"/>
          <w:sz w:val="20"/>
          <w:szCs w:val="20"/>
          <w:lang w:val="es-ES_tradnl"/>
        </w:rPr>
        <w:t>E</w:t>
      </w:r>
      <w:r w:rsidR="0064573F" w:rsidRPr="00F34A60">
        <w:rPr>
          <w:rFonts w:asciiTheme="majorHAnsi" w:hAnsiTheme="majorHAnsi"/>
          <w:bCs/>
          <w:color w:val="auto"/>
          <w:sz w:val="20"/>
          <w:szCs w:val="20"/>
          <w:lang w:val="es-ES_tradnl"/>
        </w:rPr>
        <w:t>l 6 de noviembre de 1985 el grupo armado ilegal M-19 ingresó violentamente y tomó por la fuerza las instalaciones del Palacio de Justicia de Bogotá, en un brutal asalto que duró alrededor de veintiocho horas y dejó como saldo a noventa y cuatro personas fallecidas y otras once desaparecidas. La presunta víctima, quien se desempeñaba como administrador del Palacio</w:t>
      </w:r>
      <w:r w:rsidR="00C32E35" w:rsidRPr="00F34A60">
        <w:rPr>
          <w:rFonts w:asciiTheme="majorHAnsi" w:hAnsiTheme="majorHAnsi"/>
          <w:bCs/>
          <w:color w:val="auto"/>
          <w:sz w:val="20"/>
          <w:szCs w:val="20"/>
          <w:lang w:val="es-ES_tradnl"/>
        </w:rPr>
        <w:t xml:space="preserve"> de Justicia</w:t>
      </w:r>
      <w:r w:rsidR="0064573F" w:rsidRPr="00F34A60">
        <w:rPr>
          <w:rFonts w:asciiTheme="majorHAnsi" w:hAnsiTheme="majorHAnsi"/>
          <w:bCs/>
          <w:color w:val="auto"/>
          <w:sz w:val="20"/>
          <w:szCs w:val="20"/>
          <w:lang w:val="es-ES_tradnl"/>
        </w:rPr>
        <w:t>, fue asesinado durante estos eventos. La petición destaca que estos hechos fueron posible</w:t>
      </w:r>
      <w:r w:rsidR="0025455F" w:rsidRPr="00F34A60">
        <w:rPr>
          <w:rFonts w:asciiTheme="majorHAnsi" w:hAnsiTheme="majorHAnsi"/>
          <w:bCs/>
          <w:color w:val="auto"/>
          <w:sz w:val="20"/>
          <w:szCs w:val="20"/>
          <w:lang w:val="es-ES_tradnl"/>
        </w:rPr>
        <w:t>s</w:t>
      </w:r>
      <w:r w:rsidR="0064573F" w:rsidRPr="00F34A60">
        <w:rPr>
          <w:rFonts w:asciiTheme="majorHAnsi" w:hAnsiTheme="majorHAnsi"/>
          <w:bCs/>
          <w:color w:val="auto"/>
          <w:sz w:val="20"/>
          <w:szCs w:val="20"/>
          <w:lang w:val="es-ES_tradnl"/>
        </w:rPr>
        <w:t xml:space="preserve"> por la omisión de la fuerza pública, cuyos agentes no se </w:t>
      </w:r>
      <w:r w:rsidR="00674716" w:rsidRPr="00F34A60">
        <w:rPr>
          <w:rFonts w:asciiTheme="majorHAnsi" w:hAnsiTheme="majorHAnsi"/>
          <w:bCs/>
          <w:color w:val="auto"/>
          <w:sz w:val="20"/>
          <w:szCs w:val="20"/>
          <w:lang w:val="es-ES_tradnl"/>
        </w:rPr>
        <w:t>presentaron</w:t>
      </w:r>
      <w:r w:rsidR="0064573F" w:rsidRPr="00F34A60">
        <w:rPr>
          <w:rFonts w:asciiTheme="majorHAnsi" w:hAnsiTheme="majorHAnsi"/>
          <w:bCs/>
          <w:color w:val="auto"/>
          <w:sz w:val="20"/>
          <w:szCs w:val="20"/>
          <w:lang w:val="es-ES_tradnl"/>
        </w:rPr>
        <w:t xml:space="preserve"> el día de los hechos pese a tener conocimiento de amenazas</w:t>
      </w:r>
      <w:r w:rsidR="004464F6" w:rsidRPr="00F34A60">
        <w:rPr>
          <w:rFonts w:asciiTheme="majorHAnsi" w:hAnsiTheme="majorHAnsi"/>
          <w:bCs/>
          <w:color w:val="auto"/>
          <w:sz w:val="20"/>
          <w:szCs w:val="20"/>
          <w:lang w:val="es-ES_tradnl"/>
        </w:rPr>
        <w:t xml:space="preserve"> hechas contra el Palacio</w:t>
      </w:r>
      <w:r w:rsidR="00C32E35" w:rsidRPr="00F34A60">
        <w:rPr>
          <w:rFonts w:asciiTheme="majorHAnsi" w:hAnsiTheme="majorHAnsi"/>
          <w:bCs/>
          <w:color w:val="auto"/>
          <w:sz w:val="20"/>
          <w:szCs w:val="20"/>
          <w:lang w:val="es-ES_tradnl"/>
        </w:rPr>
        <w:t xml:space="preserve"> de Justicia</w:t>
      </w:r>
      <w:r w:rsidR="004464F6" w:rsidRPr="00F34A60">
        <w:rPr>
          <w:rFonts w:asciiTheme="majorHAnsi" w:hAnsiTheme="majorHAnsi"/>
          <w:bCs/>
          <w:color w:val="auto"/>
          <w:sz w:val="20"/>
          <w:szCs w:val="20"/>
          <w:lang w:val="es-ES_tradnl"/>
        </w:rPr>
        <w:t xml:space="preserve">. </w:t>
      </w:r>
    </w:p>
    <w:p w14:paraId="01470DB1" w14:textId="77777777" w:rsidR="004464F6" w:rsidRPr="00F34A60" w:rsidRDefault="004464F6" w:rsidP="004464F6">
      <w:pPr>
        <w:pStyle w:val="ListParagraph"/>
        <w:rPr>
          <w:rFonts w:asciiTheme="majorHAnsi" w:hAnsiTheme="majorHAnsi"/>
          <w:bCs/>
          <w:color w:val="auto"/>
          <w:sz w:val="20"/>
          <w:szCs w:val="20"/>
          <w:lang w:val="es-ES_tradnl"/>
        </w:rPr>
      </w:pPr>
    </w:p>
    <w:p w14:paraId="2B65F3CF" w14:textId="4B2E7BD3" w:rsidR="004464F6" w:rsidRPr="00F34A60" w:rsidRDefault="004464F6" w:rsidP="0052042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F34A60">
        <w:rPr>
          <w:rFonts w:asciiTheme="majorHAnsi" w:hAnsiTheme="majorHAnsi"/>
          <w:bCs/>
          <w:color w:val="auto"/>
          <w:sz w:val="20"/>
          <w:szCs w:val="20"/>
          <w:lang w:val="es-ES_tradnl"/>
        </w:rPr>
        <w:t>La petición explica que en 1985 se inició una investigación penal en relación con la muerte de la presunta víctima. En su último escrito del 11 de diciembre de 2020 el peticionario denunció que la investigación no había concluido</w:t>
      </w:r>
      <w:r w:rsidR="00674716" w:rsidRPr="00F34A60">
        <w:rPr>
          <w:rFonts w:asciiTheme="majorHAnsi" w:hAnsiTheme="majorHAnsi"/>
          <w:bCs/>
          <w:color w:val="auto"/>
          <w:sz w:val="20"/>
          <w:szCs w:val="20"/>
          <w:lang w:val="es-ES_tradnl"/>
        </w:rPr>
        <w:t>,</w:t>
      </w:r>
      <w:r w:rsidRPr="00F34A60">
        <w:rPr>
          <w:rFonts w:asciiTheme="majorHAnsi" w:hAnsiTheme="majorHAnsi"/>
          <w:bCs/>
          <w:color w:val="auto"/>
          <w:sz w:val="20"/>
          <w:szCs w:val="20"/>
          <w:lang w:val="es-ES_tradnl"/>
        </w:rPr>
        <w:t xml:space="preserve"> y que seguía en etapa de indagatoria pese a haber transcurrido treinta y cinco años desde su inicio. La parte peticionaria considera que </w:t>
      </w:r>
      <w:r w:rsidR="00047E12" w:rsidRPr="00F34A60">
        <w:rPr>
          <w:rFonts w:asciiTheme="majorHAnsi" w:hAnsiTheme="majorHAnsi"/>
          <w:bCs/>
          <w:color w:val="auto"/>
          <w:sz w:val="20"/>
          <w:szCs w:val="20"/>
          <w:lang w:val="es-ES_tradnl"/>
        </w:rPr>
        <w:t>la duración de este proceso penal ha sido totalmente desmedida e irrazonable por lo que existe un retardo injustificado que amerita la aplicación de la excepción al requisito de agotamiento de los recursos internos prevista en el artículo 46.2</w:t>
      </w:r>
      <w:r w:rsidR="00674716" w:rsidRPr="00F34A60">
        <w:rPr>
          <w:rFonts w:asciiTheme="majorHAnsi" w:hAnsiTheme="majorHAnsi"/>
          <w:bCs/>
          <w:color w:val="auto"/>
          <w:sz w:val="20"/>
          <w:szCs w:val="20"/>
          <w:lang w:val="es-ES_tradnl"/>
        </w:rPr>
        <w:t>.</w:t>
      </w:r>
      <w:r w:rsidR="00047E12" w:rsidRPr="00F34A60">
        <w:rPr>
          <w:rFonts w:asciiTheme="majorHAnsi" w:hAnsiTheme="majorHAnsi"/>
          <w:bCs/>
          <w:color w:val="auto"/>
          <w:sz w:val="20"/>
          <w:szCs w:val="20"/>
          <w:lang w:val="es-ES_tradnl"/>
        </w:rPr>
        <w:t xml:space="preserve">c) de la Convención Americana. </w:t>
      </w:r>
    </w:p>
    <w:p w14:paraId="5F8CF447" w14:textId="5C77969C" w:rsidR="00047E12" w:rsidRPr="00F34A60" w:rsidRDefault="00852CAE" w:rsidP="00852CAE">
      <w:pPr>
        <w:pStyle w:val="ListParagraph"/>
        <w:tabs>
          <w:tab w:val="left" w:pos="3735"/>
        </w:tabs>
        <w:rPr>
          <w:rFonts w:asciiTheme="majorHAnsi" w:hAnsiTheme="majorHAnsi"/>
          <w:bCs/>
          <w:color w:val="auto"/>
          <w:sz w:val="20"/>
          <w:szCs w:val="20"/>
          <w:lang w:val="es-ES_tradnl"/>
        </w:rPr>
      </w:pPr>
      <w:r w:rsidRPr="00F34A60">
        <w:rPr>
          <w:rFonts w:asciiTheme="majorHAnsi" w:hAnsiTheme="majorHAnsi"/>
          <w:bCs/>
          <w:color w:val="auto"/>
          <w:sz w:val="20"/>
          <w:szCs w:val="20"/>
          <w:lang w:val="es-ES_tradnl"/>
        </w:rPr>
        <w:tab/>
      </w:r>
    </w:p>
    <w:p w14:paraId="77A3BCBF" w14:textId="7494766A" w:rsidR="00047E12" w:rsidRPr="00F34A60" w:rsidRDefault="00047E12" w:rsidP="0052042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F34A60">
        <w:rPr>
          <w:rFonts w:asciiTheme="majorHAnsi" w:hAnsiTheme="majorHAnsi"/>
          <w:bCs/>
          <w:color w:val="auto"/>
          <w:sz w:val="20"/>
          <w:szCs w:val="20"/>
          <w:lang w:val="es-ES_tradnl"/>
        </w:rPr>
        <w:t>El peticionario cuestiona la diligencia de las autoridades estatales</w:t>
      </w:r>
      <w:r w:rsidR="00674716" w:rsidRPr="00F34A60">
        <w:rPr>
          <w:rFonts w:asciiTheme="majorHAnsi" w:hAnsiTheme="majorHAnsi"/>
          <w:bCs/>
          <w:color w:val="auto"/>
          <w:sz w:val="20"/>
          <w:szCs w:val="20"/>
          <w:lang w:val="es-ES_tradnl"/>
        </w:rPr>
        <w:t>, alega</w:t>
      </w:r>
      <w:r w:rsidRPr="00F34A60">
        <w:rPr>
          <w:rFonts w:asciiTheme="majorHAnsi" w:hAnsiTheme="majorHAnsi"/>
          <w:bCs/>
          <w:color w:val="auto"/>
          <w:sz w:val="20"/>
          <w:szCs w:val="20"/>
          <w:lang w:val="es-ES_tradnl"/>
        </w:rPr>
        <w:t xml:space="preserve"> que el levantamiento e identificación del cadáver de la presunta víctima se realizó en 1985</w:t>
      </w:r>
      <w:r w:rsidR="00852CAE" w:rsidRPr="00F34A60">
        <w:rPr>
          <w:rFonts w:asciiTheme="majorHAnsi" w:hAnsiTheme="majorHAnsi"/>
          <w:bCs/>
          <w:color w:val="auto"/>
          <w:sz w:val="20"/>
          <w:szCs w:val="20"/>
          <w:lang w:val="es-ES_tradnl"/>
        </w:rPr>
        <w:t>,</w:t>
      </w:r>
      <w:r w:rsidRPr="00F34A60">
        <w:rPr>
          <w:rFonts w:asciiTheme="majorHAnsi" w:hAnsiTheme="majorHAnsi"/>
          <w:bCs/>
          <w:color w:val="auto"/>
          <w:sz w:val="20"/>
          <w:szCs w:val="20"/>
          <w:lang w:val="es-ES_tradnl"/>
        </w:rPr>
        <w:t xml:space="preserve"> un día después de su muerte, y que el Estado no ha acreditado que las autoridades hayan realizado diligencias relevantes para el esclarecimiento de los hechos</w:t>
      </w:r>
      <w:r w:rsidR="00674716" w:rsidRPr="00F34A60">
        <w:rPr>
          <w:rFonts w:asciiTheme="majorHAnsi" w:hAnsiTheme="majorHAnsi"/>
          <w:bCs/>
          <w:color w:val="auto"/>
          <w:sz w:val="20"/>
          <w:szCs w:val="20"/>
          <w:lang w:val="es-ES_tradnl"/>
        </w:rPr>
        <w:t>,</w:t>
      </w:r>
      <w:r w:rsidRPr="00F34A60">
        <w:rPr>
          <w:rFonts w:asciiTheme="majorHAnsi" w:hAnsiTheme="majorHAnsi"/>
          <w:bCs/>
          <w:color w:val="auto"/>
          <w:sz w:val="20"/>
          <w:szCs w:val="20"/>
          <w:lang w:val="es-ES_tradnl"/>
        </w:rPr>
        <w:t xml:space="preserve"> sino hasta que </w:t>
      </w:r>
      <w:r w:rsidR="00674716" w:rsidRPr="00F34A60">
        <w:rPr>
          <w:rFonts w:asciiTheme="majorHAnsi" w:hAnsiTheme="majorHAnsi"/>
          <w:bCs/>
          <w:color w:val="auto"/>
          <w:sz w:val="20"/>
          <w:szCs w:val="20"/>
          <w:lang w:val="es-ES_tradnl"/>
        </w:rPr>
        <w:t>el</w:t>
      </w:r>
      <w:r w:rsidRPr="00F34A60">
        <w:rPr>
          <w:rFonts w:asciiTheme="majorHAnsi" w:hAnsiTheme="majorHAnsi"/>
          <w:bCs/>
          <w:color w:val="auto"/>
          <w:sz w:val="20"/>
          <w:szCs w:val="20"/>
          <w:lang w:val="es-ES_tradnl"/>
        </w:rPr>
        <w:t xml:space="preserve"> 2018, treinta y </w:t>
      </w:r>
      <w:r w:rsidR="00025CBF" w:rsidRPr="00F34A60">
        <w:rPr>
          <w:rFonts w:asciiTheme="majorHAnsi" w:hAnsiTheme="majorHAnsi"/>
          <w:bCs/>
          <w:color w:val="auto"/>
          <w:sz w:val="20"/>
          <w:szCs w:val="20"/>
          <w:lang w:val="es-ES_tradnl"/>
        </w:rPr>
        <w:t>tres años</w:t>
      </w:r>
      <w:r w:rsidRPr="00F34A60">
        <w:rPr>
          <w:rFonts w:asciiTheme="majorHAnsi" w:hAnsiTheme="majorHAnsi"/>
          <w:bCs/>
          <w:color w:val="auto"/>
          <w:sz w:val="20"/>
          <w:szCs w:val="20"/>
          <w:lang w:val="es-ES_tradnl"/>
        </w:rPr>
        <w:t xml:space="preserve"> después, el cuerpo</w:t>
      </w:r>
      <w:r w:rsidR="00025CBF" w:rsidRPr="00F34A60">
        <w:rPr>
          <w:rFonts w:asciiTheme="majorHAnsi" w:hAnsiTheme="majorHAnsi"/>
          <w:bCs/>
          <w:color w:val="auto"/>
          <w:sz w:val="20"/>
          <w:szCs w:val="20"/>
          <w:lang w:val="es-ES_tradnl"/>
        </w:rPr>
        <w:t xml:space="preserve"> de la presunta víctima</w:t>
      </w:r>
      <w:r w:rsidRPr="00F34A60">
        <w:rPr>
          <w:rFonts w:asciiTheme="majorHAnsi" w:hAnsiTheme="majorHAnsi"/>
          <w:bCs/>
          <w:color w:val="auto"/>
          <w:sz w:val="20"/>
          <w:szCs w:val="20"/>
          <w:lang w:val="es-ES_tradnl"/>
        </w:rPr>
        <w:t xml:space="preserve"> fue exhumado a solicitud de </w:t>
      </w:r>
      <w:r w:rsidR="00025CBF" w:rsidRPr="00F34A60">
        <w:rPr>
          <w:rFonts w:asciiTheme="majorHAnsi" w:hAnsiTheme="majorHAnsi"/>
          <w:bCs/>
          <w:color w:val="auto"/>
          <w:sz w:val="20"/>
          <w:szCs w:val="20"/>
          <w:lang w:val="es-ES_tradnl"/>
        </w:rPr>
        <w:t xml:space="preserve">sus familiares. El peticionario agrega que el Estado no ha cumplido con demostrar que los hechos que debe investigar son complejos y que, aún si se aceptara que estos revisten de complejidad, ello no justificaría un plazo de treinta y cinco años sin que las investigaciones hayan arrojado ningún tipo de resultado. </w:t>
      </w:r>
    </w:p>
    <w:p w14:paraId="5F980787" w14:textId="77777777" w:rsidR="00025CBF" w:rsidRPr="00F34A60" w:rsidRDefault="00025CBF" w:rsidP="00025CBF">
      <w:pPr>
        <w:pStyle w:val="ListParagraph"/>
        <w:rPr>
          <w:rFonts w:asciiTheme="majorHAnsi" w:hAnsiTheme="majorHAnsi"/>
          <w:bCs/>
          <w:color w:val="auto"/>
          <w:sz w:val="20"/>
          <w:szCs w:val="20"/>
          <w:lang w:val="es-ES_tradnl"/>
        </w:rPr>
      </w:pPr>
    </w:p>
    <w:p w14:paraId="56B74CBF" w14:textId="66ECC763" w:rsidR="000F4D87" w:rsidRPr="00F34A60" w:rsidRDefault="00025CBF" w:rsidP="0052042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F34A60">
        <w:rPr>
          <w:rFonts w:asciiTheme="majorHAnsi" w:hAnsiTheme="majorHAnsi"/>
          <w:bCs/>
          <w:color w:val="auto"/>
          <w:sz w:val="20"/>
          <w:szCs w:val="20"/>
          <w:lang w:val="es-ES_tradnl"/>
        </w:rPr>
        <w:t xml:space="preserve">La petición también relata que en 1987 </w:t>
      </w:r>
      <w:r w:rsidR="005C49F1" w:rsidRPr="00F34A60">
        <w:rPr>
          <w:rFonts w:asciiTheme="majorHAnsi" w:hAnsiTheme="majorHAnsi"/>
          <w:bCs/>
          <w:color w:val="auto"/>
          <w:sz w:val="20"/>
          <w:szCs w:val="20"/>
          <w:lang w:val="es-ES_tradnl"/>
        </w:rPr>
        <w:t>los familiares</w:t>
      </w:r>
      <w:r w:rsidR="00811147" w:rsidRPr="00F34A60">
        <w:rPr>
          <w:rFonts w:asciiTheme="majorHAnsi" w:hAnsiTheme="majorHAnsi"/>
          <w:bCs/>
          <w:color w:val="auto"/>
          <w:sz w:val="20"/>
          <w:szCs w:val="20"/>
          <w:lang w:val="es-ES_tradnl"/>
        </w:rPr>
        <w:t xml:space="preserve"> </w:t>
      </w:r>
      <w:r w:rsidR="00BF5CCD" w:rsidRPr="00F34A60">
        <w:rPr>
          <w:rFonts w:asciiTheme="majorHAnsi" w:hAnsiTheme="majorHAnsi"/>
          <w:bCs/>
          <w:color w:val="auto"/>
          <w:sz w:val="20"/>
          <w:szCs w:val="20"/>
          <w:lang w:val="es-ES_tradnl"/>
        </w:rPr>
        <w:t>del Sr. Jorge Mayo</w:t>
      </w:r>
      <w:r w:rsidRPr="00F34A60">
        <w:rPr>
          <w:rFonts w:asciiTheme="majorHAnsi" w:hAnsiTheme="majorHAnsi"/>
          <w:bCs/>
          <w:color w:val="auto"/>
          <w:sz w:val="20"/>
          <w:szCs w:val="20"/>
          <w:lang w:val="es-ES_tradnl"/>
        </w:rPr>
        <w:t xml:space="preserve"> interpus</w:t>
      </w:r>
      <w:r w:rsidR="00811147" w:rsidRPr="00F34A60">
        <w:rPr>
          <w:rFonts w:asciiTheme="majorHAnsi" w:hAnsiTheme="majorHAnsi"/>
          <w:bCs/>
          <w:color w:val="auto"/>
          <w:sz w:val="20"/>
          <w:szCs w:val="20"/>
          <w:lang w:val="es-ES_tradnl"/>
        </w:rPr>
        <w:t>ieron</w:t>
      </w:r>
      <w:r w:rsidRPr="00F34A60">
        <w:rPr>
          <w:rFonts w:asciiTheme="majorHAnsi" w:hAnsiTheme="majorHAnsi"/>
          <w:bCs/>
          <w:color w:val="auto"/>
          <w:sz w:val="20"/>
          <w:szCs w:val="20"/>
          <w:lang w:val="es-ES_tradnl"/>
        </w:rPr>
        <w:t xml:space="preserve"> una acción de reparación directa para solicitar indemnización a las autoridades estatales por la muerte de </w:t>
      </w:r>
      <w:r w:rsidR="00852CAE" w:rsidRPr="00F34A60">
        <w:rPr>
          <w:rFonts w:asciiTheme="majorHAnsi" w:hAnsiTheme="majorHAnsi"/>
          <w:bCs/>
          <w:color w:val="auto"/>
          <w:sz w:val="20"/>
          <w:szCs w:val="20"/>
          <w:lang w:val="es-ES_tradnl"/>
        </w:rPr>
        <w:t>é</w:t>
      </w:r>
      <w:r w:rsidR="00811147" w:rsidRPr="00F34A60">
        <w:rPr>
          <w:rFonts w:asciiTheme="majorHAnsi" w:hAnsiTheme="majorHAnsi"/>
          <w:bCs/>
          <w:color w:val="auto"/>
          <w:sz w:val="20"/>
          <w:szCs w:val="20"/>
          <w:lang w:val="es-ES_tradnl"/>
        </w:rPr>
        <w:t>ste</w:t>
      </w:r>
      <w:r w:rsidRPr="00F34A60">
        <w:rPr>
          <w:rFonts w:asciiTheme="majorHAnsi" w:hAnsiTheme="majorHAnsi"/>
          <w:bCs/>
          <w:color w:val="auto"/>
          <w:sz w:val="20"/>
          <w:szCs w:val="20"/>
          <w:lang w:val="es-ES_tradnl"/>
        </w:rPr>
        <w:t>. E</w:t>
      </w:r>
      <w:r w:rsidR="00852CAE" w:rsidRPr="00F34A60">
        <w:rPr>
          <w:rFonts w:asciiTheme="majorHAnsi" w:hAnsiTheme="majorHAnsi"/>
          <w:bCs/>
          <w:color w:val="auto"/>
          <w:sz w:val="20"/>
          <w:szCs w:val="20"/>
          <w:lang w:val="es-ES_tradnl"/>
        </w:rPr>
        <w:t>llo</w:t>
      </w:r>
      <w:r w:rsidR="00811147" w:rsidRPr="00F34A60">
        <w:rPr>
          <w:rFonts w:asciiTheme="majorHAnsi" w:hAnsiTheme="majorHAnsi"/>
          <w:bCs/>
          <w:color w:val="auto"/>
          <w:sz w:val="20"/>
          <w:szCs w:val="20"/>
          <w:lang w:val="es-ES_tradnl"/>
        </w:rPr>
        <w:t xml:space="preserve"> conllevó a un proceso contencioso-administrativo que culminó en 1995 con una decisión en la que el Consejo de Estado ordenó el pago de una indemnización equivalente a mil gramos oro a favor de la madre de la presunta víctima y</w:t>
      </w:r>
      <w:r w:rsidR="0074675C" w:rsidRPr="00F34A60">
        <w:rPr>
          <w:rFonts w:asciiTheme="majorHAnsi" w:hAnsiTheme="majorHAnsi"/>
          <w:bCs/>
          <w:color w:val="auto"/>
          <w:sz w:val="20"/>
          <w:szCs w:val="20"/>
          <w:lang w:val="es-ES_tradnl"/>
        </w:rPr>
        <w:t xml:space="preserve"> otras equivalentes a quinientos gramos oros para cada uno de los hermanos de </w:t>
      </w:r>
      <w:r w:rsidR="00852CAE" w:rsidRPr="00F34A60">
        <w:rPr>
          <w:rFonts w:asciiTheme="majorHAnsi" w:hAnsiTheme="majorHAnsi"/>
          <w:bCs/>
          <w:color w:val="auto"/>
          <w:sz w:val="20"/>
          <w:szCs w:val="20"/>
          <w:lang w:val="es-ES_tradnl"/>
        </w:rPr>
        <w:t>é</w:t>
      </w:r>
      <w:r w:rsidR="0074675C" w:rsidRPr="00F34A60">
        <w:rPr>
          <w:rFonts w:asciiTheme="majorHAnsi" w:hAnsiTheme="majorHAnsi"/>
          <w:bCs/>
          <w:color w:val="auto"/>
          <w:sz w:val="20"/>
          <w:szCs w:val="20"/>
          <w:lang w:val="es-ES_tradnl"/>
        </w:rPr>
        <w:t xml:space="preserve">ste. La petición </w:t>
      </w:r>
      <w:r w:rsidR="00143142" w:rsidRPr="00F34A60">
        <w:rPr>
          <w:rFonts w:asciiTheme="majorHAnsi" w:hAnsiTheme="majorHAnsi"/>
          <w:bCs/>
          <w:color w:val="auto"/>
          <w:sz w:val="20"/>
          <w:szCs w:val="20"/>
          <w:lang w:val="es-ES_tradnl"/>
        </w:rPr>
        <w:t>sostiene que las indemnizaciones ordenadas no constituyeron una reparación integra</w:t>
      </w:r>
      <w:r w:rsidR="000F4D87" w:rsidRPr="00F34A60">
        <w:rPr>
          <w:rFonts w:asciiTheme="majorHAnsi" w:hAnsiTheme="majorHAnsi"/>
          <w:bCs/>
          <w:color w:val="auto"/>
          <w:sz w:val="20"/>
          <w:szCs w:val="20"/>
          <w:lang w:val="es-ES_tradnl"/>
        </w:rPr>
        <w:t>l,</w:t>
      </w:r>
      <w:r w:rsidR="00143142" w:rsidRPr="00F34A60">
        <w:rPr>
          <w:rFonts w:asciiTheme="majorHAnsi" w:hAnsiTheme="majorHAnsi"/>
          <w:bCs/>
          <w:color w:val="auto"/>
          <w:sz w:val="20"/>
          <w:szCs w:val="20"/>
          <w:lang w:val="es-ES_tradnl"/>
        </w:rPr>
        <w:t xml:space="preserve"> pues</w:t>
      </w:r>
      <w:r w:rsidR="000F4D87" w:rsidRPr="00F34A60">
        <w:rPr>
          <w:rFonts w:asciiTheme="majorHAnsi" w:hAnsiTheme="majorHAnsi"/>
          <w:bCs/>
          <w:color w:val="auto"/>
          <w:sz w:val="20"/>
          <w:szCs w:val="20"/>
          <w:lang w:val="es-ES_tradnl"/>
        </w:rPr>
        <w:t>to que</w:t>
      </w:r>
      <w:r w:rsidR="00143142" w:rsidRPr="00F34A60">
        <w:rPr>
          <w:rFonts w:asciiTheme="majorHAnsi" w:hAnsiTheme="majorHAnsi"/>
          <w:bCs/>
          <w:color w:val="auto"/>
          <w:sz w:val="20"/>
          <w:szCs w:val="20"/>
          <w:lang w:val="es-ES_tradnl"/>
        </w:rPr>
        <w:t xml:space="preserve"> fueron únicamente en concepto de perjuicios morales y no contemplaron los daños materiales ni la adopción de medidas de satisfacción y no repetición. </w:t>
      </w:r>
    </w:p>
    <w:p w14:paraId="51082DCD" w14:textId="77777777" w:rsidR="000F4D87" w:rsidRPr="00F34A60" w:rsidRDefault="000F4D87" w:rsidP="000F4D87">
      <w:pPr>
        <w:pStyle w:val="ListParagraph"/>
        <w:rPr>
          <w:rFonts w:asciiTheme="majorHAnsi" w:hAnsiTheme="majorHAnsi"/>
          <w:bCs/>
          <w:color w:val="auto"/>
          <w:sz w:val="20"/>
          <w:szCs w:val="20"/>
          <w:lang w:val="es-ES_tradnl"/>
        </w:rPr>
      </w:pPr>
    </w:p>
    <w:p w14:paraId="52A002CB" w14:textId="72316A86" w:rsidR="00025CBF" w:rsidRPr="00F34A60" w:rsidRDefault="000F4D87" w:rsidP="0052042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F34A60">
        <w:rPr>
          <w:rFonts w:asciiTheme="majorHAnsi" w:hAnsiTheme="majorHAnsi"/>
          <w:bCs/>
          <w:color w:val="auto"/>
          <w:sz w:val="20"/>
          <w:szCs w:val="20"/>
          <w:lang w:val="es-ES_tradnl"/>
        </w:rPr>
        <w:t xml:space="preserve">El peticionario expresa que su intención no es utilizar al Sistema Interamericano como una instancia de alzada o de apelación sino obtener una reparación integral por la muerte de la presunta víctima y el esclarecimiento de lo ocurrido a </w:t>
      </w:r>
      <w:r w:rsidR="00852CAE" w:rsidRPr="00F34A60">
        <w:rPr>
          <w:rFonts w:asciiTheme="majorHAnsi" w:hAnsiTheme="majorHAnsi"/>
          <w:bCs/>
          <w:color w:val="auto"/>
          <w:sz w:val="20"/>
          <w:szCs w:val="20"/>
          <w:lang w:val="es-ES_tradnl"/>
        </w:rPr>
        <w:t>é</w:t>
      </w:r>
      <w:r w:rsidRPr="00F34A60">
        <w:rPr>
          <w:rFonts w:asciiTheme="majorHAnsi" w:hAnsiTheme="majorHAnsi"/>
          <w:bCs/>
          <w:color w:val="auto"/>
          <w:sz w:val="20"/>
          <w:szCs w:val="20"/>
          <w:lang w:val="es-ES_tradnl"/>
        </w:rPr>
        <w:t xml:space="preserve">ste. </w:t>
      </w:r>
    </w:p>
    <w:p w14:paraId="6358906F" w14:textId="77777777" w:rsidR="000F4D87" w:rsidRPr="00F34A60" w:rsidRDefault="000F4D87" w:rsidP="000F4D87">
      <w:pPr>
        <w:pStyle w:val="ListParagraph"/>
        <w:rPr>
          <w:rFonts w:asciiTheme="majorHAnsi" w:hAnsiTheme="majorHAnsi"/>
          <w:bCs/>
          <w:color w:val="auto"/>
          <w:sz w:val="20"/>
          <w:szCs w:val="20"/>
          <w:lang w:val="es-ES_tradnl"/>
        </w:rPr>
      </w:pPr>
    </w:p>
    <w:p w14:paraId="6C9D231A" w14:textId="04BFE1A9" w:rsidR="000F4D87" w:rsidRPr="00F34A60" w:rsidRDefault="000F4D87" w:rsidP="0052042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F34A60">
        <w:rPr>
          <w:rFonts w:asciiTheme="majorHAnsi" w:hAnsiTheme="majorHAnsi"/>
          <w:bCs/>
          <w:color w:val="auto"/>
          <w:sz w:val="20"/>
          <w:szCs w:val="20"/>
          <w:lang w:val="es-ES_tradnl"/>
        </w:rPr>
        <w:t xml:space="preserve">El Estado, por su parte, considera que la petición debe ser inadmitida por la falta de agotamiento de los recursos internos respecto a la acción penal y porque el peticionario pretende improcedentemente que la Comisión actúe como una cuarta instancia con respecto a la acción de reparación directa. </w:t>
      </w:r>
    </w:p>
    <w:p w14:paraId="6411DF55" w14:textId="77777777" w:rsidR="000F4D87" w:rsidRPr="00F34A60" w:rsidRDefault="000F4D87" w:rsidP="000F4D87">
      <w:pPr>
        <w:pStyle w:val="ListParagraph"/>
        <w:rPr>
          <w:rFonts w:asciiTheme="majorHAnsi" w:hAnsiTheme="majorHAnsi"/>
          <w:bCs/>
          <w:color w:val="auto"/>
          <w:sz w:val="20"/>
          <w:szCs w:val="20"/>
          <w:lang w:val="es-ES_tradnl"/>
        </w:rPr>
      </w:pPr>
    </w:p>
    <w:p w14:paraId="112CEACF" w14:textId="6CD09694" w:rsidR="00883760" w:rsidRPr="00F34A60" w:rsidRDefault="00883760" w:rsidP="005A27F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F34A60">
        <w:rPr>
          <w:rFonts w:asciiTheme="majorHAnsi" w:hAnsiTheme="majorHAnsi"/>
          <w:bCs/>
          <w:color w:val="auto"/>
          <w:sz w:val="20"/>
          <w:szCs w:val="20"/>
          <w:lang w:val="es-ES_tradnl"/>
        </w:rPr>
        <w:t xml:space="preserve">El Estado explica que el proceso penal constituye el recurso adecuado y efectivo para la investigación, juzgamiento, sanción y reparación por parte del propio victimario en casos de presuntas violaciones a los derechos humanos tales como las alegadas en la petición. En este sentido, destaca que el proceso penal relacionado con la muerte de la presunta víctima no ha concluido, por lo que la petición no cumple con el requisito de agotamiento de los recursos internos. </w:t>
      </w:r>
      <w:r w:rsidR="005A27F7" w:rsidRPr="00F34A60">
        <w:rPr>
          <w:rFonts w:asciiTheme="majorHAnsi" w:hAnsiTheme="majorHAnsi"/>
          <w:bCs/>
          <w:color w:val="auto"/>
          <w:sz w:val="20"/>
          <w:szCs w:val="20"/>
          <w:lang w:val="es-ES_tradnl"/>
        </w:rPr>
        <w:t>A esto añade que el hecho de que el proceso no haya resultado hasta la fecha en sentencias condenatoria</w:t>
      </w:r>
      <w:r w:rsidR="00852CAE" w:rsidRPr="00F34A60">
        <w:rPr>
          <w:rFonts w:asciiTheme="majorHAnsi" w:hAnsiTheme="majorHAnsi"/>
          <w:bCs/>
          <w:color w:val="auto"/>
          <w:sz w:val="20"/>
          <w:szCs w:val="20"/>
          <w:lang w:val="es-ES_tradnl"/>
        </w:rPr>
        <w:t>s</w:t>
      </w:r>
      <w:r w:rsidR="005A27F7" w:rsidRPr="00F34A60">
        <w:rPr>
          <w:rFonts w:asciiTheme="majorHAnsi" w:hAnsiTheme="majorHAnsi"/>
          <w:bCs/>
          <w:color w:val="auto"/>
          <w:sz w:val="20"/>
          <w:szCs w:val="20"/>
          <w:lang w:val="es-ES_tradnl"/>
        </w:rPr>
        <w:t xml:space="preserve"> no implica </w:t>
      </w:r>
      <w:r w:rsidR="005A27F7" w:rsidRPr="00F34A60">
        <w:rPr>
          <w:rFonts w:asciiTheme="majorHAnsi" w:hAnsiTheme="majorHAnsi"/>
          <w:bCs/>
          <w:i/>
          <w:iCs/>
          <w:color w:val="auto"/>
          <w:sz w:val="20"/>
          <w:szCs w:val="20"/>
          <w:lang w:val="es-ES_tradnl"/>
        </w:rPr>
        <w:t>per se</w:t>
      </w:r>
      <w:r w:rsidR="005A27F7" w:rsidRPr="00F34A60">
        <w:rPr>
          <w:rFonts w:asciiTheme="majorHAnsi" w:hAnsiTheme="majorHAnsi"/>
          <w:bCs/>
          <w:color w:val="auto"/>
          <w:sz w:val="20"/>
          <w:szCs w:val="20"/>
          <w:lang w:val="es-ES_tradnl"/>
        </w:rPr>
        <w:t xml:space="preserve"> que el Estado haya incumplido sus deberes bajo la Convención Americana. Esto, puesto que la obligación de investigar, juzgar y sancionar las violaciones de derechos humanos es de medio y no de resultado. </w:t>
      </w:r>
    </w:p>
    <w:p w14:paraId="18B626C8" w14:textId="77777777" w:rsidR="005A27F7" w:rsidRPr="00F34A60" w:rsidRDefault="005A27F7" w:rsidP="005A27F7">
      <w:pPr>
        <w:pStyle w:val="ListParagraph"/>
        <w:rPr>
          <w:rFonts w:asciiTheme="majorHAnsi" w:hAnsiTheme="majorHAnsi"/>
          <w:bCs/>
          <w:color w:val="auto"/>
          <w:sz w:val="20"/>
          <w:szCs w:val="20"/>
          <w:lang w:val="es-ES_tradnl"/>
        </w:rPr>
      </w:pPr>
    </w:p>
    <w:p w14:paraId="10293A81" w14:textId="6173BE4B" w:rsidR="005A27F7" w:rsidRPr="00F34A60" w:rsidRDefault="005A27F7" w:rsidP="005A27F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F34A60">
        <w:rPr>
          <w:rFonts w:asciiTheme="majorHAnsi" w:hAnsiTheme="majorHAnsi"/>
          <w:bCs/>
          <w:color w:val="auto"/>
          <w:sz w:val="20"/>
          <w:szCs w:val="20"/>
          <w:lang w:val="es-ES_tradnl"/>
        </w:rPr>
        <w:t>Manifiesta el Estado que ninguna de las excepciones al requisito de agotamiento de los recursos internos resulta aplicable a la petición. En este sentido explica que no ha existido retardo injustificado en el desarrollo del proceso penal</w:t>
      </w:r>
      <w:r w:rsidR="00E202DC" w:rsidRPr="00F34A60">
        <w:rPr>
          <w:rFonts w:asciiTheme="majorHAnsi" w:hAnsiTheme="majorHAnsi"/>
          <w:bCs/>
          <w:color w:val="auto"/>
          <w:sz w:val="20"/>
          <w:szCs w:val="20"/>
          <w:lang w:val="es-ES_tradnl"/>
        </w:rPr>
        <w:t>,</w:t>
      </w:r>
      <w:r w:rsidRPr="00F34A60">
        <w:rPr>
          <w:rFonts w:asciiTheme="majorHAnsi" w:hAnsiTheme="majorHAnsi"/>
          <w:bCs/>
          <w:color w:val="auto"/>
          <w:sz w:val="20"/>
          <w:szCs w:val="20"/>
          <w:lang w:val="es-ES_tradnl"/>
        </w:rPr>
        <w:t xml:space="preserve"> pues</w:t>
      </w:r>
      <w:r w:rsidR="002023F8" w:rsidRPr="00F34A60">
        <w:rPr>
          <w:rFonts w:asciiTheme="majorHAnsi" w:hAnsiTheme="majorHAnsi"/>
          <w:bCs/>
          <w:color w:val="auto"/>
          <w:sz w:val="20"/>
          <w:szCs w:val="20"/>
          <w:lang w:val="es-ES_tradnl"/>
        </w:rPr>
        <w:t xml:space="preserve"> las autoridades han actuado con diligencia y su labor se ha dificultado </w:t>
      </w:r>
      <w:r w:rsidRPr="00F34A60">
        <w:rPr>
          <w:rFonts w:asciiTheme="majorHAnsi" w:hAnsiTheme="majorHAnsi"/>
          <w:bCs/>
          <w:color w:val="auto"/>
          <w:sz w:val="20"/>
          <w:szCs w:val="20"/>
          <w:lang w:val="es-ES_tradnl"/>
        </w:rPr>
        <w:lastRenderedPageBreak/>
        <w:t>p</w:t>
      </w:r>
      <w:r w:rsidR="002023F8" w:rsidRPr="00F34A60">
        <w:rPr>
          <w:rFonts w:asciiTheme="majorHAnsi" w:hAnsiTheme="majorHAnsi"/>
          <w:bCs/>
          <w:color w:val="auto"/>
          <w:sz w:val="20"/>
          <w:szCs w:val="20"/>
          <w:lang w:val="es-ES_tradnl"/>
        </w:rPr>
        <w:t xml:space="preserve">or la complejidad de los </w:t>
      </w:r>
      <w:r w:rsidRPr="00F34A60">
        <w:rPr>
          <w:rFonts w:asciiTheme="majorHAnsi" w:hAnsiTheme="majorHAnsi"/>
          <w:bCs/>
          <w:color w:val="auto"/>
          <w:sz w:val="20"/>
          <w:szCs w:val="20"/>
          <w:lang w:val="es-ES_tradnl"/>
        </w:rPr>
        <w:t xml:space="preserve">hechos relacionados con la toma del Palacio de </w:t>
      </w:r>
      <w:r w:rsidR="002023F8" w:rsidRPr="00F34A60">
        <w:rPr>
          <w:rFonts w:asciiTheme="majorHAnsi" w:hAnsiTheme="majorHAnsi"/>
          <w:bCs/>
          <w:color w:val="auto"/>
          <w:sz w:val="20"/>
          <w:szCs w:val="20"/>
          <w:lang w:val="es-ES_tradnl"/>
        </w:rPr>
        <w:t>Justicia, los que involucran número</w:t>
      </w:r>
      <w:r w:rsidR="00560C3E" w:rsidRPr="00F34A60">
        <w:rPr>
          <w:rFonts w:asciiTheme="majorHAnsi" w:hAnsiTheme="majorHAnsi"/>
          <w:bCs/>
          <w:color w:val="auto"/>
          <w:sz w:val="20"/>
          <w:szCs w:val="20"/>
          <w:lang w:val="es-ES_tradnl"/>
        </w:rPr>
        <w:t>s</w:t>
      </w:r>
      <w:r w:rsidR="002023F8" w:rsidRPr="00F34A60">
        <w:rPr>
          <w:rFonts w:asciiTheme="majorHAnsi" w:hAnsiTheme="majorHAnsi"/>
          <w:bCs/>
          <w:color w:val="auto"/>
          <w:sz w:val="20"/>
          <w:szCs w:val="20"/>
          <w:lang w:val="es-ES_tradnl"/>
        </w:rPr>
        <w:t xml:space="preserve"> plural</w:t>
      </w:r>
      <w:r w:rsidR="00560C3E" w:rsidRPr="00F34A60">
        <w:rPr>
          <w:rFonts w:asciiTheme="majorHAnsi" w:hAnsiTheme="majorHAnsi"/>
          <w:bCs/>
          <w:color w:val="auto"/>
          <w:sz w:val="20"/>
          <w:szCs w:val="20"/>
          <w:lang w:val="es-ES_tradnl"/>
        </w:rPr>
        <w:t>es</w:t>
      </w:r>
      <w:r w:rsidR="002023F8" w:rsidRPr="00F34A60">
        <w:rPr>
          <w:rFonts w:asciiTheme="majorHAnsi" w:hAnsiTheme="majorHAnsi"/>
          <w:bCs/>
          <w:color w:val="auto"/>
          <w:sz w:val="20"/>
          <w:szCs w:val="20"/>
          <w:lang w:val="es-ES_tradnl"/>
        </w:rPr>
        <w:t xml:space="preserve"> de </w:t>
      </w:r>
      <w:r w:rsidRPr="00F34A60">
        <w:rPr>
          <w:rFonts w:asciiTheme="majorHAnsi" w:hAnsiTheme="majorHAnsi"/>
          <w:bCs/>
          <w:color w:val="auto"/>
          <w:sz w:val="20"/>
          <w:szCs w:val="20"/>
          <w:lang w:val="es-ES_tradnl"/>
        </w:rPr>
        <w:t>víctimas, conductas investigadas y perpetradores</w:t>
      </w:r>
      <w:r w:rsidR="002023F8" w:rsidRPr="00F34A60">
        <w:rPr>
          <w:rFonts w:asciiTheme="majorHAnsi" w:hAnsiTheme="majorHAnsi"/>
          <w:bCs/>
          <w:color w:val="auto"/>
          <w:sz w:val="20"/>
          <w:szCs w:val="20"/>
          <w:lang w:val="es-ES_tradnl"/>
        </w:rPr>
        <w:t xml:space="preserve">; además de que los perpetradores pertenecían a un grupo armado ilegal que tenía como práctica habitual el ocultamiento doloso de las pruebas. </w:t>
      </w:r>
    </w:p>
    <w:p w14:paraId="5EE81736" w14:textId="77777777" w:rsidR="005A27F7" w:rsidRPr="00F34A60" w:rsidRDefault="005A27F7" w:rsidP="005A27F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ES_tradnl"/>
        </w:rPr>
      </w:pPr>
    </w:p>
    <w:p w14:paraId="20921D91" w14:textId="54351E32" w:rsidR="00B0410C" w:rsidRPr="00F34A60" w:rsidRDefault="00883760" w:rsidP="002023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F34A60">
        <w:rPr>
          <w:rFonts w:asciiTheme="majorHAnsi" w:hAnsiTheme="majorHAnsi"/>
          <w:bCs/>
          <w:color w:val="auto"/>
          <w:sz w:val="20"/>
          <w:szCs w:val="20"/>
          <w:lang w:val="es-ES_tradnl"/>
        </w:rPr>
        <w:t xml:space="preserve">Respecto </w:t>
      </w:r>
      <w:r w:rsidR="002023F8" w:rsidRPr="00F34A60">
        <w:rPr>
          <w:rFonts w:asciiTheme="majorHAnsi" w:hAnsiTheme="majorHAnsi"/>
          <w:bCs/>
          <w:color w:val="auto"/>
          <w:sz w:val="20"/>
          <w:szCs w:val="20"/>
          <w:lang w:val="es-ES_tradnl"/>
        </w:rPr>
        <w:t>a la diligencia de las autoridades estatales</w:t>
      </w:r>
      <w:r w:rsidRPr="00F34A60">
        <w:rPr>
          <w:rFonts w:asciiTheme="majorHAnsi" w:hAnsiTheme="majorHAnsi"/>
          <w:bCs/>
          <w:color w:val="auto"/>
          <w:sz w:val="20"/>
          <w:szCs w:val="20"/>
          <w:lang w:val="es-ES_tradnl"/>
        </w:rPr>
        <w:t>, el Estado indica que la Fiscalía</w:t>
      </w:r>
      <w:r w:rsidR="002023F8" w:rsidRPr="00F34A60">
        <w:rPr>
          <w:rFonts w:asciiTheme="majorHAnsi" w:hAnsiTheme="majorHAnsi"/>
          <w:bCs/>
          <w:color w:val="auto"/>
          <w:sz w:val="20"/>
          <w:szCs w:val="20"/>
          <w:lang w:val="es-ES_tradnl"/>
        </w:rPr>
        <w:t xml:space="preserve"> </w:t>
      </w:r>
      <w:r w:rsidRPr="00F34A60">
        <w:rPr>
          <w:rFonts w:asciiTheme="majorHAnsi" w:hAnsiTheme="majorHAnsi"/>
          <w:bCs/>
          <w:color w:val="auto"/>
          <w:sz w:val="20"/>
          <w:szCs w:val="20"/>
          <w:lang w:val="es-ES_tradnl"/>
        </w:rPr>
        <w:t>General</w:t>
      </w:r>
      <w:r w:rsidR="00560C3E" w:rsidRPr="00F34A60">
        <w:rPr>
          <w:rFonts w:asciiTheme="majorHAnsi" w:hAnsiTheme="majorHAnsi"/>
          <w:bCs/>
          <w:color w:val="auto"/>
          <w:sz w:val="20"/>
          <w:szCs w:val="20"/>
          <w:lang w:val="es-ES_tradnl"/>
        </w:rPr>
        <w:t xml:space="preserve"> </w:t>
      </w:r>
      <w:r w:rsidRPr="00F34A60">
        <w:rPr>
          <w:rFonts w:asciiTheme="majorHAnsi" w:hAnsiTheme="majorHAnsi"/>
          <w:bCs/>
          <w:color w:val="auto"/>
          <w:sz w:val="20"/>
          <w:szCs w:val="20"/>
          <w:lang w:val="es-ES_tradnl"/>
        </w:rPr>
        <w:t xml:space="preserve">de la Nación </w:t>
      </w:r>
      <w:r w:rsidR="002023F8" w:rsidRPr="00F34A60">
        <w:rPr>
          <w:rFonts w:asciiTheme="majorHAnsi" w:hAnsiTheme="majorHAnsi"/>
          <w:bCs/>
          <w:color w:val="auto"/>
          <w:sz w:val="20"/>
          <w:szCs w:val="20"/>
          <w:lang w:val="es-ES_tradnl"/>
        </w:rPr>
        <w:t>realizó</w:t>
      </w:r>
      <w:r w:rsidR="00856CE7" w:rsidRPr="00F34A60">
        <w:rPr>
          <w:rFonts w:asciiTheme="majorHAnsi" w:hAnsiTheme="majorHAnsi"/>
          <w:bCs/>
          <w:color w:val="auto"/>
          <w:sz w:val="20"/>
          <w:szCs w:val="20"/>
          <w:lang w:val="es-ES_tradnl"/>
        </w:rPr>
        <w:t xml:space="preserve"> el levantamiento del cadáver </w:t>
      </w:r>
      <w:r w:rsidR="001D383D" w:rsidRPr="00F34A60">
        <w:rPr>
          <w:rFonts w:asciiTheme="majorHAnsi" w:hAnsiTheme="majorHAnsi"/>
          <w:bCs/>
          <w:color w:val="auto"/>
          <w:sz w:val="20"/>
          <w:szCs w:val="20"/>
          <w:lang w:val="es-ES_tradnl"/>
        </w:rPr>
        <w:t>del Sr</w:t>
      </w:r>
      <w:r w:rsidR="009666DC" w:rsidRPr="00F34A60">
        <w:rPr>
          <w:rFonts w:asciiTheme="majorHAnsi" w:hAnsiTheme="majorHAnsi"/>
          <w:bCs/>
          <w:color w:val="auto"/>
          <w:sz w:val="20"/>
          <w:szCs w:val="20"/>
          <w:lang w:val="es-ES_tradnl"/>
        </w:rPr>
        <w:t>. Jorge Mayo</w:t>
      </w:r>
      <w:r w:rsidR="00856CE7" w:rsidRPr="00F34A60">
        <w:rPr>
          <w:rFonts w:asciiTheme="majorHAnsi" w:hAnsiTheme="majorHAnsi"/>
          <w:bCs/>
          <w:color w:val="auto"/>
          <w:sz w:val="20"/>
          <w:szCs w:val="20"/>
          <w:lang w:val="es-ES_tradnl"/>
        </w:rPr>
        <w:t xml:space="preserve"> al día siguiente de su muerte y lle</w:t>
      </w:r>
      <w:r w:rsidR="002023F8" w:rsidRPr="00F34A60">
        <w:rPr>
          <w:rFonts w:asciiTheme="majorHAnsi" w:hAnsiTheme="majorHAnsi"/>
          <w:bCs/>
          <w:color w:val="auto"/>
          <w:sz w:val="20"/>
          <w:szCs w:val="20"/>
          <w:lang w:val="es-ES_tradnl"/>
        </w:rPr>
        <w:t>vó</w:t>
      </w:r>
      <w:r w:rsidR="00856CE7" w:rsidRPr="00F34A60">
        <w:rPr>
          <w:rFonts w:asciiTheme="majorHAnsi" w:hAnsiTheme="majorHAnsi"/>
          <w:bCs/>
          <w:color w:val="auto"/>
          <w:sz w:val="20"/>
          <w:szCs w:val="20"/>
          <w:lang w:val="es-ES_tradnl"/>
        </w:rPr>
        <w:t xml:space="preserve"> a cabo un examen de contexto mediante el cual pudo identificar su cuerpo por dactiloscopía y entregárselo a sus familiares en noviembre de 1985. Adicionalmente, las autoridades lograron determinar que la muerte de la presunta víctima fue causada por un shock hipovolémico por herida toráxica por proyectil de arma de fuego. Las autoridades también tomaron al cadáver </w:t>
      </w:r>
      <w:r w:rsidR="00F34A60">
        <w:rPr>
          <w:rFonts w:asciiTheme="majorHAnsi" w:hAnsiTheme="majorHAnsi"/>
          <w:bCs/>
          <w:color w:val="auto"/>
          <w:sz w:val="20"/>
          <w:szCs w:val="20"/>
          <w:lang w:val="es-ES_tradnl"/>
        </w:rPr>
        <w:t xml:space="preserve">una </w:t>
      </w:r>
      <w:r w:rsidR="00856CE7" w:rsidRPr="00F34A60">
        <w:rPr>
          <w:rFonts w:asciiTheme="majorHAnsi" w:hAnsiTheme="majorHAnsi"/>
          <w:bCs/>
          <w:color w:val="auto"/>
          <w:sz w:val="20"/>
          <w:szCs w:val="20"/>
          <w:lang w:val="es-ES_tradnl"/>
        </w:rPr>
        <w:t xml:space="preserve">tarjeta </w:t>
      </w:r>
      <w:r w:rsidR="00F34A60" w:rsidRPr="00F34A60">
        <w:rPr>
          <w:rFonts w:asciiTheme="majorHAnsi" w:hAnsiTheme="majorHAnsi"/>
          <w:bCs/>
          <w:color w:val="auto"/>
          <w:sz w:val="20"/>
          <w:szCs w:val="20"/>
          <w:lang w:val="es-ES_tradnl"/>
        </w:rPr>
        <w:t>necrodactilar</w:t>
      </w:r>
      <w:r w:rsidR="00856CE7" w:rsidRPr="00F34A60">
        <w:rPr>
          <w:rFonts w:asciiTheme="majorHAnsi" w:hAnsiTheme="majorHAnsi"/>
          <w:bCs/>
          <w:color w:val="auto"/>
          <w:sz w:val="20"/>
          <w:szCs w:val="20"/>
          <w:lang w:val="es-ES_tradnl"/>
        </w:rPr>
        <w:t xml:space="preserve"> para realizar el cotejo de identidad. Pese a ello, </w:t>
      </w:r>
      <w:r w:rsidR="005C49F1" w:rsidRPr="00F34A60">
        <w:rPr>
          <w:rFonts w:asciiTheme="majorHAnsi" w:hAnsiTheme="majorHAnsi"/>
          <w:bCs/>
          <w:color w:val="auto"/>
          <w:sz w:val="20"/>
          <w:szCs w:val="20"/>
          <w:lang w:val="es-ES_tradnl"/>
        </w:rPr>
        <w:t>los familiares</w:t>
      </w:r>
      <w:r w:rsidR="00856CE7" w:rsidRPr="00F34A60">
        <w:rPr>
          <w:rFonts w:asciiTheme="majorHAnsi" w:hAnsiTheme="majorHAnsi"/>
          <w:bCs/>
          <w:color w:val="auto"/>
          <w:sz w:val="20"/>
          <w:szCs w:val="20"/>
          <w:lang w:val="es-ES_tradnl"/>
        </w:rPr>
        <w:t xml:space="preserve"> de la presunta víctima </w:t>
      </w:r>
      <w:r w:rsidR="00B0410C" w:rsidRPr="00F34A60">
        <w:rPr>
          <w:rFonts w:asciiTheme="majorHAnsi" w:hAnsiTheme="majorHAnsi"/>
          <w:bCs/>
          <w:color w:val="auto"/>
          <w:sz w:val="20"/>
          <w:szCs w:val="20"/>
          <w:lang w:val="es-ES_tradnl"/>
        </w:rPr>
        <w:t>solicitaron la exhumación del cuerpo, la que fue realizada el 27 de abril de 2018 trasladándose el cadáver al Instituto Nacional de Medicina Legal y Ciencias Forenses para proceder nuevamente con su identificación.</w:t>
      </w:r>
      <w:r w:rsidR="002023F8" w:rsidRPr="00F34A60">
        <w:rPr>
          <w:rFonts w:asciiTheme="majorHAnsi" w:hAnsiTheme="majorHAnsi"/>
          <w:bCs/>
          <w:color w:val="auto"/>
          <w:sz w:val="20"/>
          <w:szCs w:val="20"/>
          <w:lang w:val="es-ES_tradnl"/>
        </w:rPr>
        <w:t xml:space="preserve"> </w:t>
      </w:r>
      <w:r w:rsidR="00B0410C" w:rsidRPr="00F34A60">
        <w:rPr>
          <w:rFonts w:asciiTheme="majorHAnsi" w:hAnsiTheme="majorHAnsi"/>
          <w:bCs/>
          <w:color w:val="auto"/>
          <w:sz w:val="20"/>
          <w:szCs w:val="20"/>
          <w:lang w:val="es-ES_tradnl"/>
        </w:rPr>
        <w:t>También destaca el Estado que el informe de la Comisión de la Verdad de 2010 determinó que la presunta víctima fue asesinado por un guerrillero del M-19</w:t>
      </w:r>
      <w:r w:rsidR="009666DC" w:rsidRPr="00F34A60">
        <w:rPr>
          <w:rFonts w:asciiTheme="majorHAnsi" w:hAnsiTheme="majorHAnsi"/>
          <w:bCs/>
          <w:color w:val="auto"/>
          <w:sz w:val="20"/>
          <w:szCs w:val="20"/>
          <w:lang w:val="es-ES_tradnl"/>
        </w:rPr>
        <w:t>,</w:t>
      </w:r>
      <w:r w:rsidR="00B0410C" w:rsidRPr="00F34A60">
        <w:rPr>
          <w:rFonts w:asciiTheme="majorHAnsi" w:hAnsiTheme="majorHAnsi"/>
          <w:bCs/>
          <w:color w:val="auto"/>
          <w:sz w:val="20"/>
          <w:szCs w:val="20"/>
          <w:lang w:val="es-ES_tradnl"/>
        </w:rPr>
        <w:t xml:space="preserve"> </w:t>
      </w:r>
      <w:r w:rsidR="00957B1F" w:rsidRPr="00F34A60">
        <w:rPr>
          <w:rFonts w:asciiTheme="majorHAnsi" w:hAnsiTheme="majorHAnsi"/>
          <w:bCs/>
          <w:color w:val="auto"/>
          <w:sz w:val="20"/>
          <w:szCs w:val="20"/>
          <w:lang w:val="es-ES_tradnl"/>
        </w:rPr>
        <w:t xml:space="preserve">y recogió declaraciones testimoniales según las que la presunta víctima recibió un disparo cuando cruzaba el patio. </w:t>
      </w:r>
    </w:p>
    <w:p w14:paraId="3F547B00" w14:textId="77777777" w:rsidR="00957B1F" w:rsidRPr="00F34A60" w:rsidRDefault="00957B1F" w:rsidP="00957B1F">
      <w:pPr>
        <w:pStyle w:val="ListParagraph"/>
        <w:rPr>
          <w:rFonts w:asciiTheme="majorHAnsi" w:hAnsiTheme="majorHAnsi"/>
          <w:bCs/>
          <w:color w:val="auto"/>
          <w:sz w:val="20"/>
          <w:szCs w:val="20"/>
          <w:lang w:val="es-ES_tradnl"/>
        </w:rPr>
      </w:pPr>
    </w:p>
    <w:p w14:paraId="4225CDC9" w14:textId="0774ED8D" w:rsidR="00957B1F" w:rsidRPr="00F34A60" w:rsidRDefault="002023F8" w:rsidP="0052042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F34A60">
        <w:rPr>
          <w:rFonts w:asciiTheme="majorHAnsi" w:hAnsiTheme="majorHAnsi"/>
          <w:bCs/>
          <w:color w:val="auto"/>
          <w:sz w:val="20"/>
          <w:szCs w:val="20"/>
          <w:lang w:val="es-ES_tradnl"/>
        </w:rPr>
        <w:t xml:space="preserve">También </w:t>
      </w:r>
      <w:r w:rsidR="0094269E" w:rsidRPr="00F34A60">
        <w:rPr>
          <w:rFonts w:asciiTheme="majorHAnsi" w:hAnsiTheme="majorHAnsi"/>
          <w:bCs/>
          <w:color w:val="auto"/>
          <w:sz w:val="20"/>
          <w:szCs w:val="20"/>
          <w:lang w:val="es-ES_tradnl"/>
        </w:rPr>
        <w:t xml:space="preserve">indica </w:t>
      </w:r>
      <w:r w:rsidRPr="00F34A60">
        <w:rPr>
          <w:rFonts w:asciiTheme="majorHAnsi" w:hAnsiTheme="majorHAnsi"/>
          <w:bCs/>
          <w:color w:val="auto"/>
          <w:sz w:val="20"/>
          <w:szCs w:val="20"/>
          <w:lang w:val="es-ES_tradnl"/>
        </w:rPr>
        <w:t>el Estado que ya existen a nivel doméstico decisiones definitivas respecto a la responsabilidad del Estado por la muerte de la presunta víctima y las reparaciones pretendidas por el peticionario</w:t>
      </w:r>
      <w:r w:rsidR="0094269E" w:rsidRPr="00F34A60">
        <w:rPr>
          <w:rFonts w:asciiTheme="majorHAnsi" w:hAnsiTheme="majorHAnsi"/>
          <w:bCs/>
          <w:color w:val="auto"/>
          <w:sz w:val="20"/>
          <w:szCs w:val="20"/>
          <w:lang w:val="es-ES_tradnl"/>
        </w:rPr>
        <w:t>; decisiones que fueron proferidas por la jurisdicción contencioso-administrativa</w:t>
      </w:r>
      <w:r w:rsidR="00C963FA" w:rsidRPr="00F34A60">
        <w:rPr>
          <w:rFonts w:asciiTheme="majorHAnsi" w:hAnsiTheme="majorHAnsi"/>
          <w:bCs/>
          <w:color w:val="auto"/>
          <w:sz w:val="20"/>
          <w:szCs w:val="20"/>
          <w:lang w:val="es-ES_tradnl"/>
        </w:rPr>
        <w:t xml:space="preserve"> en el marco de un proceso de reparación direct</w:t>
      </w:r>
      <w:r w:rsidR="001F11AA" w:rsidRPr="00F34A60">
        <w:rPr>
          <w:rFonts w:asciiTheme="majorHAnsi" w:hAnsiTheme="majorHAnsi"/>
          <w:bCs/>
          <w:color w:val="auto"/>
          <w:sz w:val="20"/>
          <w:szCs w:val="20"/>
          <w:lang w:val="es-ES_tradnl"/>
        </w:rPr>
        <w:t>a</w:t>
      </w:r>
      <w:r w:rsidR="0094269E" w:rsidRPr="00F34A60">
        <w:rPr>
          <w:rFonts w:asciiTheme="majorHAnsi" w:hAnsiTheme="majorHAnsi"/>
          <w:bCs/>
          <w:color w:val="auto"/>
          <w:sz w:val="20"/>
          <w:szCs w:val="20"/>
          <w:lang w:val="es-ES_tradnl"/>
        </w:rPr>
        <w:t xml:space="preserve">. A juicio del Estado, la petición pretende que la Comisión revise estas decisiones en calidad de tribunal de alzada o “cuarta instancia” en violación a los principios de complementariedad, coadyuvancia y subsidiaridad que rigen al Sistema Interamericano. </w:t>
      </w:r>
    </w:p>
    <w:p w14:paraId="4D953E3A" w14:textId="77777777" w:rsidR="0094269E" w:rsidRPr="00F34A60" w:rsidRDefault="0094269E" w:rsidP="0094269E">
      <w:pPr>
        <w:pStyle w:val="ListParagraph"/>
        <w:rPr>
          <w:rFonts w:asciiTheme="majorHAnsi" w:hAnsiTheme="majorHAnsi"/>
          <w:bCs/>
          <w:color w:val="auto"/>
          <w:sz w:val="20"/>
          <w:szCs w:val="20"/>
          <w:lang w:val="es-ES_tradnl"/>
        </w:rPr>
      </w:pPr>
    </w:p>
    <w:p w14:paraId="5B40ADB3" w14:textId="14D70986" w:rsidR="001F11AA" w:rsidRPr="00F34A60" w:rsidRDefault="00C963FA" w:rsidP="0052042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F34A60">
        <w:rPr>
          <w:rFonts w:asciiTheme="majorHAnsi" w:hAnsiTheme="majorHAnsi"/>
          <w:bCs/>
          <w:color w:val="auto"/>
          <w:sz w:val="20"/>
          <w:szCs w:val="20"/>
          <w:lang w:val="es-ES_tradnl"/>
        </w:rPr>
        <w:t xml:space="preserve">El Estado sostiene que el proceso contencioso-administrativo doméstico constituyó un medio idóneo para establecer la responsabilidad del Estado y para reparar las consecuencias de las </w:t>
      </w:r>
      <w:r w:rsidR="006200C6" w:rsidRPr="00F34A60">
        <w:rPr>
          <w:rFonts w:asciiTheme="majorHAnsi" w:hAnsiTheme="majorHAnsi"/>
          <w:bCs/>
          <w:color w:val="auto"/>
          <w:sz w:val="20"/>
          <w:szCs w:val="20"/>
          <w:lang w:val="es-ES_tradnl"/>
        </w:rPr>
        <w:t>violaciones a los derechos humanos de la presunta víctima. Así</w:t>
      </w:r>
      <w:r w:rsidR="009666DC" w:rsidRPr="00F34A60">
        <w:rPr>
          <w:rFonts w:asciiTheme="majorHAnsi" w:hAnsiTheme="majorHAnsi"/>
          <w:bCs/>
          <w:color w:val="auto"/>
          <w:sz w:val="20"/>
          <w:szCs w:val="20"/>
          <w:lang w:val="es-ES_tradnl"/>
        </w:rPr>
        <w:t>,</w:t>
      </w:r>
      <w:r w:rsidR="006200C6" w:rsidRPr="00F34A60">
        <w:rPr>
          <w:rFonts w:asciiTheme="majorHAnsi" w:hAnsiTheme="majorHAnsi"/>
          <w:bCs/>
          <w:color w:val="auto"/>
          <w:sz w:val="20"/>
          <w:szCs w:val="20"/>
          <w:lang w:val="es-ES_tradnl"/>
        </w:rPr>
        <w:t xml:space="preserve"> explica que el proceso</w:t>
      </w:r>
      <w:r w:rsidR="00CF782A" w:rsidRPr="00F34A60">
        <w:rPr>
          <w:rFonts w:asciiTheme="majorHAnsi" w:hAnsiTheme="majorHAnsi"/>
          <w:bCs/>
          <w:color w:val="auto"/>
          <w:sz w:val="20"/>
          <w:szCs w:val="20"/>
          <w:lang w:val="es-ES_tradnl"/>
        </w:rPr>
        <w:t xml:space="preserve"> en cuestión</w:t>
      </w:r>
      <w:r w:rsidR="006200C6" w:rsidRPr="00F34A60">
        <w:rPr>
          <w:rFonts w:asciiTheme="majorHAnsi" w:hAnsiTheme="majorHAnsi"/>
          <w:bCs/>
          <w:color w:val="auto"/>
          <w:sz w:val="20"/>
          <w:szCs w:val="20"/>
          <w:lang w:val="es-ES_tradnl"/>
        </w:rPr>
        <w:t xml:space="preserve"> fue conocido en primera instancia por el Tribunal Administrativo de Cundinamarca quien el 4 de octubre de 1993 declaró responsables a las autoridades estales por los perjuicios causados a </w:t>
      </w:r>
      <w:r w:rsidR="005C49F1" w:rsidRPr="00F34A60">
        <w:rPr>
          <w:rFonts w:asciiTheme="majorHAnsi" w:hAnsiTheme="majorHAnsi"/>
          <w:bCs/>
          <w:color w:val="auto"/>
          <w:sz w:val="20"/>
          <w:szCs w:val="20"/>
          <w:lang w:val="es-ES_tradnl"/>
        </w:rPr>
        <w:t>los familiares</w:t>
      </w:r>
      <w:r w:rsidR="006200C6" w:rsidRPr="00F34A60">
        <w:rPr>
          <w:rFonts w:asciiTheme="majorHAnsi" w:hAnsiTheme="majorHAnsi"/>
          <w:bCs/>
          <w:color w:val="auto"/>
          <w:sz w:val="20"/>
          <w:szCs w:val="20"/>
          <w:lang w:val="es-ES_tradnl"/>
        </w:rPr>
        <w:t xml:space="preserve"> de la presunta víctima por razón de la muerte de </w:t>
      </w:r>
      <w:r w:rsidR="00560C3E" w:rsidRPr="00F34A60">
        <w:rPr>
          <w:rFonts w:asciiTheme="majorHAnsi" w:hAnsiTheme="majorHAnsi"/>
          <w:bCs/>
          <w:color w:val="auto"/>
          <w:sz w:val="20"/>
          <w:szCs w:val="20"/>
          <w:lang w:val="es-ES_tradnl"/>
        </w:rPr>
        <w:t>é</w:t>
      </w:r>
      <w:r w:rsidR="006200C6" w:rsidRPr="00F34A60">
        <w:rPr>
          <w:rFonts w:asciiTheme="majorHAnsi" w:hAnsiTheme="majorHAnsi"/>
          <w:bCs/>
          <w:color w:val="auto"/>
          <w:sz w:val="20"/>
          <w:szCs w:val="20"/>
          <w:lang w:val="es-ES_tradnl"/>
        </w:rPr>
        <w:t xml:space="preserve">ste. Esta sentencia reconoció perjuicios morales y materiales a favor de la madre de la presunta víctima y perjuicios morales a favor de los hermanos de este. Esta decisión fue apelada tanto por las agencias estatales como por </w:t>
      </w:r>
      <w:r w:rsidR="005C49F1" w:rsidRPr="00F34A60">
        <w:rPr>
          <w:rFonts w:asciiTheme="majorHAnsi" w:hAnsiTheme="majorHAnsi"/>
          <w:bCs/>
          <w:color w:val="auto"/>
          <w:sz w:val="20"/>
          <w:szCs w:val="20"/>
          <w:lang w:val="es-ES_tradnl"/>
        </w:rPr>
        <w:t>los familiares</w:t>
      </w:r>
      <w:r w:rsidR="006200C6" w:rsidRPr="00F34A60">
        <w:rPr>
          <w:rFonts w:asciiTheme="majorHAnsi" w:hAnsiTheme="majorHAnsi"/>
          <w:bCs/>
          <w:color w:val="auto"/>
          <w:sz w:val="20"/>
          <w:szCs w:val="20"/>
          <w:lang w:val="es-ES_tradnl"/>
        </w:rPr>
        <w:t xml:space="preserve"> de la presunta víctima, estas últimas por estar en desacuerdo con la negación del daño patrimonial, a la vida en relación y condiciones materiales de existencia.</w:t>
      </w:r>
    </w:p>
    <w:p w14:paraId="5B548BB6" w14:textId="77777777" w:rsidR="001F11AA" w:rsidRPr="00F34A60" w:rsidRDefault="001F11AA" w:rsidP="001F11AA">
      <w:pPr>
        <w:pStyle w:val="ListParagraph"/>
        <w:rPr>
          <w:rFonts w:asciiTheme="majorHAnsi" w:hAnsiTheme="majorHAnsi"/>
          <w:bCs/>
          <w:color w:val="auto"/>
          <w:sz w:val="20"/>
          <w:szCs w:val="20"/>
          <w:lang w:val="es-ES_tradnl"/>
        </w:rPr>
      </w:pPr>
    </w:p>
    <w:p w14:paraId="66B51FE3" w14:textId="2A7B6E64" w:rsidR="0094269E" w:rsidRPr="00F34A60" w:rsidRDefault="006200C6" w:rsidP="0052042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F34A60">
        <w:rPr>
          <w:rFonts w:asciiTheme="majorHAnsi" w:hAnsiTheme="majorHAnsi"/>
          <w:bCs/>
          <w:color w:val="auto"/>
          <w:sz w:val="20"/>
          <w:szCs w:val="20"/>
          <w:lang w:val="es-ES_tradnl"/>
        </w:rPr>
        <w:t xml:space="preserve"> El 13 de marzo de 1995 el Consejo de Estado confirmó la decisión de</w:t>
      </w:r>
      <w:r w:rsidR="001F11AA" w:rsidRPr="00F34A60">
        <w:rPr>
          <w:rFonts w:asciiTheme="majorHAnsi" w:hAnsiTheme="majorHAnsi"/>
          <w:bCs/>
          <w:color w:val="auto"/>
          <w:sz w:val="20"/>
          <w:szCs w:val="20"/>
          <w:lang w:val="es-ES_tradnl"/>
        </w:rPr>
        <w:t xml:space="preserve">l Tribunal Administrativo de Cundinamarca tras concluir que las autoridades estatales habían incurrido en falla del servicio “por haber suprimido la vigilancia necesaria en momentos en que no cabía duda acerca de la gravedad de las amenazas”. También confirmó la negativa a reconocer perjuicios materiales a los hermanos de la presunta víctima por considerar no probado que estos dependieran económicamente de él. El Consejo además modificó la decisión en lo relacionado con el reconocimiento de perjuicios materiales a la madre de la presunta víctima por considerar que, dado que la presunta víctima tenía seis hermanos, no se podía determinar que fuera él quien mantenía económicamente a su madre. Por lo tanto, la decisión definitiva no reconoció perjuicios materiales a ninguna de </w:t>
      </w:r>
      <w:r w:rsidR="005C49F1" w:rsidRPr="00F34A60">
        <w:rPr>
          <w:rFonts w:asciiTheme="majorHAnsi" w:hAnsiTheme="majorHAnsi"/>
          <w:bCs/>
          <w:color w:val="auto"/>
          <w:sz w:val="20"/>
          <w:szCs w:val="20"/>
          <w:lang w:val="es-ES_tradnl"/>
        </w:rPr>
        <w:t>los familiares</w:t>
      </w:r>
      <w:r w:rsidR="001F11AA" w:rsidRPr="00F34A60">
        <w:rPr>
          <w:rFonts w:asciiTheme="majorHAnsi" w:hAnsiTheme="majorHAnsi"/>
          <w:bCs/>
          <w:color w:val="auto"/>
          <w:sz w:val="20"/>
          <w:szCs w:val="20"/>
          <w:lang w:val="es-ES_tradnl"/>
        </w:rPr>
        <w:t>.</w:t>
      </w:r>
    </w:p>
    <w:p w14:paraId="0BC1AB7B" w14:textId="77777777" w:rsidR="001F11AA" w:rsidRPr="00F34A60" w:rsidRDefault="001F11AA" w:rsidP="001F11AA">
      <w:pPr>
        <w:pStyle w:val="ListParagraph"/>
        <w:rPr>
          <w:rFonts w:asciiTheme="majorHAnsi" w:hAnsiTheme="majorHAnsi"/>
          <w:bCs/>
          <w:color w:val="auto"/>
          <w:sz w:val="20"/>
          <w:szCs w:val="20"/>
          <w:lang w:val="es-ES_tradnl"/>
        </w:rPr>
      </w:pPr>
    </w:p>
    <w:p w14:paraId="6216477F" w14:textId="1EA76D43" w:rsidR="001F11AA" w:rsidRPr="00F34A60" w:rsidRDefault="001F11AA" w:rsidP="0052042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F34A60">
        <w:rPr>
          <w:rFonts w:asciiTheme="majorHAnsi" w:hAnsiTheme="majorHAnsi"/>
          <w:bCs/>
          <w:color w:val="auto"/>
          <w:sz w:val="20"/>
          <w:szCs w:val="20"/>
          <w:lang w:val="es-ES_tradnl"/>
        </w:rPr>
        <w:t>El Estado sostiene que el proceso contencioso administrativo se llevó a cabo en observancia de las garantías de</w:t>
      </w:r>
      <w:r w:rsidR="00CF782A" w:rsidRPr="00F34A60">
        <w:rPr>
          <w:rFonts w:asciiTheme="majorHAnsi" w:hAnsiTheme="majorHAnsi"/>
          <w:bCs/>
          <w:color w:val="auto"/>
          <w:sz w:val="20"/>
          <w:szCs w:val="20"/>
          <w:lang w:val="es-ES_tradnl"/>
        </w:rPr>
        <w:t>l debido proceso y sin vulnerar ninguno de los derechos contemplados en la Convención Americana, y que la petición se limita a plantear la disconformidad del peticionario con la valoración probatoria realizada por el Consejo de Estado al determinar los daños.</w:t>
      </w:r>
    </w:p>
    <w:p w14:paraId="1E7D3632" w14:textId="77777777" w:rsidR="00883760" w:rsidRPr="00F34A60" w:rsidRDefault="00883760" w:rsidP="00883760">
      <w:pPr>
        <w:pStyle w:val="ListParagraph"/>
        <w:rPr>
          <w:rFonts w:asciiTheme="majorHAnsi" w:hAnsiTheme="majorHAnsi"/>
          <w:bCs/>
          <w:color w:val="auto"/>
          <w:sz w:val="20"/>
          <w:szCs w:val="20"/>
          <w:lang w:val="es-ES_tradnl"/>
        </w:rPr>
      </w:pPr>
    </w:p>
    <w:p w14:paraId="6F4D4171" w14:textId="576CF307" w:rsidR="003239B8" w:rsidRPr="00F34A60" w:rsidRDefault="003239B8" w:rsidP="009666DC">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bCs/>
          <w:sz w:val="20"/>
          <w:szCs w:val="20"/>
          <w:lang w:val="es-ES_tradnl"/>
        </w:rPr>
      </w:pPr>
      <w:r w:rsidRPr="00F34A60">
        <w:rPr>
          <w:rFonts w:asciiTheme="majorHAnsi" w:hAnsiTheme="majorHAnsi"/>
          <w:b/>
          <w:bCs/>
          <w:sz w:val="20"/>
          <w:szCs w:val="20"/>
          <w:lang w:val="es-ES_tradnl"/>
        </w:rPr>
        <w:t>VI.</w:t>
      </w:r>
      <w:r w:rsidRPr="00F34A60">
        <w:rPr>
          <w:rFonts w:asciiTheme="majorHAnsi" w:hAnsiTheme="majorHAnsi"/>
          <w:b/>
          <w:bCs/>
          <w:sz w:val="20"/>
          <w:szCs w:val="20"/>
          <w:lang w:val="es-ES_tradnl"/>
        </w:rPr>
        <w:tab/>
      </w:r>
      <w:r w:rsidR="004A6A54" w:rsidRPr="00F34A60">
        <w:rPr>
          <w:rFonts w:asciiTheme="majorHAnsi" w:hAnsiTheme="majorHAnsi"/>
          <w:b/>
          <w:bCs/>
          <w:sz w:val="20"/>
          <w:szCs w:val="20"/>
          <w:lang w:val="es-ES_tradnl"/>
        </w:rPr>
        <w:t xml:space="preserve">ANÁLISIS DE </w:t>
      </w:r>
      <w:r w:rsidR="00C21FEF" w:rsidRPr="00F34A60">
        <w:rPr>
          <w:rFonts w:asciiTheme="majorHAnsi" w:hAnsiTheme="majorHAnsi"/>
          <w:b/>
          <w:sz w:val="20"/>
          <w:szCs w:val="20"/>
          <w:lang w:val="es-ES_tradnl"/>
        </w:rPr>
        <w:t>AGOTAMIENTO DE LOS RECURSOS INTERNOS Y PLAZO DE PRESENTACIÓN</w:t>
      </w:r>
      <w:r w:rsidR="00C21FEF" w:rsidRPr="00F34A60">
        <w:rPr>
          <w:rFonts w:asciiTheme="majorHAnsi" w:hAnsiTheme="majorHAnsi"/>
          <w:b/>
          <w:bCs/>
          <w:sz w:val="20"/>
          <w:szCs w:val="20"/>
          <w:lang w:val="es-ES_tradnl"/>
        </w:rPr>
        <w:t xml:space="preserve"> </w:t>
      </w:r>
    </w:p>
    <w:p w14:paraId="09B43A0C" w14:textId="77777777" w:rsidR="00486BCE" w:rsidRPr="00F34A60" w:rsidRDefault="00486BCE" w:rsidP="00486BC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auto"/>
          <w:sz w:val="20"/>
          <w:szCs w:val="20"/>
          <w:lang w:val="es-ES_tradnl"/>
        </w:rPr>
      </w:pPr>
    </w:p>
    <w:p w14:paraId="338B3426" w14:textId="472B1A1F" w:rsidR="00E158A7" w:rsidRPr="00F34A60" w:rsidRDefault="00CF782A" w:rsidP="00FE080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sz w:val="20"/>
          <w:szCs w:val="20"/>
          <w:lang w:val="es-ES_tradnl"/>
        </w:rPr>
      </w:pPr>
      <w:r w:rsidRPr="00F34A60">
        <w:rPr>
          <w:rFonts w:asciiTheme="majorHAnsi" w:hAnsiTheme="majorHAnsi"/>
          <w:sz w:val="20"/>
          <w:szCs w:val="20"/>
          <w:lang w:val="es-ES_tradnl"/>
        </w:rPr>
        <w:t xml:space="preserve">El peticionario considera que ha existido retardo injustificado en el desarrollo del proceso penal relacionado con la muerte de la presunta víctima mientras que el Estado considera que la petición no cumple con el requisito de agotamiento de los recursos internos porque ese proceso no ha concluido. </w:t>
      </w:r>
    </w:p>
    <w:p w14:paraId="5B95EFFA" w14:textId="31F6FE0B" w:rsidR="00CF782A" w:rsidRPr="00F34A60" w:rsidRDefault="003B6817" w:rsidP="00FE080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sz w:val="20"/>
          <w:szCs w:val="20"/>
          <w:lang w:val="es-ES_tradnl"/>
        </w:rPr>
      </w:pPr>
      <w:r w:rsidRPr="00F34A60">
        <w:rPr>
          <w:rFonts w:asciiTheme="majorHAnsi" w:hAnsiTheme="majorHAnsi"/>
          <w:bCs/>
          <w:sz w:val="20"/>
          <w:szCs w:val="20"/>
          <w:lang w:val="es-ES_tradnl"/>
        </w:rPr>
        <w:lastRenderedPageBreak/>
        <w:t>Según su práctica sostenida, la Comisión debe identificar preliminarmente el objeto de la petición presentada a su conocimiento a fines de determinar la vía procesal adecuada que debía ser agotada a nivel doméstico para dar cumplimiento al requisito de agotamiento de los recursos internos</w:t>
      </w:r>
      <w:r w:rsidRPr="00F34A60">
        <w:rPr>
          <w:rStyle w:val="FootnoteReference"/>
          <w:rFonts w:asciiTheme="majorHAnsi" w:hAnsiTheme="majorHAnsi" w:cs="Calibri"/>
          <w:sz w:val="20"/>
          <w:szCs w:val="20"/>
          <w:lang w:val="es-ES_tradnl"/>
        </w:rPr>
        <w:footnoteReference w:id="5"/>
      </w:r>
      <w:r w:rsidRPr="00F34A60">
        <w:rPr>
          <w:rFonts w:asciiTheme="majorHAnsi" w:hAnsiTheme="majorHAnsi" w:cs="Calibri"/>
          <w:sz w:val="20"/>
          <w:szCs w:val="20"/>
          <w:lang w:val="es-ES_tradnl"/>
        </w:rPr>
        <w:t xml:space="preserve">. En el presente caso, la Comisión observa que el objeto de la petición es la falta de identificación y sanción de </w:t>
      </w:r>
      <w:r w:rsidR="009666DC" w:rsidRPr="00F34A60">
        <w:rPr>
          <w:rFonts w:asciiTheme="majorHAnsi" w:hAnsiTheme="majorHAnsi" w:cs="Calibri"/>
          <w:sz w:val="20"/>
          <w:szCs w:val="20"/>
          <w:lang w:val="es-ES_tradnl"/>
        </w:rPr>
        <w:t>los</w:t>
      </w:r>
      <w:r w:rsidRPr="00F34A60">
        <w:rPr>
          <w:rFonts w:asciiTheme="majorHAnsi" w:hAnsiTheme="majorHAnsi" w:cs="Calibri"/>
          <w:sz w:val="20"/>
          <w:szCs w:val="20"/>
          <w:lang w:val="es-ES_tradnl"/>
        </w:rPr>
        <w:t xml:space="preserve"> responsables por la muerte de la presunta víctima y la falta de reparación integral </w:t>
      </w:r>
      <w:r w:rsidR="00D00410" w:rsidRPr="00F34A60">
        <w:rPr>
          <w:rFonts w:asciiTheme="majorHAnsi" w:hAnsiTheme="majorHAnsi" w:cs="Calibri"/>
          <w:sz w:val="20"/>
          <w:szCs w:val="20"/>
          <w:lang w:val="es-ES_tradnl"/>
        </w:rPr>
        <w:t>para los familiares de éste.</w:t>
      </w:r>
      <w:r w:rsidRPr="00F34A60">
        <w:rPr>
          <w:rFonts w:asciiTheme="majorHAnsi" w:hAnsiTheme="majorHAnsi" w:cs="Calibri"/>
          <w:sz w:val="20"/>
          <w:szCs w:val="20"/>
          <w:lang w:val="es-ES_tradnl"/>
        </w:rPr>
        <w:t xml:space="preserve"> La Comisión ya ha determinado que en casos que plantean alegaciones de esta naturaleza el proceso penal ordinario constituye, por regla general, el recurso adecuado que debe ser agotado en la jurisdicción interna. Esto, puesto que ese proceso “</w:t>
      </w:r>
      <w:r w:rsidRPr="00F34A60">
        <w:rPr>
          <w:rFonts w:asciiTheme="majorHAnsi" w:hAnsiTheme="majorHAnsi" w:cs="Calibri"/>
          <w:i/>
          <w:iCs/>
          <w:sz w:val="20"/>
          <w:szCs w:val="20"/>
          <w:lang w:val="es-ES_tradnl"/>
        </w:rPr>
        <w:t>constituye la vía idónea para esclarecer los hechos, juzgar a los responsables y establecer las sanciones penales correspondientes, además de posibilitar otros modos de reparación de tipo pecuniario</w:t>
      </w:r>
      <w:r w:rsidRPr="00F34A60">
        <w:rPr>
          <w:rFonts w:asciiTheme="majorHAnsi" w:hAnsiTheme="majorHAnsi" w:cs="Calibri"/>
          <w:sz w:val="20"/>
          <w:szCs w:val="20"/>
          <w:lang w:val="es-ES_tradnl"/>
        </w:rPr>
        <w:t>”</w:t>
      </w:r>
      <w:r w:rsidRPr="00F34A60">
        <w:rPr>
          <w:rStyle w:val="FootnoteReference"/>
          <w:rFonts w:asciiTheme="majorHAnsi" w:hAnsiTheme="majorHAnsi" w:cs="Calibri"/>
          <w:sz w:val="20"/>
          <w:szCs w:val="20"/>
          <w:lang w:val="es-ES_tradnl"/>
        </w:rPr>
        <w:footnoteReference w:id="6"/>
      </w:r>
      <w:r w:rsidRPr="00F34A60">
        <w:rPr>
          <w:rFonts w:asciiTheme="majorHAnsi" w:hAnsiTheme="majorHAnsi" w:cs="Calibri"/>
          <w:sz w:val="20"/>
          <w:szCs w:val="20"/>
          <w:lang w:val="es-ES_tradnl"/>
        </w:rPr>
        <w:t>.</w:t>
      </w:r>
    </w:p>
    <w:p w14:paraId="71ABAAA7" w14:textId="7941776C" w:rsidR="003B6817" w:rsidRPr="00F34A60" w:rsidRDefault="009666DC" w:rsidP="003B681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F34A60">
        <w:rPr>
          <w:rFonts w:asciiTheme="majorHAnsi" w:hAnsiTheme="majorHAnsi"/>
          <w:sz w:val="20"/>
          <w:szCs w:val="20"/>
          <w:lang w:val="es-ES_tradnl"/>
        </w:rPr>
        <w:t>La Comisión observa que l</w:t>
      </w:r>
      <w:r w:rsidR="003B6817" w:rsidRPr="00F34A60">
        <w:rPr>
          <w:rFonts w:asciiTheme="majorHAnsi" w:hAnsiTheme="majorHAnsi"/>
          <w:sz w:val="20"/>
          <w:szCs w:val="20"/>
          <w:lang w:val="es-ES_tradnl"/>
        </w:rPr>
        <w:t>as partes coinciden en que el proceso penal relacionado con el objeto de la petición no ha culminado. Por lo tanto, la Comisión debe examinar si alguna de las excepciones al requisito de agotamiento de los recursos internos previstas en el artículo 46.2 de la Convención Americana resulta aplicable a la presente petición. La Comisión recuerda que las disposiciones que establecen esas excepciones “</w:t>
      </w:r>
      <w:r w:rsidR="003B6817" w:rsidRPr="00F34A60">
        <w:rPr>
          <w:rFonts w:asciiTheme="majorHAnsi" w:hAnsiTheme="majorHAnsi" w:cs="Calibri"/>
          <w:sz w:val="20"/>
          <w:szCs w:val="20"/>
          <w:lang w:val="es-ES_tradnl"/>
        </w:rPr>
        <w:t xml:space="preserve">por su naturaleza y objeto, son normas con contenido autónomo </w:t>
      </w:r>
      <w:r w:rsidR="003B6817" w:rsidRPr="00F34A60">
        <w:rPr>
          <w:rFonts w:asciiTheme="majorHAnsi" w:hAnsiTheme="majorHAnsi" w:cs="Calibri"/>
          <w:i/>
          <w:sz w:val="20"/>
          <w:szCs w:val="20"/>
          <w:lang w:val="es-ES_tradnl"/>
        </w:rPr>
        <w:t>vis à vis</w:t>
      </w:r>
      <w:r w:rsidR="003B6817" w:rsidRPr="00F34A60">
        <w:rPr>
          <w:rFonts w:asciiTheme="majorHAnsi" w:hAnsiTheme="majorHAnsi" w:cs="Calibri"/>
          <w:sz w:val="20"/>
          <w:szCs w:val="20"/>
          <w:lang w:val="es-ES_tradnl"/>
        </w:rPr>
        <w:t xml:space="preserve"> las normas sustantivas de la Convención. Por lo tanto, la determinación de si las excepciones a la regla del agotamiento de los recursos internos previstas en dicha norma resultan aplicables al caso en cuestión, debe llevarse a cabo de manera previa y separada del análisis del fondo del asunto, ya que depende de un estándar de apreciación distinto de aquél utilizado para determinar la violación de los artículos 8 y 25 de la Convención”</w:t>
      </w:r>
      <w:r w:rsidR="003B6817" w:rsidRPr="00F34A60">
        <w:rPr>
          <w:rStyle w:val="FootnoteReference"/>
          <w:rFonts w:asciiTheme="majorHAnsi" w:hAnsiTheme="majorHAnsi" w:cs="Calibri"/>
          <w:sz w:val="20"/>
          <w:szCs w:val="20"/>
          <w:lang w:val="es-ES_tradnl"/>
        </w:rPr>
        <w:footnoteReference w:id="7"/>
      </w:r>
      <w:r w:rsidR="003B6817" w:rsidRPr="00F34A60">
        <w:rPr>
          <w:rFonts w:asciiTheme="majorHAnsi" w:hAnsiTheme="majorHAnsi" w:cs="Calibri"/>
          <w:sz w:val="20"/>
          <w:szCs w:val="20"/>
          <w:lang w:val="es-ES_tradnl"/>
        </w:rPr>
        <w:t>.</w:t>
      </w:r>
    </w:p>
    <w:p w14:paraId="1C1C8087" w14:textId="77777777" w:rsidR="003B6817" w:rsidRPr="00F34A60" w:rsidRDefault="003B6817" w:rsidP="003B681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56BC593E" w14:textId="45A06AC8" w:rsidR="00A168A8" w:rsidRPr="00F34A60" w:rsidRDefault="003B6817" w:rsidP="00A168A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sz w:val="20"/>
          <w:szCs w:val="20"/>
          <w:lang w:val="es-ES_tradnl"/>
        </w:rPr>
      </w:pPr>
      <w:r w:rsidRPr="00F34A60">
        <w:rPr>
          <w:rFonts w:asciiTheme="majorHAnsi" w:hAnsiTheme="majorHAnsi"/>
          <w:bCs/>
          <w:sz w:val="20"/>
          <w:szCs w:val="20"/>
          <w:lang w:val="es-ES_tradnl"/>
        </w:rPr>
        <w:t>El peticionario invoca la excepción de retardo injustificado prevista en el artículo 46.2</w:t>
      </w:r>
      <w:r w:rsidR="009666DC" w:rsidRPr="00F34A60">
        <w:rPr>
          <w:rFonts w:asciiTheme="majorHAnsi" w:hAnsiTheme="majorHAnsi"/>
          <w:bCs/>
          <w:sz w:val="20"/>
          <w:szCs w:val="20"/>
          <w:lang w:val="es-ES_tradnl"/>
        </w:rPr>
        <w:t>.</w:t>
      </w:r>
      <w:r w:rsidRPr="00F34A60">
        <w:rPr>
          <w:rFonts w:asciiTheme="majorHAnsi" w:hAnsiTheme="majorHAnsi"/>
          <w:bCs/>
          <w:sz w:val="20"/>
          <w:szCs w:val="20"/>
          <w:lang w:val="es-ES_tradnl"/>
        </w:rPr>
        <w:t xml:space="preserve">c) de la Convención Americana. El Estado controvierte esta posición </w:t>
      </w:r>
      <w:r w:rsidR="0085147C" w:rsidRPr="00F34A60">
        <w:rPr>
          <w:rFonts w:asciiTheme="majorHAnsi" w:hAnsiTheme="majorHAnsi"/>
          <w:bCs/>
          <w:sz w:val="20"/>
          <w:szCs w:val="20"/>
          <w:lang w:val="es-ES_tradnl"/>
        </w:rPr>
        <w:t xml:space="preserve">sosteniendo que sus autoridades han actuado con diligencia y que la investigación penal pertinente ha resultado especialmente compleja. </w:t>
      </w:r>
      <w:r w:rsidR="0085147C" w:rsidRPr="00F34A60">
        <w:rPr>
          <w:rFonts w:asciiTheme="majorHAnsi" w:hAnsiTheme="majorHAnsi"/>
          <w:sz w:val="20"/>
          <w:szCs w:val="20"/>
          <w:lang w:val="es-ES_tradnl"/>
        </w:rPr>
        <w:t xml:space="preserve">No obstante, la Comisión valora que desde el inicio del proceso penal pertinente hasta la fecha habrían transcurrido más de treinta y seis años y que, según la última información del peticionario no controvertida por el Estado, el proceso permanecería aún en etapa de indagatoria. La Comisión además valora que no obra información en el expediente que indique </w:t>
      </w:r>
      <w:r w:rsidR="005C49F1" w:rsidRPr="00F34A60">
        <w:rPr>
          <w:rFonts w:asciiTheme="majorHAnsi" w:hAnsiTheme="majorHAnsi"/>
          <w:sz w:val="20"/>
          <w:szCs w:val="20"/>
          <w:lang w:val="es-ES_tradnl"/>
        </w:rPr>
        <w:t>los familiares</w:t>
      </w:r>
      <w:r w:rsidR="0085147C" w:rsidRPr="00F34A60">
        <w:rPr>
          <w:rFonts w:asciiTheme="majorHAnsi" w:hAnsiTheme="majorHAnsi"/>
          <w:sz w:val="20"/>
          <w:szCs w:val="20"/>
          <w:lang w:val="es-ES_tradnl"/>
        </w:rPr>
        <w:t xml:space="preserve"> de la presunta víctima hayan sido responsables por dilatar el proceso. Por estas razones, la Comisión estima que, para efectos de admisibilidad, resulta justificado aplicar a la presente petición la excepción al requisito de agotamiento de los recursos internos prevista en el artículo 46.2</w:t>
      </w:r>
      <w:r w:rsidR="00A168A8" w:rsidRPr="00F34A60">
        <w:rPr>
          <w:rFonts w:asciiTheme="majorHAnsi" w:hAnsiTheme="majorHAnsi"/>
          <w:sz w:val="20"/>
          <w:szCs w:val="20"/>
          <w:lang w:val="es-ES_tradnl"/>
        </w:rPr>
        <w:t>.</w:t>
      </w:r>
      <w:r w:rsidR="0085147C" w:rsidRPr="00F34A60">
        <w:rPr>
          <w:rFonts w:asciiTheme="majorHAnsi" w:hAnsiTheme="majorHAnsi"/>
          <w:sz w:val="20"/>
          <w:szCs w:val="20"/>
          <w:lang w:val="es-ES_tradnl"/>
        </w:rPr>
        <w:t xml:space="preserve">c) de la Convención Americana. </w:t>
      </w:r>
    </w:p>
    <w:p w14:paraId="552AD43F" w14:textId="571618FD" w:rsidR="003B6817" w:rsidRPr="00F34A60" w:rsidRDefault="00A168A8" w:rsidP="00FE080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sz w:val="20"/>
          <w:szCs w:val="20"/>
          <w:lang w:val="es-ES_tradnl"/>
        </w:rPr>
      </w:pPr>
      <w:r w:rsidRPr="00F34A60">
        <w:rPr>
          <w:rFonts w:asciiTheme="majorHAnsi" w:hAnsiTheme="majorHAnsi"/>
          <w:sz w:val="20"/>
          <w:szCs w:val="20"/>
          <w:lang w:val="es-ES_tradnl"/>
        </w:rPr>
        <w:t>Con respecto al plazo de presentación, l</w:t>
      </w:r>
      <w:r w:rsidR="0085147C" w:rsidRPr="00F34A60">
        <w:rPr>
          <w:rFonts w:asciiTheme="majorHAnsi" w:hAnsiTheme="majorHAnsi"/>
          <w:sz w:val="20"/>
          <w:szCs w:val="20"/>
          <w:lang w:val="es-ES_tradnl"/>
        </w:rPr>
        <w:t xml:space="preserve">a Comisión </w:t>
      </w:r>
      <w:r w:rsidR="00D00410" w:rsidRPr="00F34A60">
        <w:rPr>
          <w:rFonts w:asciiTheme="majorHAnsi" w:hAnsiTheme="majorHAnsi"/>
          <w:sz w:val="20"/>
          <w:szCs w:val="20"/>
          <w:lang w:val="es-ES_tradnl"/>
        </w:rPr>
        <w:t>observa que el asesinato de la presunta víctima habría ocurrido el</w:t>
      </w:r>
      <w:r w:rsidR="00D00410" w:rsidRPr="00F34A60">
        <w:rPr>
          <w:rFonts w:asciiTheme="majorHAnsi" w:hAnsiTheme="majorHAnsi"/>
          <w:bCs/>
          <w:sz w:val="20"/>
          <w:szCs w:val="20"/>
          <w:lang w:val="es-ES_tradnl"/>
        </w:rPr>
        <w:t xml:space="preserve"> 6 de noviembre de 1985, </w:t>
      </w:r>
      <w:r w:rsidR="00E77FE0" w:rsidRPr="00F34A60">
        <w:rPr>
          <w:rFonts w:asciiTheme="majorHAnsi" w:hAnsiTheme="majorHAnsi"/>
          <w:bCs/>
          <w:sz w:val="20"/>
          <w:szCs w:val="20"/>
          <w:lang w:val="es-ES_tradnl"/>
        </w:rPr>
        <w:t xml:space="preserve">las autoridades estatales habrían tenido conocimiento del hecho por lo menos desde el día siguiente, las investigaciones penales relacionadas con el hecho permanecerían sin conclusión, y los efectos de la situación de impunidad </w:t>
      </w:r>
      <w:r w:rsidR="00C8291D" w:rsidRPr="00F34A60">
        <w:rPr>
          <w:rFonts w:asciiTheme="majorHAnsi" w:hAnsiTheme="majorHAnsi"/>
          <w:bCs/>
          <w:sz w:val="20"/>
          <w:szCs w:val="20"/>
          <w:lang w:val="es-ES_tradnl"/>
        </w:rPr>
        <w:t xml:space="preserve">denunciada en la petición se mantendrían vigentes en el presente. En consecuencia, la Comisión concluye que la presente petición fue presentada dentro de plazo razonable en los términos del artículo 32.2 de su Reglamento. </w:t>
      </w:r>
    </w:p>
    <w:p w14:paraId="1075B56A" w14:textId="17CDAC29" w:rsidR="0025455F" w:rsidRPr="00F34A60" w:rsidRDefault="00C8291D" w:rsidP="00A168A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sz w:val="20"/>
          <w:szCs w:val="20"/>
          <w:lang w:val="es-ES_tradnl"/>
        </w:rPr>
      </w:pPr>
      <w:r w:rsidRPr="00F34A60">
        <w:rPr>
          <w:rFonts w:asciiTheme="majorHAnsi" w:hAnsiTheme="majorHAnsi"/>
          <w:sz w:val="20"/>
          <w:szCs w:val="20"/>
          <w:lang w:val="es-ES_tradnl"/>
        </w:rPr>
        <w:t>La Comisión observa que la petición también refiere a un proceso de reparación directa interpuesto por l</w:t>
      </w:r>
      <w:r w:rsidR="00882960" w:rsidRPr="00F34A60">
        <w:rPr>
          <w:rFonts w:asciiTheme="majorHAnsi" w:hAnsiTheme="majorHAnsi"/>
          <w:sz w:val="20"/>
          <w:szCs w:val="20"/>
          <w:lang w:val="es-ES_tradnl"/>
        </w:rPr>
        <w:t>o</w:t>
      </w:r>
      <w:r w:rsidRPr="00F34A60">
        <w:rPr>
          <w:rFonts w:asciiTheme="majorHAnsi" w:hAnsiTheme="majorHAnsi"/>
          <w:sz w:val="20"/>
          <w:szCs w:val="20"/>
          <w:lang w:val="es-ES_tradnl"/>
        </w:rPr>
        <w:t xml:space="preserve">s familiares de la presunta víctima </w:t>
      </w:r>
      <w:r w:rsidR="00523150" w:rsidRPr="00F34A60">
        <w:rPr>
          <w:rFonts w:asciiTheme="majorHAnsi" w:hAnsiTheme="majorHAnsi"/>
          <w:sz w:val="20"/>
          <w:szCs w:val="20"/>
          <w:lang w:val="es-ES_tradnl"/>
        </w:rPr>
        <w:t xml:space="preserve">en 1987 y que culminó en 1995 fijándose a favor de </w:t>
      </w:r>
      <w:r w:rsidR="000E542F" w:rsidRPr="00F34A60">
        <w:rPr>
          <w:rFonts w:asciiTheme="majorHAnsi" w:hAnsiTheme="majorHAnsi"/>
          <w:sz w:val="20"/>
          <w:szCs w:val="20"/>
          <w:lang w:val="es-ES_tradnl"/>
        </w:rPr>
        <w:t xml:space="preserve">aquellas </w:t>
      </w:r>
      <w:r w:rsidR="00523150" w:rsidRPr="00F34A60">
        <w:rPr>
          <w:rFonts w:asciiTheme="majorHAnsi" w:hAnsiTheme="majorHAnsi"/>
          <w:sz w:val="20"/>
          <w:szCs w:val="20"/>
          <w:lang w:val="es-ES_tradnl"/>
        </w:rPr>
        <w:t xml:space="preserve">indemnizaciones que la parte peticionaria considera insuficientes. Al respecto, la Comisión advierte que </w:t>
      </w:r>
      <w:r w:rsidR="00882960" w:rsidRPr="00F34A60">
        <w:rPr>
          <w:rFonts w:asciiTheme="majorHAnsi" w:hAnsiTheme="majorHAnsi"/>
          <w:sz w:val="20"/>
          <w:szCs w:val="20"/>
          <w:lang w:val="es-ES_tradnl"/>
        </w:rPr>
        <w:t>los reclamos relaciona</w:t>
      </w:r>
      <w:r w:rsidR="005D3E5F" w:rsidRPr="00F34A60">
        <w:rPr>
          <w:rFonts w:asciiTheme="majorHAnsi" w:hAnsiTheme="majorHAnsi"/>
          <w:sz w:val="20"/>
          <w:szCs w:val="20"/>
          <w:lang w:val="es-ES_tradnl"/>
        </w:rPr>
        <w:t>dos</w:t>
      </w:r>
      <w:r w:rsidR="00523150" w:rsidRPr="00F34A60">
        <w:rPr>
          <w:rFonts w:asciiTheme="majorHAnsi" w:hAnsiTheme="majorHAnsi"/>
          <w:sz w:val="20"/>
          <w:szCs w:val="20"/>
          <w:lang w:val="es-ES_tradnl"/>
        </w:rPr>
        <w:t xml:space="preserve"> </w:t>
      </w:r>
      <w:r w:rsidR="005D3E5F" w:rsidRPr="00F34A60">
        <w:rPr>
          <w:rFonts w:asciiTheme="majorHAnsi" w:hAnsiTheme="majorHAnsi"/>
          <w:sz w:val="20"/>
          <w:szCs w:val="20"/>
          <w:lang w:val="es-ES_tradnl"/>
        </w:rPr>
        <w:t>con ese</w:t>
      </w:r>
      <w:r w:rsidR="00523150" w:rsidRPr="00F34A60">
        <w:rPr>
          <w:rFonts w:asciiTheme="majorHAnsi" w:hAnsiTheme="majorHAnsi"/>
          <w:sz w:val="20"/>
          <w:szCs w:val="20"/>
          <w:lang w:val="es-ES_tradnl"/>
        </w:rPr>
        <w:t xml:space="preserve"> proceso resultan inadmisibles</w:t>
      </w:r>
      <w:r w:rsidR="005D3E5F" w:rsidRPr="00F34A60">
        <w:rPr>
          <w:rFonts w:asciiTheme="majorHAnsi" w:hAnsiTheme="majorHAnsi"/>
          <w:sz w:val="20"/>
          <w:szCs w:val="20"/>
          <w:lang w:val="es-ES_tradnl"/>
        </w:rPr>
        <w:t xml:space="preserve"> en aplicación del artículo 46.1.b) de la Convención porque este tuvo decisión final dieciocho años antes de la presentación de la presente petición. </w:t>
      </w:r>
    </w:p>
    <w:p w14:paraId="7F8C934E" w14:textId="77777777" w:rsidR="0085147C" w:rsidRPr="00F34A60" w:rsidRDefault="0085147C" w:rsidP="0085147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r w:rsidRPr="00F34A60">
        <w:rPr>
          <w:rFonts w:asciiTheme="majorHAnsi" w:hAnsiTheme="majorHAnsi"/>
          <w:b/>
          <w:bCs/>
          <w:sz w:val="20"/>
          <w:szCs w:val="20"/>
          <w:lang w:val="es-ES_tradnl"/>
        </w:rPr>
        <w:t>VII.</w:t>
      </w:r>
      <w:r w:rsidRPr="00F34A60">
        <w:rPr>
          <w:rFonts w:asciiTheme="majorHAnsi" w:hAnsiTheme="majorHAnsi"/>
          <w:b/>
          <w:bCs/>
          <w:sz w:val="20"/>
          <w:szCs w:val="20"/>
          <w:lang w:val="es-ES_tradnl"/>
        </w:rPr>
        <w:tab/>
        <w:t>ANÁLISIS DE CARACTERIZACIÓN DE LOS HECHOS ALEGADOS</w:t>
      </w:r>
    </w:p>
    <w:p w14:paraId="4EFC021C" w14:textId="77777777" w:rsidR="0085147C" w:rsidRPr="00F34A60" w:rsidRDefault="0085147C" w:rsidP="0085147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34E9BFDE" w14:textId="468C7F2F" w:rsidR="0085147C" w:rsidRPr="00F34A60" w:rsidRDefault="0085147C" w:rsidP="00851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F34A60">
        <w:rPr>
          <w:rFonts w:asciiTheme="majorHAnsi" w:hAnsiTheme="majorHAnsi"/>
          <w:sz w:val="20"/>
          <w:szCs w:val="20"/>
          <w:lang w:val="es-ES_tradnl"/>
        </w:rPr>
        <w:t>Preliminarmente</w:t>
      </w:r>
      <w:r w:rsidR="00AE6E25" w:rsidRPr="00F34A60">
        <w:rPr>
          <w:rFonts w:asciiTheme="majorHAnsi" w:hAnsiTheme="majorHAnsi"/>
          <w:sz w:val="20"/>
          <w:szCs w:val="20"/>
          <w:lang w:val="es-ES_tradnl"/>
        </w:rPr>
        <w:t>,</w:t>
      </w:r>
      <w:r w:rsidRPr="00F34A60">
        <w:rPr>
          <w:rFonts w:asciiTheme="majorHAnsi" w:hAnsiTheme="majorHAnsi"/>
          <w:sz w:val="20"/>
          <w:szCs w:val="20"/>
          <w:lang w:val="es-ES_tradnl"/>
        </w:rPr>
        <w:t xml:space="preserve"> y dado que el Estado ha presentado argumentos relacionados con la fórmula de la “cuarta instancia”, la Comisión reitera que --a efectos de la admisibilidad-- debe decidir si los hechos alegados pueden caracterizar una violación de derechos, según lo estipulado en el artículo 47(b) de la Convención Americana; o si la petición es manifiestamente infundada o es evidente su total improcedencia </w:t>
      </w:r>
      <w:r w:rsidRPr="00F34A60">
        <w:rPr>
          <w:rFonts w:asciiTheme="majorHAnsi" w:hAnsiTheme="majorHAnsi"/>
          <w:sz w:val="20"/>
          <w:szCs w:val="20"/>
          <w:lang w:val="es-ES_tradnl"/>
        </w:rPr>
        <w:lastRenderedPageBreak/>
        <w:t>conforme al inciso (c) de dicho artículo. El criterio de evaluación de dichos requisitos difiere del que se utiliza para pronunciarse sobre el fondo de una petición. Asimismo, dentro del marco de su mandato la Comisión Interamericana es competente para declarar admisible una petición cuando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elementos que, de ser ciertos, podrían constituir prima facie violaciones a la Convención Americana</w:t>
      </w:r>
      <w:r w:rsidRPr="00F34A60">
        <w:rPr>
          <w:rStyle w:val="FootnoteReference"/>
          <w:rFonts w:asciiTheme="majorHAnsi" w:hAnsiTheme="majorHAnsi" w:cs="Calibri"/>
          <w:sz w:val="20"/>
          <w:szCs w:val="20"/>
          <w:lang w:val="es-ES_tradnl"/>
        </w:rPr>
        <w:footnoteReference w:id="8"/>
      </w:r>
      <w:r w:rsidRPr="00F34A60">
        <w:rPr>
          <w:rFonts w:asciiTheme="majorHAnsi" w:hAnsiTheme="majorHAnsi"/>
          <w:sz w:val="20"/>
          <w:szCs w:val="20"/>
          <w:lang w:val="es-ES_tradnl"/>
        </w:rPr>
        <w:t>.</w:t>
      </w:r>
    </w:p>
    <w:p w14:paraId="159BD2F9" w14:textId="77777777" w:rsidR="0085147C" w:rsidRPr="00F34A60" w:rsidRDefault="0085147C" w:rsidP="0085147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4D4B955D" w14:textId="02248082" w:rsidR="0085147C" w:rsidRPr="00F34A60" w:rsidRDefault="0085147C" w:rsidP="00851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F34A60">
        <w:rPr>
          <w:rFonts w:asciiTheme="majorHAnsi" w:hAnsiTheme="majorHAnsi"/>
          <w:sz w:val="20"/>
          <w:szCs w:val="20"/>
          <w:lang w:val="es-ES_tradnl"/>
        </w:rPr>
        <w:t>La presente petición incluye alegaciones respecto a que la presunta víctima fue asesinado</w:t>
      </w:r>
      <w:r w:rsidR="0025455F" w:rsidRPr="00F34A60">
        <w:rPr>
          <w:rFonts w:asciiTheme="majorHAnsi" w:hAnsiTheme="majorHAnsi"/>
          <w:sz w:val="20"/>
          <w:szCs w:val="20"/>
          <w:lang w:val="es-ES_tradnl"/>
        </w:rPr>
        <w:t xml:space="preserve"> por integrantes de </w:t>
      </w:r>
      <w:r w:rsidR="00F34A60" w:rsidRPr="00F34A60">
        <w:rPr>
          <w:rFonts w:asciiTheme="majorHAnsi" w:hAnsiTheme="majorHAnsi"/>
          <w:sz w:val="20"/>
          <w:szCs w:val="20"/>
          <w:lang w:val="es-ES_tradnl"/>
        </w:rPr>
        <w:t>una agrupación</w:t>
      </w:r>
      <w:r w:rsidR="0025455F" w:rsidRPr="00F34A60">
        <w:rPr>
          <w:rFonts w:asciiTheme="majorHAnsi" w:hAnsiTheme="majorHAnsi"/>
          <w:sz w:val="20"/>
          <w:szCs w:val="20"/>
          <w:lang w:val="es-ES_tradnl"/>
        </w:rPr>
        <w:t xml:space="preserve"> </w:t>
      </w:r>
      <w:r w:rsidR="00F34A60" w:rsidRPr="00F34A60">
        <w:rPr>
          <w:rFonts w:asciiTheme="majorHAnsi" w:hAnsiTheme="majorHAnsi"/>
          <w:sz w:val="20"/>
          <w:szCs w:val="20"/>
          <w:lang w:val="es-ES_tradnl"/>
        </w:rPr>
        <w:t>terrorista,</w:t>
      </w:r>
      <w:r w:rsidRPr="00F34A60">
        <w:rPr>
          <w:rFonts w:asciiTheme="majorHAnsi" w:hAnsiTheme="majorHAnsi"/>
          <w:sz w:val="20"/>
          <w:szCs w:val="20"/>
          <w:lang w:val="es-ES_tradnl"/>
        </w:rPr>
        <w:t xml:space="preserve"> </w:t>
      </w:r>
      <w:r w:rsidR="0025455F" w:rsidRPr="00F34A60">
        <w:rPr>
          <w:rFonts w:asciiTheme="majorHAnsi" w:hAnsiTheme="majorHAnsi"/>
          <w:sz w:val="20"/>
          <w:szCs w:val="20"/>
          <w:lang w:val="es-ES_tradnl"/>
        </w:rPr>
        <w:t xml:space="preserve">y que treinta siete años luego de su muerte, el Estado no ha concluido el proceso penal encaminado a esclarecer el hecho ni sancionado o identificado a las personas responsables. La petición además alega que el Estado no ha brindado reparación integral a </w:t>
      </w:r>
      <w:r w:rsidR="005C49F1" w:rsidRPr="00F34A60">
        <w:rPr>
          <w:rFonts w:asciiTheme="majorHAnsi" w:hAnsiTheme="majorHAnsi"/>
          <w:sz w:val="20"/>
          <w:szCs w:val="20"/>
          <w:lang w:val="es-ES_tradnl"/>
        </w:rPr>
        <w:t>los familiares</w:t>
      </w:r>
      <w:r w:rsidR="0025455F" w:rsidRPr="00F34A60">
        <w:rPr>
          <w:rFonts w:asciiTheme="majorHAnsi" w:hAnsiTheme="majorHAnsi"/>
          <w:sz w:val="20"/>
          <w:szCs w:val="20"/>
          <w:lang w:val="es-ES_tradnl"/>
        </w:rPr>
        <w:t xml:space="preserve"> de la presunta víctima pese a que sus autoridades incurrieron en responsabilidad por no haber adoptado medidas para prevenir la muerte pese a tener conocimiento del riesgo. </w:t>
      </w:r>
    </w:p>
    <w:p w14:paraId="34707610" w14:textId="77777777" w:rsidR="008E2899" w:rsidRPr="00F34A60" w:rsidRDefault="008E2899" w:rsidP="00A168A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2913E705" w14:textId="23162EB9" w:rsidR="00224BC3" w:rsidRPr="00F34A60" w:rsidRDefault="0097308E" w:rsidP="00224BC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F34A60">
        <w:rPr>
          <w:rFonts w:asciiTheme="majorHAnsi" w:hAnsiTheme="majorHAnsi"/>
          <w:sz w:val="20"/>
          <w:szCs w:val="20"/>
          <w:lang w:val="es-ES_tradnl"/>
        </w:rPr>
        <w:t>En el presente caso la Comisión valora los más de treinta y seis años transcurridos desde que el Estado tuvo conocimiento del asesinato de la presunta víctima sin que el proceso penal relacionado con su muerte haya avanzado más allá de la fase de indagatoria</w:t>
      </w:r>
      <w:r w:rsidR="00224BC3" w:rsidRPr="00F34A60">
        <w:rPr>
          <w:rFonts w:asciiTheme="majorHAnsi" w:hAnsiTheme="majorHAnsi"/>
          <w:sz w:val="20"/>
          <w:szCs w:val="20"/>
          <w:lang w:val="es-ES_tradnl"/>
        </w:rPr>
        <w:t xml:space="preserve">. La Comisión además valora que los tribunales domésticos han reconocido un grado de responsabilidad de las autoridades estatales por la muerte de la presunta víctima, pese a lo que no existe información sobre ninguna </w:t>
      </w:r>
      <w:r w:rsidR="00E65661" w:rsidRPr="00F34A60">
        <w:rPr>
          <w:rFonts w:asciiTheme="majorHAnsi" w:hAnsiTheme="majorHAnsi"/>
          <w:sz w:val="20"/>
          <w:szCs w:val="20"/>
          <w:lang w:val="es-ES_tradnl"/>
        </w:rPr>
        <w:t>persona agente o ex agente del Estado que haya recibido sanciones por esta causa.</w:t>
      </w:r>
      <w:r w:rsidR="000E542F" w:rsidRPr="00F34A60">
        <w:rPr>
          <w:rFonts w:asciiTheme="majorHAnsi" w:hAnsiTheme="majorHAnsi"/>
          <w:sz w:val="20"/>
          <w:szCs w:val="20"/>
          <w:lang w:val="es-ES_tradnl"/>
        </w:rPr>
        <w:t xml:space="preserve"> </w:t>
      </w:r>
      <w:r w:rsidRPr="00F34A60">
        <w:rPr>
          <w:rFonts w:asciiTheme="majorHAnsi" w:hAnsiTheme="majorHAnsi"/>
          <w:sz w:val="20"/>
          <w:szCs w:val="20"/>
          <w:lang w:val="es-ES_tradnl"/>
        </w:rPr>
        <w:t>En estas circunstancias, la Comisión estima que los reclamos del peticionario respecto a que el Estado no ha cumplido con sus deberes de investigar</w:t>
      </w:r>
      <w:r w:rsidR="00224BC3" w:rsidRPr="00F34A60">
        <w:rPr>
          <w:rFonts w:asciiTheme="majorHAnsi" w:hAnsiTheme="majorHAnsi"/>
          <w:sz w:val="20"/>
          <w:szCs w:val="20"/>
          <w:lang w:val="es-ES_tradnl"/>
        </w:rPr>
        <w:t xml:space="preserve">, sancionar y reparar </w:t>
      </w:r>
      <w:r w:rsidRPr="00F34A60">
        <w:rPr>
          <w:rFonts w:asciiTheme="majorHAnsi" w:hAnsiTheme="majorHAnsi"/>
          <w:sz w:val="20"/>
          <w:szCs w:val="20"/>
          <w:lang w:val="es-ES_tradnl"/>
        </w:rPr>
        <w:t>el asesinato de la presunta víctima</w:t>
      </w:r>
      <w:r w:rsidR="00011F9F" w:rsidRPr="00F34A60">
        <w:rPr>
          <w:rFonts w:asciiTheme="majorHAnsi" w:hAnsiTheme="majorHAnsi"/>
          <w:sz w:val="20"/>
          <w:szCs w:val="20"/>
          <w:lang w:val="es-ES_tradnl"/>
        </w:rPr>
        <w:t xml:space="preserve"> </w:t>
      </w:r>
      <w:r w:rsidRPr="00F34A60">
        <w:rPr>
          <w:rFonts w:asciiTheme="majorHAnsi" w:hAnsiTheme="majorHAnsi"/>
          <w:sz w:val="20"/>
          <w:szCs w:val="20"/>
          <w:lang w:val="es-ES_tradnl"/>
        </w:rPr>
        <w:t xml:space="preserve">no pueden ser tachados </w:t>
      </w:r>
      <w:r w:rsidRPr="00F34A60">
        <w:rPr>
          <w:rFonts w:asciiTheme="majorHAnsi" w:hAnsiTheme="majorHAnsi"/>
          <w:i/>
          <w:iCs/>
          <w:sz w:val="20"/>
          <w:szCs w:val="20"/>
          <w:lang w:val="es-ES_tradnl"/>
        </w:rPr>
        <w:t>prima facie</w:t>
      </w:r>
      <w:r w:rsidRPr="00F34A60">
        <w:rPr>
          <w:rFonts w:asciiTheme="majorHAnsi" w:hAnsiTheme="majorHAnsi"/>
          <w:sz w:val="20"/>
          <w:szCs w:val="20"/>
          <w:lang w:val="es-ES_tradnl"/>
        </w:rPr>
        <w:t xml:space="preserve"> de manifiestamente infundados en esta etapa de admisibilidad</w:t>
      </w:r>
      <w:r w:rsidR="00011F9F" w:rsidRPr="00F34A60">
        <w:rPr>
          <w:rFonts w:asciiTheme="majorHAnsi" w:hAnsiTheme="majorHAnsi"/>
          <w:sz w:val="20"/>
          <w:szCs w:val="20"/>
          <w:lang w:val="es-ES_tradnl"/>
        </w:rPr>
        <w:t xml:space="preserve">. </w:t>
      </w:r>
    </w:p>
    <w:p w14:paraId="3D93FF50" w14:textId="77777777" w:rsidR="005F3575" w:rsidRPr="00F34A60" w:rsidRDefault="005F3575" w:rsidP="00A168A8">
      <w:pPr>
        <w:rPr>
          <w:rFonts w:asciiTheme="majorHAnsi" w:hAnsiTheme="majorHAnsi"/>
          <w:b/>
          <w:bCs/>
          <w:sz w:val="20"/>
          <w:szCs w:val="20"/>
          <w:lang w:val="es-ES_tradnl"/>
        </w:rPr>
      </w:pPr>
    </w:p>
    <w:p w14:paraId="5478E91E" w14:textId="018DC68D" w:rsidR="005F3575" w:rsidRPr="00F34A60" w:rsidRDefault="005F3575" w:rsidP="00224BC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F34A60">
        <w:rPr>
          <w:rFonts w:asciiTheme="majorHAnsi" w:hAnsiTheme="majorHAnsi"/>
          <w:sz w:val="20"/>
          <w:szCs w:val="20"/>
          <w:lang w:val="es-ES_tradnl"/>
        </w:rPr>
        <w:t xml:space="preserve">En atención a estas consideraciones y tras examinar los elementos de hecho y de derecho expuestos por las partes, la CIDH estima que las alegaciones de la parte peticionaria no resultan manifiestamente infundadas y que estas requieren un estudio de fondo pues los hechos alegados, de corroborarse como ciertos, podrían caracterizar violaciones a los artículos </w:t>
      </w:r>
      <w:r w:rsidRPr="00F34A60">
        <w:rPr>
          <w:rFonts w:asciiTheme="majorHAnsi" w:hAnsiTheme="majorHAnsi"/>
          <w:bCs/>
          <w:sz w:val="20"/>
          <w:szCs w:val="20"/>
          <w:lang w:val="es-ES_tradnl"/>
        </w:rPr>
        <w:t>4 (vida), 8 (garantías judiciales), y 25 (protección judicial) de la Convención Americana en relación con su artículo 1.1. (obligación de respetar los derechos)</w:t>
      </w:r>
      <w:r w:rsidR="00A168A8" w:rsidRPr="00F34A60">
        <w:rPr>
          <w:rFonts w:asciiTheme="majorHAnsi" w:hAnsiTheme="majorHAnsi"/>
          <w:bCs/>
          <w:sz w:val="20"/>
          <w:szCs w:val="20"/>
          <w:lang w:val="es-ES_tradnl"/>
        </w:rPr>
        <w:t>, en perjuicio del Sr. Jorge Tadeo Mayo Castro, y de sus familiares debidamente identificados, en los términos del presente informe</w:t>
      </w:r>
      <w:r w:rsidRPr="00F34A60">
        <w:rPr>
          <w:rFonts w:asciiTheme="majorHAnsi" w:hAnsiTheme="majorHAnsi"/>
          <w:bCs/>
          <w:sz w:val="20"/>
          <w:szCs w:val="20"/>
          <w:lang w:val="es-ES_tradnl"/>
        </w:rPr>
        <w:t xml:space="preserve">. </w:t>
      </w:r>
    </w:p>
    <w:p w14:paraId="3E7ACC42" w14:textId="77777777" w:rsidR="005F3575" w:rsidRPr="00F34A60" w:rsidRDefault="005F3575" w:rsidP="005F3575">
      <w:pPr>
        <w:pStyle w:val="ListParagraph"/>
        <w:rPr>
          <w:rFonts w:asciiTheme="majorHAnsi" w:hAnsiTheme="majorHAnsi"/>
          <w:b/>
          <w:bCs/>
          <w:color w:val="auto"/>
          <w:sz w:val="20"/>
          <w:szCs w:val="20"/>
          <w:lang w:val="es-ES_tradnl"/>
        </w:rPr>
      </w:pPr>
    </w:p>
    <w:p w14:paraId="46296E57" w14:textId="250B2F93" w:rsidR="005F3575" w:rsidRPr="00F34A60" w:rsidRDefault="005F3575" w:rsidP="00224BC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F34A60">
        <w:rPr>
          <w:rFonts w:asciiTheme="majorHAnsi" w:hAnsiTheme="majorHAnsi"/>
          <w:sz w:val="20"/>
          <w:szCs w:val="20"/>
          <w:lang w:val="es-ES_tradnl"/>
        </w:rPr>
        <w:t xml:space="preserve">En cuanto a las alegadas violaciones al artículo 26 (derechos económicos, sociales y culturales) de la Convención Americana, la Comisión estima que el peticionario no ha aportado elementos o sustento suficiente para considerar </w:t>
      </w:r>
      <w:r w:rsidRPr="00F34A60">
        <w:rPr>
          <w:rFonts w:asciiTheme="majorHAnsi" w:hAnsiTheme="majorHAnsi"/>
          <w:i/>
          <w:iCs/>
          <w:sz w:val="20"/>
          <w:szCs w:val="20"/>
          <w:lang w:val="es-ES_tradnl"/>
        </w:rPr>
        <w:t>prima facie</w:t>
      </w:r>
      <w:r w:rsidRPr="00F34A60">
        <w:rPr>
          <w:rFonts w:asciiTheme="majorHAnsi" w:hAnsiTheme="majorHAnsi"/>
          <w:sz w:val="20"/>
          <w:szCs w:val="20"/>
          <w:lang w:val="es-ES_tradnl"/>
        </w:rPr>
        <w:t xml:space="preserve"> su posible violación.</w:t>
      </w:r>
    </w:p>
    <w:p w14:paraId="070E2079" w14:textId="77777777" w:rsidR="000E542F" w:rsidRPr="00F34A60" w:rsidRDefault="000E542F" w:rsidP="000E542F">
      <w:pPr>
        <w:pStyle w:val="ListParagraph"/>
        <w:rPr>
          <w:rFonts w:asciiTheme="majorHAnsi" w:hAnsiTheme="majorHAnsi"/>
          <w:b/>
          <w:bCs/>
          <w:color w:val="auto"/>
          <w:sz w:val="20"/>
          <w:szCs w:val="20"/>
          <w:lang w:val="es-ES_tradnl"/>
        </w:rPr>
      </w:pPr>
    </w:p>
    <w:p w14:paraId="11A4C902" w14:textId="39A3A132" w:rsidR="00FA6F72" w:rsidRPr="00F34A60" w:rsidRDefault="00FA6F72" w:rsidP="00FA6F7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F34A60">
        <w:rPr>
          <w:rFonts w:asciiTheme="majorHAnsi" w:hAnsiTheme="majorHAnsi"/>
          <w:bCs/>
          <w:color w:val="auto"/>
          <w:sz w:val="20"/>
          <w:szCs w:val="20"/>
          <w:lang w:val="es-ES_tradnl"/>
        </w:rPr>
        <w:t>Por las razones arriba expuestas, en la etapa de fondo la Comisión solo analizará la responsabilidad del Estado en lo relacionado con sus deberes de investigar la muerte de la presunta víctima y sancionar a quienes pudieran ser responsables por ella; y de determinarse el incumplimiento de esas obligaciones</w:t>
      </w:r>
      <w:r w:rsidR="00F34A60" w:rsidRPr="00F34A60">
        <w:rPr>
          <w:rFonts w:asciiTheme="majorHAnsi" w:hAnsiTheme="majorHAnsi"/>
          <w:bCs/>
          <w:color w:val="auto"/>
          <w:sz w:val="20"/>
          <w:szCs w:val="20"/>
          <w:lang w:val="es-ES_tradnl"/>
        </w:rPr>
        <w:t xml:space="preserve"> fijará las reparaciones correspondientes que jurídicamente se deriven de aquellas. </w:t>
      </w:r>
    </w:p>
    <w:p w14:paraId="7D2F04B6" w14:textId="77777777" w:rsidR="0085147C" w:rsidRPr="00F34A60" w:rsidRDefault="0085147C" w:rsidP="00A168A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29BB41F5" w14:textId="7D2946B9" w:rsidR="003239B8" w:rsidRPr="00F34A60" w:rsidRDefault="003239B8" w:rsidP="00FE080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color w:val="auto"/>
          <w:sz w:val="20"/>
          <w:szCs w:val="20"/>
          <w:lang w:val="es-ES_tradnl"/>
        </w:rPr>
      </w:pPr>
      <w:r w:rsidRPr="00F34A60">
        <w:rPr>
          <w:rFonts w:asciiTheme="majorHAnsi" w:hAnsiTheme="majorHAnsi"/>
          <w:b/>
          <w:bCs/>
          <w:color w:val="auto"/>
          <w:sz w:val="20"/>
          <w:szCs w:val="20"/>
          <w:lang w:val="es-ES_tradnl"/>
        </w:rPr>
        <w:t xml:space="preserve">VIII. </w:t>
      </w:r>
      <w:r w:rsidRPr="00F34A60">
        <w:rPr>
          <w:rFonts w:asciiTheme="majorHAnsi" w:hAnsiTheme="majorHAnsi"/>
          <w:b/>
          <w:bCs/>
          <w:color w:val="auto"/>
          <w:sz w:val="20"/>
          <w:szCs w:val="20"/>
          <w:lang w:val="es-ES_tradnl"/>
        </w:rPr>
        <w:tab/>
        <w:t>DECISIÓN</w:t>
      </w:r>
    </w:p>
    <w:p w14:paraId="6B7021A0" w14:textId="4FB4521D" w:rsidR="00AA11BD" w:rsidRPr="00F34A60" w:rsidRDefault="003239B8" w:rsidP="00CE11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34A60">
        <w:rPr>
          <w:rFonts w:asciiTheme="majorHAnsi" w:hAnsiTheme="majorHAnsi"/>
          <w:sz w:val="20"/>
          <w:szCs w:val="20"/>
          <w:lang w:val="es-ES_tradnl"/>
        </w:rPr>
        <w:t xml:space="preserve">Declarar </w:t>
      </w:r>
      <w:r w:rsidR="005F3575" w:rsidRPr="00F34A60">
        <w:rPr>
          <w:rFonts w:asciiTheme="majorHAnsi" w:hAnsiTheme="majorHAnsi"/>
          <w:sz w:val="20"/>
          <w:szCs w:val="20"/>
          <w:lang w:val="es-ES_tradnl"/>
        </w:rPr>
        <w:t>admisible la presente petición en relación con los artículos 4, 8 y 25 de la Convención Americana</w:t>
      </w:r>
      <w:r w:rsidR="00A168A8" w:rsidRPr="00F34A60">
        <w:rPr>
          <w:rFonts w:asciiTheme="majorHAnsi" w:hAnsiTheme="majorHAnsi"/>
          <w:sz w:val="20"/>
          <w:szCs w:val="20"/>
          <w:lang w:val="es-ES_tradnl"/>
        </w:rPr>
        <w:t>,</w:t>
      </w:r>
      <w:r w:rsidR="005F3575" w:rsidRPr="00F34A60">
        <w:rPr>
          <w:rFonts w:asciiTheme="majorHAnsi" w:hAnsiTheme="majorHAnsi"/>
          <w:sz w:val="20"/>
          <w:szCs w:val="20"/>
          <w:lang w:val="es-ES_tradnl"/>
        </w:rPr>
        <w:t xml:space="preserve"> en relación con su artículo 1.1</w:t>
      </w:r>
      <w:r w:rsidR="00B4239E">
        <w:rPr>
          <w:rFonts w:asciiTheme="majorHAnsi" w:hAnsiTheme="majorHAnsi"/>
          <w:sz w:val="20"/>
          <w:szCs w:val="20"/>
          <w:lang w:val="es-ES_tradnl"/>
        </w:rPr>
        <w:t>;</w:t>
      </w:r>
    </w:p>
    <w:p w14:paraId="3A07CB98" w14:textId="5665C4F8" w:rsidR="005F3575" w:rsidRPr="00F34A60" w:rsidRDefault="005F3575" w:rsidP="00CE11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34A60">
        <w:rPr>
          <w:rFonts w:asciiTheme="majorHAnsi" w:hAnsiTheme="majorHAnsi"/>
          <w:sz w:val="20"/>
          <w:szCs w:val="20"/>
          <w:lang w:val="es-ES_tradnl"/>
        </w:rPr>
        <w:t>Declarar inadmisible la presente petición en relación el artículo 26 de la Convención Americana</w:t>
      </w:r>
      <w:r w:rsidR="00B4239E">
        <w:rPr>
          <w:rFonts w:asciiTheme="majorHAnsi" w:hAnsiTheme="majorHAnsi"/>
          <w:sz w:val="20"/>
          <w:szCs w:val="20"/>
          <w:lang w:val="es-ES_tradnl"/>
        </w:rPr>
        <w:t>, y;</w:t>
      </w:r>
    </w:p>
    <w:p w14:paraId="1C99F912" w14:textId="2F4C3ECC" w:rsidR="003A3939" w:rsidRDefault="003A3939" w:rsidP="00CE11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34A60">
        <w:rPr>
          <w:rFonts w:asciiTheme="majorHAnsi" w:hAnsiTheme="majorHAnsi"/>
          <w:sz w:val="20"/>
          <w:szCs w:val="20"/>
          <w:lang w:val="es-ES_tradnl"/>
        </w:rPr>
        <w:lastRenderedPageBreak/>
        <w:t>Notificar a las partes la presente decisión</w:t>
      </w:r>
      <w:r w:rsidR="00FE0802" w:rsidRPr="00F34A60">
        <w:rPr>
          <w:rFonts w:asciiTheme="majorHAnsi" w:hAnsiTheme="majorHAnsi"/>
          <w:sz w:val="20"/>
          <w:szCs w:val="20"/>
          <w:lang w:val="es-ES_tradnl"/>
        </w:rPr>
        <w:t>:</w:t>
      </w:r>
      <w:r w:rsidR="005F3575" w:rsidRPr="00F34A60">
        <w:rPr>
          <w:rFonts w:asciiTheme="majorHAnsi" w:hAnsiTheme="majorHAnsi"/>
          <w:sz w:val="20"/>
          <w:szCs w:val="20"/>
          <w:lang w:val="es-ES_tradnl"/>
        </w:rPr>
        <w:t xml:space="preserve"> proceder al análisis del fondo del asunto;</w:t>
      </w:r>
      <w:r w:rsidR="00AA11BD" w:rsidRPr="00F34A60">
        <w:rPr>
          <w:rFonts w:asciiTheme="majorHAnsi" w:hAnsiTheme="majorHAnsi"/>
          <w:sz w:val="20"/>
          <w:szCs w:val="20"/>
          <w:lang w:val="es-ES_tradnl"/>
        </w:rPr>
        <w:t xml:space="preserve"> </w:t>
      </w:r>
      <w:r w:rsidRPr="00F34A60">
        <w:rPr>
          <w:rFonts w:asciiTheme="majorHAnsi" w:hAnsiTheme="majorHAnsi"/>
          <w:sz w:val="20"/>
          <w:szCs w:val="20"/>
          <w:lang w:val="es-ES_tradnl"/>
        </w:rPr>
        <w:t>y publicar esta decisión e incluirla en su Informe Anual a la Asamblea General de la Organización de los Estados Americanos.</w:t>
      </w:r>
    </w:p>
    <w:p w14:paraId="1B51CA0B" w14:textId="0C0EEB4C" w:rsidR="00B4239E" w:rsidRPr="007735A3" w:rsidRDefault="00280F88" w:rsidP="007735A3">
      <w:pPr>
        <w:pStyle w:val="paragraph"/>
        <w:spacing w:before="0" w:beforeAutospacing="0" w:after="0" w:afterAutospacing="0"/>
        <w:ind w:firstLine="720"/>
        <w:jc w:val="both"/>
        <w:textAlignment w:val="baseline"/>
        <w:rPr>
          <w:rFonts w:ascii="Segoe UI" w:hAnsi="Segoe UI" w:cs="Segoe UI"/>
          <w:sz w:val="18"/>
          <w:szCs w:val="18"/>
          <w:lang w:val="es-ES"/>
        </w:rPr>
      </w:pPr>
      <w:bookmarkStart w:id="2" w:name="_Hlk109726580"/>
      <w:bookmarkStart w:id="3" w:name="_Hlk109739245"/>
      <w:r>
        <w:rPr>
          <w:rStyle w:val="normaltextrun"/>
          <w:rFonts w:ascii="Cambria" w:hAnsi="Cambria" w:cs="Segoe UI"/>
          <w:sz w:val="20"/>
          <w:szCs w:val="20"/>
          <w:lang w:val="es-CL"/>
        </w:rPr>
        <w:t>Aprobado por la Comisión Interamericana de Derechos Humanos a los 8 días del mes de julio de 2022. </w:t>
      </w:r>
      <w:r w:rsidR="007735A3">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(Firmado): Julissa Mantilla Falcón, Presidenta; Stuardo Ralón Orellana, Primer Vicepresidente; Esmeralda E. Arosemena Bernal de Troitiño y Joel Hernández, </w:t>
      </w:r>
      <w:r w:rsidR="007735A3">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bookmarkEnd w:id="2"/>
      <w:bookmarkEnd w:id="3"/>
    </w:p>
    <w:p w14:paraId="6AC80CA6" w14:textId="03E7F55E" w:rsidR="00722C9F" w:rsidRPr="00F34A60" w:rsidRDefault="00722C9F" w:rsidP="00974491">
      <w:pPr>
        <w:rPr>
          <w:rFonts w:asciiTheme="majorHAnsi" w:hAnsiTheme="majorHAnsi" w:cs="Calibri"/>
          <w:sz w:val="20"/>
          <w:szCs w:val="20"/>
          <w:lang w:val="es-ES_tradnl"/>
        </w:rPr>
      </w:pPr>
    </w:p>
    <w:sectPr w:rsidR="00722C9F" w:rsidRPr="00F34A60" w:rsidSect="00934A2C">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F9000" w14:textId="77777777" w:rsidR="00956333" w:rsidRDefault="00956333">
      <w:r>
        <w:separator/>
      </w:r>
    </w:p>
  </w:endnote>
  <w:endnote w:type="continuationSeparator" w:id="0">
    <w:p w14:paraId="2678E374" w14:textId="77777777" w:rsidR="00956333" w:rsidRDefault="0095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511EBB" w:rsidRPr="00934A2C" w:rsidRDefault="00511EB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511EBB" w:rsidRDefault="00511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511EBB" w:rsidRPr="00934A2C" w:rsidRDefault="00511EBB">
    <w:pPr>
      <w:pStyle w:val="Footer"/>
      <w:jc w:val="center"/>
      <w:rPr>
        <w:sz w:val="16"/>
        <w:szCs w:val="22"/>
      </w:rPr>
    </w:pPr>
  </w:p>
  <w:p w14:paraId="4EA5439C" w14:textId="77777777" w:rsidR="00511EBB" w:rsidRDefault="00511E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7B6B5BFE" w:rsidR="00511EBB" w:rsidRPr="00934A2C" w:rsidRDefault="00511EB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A0FD8">
          <w:rPr>
            <w:noProof/>
            <w:sz w:val="16"/>
            <w:szCs w:val="22"/>
          </w:rPr>
          <w:t>5</w:t>
        </w:r>
        <w:r w:rsidRPr="00934A2C">
          <w:rPr>
            <w:noProof/>
            <w:sz w:val="16"/>
            <w:szCs w:val="22"/>
          </w:rPr>
          <w:fldChar w:fldCharType="end"/>
        </w:r>
      </w:p>
    </w:sdtContent>
  </w:sdt>
  <w:p w14:paraId="68530E6A" w14:textId="77777777" w:rsidR="00511EBB" w:rsidRDefault="00511E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511EBB" w:rsidRPr="00934A2C" w:rsidRDefault="00511EBB">
    <w:pPr>
      <w:pStyle w:val="Footer"/>
      <w:jc w:val="center"/>
      <w:rPr>
        <w:sz w:val="16"/>
        <w:szCs w:val="22"/>
      </w:rPr>
    </w:pPr>
  </w:p>
  <w:p w14:paraId="49059CE3" w14:textId="77777777" w:rsidR="00511EBB" w:rsidRDefault="00511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CF91E" w14:textId="77777777" w:rsidR="00956333" w:rsidRPr="000F35ED" w:rsidRDefault="0095633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C86275E" w14:textId="77777777" w:rsidR="00956333" w:rsidRPr="000F35ED" w:rsidRDefault="00956333" w:rsidP="000F35ED">
      <w:pPr>
        <w:rPr>
          <w:rFonts w:asciiTheme="majorHAnsi" w:hAnsiTheme="majorHAnsi"/>
          <w:sz w:val="16"/>
          <w:szCs w:val="16"/>
        </w:rPr>
      </w:pPr>
      <w:r w:rsidRPr="000F35ED">
        <w:rPr>
          <w:rFonts w:asciiTheme="majorHAnsi" w:hAnsiTheme="majorHAnsi"/>
          <w:sz w:val="16"/>
          <w:szCs w:val="16"/>
        </w:rPr>
        <w:separator/>
      </w:r>
    </w:p>
    <w:p w14:paraId="31A11A50" w14:textId="77777777" w:rsidR="00956333" w:rsidRPr="000F35ED" w:rsidRDefault="0095633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188CD80" w14:textId="77777777" w:rsidR="00956333" w:rsidRPr="000F35ED" w:rsidRDefault="0095633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E3E319D" w14:textId="442146EC" w:rsidR="00456D10" w:rsidRPr="0008406E" w:rsidRDefault="00456D10" w:rsidP="00456D10">
      <w:pPr>
        <w:pStyle w:val="FootnoteText"/>
        <w:ind w:firstLine="720"/>
        <w:jc w:val="both"/>
        <w:rPr>
          <w:rFonts w:asciiTheme="majorHAnsi" w:hAnsiTheme="majorHAnsi"/>
          <w:sz w:val="16"/>
          <w:szCs w:val="16"/>
          <w:lang w:val="es-PA"/>
        </w:rPr>
      </w:pPr>
      <w:r w:rsidRPr="0008406E">
        <w:rPr>
          <w:rStyle w:val="FootnoteReference"/>
          <w:rFonts w:asciiTheme="majorHAnsi" w:hAnsiTheme="majorHAnsi"/>
          <w:sz w:val="16"/>
          <w:szCs w:val="16"/>
        </w:rPr>
        <w:footnoteRef/>
      </w:r>
      <w:r w:rsidRPr="0008406E">
        <w:rPr>
          <w:rFonts w:asciiTheme="majorHAnsi" w:hAnsiTheme="majorHAnsi"/>
          <w:sz w:val="16"/>
          <w:szCs w:val="16"/>
          <w:lang w:val="es-PA"/>
        </w:rPr>
        <w:t xml:space="preserve"> </w:t>
      </w:r>
      <w:r w:rsidRPr="0008406E">
        <w:rPr>
          <w:rFonts w:asciiTheme="majorHAnsi" w:hAnsiTheme="majorHAnsi"/>
          <w:sz w:val="16"/>
          <w:szCs w:val="16"/>
          <w:lang w:val="es-ES"/>
        </w:rPr>
        <w:t xml:space="preserve">Conforme a lo dispuesto en el artículo 17.2.a del Reglamento de la Comisión, </w:t>
      </w:r>
      <w:r w:rsidR="0008406E" w:rsidRPr="0008406E">
        <w:rPr>
          <w:rFonts w:asciiTheme="majorHAnsi" w:hAnsiTheme="majorHAnsi"/>
          <w:sz w:val="16"/>
          <w:szCs w:val="16"/>
          <w:lang w:val="es-ES"/>
        </w:rPr>
        <w:t>el Comisionado Carlos Bernal Pulido</w:t>
      </w:r>
      <w:r w:rsidRPr="0008406E">
        <w:rPr>
          <w:rFonts w:asciiTheme="majorHAnsi" w:hAnsiTheme="majorHAnsi"/>
          <w:sz w:val="16"/>
          <w:szCs w:val="16"/>
          <w:lang w:val="es-ES"/>
        </w:rPr>
        <w:t>, de nacionalidad c</w:t>
      </w:r>
      <w:r w:rsidR="0008406E" w:rsidRPr="0008406E">
        <w:rPr>
          <w:rFonts w:asciiTheme="majorHAnsi" w:hAnsiTheme="majorHAnsi"/>
          <w:sz w:val="16"/>
          <w:szCs w:val="16"/>
          <w:lang w:val="es-ES"/>
        </w:rPr>
        <w:t>olombiana</w:t>
      </w:r>
      <w:r w:rsidRPr="0008406E">
        <w:rPr>
          <w:rFonts w:asciiTheme="majorHAnsi" w:hAnsiTheme="majorHAnsi"/>
          <w:sz w:val="16"/>
          <w:szCs w:val="16"/>
          <w:lang w:val="es-ES"/>
        </w:rPr>
        <w:t>, no participó en el debate ni en la decisión del presente asunto.</w:t>
      </w:r>
    </w:p>
  </w:footnote>
  <w:footnote w:id="3">
    <w:p w14:paraId="2CF14ED2" w14:textId="1D50D5B4" w:rsidR="00511EBB" w:rsidRPr="0008406E" w:rsidRDefault="00511EBB" w:rsidP="0067536A">
      <w:pPr>
        <w:pStyle w:val="FootnoteText"/>
        <w:ind w:firstLine="720"/>
        <w:jc w:val="both"/>
        <w:rPr>
          <w:rFonts w:asciiTheme="majorHAnsi" w:hAnsiTheme="majorHAnsi"/>
          <w:color w:val="auto"/>
          <w:sz w:val="16"/>
          <w:szCs w:val="16"/>
          <w:lang w:val="es-US"/>
        </w:rPr>
      </w:pPr>
      <w:r w:rsidRPr="0008406E">
        <w:rPr>
          <w:rStyle w:val="FootnoteReference"/>
          <w:rFonts w:asciiTheme="majorHAnsi" w:hAnsiTheme="majorHAnsi"/>
          <w:color w:val="auto"/>
          <w:sz w:val="16"/>
          <w:szCs w:val="16"/>
        </w:rPr>
        <w:footnoteRef/>
      </w:r>
      <w:r w:rsidRPr="0008406E">
        <w:rPr>
          <w:rFonts w:asciiTheme="majorHAnsi" w:hAnsiTheme="majorHAnsi"/>
          <w:color w:val="auto"/>
          <w:sz w:val="16"/>
          <w:szCs w:val="16"/>
          <w:lang w:val="es-PA"/>
        </w:rPr>
        <w:t xml:space="preserve"> En adelante “la Convención Americana”</w:t>
      </w:r>
      <w:r w:rsidR="00F272D0" w:rsidRPr="0008406E">
        <w:rPr>
          <w:rFonts w:asciiTheme="majorHAnsi" w:hAnsiTheme="majorHAnsi"/>
          <w:color w:val="auto"/>
          <w:sz w:val="16"/>
          <w:szCs w:val="16"/>
          <w:lang w:val="es-PA"/>
        </w:rPr>
        <w:t xml:space="preserve"> o “la Convención”</w:t>
      </w:r>
      <w:r w:rsidRPr="0008406E">
        <w:rPr>
          <w:rFonts w:asciiTheme="majorHAnsi" w:hAnsiTheme="majorHAnsi"/>
          <w:color w:val="auto"/>
          <w:sz w:val="16"/>
          <w:szCs w:val="16"/>
          <w:lang w:val="es-PA"/>
        </w:rPr>
        <w:t>.</w:t>
      </w:r>
    </w:p>
  </w:footnote>
  <w:footnote w:id="4">
    <w:p w14:paraId="08CD6656" w14:textId="77777777" w:rsidR="00511EBB" w:rsidRPr="0008406E" w:rsidRDefault="00511EBB" w:rsidP="0067536A">
      <w:pPr>
        <w:pStyle w:val="FootnoteText"/>
        <w:ind w:firstLine="720"/>
        <w:jc w:val="both"/>
        <w:rPr>
          <w:rFonts w:asciiTheme="majorHAnsi" w:hAnsiTheme="majorHAnsi"/>
          <w:color w:val="auto"/>
          <w:sz w:val="16"/>
          <w:szCs w:val="16"/>
          <w:lang w:val="es-ES"/>
        </w:rPr>
      </w:pPr>
      <w:r w:rsidRPr="0008406E">
        <w:rPr>
          <w:rStyle w:val="FootnoteReference"/>
          <w:rFonts w:asciiTheme="majorHAnsi" w:hAnsiTheme="majorHAnsi"/>
          <w:color w:val="auto"/>
          <w:sz w:val="16"/>
          <w:szCs w:val="16"/>
        </w:rPr>
        <w:footnoteRef/>
      </w:r>
      <w:r w:rsidRPr="0008406E">
        <w:rPr>
          <w:rFonts w:asciiTheme="majorHAnsi" w:hAnsiTheme="majorHAnsi"/>
          <w:color w:val="auto"/>
          <w:sz w:val="16"/>
          <w:szCs w:val="16"/>
          <w:lang w:val="es-ES"/>
        </w:rPr>
        <w:t xml:space="preserve"> Las observaciones de cada parte fueron debidamente trasladadas a la parte contraria.</w:t>
      </w:r>
    </w:p>
  </w:footnote>
  <w:footnote w:id="5">
    <w:p w14:paraId="351AC26F" w14:textId="77777777" w:rsidR="003B6817" w:rsidRPr="004247BC" w:rsidRDefault="003B6817" w:rsidP="003B6817">
      <w:pPr>
        <w:ind w:firstLine="720"/>
        <w:contextualSpacing/>
        <w:jc w:val="both"/>
        <w:rPr>
          <w:rFonts w:ascii="Cambria" w:hAnsi="Cambria" w:cs="Calibri"/>
          <w:sz w:val="16"/>
          <w:szCs w:val="16"/>
          <w:lang w:val="es-ES_tradnl"/>
        </w:rPr>
      </w:pPr>
      <w:r w:rsidRPr="006132CC">
        <w:rPr>
          <w:rStyle w:val="FootnoteReference"/>
          <w:rFonts w:ascii="Cambria" w:hAnsi="Cambria" w:cs="Calibri"/>
          <w:sz w:val="16"/>
          <w:szCs w:val="16"/>
        </w:rPr>
        <w:footnoteRef/>
      </w:r>
      <w:r w:rsidRPr="006132CC">
        <w:rPr>
          <w:rFonts w:ascii="Cambria" w:hAnsi="Cambria" w:cs="Calibri"/>
          <w:sz w:val="16"/>
          <w:szCs w:val="16"/>
          <w:lang w:val="es-ES"/>
        </w:rPr>
        <w:t xml:space="preserve">  </w:t>
      </w:r>
      <w:r w:rsidRPr="006132CC">
        <w:rPr>
          <w:rFonts w:ascii="Cambria" w:hAnsi="Cambria" w:cs="Calibri"/>
          <w:sz w:val="16"/>
          <w:szCs w:val="16"/>
          <w:lang w:val="es-ES_tradnl"/>
        </w:rPr>
        <w:t>CIDH, Informe No. 56/08</w:t>
      </w:r>
      <w:r>
        <w:rPr>
          <w:rFonts w:ascii="Cambria" w:hAnsi="Cambria" w:cs="Calibri"/>
          <w:sz w:val="16"/>
          <w:szCs w:val="16"/>
          <w:lang w:val="es-ES_tradnl"/>
        </w:rPr>
        <w:t>, Petición 11.602</w:t>
      </w:r>
      <w:r w:rsidRPr="006132CC">
        <w:rPr>
          <w:rFonts w:ascii="Cambria" w:hAnsi="Cambria" w:cs="Calibri"/>
          <w:sz w:val="16"/>
          <w:szCs w:val="16"/>
          <w:lang w:val="es-ES_tradnl"/>
        </w:rPr>
        <w:t xml:space="preserve">. Admisibilidad. </w:t>
      </w:r>
      <w:r>
        <w:rPr>
          <w:rFonts w:ascii="Cambria" w:hAnsi="Cambria" w:cs="Calibri"/>
          <w:sz w:val="16"/>
          <w:szCs w:val="16"/>
          <w:lang w:val="es-ES_tradnl"/>
        </w:rPr>
        <w:t>Trabajadores despedidos d</w:t>
      </w:r>
      <w:r w:rsidRPr="004247BC">
        <w:rPr>
          <w:rFonts w:ascii="Cambria" w:hAnsi="Cambria" w:cs="Calibri"/>
          <w:sz w:val="16"/>
          <w:szCs w:val="16"/>
          <w:lang w:val="es-ES_tradnl"/>
        </w:rPr>
        <w:t>e</w:t>
      </w:r>
      <w:r>
        <w:rPr>
          <w:rFonts w:ascii="Cambria" w:hAnsi="Cambria" w:cs="Calibri"/>
          <w:sz w:val="16"/>
          <w:szCs w:val="16"/>
          <w:lang w:val="es-ES_tradnl"/>
        </w:rPr>
        <w:t xml:space="preserve"> Petróleos Del Perú (Petroperú) </w:t>
      </w:r>
      <w:r w:rsidRPr="004247BC">
        <w:rPr>
          <w:rFonts w:ascii="Cambria" w:hAnsi="Cambria" w:cs="Calibri"/>
          <w:sz w:val="16"/>
          <w:szCs w:val="16"/>
          <w:lang w:val="es-ES_tradnl"/>
        </w:rPr>
        <w:t xml:space="preserve">Zona Noroeste </w:t>
      </w:r>
      <w:r>
        <w:rPr>
          <w:rFonts w:ascii="Cambria" w:hAnsi="Cambria" w:cs="Calibri"/>
          <w:sz w:val="16"/>
          <w:szCs w:val="16"/>
          <w:lang w:val="es-ES_tradnl"/>
        </w:rPr>
        <w:t>–</w:t>
      </w:r>
      <w:r w:rsidRPr="004247BC">
        <w:rPr>
          <w:rFonts w:ascii="Cambria" w:hAnsi="Cambria" w:cs="Calibri"/>
          <w:sz w:val="16"/>
          <w:szCs w:val="16"/>
          <w:lang w:val="es-ES_tradnl"/>
        </w:rPr>
        <w:t xml:space="preserve"> Talara</w:t>
      </w:r>
      <w:r>
        <w:rPr>
          <w:rFonts w:ascii="Cambria" w:hAnsi="Cambria" w:cs="Calibri"/>
          <w:sz w:val="16"/>
          <w:szCs w:val="16"/>
          <w:lang w:val="es-ES_tradnl"/>
        </w:rPr>
        <w:t>.</w:t>
      </w:r>
      <w:r w:rsidRPr="006132CC">
        <w:rPr>
          <w:rFonts w:ascii="Cambria" w:hAnsi="Cambria" w:cs="Calibri"/>
          <w:sz w:val="16"/>
          <w:szCs w:val="16"/>
          <w:lang w:val="es-ES_tradnl"/>
        </w:rPr>
        <w:t xml:space="preserve"> Perú</w:t>
      </w:r>
      <w:r>
        <w:rPr>
          <w:rFonts w:ascii="Cambria" w:hAnsi="Cambria" w:cs="Calibri"/>
          <w:sz w:val="16"/>
          <w:szCs w:val="16"/>
          <w:lang w:val="es-ES_tradnl"/>
        </w:rPr>
        <w:t>.</w:t>
      </w:r>
      <w:r w:rsidRPr="006132CC">
        <w:rPr>
          <w:rFonts w:ascii="Cambria" w:hAnsi="Cambria" w:cs="Calibri"/>
          <w:sz w:val="16"/>
          <w:szCs w:val="16"/>
          <w:lang w:val="es-ES_tradnl"/>
        </w:rPr>
        <w:t xml:space="preserve"> 24 de julio de 2008, párr. 58.</w:t>
      </w:r>
    </w:p>
  </w:footnote>
  <w:footnote w:id="6">
    <w:p w14:paraId="25EE08B1" w14:textId="77777777" w:rsidR="003B6817" w:rsidRPr="006132CC" w:rsidRDefault="003B6817" w:rsidP="003B6817">
      <w:pPr>
        <w:pStyle w:val="FootnoteText"/>
        <w:jc w:val="both"/>
        <w:rPr>
          <w:rFonts w:ascii="Cambria" w:hAnsi="Cambria"/>
          <w:sz w:val="16"/>
          <w:szCs w:val="16"/>
          <w:lang w:val="es-ES_tradnl"/>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78/16</w:t>
      </w:r>
      <w:r>
        <w:rPr>
          <w:rFonts w:ascii="Cambria" w:hAnsi="Cambria"/>
          <w:sz w:val="16"/>
          <w:szCs w:val="16"/>
          <w:lang w:val="es-ES"/>
        </w:rPr>
        <w:t>, Petición 1170-09</w:t>
      </w:r>
      <w:r w:rsidRPr="006132CC">
        <w:rPr>
          <w:rFonts w:ascii="Cambria" w:hAnsi="Cambria"/>
          <w:sz w:val="16"/>
          <w:szCs w:val="16"/>
          <w:lang w:val="es-ES"/>
        </w:rPr>
        <w:t xml:space="preserve">. Admisibilidad. </w:t>
      </w:r>
      <w:r w:rsidRPr="006132CC">
        <w:rPr>
          <w:rFonts w:ascii="Cambria" w:hAnsi="Cambria"/>
          <w:sz w:val="16"/>
          <w:szCs w:val="16"/>
          <w:lang w:val="pt-BR"/>
        </w:rPr>
        <w:t xml:space="preserve">Almir Muniz Da Silva. Brasil. </w:t>
      </w:r>
      <w:r w:rsidRPr="006132CC">
        <w:rPr>
          <w:rFonts w:ascii="Cambria" w:hAnsi="Cambria"/>
          <w:sz w:val="16"/>
          <w:szCs w:val="16"/>
          <w:lang w:val="es-ES"/>
        </w:rPr>
        <w:t>30 de diciembre de 2016, párr. 31.</w:t>
      </w:r>
    </w:p>
  </w:footnote>
  <w:footnote w:id="7">
    <w:p w14:paraId="61BEBD08" w14:textId="77777777" w:rsidR="003B6817" w:rsidRPr="006132CC" w:rsidRDefault="003B6817" w:rsidP="003B6817">
      <w:pPr>
        <w:pStyle w:val="FootnoteText"/>
        <w:jc w:val="both"/>
        <w:rPr>
          <w:rFonts w:ascii="Cambria" w:hAnsi="Cambria"/>
          <w:sz w:val="16"/>
          <w:szCs w:val="16"/>
          <w:lang w:val="es-ES_tradnl"/>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71/17</w:t>
      </w:r>
      <w:r>
        <w:rPr>
          <w:rFonts w:ascii="Cambria" w:hAnsi="Cambria"/>
          <w:sz w:val="16"/>
          <w:szCs w:val="16"/>
          <w:lang w:val="es-ES"/>
        </w:rPr>
        <w:t>, Petición 271-07</w:t>
      </w:r>
      <w:r w:rsidRPr="006132CC">
        <w:rPr>
          <w:rFonts w:ascii="Cambria" w:hAnsi="Cambria"/>
          <w:sz w:val="16"/>
          <w:szCs w:val="16"/>
          <w:lang w:val="es-ES"/>
        </w:rPr>
        <w:t>. Admisibilidad. Jorge Luis de la Rosa Mejía y otros. Colombia. 29 de junio de 2017, párr</w:t>
      </w:r>
      <w:r w:rsidRPr="006132CC">
        <w:rPr>
          <w:rFonts w:ascii="Cambria" w:hAnsi="Cambria"/>
          <w:sz w:val="16"/>
          <w:szCs w:val="16"/>
          <w:lang w:val="es-ES_tradnl"/>
        </w:rPr>
        <w:t>. 51.</w:t>
      </w:r>
    </w:p>
  </w:footnote>
  <w:footnote w:id="8">
    <w:p w14:paraId="06727D5F" w14:textId="77777777" w:rsidR="0085147C" w:rsidRPr="0012346A" w:rsidRDefault="0085147C" w:rsidP="0085147C">
      <w:pPr>
        <w:pStyle w:val="FootnoteText"/>
        <w:spacing w:after="120"/>
        <w:ind w:firstLine="720"/>
        <w:jc w:val="both"/>
        <w:rPr>
          <w:rFonts w:asciiTheme="majorHAnsi" w:hAnsiTheme="majorHAnsi"/>
          <w:sz w:val="16"/>
          <w:szCs w:val="16"/>
          <w:lang w:val="es-ES"/>
        </w:rPr>
      </w:pPr>
      <w:r w:rsidRPr="00844E48">
        <w:rPr>
          <w:rStyle w:val="FootnoteReference"/>
          <w:rFonts w:asciiTheme="majorHAnsi" w:hAnsiTheme="majorHAnsi"/>
          <w:sz w:val="16"/>
          <w:szCs w:val="16"/>
        </w:rPr>
        <w:footnoteRef/>
      </w:r>
      <w:r w:rsidRPr="00844E48">
        <w:rPr>
          <w:rFonts w:asciiTheme="majorHAnsi" w:hAnsiTheme="majorHAnsi"/>
          <w:sz w:val="16"/>
          <w:szCs w:val="16"/>
          <w:lang w:val="es-ES"/>
        </w:rPr>
        <w:t xml:space="preserve"> CIDH, Informe No. 143/18, Petición 940-08. Admisibilidad. Luis Américo Ayala Gonzales. Perú. 4 de diciembre de 2018, párr.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511EBB" w:rsidRDefault="00511EBB"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511EBB" w:rsidRDefault="00511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511EBB" w:rsidRDefault="00511EBB"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511EBB" w:rsidRPr="00EC7D62" w:rsidRDefault="005262C9" w:rsidP="00A50FCF">
    <w:pPr>
      <w:pStyle w:val="Header"/>
      <w:tabs>
        <w:tab w:val="clear" w:pos="4320"/>
        <w:tab w:val="clear" w:pos="8640"/>
      </w:tabs>
      <w:jc w:val="center"/>
      <w:rPr>
        <w:sz w:val="22"/>
        <w:szCs w:val="22"/>
      </w:rPr>
    </w:pPr>
    <w:r>
      <w:rPr>
        <w:sz w:val="22"/>
        <w:szCs w:val="22"/>
      </w:rPr>
      <w:pict w14:anchorId="69C91BCE">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511EBB" w:rsidRDefault="00511EBB"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511EBB" w:rsidRDefault="00511E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511EBB" w:rsidRDefault="00511EBB"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511EBB" w:rsidRPr="00EC7D62" w:rsidRDefault="005262C9" w:rsidP="00A50FCF">
    <w:pPr>
      <w:pStyle w:val="Header"/>
      <w:tabs>
        <w:tab w:val="clear" w:pos="4320"/>
        <w:tab w:val="clear" w:pos="8640"/>
      </w:tabs>
      <w:jc w:val="center"/>
      <w:rPr>
        <w:sz w:val="22"/>
        <w:szCs w:val="22"/>
      </w:rPr>
    </w:pPr>
    <w:r>
      <w:rPr>
        <w:sz w:val="22"/>
        <w:szCs w:val="22"/>
      </w:rPr>
      <w:pict w14:anchorId="4367A34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568922383">
    <w:abstractNumId w:val="4"/>
  </w:num>
  <w:num w:numId="2" w16cid:durableId="206722066">
    <w:abstractNumId w:val="5"/>
  </w:num>
  <w:num w:numId="3" w16cid:durableId="1921060106">
    <w:abstractNumId w:val="50"/>
  </w:num>
  <w:num w:numId="4" w16cid:durableId="561452262">
    <w:abstractNumId w:val="20"/>
  </w:num>
  <w:num w:numId="5" w16cid:durableId="523979365">
    <w:abstractNumId w:val="44"/>
  </w:num>
  <w:num w:numId="6" w16cid:durableId="638269758">
    <w:abstractNumId w:val="25"/>
  </w:num>
  <w:num w:numId="7" w16cid:durableId="982809018">
    <w:abstractNumId w:val="6"/>
  </w:num>
  <w:num w:numId="8" w16cid:durableId="1019696443">
    <w:abstractNumId w:val="16"/>
  </w:num>
  <w:num w:numId="9" w16cid:durableId="842165248">
    <w:abstractNumId w:val="35"/>
  </w:num>
  <w:num w:numId="10" w16cid:durableId="1364136147">
    <w:abstractNumId w:val="39"/>
  </w:num>
  <w:num w:numId="11" w16cid:durableId="137117280">
    <w:abstractNumId w:val="1"/>
  </w:num>
  <w:num w:numId="12" w16cid:durableId="1683430838">
    <w:abstractNumId w:val="34"/>
  </w:num>
  <w:num w:numId="13" w16cid:durableId="523061076">
    <w:abstractNumId w:val="41"/>
  </w:num>
  <w:num w:numId="14" w16cid:durableId="1137648592">
    <w:abstractNumId w:val="2"/>
  </w:num>
  <w:num w:numId="15" w16cid:durableId="293870632">
    <w:abstractNumId w:val="3"/>
  </w:num>
  <w:num w:numId="16" w16cid:durableId="1625385052">
    <w:abstractNumId w:val="7"/>
  </w:num>
  <w:num w:numId="17" w16cid:durableId="767040599">
    <w:abstractNumId w:val="8"/>
  </w:num>
  <w:num w:numId="18" w16cid:durableId="2127002147">
    <w:abstractNumId w:val="9"/>
  </w:num>
  <w:num w:numId="19" w16cid:durableId="693263933">
    <w:abstractNumId w:val="10"/>
  </w:num>
  <w:num w:numId="20" w16cid:durableId="198904421">
    <w:abstractNumId w:val="11"/>
  </w:num>
  <w:num w:numId="21" w16cid:durableId="1873687314">
    <w:abstractNumId w:val="12"/>
  </w:num>
  <w:num w:numId="22" w16cid:durableId="160781380">
    <w:abstractNumId w:val="13"/>
  </w:num>
  <w:num w:numId="23" w16cid:durableId="1675262618">
    <w:abstractNumId w:val="14"/>
  </w:num>
  <w:num w:numId="24" w16cid:durableId="1767118013">
    <w:abstractNumId w:val="15"/>
  </w:num>
  <w:num w:numId="25" w16cid:durableId="1280257153">
    <w:abstractNumId w:val="17"/>
  </w:num>
  <w:num w:numId="26" w16cid:durableId="1586038850">
    <w:abstractNumId w:val="18"/>
  </w:num>
  <w:num w:numId="27" w16cid:durableId="1893421656">
    <w:abstractNumId w:val="21"/>
  </w:num>
  <w:num w:numId="28" w16cid:durableId="1667978306">
    <w:abstractNumId w:val="22"/>
  </w:num>
  <w:num w:numId="29" w16cid:durableId="826360790">
    <w:abstractNumId w:val="23"/>
  </w:num>
  <w:num w:numId="30" w16cid:durableId="1202206504">
    <w:abstractNumId w:val="24"/>
  </w:num>
  <w:num w:numId="31" w16cid:durableId="1872188029">
    <w:abstractNumId w:val="26"/>
  </w:num>
  <w:num w:numId="32" w16cid:durableId="1793598263">
    <w:abstractNumId w:val="27"/>
  </w:num>
  <w:num w:numId="33" w16cid:durableId="315577832">
    <w:abstractNumId w:val="28"/>
  </w:num>
  <w:num w:numId="34" w16cid:durableId="404962128">
    <w:abstractNumId w:val="29"/>
  </w:num>
  <w:num w:numId="35" w16cid:durableId="551775623">
    <w:abstractNumId w:val="30"/>
  </w:num>
  <w:num w:numId="36" w16cid:durableId="1785615355">
    <w:abstractNumId w:val="31"/>
  </w:num>
  <w:num w:numId="37" w16cid:durableId="1534994705">
    <w:abstractNumId w:val="32"/>
  </w:num>
  <w:num w:numId="38" w16cid:durableId="1650405588">
    <w:abstractNumId w:val="33"/>
  </w:num>
  <w:num w:numId="39" w16cid:durableId="1896965120">
    <w:abstractNumId w:val="36"/>
  </w:num>
  <w:num w:numId="40" w16cid:durableId="1048577315">
    <w:abstractNumId w:val="37"/>
  </w:num>
  <w:num w:numId="41" w16cid:durableId="1356468419">
    <w:abstractNumId w:val="43"/>
  </w:num>
  <w:num w:numId="42" w16cid:durableId="994265677">
    <w:abstractNumId w:val="45"/>
  </w:num>
  <w:num w:numId="43" w16cid:durableId="1458644191">
    <w:abstractNumId w:val="46"/>
  </w:num>
  <w:num w:numId="44" w16cid:durableId="1343969088">
    <w:abstractNumId w:val="48"/>
  </w:num>
  <w:num w:numId="45" w16cid:durableId="802818430">
    <w:abstractNumId w:val="49"/>
  </w:num>
  <w:num w:numId="46" w16cid:durableId="716201427">
    <w:abstractNumId w:val="51"/>
  </w:num>
  <w:num w:numId="47" w16cid:durableId="160321453">
    <w:abstractNumId w:val="52"/>
  </w:num>
  <w:num w:numId="48" w16cid:durableId="1234465175">
    <w:abstractNumId w:val="53"/>
  </w:num>
  <w:num w:numId="49" w16cid:durableId="1933736745">
    <w:abstractNumId w:val="54"/>
  </w:num>
  <w:num w:numId="50" w16cid:durableId="965358755">
    <w:abstractNumId w:val="55"/>
  </w:num>
  <w:num w:numId="51" w16cid:durableId="1278293847">
    <w:abstractNumId w:val="19"/>
  </w:num>
  <w:num w:numId="52" w16cid:durableId="41831911">
    <w:abstractNumId w:val="38"/>
  </w:num>
  <w:num w:numId="53" w16cid:durableId="741026702">
    <w:abstractNumId w:val="47"/>
  </w:num>
  <w:num w:numId="54" w16cid:durableId="676883022">
    <w:abstractNumId w:val="42"/>
  </w:num>
  <w:num w:numId="55" w16cid:durableId="1639719686">
    <w:abstractNumId w:val="40"/>
  </w:num>
  <w:num w:numId="56" w16cid:durableId="1373338446">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0FA5"/>
    <w:rsid w:val="0000257D"/>
    <w:rsid w:val="00003109"/>
    <w:rsid w:val="0000415A"/>
    <w:rsid w:val="00005076"/>
    <w:rsid w:val="00006E1F"/>
    <w:rsid w:val="000070D7"/>
    <w:rsid w:val="00010E22"/>
    <w:rsid w:val="000112E0"/>
    <w:rsid w:val="00011F9F"/>
    <w:rsid w:val="00014313"/>
    <w:rsid w:val="000155F2"/>
    <w:rsid w:val="0001788C"/>
    <w:rsid w:val="00020A06"/>
    <w:rsid w:val="00024488"/>
    <w:rsid w:val="00025CBF"/>
    <w:rsid w:val="00026736"/>
    <w:rsid w:val="00027415"/>
    <w:rsid w:val="000337EF"/>
    <w:rsid w:val="00040C3A"/>
    <w:rsid w:val="000419AD"/>
    <w:rsid w:val="000433C9"/>
    <w:rsid w:val="00045A01"/>
    <w:rsid w:val="00047E12"/>
    <w:rsid w:val="000524F9"/>
    <w:rsid w:val="00054639"/>
    <w:rsid w:val="000610B8"/>
    <w:rsid w:val="00064B57"/>
    <w:rsid w:val="000673D0"/>
    <w:rsid w:val="000716C5"/>
    <w:rsid w:val="00071B7D"/>
    <w:rsid w:val="00072EE4"/>
    <w:rsid w:val="00075E23"/>
    <w:rsid w:val="00083CC4"/>
    <w:rsid w:val="0008406E"/>
    <w:rsid w:val="0008586B"/>
    <w:rsid w:val="000878E6"/>
    <w:rsid w:val="00087C87"/>
    <w:rsid w:val="00091C07"/>
    <w:rsid w:val="0009344A"/>
    <w:rsid w:val="000A3866"/>
    <w:rsid w:val="000A392E"/>
    <w:rsid w:val="000A4746"/>
    <w:rsid w:val="000A504F"/>
    <w:rsid w:val="000A52FC"/>
    <w:rsid w:val="000A575F"/>
    <w:rsid w:val="000B0C0F"/>
    <w:rsid w:val="000B4AE9"/>
    <w:rsid w:val="000B6028"/>
    <w:rsid w:val="000D05CB"/>
    <w:rsid w:val="000D10DB"/>
    <w:rsid w:val="000D128C"/>
    <w:rsid w:val="000D1FE6"/>
    <w:rsid w:val="000D3651"/>
    <w:rsid w:val="000D5C38"/>
    <w:rsid w:val="000D715A"/>
    <w:rsid w:val="000E1D86"/>
    <w:rsid w:val="000E2985"/>
    <w:rsid w:val="000E35B6"/>
    <w:rsid w:val="000E542F"/>
    <w:rsid w:val="000E5EB5"/>
    <w:rsid w:val="000F02EC"/>
    <w:rsid w:val="000F2B0F"/>
    <w:rsid w:val="000F35ED"/>
    <w:rsid w:val="000F4D87"/>
    <w:rsid w:val="00104B2C"/>
    <w:rsid w:val="00107131"/>
    <w:rsid w:val="0010736F"/>
    <w:rsid w:val="00113595"/>
    <w:rsid w:val="00113F73"/>
    <w:rsid w:val="00121CC2"/>
    <w:rsid w:val="00124DBD"/>
    <w:rsid w:val="00126299"/>
    <w:rsid w:val="00126642"/>
    <w:rsid w:val="00131425"/>
    <w:rsid w:val="0013183A"/>
    <w:rsid w:val="00133EE5"/>
    <w:rsid w:val="00136EC3"/>
    <w:rsid w:val="00143142"/>
    <w:rsid w:val="001553CD"/>
    <w:rsid w:val="00157C85"/>
    <w:rsid w:val="001609D1"/>
    <w:rsid w:val="00163890"/>
    <w:rsid w:val="00167A34"/>
    <w:rsid w:val="00174378"/>
    <w:rsid w:val="00174681"/>
    <w:rsid w:val="00175057"/>
    <w:rsid w:val="00183B75"/>
    <w:rsid w:val="001903E5"/>
    <w:rsid w:val="001A22A2"/>
    <w:rsid w:val="001A40E9"/>
    <w:rsid w:val="001A6323"/>
    <w:rsid w:val="001A6C2D"/>
    <w:rsid w:val="001A7870"/>
    <w:rsid w:val="001B10AA"/>
    <w:rsid w:val="001B1BBB"/>
    <w:rsid w:val="001B3A00"/>
    <w:rsid w:val="001B57D0"/>
    <w:rsid w:val="001C1B41"/>
    <w:rsid w:val="001C5A65"/>
    <w:rsid w:val="001C7C23"/>
    <w:rsid w:val="001D138A"/>
    <w:rsid w:val="001D259A"/>
    <w:rsid w:val="001D383D"/>
    <w:rsid w:val="001D3954"/>
    <w:rsid w:val="001D65EF"/>
    <w:rsid w:val="001D71FD"/>
    <w:rsid w:val="001E2632"/>
    <w:rsid w:val="001E2BC7"/>
    <w:rsid w:val="001E2FDE"/>
    <w:rsid w:val="001E49E7"/>
    <w:rsid w:val="001E6E96"/>
    <w:rsid w:val="001E7959"/>
    <w:rsid w:val="001E7D36"/>
    <w:rsid w:val="001F11AA"/>
    <w:rsid w:val="001F2470"/>
    <w:rsid w:val="001F25BA"/>
    <w:rsid w:val="001F7201"/>
    <w:rsid w:val="00200592"/>
    <w:rsid w:val="002023F8"/>
    <w:rsid w:val="00205B16"/>
    <w:rsid w:val="002076EF"/>
    <w:rsid w:val="0021124E"/>
    <w:rsid w:val="0021279D"/>
    <w:rsid w:val="00215A57"/>
    <w:rsid w:val="00216A1D"/>
    <w:rsid w:val="0022072D"/>
    <w:rsid w:val="00223A29"/>
    <w:rsid w:val="00224BC3"/>
    <w:rsid w:val="002250A3"/>
    <w:rsid w:val="00230FD4"/>
    <w:rsid w:val="00233517"/>
    <w:rsid w:val="00235217"/>
    <w:rsid w:val="0024546E"/>
    <w:rsid w:val="00246D1F"/>
    <w:rsid w:val="00247403"/>
    <w:rsid w:val="00247542"/>
    <w:rsid w:val="00251109"/>
    <w:rsid w:val="0025455F"/>
    <w:rsid w:val="0025568F"/>
    <w:rsid w:val="002563F6"/>
    <w:rsid w:val="0026100C"/>
    <w:rsid w:val="00262BAD"/>
    <w:rsid w:val="00263F6F"/>
    <w:rsid w:val="00266530"/>
    <w:rsid w:val="00266B61"/>
    <w:rsid w:val="0026712A"/>
    <w:rsid w:val="002704DB"/>
    <w:rsid w:val="002712A4"/>
    <w:rsid w:val="00271629"/>
    <w:rsid w:val="0027412B"/>
    <w:rsid w:val="00280F88"/>
    <w:rsid w:val="002836F3"/>
    <w:rsid w:val="00284308"/>
    <w:rsid w:val="00297F38"/>
    <w:rsid w:val="002A0AAE"/>
    <w:rsid w:val="002A5820"/>
    <w:rsid w:val="002A6627"/>
    <w:rsid w:val="002B0B90"/>
    <w:rsid w:val="002B3ECA"/>
    <w:rsid w:val="002B6C04"/>
    <w:rsid w:val="002C1B7B"/>
    <w:rsid w:val="002C3B2B"/>
    <w:rsid w:val="002C4F0D"/>
    <w:rsid w:val="002C6A45"/>
    <w:rsid w:val="002D1AB4"/>
    <w:rsid w:val="002D2B26"/>
    <w:rsid w:val="002D7EA2"/>
    <w:rsid w:val="002E1119"/>
    <w:rsid w:val="002E187C"/>
    <w:rsid w:val="002E29E1"/>
    <w:rsid w:val="002E4781"/>
    <w:rsid w:val="002F0DE0"/>
    <w:rsid w:val="002F3179"/>
    <w:rsid w:val="002F635A"/>
    <w:rsid w:val="00302733"/>
    <w:rsid w:val="00302DB8"/>
    <w:rsid w:val="0030535D"/>
    <w:rsid w:val="00307E22"/>
    <w:rsid w:val="00314078"/>
    <w:rsid w:val="003142DE"/>
    <w:rsid w:val="0031535D"/>
    <w:rsid w:val="00316D14"/>
    <w:rsid w:val="003239B8"/>
    <w:rsid w:val="0033169F"/>
    <w:rsid w:val="00335CCC"/>
    <w:rsid w:val="00344977"/>
    <w:rsid w:val="00345599"/>
    <w:rsid w:val="00345ED5"/>
    <w:rsid w:val="00346C95"/>
    <w:rsid w:val="003534CB"/>
    <w:rsid w:val="00354763"/>
    <w:rsid w:val="00356185"/>
    <w:rsid w:val="00360380"/>
    <w:rsid w:val="00362A1D"/>
    <w:rsid w:val="00366053"/>
    <w:rsid w:val="0037058D"/>
    <w:rsid w:val="0037484E"/>
    <w:rsid w:val="00374F43"/>
    <w:rsid w:val="0037519E"/>
    <w:rsid w:val="00375317"/>
    <w:rsid w:val="00375DAE"/>
    <w:rsid w:val="00377E2B"/>
    <w:rsid w:val="00381659"/>
    <w:rsid w:val="0038223E"/>
    <w:rsid w:val="0038524B"/>
    <w:rsid w:val="00386CF0"/>
    <w:rsid w:val="00390590"/>
    <w:rsid w:val="00394009"/>
    <w:rsid w:val="00397D63"/>
    <w:rsid w:val="003A3939"/>
    <w:rsid w:val="003A3E87"/>
    <w:rsid w:val="003A4C16"/>
    <w:rsid w:val="003A60E2"/>
    <w:rsid w:val="003A7A00"/>
    <w:rsid w:val="003B0EE3"/>
    <w:rsid w:val="003B58A3"/>
    <w:rsid w:val="003B6817"/>
    <w:rsid w:val="003B70FB"/>
    <w:rsid w:val="003C0171"/>
    <w:rsid w:val="003C27DE"/>
    <w:rsid w:val="003C42DB"/>
    <w:rsid w:val="003C676B"/>
    <w:rsid w:val="003C78FC"/>
    <w:rsid w:val="003D3BC2"/>
    <w:rsid w:val="003D5B6E"/>
    <w:rsid w:val="003E04BE"/>
    <w:rsid w:val="003E6CA1"/>
    <w:rsid w:val="0040206F"/>
    <w:rsid w:val="00402393"/>
    <w:rsid w:val="00405201"/>
    <w:rsid w:val="004065A8"/>
    <w:rsid w:val="00406675"/>
    <w:rsid w:val="00411591"/>
    <w:rsid w:val="00411E44"/>
    <w:rsid w:val="004165C2"/>
    <w:rsid w:val="00424192"/>
    <w:rsid w:val="0042475A"/>
    <w:rsid w:val="004255C7"/>
    <w:rsid w:val="004273CC"/>
    <w:rsid w:val="00427495"/>
    <w:rsid w:val="00430BE6"/>
    <w:rsid w:val="00431485"/>
    <w:rsid w:val="00432178"/>
    <w:rsid w:val="004347D7"/>
    <w:rsid w:val="00435660"/>
    <w:rsid w:val="00440191"/>
    <w:rsid w:val="00441ECB"/>
    <w:rsid w:val="00445193"/>
    <w:rsid w:val="004464F6"/>
    <w:rsid w:val="00447725"/>
    <w:rsid w:val="00450ED4"/>
    <w:rsid w:val="00452DAC"/>
    <w:rsid w:val="00454F0A"/>
    <w:rsid w:val="00456D10"/>
    <w:rsid w:val="00456FBB"/>
    <w:rsid w:val="00461C4F"/>
    <w:rsid w:val="00462C1B"/>
    <w:rsid w:val="00467B7E"/>
    <w:rsid w:val="00473BB4"/>
    <w:rsid w:val="00477592"/>
    <w:rsid w:val="00480CB7"/>
    <w:rsid w:val="0048136A"/>
    <w:rsid w:val="0048440B"/>
    <w:rsid w:val="004844A7"/>
    <w:rsid w:val="00484848"/>
    <w:rsid w:val="00486B1F"/>
    <w:rsid w:val="00486BCE"/>
    <w:rsid w:val="00486F1C"/>
    <w:rsid w:val="00491AF5"/>
    <w:rsid w:val="0049356F"/>
    <w:rsid w:val="0049419D"/>
    <w:rsid w:val="004943E4"/>
    <w:rsid w:val="00494CCE"/>
    <w:rsid w:val="00495852"/>
    <w:rsid w:val="004A0FD8"/>
    <w:rsid w:val="004A3F79"/>
    <w:rsid w:val="004A4B9C"/>
    <w:rsid w:val="004A6A54"/>
    <w:rsid w:val="004A6B04"/>
    <w:rsid w:val="004B5810"/>
    <w:rsid w:val="004C0E8D"/>
    <w:rsid w:val="004C1EDB"/>
    <w:rsid w:val="004C20D2"/>
    <w:rsid w:val="004C2312"/>
    <w:rsid w:val="004C4B62"/>
    <w:rsid w:val="004C54C9"/>
    <w:rsid w:val="004D12DE"/>
    <w:rsid w:val="004D4ABA"/>
    <w:rsid w:val="004D6025"/>
    <w:rsid w:val="004D70F9"/>
    <w:rsid w:val="004D7DF2"/>
    <w:rsid w:val="004E2649"/>
    <w:rsid w:val="004E7E9F"/>
    <w:rsid w:val="004F4AEC"/>
    <w:rsid w:val="004F626F"/>
    <w:rsid w:val="00501399"/>
    <w:rsid w:val="0050633D"/>
    <w:rsid w:val="005076DA"/>
    <w:rsid w:val="00507BC4"/>
    <w:rsid w:val="00511602"/>
    <w:rsid w:val="00511EBB"/>
    <w:rsid w:val="00512398"/>
    <w:rsid w:val="005128E4"/>
    <w:rsid w:val="005133DB"/>
    <w:rsid w:val="00514504"/>
    <w:rsid w:val="00520906"/>
    <w:rsid w:val="00520E16"/>
    <w:rsid w:val="00522158"/>
    <w:rsid w:val="005224F5"/>
    <w:rsid w:val="00523150"/>
    <w:rsid w:val="005246D3"/>
    <w:rsid w:val="005253C4"/>
    <w:rsid w:val="00525560"/>
    <w:rsid w:val="005262C9"/>
    <w:rsid w:val="00530A97"/>
    <w:rsid w:val="0053201A"/>
    <w:rsid w:val="00533A62"/>
    <w:rsid w:val="0053487B"/>
    <w:rsid w:val="00536AF8"/>
    <w:rsid w:val="00542D39"/>
    <w:rsid w:val="00544C49"/>
    <w:rsid w:val="00546D4B"/>
    <w:rsid w:val="00550045"/>
    <w:rsid w:val="005516A1"/>
    <w:rsid w:val="0055189F"/>
    <w:rsid w:val="005559EF"/>
    <w:rsid w:val="00556917"/>
    <w:rsid w:val="005609ED"/>
    <w:rsid w:val="00560C3E"/>
    <w:rsid w:val="00563557"/>
    <w:rsid w:val="00570094"/>
    <w:rsid w:val="005722AB"/>
    <w:rsid w:val="0057402A"/>
    <w:rsid w:val="005749F1"/>
    <w:rsid w:val="005771D0"/>
    <w:rsid w:val="005806AD"/>
    <w:rsid w:val="0058363F"/>
    <w:rsid w:val="00585264"/>
    <w:rsid w:val="00585A16"/>
    <w:rsid w:val="005862DF"/>
    <w:rsid w:val="0059191A"/>
    <w:rsid w:val="005921FF"/>
    <w:rsid w:val="005A24ED"/>
    <w:rsid w:val="005A27F7"/>
    <w:rsid w:val="005A6D0E"/>
    <w:rsid w:val="005B52B0"/>
    <w:rsid w:val="005B6806"/>
    <w:rsid w:val="005C4225"/>
    <w:rsid w:val="005C49F1"/>
    <w:rsid w:val="005D13C5"/>
    <w:rsid w:val="005D3E5F"/>
    <w:rsid w:val="005D443C"/>
    <w:rsid w:val="005D6FF2"/>
    <w:rsid w:val="005E3E07"/>
    <w:rsid w:val="005E529A"/>
    <w:rsid w:val="005E5F78"/>
    <w:rsid w:val="005F0DAD"/>
    <w:rsid w:val="005F0F33"/>
    <w:rsid w:val="005F1E6E"/>
    <w:rsid w:val="005F3575"/>
    <w:rsid w:val="00600555"/>
    <w:rsid w:val="00600DEB"/>
    <w:rsid w:val="00601040"/>
    <w:rsid w:val="00603026"/>
    <w:rsid w:val="00604435"/>
    <w:rsid w:val="00605860"/>
    <w:rsid w:val="00607424"/>
    <w:rsid w:val="00611856"/>
    <w:rsid w:val="006200C6"/>
    <w:rsid w:val="00623843"/>
    <w:rsid w:val="00625420"/>
    <w:rsid w:val="00627C9F"/>
    <w:rsid w:val="006309E1"/>
    <w:rsid w:val="006311E9"/>
    <w:rsid w:val="006321E8"/>
    <w:rsid w:val="00632354"/>
    <w:rsid w:val="006333F3"/>
    <w:rsid w:val="00635421"/>
    <w:rsid w:val="00642810"/>
    <w:rsid w:val="006433B8"/>
    <w:rsid w:val="00643535"/>
    <w:rsid w:val="0064573F"/>
    <w:rsid w:val="00645CC9"/>
    <w:rsid w:val="00652333"/>
    <w:rsid w:val="00657842"/>
    <w:rsid w:val="00665B75"/>
    <w:rsid w:val="00666C5B"/>
    <w:rsid w:val="00674716"/>
    <w:rsid w:val="0067536A"/>
    <w:rsid w:val="00675B2C"/>
    <w:rsid w:val="0068009E"/>
    <w:rsid w:val="00682C7F"/>
    <w:rsid w:val="006856C8"/>
    <w:rsid w:val="00686191"/>
    <w:rsid w:val="00691772"/>
    <w:rsid w:val="00691776"/>
    <w:rsid w:val="00692219"/>
    <w:rsid w:val="00692FA0"/>
    <w:rsid w:val="0069536F"/>
    <w:rsid w:val="00695EEB"/>
    <w:rsid w:val="006A17D2"/>
    <w:rsid w:val="006A4DDE"/>
    <w:rsid w:val="006A53B4"/>
    <w:rsid w:val="006A73E6"/>
    <w:rsid w:val="006B2D5C"/>
    <w:rsid w:val="006B79EA"/>
    <w:rsid w:val="006B7CB5"/>
    <w:rsid w:val="006C32B9"/>
    <w:rsid w:val="006C3525"/>
    <w:rsid w:val="006C4EB1"/>
    <w:rsid w:val="006D14F3"/>
    <w:rsid w:val="006D46DB"/>
    <w:rsid w:val="006E0166"/>
    <w:rsid w:val="006E2FFB"/>
    <w:rsid w:val="006E3931"/>
    <w:rsid w:val="006E7B34"/>
    <w:rsid w:val="006E7DFE"/>
    <w:rsid w:val="006F3A59"/>
    <w:rsid w:val="006F6D8B"/>
    <w:rsid w:val="006F72FA"/>
    <w:rsid w:val="0070697F"/>
    <w:rsid w:val="00710283"/>
    <w:rsid w:val="0072199C"/>
    <w:rsid w:val="00722C9F"/>
    <w:rsid w:val="007253B8"/>
    <w:rsid w:val="0073741F"/>
    <w:rsid w:val="00737B5B"/>
    <w:rsid w:val="00741DEE"/>
    <w:rsid w:val="00743AFE"/>
    <w:rsid w:val="00745B46"/>
    <w:rsid w:val="0074675C"/>
    <w:rsid w:val="007510A8"/>
    <w:rsid w:val="007531CC"/>
    <w:rsid w:val="00754260"/>
    <w:rsid w:val="00754F3E"/>
    <w:rsid w:val="00756339"/>
    <w:rsid w:val="00763D26"/>
    <w:rsid w:val="00765F6C"/>
    <w:rsid w:val="0076643F"/>
    <w:rsid w:val="007701BF"/>
    <w:rsid w:val="007735A3"/>
    <w:rsid w:val="007749E9"/>
    <w:rsid w:val="007776B9"/>
    <w:rsid w:val="00777F63"/>
    <w:rsid w:val="007802E5"/>
    <w:rsid w:val="007812DA"/>
    <w:rsid w:val="00782D83"/>
    <w:rsid w:val="0078377F"/>
    <w:rsid w:val="00783AE9"/>
    <w:rsid w:val="00785D5C"/>
    <w:rsid w:val="0079129C"/>
    <w:rsid w:val="00792D9D"/>
    <w:rsid w:val="00793F54"/>
    <w:rsid w:val="00794F2C"/>
    <w:rsid w:val="007A446D"/>
    <w:rsid w:val="007A550A"/>
    <w:rsid w:val="007A5817"/>
    <w:rsid w:val="007B009C"/>
    <w:rsid w:val="007B05C4"/>
    <w:rsid w:val="007B3FE1"/>
    <w:rsid w:val="007B60E9"/>
    <w:rsid w:val="007B6CC3"/>
    <w:rsid w:val="007B71E2"/>
    <w:rsid w:val="007B767B"/>
    <w:rsid w:val="007B76D3"/>
    <w:rsid w:val="007C3334"/>
    <w:rsid w:val="007C4159"/>
    <w:rsid w:val="007D2B98"/>
    <w:rsid w:val="007D328D"/>
    <w:rsid w:val="007E0E79"/>
    <w:rsid w:val="007E1D45"/>
    <w:rsid w:val="007E21BC"/>
    <w:rsid w:val="007E75F4"/>
    <w:rsid w:val="007E7C82"/>
    <w:rsid w:val="007F0A67"/>
    <w:rsid w:val="007F2AA1"/>
    <w:rsid w:val="007F372A"/>
    <w:rsid w:val="007F3777"/>
    <w:rsid w:val="007F588D"/>
    <w:rsid w:val="007F58A4"/>
    <w:rsid w:val="00803423"/>
    <w:rsid w:val="00803A03"/>
    <w:rsid w:val="00803AE2"/>
    <w:rsid w:val="00803C12"/>
    <w:rsid w:val="00803DC6"/>
    <w:rsid w:val="00803F1C"/>
    <w:rsid w:val="00804DC5"/>
    <w:rsid w:val="0080600E"/>
    <w:rsid w:val="00811147"/>
    <w:rsid w:val="00811520"/>
    <w:rsid w:val="00814024"/>
    <w:rsid w:val="00814688"/>
    <w:rsid w:val="0081486B"/>
    <w:rsid w:val="008169F9"/>
    <w:rsid w:val="00817612"/>
    <w:rsid w:val="008260C5"/>
    <w:rsid w:val="00831C47"/>
    <w:rsid w:val="00831D07"/>
    <w:rsid w:val="008338A4"/>
    <w:rsid w:val="00834D49"/>
    <w:rsid w:val="00837C45"/>
    <w:rsid w:val="00837E7F"/>
    <w:rsid w:val="00840B5C"/>
    <w:rsid w:val="00841873"/>
    <w:rsid w:val="00844730"/>
    <w:rsid w:val="00844BAF"/>
    <w:rsid w:val="008457C2"/>
    <w:rsid w:val="00846046"/>
    <w:rsid w:val="0085147C"/>
    <w:rsid w:val="00852CAE"/>
    <w:rsid w:val="00855121"/>
    <w:rsid w:val="00856CE7"/>
    <w:rsid w:val="00857A82"/>
    <w:rsid w:val="00865230"/>
    <w:rsid w:val="00866A35"/>
    <w:rsid w:val="00870856"/>
    <w:rsid w:val="00873836"/>
    <w:rsid w:val="00874540"/>
    <w:rsid w:val="00874720"/>
    <w:rsid w:val="008749D8"/>
    <w:rsid w:val="00882960"/>
    <w:rsid w:val="00883760"/>
    <w:rsid w:val="00883F95"/>
    <w:rsid w:val="00885737"/>
    <w:rsid w:val="00885993"/>
    <w:rsid w:val="00890650"/>
    <w:rsid w:val="00891CDD"/>
    <w:rsid w:val="00896D7E"/>
    <w:rsid w:val="008970FF"/>
    <w:rsid w:val="008979A6"/>
    <w:rsid w:val="00897E12"/>
    <w:rsid w:val="008A0AB8"/>
    <w:rsid w:val="008A0CEB"/>
    <w:rsid w:val="008A1DFA"/>
    <w:rsid w:val="008A364A"/>
    <w:rsid w:val="008A7E0F"/>
    <w:rsid w:val="008B12F5"/>
    <w:rsid w:val="008B134E"/>
    <w:rsid w:val="008B619C"/>
    <w:rsid w:val="008C1678"/>
    <w:rsid w:val="008C2BBC"/>
    <w:rsid w:val="008C423D"/>
    <w:rsid w:val="008C5E2D"/>
    <w:rsid w:val="008C6336"/>
    <w:rsid w:val="008D114A"/>
    <w:rsid w:val="008D23BF"/>
    <w:rsid w:val="008D61BA"/>
    <w:rsid w:val="008D768D"/>
    <w:rsid w:val="008E1315"/>
    <w:rsid w:val="008E2899"/>
    <w:rsid w:val="008E3759"/>
    <w:rsid w:val="008E3BFE"/>
    <w:rsid w:val="008E49DC"/>
    <w:rsid w:val="008E4F1C"/>
    <w:rsid w:val="008E53D4"/>
    <w:rsid w:val="008E580E"/>
    <w:rsid w:val="008E6564"/>
    <w:rsid w:val="008F1912"/>
    <w:rsid w:val="008F1971"/>
    <w:rsid w:val="008F1974"/>
    <w:rsid w:val="008F6D29"/>
    <w:rsid w:val="00901323"/>
    <w:rsid w:val="00902235"/>
    <w:rsid w:val="0090270B"/>
    <w:rsid w:val="00904013"/>
    <w:rsid w:val="009041DC"/>
    <w:rsid w:val="00904827"/>
    <w:rsid w:val="00904C8E"/>
    <w:rsid w:val="00912BF9"/>
    <w:rsid w:val="0091491E"/>
    <w:rsid w:val="00917B5A"/>
    <w:rsid w:val="00920A58"/>
    <w:rsid w:val="00920A8C"/>
    <w:rsid w:val="00922E6C"/>
    <w:rsid w:val="00926E4A"/>
    <w:rsid w:val="00931417"/>
    <w:rsid w:val="009328B2"/>
    <w:rsid w:val="009335CB"/>
    <w:rsid w:val="00934A2C"/>
    <w:rsid w:val="00935362"/>
    <w:rsid w:val="00935C44"/>
    <w:rsid w:val="00940285"/>
    <w:rsid w:val="0094269E"/>
    <w:rsid w:val="0094529B"/>
    <w:rsid w:val="009462C8"/>
    <w:rsid w:val="00956333"/>
    <w:rsid w:val="00957B1F"/>
    <w:rsid w:val="00960B12"/>
    <w:rsid w:val="00964ABA"/>
    <w:rsid w:val="009666DC"/>
    <w:rsid w:val="009666E2"/>
    <w:rsid w:val="0096697B"/>
    <w:rsid w:val="0096706E"/>
    <w:rsid w:val="00970C55"/>
    <w:rsid w:val="009725F4"/>
    <w:rsid w:val="0097308E"/>
    <w:rsid w:val="009731CA"/>
    <w:rsid w:val="00973FAC"/>
    <w:rsid w:val="00974491"/>
    <w:rsid w:val="0097531B"/>
    <w:rsid w:val="00975B18"/>
    <w:rsid w:val="00975C4E"/>
    <w:rsid w:val="00976FB8"/>
    <w:rsid w:val="00981386"/>
    <w:rsid w:val="00981FBA"/>
    <w:rsid w:val="00982053"/>
    <w:rsid w:val="00982AA3"/>
    <w:rsid w:val="00986BB4"/>
    <w:rsid w:val="00987411"/>
    <w:rsid w:val="00990498"/>
    <w:rsid w:val="009905B2"/>
    <w:rsid w:val="00997149"/>
    <w:rsid w:val="00997BC5"/>
    <w:rsid w:val="009A045F"/>
    <w:rsid w:val="009A4F41"/>
    <w:rsid w:val="009A55E6"/>
    <w:rsid w:val="009A5FF0"/>
    <w:rsid w:val="009A73BC"/>
    <w:rsid w:val="009B2AC0"/>
    <w:rsid w:val="009B381B"/>
    <w:rsid w:val="009B42B5"/>
    <w:rsid w:val="009C527B"/>
    <w:rsid w:val="009C6CB7"/>
    <w:rsid w:val="009C6D33"/>
    <w:rsid w:val="009D1750"/>
    <w:rsid w:val="009D1753"/>
    <w:rsid w:val="009D1F23"/>
    <w:rsid w:val="009D737D"/>
    <w:rsid w:val="009D7611"/>
    <w:rsid w:val="009E0B61"/>
    <w:rsid w:val="009E41D6"/>
    <w:rsid w:val="009E4A4D"/>
    <w:rsid w:val="009E4EC3"/>
    <w:rsid w:val="009E53DE"/>
    <w:rsid w:val="009F2874"/>
    <w:rsid w:val="009F314C"/>
    <w:rsid w:val="009F6B48"/>
    <w:rsid w:val="009F7778"/>
    <w:rsid w:val="00A02AF2"/>
    <w:rsid w:val="00A11212"/>
    <w:rsid w:val="00A115CE"/>
    <w:rsid w:val="00A11E44"/>
    <w:rsid w:val="00A12B84"/>
    <w:rsid w:val="00A13081"/>
    <w:rsid w:val="00A131C0"/>
    <w:rsid w:val="00A168A8"/>
    <w:rsid w:val="00A20002"/>
    <w:rsid w:val="00A26CCA"/>
    <w:rsid w:val="00A2714A"/>
    <w:rsid w:val="00A30100"/>
    <w:rsid w:val="00A322E4"/>
    <w:rsid w:val="00A328B3"/>
    <w:rsid w:val="00A33348"/>
    <w:rsid w:val="00A3454F"/>
    <w:rsid w:val="00A36DB3"/>
    <w:rsid w:val="00A37B52"/>
    <w:rsid w:val="00A4461E"/>
    <w:rsid w:val="00A50398"/>
    <w:rsid w:val="00A50FCF"/>
    <w:rsid w:val="00A528D1"/>
    <w:rsid w:val="00A60826"/>
    <w:rsid w:val="00A610CD"/>
    <w:rsid w:val="00A65011"/>
    <w:rsid w:val="00A67639"/>
    <w:rsid w:val="00A74B43"/>
    <w:rsid w:val="00A758AA"/>
    <w:rsid w:val="00A77712"/>
    <w:rsid w:val="00A800A2"/>
    <w:rsid w:val="00A80B0C"/>
    <w:rsid w:val="00A850E6"/>
    <w:rsid w:val="00A861CD"/>
    <w:rsid w:val="00A865AF"/>
    <w:rsid w:val="00A91AA6"/>
    <w:rsid w:val="00A93C5B"/>
    <w:rsid w:val="00AA09A2"/>
    <w:rsid w:val="00AA11BD"/>
    <w:rsid w:val="00AA3368"/>
    <w:rsid w:val="00AA47F9"/>
    <w:rsid w:val="00AA7996"/>
    <w:rsid w:val="00AB2DCE"/>
    <w:rsid w:val="00AC19CB"/>
    <w:rsid w:val="00AC244D"/>
    <w:rsid w:val="00AC75CA"/>
    <w:rsid w:val="00AD1574"/>
    <w:rsid w:val="00AD489F"/>
    <w:rsid w:val="00AD56B1"/>
    <w:rsid w:val="00AD5C3C"/>
    <w:rsid w:val="00AE0953"/>
    <w:rsid w:val="00AE5488"/>
    <w:rsid w:val="00AE6489"/>
    <w:rsid w:val="00AE6E25"/>
    <w:rsid w:val="00AE6F91"/>
    <w:rsid w:val="00AF3602"/>
    <w:rsid w:val="00AF43C2"/>
    <w:rsid w:val="00AF5571"/>
    <w:rsid w:val="00AF5D74"/>
    <w:rsid w:val="00B00B8E"/>
    <w:rsid w:val="00B0410C"/>
    <w:rsid w:val="00B07341"/>
    <w:rsid w:val="00B1098C"/>
    <w:rsid w:val="00B149FF"/>
    <w:rsid w:val="00B231C8"/>
    <w:rsid w:val="00B261A9"/>
    <w:rsid w:val="00B2649E"/>
    <w:rsid w:val="00B26F20"/>
    <w:rsid w:val="00B30539"/>
    <w:rsid w:val="00B3144D"/>
    <w:rsid w:val="00B314DB"/>
    <w:rsid w:val="00B318C1"/>
    <w:rsid w:val="00B33154"/>
    <w:rsid w:val="00B361F2"/>
    <w:rsid w:val="00B3718B"/>
    <w:rsid w:val="00B3745F"/>
    <w:rsid w:val="00B41349"/>
    <w:rsid w:val="00B4239E"/>
    <w:rsid w:val="00B45E23"/>
    <w:rsid w:val="00B46185"/>
    <w:rsid w:val="00B4632A"/>
    <w:rsid w:val="00B46622"/>
    <w:rsid w:val="00B530F1"/>
    <w:rsid w:val="00B56C46"/>
    <w:rsid w:val="00B60E1F"/>
    <w:rsid w:val="00B634F5"/>
    <w:rsid w:val="00B6353D"/>
    <w:rsid w:val="00B650D3"/>
    <w:rsid w:val="00B72A9A"/>
    <w:rsid w:val="00B767C7"/>
    <w:rsid w:val="00B8161E"/>
    <w:rsid w:val="00B81E29"/>
    <w:rsid w:val="00B83336"/>
    <w:rsid w:val="00B86627"/>
    <w:rsid w:val="00B87058"/>
    <w:rsid w:val="00B97E7C"/>
    <w:rsid w:val="00BA0CBA"/>
    <w:rsid w:val="00BA276C"/>
    <w:rsid w:val="00BA5484"/>
    <w:rsid w:val="00BB265C"/>
    <w:rsid w:val="00BB306F"/>
    <w:rsid w:val="00BB4786"/>
    <w:rsid w:val="00BB79D4"/>
    <w:rsid w:val="00BC0802"/>
    <w:rsid w:val="00BC139E"/>
    <w:rsid w:val="00BC2D75"/>
    <w:rsid w:val="00BD4B89"/>
    <w:rsid w:val="00BD5922"/>
    <w:rsid w:val="00BD5FD2"/>
    <w:rsid w:val="00BD78E0"/>
    <w:rsid w:val="00BE646F"/>
    <w:rsid w:val="00BE7972"/>
    <w:rsid w:val="00BF02CB"/>
    <w:rsid w:val="00BF1898"/>
    <w:rsid w:val="00BF3609"/>
    <w:rsid w:val="00BF5CCD"/>
    <w:rsid w:val="00BF6FD8"/>
    <w:rsid w:val="00BF703C"/>
    <w:rsid w:val="00C03680"/>
    <w:rsid w:val="00C054DF"/>
    <w:rsid w:val="00C05AC2"/>
    <w:rsid w:val="00C116DC"/>
    <w:rsid w:val="00C14BD4"/>
    <w:rsid w:val="00C17865"/>
    <w:rsid w:val="00C202F0"/>
    <w:rsid w:val="00C21762"/>
    <w:rsid w:val="00C21FEF"/>
    <w:rsid w:val="00C23BA4"/>
    <w:rsid w:val="00C24543"/>
    <w:rsid w:val="00C25153"/>
    <w:rsid w:val="00C256A2"/>
    <w:rsid w:val="00C25ADB"/>
    <w:rsid w:val="00C2623F"/>
    <w:rsid w:val="00C32764"/>
    <w:rsid w:val="00C32E35"/>
    <w:rsid w:val="00C355C6"/>
    <w:rsid w:val="00C36917"/>
    <w:rsid w:val="00C454DD"/>
    <w:rsid w:val="00C46D46"/>
    <w:rsid w:val="00C51515"/>
    <w:rsid w:val="00C53390"/>
    <w:rsid w:val="00C549EF"/>
    <w:rsid w:val="00C5660B"/>
    <w:rsid w:val="00C60A30"/>
    <w:rsid w:val="00C6279E"/>
    <w:rsid w:val="00C63055"/>
    <w:rsid w:val="00C66B72"/>
    <w:rsid w:val="00C70198"/>
    <w:rsid w:val="00C71B81"/>
    <w:rsid w:val="00C72A01"/>
    <w:rsid w:val="00C7464E"/>
    <w:rsid w:val="00C74737"/>
    <w:rsid w:val="00C8291D"/>
    <w:rsid w:val="00C8540B"/>
    <w:rsid w:val="00C86F5D"/>
    <w:rsid w:val="00C87AC4"/>
    <w:rsid w:val="00C9107B"/>
    <w:rsid w:val="00C910EC"/>
    <w:rsid w:val="00C9491D"/>
    <w:rsid w:val="00C9567A"/>
    <w:rsid w:val="00C963FA"/>
    <w:rsid w:val="00C97C6E"/>
    <w:rsid w:val="00CA499E"/>
    <w:rsid w:val="00CA5AA3"/>
    <w:rsid w:val="00CB212D"/>
    <w:rsid w:val="00CB2660"/>
    <w:rsid w:val="00CC48ED"/>
    <w:rsid w:val="00CC5E90"/>
    <w:rsid w:val="00CD0293"/>
    <w:rsid w:val="00CD046C"/>
    <w:rsid w:val="00CD3CC9"/>
    <w:rsid w:val="00CD3F6F"/>
    <w:rsid w:val="00CD702A"/>
    <w:rsid w:val="00CE076C"/>
    <w:rsid w:val="00CE112B"/>
    <w:rsid w:val="00CE2834"/>
    <w:rsid w:val="00CE5199"/>
    <w:rsid w:val="00CE5D0E"/>
    <w:rsid w:val="00CE6152"/>
    <w:rsid w:val="00CE66D5"/>
    <w:rsid w:val="00CE73C2"/>
    <w:rsid w:val="00CF41C4"/>
    <w:rsid w:val="00CF5B51"/>
    <w:rsid w:val="00CF637A"/>
    <w:rsid w:val="00CF782A"/>
    <w:rsid w:val="00CF7E33"/>
    <w:rsid w:val="00D00410"/>
    <w:rsid w:val="00D059DE"/>
    <w:rsid w:val="00D05ABD"/>
    <w:rsid w:val="00D06F66"/>
    <w:rsid w:val="00D074A4"/>
    <w:rsid w:val="00D120F6"/>
    <w:rsid w:val="00D126F3"/>
    <w:rsid w:val="00D13FCE"/>
    <w:rsid w:val="00D1541A"/>
    <w:rsid w:val="00D20E05"/>
    <w:rsid w:val="00D2102D"/>
    <w:rsid w:val="00D25849"/>
    <w:rsid w:val="00D304E7"/>
    <w:rsid w:val="00D306D1"/>
    <w:rsid w:val="00D30800"/>
    <w:rsid w:val="00D32F71"/>
    <w:rsid w:val="00D33CE1"/>
    <w:rsid w:val="00D34786"/>
    <w:rsid w:val="00D37BFC"/>
    <w:rsid w:val="00D4014E"/>
    <w:rsid w:val="00D40161"/>
    <w:rsid w:val="00D426B1"/>
    <w:rsid w:val="00D47A8E"/>
    <w:rsid w:val="00D5028B"/>
    <w:rsid w:val="00D51A44"/>
    <w:rsid w:val="00D52D14"/>
    <w:rsid w:val="00D535A0"/>
    <w:rsid w:val="00D55153"/>
    <w:rsid w:val="00D55FBB"/>
    <w:rsid w:val="00D70731"/>
    <w:rsid w:val="00D712D3"/>
    <w:rsid w:val="00D71422"/>
    <w:rsid w:val="00D72DC6"/>
    <w:rsid w:val="00D7558D"/>
    <w:rsid w:val="00D81D92"/>
    <w:rsid w:val="00D848AC"/>
    <w:rsid w:val="00D86818"/>
    <w:rsid w:val="00D876F9"/>
    <w:rsid w:val="00D91B0B"/>
    <w:rsid w:val="00D93608"/>
    <w:rsid w:val="00D95005"/>
    <w:rsid w:val="00D96054"/>
    <w:rsid w:val="00D97D59"/>
    <w:rsid w:val="00DA0801"/>
    <w:rsid w:val="00DA13A2"/>
    <w:rsid w:val="00DA23D4"/>
    <w:rsid w:val="00DA2628"/>
    <w:rsid w:val="00DA7B5F"/>
    <w:rsid w:val="00DA7C36"/>
    <w:rsid w:val="00DB24EE"/>
    <w:rsid w:val="00DC11E7"/>
    <w:rsid w:val="00DC24E3"/>
    <w:rsid w:val="00DC6177"/>
    <w:rsid w:val="00DC7023"/>
    <w:rsid w:val="00DC769A"/>
    <w:rsid w:val="00DC7D31"/>
    <w:rsid w:val="00DD3D86"/>
    <w:rsid w:val="00DD4AD2"/>
    <w:rsid w:val="00DD56D6"/>
    <w:rsid w:val="00DD7C73"/>
    <w:rsid w:val="00DE0342"/>
    <w:rsid w:val="00DF1360"/>
    <w:rsid w:val="00DF16D8"/>
    <w:rsid w:val="00DF1EC4"/>
    <w:rsid w:val="00DF3C24"/>
    <w:rsid w:val="00DF58C8"/>
    <w:rsid w:val="00E016A2"/>
    <w:rsid w:val="00E0340B"/>
    <w:rsid w:val="00E04A90"/>
    <w:rsid w:val="00E04D16"/>
    <w:rsid w:val="00E0551F"/>
    <w:rsid w:val="00E158A7"/>
    <w:rsid w:val="00E202DC"/>
    <w:rsid w:val="00E219C7"/>
    <w:rsid w:val="00E32889"/>
    <w:rsid w:val="00E4118C"/>
    <w:rsid w:val="00E4309F"/>
    <w:rsid w:val="00E43157"/>
    <w:rsid w:val="00E449A2"/>
    <w:rsid w:val="00E461CE"/>
    <w:rsid w:val="00E56F4F"/>
    <w:rsid w:val="00E573E4"/>
    <w:rsid w:val="00E57658"/>
    <w:rsid w:val="00E614FE"/>
    <w:rsid w:val="00E62314"/>
    <w:rsid w:val="00E638D2"/>
    <w:rsid w:val="00E644B2"/>
    <w:rsid w:val="00E6559B"/>
    <w:rsid w:val="00E65661"/>
    <w:rsid w:val="00E66D51"/>
    <w:rsid w:val="00E67981"/>
    <w:rsid w:val="00E70953"/>
    <w:rsid w:val="00E71C69"/>
    <w:rsid w:val="00E720CA"/>
    <w:rsid w:val="00E77FE0"/>
    <w:rsid w:val="00E8028E"/>
    <w:rsid w:val="00E820B5"/>
    <w:rsid w:val="00E84EB5"/>
    <w:rsid w:val="00E85662"/>
    <w:rsid w:val="00E8789F"/>
    <w:rsid w:val="00E87A0F"/>
    <w:rsid w:val="00E91AB7"/>
    <w:rsid w:val="00E94EA0"/>
    <w:rsid w:val="00E97B71"/>
    <w:rsid w:val="00EA375E"/>
    <w:rsid w:val="00EA3D34"/>
    <w:rsid w:val="00EA4756"/>
    <w:rsid w:val="00EA76DE"/>
    <w:rsid w:val="00EB2FE4"/>
    <w:rsid w:val="00EB39D6"/>
    <w:rsid w:val="00EB454D"/>
    <w:rsid w:val="00EB5703"/>
    <w:rsid w:val="00EC48FB"/>
    <w:rsid w:val="00ED4955"/>
    <w:rsid w:val="00ED549D"/>
    <w:rsid w:val="00ED5B99"/>
    <w:rsid w:val="00ED76BE"/>
    <w:rsid w:val="00EE00E9"/>
    <w:rsid w:val="00EE12CB"/>
    <w:rsid w:val="00EE247F"/>
    <w:rsid w:val="00EE57EB"/>
    <w:rsid w:val="00EF04D5"/>
    <w:rsid w:val="00EF1AAA"/>
    <w:rsid w:val="00EF1BA6"/>
    <w:rsid w:val="00EF1C61"/>
    <w:rsid w:val="00EF1E3A"/>
    <w:rsid w:val="00EF4225"/>
    <w:rsid w:val="00EF4A26"/>
    <w:rsid w:val="00EF619B"/>
    <w:rsid w:val="00F00B55"/>
    <w:rsid w:val="00F02AD1"/>
    <w:rsid w:val="00F04AF7"/>
    <w:rsid w:val="00F050B2"/>
    <w:rsid w:val="00F115A5"/>
    <w:rsid w:val="00F253CC"/>
    <w:rsid w:val="00F261EE"/>
    <w:rsid w:val="00F272D0"/>
    <w:rsid w:val="00F305A0"/>
    <w:rsid w:val="00F308F1"/>
    <w:rsid w:val="00F3260F"/>
    <w:rsid w:val="00F34A60"/>
    <w:rsid w:val="00F37106"/>
    <w:rsid w:val="00F43D1D"/>
    <w:rsid w:val="00F44E02"/>
    <w:rsid w:val="00F44E25"/>
    <w:rsid w:val="00F519CF"/>
    <w:rsid w:val="00F56BA5"/>
    <w:rsid w:val="00F57827"/>
    <w:rsid w:val="00F60374"/>
    <w:rsid w:val="00F60E22"/>
    <w:rsid w:val="00F65013"/>
    <w:rsid w:val="00F65FC7"/>
    <w:rsid w:val="00F722EC"/>
    <w:rsid w:val="00F7288F"/>
    <w:rsid w:val="00F76E84"/>
    <w:rsid w:val="00F80E49"/>
    <w:rsid w:val="00F81395"/>
    <w:rsid w:val="00F81BB8"/>
    <w:rsid w:val="00F85E9D"/>
    <w:rsid w:val="00F87019"/>
    <w:rsid w:val="00F87AA1"/>
    <w:rsid w:val="00F90C64"/>
    <w:rsid w:val="00F917D1"/>
    <w:rsid w:val="00F94965"/>
    <w:rsid w:val="00F9653B"/>
    <w:rsid w:val="00FA0C29"/>
    <w:rsid w:val="00FA1A39"/>
    <w:rsid w:val="00FA3F1C"/>
    <w:rsid w:val="00FA6F72"/>
    <w:rsid w:val="00FB2B14"/>
    <w:rsid w:val="00FB62CF"/>
    <w:rsid w:val="00FB6C81"/>
    <w:rsid w:val="00FC0324"/>
    <w:rsid w:val="00FC03B8"/>
    <w:rsid w:val="00FC2DC4"/>
    <w:rsid w:val="00FC45E0"/>
    <w:rsid w:val="00FD3C3B"/>
    <w:rsid w:val="00FD3F01"/>
    <w:rsid w:val="00FD4A52"/>
    <w:rsid w:val="00FD5A9B"/>
    <w:rsid w:val="00FE07DD"/>
    <w:rsid w:val="00FE0802"/>
    <w:rsid w:val="00FE1F28"/>
    <w:rsid w:val="00FE6B45"/>
    <w:rsid w:val="00FE7E03"/>
    <w:rsid w:val="00FF0E58"/>
    <w:rsid w:val="00FF55F3"/>
    <w:rsid w:val="00FF5851"/>
    <w:rsid w:val="00FF7B79"/>
    <w:rsid w:val="00FF7F2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pPr>
      <w:numPr>
        <w:numId w:val="31"/>
      </w:numPr>
    </w:pPr>
  </w:style>
  <w:style w:type="paragraph" w:customStyle="1" w:styleId="paragraph">
    <w:name w:val="paragraph"/>
    <w:basedOn w:val="Normal"/>
    <w:rsid w:val="00280F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rPr>
  </w:style>
  <w:style w:type="numbering" w:customStyle="1" w:styleId="List1">
    <w:name w:val="List 1"/>
    <w:pPr>
      <w:numPr>
        <w:numId w:val="1"/>
      </w:numPr>
    </w:pPr>
  </w:style>
  <w:style w:type="character" w:customStyle="1" w:styleId="normaltextrun">
    <w:name w:val="normaltextrun"/>
    <w:basedOn w:val="DefaultParagraphFont"/>
    <w:rsid w:val="00280F88"/>
    <w:rPr>
      <w:rFonts w:cs="Times New Roman"/>
    </w:rPr>
  </w:style>
  <w:style w:type="numbering" w:customStyle="1" w:styleId="List210">
    <w:name w:val="List 21"/>
    <w:pPr>
      <w:numPr>
        <w:numId w:val="52"/>
      </w:numPr>
    </w:pPr>
  </w:style>
  <w:style w:type="character" w:customStyle="1" w:styleId="eop">
    <w:name w:val="eop"/>
    <w:basedOn w:val="DefaultParagraphFont"/>
    <w:rsid w:val="00280F88"/>
    <w:rPr>
      <w:rFonts w:cs="Times New Roman"/>
    </w:r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1"/>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2"/>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9"/>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9177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377E2B"/>
    <w:rPr>
      <w:sz w:val="16"/>
      <w:szCs w:val="16"/>
    </w:rPr>
  </w:style>
  <w:style w:type="paragraph" w:styleId="CommentText">
    <w:name w:val="annotation text"/>
    <w:basedOn w:val="Normal"/>
    <w:link w:val="CommentTextChar"/>
    <w:uiPriority w:val="99"/>
    <w:semiHidden/>
    <w:unhideWhenUsed/>
    <w:rsid w:val="00377E2B"/>
    <w:rPr>
      <w:sz w:val="20"/>
      <w:szCs w:val="20"/>
    </w:rPr>
  </w:style>
  <w:style w:type="character" w:customStyle="1" w:styleId="CommentTextChar">
    <w:name w:val="Comment Text Char"/>
    <w:basedOn w:val="DefaultParagraphFont"/>
    <w:link w:val="CommentText"/>
    <w:uiPriority w:val="99"/>
    <w:semiHidden/>
    <w:rsid w:val="00377E2B"/>
    <w:rPr>
      <w:lang w:val="en-US" w:eastAsia="en-US"/>
    </w:rPr>
  </w:style>
  <w:style w:type="paragraph" w:styleId="CommentSubject">
    <w:name w:val="annotation subject"/>
    <w:basedOn w:val="CommentText"/>
    <w:next w:val="CommentText"/>
    <w:link w:val="CommentSubjectChar"/>
    <w:uiPriority w:val="99"/>
    <w:semiHidden/>
    <w:unhideWhenUsed/>
    <w:rsid w:val="00377E2B"/>
    <w:rPr>
      <w:b/>
      <w:bCs/>
    </w:rPr>
  </w:style>
  <w:style w:type="character" w:customStyle="1" w:styleId="CommentSubjectChar">
    <w:name w:val="Comment Subject Char"/>
    <w:basedOn w:val="CommentTextChar"/>
    <w:link w:val="CommentSubject"/>
    <w:uiPriority w:val="99"/>
    <w:semiHidden/>
    <w:rsid w:val="00377E2B"/>
    <w:rPr>
      <w:b/>
      <w:bCs/>
      <w:lang w:val="en-US" w:eastAsia="en-US"/>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uiPriority w:val="99"/>
    <w:locked/>
    <w:rsid w:val="00ED4955"/>
    <w:rPr>
      <w:rFonts w:ascii="Calibri" w:hAnsi="Calibri"/>
      <w:color w:val="000000"/>
      <w:u w:color="000000"/>
      <w:lang w:val="en-US"/>
    </w:rPr>
  </w:style>
  <w:style w:type="character" w:customStyle="1" w:styleId="n">
    <w:name w:val="n"/>
    <w:basedOn w:val="DefaultParagraphFont"/>
    <w:rsid w:val="00710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9878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5208"/>
    <w:rsid w:val="000C0FCB"/>
    <w:rsid w:val="00151E1F"/>
    <w:rsid w:val="00191FD3"/>
    <w:rsid w:val="001F7FF3"/>
    <w:rsid w:val="00200821"/>
    <w:rsid w:val="0025245B"/>
    <w:rsid w:val="002C52A7"/>
    <w:rsid w:val="00374D45"/>
    <w:rsid w:val="00394049"/>
    <w:rsid w:val="003B0699"/>
    <w:rsid w:val="003B217A"/>
    <w:rsid w:val="00415E59"/>
    <w:rsid w:val="004679A0"/>
    <w:rsid w:val="00473191"/>
    <w:rsid w:val="00492D5C"/>
    <w:rsid w:val="004B5BBB"/>
    <w:rsid w:val="004F2DF8"/>
    <w:rsid w:val="00555DD5"/>
    <w:rsid w:val="005909CC"/>
    <w:rsid w:val="00666399"/>
    <w:rsid w:val="0069641B"/>
    <w:rsid w:val="006F24A1"/>
    <w:rsid w:val="00732F25"/>
    <w:rsid w:val="00777B58"/>
    <w:rsid w:val="007B051A"/>
    <w:rsid w:val="00833FB5"/>
    <w:rsid w:val="00857B5B"/>
    <w:rsid w:val="0087361D"/>
    <w:rsid w:val="009A261B"/>
    <w:rsid w:val="00AA2E17"/>
    <w:rsid w:val="00AC15A4"/>
    <w:rsid w:val="00B0336C"/>
    <w:rsid w:val="00B105F3"/>
    <w:rsid w:val="00B17E31"/>
    <w:rsid w:val="00BB0B14"/>
    <w:rsid w:val="00BE185B"/>
    <w:rsid w:val="00BF58B8"/>
    <w:rsid w:val="00C35B5F"/>
    <w:rsid w:val="00C60DBC"/>
    <w:rsid w:val="00CB329F"/>
    <w:rsid w:val="00D17D96"/>
    <w:rsid w:val="00D241E9"/>
    <w:rsid w:val="00D7750D"/>
    <w:rsid w:val="00DB6954"/>
    <w:rsid w:val="00E21CD1"/>
    <w:rsid w:val="00EE77EC"/>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CD515-085A-4B01-89C8-19094F8E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3001</Words>
  <Characters>17108</Characters>
  <Application>Microsoft Office Word</Application>
  <DocSecurity>0</DocSecurity>
  <Lines>142</Lines>
  <Paragraphs>40</Paragraphs>
  <ScaleCrop>false</ScaleCrop>
  <Company/>
  <LinksUpToDate>false</LinksUpToDate>
  <CharactersWithSpaces>20069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2022-10-11T14:17:00Z</dcterms:created>
  <dcterms:modified xsi:type="dcterms:W3CDTF">2022-10-11T14:17:00Z</dcterms:modified>
</cp:coreProperties>
</file>