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17E9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9C527B" w:rsidRDefault="009C527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9C527B" w:rsidRDefault="009C527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0FB31A9E" w:rsidR="009C527B" w:rsidRPr="004E2649" w:rsidRDefault="009C527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84328">
                              <w:rPr>
                                <w:rFonts w:asciiTheme="majorHAnsi" w:hAnsiTheme="majorHAnsi" w:cs="Arial"/>
                                <w:b/>
                                <w:bCs/>
                                <w:color w:val="0D0D0D" w:themeColor="text1" w:themeTint="F2"/>
                                <w:sz w:val="36"/>
                                <w:szCs w:val="22"/>
                                <w:lang w:val="es-ES_tradnl"/>
                              </w:rPr>
                              <w:t>4</w:t>
                            </w:r>
                            <w:r>
                              <w:rPr>
                                <w:rFonts w:asciiTheme="majorHAnsi" w:hAnsiTheme="majorHAnsi" w:cs="Arial"/>
                                <w:b/>
                                <w:bCs/>
                                <w:color w:val="0D0D0D" w:themeColor="text1" w:themeTint="F2"/>
                                <w:sz w:val="36"/>
                                <w:szCs w:val="22"/>
                                <w:lang w:val="es-ES_tradnl"/>
                              </w:rPr>
                              <w:t>/2</w:t>
                            </w:r>
                            <w:r w:rsidR="00E84328">
                              <w:rPr>
                                <w:rFonts w:asciiTheme="majorHAnsi" w:hAnsiTheme="majorHAnsi" w:cs="Arial"/>
                                <w:b/>
                                <w:bCs/>
                                <w:color w:val="0D0D0D" w:themeColor="text1" w:themeTint="F2"/>
                                <w:sz w:val="36"/>
                                <w:szCs w:val="22"/>
                                <w:lang w:val="es-ES_tradnl"/>
                              </w:rPr>
                              <w:t>2</w:t>
                            </w:r>
                          </w:p>
                          <w:p w14:paraId="5626D0A4" w14:textId="25A7EFB0"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46622">
                              <w:rPr>
                                <w:rFonts w:ascii="Cambria" w:hAnsi="Cambria" w:cs="Arial"/>
                                <w:b/>
                                <w:color w:val="0D0D0D"/>
                                <w:sz w:val="36"/>
                                <w:szCs w:val="22"/>
                                <w:lang w:val="es-ES_tradnl"/>
                              </w:rPr>
                              <w:t>1374-12</w:t>
                            </w:r>
                          </w:p>
                          <w:p w14:paraId="2A1EFAA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4873571B" w14:textId="77777777" w:rsidR="00D7664D" w:rsidRDefault="00B4662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TOM</w:t>
                            </w:r>
                            <w:r>
                              <w:rPr>
                                <w:rFonts w:ascii="Cambria" w:hAnsi="Cambria" w:cs="Arial"/>
                                <w:color w:val="0D0D0D"/>
                                <w:szCs w:val="22"/>
                                <w:lang w:val="es-PA"/>
                              </w:rPr>
                              <w:t xml:space="preserve">ÁS CASELLA SANTOS, WELLINGTON SARLI POSE </w:t>
                            </w:r>
                          </w:p>
                          <w:p w14:paraId="02E936EF" w14:textId="6D329462" w:rsidR="009C527B" w:rsidRPr="00B46622" w:rsidRDefault="00B4662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PA"/>
                              </w:rPr>
                              <w:t>Y EDUARDO RADELLI CÓPPOLA</w:t>
                            </w:r>
                          </w:p>
                          <w:bookmarkEnd w:id="0"/>
                          <w:p w14:paraId="47ED2F30" w14:textId="70198581" w:rsidR="009C527B" w:rsidRPr="00D85CEC" w:rsidRDefault="00B4662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9C527B" w:rsidRPr="00AE5488" w:rsidRDefault="009C527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0FB31A9E" w:rsidR="009C527B" w:rsidRPr="004E2649" w:rsidRDefault="009C527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84328">
                        <w:rPr>
                          <w:rFonts w:asciiTheme="majorHAnsi" w:hAnsiTheme="majorHAnsi" w:cs="Arial"/>
                          <w:b/>
                          <w:bCs/>
                          <w:color w:val="0D0D0D" w:themeColor="text1" w:themeTint="F2"/>
                          <w:sz w:val="36"/>
                          <w:szCs w:val="22"/>
                          <w:lang w:val="es-ES_tradnl"/>
                        </w:rPr>
                        <w:t>4</w:t>
                      </w:r>
                      <w:r>
                        <w:rPr>
                          <w:rFonts w:asciiTheme="majorHAnsi" w:hAnsiTheme="majorHAnsi" w:cs="Arial"/>
                          <w:b/>
                          <w:bCs/>
                          <w:color w:val="0D0D0D" w:themeColor="text1" w:themeTint="F2"/>
                          <w:sz w:val="36"/>
                          <w:szCs w:val="22"/>
                          <w:lang w:val="es-ES_tradnl"/>
                        </w:rPr>
                        <w:t>/2</w:t>
                      </w:r>
                      <w:r w:rsidR="00E84328">
                        <w:rPr>
                          <w:rFonts w:asciiTheme="majorHAnsi" w:hAnsiTheme="majorHAnsi" w:cs="Arial"/>
                          <w:b/>
                          <w:bCs/>
                          <w:color w:val="0D0D0D" w:themeColor="text1" w:themeTint="F2"/>
                          <w:sz w:val="36"/>
                          <w:szCs w:val="22"/>
                          <w:lang w:val="es-ES_tradnl"/>
                        </w:rPr>
                        <w:t>2</w:t>
                      </w:r>
                    </w:p>
                    <w:p w14:paraId="5626D0A4" w14:textId="25A7EFB0"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46622">
                        <w:rPr>
                          <w:rFonts w:ascii="Cambria" w:hAnsi="Cambria" w:cs="Arial"/>
                          <w:b/>
                          <w:color w:val="0D0D0D"/>
                          <w:sz w:val="36"/>
                          <w:szCs w:val="22"/>
                          <w:lang w:val="es-ES_tradnl"/>
                        </w:rPr>
                        <w:t>1374-12</w:t>
                      </w:r>
                    </w:p>
                    <w:p w14:paraId="2A1EFAA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4873571B" w14:textId="77777777" w:rsidR="00D7664D" w:rsidRDefault="00B4662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TOM</w:t>
                      </w:r>
                      <w:r>
                        <w:rPr>
                          <w:rFonts w:ascii="Cambria" w:hAnsi="Cambria" w:cs="Arial"/>
                          <w:color w:val="0D0D0D"/>
                          <w:szCs w:val="22"/>
                          <w:lang w:val="es-PA"/>
                        </w:rPr>
                        <w:t xml:space="preserve">ÁS CASELLA SANTOS, WELLINGTON SARLI POSE </w:t>
                      </w:r>
                    </w:p>
                    <w:p w14:paraId="02E936EF" w14:textId="6D329462" w:rsidR="009C527B" w:rsidRPr="00B46622" w:rsidRDefault="00B4662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PA"/>
                        </w:rPr>
                        <w:t>Y EDUARDO RADELLI CÓPPOLA</w:t>
                      </w:r>
                    </w:p>
                    <w:bookmarkEnd w:id="1"/>
                    <w:p w14:paraId="47ED2F30" w14:textId="70198581" w:rsidR="009C527B" w:rsidRPr="00D85CEC" w:rsidRDefault="00B4662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9C527B" w:rsidRPr="00AE5488" w:rsidRDefault="009C527B"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6653237D" w:rsidR="009C527B" w:rsidRPr="005B3D9B" w:rsidRDefault="009C527B" w:rsidP="000673D0">
                            <w:pPr>
                              <w:spacing w:line="276" w:lineRule="auto"/>
                              <w:jc w:val="right"/>
                              <w:rPr>
                                <w:rFonts w:asciiTheme="minorHAnsi" w:hAnsiTheme="minorHAnsi"/>
                                <w:color w:val="FFFFFF" w:themeColor="background1"/>
                                <w:sz w:val="22"/>
                                <w:lang w:val="es-419"/>
                              </w:rPr>
                            </w:pPr>
                            <w:r w:rsidRPr="005B3D9B">
                              <w:rPr>
                                <w:rFonts w:asciiTheme="minorHAnsi" w:hAnsiTheme="minorHAnsi"/>
                                <w:color w:val="FFFFFF" w:themeColor="background1"/>
                                <w:sz w:val="22"/>
                                <w:lang w:val="es-419"/>
                              </w:rPr>
                              <w:t>OEA/</w:t>
                            </w:r>
                            <w:proofErr w:type="spellStart"/>
                            <w:r w:rsidRPr="005B3D9B">
                              <w:rPr>
                                <w:rFonts w:asciiTheme="minorHAnsi" w:hAnsiTheme="minorHAnsi"/>
                                <w:color w:val="FFFFFF" w:themeColor="background1"/>
                                <w:sz w:val="22"/>
                                <w:lang w:val="es-419"/>
                              </w:rPr>
                              <w:t>Ser.L</w:t>
                            </w:r>
                            <w:proofErr w:type="spellEnd"/>
                            <w:r w:rsidRPr="005B3D9B">
                              <w:rPr>
                                <w:rFonts w:asciiTheme="minorHAnsi" w:hAnsiTheme="minorHAnsi"/>
                                <w:color w:val="FFFFFF" w:themeColor="background1"/>
                                <w:sz w:val="22"/>
                                <w:lang w:val="es-419"/>
                              </w:rPr>
                              <w:t>/V/II</w:t>
                            </w:r>
                          </w:p>
                          <w:p w14:paraId="3449BBFC" w14:textId="6C4F598C" w:rsidR="009C527B" w:rsidRPr="005B3D9B" w:rsidRDefault="009C527B" w:rsidP="000673D0">
                            <w:pPr>
                              <w:spacing w:line="276" w:lineRule="auto"/>
                              <w:jc w:val="right"/>
                              <w:rPr>
                                <w:rFonts w:asciiTheme="minorHAnsi" w:hAnsiTheme="minorHAnsi"/>
                                <w:color w:val="FFFFFF" w:themeColor="background1"/>
                                <w:sz w:val="22"/>
                                <w:lang w:val="es-419"/>
                              </w:rPr>
                            </w:pPr>
                            <w:r w:rsidRPr="005B3D9B">
                              <w:rPr>
                                <w:rFonts w:asciiTheme="minorHAnsi" w:hAnsiTheme="minorHAnsi"/>
                                <w:color w:val="FFFFFF" w:themeColor="background1"/>
                                <w:sz w:val="22"/>
                                <w:lang w:val="es-419"/>
                              </w:rPr>
                              <w:t xml:space="preserve">Doc. </w:t>
                            </w:r>
                            <w:r w:rsidR="00D7664D" w:rsidRPr="005B3D9B">
                              <w:rPr>
                                <w:rFonts w:asciiTheme="minorHAnsi" w:hAnsiTheme="minorHAnsi"/>
                                <w:color w:val="FFFFFF" w:themeColor="background1"/>
                                <w:sz w:val="22"/>
                                <w:lang w:val="es-419"/>
                              </w:rPr>
                              <w:t>5</w:t>
                            </w:r>
                          </w:p>
                          <w:p w14:paraId="0BBD91A2" w14:textId="5878076A" w:rsidR="009C527B" w:rsidRPr="00C25ADB" w:rsidRDefault="00D7664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9C527B"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2</w:t>
                            </w:r>
                          </w:p>
                          <w:p w14:paraId="0288BA97" w14:textId="77777777" w:rsidR="009C527B" w:rsidRPr="00C25ADB" w:rsidRDefault="009C527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6653237D" w:rsidR="009C527B" w:rsidRPr="005B3D9B" w:rsidRDefault="009C527B" w:rsidP="000673D0">
                      <w:pPr>
                        <w:spacing w:line="276" w:lineRule="auto"/>
                        <w:jc w:val="right"/>
                        <w:rPr>
                          <w:rFonts w:asciiTheme="minorHAnsi" w:hAnsiTheme="minorHAnsi"/>
                          <w:color w:val="FFFFFF" w:themeColor="background1"/>
                          <w:sz w:val="22"/>
                          <w:lang w:val="es-419"/>
                        </w:rPr>
                      </w:pPr>
                      <w:r w:rsidRPr="005B3D9B">
                        <w:rPr>
                          <w:rFonts w:asciiTheme="minorHAnsi" w:hAnsiTheme="minorHAnsi"/>
                          <w:color w:val="FFFFFF" w:themeColor="background1"/>
                          <w:sz w:val="22"/>
                          <w:lang w:val="es-419"/>
                        </w:rPr>
                        <w:t>OEA/Ser.L/V/II</w:t>
                      </w:r>
                    </w:p>
                    <w:p w14:paraId="3449BBFC" w14:textId="6C4F598C" w:rsidR="009C527B" w:rsidRPr="005B3D9B" w:rsidRDefault="009C527B" w:rsidP="000673D0">
                      <w:pPr>
                        <w:spacing w:line="276" w:lineRule="auto"/>
                        <w:jc w:val="right"/>
                        <w:rPr>
                          <w:rFonts w:asciiTheme="minorHAnsi" w:hAnsiTheme="minorHAnsi"/>
                          <w:color w:val="FFFFFF" w:themeColor="background1"/>
                          <w:sz w:val="22"/>
                          <w:lang w:val="es-419"/>
                        </w:rPr>
                      </w:pPr>
                      <w:r w:rsidRPr="005B3D9B">
                        <w:rPr>
                          <w:rFonts w:asciiTheme="minorHAnsi" w:hAnsiTheme="minorHAnsi"/>
                          <w:color w:val="FFFFFF" w:themeColor="background1"/>
                          <w:sz w:val="22"/>
                          <w:lang w:val="es-419"/>
                        </w:rPr>
                        <w:t xml:space="preserve">Doc. </w:t>
                      </w:r>
                      <w:r w:rsidR="00D7664D" w:rsidRPr="005B3D9B">
                        <w:rPr>
                          <w:rFonts w:asciiTheme="minorHAnsi" w:hAnsiTheme="minorHAnsi"/>
                          <w:color w:val="FFFFFF" w:themeColor="background1"/>
                          <w:sz w:val="22"/>
                          <w:lang w:val="es-419"/>
                        </w:rPr>
                        <w:t>5</w:t>
                      </w:r>
                    </w:p>
                    <w:p w14:paraId="0BBD91A2" w14:textId="5878076A" w:rsidR="009C527B" w:rsidRPr="00C25ADB" w:rsidRDefault="00D7664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9C527B"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2</w:t>
                      </w:r>
                    </w:p>
                    <w:p w14:paraId="0288BA97" w14:textId="77777777" w:rsidR="009C527B" w:rsidRPr="00C25ADB" w:rsidRDefault="009C527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36A1893C" w:rsidR="009C527B" w:rsidRPr="00890650" w:rsidRDefault="009C527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D249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D2499">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D2499">
                              <w:rPr>
                                <w:rFonts w:asciiTheme="majorHAnsi" w:hAnsiTheme="majorHAnsi"/>
                                <w:color w:val="0D0D0D" w:themeColor="text1" w:themeTint="F2"/>
                                <w:sz w:val="18"/>
                                <w:szCs w:val="22"/>
                                <w:lang w:val="es-ES"/>
                              </w:rPr>
                              <w:t>2</w:t>
                            </w:r>
                            <w:r w:rsidR="0003376F">
                              <w:rPr>
                                <w:rFonts w:asciiTheme="majorHAnsi" w:hAnsiTheme="majorHAnsi"/>
                                <w:color w:val="0D0D0D" w:themeColor="text1" w:themeTint="F2"/>
                                <w:sz w:val="18"/>
                                <w:szCs w:val="22"/>
                                <w:lang w:val="es-ES"/>
                              </w:rPr>
                              <w:t>.</w:t>
                            </w:r>
                          </w:p>
                          <w:p w14:paraId="4F6ABB5B" w14:textId="77777777" w:rsidR="009C527B" w:rsidRPr="007A5817" w:rsidRDefault="009C527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9C527B" w:rsidRPr="00167A34" w:rsidRDefault="009C527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36A1893C" w:rsidR="009C527B" w:rsidRPr="00890650" w:rsidRDefault="009C527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D249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D2499">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D2499">
                        <w:rPr>
                          <w:rFonts w:asciiTheme="majorHAnsi" w:hAnsiTheme="majorHAnsi"/>
                          <w:color w:val="0D0D0D" w:themeColor="text1" w:themeTint="F2"/>
                          <w:sz w:val="18"/>
                          <w:szCs w:val="22"/>
                          <w:lang w:val="es-ES"/>
                        </w:rPr>
                        <w:t>2</w:t>
                      </w:r>
                      <w:r w:rsidR="0003376F">
                        <w:rPr>
                          <w:rFonts w:asciiTheme="majorHAnsi" w:hAnsiTheme="majorHAnsi"/>
                          <w:color w:val="0D0D0D" w:themeColor="text1" w:themeTint="F2"/>
                          <w:sz w:val="18"/>
                          <w:szCs w:val="22"/>
                          <w:lang w:val="es-ES"/>
                        </w:rPr>
                        <w:t>.</w:t>
                      </w:r>
                    </w:p>
                    <w:p w14:paraId="4F6ABB5B" w14:textId="77777777" w:rsidR="009C527B" w:rsidRPr="007A5817" w:rsidRDefault="009C527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9C527B" w:rsidRPr="00167A34" w:rsidRDefault="009C527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6B270B7C" w:rsidR="009C527B" w:rsidRPr="007B05C4" w:rsidRDefault="009C527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D2499" w:rsidRPr="004D2499">
                              <w:rPr>
                                <w:rFonts w:asciiTheme="majorHAnsi" w:hAnsiTheme="majorHAnsi"/>
                                <w:color w:val="595959" w:themeColor="text1" w:themeTint="A6"/>
                                <w:sz w:val="18"/>
                                <w:szCs w:val="18"/>
                                <w:lang w:val="pt-BR"/>
                              </w:rPr>
                              <w:t>4</w:t>
                            </w:r>
                            <w:r w:rsidRPr="004D2499">
                              <w:rPr>
                                <w:rFonts w:asciiTheme="majorHAnsi" w:hAnsiTheme="majorHAnsi"/>
                                <w:color w:val="595959" w:themeColor="text1" w:themeTint="A6"/>
                                <w:sz w:val="18"/>
                                <w:szCs w:val="18"/>
                                <w:lang w:val="pt-BR"/>
                              </w:rPr>
                              <w:t>/2</w:t>
                            </w:r>
                            <w:r w:rsidR="004D2499" w:rsidRPr="004D2499">
                              <w:rPr>
                                <w:rFonts w:asciiTheme="majorHAnsi" w:hAnsiTheme="majorHAnsi"/>
                                <w:color w:val="595959" w:themeColor="text1" w:themeTint="A6"/>
                                <w:sz w:val="18"/>
                                <w:szCs w:val="18"/>
                                <w:lang w:val="pt-BR"/>
                              </w:rPr>
                              <w:t>2</w:t>
                            </w:r>
                            <w:r w:rsidRPr="004D249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00B46622">
                              <w:rPr>
                                <w:rFonts w:asciiTheme="majorHAnsi" w:hAnsiTheme="majorHAnsi"/>
                                <w:color w:val="595959" w:themeColor="text1" w:themeTint="A6"/>
                                <w:sz w:val="18"/>
                                <w:szCs w:val="18"/>
                                <w:lang w:val="es-ES"/>
                              </w:rPr>
                              <w:t>ón</w:t>
                            </w:r>
                            <w:proofErr w:type="spellEnd"/>
                            <w:r w:rsidR="00B46622">
                              <w:rPr>
                                <w:rFonts w:asciiTheme="majorHAnsi" w:hAnsiTheme="majorHAnsi"/>
                                <w:color w:val="595959" w:themeColor="text1" w:themeTint="A6"/>
                                <w:sz w:val="18"/>
                                <w:szCs w:val="18"/>
                                <w:lang w:val="es-ES"/>
                              </w:rPr>
                              <w:t xml:space="preserve"> 1374</w:t>
                            </w:r>
                            <w:r>
                              <w:rPr>
                                <w:rFonts w:asciiTheme="majorHAnsi" w:hAnsiTheme="majorHAnsi"/>
                                <w:color w:val="595959" w:themeColor="text1" w:themeTint="A6"/>
                                <w:sz w:val="18"/>
                                <w:szCs w:val="18"/>
                                <w:lang w:val="es-ES"/>
                              </w:rPr>
                              <w:t>-</w:t>
                            </w:r>
                            <w:r w:rsidR="00B46622">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46622">
                              <w:rPr>
                                <w:rFonts w:asciiTheme="majorHAnsi" w:hAnsiTheme="majorHAnsi"/>
                                <w:color w:val="595959" w:themeColor="text1" w:themeTint="A6"/>
                                <w:sz w:val="18"/>
                                <w:szCs w:val="18"/>
                                <w:lang w:val="es-ES_tradnl"/>
                              </w:rPr>
                              <w:t xml:space="preserve">Tomás Casella Santos, Wellington </w:t>
                            </w:r>
                            <w:proofErr w:type="spellStart"/>
                            <w:r w:rsidR="00B46622">
                              <w:rPr>
                                <w:rFonts w:asciiTheme="majorHAnsi" w:hAnsiTheme="majorHAnsi"/>
                                <w:color w:val="595959" w:themeColor="text1" w:themeTint="A6"/>
                                <w:sz w:val="18"/>
                                <w:szCs w:val="18"/>
                                <w:lang w:val="es-ES_tradnl"/>
                              </w:rPr>
                              <w:t>Sarli</w:t>
                            </w:r>
                            <w:proofErr w:type="spellEnd"/>
                            <w:r w:rsidR="00B46622">
                              <w:rPr>
                                <w:rFonts w:asciiTheme="majorHAnsi" w:hAnsiTheme="majorHAnsi"/>
                                <w:color w:val="595959" w:themeColor="text1" w:themeTint="A6"/>
                                <w:sz w:val="18"/>
                                <w:szCs w:val="18"/>
                                <w:lang w:val="es-ES_tradnl"/>
                              </w:rPr>
                              <w:t xml:space="preserve"> Pose y Eduardo </w:t>
                            </w:r>
                            <w:proofErr w:type="spellStart"/>
                            <w:r w:rsidR="00B46622">
                              <w:rPr>
                                <w:rFonts w:asciiTheme="majorHAnsi" w:hAnsiTheme="majorHAnsi"/>
                                <w:color w:val="595959" w:themeColor="text1" w:themeTint="A6"/>
                                <w:sz w:val="18"/>
                                <w:szCs w:val="18"/>
                                <w:lang w:val="es-ES_tradnl"/>
                              </w:rPr>
                              <w:t>Radelli</w:t>
                            </w:r>
                            <w:proofErr w:type="spellEnd"/>
                            <w:r w:rsidR="00B46622">
                              <w:rPr>
                                <w:rFonts w:asciiTheme="majorHAnsi" w:hAnsiTheme="majorHAnsi"/>
                                <w:color w:val="595959" w:themeColor="text1" w:themeTint="A6"/>
                                <w:sz w:val="18"/>
                                <w:szCs w:val="18"/>
                                <w:lang w:val="es-ES_tradnl"/>
                              </w:rPr>
                              <w:t xml:space="preserve"> </w:t>
                            </w:r>
                            <w:proofErr w:type="spellStart"/>
                            <w:r w:rsidR="00B46622">
                              <w:rPr>
                                <w:rFonts w:asciiTheme="majorHAnsi" w:hAnsiTheme="majorHAnsi"/>
                                <w:color w:val="595959" w:themeColor="text1" w:themeTint="A6"/>
                                <w:sz w:val="18"/>
                                <w:szCs w:val="18"/>
                                <w:lang w:val="es-ES_tradnl"/>
                              </w:rPr>
                              <w:t>Cóp</w:t>
                            </w:r>
                            <w:r w:rsidR="004D2499">
                              <w:rPr>
                                <w:rFonts w:asciiTheme="majorHAnsi" w:hAnsiTheme="majorHAnsi"/>
                                <w:color w:val="595959" w:themeColor="text1" w:themeTint="A6"/>
                                <w:sz w:val="18"/>
                                <w:szCs w:val="18"/>
                                <w:lang w:val="es-ES_tradnl"/>
                              </w:rPr>
                              <w:t>p</w:t>
                            </w:r>
                            <w:r w:rsidR="00B46622">
                              <w:rPr>
                                <w:rFonts w:asciiTheme="majorHAnsi" w:hAnsiTheme="majorHAnsi"/>
                                <w:color w:val="595959" w:themeColor="text1" w:themeTint="A6"/>
                                <w:sz w:val="18"/>
                                <w:szCs w:val="18"/>
                                <w:lang w:val="es-ES_tradnl"/>
                              </w:rPr>
                              <w:t>ola</w:t>
                            </w:r>
                            <w:proofErr w:type="spellEnd"/>
                            <w:r w:rsidRPr="00890650">
                              <w:rPr>
                                <w:rFonts w:asciiTheme="majorHAnsi" w:hAnsiTheme="majorHAnsi"/>
                                <w:color w:val="595959" w:themeColor="text1" w:themeTint="A6"/>
                                <w:sz w:val="18"/>
                                <w:szCs w:val="18"/>
                                <w:lang w:val="es-ES_tradnl"/>
                              </w:rPr>
                              <w:t xml:space="preserve">. </w:t>
                            </w:r>
                            <w:r w:rsidR="00B46622">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53B87">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6B270B7C" w:rsidR="009C527B" w:rsidRPr="007B05C4" w:rsidRDefault="009C527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D2499" w:rsidRPr="004D2499">
                        <w:rPr>
                          <w:rFonts w:asciiTheme="majorHAnsi" w:hAnsiTheme="majorHAnsi"/>
                          <w:color w:val="595959" w:themeColor="text1" w:themeTint="A6"/>
                          <w:sz w:val="18"/>
                          <w:szCs w:val="18"/>
                          <w:lang w:val="pt-BR"/>
                        </w:rPr>
                        <w:t>4</w:t>
                      </w:r>
                      <w:r w:rsidRPr="004D2499">
                        <w:rPr>
                          <w:rFonts w:asciiTheme="majorHAnsi" w:hAnsiTheme="majorHAnsi"/>
                          <w:color w:val="595959" w:themeColor="text1" w:themeTint="A6"/>
                          <w:sz w:val="18"/>
                          <w:szCs w:val="18"/>
                          <w:lang w:val="pt-BR"/>
                        </w:rPr>
                        <w:t>/2</w:t>
                      </w:r>
                      <w:r w:rsidR="004D2499" w:rsidRPr="004D2499">
                        <w:rPr>
                          <w:rFonts w:asciiTheme="majorHAnsi" w:hAnsiTheme="majorHAnsi"/>
                          <w:color w:val="595959" w:themeColor="text1" w:themeTint="A6"/>
                          <w:sz w:val="18"/>
                          <w:szCs w:val="18"/>
                          <w:lang w:val="pt-BR"/>
                        </w:rPr>
                        <w:t>2</w:t>
                      </w:r>
                      <w:r w:rsidRPr="004D249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sidR="00B46622">
                        <w:rPr>
                          <w:rFonts w:asciiTheme="majorHAnsi" w:hAnsiTheme="majorHAnsi"/>
                          <w:color w:val="595959" w:themeColor="text1" w:themeTint="A6"/>
                          <w:sz w:val="18"/>
                          <w:szCs w:val="18"/>
                          <w:lang w:val="es-ES"/>
                        </w:rPr>
                        <w:t>ón 1374</w:t>
                      </w:r>
                      <w:r>
                        <w:rPr>
                          <w:rFonts w:asciiTheme="majorHAnsi" w:hAnsiTheme="majorHAnsi"/>
                          <w:color w:val="595959" w:themeColor="text1" w:themeTint="A6"/>
                          <w:sz w:val="18"/>
                          <w:szCs w:val="18"/>
                          <w:lang w:val="es-ES"/>
                        </w:rPr>
                        <w:t>-</w:t>
                      </w:r>
                      <w:r w:rsidR="00B46622">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46622">
                        <w:rPr>
                          <w:rFonts w:asciiTheme="majorHAnsi" w:hAnsiTheme="majorHAnsi"/>
                          <w:color w:val="595959" w:themeColor="text1" w:themeTint="A6"/>
                          <w:sz w:val="18"/>
                          <w:szCs w:val="18"/>
                          <w:lang w:val="es-ES_tradnl"/>
                        </w:rPr>
                        <w:t>Tomás Casella Santos, Wellington Sarli Pose y Eduardo Radelli Cóp</w:t>
                      </w:r>
                      <w:r w:rsidR="004D2499">
                        <w:rPr>
                          <w:rFonts w:asciiTheme="majorHAnsi" w:hAnsiTheme="majorHAnsi"/>
                          <w:color w:val="595959" w:themeColor="text1" w:themeTint="A6"/>
                          <w:sz w:val="18"/>
                          <w:szCs w:val="18"/>
                          <w:lang w:val="es-ES_tradnl"/>
                        </w:rPr>
                        <w:t>p</w:t>
                      </w:r>
                      <w:r w:rsidR="00B46622">
                        <w:rPr>
                          <w:rFonts w:asciiTheme="majorHAnsi" w:hAnsiTheme="majorHAnsi"/>
                          <w:color w:val="595959" w:themeColor="text1" w:themeTint="A6"/>
                          <w:sz w:val="18"/>
                          <w:szCs w:val="18"/>
                          <w:lang w:val="es-ES_tradnl"/>
                        </w:rPr>
                        <w:t>ola</w:t>
                      </w:r>
                      <w:r w:rsidRPr="00890650">
                        <w:rPr>
                          <w:rFonts w:asciiTheme="majorHAnsi" w:hAnsiTheme="majorHAnsi"/>
                          <w:color w:val="595959" w:themeColor="text1" w:themeTint="A6"/>
                          <w:sz w:val="18"/>
                          <w:szCs w:val="18"/>
                          <w:lang w:val="es-ES_tradnl"/>
                        </w:rPr>
                        <w:t xml:space="preserve">. </w:t>
                      </w:r>
                      <w:r w:rsidR="00B46622">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53B87">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0AB4E11E"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E1BF0B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9C527B" w:rsidRPr="004B7EB6" w:rsidRDefault="009C527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9C527B" w:rsidRPr="004B7EB6" w:rsidRDefault="009C527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582CEA0E" w:rsidR="000673D0" w:rsidRDefault="00653B87" w:rsidP="000673D0">
      <w:pPr>
        <w:tabs>
          <w:tab w:val="center" w:pos="5400"/>
        </w:tabs>
        <w:suppressAutoHyphens/>
        <w:jc w:val="center"/>
        <w:rPr>
          <w:rFonts w:asciiTheme="majorHAnsi" w:hAnsiTheme="majorHAnsi"/>
          <w:b/>
          <w:sz w:val="20"/>
          <w:lang w:val="es-ES_tradnl"/>
        </w:rPr>
        <w:sectPr w:rsidR="000673D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06500BD9">
                <wp:simplePos x="0" y="0"/>
                <wp:positionH relativeFrom="column">
                  <wp:posOffset>1329690</wp:posOffset>
                </wp:positionH>
                <wp:positionV relativeFrom="paragraph">
                  <wp:posOffset>578848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2FFB1E3" w:rsidR="009C527B" w:rsidRPr="00D72DC6" w:rsidRDefault="00196FEE" w:rsidP="000673D0">
                            <w:pPr>
                              <w:rPr>
                                <w:color w:val="FFFFFF" w:themeColor="background1"/>
                                <w14:textFill>
                                  <w14:noFill/>
                                </w14:textFill>
                              </w:rPr>
                            </w:pPr>
                            <w:r>
                              <w:rPr>
                                <w:noProof/>
                                <w:color w:val="FFFFFF" w:themeColor="background1"/>
                              </w:rPr>
                              <w:drawing>
                                <wp:inline distT="0" distB="0" distL="0" distR="0" wp14:anchorId="16582CCE" wp14:editId="4FBB9E6C">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5.6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HPnJ+zi&#10;AAAACgEAAA8AAAAAAAAAAAAAAAAA1AQAAGRycy9kb3ducmV2LnhtbFBLBQYAAAAABAAEAPMAAADj&#10;BQAAAAA=&#10;" fillcolor="white [3201]" stroked="f" strokeweight=".5pt">
                <v:textbox>
                  <w:txbxContent>
                    <w:p w14:paraId="561CB564" w14:textId="32FFB1E3" w:rsidR="009C527B" w:rsidRPr="00D72DC6" w:rsidRDefault="00196FEE" w:rsidP="000673D0">
                      <w:pPr>
                        <w:rPr>
                          <w:color w:val="FFFFFF" w:themeColor="background1"/>
                          <w14:textFill>
                            <w14:noFill/>
                          </w14:textFill>
                        </w:rPr>
                      </w:pPr>
                      <w:r>
                        <w:rPr>
                          <w:noProof/>
                          <w:color w:val="FFFFFF" w:themeColor="background1"/>
                        </w:rPr>
                        <w:drawing>
                          <wp:inline distT="0" distB="0" distL="0" distR="0" wp14:anchorId="16582CCE" wp14:editId="4FBB9E6C">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D101B3" w:rsidRDefault="000673D0" w:rsidP="000673D0">
      <w:pPr>
        <w:spacing w:after="240"/>
        <w:ind w:firstLine="720"/>
        <w:jc w:val="both"/>
        <w:rPr>
          <w:rFonts w:asciiTheme="majorHAnsi" w:hAnsiTheme="majorHAnsi"/>
          <w:b/>
          <w:bCs/>
          <w:sz w:val="20"/>
          <w:szCs w:val="20"/>
          <w:lang w:val="es-ES"/>
        </w:rPr>
      </w:pPr>
      <w:r w:rsidRPr="00D101B3">
        <w:rPr>
          <w:rFonts w:asciiTheme="majorHAnsi" w:hAnsiTheme="majorHAnsi"/>
          <w:b/>
          <w:bCs/>
          <w:sz w:val="20"/>
          <w:szCs w:val="20"/>
          <w:lang w:val="es-ES"/>
        </w:rPr>
        <w:lastRenderedPageBreak/>
        <w:t>I.</w:t>
      </w:r>
      <w:r w:rsidRPr="00D101B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D101B3"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D101B3" w:rsidRDefault="000673D0" w:rsidP="00B46185">
            <w:pPr>
              <w:jc w:val="center"/>
              <w:rPr>
                <w:rFonts w:asciiTheme="majorHAnsi" w:hAnsiTheme="majorHAnsi"/>
                <w:b/>
                <w:bCs/>
                <w:color w:val="FFFFFF" w:themeColor="background1"/>
                <w:sz w:val="20"/>
                <w:szCs w:val="20"/>
              </w:rPr>
            </w:pPr>
            <w:r w:rsidRPr="00D101B3">
              <w:rPr>
                <w:rFonts w:asciiTheme="majorHAnsi" w:hAnsiTheme="majorHAnsi"/>
                <w:b/>
                <w:bCs/>
                <w:color w:val="FFFFFF" w:themeColor="background1"/>
                <w:sz w:val="20"/>
                <w:szCs w:val="20"/>
              </w:rPr>
              <w:t>Parte peticionaria:</w:t>
            </w:r>
          </w:p>
        </w:tc>
        <w:tc>
          <w:tcPr>
            <w:tcW w:w="5760" w:type="dxa"/>
            <w:vAlign w:val="center"/>
          </w:tcPr>
          <w:p w14:paraId="5A4F615E" w14:textId="69A11E3A" w:rsidR="000673D0" w:rsidRPr="00D101B3" w:rsidRDefault="00B46622" w:rsidP="00B46185">
            <w:pPr>
              <w:jc w:val="both"/>
              <w:rPr>
                <w:rFonts w:asciiTheme="majorHAnsi" w:hAnsiTheme="majorHAnsi"/>
                <w:bCs/>
                <w:sz w:val="20"/>
                <w:szCs w:val="20"/>
                <w:lang w:val="es-PA"/>
              </w:rPr>
            </w:pPr>
            <w:r w:rsidRPr="00D101B3">
              <w:rPr>
                <w:rFonts w:asciiTheme="majorHAnsi" w:hAnsiTheme="majorHAnsi"/>
                <w:bCs/>
                <w:sz w:val="20"/>
                <w:szCs w:val="20"/>
                <w:lang w:val="es-ES"/>
              </w:rPr>
              <w:t>Arturo Monge Corrales</w:t>
            </w:r>
          </w:p>
        </w:tc>
      </w:tr>
      <w:tr w:rsidR="000673D0" w:rsidRPr="00622562"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D101B3" w:rsidRDefault="0009078D"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101B3">
                  <w:rPr>
                    <w:rFonts w:asciiTheme="majorHAnsi" w:hAnsiTheme="majorHAnsi"/>
                    <w:b/>
                    <w:bCs/>
                    <w:color w:val="FFFFFF" w:themeColor="background1"/>
                    <w:sz w:val="20"/>
                    <w:szCs w:val="20"/>
                  </w:rPr>
                  <w:t>Presunta víctima</w:t>
                </w:r>
              </w:sdtContent>
            </w:sdt>
            <w:r w:rsidR="000673D0" w:rsidRPr="00D101B3">
              <w:rPr>
                <w:rFonts w:asciiTheme="majorHAnsi" w:hAnsiTheme="majorHAnsi"/>
                <w:b/>
                <w:bCs/>
                <w:color w:val="FFFFFF" w:themeColor="background1"/>
                <w:sz w:val="20"/>
                <w:szCs w:val="20"/>
              </w:rPr>
              <w:t>:</w:t>
            </w:r>
          </w:p>
        </w:tc>
        <w:tc>
          <w:tcPr>
            <w:tcW w:w="5760" w:type="dxa"/>
            <w:vAlign w:val="center"/>
          </w:tcPr>
          <w:p w14:paraId="23FE9BA4" w14:textId="23163B3D" w:rsidR="000673D0" w:rsidRPr="00D101B3" w:rsidRDefault="00B46622" w:rsidP="00B46622">
            <w:pPr>
              <w:jc w:val="both"/>
              <w:rPr>
                <w:rFonts w:asciiTheme="majorHAnsi" w:hAnsiTheme="majorHAnsi"/>
                <w:bCs/>
                <w:sz w:val="20"/>
                <w:szCs w:val="20"/>
                <w:lang w:val="es-ES"/>
              </w:rPr>
            </w:pPr>
            <w:r w:rsidRPr="00D101B3">
              <w:rPr>
                <w:rFonts w:asciiTheme="majorHAnsi" w:hAnsiTheme="majorHAnsi"/>
                <w:bCs/>
                <w:sz w:val="20"/>
                <w:szCs w:val="20"/>
                <w:lang w:val="es-ES"/>
              </w:rPr>
              <w:t>Tomás Casella Santos, Wellington Sarli Pose</w:t>
            </w:r>
            <w:r w:rsidR="00013313" w:rsidRPr="00D101B3">
              <w:rPr>
                <w:rFonts w:asciiTheme="majorHAnsi" w:hAnsiTheme="majorHAnsi"/>
                <w:bCs/>
                <w:sz w:val="20"/>
                <w:szCs w:val="20"/>
                <w:lang w:val="es-ES"/>
              </w:rPr>
              <w:t xml:space="preserve"> y</w:t>
            </w:r>
            <w:r w:rsidRPr="00D101B3">
              <w:rPr>
                <w:rFonts w:asciiTheme="majorHAnsi" w:hAnsiTheme="majorHAnsi"/>
                <w:bCs/>
                <w:sz w:val="20"/>
                <w:szCs w:val="20"/>
                <w:lang w:val="es-ES"/>
              </w:rPr>
              <w:t xml:space="preserve"> Eduardo Radelli Cóppola</w:t>
            </w:r>
          </w:p>
        </w:tc>
      </w:tr>
      <w:tr w:rsidR="000673D0" w:rsidRPr="00D101B3"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D101B3" w:rsidRDefault="000673D0" w:rsidP="00B46185">
            <w:pPr>
              <w:jc w:val="center"/>
              <w:rPr>
                <w:rFonts w:asciiTheme="majorHAnsi" w:hAnsiTheme="majorHAnsi"/>
                <w:b/>
                <w:bCs/>
                <w:color w:val="FFFFFF" w:themeColor="background1"/>
                <w:sz w:val="20"/>
                <w:szCs w:val="20"/>
              </w:rPr>
            </w:pPr>
            <w:r w:rsidRPr="00D101B3">
              <w:rPr>
                <w:rFonts w:asciiTheme="majorHAnsi" w:hAnsiTheme="majorHAnsi"/>
                <w:b/>
                <w:bCs/>
                <w:color w:val="FFFFFF" w:themeColor="background1"/>
                <w:sz w:val="20"/>
                <w:szCs w:val="20"/>
              </w:rPr>
              <w:t xml:space="preserve">Estado </w:t>
            </w:r>
            <w:proofErr w:type="spellStart"/>
            <w:r w:rsidRPr="00D101B3">
              <w:rPr>
                <w:rFonts w:asciiTheme="majorHAnsi" w:hAnsiTheme="majorHAnsi"/>
                <w:b/>
                <w:bCs/>
                <w:color w:val="FFFFFF" w:themeColor="background1"/>
                <w:sz w:val="20"/>
                <w:szCs w:val="20"/>
              </w:rPr>
              <w:t>denunciado</w:t>
            </w:r>
            <w:proofErr w:type="spellEnd"/>
            <w:r w:rsidRPr="00D101B3">
              <w:rPr>
                <w:rFonts w:asciiTheme="majorHAnsi" w:hAnsiTheme="majorHAnsi"/>
                <w:b/>
                <w:bCs/>
                <w:color w:val="FFFFFF" w:themeColor="background1"/>
                <w:sz w:val="20"/>
                <w:szCs w:val="20"/>
              </w:rPr>
              <w:t>:</w:t>
            </w:r>
          </w:p>
        </w:tc>
        <w:tc>
          <w:tcPr>
            <w:tcW w:w="5760" w:type="dxa"/>
            <w:vAlign w:val="center"/>
          </w:tcPr>
          <w:p w14:paraId="057DC689" w14:textId="04799B8E" w:rsidR="000673D0" w:rsidRPr="00D101B3" w:rsidRDefault="00B46622" w:rsidP="00B46185">
            <w:pPr>
              <w:jc w:val="both"/>
              <w:rPr>
                <w:rFonts w:asciiTheme="majorHAnsi" w:hAnsiTheme="majorHAnsi"/>
                <w:bCs/>
                <w:sz w:val="20"/>
                <w:szCs w:val="20"/>
              </w:rPr>
            </w:pPr>
            <w:r w:rsidRPr="00D101B3">
              <w:rPr>
                <w:rFonts w:asciiTheme="majorHAnsi" w:hAnsiTheme="majorHAnsi"/>
                <w:bCs/>
                <w:sz w:val="20"/>
                <w:szCs w:val="20"/>
              </w:rPr>
              <w:t>Chile</w:t>
            </w:r>
          </w:p>
        </w:tc>
      </w:tr>
      <w:tr w:rsidR="000673D0" w:rsidRPr="00622562"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D101B3" w:rsidRDefault="000673D0" w:rsidP="00B46185">
            <w:pPr>
              <w:jc w:val="center"/>
              <w:rPr>
                <w:rFonts w:asciiTheme="majorHAnsi" w:hAnsiTheme="majorHAnsi"/>
                <w:b/>
                <w:bCs/>
                <w:color w:val="FFFFFF" w:themeColor="background1"/>
                <w:sz w:val="20"/>
                <w:szCs w:val="20"/>
              </w:rPr>
            </w:pPr>
            <w:r w:rsidRPr="00D101B3">
              <w:rPr>
                <w:rFonts w:asciiTheme="majorHAnsi" w:hAnsiTheme="majorHAnsi"/>
                <w:b/>
                <w:bCs/>
                <w:color w:val="FFFFFF" w:themeColor="background1"/>
                <w:sz w:val="20"/>
                <w:szCs w:val="20"/>
              </w:rPr>
              <w:t>Derechos invocados:</w:t>
            </w:r>
          </w:p>
        </w:tc>
        <w:tc>
          <w:tcPr>
            <w:tcW w:w="5760" w:type="dxa"/>
            <w:vAlign w:val="center"/>
          </w:tcPr>
          <w:p w14:paraId="4E238173" w14:textId="2C6BDC98" w:rsidR="000673D0" w:rsidRPr="00D101B3" w:rsidRDefault="00F308F1" w:rsidP="00B46622">
            <w:pPr>
              <w:jc w:val="both"/>
              <w:rPr>
                <w:rFonts w:asciiTheme="majorHAnsi" w:hAnsiTheme="majorHAnsi"/>
                <w:bCs/>
                <w:sz w:val="20"/>
                <w:szCs w:val="20"/>
                <w:lang w:val="es-PA"/>
              </w:rPr>
            </w:pPr>
            <w:r w:rsidRPr="00D101B3">
              <w:rPr>
                <w:rFonts w:asciiTheme="majorHAnsi" w:hAnsiTheme="majorHAnsi"/>
                <w:bCs/>
                <w:sz w:val="20"/>
                <w:szCs w:val="20"/>
                <w:lang w:val="es-PA"/>
              </w:rPr>
              <w:t xml:space="preserve">Artículos </w:t>
            </w:r>
            <w:r w:rsidR="00B46622" w:rsidRPr="00D101B3">
              <w:rPr>
                <w:rFonts w:asciiTheme="majorHAnsi" w:hAnsiTheme="majorHAnsi"/>
                <w:bCs/>
                <w:sz w:val="20"/>
                <w:szCs w:val="20"/>
                <w:lang w:val="es-PA"/>
              </w:rPr>
              <w:t>3 (personalidad jurídica), 8 (garantías judiciales), 9 (legalidad y retroactividad)</w:t>
            </w:r>
            <w:r w:rsidR="00CC254F" w:rsidRPr="00D101B3">
              <w:rPr>
                <w:rFonts w:asciiTheme="majorHAnsi" w:hAnsiTheme="majorHAnsi"/>
                <w:bCs/>
                <w:sz w:val="20"/>
                <w:szCs w:val="20"/>
                <w:lang w:val="es-PA"/>
              </w:rPr>
              <w:t xml:space="preserve"> y</w:t>
            </w:r>
            <w:r w:rsidR="00B46622" w:rsidRPr="00D101B3">
              <w:rPr>
                <w:rFonts w:asciiTheme="majorHAnsi" w:hAnsiTheme="majorHAnsi"/>
                <w:bCs/>
                <w:sz w:val="20"/>
                <w:szCs w:val="20"/>
                <w:lang w:val="es-PA"/>
              </w:rPr>
              <w:t xml:space="preserve"> 11 (honra y </w:t>
            </w:r>
            <w:r w:rsidR="00CC254F" w:rsidRPr="00D101B3">
              <w:rPr>
                <w:rFonts w:asciiTheme="majorHAnsi" w:hAnsiTheme="majorHAnsi"/>
                <w:bCs/>
                <w:sz w:val="20"/>
                <w:szCs w:val="20"/>
                <w:lang w:val="es-PA"/>
              </w:rPr>
              <w:t>dignidad) de</w:t>
            </w:r>
            <w:r w:rsidRPr="00D101B3">
              <w:rPr>
                <w:rFonts w:asciiTheme="majorHAnsi" w:hAnsiTheme="majorHAnsi"/>
                <w:bCs/>
                <w:sz w:val="20"/>
                <w:szCs w:val="20"/>
                <w:lang w:val="es-PA"/>
              </w:rPr>
              <w:t xml:space="preserve"> la Convención Americana </w:t>
            </w:r>
            <w:r w:rsidR="00013313" w:rsidRPr="00D101B3">
              <w:rPr>
                <w:rFonts w:asciiTheme="majorHAnsi" w:hAnsiTheme="majorHAnsi"/>
                <w:bCs/>
                <w:sz w:val="20"/>
                <w:szCs w:val="20"/>
                <w:lang w:val="es-PA"/>
              </w:rPr>
              <w:t>s</w:t>
            </w:r>
            <w:r w:rsidRPr="00D101B3">
              <w:rPr>
                <w:rFonts w:asciiTheme="majorHAnsi" w:hAnsiTheme="majorHAnsi"/>
                <w:bCs/>
                <w:sz w:val="20"/>
                <w:szCs w:val="20"/>
                <w:lang w:val="es-PA"/>
              </w:rPr>
              <w:t>obre Derechos Humanos</w:t>
            </w:r>
            <w:r w:rsidRPr="00D101B3">
              <w:rPr>
                <w:rStyle w:val="FootnoteReference"/>
                <w:rFonts w:asciiTheme="majorHAnsi" w:hAnsiTheme="majorHAnsi"/>
                <w:bCs/>
                <w:sz w:val="20"/>
                <w:szCs w:val="20"/>
                <w:lang w:val="es-PA"/>
              </w:rPr>
              <w:footnoteReference w:id="2"/>
            </w:r>
          </w:p>
        </w:tc>
      </w:tr>
    </w:tbl>
    <w:p w14:paraId="3D195461" w14:textId="77777777" w:rsidR="000673D0" w:rsidRPr="00D101B3" w:rsidRDefault="000673D0" w:rsidP="000673D0">
      <w:pPr>
        <w:spacing w:before="240" w:after="240"/>
        <w:ind w:firstLine="720"/>
        <w:jc w:val="both"/>
        <w:rPr>
          <w:rFonts w:asciiTheme="majorHAnsi" w:hAnsiTheme="majorHAnsi"/>
          <w:b/>
          <w:bCs/>
          <w:sz w:val="20"/>
          <w:szCs w:val="20"/>
          <w:lang w:val="es-ES"/>
        </w:rPr>
      </w:pPr>
      <w:r w:rsidRPr="00D101B3">
        <w:rPr>
          <w:rFonts w:asciiTheme="majorHAnsi" w:hAnsiTheme="majorHAnsi"/>
          <w:b/>
          <w:bCs/>
          <w:sz w:val="20"/>
          <w:szCs w:val="20"/>
          <w:lang w:val="es-ES"/>
        </w:rPr>
        <w:t>II.</w:t>
      </w:r>
      <w:r w:rsidRPr="00D101B3">
        <w:rPr>
          <w:rFonts w:asciiTheme="majorHAnsi" w:hAnsiTheme="majorHAnsi"/>
          <w:b/>
          <w:bCs/>
          <w:sz w:val="20"/>
          <w:szCs w:val="20"/>
          <w:lang w:val="es-ES"/>
        </w:rPr>
        <w:tab/>
        <w:t>TRÁMITE ANTE LA CIDH</w:t>
      </w:r>
      <w:r w:rsidRPr="00D101B3">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D101B3"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D101B3" w:rsidRDefault="000673D0" w:rsidP="00B46185">
            <w:pPr>
              <w:jc w:val="center"/>
              <w:rPr>
                <w:rFonts w:asciiTheme="majorHAnsi" w:hAnsiTheme="majorHAnsi"/>
                <w:b/>
                <w:bCs/>
                <w:color w:val="FFFFFF" w:themeColor="background1"/>
                <w:sz w:val="20"/>
                <w:szCs w:val="20"/>
                <w:lang w:val="es-ES"/>
              </w:rPr>
            </w:pPr>
            <w:r w:rsidRPr="00D101B3">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24EF79AA" w:rsidR="000673D0" w:rsidRPr="00D101B3" w:rsidRDefault="00B46622" w:rsidP="006C3525">
            <w:pPr>
              <w:jc w:val="both"/>
              <w:rPr>
                <w:rFonts w:asciiTheme="majorHAnsi" w:hAnsiTheme="majorHAnsi"/>
                <w:bCs/>
                <w:sz w:val="20"/>
                <w:szCs w:val="20"/>
                <w:lang w:val="es-ES"/>
              </w:rPr>
            </w:pPr>
            <w:r w:rsidRPr="00D101B3">
              <w:rPr>
                <w:rFonts w:asciiTheme="majorHAnsi" w:hAnsiTheme="majorHAnsi"/>
                <w:bCs/>
                <w:sz w:val="20"/>
                <w:szCs w:val="20"/>
                <w:lang w:val="es-ES"/>
              </w:rPr>
              <w:t>20 de julio de 2012</w:t>
            </w:r>
          </w:p>
        </w:tc>
      </w:tr>
      <w:tr w:rsidR="00B46622" w:rsidRPr="00D101B3" w14:paraId="14985B88" w14:textId="77777777" w:rsidTr="00B46185">
        <w:tc>
          <w:tcPr>
            <w:tcW w:w="3600" w:type="dxa"/>
            <w:tcBorders>
              <w:top w:val="single" w:sz="6" w:space="0" w:color="auto"/>
              <w:bottom w:val="single" w:sz="6" w:space="0" w:color="auto"/>
            </w:tcBorders>
            <w:shd w:val="clear" w:color="auto" w:fill="386294"/>
            <w:vAlign w:val="center"/>
          </w:tcPr>
          <w:p w14:paraId="40A01D1D" w14:textId="263AE6BD" w:rsidR="00B46622" w:rsidRPr="00D101B3" w:rsidRDefault="00B46622" w:rsidP="00B46185">
            <w:pPr>
              <w:jc w:val="center"/>
              <w:rPr>
                <w:rFonts w:asciiTheme="majorHAnsi" w:hAnsiTheme="majorHAnsi"/>
                <w:b/>
                <w:bCs/>
                <w:color w:val="FFFFFF" w:themeColor="background1"/>
                <w:sz w:val="20"/>
                <w:szCs w:val="20"/>
                <w:lang w:val="es-ES"/>
              </w:rPr>
            </w:pPr>
            <w:r w:rsidRPr="00D101B3">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5989C005" w14:textId="6F265480" w:rsidR="00B46622" w:rsidRPr="00D101B3" w:rsidRDefault="00B46622" w:rsidP="006C3525">
            <w:pPr>
              <w:jc w:val="both"/>
              <w:rPr>
                <w:rFonts w:asciiTheme="majorHAnsi" w:hAnsiTheme="majorHAnsi"/>
                <w:bCs/>
                <w:sz w:val="20"/>
                <w:szCs w:val="20"/>
                <w:lang w:val="es-ES"/>
              </w:rPr>
            </w:pPr>
            <w:r w:rsidRPr="00D101B3">
              <w:rPr>
                <w:rFonts w:asciiTheme="majorHAnsi" w:hAnsiTheme="majorHAnsi"/>
                <w:bCs/>
                <w:sz w:val="20"/>
                <w:szCs w:val="20"/>
                <w:lang w:val="es-ES"/>
              </w:rPr>
              <w:t>18 de diciembre de 2015</w:t>
            </w:r>
          </w:p>
        </w:tc>
      </w:tr>
      <w:tr w:rsidR="000673D0" w:rsidRPr="00D101B3"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D101B3" w:rsidRDefault="000673D0" w:rsidP="00B46185">
            <w:pPr>
              <w:jc w:val="center"/>
              <w:rPr>
                <w:rFonts w:asciiTheme="majorHAnsi" w:hAnsiTheme="majorHAnsi"/>
                <w:b/>
                <w:bCs/>
                <w:color w:val="FFFFFF" w:themeColor="background1"/>
                <w:sz w:val="20"/>
                <w:szCs w:val="20"/>
                <w:lang w:val="es-ES"/>
              </w:rPr>
            </w:pPr>
            <w:r w:rsidRPr="00D101B3">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6D9629E1" w:rsidR="000673D0" w:rsidRPr="00D101B3" w:rsidRDefault="00B46622" w:rsidP="006C3525">
            <w:pPr>
              <w:jc w:val="both"/>
              <w:rPr>
                <w:rFonts w:asciiTheme="majorHAnsi" w:hAnsiTheme="majorHAnsi"/>
                <w:bCs/>
                <w:sz w:val="20"/>
                <w:szCs w:val="20"/>
                <w:lang w:val="es-ES"/>
              </w:rPr>
            </w:pPr>
            <w:r w:rsidRPr="00D101B3">
              <w:rPr>
                <w:rFonts w:asciiTheme="majorHAnsi" w:hAnsiTheme="majorHAnsi"/>
                <w:bCs/>
                <w:sz w:val="20"/>
                <w:szCs w:val="20"/>
                <w:lang w:val="es-ES"/>
              </w:rPr>
              <w:t>9 de agosto de 2017</w:t>
            </w:r>
          </w:p>
        </w:tc>
      </w:tr>
      <w:tr w:rsidR="000673D0" w:rsidRPr="00D101B3"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D101B3" w:rsidRDefault="000673D0" w:rsidP="00B46185">
            <w:pPr>
              <w:jc w:val="center"/>
              <w:rPr>
                <w:rFonts w:asciiTheme="majorHAnsi" w:hAnsiTheme="majorHAnsi"/>
                <w:b/>
                <w:bCs/>
                <w:color w:val="FFFFFF" w:themeColor="background1"/>
                <w:sz w:val="20"/>
                <w:szCs w:val="20"/>
                <w:lang w:val="es-ES"/>
              </w:rPr>
            </w:pPr>
            <w:r w:rsidRPr="00D101B3">
              <w:rPr>
                <w:rFonts w:asciiTheme="majorHAnsi" w:hAnsiTheme="majorHAnsi"/>
                <w:b/>
                <w:color w:val="FFFFFF" w:themeColor="background1"/>
                <w:sz w:val="20"/>
                <w:szCs w:val="20"/>
                <w:lang w:val="es-ES"/>
              </w:rPr>
              <w:t>Primera respuesta del Estado:</w:t>
            </w:r>
          </w:p>
        </w:tc>
        <w:tc>
          <w:tcPr>
            <w:tcW w:w="5760" w:type="dxa"/>
            <w:vAlign w:val="center"/>
          </w:tcPr>
          <w:p w14:paraId="62EA084B" w14:textId="4FC268A8" w:rsidR="000673D0" w:rsidRPr="00D101B3" w:rsidRDefault="00B46622" w:rsidP="006C3525">
            <w:pPr>
              <w:jc w:val="both"/>
              <w:rPr>
                <w:rFonts w:asciiTheme="majorHAnsi" w:hAnsiTheme="majorHAnsi"/>
                <w:bCs/>
                <w:sz w:val="20"/>
                <w:szCs w:val="20"/>
                <w:lang w:val="es-ES"/>
              </w:rPr>
            </w:pPr>
            <w:r w:rsidRPr="00D101B3">
              <w:rPr>
                <w:rFonts w:asciiTheme="majorHAnsi" w:hAnsiTheme="majorHAnsi"/>
                <w:bCs/>
                <w:sz w:val="20"/>
                <w:szCs w:val="20"/>
                <w:lang w:val="es-ES"/>
              </w:rPr>
              <w:t>11 de mayo de 2018</w:t>
            </w:r>
          </w:p>
        </w:tc>
      </w:tr>
      <w:tr w:rsidR="0096697B" w:rsidRPr="00D101B3" w14:paraId="5B03CD16" w14:textId="77777777" w:rsidTr="00B46622">
        <w:trPr>
          <w:trHeight w:val="867"/>
        </w:trPr>
        <w:tc>
          <w:tcPr>
            <w:tcW w:w="3600" w:type="dxa"/>
            <w:tcBorders>
              <w:top w:val="single" w:sz="6" w:space="0" w:color="auto"/>
              <w:bottom w:val="single" w:sz="6" w:space="0" w:color="auto"/>
            </w:tcBorders>
            <w:shd w:val="clear" w:color="auto" w:fill="386294"/>
            <w:vAlign w:val="center"/>
          </w:tcPr>
          <w:p w14:paraId="61819B75" w14:textId="749FEB2C" w:rsidR="0096697B" w:rsidRPr="00D101B3" w:rsidRDefault="0096697B" w:rsidP="00B46185">
            <w:pPr>
              <w:jc w:val="center"/>
              <w:rPr>
                <w:rFonts w:asciiTheme="majorHAnsi" w:hAnsiTheme="majorHAnsi"/>
                <w:b/>
                <w:color w:val="FFFFFF" w:themeColor="background1"/>
                <w:sz w:val="20"/>
                <w:szCs w:val="20"/>
                <w:lang w:val="es-ES"/>
              </w:rPr>
            </w:pPr>
            <w:r w:rsidRPr="00D101B3">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435B23E" w14:textId="73FCA3BD" w:rsidR="0096697B" w:rsidRPr="00D101B3" w:rsidRDefault="00B46622" w:rsidP="006C3525">
            <w:pPr>
              <w:jc w:val="both"/>
              <w:rPr>
                <w:rFonts w:asciiTheme="majorHAnsi" w:hAnsiTheme="majorHAnsi"/>
                <w:bCs/>
                <w:sz w:val="20"/>
                <w:szCs w:val="20"/>
                <w:lang w:val="es-ES"/>
              </w:rPr>
            </w:pPr>
            <w:r w:rsidRPr="00D101B3">
              <w:rPr>
                <w:rFonts w:asciiTheme="majorHAnsi" w:hAnsiTheme="majorHAnsi"/>
                <w:bCs/>
                <w:sz w:val="20"/>
                <w:szCs w:val="20"/>
                <w:lang w:val="es-ES"/>
              </w:rPr>
              <w:t>27 de agosto de 2018</w:t>
            </w:r>
            <w:r w:rsidR="0030535D" w:rsidRPr="00D101B3">
              <w:rPr>
                <w:rFonts w:asciiTheme="majorHAnsi" w:hAnsiTheme="majorHAnsi"/>
                <w:bCs/>
                <w:sz w:val="20"/>
                <w:szCs w:val="20"/>
                <w:lang w:val="es-ES"/>
              </w:rPr>
              <w:t xml:space="preserve"> </w:t>
            </w:r>
          </w:p>
        </w:tc>
      </w:tr>
    </w:tbl>
    <w:p w14:paraId="738616C2" w14:textId="77777777" w:rsidR="000673D0" w:rsidRPr="00D101B3" w:rsidRDefault="000673D0" w:rsidP="000673D0">
      <w:pPr>
        <w:spacing w:before="240" w:after="240"/>
        <w:ind w:firstLine="720"/>
        <w:jc w:val="both"/>
        <w:rPr>
          <w:rFonts w:asciiTheme="majorHAnsi" w:hAnsiTheme="majorHAnsi"/>
          <w:b/>
          <w:bCs/>
          <w:sz w:val="20"/>
          <w:szCs w:val="20"/>
          <w:lang w:val="es-ES"/>
        </w:rPr>
      </w:pPr>
      <w:r w:rsidRPr="00D101B3">
        <w:rPr>
          <w:rFonts w:asciiTheme="majorHAnsi" w:hAnsiTheme="majorHAnsi"/>
          <w:b/>
          <w:bCs/>
          <w:sz w:val="20"/>
          <w:szCs w:val="20"/>
          <w:lang w:val="es-ES"/>
        </w:rPr>
        <w:t xml:space="preserve">III. </w:t>
      </w:r>
      <w:r w:rsidRPr="00D101B3">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D101B3"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D101B3" w:rsidRDefault="000673D0" w:rsidP="00B46185">
            <w:pPr>
              <w:jc w:val="center"/>
              <w:rPr>
                <w:rFonts w:asciiTheme="majorHAnsi" w:hAnsiTheme="majorHAnsi"/>
                <w:b/>
                <w:bCs/>
                <w:i/>
                <w:color w:val="FFFFFF" w:themeColor="background1"/>
                <w:sz w:val="20"/>
                <w:szCs w:val="20"/>
              </w:rPr>
            </w:pPr>
            <w:r w:rsidRPr="00D101B3">
              <w:rPr>
                <w:rFonts w:asciiTheme="majorHAnsi" w:hAnsiTheme="majorHAnsi"/>
                <w:b/>
                <w:bCs/>
                <w:color w:val="FFFFFF" w:themeColor="background1"/>
                <w:sz w:val="20"/>
                <w:szCs w:val="20"/>
              </w:rPr>
              <w:t>Competencia</w:t>
            </w:r>
            <w:r w:rsidRPr="00D101B3">
              <w:rPr>
                <w:rFonts w:asciiTheme="majorHAnsi" w:hAnsiTheme="majorHAnsi"/>
                <w:b/>
                <w:bCs/>
                <w:i/>
                <w:color w:val="FFFFFF" w:themeColor="background1"/>
                <w:sz w:val="20"/>
                <w:szCs w:val="20"/>
              </w:rPr>
              <w:t xml:space="preserve"> Ratione personae:</w:t>
            </w:r>
          </w:p>
        </w:tc>
        <w:tc>
          <w:tcPr>
            <w:tcW w:w="5760" w:type="dxa"/>
            <w:vAlign w:val="center"/>
          </w:tcPr>
          <w:p w14:paraId="55AEE8CD" w14:textId="77777777" w:rsidR="000673D0" w:rsidRPr="00D101B3" w:rsidRDefault="000673D0" w:rsidP="00B46185">
            <w:pPr>
              <w:rPr>
                <w:rFonts w:asciiTheme="majorHAnsi" w:hAnsiTheme="majorHAnsi"/>
                <w:bCs/>
                <w:sz w:val="20"/>
                <w:szCs w:val="20"/>
              </w:rPr>
            </w:pPr>
            <w:r w:rsidRPr="00D101B3">
              <w:rPr>
                <w:rFonts w:asciiTheme="majorHAnsi" w:hAnsiTheme="majorHAnsi"/>
                <w:bCs/>
                <w:sz w:val="20"/>
                <w:szCs w:val="20"/>
              </w:rPr>
              <w:t>Sí</w:t>
            </w:r>
          </w:p>
        </w:tc>
      </w:tr>
      <w:tr w:rsidR="000673D0" w:rsidRPr="00D101B3"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D101B3" w:rsidRDefault="000673D0" w:rsidP="00B46185">
            <w:pPr>
              <w:jc w:val="center"/>
              <w:rPr>
                <w:rFonts w:asciiTheme="majorHAnsi" w:hAnsiTheme="majorHAnsi"/>
                <w:b/>
                <w:bCs/>
                <w:color w:val="FFFFFF" w:themeColor="background1"/>
                <w:sz w:val="20"/>
                <w:szCs w:val="20"/>
              </w:rPr>
            </w:pPr>
            <w:r w:rsidRPr="00D101B3">
              <w:rPr>
                <w:rFonts w:asciiTheme="majorHAnsi" w:hAnsiTheme="majorHAnsi"/>
                <w:b/>
                <w:bCs/>
                <w:color w:val="FFFFFF" w:themeColor="background1"/>
                <w:sz w:val="20"/>
                <w:szCs w:val="20"/>
              </w:rPr>
              <w:t>Competencia</w:t>
            </w:r>
            <w:r w:rsidRPr="00D101B3">
              <w:rPr>
                <w:rFonts w:asciiTheme="majorHAnsi" w:hAnsiTheme="majorHAnsi"/>
                <w:b/>
                <w:bCs/>
                <w:i/>
                <w:color w:val="FFFFFF" w:themeColor="background1"/>
                <w:sz w:val="20"/>
                <w:szCs w:val="20"/>
              </w:rPr>
              <w:t xml:space="preserve"> Ratione loci</w:t>
            </w:r>
            <w:r w:rsidRPr="00D101B3">
              <w:rPr>
                <w:rFonts w:asciiTheme="majorHAnsi" w:hAnsiTheme="majorHAnsi"/>
                <w:b/>
                <w:bCs/>
                <w:color w:val="FFFFFF" w:themeColor="background1"/>
                <w:sz w:val="20"/>
                <w:szCs w:val="20"/>
              </w:rPr>
              <w:t>:</w:t>
            </w:r>
          </w:p>
        </w:tc>
        <w:tc>
          <w:tcPr>
            <w:tcW w:w="5760" w:type="dxa"/>
            <w:vAlign w:val="center"/>
          </w:tcPr>
          <w:p w14:paraId="77DDBD87" w14:textId="77777777" w:rsidR="000673D0" w:rsidRPr="00D101B3" w:rsidRDefault="000673D0" w:rsidP="00B46185">
            <w:pPr>
              <w:rPr>
                <w:rFonts w:asciiTheme="majorHAnsi" w:hAnsiTheme="majorHAnsi"/>
                <w:bCs/>
                <w:sz w:val="20"/>
                <w:szCs w:val="20"/>
              </w:rPr>
            </w:pPr>
            <w:r w:rsidRPr="00D101B3">
              <w:rPr>
                <w:rFonts w:asciiTheme="majorHAnsi" w:hAnsiTheme="majorHAnsi"/>
                <w:bCs/>
                <w:sz w:val="20"/>
                <w:szCs w:val="20"/>
              </w:rPr>
              <w:t>Sí</w:t>
            </w:r>
          </w:p>
        </w:tc>
      </w:tr>
      <w:tr w:rsidR="000673D0" w:rsidRPr="00D101B3"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D101B3" w:rsidRDefault="000673D0" w:rsidP="00B46185">
            <w:pPr>
              <w:jc w:val="center"/>
              <w:rPr>
                <w:rFonts w:asciiTheme="majorHAnsi" w:hAnsiTheme="majorHAnsi"/>
                <w:b/>
                <w:bCs/>
                <w:color w:val="FFFFFF" w:themeColor="background1"/>
                <w:sz w:val="20"/>
                <w:szCs w:val="20"/>
              </w:rPr>
            </w:pPr>
            <w:r w:rsidRPr="00D101B3">
              <w:rPr>
                <w:rFonts w:asciiTheme="majorHAnsi" w:hAnsiTheme="majorHAnsi"/>
                <w:b/>
                <w:bCs/>
                <w:color w:val="FFFFFF" w:themeColor="background1"/>
                <w:sz w:val="20"/>
                <w:szCs w:val="20"/>
              </w:rPr>
              <w:t>Competencia</w:t>
            </w:r>
            <w:r w:rsidRPr="00D101B3">
              <w:rPr>
                <w:rFonts w:asciiTheme="majorHAnsi" w:hAnsiTheme="majorHAnsi"/>
                <w:b/>
                <w:bCs/>
                <w:i/>
                <w:color w:val="FFFFFF" w:themeColor="background1"/>
                <w:sz w:val="20"/>
                <w:szCs w:val="20"/>
              </w:rPr>
              <w:t xml:space="preserve"> Ratione temporis</w:t>
            </w:r>
            <w:r w:rsidRPr="00D101B3">
              <w:rPr>
                <w:rFonts w:asciiTheme="majorHAnsi" w:hAnsiTheme="majorHAnsi"/>
                <w:b/>
                <w:bCs/>
                <w:color w:val="FFFFFF" w:themeColor="background1"/>
                <w:sz w:val="20"/>
                <w:szCs w:val="20"/>
              </w:rPr>
              <w:t>:</w:t>
            </w:r>
          </w:p>
        </w:tc>
        <w:tc>
          <w:tcPr>
            <w:tcW w:w="5760" w:type="dxa"/>
            <w:vAlign w:val="center"/>
          </w:tcPr>
          <w:p w14:paraId="76910945" w14:textId="17E3F228" w:rsidR="000673D0" w:rsidRPr="00D101B3" w:rsidRDefault="00CC254F" w:rsidP="00CF41C4">
            <w:pPr>
              <w:rPr>
                <w:rFonts w:asciiTheme="majorHAnsi" w:hAnsiTheme="majorHAnsi"/>
                <w:bCs/>
                <w:sz w:val="20"/>
                <w:szCs w:val="20"/>
                <w:lang w:val="es-PA"/>
              </w:rPr>
            </w:pPr>
            <w:r w:rsidRPr="00D101B3">
              <w:rPr>
                <w:rFonts w:asciiTheme="majorHAnsi" w:hAnsiTheme="majorHAnsi"/>
                <w:bCs/>
                <w:sz w:val="20"/>
                <w:szCs w:val="20"/>
                <w:lang w:val="es-PA"/>
              </w:rPr>
              <w:t>Sí</w:t>
            </w:r>
          </w:p>
        </w:tc>
      </w:tr>
      <w:tr w:rsidR="000673D0" w:rsidRPr="00D101B3"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D101B3" w:rsidRDefault="000673D0" w:rsidP="00B46185">
            <w:pPr>
              <w:jc w:val="center"/>
              <w:rPr>
                <w:rFonts w:asciiTheme="majorHAnsi" w:hAnsiTheme="majorHAnsi"/>
                <w:b/>
                <w:bCs/>
                <w:color w:val="FFFFFF" w:themeColor="background1"/>
                <w:sz w:val="20"/>
                <w:szCs w:val="20"/>
              </w:rPr>
            </w:pPr>
            <w:r w:rsidRPr="00D101B3">
              <w:rPr>
                <w:rFonts w:asciiTheme="majorHAnsi" w:hAnsiTheme="majorHAnsi"/>
                <w:b/>
                <w:bCs/>
                <w:color w:val="FFFFFF" w:themeColor="background1"/>
                <w:sz w:val="20"/>
                <w:szCs w:val="20"/>
              </w:rPr>
              <w:t>Competencia</w:t>
            </w:r>
            <w:r w:rsidRPr="00D101B3">
              <w:rPr>
                <w:rFonts w:asciiTheme="majorHAnsi" w:hAnsiTheme="majorHAnsi"/>
                <w:b/>
                <w:bCs/>
                <w:i/>
                <w:color w:val="FFFFFF" w:themeColor="background1"/>
                <w:sz w:val="20"/>
                <w:szCs w:val="20"/>
              </w:rPr>
              <w:t xml:space="preserve"> Ratione materiae</w:t>
            </w:r>
            <w:r w:rsidRPr="00D101B3">
              <w:rPr>
                <w:rFonts w:asciiTheme="majorHAnsi" w:hAnsiTheme="majorHAnsi"/>
                <w:b/>
                <w:bCs/>
                <w:color w:val="FFFFFF" w:themeColor="background1"/>
                <w:sz w:val="20"/>
                <w:szCs w:val="20"/>
              </w:rPr>
              <w:t>:</w:t>
            </w:r>
          </w:p>
        </w:tc>
        <w:tc>
          <w:tcPr>
            <w:tcW w:w="5760" w:type="dxa"/>
            <w:vAlign w:val="center"/>
          </w:tcPr>
          <w:p w14:paraId="78F36C0F" w14:textId="77777777" w:rsidR="0030535D" w:rsidRPr="00D101B3" w:rsidRDefault="000673D0" w:rsidP="0030535D">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D101B3">
              <w:rPr>
                <w:rFonts w:asciiTheme="majorHAnsi" w:hAnsiTheme="majorHAnsi"/>
                <w:bCs/>
                <w:sz w:val="20"/>
                <w:szCs w:val="20"/>
                <w:lang w:val="es-ES"/>
              </w:rPr>
              <w:t xml:space="preserve">Sí, Convención Americana </w:t>
            </w:r>
            <w:r w:rsidR="0030535D" w:rsidRPr="00D101B3">
              <w:rPr>
                <w:rFonts w:asciiTheme="majorHAnsi" w:hAnsiTheme="majorHAnsi"/>
                <w:bCs/>
                <w:sz w:val="20"/>
                <w:szCs w:val="20"/>
                <w:lang w:val="es-ES"/>
              </w:rPr>
              <w:t>(depósito del instrumento realizado el</w:t>
            </w:r>
          </w:p>
          <w:p w14:paraId="6AB0A733" w14:textId="517B22AA" w:rsidR="000673D0" w:rsidRPr="00D101B3" w:rsidRDefault="00B46622" w:rsidP="0030535D">
            <w:pPr>
              <w:jc w:val="both"/>
              <w:rPr>
                <w:rFonts w:asciiTheme="majorHAnsi" w:hAnsiTheme="majorHAnsi"/>
                <w:bCs/>
                <w:sz w:val="20"/>
                <w:szCs w:val="20"/>
                <w:lang w:val="es-ES"/>
              </w:rPr>
            </w:pPr>
            <w:r w:rsidRPr="00D101B3">
              <w:rPr>
                <w:rFonts w:asciiTheme="majorHAnsi" w:hAnsiTheme="majorHAnsi"/>
                <w:bCs/>
                <w:sz w:val="20"/>
                <w:szCs w:val="20"/>
                <w:lang w:val="es-ES"/>
              </w:rPr>
              <w:t>21 de agosto de 1990</w:t>
            </w:r>
            <w:r w:rsidR="0030535D" w:rsidRPr="00D101B3">
              <w:rPr>
                <w:rFonts w:asciiTheme="majorHAnsi" w:hAnsiTheme="majorHAnsi"/>
                <w:bCs/>
                <w:sz w:val="20"/>
                <w:szCs w:val="20"/>
                <w:lang w:val="es-ES"/>
              </w:rPr>
              <w:t>)</w:t>
            </w:r>
          </w:p>
        </w:tc>
      </w:tr>
    </w:tbl>
    <w:p w14:paraId="46F3B92A" w14:textId="369696BD" w:rsidR="000673D0" w:rsidRPr="00D101B3" w:rsidRDefault="000673D0" w:rsidP="000673D0">
      <w:pPr>
        <w:spacing w:before="240" w:after="240"/>
        <w:ind w:firstLine="720"/>
        <w:jc w:val="both"/>
        <w:rPr>
          <w:rFonts w:asciiTheme="majorHAnsi" w:hAnsiTheme="majorHAnsi"/>
          <w:b/>
          <w:bCs/>
          <w:sz w:val="20"/>
          <w:szCs w:val="20"/>
          <w:lang w:val="es-ES"/>
        </w:rPr>
      </w:pPr>
      <w:r w:rsidRPr="00D101B3">
        <w:rPr>
          <w:rFonts w:asciiTheme="majorHAnsi" w:hAnsiTheme="majorHAnsi"/>
          <w:b/>
          <w:bCs/>
          <w:sz w:val="20"/>
          <w:szCs w:val="20"/>
          <w:lang w:val="es-ES"/>
        </w:rPr>
        <w:t xml:space="preserve">IV. </w:t>
      </w:r>
      <w:r w:rsidRPr="00D101B3">
        <w:rPr>
          <w:rFonts w:asciiTheme="majorHAnsi" w:hAnsiTheme="majorHAnsi"/>
          <w:b/>
          <w:bCs/>
          <w:sz w:val="20"/>
          <w:szCs w:val="20"/>
          <w:lang w:val="es-ES"/>
        </w:rPr>
        <w:tab/>
        <w:t>DUPLICACIÓN</w:t>
      </w:r>
      <w:r w:rsidRPr="00D101B3">
        <w:rPr>
          <w:rFonts w:asciiTheme="majorHAnsi" w:hAnsiTheme="majorHAnsi"/>
          <w:b/>
          <w:bCs/>
          <w:color w:val="FFFFFF" w:themeColor="background1"/>
          <w:sz w:val="20"/>
          <w:szCs w:val="20"/>
          <w:lang w:val="es-ES"/>
        </w:rPr>
        <w:t xml:space="preserve"> </w:t>
      </w:r>
      <w:r w:rsidRPr="00D101B3">
        <w:rPr>
          <w:rFonts w:asciiTheme="majorHAnsi" w:hAnsiTheme="majorHAnsi"/>
          <w:b/>
          <w:bCs/>
          <w:sz w:val="20"/>
          <w:szCs w:val="20"/>
          <w:lang w:val="es-ES"/>
        </w:rPr>
        <w:t>DE PROCEDIMIENTOS Y COSA JUZGADA</w:t>
      </w:r>
      <w:r w:rsidR="002E4781" w:rsidRPr="00D101B3">
        <w:rPr>
          <w:rFonts w:asciiTheme="majorHAnsi" w:hAnsiTheme="majorHAnsi"/>
          <w:b/>
          <w:bCs/>
          <w:i/>
          <w:sz w:val="20"/>
          <w:szCs w:val="20"/>
          <w:lang w:val="es-ES"/>
        </w:rPr>
        <w:t xml:space="preserve"> </w:t>
      </w:r>
      <w:r w:rsidR="00CF41C4" w:rsidRPr="00D101B3">
        <w:rPr>
          <w:rFonts w:asciiTheme="majorHAnsi" w:hAnsiTheme="majorHAnsi"/>
          <w:b/>
          <w:bCs/>
          <w:sz w:val="20"/>
          <w:szCs w:val="20"/>
          <w:lang w:val="es-ES"/>
        </w:rPr>
        <w:t xml:space="preserve">INTERNACIONAL, </w:t>
      </w:r>
      <w:r w:rsidRPr="00D101B3">
        <w:rPr>
          <w:rFonts w:asciiTheme="majorHAnsi" w:hAnsiTheme="majorHAnsi"/>
          <w:b/>
          <w:bCs/>
          <w:sz w:val="20"/>
          <w:szCs w:val="20"/>
          <w:lang w:val="es-ES"/>
        </w:rPr>
        <w:t xml:space="preserve">CARACTERIZACIÓN, </w:t>
      </w:r>
      <w:r w:rsidRPr="00D101B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D101B3"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D101B3" w:rsidRDefault="000673D0" w:rsidP="00B46185">
            <w:pPr>
              <w:jc w:val="center"/>
              <w:rPr>
                <w:rFonts w:asciiTheme="majorHAnsi" w:hAnsiTheme="majorHAnsi"/>
                <w:b/>
                <w:bCs/>
                <w:color w:val="FFFFFF" w:themeColor="background1"/>
                <w:sz w:val="20"/>
                <w:szCs w:val="20"/>
                <w:lang w:val="es-ES"/>
              </w:rPr>
            </w:pPr>
            <w:r w:rsidRPr="00D101B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D101B3" w:rsidRDefault="000673D0" w:rsidP="00B46185">
            <w:pPr>
              <w:jc w:val="both"/>
              <w:rPr>
                <w:rFonts w:asciiTheme="majorHAnsi" w:hAnsiTheme="majorHAnsi"/>
                <w:bCs/>
                <w:sz w:val="20"/>
                <w:szCs w:val="20"/>
                <w:lang w:val="es-ES"/>
              </w:rPr>
            </w:pPr>
            <w:r w:rsidRPr="00D101B3">
              <w:rPr>
                <w:rFonts w:asciiTheme="majorHAnsi" w:hAnsiTheme="majorHAnsi"/>
                <w:bCs/>
                <w:sz w:val="20"/>
                <w:szCs w:val="20"/>
                <w:lang w:val="es-ES"/>
              </w:rPr>
              <w:t>No</w:t>
            </w:r>
          </w:p>
        </w:tc>
      </w:tr>
      <w:tr w:rsidR="000673D0" w:rsidRPr="00622562"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D101B3" w:rsidRDefault="000673D0" w:rsidP="00B46185">
            <w:pPr>
              <w:jc w:val="center"/>
              <w:rPr>
                <w:rFonts w:asciiTheme="majorHAnsi" w:hAnsiTheme="majorHAnsi"/>
                <w:b/>
                <w:bCs/>
                <w:i/>
                <w:color w:val="FFFFFF" w:themeColor="background1"/>
                <w:sz w:val="20"/>
                <w:szCs w:val="20"/>
              </w:rPr>
            </w:pPr>
            <w:r w:rsidRPr="00D101B3">
              <w:rPr>
                <w:rFonts w:asciiTheme="majorHAnsi" w:hAnsiTheme="majorHAnsi"/>
                <w:b/>
                <w:bCs/>
                <w:color w:val="FFFFFF" w:themeColor="background1"/>
                <w:sz w:val="20"/>
                <w:szCs w:val="20"/>
              </w:rPr>
              <w:t>Derechos declarados admisibles</w:t>
            </w:r>
            <w:r w:rsidRPr="00D101B3">
              <w:rPr>
                <w:rFonts w:asciiTheme="majorHAnsi" w:hAnsiTheme="majorHAnsi"/>
                <w:b/>
                <w:bCs/>
                <w:i/>
                <w:color w:val="FFFFFF" w:themeColor="background1"/>
                <w:sz w:val="20"/>
                <w:szCs w:val="20"/>
              </w:rPr>
              <w:t>:</w:t>
            </w:r>
          </w:p>
        </w:tc>
        <w:tc>
          <w:tcPr>
            <w:tcW w:w="5760" w:type="dxa"/>
            <w:vAlign w:val="center"/>
          </w:tcPr>
          <w:p w14:paraId="5EB169C6" w14:textId="62F25ECB" w:rsidR="000673D0" w:rsidRPr="00D101B3" w:rsidRDefault="00B46622" w:rsidP="00B46622">
            <w:pPr>
              <w:jc w:val="both"/>
              <w:rPr>
                <w:rFonts w:asciiTheme="majorHAnsi" w:hAnsiTheme="majorHAnsi"/>
                <w:bCs/>
                <w:sz w:val="20"/>
                <w:szCs w:val="20"/>
                <w:lang w:val="es-PA" w:eastAsia="es-ES"/>
              </w:rPr>
            </w:pPr>
            <w:r w:rsidRPr="00D101B3">
              <w:rPr>
                <w:rFonts w:asciiTheme="majorHAnsi" w:hAnsiTheme="majorHAnsi"/>
                <w:bCs/>
                <w:sz w:val="20"/>
                <w:szCs w:val="20"/>
                <w:lang w:val="es-ES" w:eastAsia="es-ES"/>
              </w:rPr>
              <w:t>Artículos 8 (garantías judiciales)</w:t>
            </w:r>
            <w:r w:rsidR="00621DD3" w:rsidRPr="00D101B3">
              <w:rPr>
                <w:rFonts w:asciiTheme="majorHAnsi" w:hAnsiTheme="majorHAnsi"/>
                <w:bCs/>
                <w:sz w:val="20"/>
                <w:szCs w:val="20"/>
                <w:lang w:val="es-ES" w:eastAsia="es-ES"/>
              </w:rPr>
              <w:t xml:space="preserve"> y </w:t>
            </w:r>
            <w:r w:rsidRPr="00D101B3">
              <w:rPr>
                <w:rFonts w:asciiTheme="majorHAnsi" w:hAnsiTheme="majorHAnsi"/>
                <w:bCs/>
                <w:sz w:val="20"/>
                <w:szCs w:val="20"/>
                <w:lang w:val="es-ES" w:eastAsia="es-ES"/>
              </w:rPr>
              <w:t>25 (protección judicial</w:t>
            </w:r>
            <w:r w:rsidR="00621DD3" w:rsidRPr="00D101B3">
              <w:rPr>
                <w:rFonts w:asciiTheme="majorHAnsi" w:hAnsiTheme="majorHAnsi"/>
                <w:bCs/>
                <w:sz w:val="20"/>
                <w:szCs w:val="20"/>
                <w:lang w:val="es-ES" w:eastAsia="es-ES"/>
              </w:rPr>
              <w:t xml:space="preserve">) </w:t>
            </w:r>
            <w:r w:rsidRPr="00D101B3">
              <w:rPr>
                <w:rFonts w:asciiTheme="majorHAnsi" w:hAnsiTheme="majorHAnsi"/>
                <w:bCs/>
                <w:sz w:val="20"/>
                <w:szCs w:val="20"/>
                <w:lang w:val="es-ES" w:eastAsia="es-ES"/>
              </w:rPr>
              <w:t>de la Convención Americana en relación con sus artículos 1.1. (obligación de respetar los derechos) y 2 (deber de adoptar disposiciones de derecho interno)</w:t>
            </w:r>
          </w:p>
        </w:tc>
      </w:tr>
      <w:tr w:rsidR="000673D0" w:rsidRPr="00622562"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D101B3" w:rsidRDefault="000673D0" w:rsidP="00B46185">
            <w:pPr>
              <w:jc w:val="center"/>
              <w:rPr>
                <w:rFonts w:asciiTheme="majorHAnsi" w:hAnsiTheme="majorHAnsi"/>
                <w:b/>
                <w:bCs/>
                <w:color w:val="FFFFFF" w:themeColor="background1"/>
                <w:sz w:val="20"/>
                <w:szCs w:val="20"/>
                <w:lang w:val="es-ES"/>
              </w:rPr>
            </w:pPr>
            <w:r w:rsidRPr="00D101B3">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7B5A6AFC" w14:textId="2014962B" w:rsidR="000673D0" w:rsidRPr="00D101B3" w:rsidRDefault="00CF41C4" w:rsidP="00B46622">
            <w:pPr>
              <w:rPr>
                <w:rFonts w:asciiTheme="majorHAnsi" w:hAnsiTheme="majorHAnsi"/>
                <w:bCs/>
                <w:sz w:val="20"/>
                <w:szCs w:val="20"/>
                <w:lang w:val="es-ES"/>
              </w:rPr>
            </w:pPr>
            <w:r w:rsidRPr="00D101B3">
              <w:rPr>
                <w:rFonts w:asciiTheme="majorHAnsi" w:hAnsiTheme="majorHAnsi"/>
                <w:bCs/>
                <w:sz w:val="20"/>
                <w:szCs w:val="20"/>
                <w:lang w:val="es-ES"/>
              </w:rPr>
              <w:t xml:space="preserve">Sí, </w:t>
            </w:r>
            <w:r w:rsidR="00CC254F" w:rsidRPr="00D101B3">
              <w:rPr>
                <w:rFonts w:asciiTheme="majorHAnsi" w:hAnsiTheme="majorHAnsi"/>
                <w:bCs/>
                <w:sz w:val="20"/>
                <w:szCs w:val="20"/>
                <w:lang w:val="es-ES"/>
              </w:rPr>
              <w:t>en los términos de la sección VI</w:t>
            </w:r>
          </w:p>
        </w:tc>
      </w:tr>
      <w:tr w:rsidR="000673D0" w:rsidRPr="00622562"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D101B3" w:rsidRDefault="000673D0" w:rsidP="00B46185">
            <w:pPr>
              <w:jc w:val="center"/>
              <w:rPr>
                <w:rFonts w:asciiTheme="majorHAnsi" w:hAnsiTheme="majorHAnsi"/>
                <w:b/>
                <w:bCs/>
                <w:color w:val="FFFFFF" w:themeColor="background1"/>
                <w:sz w:val="20"/>
                <w:szCs w:val="20"/>
              </w:rPr>
            </w:pPr>
            <w:r w:rsidRPr="00D101B3">
              <w:rPr>
                <w:rFonts w:asciiTheme="majorHAnsi" w:hAnsiTheme="majorHAnsi"/>
                <w:b/>
                <w:bCs/>
                <w:color w:val="FFFFFF" w:themeColor="background1"/>
                <w:sz w:val="20"/>
                <w:szCs w:val="20"/>
                <w:lang w:val="es-PA"/>
              </w:rPr>
              <w:t xml:space="preserve">Presentación dentro de </w:t>
            </w:r>
            <w:proofErr w:type="spellStart"/>
            <w:r w:rsidRPr="00D101B3">
              <w:rPr>
                <w:rFonts w:asciiTheme="majorHAnsi" w:hAnsiTheme="majorHAnsi"/>
                <w:b/>
                <w:bCs/>
                <w:color w:val="FFFFFF" w:themeColor="background1"/>
                <w:sz w:val="20"/>
                <w:szCs w:val="20"/>
                <w:lang w:val="es-PA"/>
              </w:rPr>
              <w:t>plaz</w:t>
            </w:r>
            <w:proofErr w:type="spellEnd"/>
            <w:r w:rsidRPr="00D101B3">
              <w:rPr>
                <w:rFonts w:asciiTheme="majorHAnsi" w:hAnsiTheme="majorHAnsi"/>
                <w:b/>
                <w:bCs/>
                <w:color w:val="FFFFFF" w:themeColor="background1"/>
                <w:sz w:val="20"/>
                <w:szCs w:val="20"/>
              </w:rPr>
              <w:t>o:</w:t>
            </w:r>
          </w:p>
        </w:tc>
        <w:tc>
          <w:tcPr>
            <w:tcW w:w="5760" w:type="dxa"/>
            <w:vAlign w:val="center"/>
          </w:tcPr>
          <w:p w14:paraId="6D2FF784" w14:textId="79EC4D9A" w:rsidR="000673D0" w:rsidRPr="00D101B3" w:rsidRDefault="00D06F66" w:rsidP="00B46622">
            <w:pPr>
              <w:rPr>
                <w:rFonts w:asciiTheme="majorHAnsi" w:hAnsiTheme="majorHAnsi"/>
                <w:bCs/>
                <w:sz w:val="20"/>
                <w:szCs w:val="20"/>
                <w:lang w:val="es-ES"/>
              </w:rPr>
            </w:pPr>
            <w:r w:rsidRPr="00D101B3">
              <w:rPr>
                <w:rFonts w:asciiTheme="majorHAnsi" w:hAnsiTheme="majorHAnsi"/>
                <w:bCs/>
                <w:sz w:val="20"/>
                <w:szCs w:val="20"/>
                <w:lang w:val="es-PA"/>
              </w:rPr>
              <w:t xml:space="preserve">Sí, </w:t>
            </w:r>
            <w:r w:rsidR="00CC254F" w:rsidRPr="00D101B3">
              <w:rPr>
                <w:rFonts w:asciiTheme="majorHAnsi" w:hAnsiTheme="majorHAnsi"/>
                <w:bCs/>
                <w:sz w:val="20"/>
                <w:szCs w:val="20"/>
                <w:lang w:val="es-PA"/>
              </w:rPr>
              <w:t>en los términos de la sección VI</w:t>
            </w:r>
          </w:p>
        </w:tc>
      </w:tr>
    </w:tbl>
    <w:p w14:paraId="18E6423B" w14:textId="77777777" w:rsidR="003239B8" w:rsidRPr="00D101B3" w:rsidRDefault="00223A29" w:rsidP="003239B8">
      <w:pPr>
        <w:spacing w:before="240" w:after="240"/>
        <w:ind w:firstLine="720"/>
        <w:jc w:val="both"/>
        <w:rPr>
          <w:rFonts w:asciiTheme="majorHAnsi" w:hAnsiTheme="majorHAnsi"/>
          <w:b/>
          <w:sz w:val="20"/>
          <w:szCs w:val="20"/>
          <w:lang w:val="es-UY"/>
        </w:rPr>
      </w:pPr>
      <w:r w:rsidRPr="00D101B3">
        <w:rPr>
          <w:rFonts w:asciiTheme="majorHAnsi" w:hAnsiTheme="majorHAnsi"/>
          <w:b/>
          <w:sz w:val="20"/>
          <w:szCs w:val="20"/>
          <w:lang w:val="es-UY"/>
        </w:rPr>
        <w:t xml:space="preserve">V. </w:t>
      </w:r>
      <w:r w:rsidRPr="00D101B3">
        <w:rPr>
          <w:rFonts w:asciiTheme="majorHAnsi" w:hAnsiTheme="majorHAnsi"/>
          <w:b/>
          <w:sz w:val="20"/>
          <w:szCs w:val="20"/>
          <w:lang w:val="es-UY"/>
        </w:rPr>
        <w:tab/>
      </w:r>
      <w:r w:rsidR="003239B8" w:rsidRPr="00D101B3">
        <w:rPr>
          <w:rFonts w:asciiTheme="majorHAnsi" w:hAnsiTheme="majorHAnsi"/>
          <w:b/>
          <w:sz w:val="20"/>
          <w:szCs w:val="20"/>
          <w:lang w:val="es-UY"/>
        </w:rPr>
        <w:t xml:space="preserve">HECHOS ALEGADOS </w:t>
      </w:r>
    </w:p>
    <w:p w14:paraId="6CBA6EB4" w14:textId="54081A3B" w:rsidR="00DA13A2" w:rsidRPr="00D101B3" w:rsidRDefault="00AC2323"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bCs/>
          <w:sz w:val="20"/>
          <w:szCs w:val="20"/>
          <w:lang w:val="es-PA"/>
        </w:rPr>
        <w:t>La parte peticionaria</w:t>
      </w:r>
      <w:r w:rsidR="00B46622" w:rsidRPr="00D101B3">
        <w:rPr>
          <w:rFonts w:asciiTheme="majorHAnsi" w:hAnsiTheme="majorHAnsi"/>
          <w:bCs/>
          <w:sz w:val="20"/>
          <w:szCs w:val="20"/>
          <w:lang w:val="es-PA"/>
        </w:rPr>
        <w:t xml:space="preserve"> denuncia</w:t>
      </w:r>
      <w:r w:rsidR="00013313" w:rsidRPr="00D101B3">
        <w:rPr>
          <w:rFonts w:asciiTheme="majorHAnsi" w:hAnsiTheme="majorHAnsi"/>
          <w:bCs/>
          <w:sz w:val="20"/>
          <w:szCs w:val="20"/>
          <w:lang w:val="es-PA"/>
        </w:rPr>
        <w:t xml:space="preserve"> que </w:t>
      </w:r>
      <w:r w:rsidR="00013313" w:rsidRPr="00D101B3">
        <w:rPr>
          <w:rFonts w:asciiTheme="majorHAnsi" w:hAnsiTheme="majorHAnsi"/>
          <w:bCs/>
          <w:sz w:val="20"/>
          <w:szCs w:val="20"/>
          <w:lang w:val="es-ES"/>
        </w:rPr>
        <w:t>Tomás Casella Santos, Wellington Sarli Pose y Eduardo Radelli Cóppola (en adelante “la</w:t>
      </w:r>
      <w:r w:rsidR="00B46622" w:rsidRPr="00D101B3">
        <w:rPr>
          <w:rFonts w:asciiTheme="majorHAnsi" w:hAnsiTheme="majorHAnsi"/>
          <w:sz w:val="20"/>
          <w:szCs w:val="20"/>
          <w:lang w:val="es-ES_tradnl"/>
        </w:rPr>
        <w:t>s presuntas víctimas</w:t>
      </w:r>
      <w:r w:rsidR="00013313" w:rsidRPr="00D101B3">
        <w:rPr>
          <w:rFonts w:asciiTheme="majorHAnsi" w:hAnsiTheme="majorHAnsi"/>
          <w:sz w:val="20"/>
          <w:szCs w:val="20"/>
          <w:lang w:val="es-ES_tradnl"/>
        </w:rPr>
        <w:t>”)</w:t>
      </w:r>
      <w:r w:rsidRPr="00D101B3">
        <w:rPr>
          <w:rFonts w:asciiTheme="majorHAnsi" w:hAnsiTheme="majorHAnsi"/>
          <w:sz w:val="20"/>
          <w:szCs w:val="20"/>
          <w:lang w:val="es-ES_tradnl"/>
        </w:rPr>
        <w:t>, de nacionalidad uruguaya,</w:t>
      </w:r>
      <w:r w:rsidR="00B46622" w:rsidRPr="00D101B3">
        <w:rPr>
          <w:rFonts w:asciiTheme="majorHAnsi" w:hAnsiTheme="majorHAnsi"/>
          <w:sz w:val="20"/>
          <w:szCs w:val="20"/>
          <w:lang w:val="es-ES_tradnl"/>
        </w:rPr>
        <w:t xml:space="preserve"> fueron condenad</w:t>
      </w:r>
      <w:r w:rsidR="00013313" w:rsidRPr="00D101B3">
        <w:rPr>
          <w:rFonts w:asciiTheme="majorHAnsi" w:hAnsiTheme="majorHAnsi"/>
          <w:sz w:val="20"/>
          <w:szCs w:val="20"/>
          <w:lang w:val="es-ES_tradnl"/>
        </w:rPr>
        <w:t>o</w:t>
      </w:r>
      <w:r w:rsidR="00B46622" w:rsidRPr="00D101B3">
        <w:rPr>
          <w:rFonts w:asciiTheme="majorHAnsi" w:hAnsiTheme="majorHAnsi"/>
          <w:sz w:val="20"/>
          <w:szCs w:val="20"/>
          <w:lang w:val="es-ES_tradnl"/>
        </w:rPr>
        <w:t>s penalmente en un proceso en</w:t>
      </w:r>
      <w:r w:rsidR="00DF3C24" w:rsidRPr="00D101B3">
        <w:rPr>
          <w:rFonts w:asciiTheme="majorHAnsi" w:hAnsiTheme="majorHAnsi"/>
          <w:sz w:val="20"/>
          <w:szCs w:val="20"/>
          <w:lang w:val="es-ES_tradnl"/>
        </w:rPr>
        <w:t xml:space="preserve"> que no se les respet</w:t>
      </w:r>
      <w:r w:rsidR="00013313" w:rsidRPr="00D101B3">
        <w:rPr>
          <w:rFonts w:asciiTheme="majorHAnsi" w:hAnsiTheme="majorHAnsi"/>
          <w:sz w:val="20"/>
          <w:szCs w:val="20"/>
          <w:lang w:val="es-ES_tradnl"/>
        </w:rPr>
        <w:t>aron</w:t>
      </w:r>
      <w:r w:rsidR="00B46622" w:rsidRPr="00D101B3">
        <w:rPr>
          <w:rFonts w:asciiTheme="majorHAnsi" w:hAnsiTheme="majorHAnsi"/>
          <w:sz w:val="20"/>
          <w:szCs w:val="20"/>
          <w:lang w:val="es-ES_tradnl"/>
        </w:rPr>
        <w:t xml:space="preserve"> las garantías de plazo razonable, juez imparcial </w:t>
      </w:r>
      <w:r w:rsidR="00013313" w:rsidRPr="00D101B3">
        <w:rPr>
          <w:rFonts w:asciiTheme="majorHAnsi" w:hAnsiTheme="majorHAnsi"/>
          <w:sz w:val="20"/>
          <w:szCs w:val="20"/>
          <w:lang w:val="es-ES_tradnl"/>
        </w:rPr>
        <w:t>ni</w:t>
      </w:r>
      <w:r w:rsidR="00B46622" w:rsidRPr="00D101B3">
        <w:rPr>
          <w:rFonts w:asciiTheme="majorHAnsi" w:hAnsiTheme="majorHAnsi"/>
          <w:sz w:val="20"/>
          <w:szCs w:val="20"/>
          <w:lang w:val="es-ES_tradnl"/>
        </w:rPr>
        <w:t xml:space="preserve"> derecho a la defensa. También </w:t>
      </w:r>
      <w:r w:rsidR="00013313" w:rsidRPr="00D101B3">
        <w:rPr>
          <w:rFonts w:asciiTheme="majorHAnsi" w:hAnsiTheme="majorHAnsi"/>
          <w:sz w:val="20"/>
          <w:szCs w:val="20"/>
          <w:lang w:val="es-ES_tradnl"/>
        </w:rPr>
        <w:t>alega</w:t>
      </w:r>
      <w:r w:rsidR="00B46622" w:rsidRPr="00D101B3">
        <w:rPr>
          <w:rFonts w:asciiTheme="majorHAnsi" w:hAnsiTheme="majorHAnsi"/>
          <w:sz w:val="20"/>
          <w:szCs w:val="20"/>
          <w:lang w:val="es-ES_tradnl"/>
        </w:rPr>
        <w:t xml:space="preserve"> que durante el proceso las presuntas víctimas fueron sometidas a una medida de impedimento de salida del país por un tiempo desproporcionado lo que, dada su condición de extranjeros, los colocó en una situación de desprotección jurídica</w:t>
      </w:r>
      <w:r w:rsidRPr="00D101B3">
        <w:rPr>
          <w:rFonts w:asciiTheme="majorHAnsi" w:hAnsiTheme="majorHAnsi"/>
          <w:sz w:val="20"/>
          <w:szCs w:val="20"/>
          <w:lang w:val="es-ES_tradnl"/>
        </w:rPr>
        <w:t>,</w:t>
      </w:r>
      <w:r w:rsidR="00B46622" w:rsidRPr="00D101B3">
        <w:rPr>
          <w:rFonts w:asciiTheme="majorHAnsi" w:hAnsiTheme="majorHAnsi"/>
          <w:sz w:val="20"/>
          <w:szCs w:val="20"/>
          <w:lang w:val="es-ES_tradnl"/>
        </w:rPr>
        <w:t xml:space="preserve"> </w:t>
      </w:r>
      <w:r w:rsidR="00DF3C24" w:rsidRPr="00D101B3">
        <w:rPr>
          <w:rFonts w:asciiTheme="majorHAnsi" w:hAnsiTheme="majorHAnsi"/>
          <w:sz w:val="20"/>
          <w:szCs w:val="20"/>
          <w:lang w:val="es-ES_tradnl"/>
        </w:rPr>
        <w:t>luego de que no se les proporcionara la</w:t>
      </w:r>
      <w:r w:rsidR="00B46622" w:rsidRPr="00D101B3">
        <w:rPr>
          <w:rFonts w:asciiTheme="majorHAnsi" w:hAnsiTheme="majorHAnsi"/>
          <w:sz w:val="20"/>
          <w:szCs w:val="20"/>
          <w:lang w:val="es-ES_tradnl"/>
        </w:rPr>
        <w:t xml:space="preserve"> </w:t>
      </w:r>
      <w:r w:rsidR="00B46622" w:rsidRPr="00D101B3">
        <w:rPr>
          <w:rFonts w:asciiTheme="majorHAnsi" w:hAnsiTheme="majorHAnsi"/>
          <w:sz w:val="20"/>
          <w:szCs w:val="20"/>
          <w:lang w:val="es-ES_tradnl"/>
        </w:rPr>
        <w:lastRenderedPageBreak/>
        <w:t xml:space="preserve">documentación </w:t>
      </w:r>
      <w:r w:rsidR="00013313" w:rsidRPr="00D101B3">
        <w:rPr>
          <w:rFonts w:asciiTheme="majorHAnsi" w:hAnsiTheme="majorHAnsi"/>
          <w:sz w:val="20"/>
          <w:szCs w:val="20"/>
          <w:lang w:val="es-ES_tradnl"/>
        </w:rPr>
        <w:t>ni</w:t>
      </w:r>
      <w:r w:rsidR="00B46622" w:rsidRPr="00D101B3">
        <w:rPr>
          <w:rFonts w:asciiTheme="majorHAnsi" w:hAnsiTheme="majorHAnsi"/>
          <w:sz w:val="20"/>
          <w:szCs w:val="20"/>
          <w:lang w:val="es-ES_tradnl"/>
        </w:rPr>
        <w:t xml:space="preserve"> los medios necesarios para desarrollar un proyecto de vida en Chile. </w:t>
      </w:r>
      <w:r w:rsidR="00013313" w:rsidRPr="00D101B3">
        <w:rPr>
          <w:rFonts w:asciiTheme="majorHAnsi" w:hAnsiTheme="majorHAnsi"/>
          <w:sz w:val="20"/>
          <w:szCs w:val="20"/>
          <w:lang w:val="es-ES_tradnl"/>
        </w:rPr>
        <w:t>R</w:t>
      </w:r>
      <w:r w:rsidR="00DF3C24" w:rsidRPr="00D101B3">
        <w:rPr>
          <w:rFonts w:asciiTheme="majorHAnsi" w:hAnsiTheme="majorHAnsi"/>
          <w:sz w:val="20"/>
          <w:szCs w:val="20"/>
          <w:lang w:val="es-ES_tradnl"/>
        </w:rPr>
        <w:t xml:space="preserve">eclama </w:t>
      </w:r>
      <w:r w:rsidR="00013313" w:rsidRPr="00D101B3">
        <w:rPr>
          <w:rFonts w:asciiTheme="majorHAnsi" w:hAnsiTheme="majorHAnsi"/>
          <w:sz w:val="20"/>
          <w:szCs w:val="20"/>
          <w:lang w:val="es-ES_tradnl"/>
        </w:rPr>
        <w:t xml:space="preserve">asimismo </w:t>
      </w:r>
      <w:r w:rsidR="00DF3C24" w:rsidRPr="00D101B3">
        <w:rPr>
          <w:rFonts w:asciiTheme="majorHAnsi" w:hAnsiTheme="majorHAnsi"/>
          <w:sz w:val="20"/>
          <w:szCs w:val="20"/>
          <w:lang w:val="es-ES_tradnl"/>
        </w:rPr>
        <w:t xml:space="preserve">que las presuntas víctimas fueron condenadas por un delito más grave que aquellos por los que fueron extraditados. </w:t>
      </w:r>
    </w:p>
    <w:p w14:paraId="07339C97" w14:textId="61E91459" w:rsidR="00DF3C24" w:rsidRPr="00D101B3" w:rsidRDefault="00013313"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bookmarkStart w:id="1" w:name="_Hlk90543521"/>
      <w:r w:rsidRPr="00D101B3">
        <w:rPr>
          <w:rFonts w:asciiTheme="majorHAnsi" w:hAnsiTheme="majorHAnsi"/>
          <w:sz w:val="20"/>
          <w:szCs w:val="20"/>
          <w:lang w:val="es-UY"/>
        </w:rPr>
        <w:t xml:space="preserve">Las </w:t>
      </w:r>
      <w:r w:rsidR="00DF3C24" w:rsidRPr="00D101B3">
        <w:rPr>
          <w:rFonts w:asciiTheme="majorHAnsi" w:hAnsiTheme="majorHAnsi"/>
          <w:sz w:val="20"/>
          <w:szCs w:val="20"/>
          <w:lang w:val="es-ES_tradnl"/>
        </w:rPr>
        <w:t>presuntas víctimas son integrantes del Ejército Nacional de Uruguay</w:t>
      </w:r>
      <w:r w:rsidRPr="00D101B3">
        <w:rPr>
          <w:rFonts w:asciiTheme="majorHAnsi" w:hAnsiTheme="majorHAnsi"/>
          <w:sz w:val="20"/>
          <w:szCs w:val="20"/>
          <w:lang w:val="es-ES_tradnl"/>
        </w:rPr>
        <w:t>,</w:t>
      </w:r>
      <w:r w:rsidR="00DF3C24" w:rsidRPr="00D101B3">
        <w:rPr>
          <w:rFonts w:asciiTheme="majorHAnsi" w:hAnsiTheme="majorHAnsi"/>
          <w:sz w:val="20"/>
          <w:szCs w:val="20"/>
          <w:lang w:val="es-ES_tradnl"/>
        </w:rPr>
        <w:t xml:space="preserve"> que desde 1993 </w:t>
      </w:r>
      <w:r w:rsidRPr="00D101B3">
        <w:rPr>
          <w:rFonts w:asciiTheme="majorHAnsi" w:hAnsiTheme="majorHAnsi"/>
          <w:sz w:val="20"/>
          <w:szCs w:val="20"/>
          <w:lang w:val="es-ES_tradnl"/>
        </w:rPr>
        <w:t xml:space="preserve">fueron </w:t>
      </w:r>
      <w:r w:rsidR="00DF3C24" w:rsidRPr="00D101B3">
        <w:rPr>
          <w:rFonts w:asciiTheme="majorHAnsi" w:hAnsiTheme="majorHAnsi"/>
          <w:sz w:val="20"/>
          <w:szCs w:val="20"/>
          <w:lang w:val="es-ES_tradnl"/>
        </w:rPr>
        <w:t>sometid</w:t>
      </w:r>
      <w:r w:rsidRPr="00D101B3">
        <w:rPr>
          <w:rFonts w:asciiTheme="majorHAnsi" w:hAnsiTheme="majorHAnsi"/>
          <w:sz w:val="20"/>
          <w:szCs w:val="20"/>
          <w:lang w:val="es-ES_tradnl"/>
        </w:rPr>
        <w:t>a</w:t>
      </w:r>
      <w:r w:rsidR="00DF3C24" w:rsidRPr="00D101B3">
        <w:rPr>
          <w:rFonts w:asciiTheme="majorHAnsi" w:hAnsiTheme="majorHAnsi"/>
          <w:sz w:val="20"/>
          <w:szCs w:val="20"/>
          <w:lang w:val="es-ES_tradnl"/>
        </w:rPr>
        <w:t xml:space="preserve">s a investigaciones </w:t>
      </w:r>
      <w:r w:rsidR="00504084" w:rsidRPr="00D101B3">
        <w:rPr>
          <w:rFonts w:asciiTheme="majorHAnsi" w:hAnsiTheme="majorHAnsi"/>
          <w:sz w:val="20"/>
          <w:szCs w:val="20"/>
          <w:lang w:val="es-ES_tradnl"/>
        </w:rPr>
        <w:t>en relación</w:t>
      </w:r>
      <w:r w:rsidR="00504084" w:rsidRPr="00D101B3">
        <w:rPr>
          <w:rFonts w:asciiTheme="majorHAnsi" w:hAnsiTheme="majorHAnsi"/>
          <w:sz w:val="20"/>
          <w:szCs w:val="20"/>
          <w:lang w:val="es-PA"/>
        </w:rPr>
        <w:t xml:space="preserve"> con el </w:t>
      </w:r>
      <w:r w:rsidR="00DF3C24" w:rsidRPr="00D101B3">
        <w:rPr>
          <w:rFonts w:asciiTheme="majorHAnsi" w:hAnsiTheme="majorHAnsi"/>
          <w:sz w:val="20"/>
          <w:szCs w:val="20"/>
          <w:lang w:val="es-ES_tradnl"/>
        </w:rPr>
        <w:t xml:space="preserve">secuestro y posterior muerte de un ciudadano chileno. Indica </w:t>
      </w:r>
      <w:r w:rsidRPr="00D101B3">
        <w:rPr>
          <w:rFonts w:asciiTheme="majorHAnsi" w:hAnsiTheme="majorHAnsi"/>
          <w:sz w:val="20"/>
          <w:szCs w:val="20"/>
          <w:lang w:val="es-ES_tradnl"/>
        </w:rPr>
        <w:t xml:space="preserve">la parte peticionaria </w:t>
      </w:r>
      <w:r w:rsidR="00DF3C24" w:rsidRPr="00D101B3">
        <w:rPr>
          <w:rFonts w:asciiTheme="majorHAnsi" w:hAnsiTheme="majorHAnsi"/>
          <w:sz w:val="20"/>
          <w:szCs w:val="20"/>
          <w:lang w:val="es-ES_tradnl"/>
        </w:rPr>
        <w:t>que se inició una investigación presumarial contra las presuntas víctimas el 7 de junio de 1993</w:t>
      </w:r>
      <w:r w:rsidRPr="00D101B3">
        <w:rPr>
          <w:rFonts w:asciiTheme="majorHAnsi" w:hAnsiTheme="majorHAnsi"/>
          <w:sz w:val="20"/>
          <w:szCs w:val="20"/>
          <w:lang w:val="es-ES_tradnl"/>
        </w:rPr>
        <w:t xml:space="preserve"> en Uruguay</w:t>
      </w:r>
      <w:r w:rsidR="00AC2323" w:rsidRPr="00D101B3">
        <w:rPr>
          <w:rFonts w:asciiTheme="majorHAnsi" w:hAnsiTheme="majorHAnsi"/>
          <w:sz w:val="20"/>
          <w:szCs w:val="20"/>
          <w:lang w:val="es-ES_tradnl"/>
        </w:rPr>
        <w:t>,</w:t>
      </w:r>
      <w:r w:rsidR="00DF3C24" w:rsidRPr="00D101B3">
        <w:rPr>
          <w:rFonts w:asciiTheme="majorHAnsi" w:hAnsiTheme="majorHAnsi"/>
          <w:sz w:val="20"/>
          <w:szCs w:val="20"/>
          <w:lang w:val="es-ES_tradnl"/>
        </w:rPr>
        <w:t xml:space="preserve"> que fue archivada el 13 de febrero de 2006 sin que se realizara imputación</w:t>
      </w:r>
      <w:r w:rsidRPr="00D101B3">
        <w:rPr>
          <w:rFonts w:asciiTheme="majorHAnsi" w:hAnsiTheme="majorHAnsi"/>
          <w:sz w:val="20"/>
          <w:szCs w:val="20"/>
          <w:lang w:val="es-ES_tradnl"/>
        </w:rPr>
        <w:t xml:space="preserve"> alguna</w:t>
      </w:r>
      <w:r w:rsidR="00DF3C24" w:rsidRPr="00D101B3">
        <w:rPr>
          <w:rFonts w:asciiTheme="majorHAnsi" w:hAnsiTheme="majorHAnsi"/>
          <w:sz w:val="20"/>
          <w:szCs w:val="20"/>
          <w:lang w:val="es-ES_tradnl"/>
        </w:rPr>
        <w:t xml:space="preserve">. </w:t>
      </w:r>
      <w:r w:rsidRPr="00D101B3">
        <w:rPr>
          <w:rFonts w:asciiTheme="majorHAnsi" w:hAnsiTheme="majorHAnsi"/>
          <w:sz w:val="20"/>
          <w:szCs w:val="20"/>
          <w:lang w:val="es-ES_tradnl"/>
        </w:rPr>
        <w:t>P</w:t>
      </w:r>
      <w:r w:rsidR="00DF3C24" w:rsidRPr="00D101B3">
        <w:rPr>
          <w:rFonts w:asciiTheme="majorHAnsi" w:hAnsiTheme="majorHAnsi"/>
          <w:sz w:val="20"/>
          <w:szCs w:val="20"/>
          <w:lang w:val="es-ES_tradnl"/>
        </w:rPr>
        <w:t>aralelamente, el 15 de junio de 1993 se inició en Chile una investigación por los mismos hechos</w:t>
      </w:r>
      <w:r w:rsidR="00AC2323" w:rsidRPr="00D101B3">
        <w:rPr>
          <w:rFonts w:asciiTheme="majorHAnsi" w:hAnsiTheme="majorHAnsi"/>
          <w:sz w:val="20"/>
          <w:szCs w:val="20"/>
          <w:lang w:val="es-ES_tradnl"/>
        </w:rPr>
        <w:t>,</w:t>
      </w:r>
      <w:r w:rsidR="00DF3C24" w:rsidRPr="00D101B3">
        <w:rPr>
          <w:rFonts w:asciiTheme="majorHAnsi" w:hAnsiTheme="majorHAnsi"/>
          <w:sz w:val="20"/>
          <w:szCs w:val="20"/>
          <w:lang w:val="es-ES_tradnl"/>
        </w:rPr>
        <w:t xml:space="preserve"> que </w:t>
      </w:r>
      <w:r w:rsidRPr="00D101B3">
        <w:rPr>
          <w:rFonts w:asciiTheme="majorHAnsi" w:hAnsiTheme="majorHAnsi"/>
          <w:sz w:val="20"/>
          <w:szCs w:val="20"/>
          <w:lang w:val="es-ES_tradnl"/>
        </w:rPr>
        <w:t xml:space="preserve">resultó en el auto de procesamiento contra las presuntas víctimas por asociación ilícita y secuestro dictado </w:t>
      </w:r>
      <w:r w:rsidR="00DF3C24" w:rsidRPr="00D101B3">
        <w:rPr>
          <w:rFonts w:asciiTheme="majorHAnsi" w:hAnsiTheme="majorHAnsi"/>
          <w:sz w:val="20"/>
          <w:szCs w:val="20"/>
          <w:lang w:val="es-ES_tradnl"/>
        </w:rPr>
        <w:t>el 29 de diciembre de 2003. Chile solicitó a Uruguay la extradición de las presuntas víctimas</w:t>
      </w:r>
      <w:r w:rsidR="00AC2323" w:rsidRPr="00D101B3">
        <w:rPr>
          <w:rFonts w:asciiTheme="majorHAnsi" w:hAnsiTheme="majorHAnsi"/>
          <w:sz w:val="20"/>
          <w:szCs w:val="20"/>
          <w:lang w:val="es-ES_tradnl"/>
        </w:rPr>
        <w:t>,</w:t>
      </w:r>
      <w:r w:rsidR="00DF3C24" w:rsidRPr="00D101B3">
        <w:rPr>
          <w:rFonts w:asciiTheme="majorHAnsi" w:hAnsiTheme="majorHAnsi"/>
          <w:sz w:val="20"/>
          <w:szCs w:val="20"/>
          <w:lang w:val="es-ES_tradnl"/>
        </w:rPr>
        <w:t xml:space="preserve"> específicamente por esos dos delitos</w:t>
      </w:r>
      <w:r w:rsidR="00AC2323" w:rsidRPr="00D101B3">
        <w:rPr>
          <w:rFonts w:asciiTheme="majorHAnsi" w:hAnsiTheme="majorHAnsi"/>
          <w:sz w:val="20"/>
          <w:szCs w:val="20"/>
          <w:lang w:val="es-ES_tradnl"/>
        </w:rPr>
        <w:t>,</w:t>
      </w:r>
      <w:r w:rsidR="00DF3C24" w:rsidRPr="00D101B3">
        <w:rPr>
          <w:rFonts w:asciiTheme="majorHAnsi" w:hAnsiTheme="majorHAnsi"/>
          <w:sz w:val="20"/>
          <w:szCs w:val="20"/>
          <w:lang w:val="es-ES_tradnl"/>
        </w:rPr>
        <w:t xml:space="preserve"> </w:t>
      </w:r>
      <w:r w:rsidRPr="00D101B3">
        <w:rPr>
          <w:rFonts w:asciiTheme="majorHAnsi" w:hAnsiTheme="majorHAnsi"/>
          <w:sz w:val="20"/>
          <w:szCs w:val="20"/>
          <w:lang w:val="es-ES_tradnl"/>
        </w:rPr>
        <w:t xml:space="preserve">lo que fue concedido por </w:t>
      </w:r>
      <w:r w:rsidR="00DF3C24" w:rsidRPr="00D101B3">
        <w:rPr>
          <w:rFonts w:asciiTheme="majorHAnsi" w:hAnsiTheme="majorHAnsi"/>
          <w:sz w:val="20"/>
          <w:szCs w:val="20"/>
          <w:lang w:val="es-ES_tradnl"/>
        </w:rPr>
        <w:t xml:space="preserve">la justicia </w:t>
      </w:r>
      <w:r w:rsidRPr="00D101B3">
        <w:rPr>
          <w:rFonts w:asciiTheme="majorHAnsi" w:hAnsiTheme="majorHAnsi"/>
          <w:sz w:val="20"/>
          <w:szCs w:val="20"/>
          <w:lang w:val="es-ES_tradnl"/>
        </w:rPr>
        <w:t>u</w:t>
      </w:r>
      <w:r w:rsidR="00DF3C24" w:rsidRPr="00D101B3">
        <w:rPr>
          <w:rFonts w:asciiTheme="majorHAnsi" w:hAnsiTheme="majorHAnsi"/>
          <w:sz w:val="20"/>
          <w:szCs w:val="20"/>
          <w:lang w:val="es-ES_tradnl"/>
        </w:rPr>
        <w:t xml:space="preserve">ruguaya en tres instancias, </w:t>
      </w:r>
      <w:r w:rsidRPr="00D101B3">
        <w:rPr>
          <w:rFonts w:asciiTheme="majorHAnsi" w:hAnsiTheme="majorHAnsi"/>
          <w:sz w:val="20"/>
          <w:szCs w:val="20"/>
          <w:lang w:val="es-ES_tradnl"/>
        </w:rPr>
        <w:t xml:space="preserve">con </w:t>
      </w:r>
      <w:r w:rsidR="00DF3C24" w:rsidRPr="00D101B3">
        <w:rPr>
          <w:rFonts w:asciiTheme="majorHAnsi" w:hAnsiTheme="majorHAnsi"/>
          <w:sz w:val="20"/>
          <w:szCs w:val="20"/>
          <w:lang w:val="es-ES_tradnl"/>
        </w:rPr>
        <w:t xml:space="preserve">decisión última y definitiva </w:t>
      </w:r>
      <w:r w:rsidRPr="00D101B3">
        <w:rPr>
          <w:rFonts w:asciiTheme="majorHAnsi" w:hAnsiTheme="majorHAnsi"/>
          <w:sz w:val="20"/>
          <w:szCs w:val="20"/>
          <w:lang w:val="es-ES_tradnl"/>
        </w:rPr>
        <w:t>de</w:t>
      </w:r>
      <w:r w:rsidR="00DF3C24" w:rsidRPr="00D101B3">
        <w:rPr>
          <w:rFonts w:asciiTheme="majorHAnsi" w:hAnsiTheme="majorHAnsi"/>
          <w:sz w:val="20"/>
          <w:szCs w:val="20"/>
          <w:lang w:val="es-ES_tradnl"/>
        </w:rPr>
        <w:t xml:space="preserve"> la Corte Suprema de Justicia </w:t>
      </w:r>
      <w:r w:rsidRPr="00D101B3">
        <w:rPr>
          <w:rFonts w:asciiTheme="majorHAnsi" w:hAnsiTheme="majorHAnsi"/>
          <w:sz w:val="20"/>
          <w:szCs w:val="20"/>
          <w:lang w:val="es-ES_tradnl"/>
        </w:rPr>
        <w:t>d</w:t>
      </w:r>
      <w:r w:rsidR="00DF3C24" w:rsidRPr="00D101B3">
        <w:rPr>
          <w:rFonts w:asciiTheme="majorHAnsi" w:hAnsiTheme="majorHAnsi"/>
          <w:sz w:val="20"/>
          <w:szCs w:val="20"/>
          <w:lang w:val="es-ES_tradnl"/>
        </w:rPr>
        <w:t>e 22 de marzo de 2006. Agrega que en base a esta última decisión las presuntas víctimas fueron efectivamente extraditad</w:t>
      </w:r>
      <w:r w:rsidRPr="00D101B3">
        <w:rPr>
          <w:rFonts w:asciiTheme="majorHAnsi" w:hAnsiTheme="majorHAnsi"/>
          <w:sz w:val="20"/>
          <w:szCs w:val="20"/>
          <w:lang w:val="es-ES_tradnl"/>
        </w:rPr>
        <w:t>a</w:t>
      </w:r>
      <w:r w:rsidR="00DF3C24" w:rsidRPr="00D101B3">
        <w:rPr>
          <w:rFonts w:asciiTheme="majorHAnsi" w:hAnsiTheme="majorHAnsi"/>
          <w:sz w:val="20"/>
          <w:szCs w:val="20"/>
          <w:lang w:val="es-ES_tradnl"/>
        </w:rPr>
        <w:t xml:space="preserve">s a Chile el 18 de abril de 2006. </w:t>
      </w:r>
    </w:p>
    <w:p w14:paraId="2AADCB75" w14:textId="389119D6" w:rsidR="00AC2323" w:rsidRPr="00D101B3" w:rsidRDefault="00013313"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bookmarkStart w:id="2" w:name="_Hlk90547018"/>
      <w:bookmarkEnd w:id="1"/>
      <w:r w:rsidRPr="00D101B3">
        <w:rPr>
          <w:rFonts w:asciiTheme="majorHAnsi" w:hAnsiTheme="majorHAnsi"/>
          <w:sz w:val="20"/>
          <w:szCs w:val="20"/>
          <w:lang w:val="es-UY"/>
        </w:rPr>
        <w:t>Al</w:t>
      </w:r>
      <w:r w:rsidR="00DF3C24" w:rsidRPr="00D101B3">
        <w:rPr>
          <w:rFonts w:asciiTheme="majorHAnsi" w:hAnsiTheme="majorHAnsi"/>
          <w:sz w:val="20"/>
          <w:szCs w:val="20"/>
          <w:lang w:val="es-ES_tradnl"/>
        </w:rPr>
        <w:t xml:space="preserve"> llegar a Chile</w:t>
      </w:r>
      <w:r w:rsidR="00AC2323" w:rsidRPr="00D101B3">
        <w:rPr>
          <w:rFonts w:asciiTheme="majorHAnsi" w:hAnsiTheme="majorHAnsi"/>
          <w:sz w:val="20"/>
          <w:szCs w:val="20"/>
          <w:lang w:val="es-ES_tradnl"/>
        </w:rPr>
        <w:t xml:space="preserve">, </w:t>
      </w:r>
      <w:r w:rsidR="00DF3C24" w:rsidRPr="00D101B3">
        <w:rPr>
          <w:rFonts w:asciiTheme="majorHAnsi" w:hAnsiTheme="majorHAnsi"/>
          <w:sz w:val="20"/>
          <w:szCs w:val="20"/>
          <w:lang w:val="es-ES_tradnl"/>
        </w:rPr>
        <w:t xml:space="preserve">las presuntas víctimas fueron </w:t>
      </w:r>
      <w:r w:rsidRPr="00D101B3">
        <w:rPr>
          <w:rFonts w:asciiTheme="majorHAnsi" w:hAnsiTheme="majorHAnsi"/>
          <w:sz w:val="20"/>
          <w:szCs w:val="20"/>
          <w:lang w:val="es-ES_tradnl"/>
        </w:rPr>
        <w:t>procesadas</w:t>
      </w:r>
      <w:r w:rsidR="00DF3C24" w:rsidRPr="00D101B3">
        <w:rPr>
          <w:rFonts w:asciiTheme="majorHAnsi" w:hAnsiTheme="majorHAnsi"/>
          <w:sz w:val="20"/>
          <w:szCs w:val="20"/>
          <w:lang w:val="es-ES_tradnl"/>
        </w:rPr>
        <w:t xml:space="preserve"> bajo las normas del Código de Procedimiento Penal de 1907, conocido en Chile como el “</w:t>
      </w:r>
      <w:r w:rsidRPr="00D101B3">
        <w:rPr>
          <w:rFonts w:asciiTheme="majorHAnsi" w:hAnsiTheme="majorHAnsi"/>
          <w:sz w:val="20"/>
          <w:szCs w:val="20"/>
          <w:lang w:val="es-ES_tradnl"/>
        </w:rPr>
        <w:t>c</w:t>
      </w:r>
      <w:r w:rsidR="00DF3C24" w:rsidRPr="00D101B3">
        <w:rPr>
          <w:rFonts w:asciiTheme="majorHAnsi" w:hAnsiTheme="majorHAnsi"/>
          <w:sz w:val="20"/>
          <w:szCs w:val="20"/>
          <w:lang w:val="es-ES_tradnl"/>
        </w:rPr>
        <w:t xml:space="preserve">ódigo </w:t>
      </w:r>
      <w:r w:rsidRPr="00D101B3">
        <w:rPr>
          <w:rFonts w:asciiTheme="majorHAnsi" w:hAnsiTheme="majorHAnsi"/>
          <w:sz w:val="20"/>
          <w:szCs w:val="20"/>
          <w:lang w:val="es-ES_tradnl"/>
        </w:rPr>
        <w:t>a</w:t>
      </w:r>
      <w:r w:rsidR="00DF3C24" w:rsidRPr="00D101B3">
        <w:rPr>
          <w:rFonts w:asciiTheme="majorHAnsi" w:hAnsiTheme="majorHAnsi"/>
          <w:sz w:val="20"/>
          <w:szCs w:val="20"/>
          <w:lang w:val="es-ES_tradnl"/>
        </w:rPr>
        <w:t xml:space="preserve">ntiguo”. </w:t>
      </w:r>
      <w:r w:rsidRPr="00D101B3">
        <w:rPr>
          <w:rFonts w:asciiTheme="majorHAnsi" w:hAnsiTheme="majorHAnsi"/>
          <w:sz w:val="20"/>
          <w:szCs w:val="20"/>
          <w:lang w:val="es-ES_tradnl"/>
        </w:rPr>
        <w:t xml:space="preserve">Aunque </w:t>
      </w:r>
      <w:r w:rsidR="00DF3C24" w:rsidRPr="00D101B3">
        <w:rPr>
          <w:rFonts w:asciiTheme="majorHAnsi" w:hAnsiTheme="majorHAnsi"/>
          <w:sz w:val="20"/>
          <w:szCs w:val="20"/>
          <w:lang w:val="es-ES_tradnl"/>
        </w:rPr>
        <w:t>se había aprobado un nuevo Código Procesal Penal el 12 de octubre de 2000</w:t>
      </w:r>
      <w:r w:rsidRPr="00D101B3">
        <w:rPr>
          <w:rFonts w:asciiTheme="majorHAnsi" w:hAnsiTheme="majorHAnsi"/>
          <w:sz w:val="20"/>
          <w:szCs w:val="20"/>
          <w:lang w:val="es-ES_tradnl"/>
        </w:rPr>
        <w:t xml:space="preserve"> en Chile</w:t>
      </w:r>
      <w:r w:rsidR="00AC2323" w:rsidRPr="00D101B3">
        <w:rPr>
          <w:rFonts w:asciiTheme="majorHAnsi" w:hAnsiTheme="majorHAnsi"/>
          <w:sz w:val="20"/>
          <w:szCs w:val="20"/>
          <w:lang w:val="es-ES_tradnl"/>
        </w:rPr>
        <w:t>,</w:t>
      </w:r>
      <w:r w:rsidR="00DF3C24" w:rsidRPr="00D101B3">
        <w:rPr>
          <w:rFonts w:asciiTheme="majorHAnsi" w:hAnsiTheme="majorHAnsi"/>
          <w:sz w:val="20"/>
          <w:szCs w:val="20"/>
          <w:lang w:val="es-ES_tradnl"/>
        </w:rPr>
        <w:t xml:space="preserve"> no fue aplicado a las presuntas víctimas </w:t>
      </w:r>
      <w:r w:rsidRPr="00D101B3">
        <w:rPr>
          <w:rFonts w:asciiTheme="majorHAnsi" w:hAnsiTheme="majorHAnsi"/>
          <w:sz w:val="20"/>
          <w:szCs w:val="20"/>
          <w:lang w:val="es-ES_tradnl"/>
        </w:rPr>
        <w:t>y</w:t>
      </w:r>
      <w:r w:rsidR="00DF3C24" w:rsidRPr="00D101B3">
        <w:rPr>
          <w:rFonts w:asciiTheme="majorHAnsi" w:hAnsiTheme="majorHAnsi"/>
          <w:sz w:val="20"/>
          <w:szCs w:val="20"/>
          <w:lang w:val="es-ES_tradnl"/>
        </w:rPr>
        <w:t xml:space="preserve">a que el </w:t>
      </w:r>
      <w:r w:rsidRPr="00D101B3">
        <w:rPr>
          <w:rFonts w:asciiTheme="majorHAnsi" w:hAnsiTheme="majorHAnsi"/>
          <w:sz w:val="20"/>
          <w:szCs w:val="20"/>
          <w:lang w:val="es-ES_tradnl"/>
        </w:rPr>
        <w:t>c</w:t>
      </w:r>
      <w:r w:rsidR="00DF3C24" w:rsidRPr="00D101B3">
        <w:rPr>
          <w:rFonts w:asciiTheme="majorHAnsi" w:hAnsiTheme="majorHAnsi"/>
          <w:sz w:val="20"/>
          <w:szCs w:val="20"/>
          <w:lang w:val="es-ES_tradnl"/>
        </w:rPr>
        <w:t xml:space="preserve">ódigo </w:t>
      </w:r>
      <w:r w:rsidRPr="00D101B3">
        <w:rPr>
          <w:rFonts w:asciiTheme="majorHAnsi" w:hAnsiTheme="majorHAnsi"/>
          <w:sz w:val="20"/>
          <w:szCs w:val="20"/>
          <w:lang w:val="es-ES_tradnl"/>
        </w:rPr>
        <w:t>a</w:t>
      </w:r>
      <w:r w:rsidR="00DF3C24" w:rsidRPr="00D101B3">
        <w:rPr>
          <w:rFonts w:asciiTheme="majorHAnsi" w:hAnsiTheme="majorHAnsi"/>
          <w:sz w:val="20"/>
          <w:szCs w:val="20"/>
          <w:lang w:val="es-ES_tradnl"/>
        </w:rPr>
        <w:t xml:space="preserve">ntiguo era el que regía en la fecha en que ocurrió el supuesto delito. </w:t>
      </w:r>
      <w:r w:rsidRPr="00D101B3">
        <w:rPr>
          <w:rFonts w:asciiTheme="majorHAnsi" w:hAnsiTheme="majorHAnsi"/>
          <w:sz w:val="20"/>
          <w:szCs w:val="20"/>
          <w:lang w:val="es-ES_tradnl"/>
        </w:rPr>
        <w:t>La parte peticionaria r</w:t>
      </w:r>
      <w:r w:rsidR="00DF3C24" w:rsidRPr="00D101B3">
        <w:rPr>
          <w:rFonts w:asciiTheme="majorHAnsi" w:hAnsiTheme="majorHAnsi"/>
          <w:sz w:val="20"/>
          <w:szCs w:val="20"/>
          <w:lang w:val="es-ES_tradnl"/>
        </w:rPr>
        <w:t xml:space="preserve">esalta que en el mensaje de aprobación del Código de 12 de octubre de 2000 se expresó que este debía reemplazar al </w:t>
      </w:r>
      <w:r w:rsidRPr="00D101B3">
        <w:rPr>
          <w:rFonts w:asciiTheme="majorHAnsi" w:hAnsiTheme="majorHAnsi"/>
          <w:sz w:val="20"/>
          <w:szCs w:val="20"/>
          <w:lang w:val="es-ES_tradnl"/>
        </w:rPr>
        <w:t>c</w:t>
      </w:r>
      <w:r w:rsidR="00DF3C24" w:rsidRPr="00D101B3">
        <w:rPr>
          <w:rFonts w:asciiTheme="majorHAnsi" w:hAnsiTheme="majorHAnsi"/>
          <w:sz w:val="20"/>
          <w:szCs w:val="20"/>
          <w:lang w:val="es-ES_tradnl"/>
        </w:rPr>
        <w:t xml:space="preserve">ódigo </w:t>
      </w:r>
      <w:r w:rsidRPr="00D101B3">
        <w:rPr>
          <w:rFonts w:asciiTheme="majorHAnsi" w:hAnsiTheme="majorHAnsi"/>
          <w:sz w:val="20"/>
          <w:szCs w:val="20"/>
          <w:lang w:val="es-ES_tradnl"/>
        </w:rPr>
        <w:t>a</w:t>
      </w:r>
      <w:r w:rsidR="00DF3C24" w:rsidRPr="00D101B3">
        <w:rPr>
          <w:rFonts w:asciiTheme="majorHAnsi" w:hAnsiTheme="majorHAnsi"/>
          <w:sz w:val="20"/>
          <w:szCs w:val="20"/>
          <w:lang w:val="es-ES_tradnl"/>
        </w:rPr>
        <w:t>ntiguo porque “el proceso penal en Chile posee una estructura inquisitiva, absolutista y secreta, que despersonaliza al inculpado y que no se corresponde con la noción de ciudadanía propia de un Estado democrático</w:t>
      </w:r>
      <w:r w:rsidRPr="00D101B3">
        <w:rPr>
          <w:rFonts w:asciiTheme="majorHAnsi" w:hAnsiTheme="majorHAnsi"/>
          <w:sz w:val="20"/>
          <w:szCs w:val="20"/>
          <w:lang w:val="es-ES_tradnl"/>
        </w:rPr>
        <w:t>”</w:t>
      </w:r>
      <w:r w:rsidR="00DF3C24" w:rsidRPr="00D101B3">
        <w:rPr>
          <w:rFonts w:asciiTheme="majorHAnsi" w:hAnsiTheme="majorHAnsi"/>
          <w:sz w:val="20"/>
          <w:szCs w:val="20"/>
          <w:lang w:val="es-ES_tradnl"/>
        </w:rPr>
        <w:t xml:space="preserve"> </w:t>
      </w:r>
      <w:r w:rsidRPr="00D101B3">
        <w:rPr>
          <w:rFonts w:asciiTheme="majorHAnsi" w:hAnsiTheme="majorHAnsi"/>
          <w:sz w:val="20"/>
          <w:szCs w:val="20"/>
          <w:lang w:val="es-ES_tradnl"/>
        </w:rPr>
        <w:t>y porque “l</w:t>
      </w:r>
      <w:r w:rsidR="00DF3C24" w:rsidRPr="00D101B3">
        <w:rPr>
          <w:rFonts w:asciiTheme="majorHAnsi" w:hAnsiTheme="majorHAnsi"/>
          <w:sz w:val="20"/>
          <w:szCs w:val="20"/>
          <w:lang w:val="es-ES_tradnl"/>
        </w:rPr>
        <w:t xml:space="preserve">a consolidación de la democracia exige la reforma al proceso penal de modo que satisfaga las exigencias de un juicio público y contradictorio”. Considera violatorio de los derechos de las presuntas víctimas que a estos se les </w:t>
      </w:r>
      <w:r w:rsidRPr="00D101B3">
        <w:rPr>
          <w:rFonts w:asciiTheme="majorHAnsi" w:hAnsiTheme="majorHAnsi"/>
          <w:sz w:val="20"/>
          <w:szCs w:val="20"/>
          <w:lang w:val="es-ES_tradnl"/>
        </w:rPr>
        <w:t xml:space="preserve">hubiera </w:t>
      </w:r>
      <w:r w:rsidR="00DF3C24" w:rsidRPr="00D101B3">
        <w:rPr>
          <w:rFonts w:asciiTheme="majorHAnsi" w:hAnsiTheme="majorHAnsi"/>
          <w:sz w:val="20"/>
          <w:szCs w:val="20"/>
          <w:lang w:val="es-ES_tradnl"/>
        </w:rPr>
        <w:t xml:space="preserve">procesado bajo un código que fue derogado precisamente por ser incompatible con las garantías del debido proceso. </w:t>
      </w:r>
    </w:p>
    <w:bookmarkEnd w:id="2"/>
    <w:p w14:paraId="1B3C8EB8" w14:textId="4616179B" w:rsidR="00DF3C24" w:rsidRPr="00D101B3" w:rsidRDefault="00DF3C24"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ES_tradnl"/>
        </w:rPr>
        <w:t xml:space="preserve">Señala que el proceso seguido bajo el </w:t>
      </w:r>
      <w:r w:rsidR="00013313" w:rsidRPr="00D101B3">
        <w:rPr>
          <w:rFonts w:asciiTheme="majorHAnsi" w:hAnsiTheme="majorHAnsi"/>
          <w:sz w:val="20"/>
          <w:szCs w:val="20"/>
          <w:lang w:val="es-ES_tradnl"/>
        </w:rPr>
        <w:t>c</w:t>
      </w:r>
      <w:r w:rsidRPr="00D101B3">
        <w:rPr>
          <w:rFonts w:asciiTheme="majorHAnsi" w:hAnsiTheme="majorHAnsi"/>
          <w:sz w:val="20"/>
          <w:szCs w:val="20"/>
          <w:lang w:val="es-ES_tradnl"/>
        </w:rPr>
        <w:t xml:space="preserve">ódigo </w:t>
      </w:r>
      <w:r w:rsidR="00013313" w:rsidRPr="00D101B3">
        <w:rPr>
          <w:rFonts w:asciiTheme="majorHAnsi" w:hAnsiTheme="majorHAnsi"/>
          <w:sz w:val="20"/>
          <w:szCs w:val="20"/>
          <w:lang w:val="es-ES_tradnl"/>
        </w:rPr>
        <w:t>a</w:t>
      </w:r>
      <w:r w:rsidRPr="00D101B3">
        <w:rPr>
          <w:rFonts w:asciiTheme="majorHAnsi" w:hAnsiTheme="majorHAnsi"/>
          <w:sz w:val="20"/>
          <w:szCs w:val="20"/>
          <w:lang w:val="es-ES_tradnl"/>
        </w:rPr>
        <w:t xml:space="preserve">ntiguo </w:t>
      </w:r>
      <w:r w:rsidR="00013313" w:rsidRPr="00D101B3">
        <w:rPr>
          <w:rFonts w:asciiTheme="majorHAnsi" w:hAnsiTheme="majorHAnsi"/>
          <w:sz w:val="20"/>
          <w:szCs w:val="20"/>
          <w:lang w:val="es-ES_tradnl"/>
        </w:rPr>
        <w:t>resultó en</w:t>
      </w:r>
      <w:r w:rsidRPr="00D101B3">
        <w:rPr>
          <w:rFonts w:asciiTheme="majorHAnsi" w:hAnsiTheme="majorHAnsi"/>
          <w:sz w:val="20"/>
          <w:szCs w:val="20"/>
          <w:lang w:val="es-ES_tradnl"/>
        </w:rPr>
        <w:t xml:space="preserve"> que las presuntas víctimas fueran condenad</w:t>
      </w:r>
      <w:r w:rsidR="003C3FDF" w:rsidRPr="00D101B3">
        <w:rPr>
          <w:rFonts w:asciiTheme="majorHAnsi" w:hAnsiTheme="majorHAnsi"/>
          <w:sz w:val="20"/>
          <w:szCs w:val="20"/>
          <w:lang w:val="es-ES_tradnl"/>
        </w:rPr>
        <w:t>a</w:t>
      </w:r>
      <w:r w:rsidRPr="00D101B3">
        <w:rPr>
          <w:rFonts w:asciiTheme="majorHAnsi" w:hAnsiTheme="majorHAnsi"/>
          <w:sz w:val="20"/>
          <w:szCs w:val="20"/>
          <w:lang w:val="es-ES_tradnl"/>
        </w:rPr>
        <w:t>s en primera instancia el 10 de septiembre de 2010</w:t>
      </w:r>
      <w:r w:rsidR="00AC2323" w:rsidRPr="00D101B3">
        <w:rPr>
          <w:rFonts w:asciiTheme="majorHAnsi" w:hAnsiTheme="majorHAnsi"/>
          <w:sz w:val="20"/>
          <w:szCs w:val="20"/>
          <w:lang w:val="es-ES_tradnl"/>
        </w:rPr>
        <w:t>,</w:t>
      </w:r>
      <w:r w:rsidRPr="00D101B3">
        <w:rPr>
          <w:rFonts w:asciiTheme="majorHAnsi" w:hAnsiTheme="majorHAnsi"/>
          <w:sz w:val="20"/>
          <w:szCs w:val="20"/>
          <w:lang w:val="es-ES_tradnl"/>
        </w:rPr>
        <w:t xml:space="preserve"> </w:t>
      </w:r>
      <w:r w:rsidR="00013313" w:rsidRPr="00D101B3">
        <w:rPr>
          <w:rFonts w:asciiTheme="majorHAnsi" w:hAnsiTheme="majorHAnsi"/>
          <w:sz w:val="20"/>
          <w:szCs w:val="20"/>
          <w:lang w:val="es-ES_tradnl"/>
        </w:rPr>
        <w:t xml:space="preserve">y que se les impusieran </w:t>
      </w:r>
      <w:r w:rsidRPr="00D101B3">
        <w:rPr>
          <w:rFonts w:asciiTheme="majorHAnsi" w:hAnsiTheme="majorHAnsi"/>
          <w:sz w:val="20"/>
          <w:szCs w:val="20"/>
          <w:lang w:val="es-ES_tradnl"/>
        </w:rPr>
        <w:t>penas de entre 3 y 5 años por de secuestro</w:t>
      </w:r>
      <w:r w:rsidR="00013313" w:rsidRPr="00D101B3">
        <w:rPr>
          <w:rFonts w:asciiTheme="majorHAnsi" w:hAnsiTheme="majorHAnsi"/>
          <w:sz w:val="20"/>
          <w:szCs w:val="20"/>
          <w:lang w:val="es-ES_tradnl"/>
        </w:rPr>
        <w:t>;</w:t>
      </w:r>
      <w:r w:rsidRPr="00D101B3">
        <w:rPr>
          <w:rFonts w:asciiTheme="majorHAnsi" w:hAnsiTheme="majorHAnsi"/>
          <w:sz w:val="20"/>
          <w:szCs w:val="20"/>
          <w:lang w:val="es-ES_tradnl"/>
        </w:rPr>
        <w:t xml:space="preserve"> y de entre 60 días y 3 años por asociación ilícita. Destaca que</w:t>
      </w:r>
      <w:r w:rsidR="003C3FDF" w:rsidRPr="00D101B3">
        <w:rPr>
          <w:rFonts w:asciiTheme="majorHAnsi" w:hAnsiTheme="majorHAnsi"/>
          <w:sz w:val="20"/>
          <w:szCs w:val="20"/>
          <w:lang w:val="es-ES_tradnl"/>
        </w:rPr>
        <w:t>,</w:t>
      </w:r>
      <w:r w:rsidRPr="00D101B3">
        <w:rPr>
          <w:rFonts w:asciiTheme="majorHAnsi" w:hAnsiTheme="majorHAnsi"/>
          <w:sz w:val="20"/>
          <w:szCs w:val="20"/>
          <w:lang w:val="es-ES_tradnl"/>
        </w:rPr>
        <w:t xml:space="preserve"> al determinar las penas de las presuntas víctimas</w:t>
      </w:r>
      <w:r w:rsidR="003C3FDF" w:rsidRPr="00D101B3">
        <w:rPr>
          <w:rFonts w:asciiTheme="majorHAnsi" w:hAnsiTheme="majorHAnsi"/>
          <w:sz w:val="20"/>
          <w:szCs w:val="20"/>
          <w:lang w:val="es-ES_tradnl"/>
        </w:rPr>
        <w:t>,</w:t>
      </w:r>
      <w:r w:rsidRPr="00D101B3">
        <w:rPr>
          <w:rFonts w:asciiTheme="majorHAnsi" w:hAnsiTheme="majorHAnsi"/>
          <w:sz w:val="20"/>
          <w:szCs w:val="20"/>
          <w:lang w:val="es-ES_tradnl"/>
        </w:rPr>
        <w:t xml:space="preserve"> el juez aplicó la atenuante conocida como “media prescripción”, </w:t>
      </w:r>
      <w:r w:rsidR="00013313" w:rsidRPr="00D101B3">
        <w:rPr>
          <w:rFonts w:asciiTheme="majorHAnsi" w:hAnsiTheme="majorHAnsi"/>
          <w:sz w:val="20"/>
          <w:szCs w:val="20"/>
          <w:lang w:val="es-ES_tradnl"/>
        </w:rPr>
        <w:t>que</w:t>
      </w:r>
      <w:r w:rsidRPr="00D101B3">
        <w:rPr>
          <w:rFonts w:asciiTheme="majorHAnsi" w:hAnsiTheme="majorHAnsi"/>
          <w:sz w:val="20"/>
          <w:szCs w:val="20"/>
          <w:lang w:val="es-ES_tradnl"/>
        </w:rPr>
        <w:t xml:space="preserve"> permitía reducir las condenas </w:t>
      </w:r>
      <w:r w:rsidR="00013313" w:rsidRPr="00D101B3">
        <w:rPr>
          <w:rFonts w:asciiTheme="majorHAnsi" w:hAnsiTheme="majorHAnsi"/>
          <w:sz w:val="20"/>
          <w:szCs w:val="20"/>
          <w:lang w:val="es-ES_tradnl"/>
        </w:rPr>
        <w:t xml:space="preserve">con </w:t>
      </w:r>
      <w:r w:rsidRPr="00D101B3">
        <w:rPr>
          <w:rFonts w:asciiTheme="majorHAnsi" w:hAnsiTheme="majorHAnsi"/>
          <w:sz w:val="20"/>
          <w:szCs w:val="20"/>
          <w:lang w:val="es-ES_tradnl"/>
        </w:rPr>
        <w:t>base a</w:t>
      </w:r>
      <w:r w:rsidR="00013313" w:rsidRPr="00D101B3">
        <w:rPr>
          <w:rFonts w:asciiTheme="majorHAnsi" w:hAnsiTheme="majorHAnsi"/>
          <w:sz w:val="20"/>
          <w:szCs w:val="20"/>
          <w:lang w:val="es-ES_tradnl"/>
        </w:rPr>
        <w:t>l hecho de</w:t>
      </w:r>
      <w:r w:rsidRPr="00D101B3">
        <w:rPr>
          <w:rFonts w:asciiTheme="majorHAnsi" w:hAnsiTheme="majorHAnsi"/>
          <w:sz w:val="20"/>
          <w:szCs w:val="20"/>
          <w:lang w:val="es-ES_tradnl"/>
        </w:rPr>
        <w:t xml:space="preserve"> que había transcurrido más de la mitad del tiempo requerido para la prescripción de los delitos por los cuales fueron condenados. </w:t>
      </w:r>
    </w:p>
    <w:p w14:paraId="3C1DCC3F" w14:textId="22E02185" w:rsidR="0027441C" w:rsidRPr="00D101B3" w:rsidRDefault="0027441C"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ES_tradnl"/>
        </w:rPr>
        <w:t xml:space="preserve">Entre las deficiencias del </w:t>
      </w:r>
      <w:r w:rsidR="00013313" w:rsidRPr="00D101B3">
        <w:rPr>
          <w:rFonts w:asciiTheme="majorHAnsi" w:hAnsiTheme="majorHAnsi"/>
          <w:sz w:val="20"/>
          <w:szCs w:val="20"/>
          <w:lang w:val="es-ES_tradnl"/>
        </w:rPr>
        <w:t>c</w:t>
      </w:r>
      <w:r w:rsidRPr="00D101B3">
        <w:rPr>
          <w:rFonts w:asciiTheme="majorHAnsi" w:hAnsiTheme="majorHAnsi"/>
          <w:sz w:val="20"/>
          <w:szCs w:val="20"/>
          <w:lang w:val="es-ES_tradnl"/>
        </w:rPr>
        <w:t xml:space="preserve">ódigo </w:t>
      </w:r>
      <w:r w:rsidR="00013313" w:rsidRPr="00D101B3">
        <w:rPr>
          <w:rFonts w:asciiTheme="majorHAnsi" w:hAnsiTheme="majorHAnsi"/>
          <w:sz w:val="20"/>
          <w:szCs w:val="20"/>
          <w:lang w:val="es-ES_tradnl"/>
        </w:rPr>
        <w:t>a</w:t>
      </w:r>
      <w:r w:rsidRPr="00D101B3">
        <w:rPr>
          <w:rFonts w:asciiTheme="majorHAnsi" w:hAnsiTheme="majorHAnsi"/>
          <w:sz w:val="20"/>
          <w:szCs w:val="20"/>
          <w:lang w:val="es-ES_tradnl"/>
        </w:rPr>
        <w:t xml:space="preserve">ntiguo que incidieron negativamente sobre los derechos de las presuntas víctimas, la parte peticionaria destaca que preveía un sistema secreto de sumario bajo el cual, aunque las presuntas víctimas fueron notificadas de un proceso en su contra tan pronto llegaron a Chile, no tuvieron acceso al expediente de la investigación sumarial sino hasta 4 meses después. Alega que esto impidió a las presuntas víctimas apelar el auto de procesamiento, toda vez que hubiese sido temerario intentar un recurso “a ciegas”. También alega que autoridades chilenas en Uruguay interrogaron a las presuntas víctimas y que, luego de la extradición, el juez sumariante las interrogó en tres ocasiones en Chile; viéndose forzadas en todas esas ocasiones a rendir sus declaraciones sin tener conocimiento ni acceso a la investigación sumarial chilena. Añade que cuando rindieron declaraciones en Chile no se les permitió a las presuntas víctimas la presencia física de una persona letrada que les asistiera. </w:t>
      </w:r>
    </w:p>
    <w:p w14:paraId="68E88AB2" w14:textId="6BC13A5A" w:rsidR="00A77400" w:rsidRPr="00D101B3" w:rsidRDefault="00013313"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101B3">
        <w:rPr>
          <w:rFonts w:asciiTheme="majorHAnsi" w:hAnsiTheme="majorHAnsi"/>
          <w:sz w:val="20"/>
          <w:szCs w:val="20"/>
          <w:lang w:val="es-ES_tradnl"/>
        </w:rPr>
        <w:t xml:space="preserve">La parte peticionaria </w:t>
      </w:r>
      <w:r w:rsidR="0027441C" w:rsidRPr="00D101B3">
        <w:rPr>
          <w:rFonts w:asciiTheme="majorHAnsi" w:hAnsiTheme="majorHAnsi"/>
          <w:sz w:val="20"/>
          <w:szCs w:val="20"/>
          <w:lang w:val="es-ES_tradnl"/>
        </w:rPr>
        <w:t xml:space="preserve">denuncia </w:t>
      </w:r>
      <w:r w:rsidRPr="00D101B3">
        <w:rPr>
          <w:rFonts w:asciiTheme="majorHAnsi" w:hAnsiTheme="majorHAnsi"/>
          <w:sz w:val="20"/>
          <w:szCs w:val="20"/>
          <w:lang w:val="es-ES_tradnl"/>
        </w:rPr>
        <w:t xml:space="preserve">igualmente </w:t>
      </w:r>
      <w:r w:rsidR="0027441C" w:rsidRPr="00D101B3">
        <w:rPr>
          <w:rFonts w:asciiTheme="majorHAnsi" w:hAnsiTheme="majorHAnsi"/>
          <w:sz w:val="20"/>
          <w:szCs w:val="20"/>
          <w:lang w:val="es-ES_tradnl"/>
        </w:rPr>
        <w:t xml:space="preserve">que el </w:t>
      </w:r>
      <w:r w:rsidRPr="00D101B3">
        <w:rPr>
          <w:rFonts w:asciiTheme="majorHAnsi" w:hAnsiTheme="majorHAnsi"/>
          <w:sz w:val="20"/>
          <w:szCs w:val="20"/>
          <w:lang w:val="es-ES_tradnl"/>
        </w:rPr>
        <w:t>c</w:t>
      </w:r>
      <w:r w:rsidR="0027441C" w:rsidRPr="00D101B3">
        <w:rPr>
          <w:rFonts w:asciiTheme="majorHAnsi" w:hAnsiTheme="majorHAnsi"/>
          <w:sz w:val="20"/>
          <w:szCs w:val="20"/>
          <w:lang w:val="es-ES_tradnl"/>
        </w:rPr>
        <w:t xml:space="preserve">ódigo </w:t>
      </w:r>
      <w:r w:rsidRPr="00D101B3">
        <w:rPr>
          <w:rFonts w:asciiTheme="majorHAnsi" w:hAnsiTheme="majorHAnsi"/>
          <w:sz w:val="20"/>
          <w:szCs w:val="20"/>
          <w:lang w:val="es-ES_tradnl"/>
        </w:rPr>
        <w:t>a</w:t>
      </w:r>
      <w:r w:rsidR="0027441C" w:rsidRPr="00D101B3">
        <w:rPr>
          <w:rFonts w:asciiTheme="majorHAnsi" w:hAnsiTheme="majorHAnsi"/>
          <w:sz w:val="20"/>
          <w:szCs w:val="20"/>
          <w:lang w:val="es-ES_tradnl"/>
        </w:rPr>
        <w:t>ntiguo preveía una “triple funcionalidad” bajo la cual era un mismo magistrado quien estaba a cargo de la investigación, acusación y juzgamiento en primera instancia, lo que considera que vulneró el derecho de las presuntas víctimas a un juez imparcial. Añade que la falta de imparcialidad del juez que condenó en primera instancia también quedó demostrada luego de que, año antes de la emisión de su sentencia, realizara declaraciones públicas ante un medio de comunicación indicando que lo declarado por las presuntas víctimas no resulta</w:t>
      </w:r>
      <w:r w:rsidR="00A77400" w:rsidRPr="00D101B3">
        <w:rPr>
          <w:rFonts w:asciiTheme="majorHAnsi" w:hAnsiTheme="majorHAnsi"/>
          <w:sz w:val="20"/>
          <w:szCs w:val="20"/>
          <w:lang w:val="es-ES_tradnl"/>
        </w:rPr>
        <w:t>ba</w:t>
      </w:r>
      <w:r w:rsidR="0027441C" w:rsidRPr="00D101B3">
        <w:rPr>
          <w:rFonts w:asciiTheme="majorHAnsi" w:hAnsiTheme="majorHAnsi"/>
          <w:sz w:val="20"/>
          <w:szCs w:val="20"/>
          <w:lang w:val="es-ES_tradnl"/>
        </w:rPr>
        <w:t xml:space="preserve"> creíble y </w:t>
      </w:r>
      <w:r w:rsidR="00A77400" w:rsidRPr="00D101B3">
        <w:rPr>
          <w:rFonts w:asciiTheme="majorHAnsi" w:hAnsiTheme="majorHAnsi"/>
          <w:sz w:val="20"/>
          <w:szCs w:val="20"/>
          <w:lang w:val="es-ES_tradnl"/>
        </w:rPr>
        <w:t xml:space="preserve">que incluso los </w:t>
      </w:r>
      <w:r w:rsidR="0027441C" w:rsidRPr="00D101B3">
        <w:rPr>
          <w:rFonts w:asciiTheme="majorHAnsi" w:hAnsiTheme="majorHAnsi"/>
          <w:sz w:val="20"/>
          <w:szCs w:val="20"/>
          <w:lang w:val="es-ES_tradnl"/>
        </w:rPr>
        <w:t>amenaz</w:t>
      </w:r>
      <w:r w:rsidR="00A77400" w:rsidRPr="00D101B3">
        <w:rPr>
          <w:rFonts w:asciiTheme="majorHAnsi" w:hAnsiTheme="majorHAnsi"/>
          <w:sz w:val="20"/>
          <w:szCs w:val="20"/>
          <w:lang w:val="es-ES_tradnl"/>
        </w:rPr>
        <w:t xml:space="preserve">ó </w:t>
      </w:r>
      <w:r w:rsidR="0027441C" w:rsidRPr="00D101B3">
        <w:rPr>
          <w:rFonts w:asciiTheme="majorHAnsi" w:hAnsiTheme="majorHAnsi"/>
          <w:sz w:val="20"/>
          <w:szCs w:val="20"/>
          <w:lang w:val="es-ES_tradnl"/>
        </w:rPr>
        <w:t>al indicar que “si no colaboran, prácticamente me obligan a seguir prolongando el ca</w:t>
      </w:r>
      <w:r w:rsidR="00A77400" w:rsidRPr="00D101B3">
        <w:rPr>
          <w:rFonts w:asciiTheme="majorHAnsi" w:hAnsiTheme="majorHAnsi"/>
          <w:sz w:val="20"/>
          <w:szCs w:val="20"/>
          <w:lang w:val="es-ES_tradnl"/>
        </w:rPr>
        <w:t>s</w:t>
      </w:r>
      <w:r w:rsidR="0027441C" w:rsidRPr="00D101B3">
        <w:rPr>
          <w:rFonts w:asciiTheme="majorHAnsi" w:hAnsiTheme="majorHAnsi"/>
          <w:sz w:val="20"/>
          <w:szCs w:val="20"/>
          <w:lang w:val="es-ES_tradnl"/>
        </w:rPr>
        <w:t>o en el tiempo, y si se sigue prolongando, la situación de procesal de ellos no cambia”</w:t>
      </w:r>
      <w:r w:rsidR="00A77400" w:rsidRPr="00D101B3">
        <w:rPr>
          <w:rFonts w:asciiTheme="majorHAnsi" w:hAnsiTheme="majorHAnsi"/>
          <w:sz w:val="20"/>
          <w:szCs w:val="20"/>
          <w:lang w:val="es-ES_tradnl"/>
        </w:rPr>
        <w:t>.</w:t>
      </w:r>
    </w:p>
    <w:p w14:paraId="6EE87E43" w14:textId="77777777" w:rsidR="00A77400" w:rsidRPr="00D101B3" w:rsidRDefault="00A77400">
      <w:pPr>
        <w:rPr>
          <w:rFonts w:asciiTheme="majorHAnsi" w:hAnsiTheme="majorHAnsi"/>
          <w:sz w:val="20"/>
          <w:szCs w:val="20"/>
          <w:lang w:val="es-ES_tradnl"/>
        </w:rPr>
      </w:pPr>
      <w:r w:rsidRPr="00D101B3">
        <w:rPr>
          <w:rFonts w:asciiTheme="majorHAnsi" w:hAnsiTheme="majorHAnsi"/>
          <w:sz w:val="20"/>
          <w:szCs w:val="20"/>
          <w:lang w:val="es-ES_tradnl"/>
        </w:rPr>
        <w:br w:type="page"/>
      </w:r>
    </w:p>
    <w:p w14:paraId="1B57FE40" w14:textId="0D2A54B2" w:rsidR="0027441C" w:rsidRPr="00D101B3" w:rsidRDefault="0027441C"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lastRenderedPageBreak/>
        <w:t xml:space="preserve">Aduce que, tras el fallo de primera instancia, las presuntas víctimas presentaron una apelación, al igual que otros coprocesados, y que el 23 de agosto de 2013 la Quinta Sala de la Corte de Apelaciones de Santiago resolvió dichos recursos. Indica que en esta sentencia se revocó la condena impuesta a la presunta víctima Sarli Pose por el delito de asociación ilícita, pero se perjudicó a las presuntas víctimas al recalificar los delitos de asociación ilícita y secuestro como “delitos de lesa humanidad”. Explica que esta recalificación conllevó a que se considerara inaplicable la atenuante de la media prescripción y que las condenas impuestas a las presuntas víctimas fueran duplicadas en relación con las que habían sido establecidas en primera instancia. Considera que este aumento de las penas en la segunda instancia es contrario al principio </w:t>
      </w:r>
      <w:r w:rsidRPr="00D101B3">
        <w:rPr>
          <w:rFonts w:asciiTheme="majorHAnsi" w:hAnsiTheme="majorHAnsi"/>
          <w:i/>
          <w:sz w:val="20"/>
          <w:szCs w:val="20"/>
          <w:lang w:val="es-UY"/>
        </w:rPr>
        <w:t>non reformatio in pe</w:t>
      </w:r>
      <w:r w:rsidR="00A77400" w:rsidRPr="00D101B3">
        <w:rPr>
          <w:rFonts w:asciiTheme="majorHAnsi" w:hAnsiTheme="majorHAnsi"/>
          <w:i/>
          <w:sz w:val="20"/>
          <w:szCs w:val="20"/>
          <w:lang w:val="es-UY"/>
        </w:rPr>
        <w:t>i</w:t>
      </w:r>
      <w:r w:rsidRPr="00D101B3">
        <w:rPr>
          <w:rFonts w:asciiTheme="majorHAnsi" w:hAnsiTheme="majorHAnsi"/>
          <w:i/>
          <w:sz w:val="20"/>
          <w:szCs w:val="20"/>
          <w:lang w:val="es-UY"/>
        </w:rPr>
        <w:t>us</w:t>
      </w:r>
      <w:r w:rsidRPr="00D101B3">
        <w:rPr>
          <w:rFonts w:asciiTheme="majorHAnsi" w:hAnsiTheme="majorHAnsi"/>
          <w:sz w:val="20"/>
          <w:szCs w:val="20"/>
          <w:lang w:val="es-UY"/>
        </w:rPr>
        <w:t xml:space="preserve">. </w:t>
      </w:r>
    </w:p>
    <w:p w14:paraId="31E78EA4" w14:textId="375CBC2D" w:rsidR="0027441C" w:rsidRPr="00D101B3" w:rsidRDefault="00A77400"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La parte peticionaria t</w:t>
      </w:r>
      <w:r w:rsidR="0027441C" w:rsidRPr="00D101B3">
        <w:rPr>
          <w:rFonts w:asciiTheme="majorHAnsi" w:hAnsiTheme="majorHAnsi"/>
          <w:sz w:val="20"/>
          <w:szCs w:val="20"/>
          <w:lang w:val="es-UY"/>
        </w:rPr>
        <w:t>ambién considera que la sentencia de segunda instancia vulneró el principio de legalidad en materia penal porque los delitos de lesa humanidad fueron creados por el Estatuto de Roma en 1998 e incorporados a las legislaciones de Chile y de Uruguay con posterioridad a esa fecha, por lo que no existían al momento que ocurrieron los hechos que dieron lugar a la condena. Aduce además que Chile vulneró el principio de especialidad que rige en materia de extradiciones pues la calificación de los delitos como de “lesa humanidad” no estuvo contemplada en la solicitud de extradición presentada a Uruguay, por lo que las autoridades uruguayas que decidieron sobre la extradición no tuvieron oportunidad de valorar la posibilidad de que a las personas extraditadas se les aplicara penas agravadas por razón de esta calificación. Agrega que la decisión de segunda instancia fue recurrida en casación, pero que el 11 de agosto de 2015 la Corte Suprema de Justicia confirmó la decisión del Tribunal de Apelaciones. Resalta que, desde el inició de la investigación presumarial contra las presuntas víctimas hasta la sentencia final de casación, transcurrieron más de 20 años de proceso, lo que evidencia que el procesamiento penal excedió el plazo razonable.</w:t>
      </w:r>
    </w:p>
    <w:p w14:paraId="76D71C23" w14:textId="772DEEC5" w:rsidR="00C74737" w:rsidRPr="00D101B3" w:rsidRDefault="00A77400"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P</w:t>
      </w:r>
      <w:r w:rsidR="00C74737" w:rsidRPr="00D101B3">
        <w:rPr>
          <w:rFonts w:asciiTheme="majorHAnsi" w:hAnsiTheme="majorHAnsi"/>
          <w:sz w:val="20"/>
          <w:szCs w:val="20"/>
          <w:lang w:val="es-UY"/>
        </w:rPr>
        <w:t>revio a la sentencia de primera instancia, las presuntas víctimas fueron sometid</w:t>
      </w:r>
      <w:r w:rsidRPr="00D101B3">
        <w:rPr>
          <w:rFonts w:asciiTheme="majorHAnsi" w:hAnsiTheme="majorHAnsi"/>
          <w:sz w:val="20"/>
          <w:szCs w:val="20"/>
          <w:lang w:val="es-UY"/>
        </w:rPr>
        <w:t>a</w:t>
      </w:r>
      <w:r w:rsidR="00C74737" w:rsidRPr="00D101B3">
        <w:rPr>
          <w:rFonts w:asciiTheme="majorHAnsi" w:hAnsiTheme="majorHAnsi"/>
          <w:sz w:val="20"/>
          <w:szCs w:val="20"/>
          <w:lang w:val="es-UY"/>
        </w:rPr>
        <w:t xml:space="preserve">s entre abril y septiembre de 2006 a una medida de prisión preventiva, </w:t>
      </w:r>
      <w:r w:rsidRPr="00D101B3">
        <w:rPr>
          <w:rFonts w:asciiTheme="majorHAnsi" w:hAnsiTheme="majorHAnsi"/>
          <w:sz w:val="20"/>
          <w:szCs w:val="20"/>
          <w:lang w:val="es-UY"/>
        </w:rPr>
        <w:t xml:space="preserve">tiempo </w:t>
      </w:r>
      <w:r w:rsidR="00C74737" w:rsidRPr="00D101B3">
        <w:rPr>
          <w:rFonts w:asciiTheme="majorHAnsi" w:hAnsiTheme="majorHAnsi"/>
          <w:sz w:val="20"/>
          <w:szCs w:val="20"/>
          <w:lang w:val="es-UY"/>
        </w:rPr>
        <w:t xml:space="preserve">durante </w:t>
      </w:r>
      <w:r w:rsidRPr="00D101B3">
        <w:rPr>
          <w:rFonts w:asciiTheme="majorHAnsi" w:hAnsiTheme="majorHAnsi"/>
          <w:sz w:val="20"/>
          <w:szCs w:val="20"/>
          <w:lang w:val="es-UY"/>
        </w:rPr>
        <w:t xml:space="preserve">el cual </w:t>
      </w:r>
      <w:r w:rsidR="00C74737" w:rsidRPr="00D101B3">
        <w:rPr>
          <w:rFonts w:asciiTheme="majorHAnsi" w:hAnsiTheme="majorHAnsi"/>
          <w:sz w:val="20"/>
          <w:szCs w:val="20"/>
          <w:lang w:val="es-UY"/>
        </w:rPr>
        <w:t>a</w:t>
      </w:r>
      <w:r w:rsidRPr="00D101B3">
        <w:rPr>
          <w:rFonts w:asciiTheme="majorHAnsi" w:hAnsiTheme="majorHAnsi"/>
          <w:sz w:val="20"/>
          <w:szCs w:val="20"/>
          <w:lang w:val="es-UY"/>
        </w:rPr>
        <w:t xml:space="preserve">l señor </w:t>
      </w:r>
      <w:r w:rsidR="00C74737" w:rsidRPr="00D101B3">
        <w:rPr>
          <w:rFonts w:asciiTheme="majorHAnsi" w:hAnsiTheme="majorHAnsi"/>
          <w:sz w:val="20"/>
          <w:szCs w:val="20"/>
          <w:lang w:val="es-UY"/>
        </w:rPr>
        <w:t xml:space="preserve">Casella Santos no se le permitió reunirse privadamente con su defensor. </w:t>
      </w:r>
      <w:r w:rsidR="00FD5A9B" w:rsidRPr="00D101B3">
        <w:rPr>
          <w:rFonts w:asciiTheme="majorHAnsi" w:hAnsiTheme="majorHAnsi"/>
          <w:sz w:val="20"/>
          <w:szCs w:val="20"/>
          <w:lang w:val="es-UY"/>
        </w:rPr>
        <w:t xml:space="preserve">También reclama que a las presuntas víctimas les fueron retenidos </w:t>
      </w:r>
      <w:r w:rsidRPr="00D101B3">
        <w:rPr>
          <w:rFonts w:asciiTheme="majorHAnsi" w:hAnsiTheme="majorHAnsi"/>
          <w:sz w:val="20"/>
          <w:szCs w:val="20"/>
          <w:lang w:val="es-UY"/>
        </w:rPr>
        <w:t xml:space="preserve">temporalmente </w:t>
      </w:r>
      <w:r w:rsidR="00FD5A9B" w:rsidRPr="00D101B3">
        <w:rPr>
          <w:rFonts w:asciiTheme="majorHAnsi" w:hAnsiTheme="majorHAnsi"/>
          <w:sz w:val="20"/>
          <w:szCs w:val="20"/>
          <w:lang w:val="es-UY"/>
        </w:rPr>
        <w:t xml:space="preserve">sus uniformes militares, </w:t>
      </w:r>
      <w:r w:rsidRPr="00D101B3">
        <w:rPr>
          <w:rFonts w:asciiTheme="majorHAnsi" w:hAnsiTheme="majorHAnsi"/>
          <w:sz w:val="20"/>
          <w:szCs w:val="20"/>
          <w:lang w:val="es-UY"/>
        </w:rPr>
        <w:t xml:space="preserve">a los que les </w:t>
      </w:r>
      <w:r w:rsidR="00FD5A9B" w:rsidRPr="00D101B3">
        <w:rPr>
          <w:rFonts w:asciiTheme="majorHAnsi" w:hAnsiTheme="majorHAnsi"/>
          <w:sz w:val="20"/>
          <w:szCs w:val="20"/>
          <w:lang w:val="es-UY"/>
        </w:rPr>
        <w:t>cortar</w:t>
      </w:r>
      <w:r w:rsidRPr="00D101B3">
        <w:rPr>
          <w:rFonts w:asciiTheme="majorHAnsi" w:hAnsiTheme="majorHAnsi"/>
          <w:sz w:val="20"/>
          <w:szCs w:val="20"/>
          <w:lang w:val="es-UY"/>
        </w:rPr>
        <w:t>on</w:t>
      </w:r>
      <w:r w:rsidR="00FD5A9B" w:rsidRPr="00D101B3">
        <w:rPr>
          <w:rFonts w:asciiTheme="majorHAnsi" w:hAnsiTheme="majorHAnsi"/>
          <w:sz w:val="20"/>
          <w:szCs w:val="20"/>
          <w:lang w:val="es-UY"/>
        </w:rPr>
        <w:t xml:space="preserve"> las hombreras o charreteras</w:t>
      </w:r>
      <w:r w:rsidRPr="00D101B3">
        <w:rPr>
          <w:rFonts w:asciiTheme="majorHAnsi" w:hAnsiTheme="majorHAnsi"/>
          <w:sz w:val="20"/>
          <w:szCs w:val="20"/>
          <w:lang w:val="es-UY"/>
        </w:rPr>
        <w:t>;</w:t>
      </w:r>
      <w:r w:rsidR="00FD5A9B" w:rsidRPr="00D101B3">
        <w:rPr>
          <w:rFonts w:asciiTheme="majorHAnsi" w:hAnsiTheme="majorHAnsi"/>
          <w:sz w:val="20"/>
          <w:szCs w:val="20"/>
          <w:lang w:val="es-UY"/>
        </w:rPr>
        <w:t xml:space="preserve"> </w:t>
      </w:r>
      <w:r w:rsidRPr="00D101B3">
        <w:rPr>
          <w:rFonts w:asciiTheme="majorHAnsi" w:hAnsiTheme="majorHAnsi"/>
          <w:sz w:val="20"/>
          <w:szCs w:val="20"/>
          <w:lang w:val="es-UY"/>
        </w:rPr>
        <w:t xml:space="preserve">y que </w:t>
      </w:r>
      <w:r w:rsidR="00FD5A9B" w:rsidRPr="00D101B3">
        <w:rPr>
          <w:rFonts w:asciiTheme="majorHAnsi" w:hAnsiTheme="majorHAnsi"/>
          <w:sz w:val="20"/>
          <w:szCs w:val="20"/>
          <w:lang w:val="es-UY"/>
        </w:rPr>
        <w:t xml:space="preserve">tiempo después </w:t>
      </w:r>
      <w:r w:rsidRPr="00D101B3">
        <w:rPr>
          <w:rFonts w:asciiTheme="majorHAnsi" w:hAnsiTheme="majorHAnsi"/>
          <w:sz w:val="20"/>
          <w:szCs w:val="20"/>
          <w:lang w:val="es-UY"/>
        </w:rPr>
        <w:t xml:space="preserve">se los devolvieron </w:t>
      </w:r>
      <w:r w:rsidR="00FD5A9B" w:rsidRPr="00D101B3">
        <w:rPr>
          <w:rFonts w:asciiTheme="majorHAnsi" w:hAnsiTheme="majorHAnsi"/>
          <w:sz w:val="20"/>
          <w:szCs w:val="20"/>
          <w:lang w:val="es-UY"/>
        </w:rPr>
        <w:t>con el compromiso de que no los usaran. Considera que esto fue contrario al derecho a la honra y dignidad de las presuntas víctimas</w:t>
      </w:r>
      <w:r w:rsidRPr="00D101B3">
        <w:rPr>
          <w:rFonts w:asciiTheme="majorHAnsi" w:hAnsiTheme="majorHAnsi"/>
          <w:sz w:val="20"/>
          <w:szCs w:val="20"/>
          <w:lang w:val="es-UY"/>
        </w:rPr>
        <w:t>, que</w:t>
      </w:r>
      <w:r w:rsidR="00FD5A9B" w:rsidRPr="00D101B3">
        <w:rPr>
          <w:rFonts w:asciiTheme="majorHAnsi" w:hAnsiTheme="majorHAnsi"/>
          <w:sz w:val="20"/>
          <w:szCs w:val="20"/>
          <w:lang w:val="es-UY"/>
        </w:rPr>
        <w:t xml:space="preserve"> como militares veían en sus uniformes un símbolo de fidelidad a su ejército y a su patria.</w:t>
      </w:r>
    </w:p>
    <w:p w14:paraId="34F25CDD" w14:textId="59173D25" w:rsidR="00B96E54" w:rsidRPr="00D101B3" w:rsidRDefault="00A77400"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La parte peticionaria i</w:t>
      </w:r>
      <w:r w:rsidR="00C74737" w:rsidRPr="00D101B3">
        <w:rPr>
          <w:rFonts w:asciiTheme="majorHAnsi" w:hAnsiTheme="majorHAnsi"/>
          <w:sz w:val="20"/>
          <w:szCs w:val="20"/>
          <w:lang w:val="es-UY"/>
        </w:rPr>
        <w:t xml:space="preserve">ndica que las presuntas víctimas fueron eventualmente </w:t>
      </w:r>
      <w:r w:rsidRPr="00D101B3">
        <w:rPr>
          <w:rFonts w:asciiTheme="majorHAnsi" w:hAnsiTheme="majorHAnsi"/>
          <w:sz w:val="20"/>
          <w:szCs w:val="20"/>
          <w:lang w:val="es-UY"/>
        </w:rPr>
        <w:t xml:space="preserve">puestas </w:t>
      </w:r>
      <w:r w:rsidR="00C74737" w:rsidRPr="00D101B3">
        <w:rPr>
          <w:rFonts w:asciiTheme="majorHAnsi" w:hAnsiTheme="majorHAnsi"/>
          <w:sz w:val="20"/>
          <w:szCs w:val="20"/>
          <w:lang w:val="es-UY"/>
        </w:rPr>
        <w:t xml:space="preserve">en libertad </w:t>
      </w:r>
      <w:r w:rsidR="00B96E54" w:rsidRPr="00D101B3">
        <w:rPr>
          <w:rFonts w:asciiTheme="majorHAnsi" w:hAnsiTheme="majorHAnsi"/>
          <w:sz w:val="20"/>
          <w:szCs w:val="20"/>
          <w:lang w:val="es-UY"/>
        </w:rPr>
        <w:t>provisional,</w:t>
      </w:r>
      <w:r w:rsidR="00C74737" w:rsidRPr="00D101B3">
        <w:rPr>
          <w:rFonts w:asciiTheme="majorHAnsi" w:hAnsiTheme="majorHAnsi"/>
          <w:sz w:val="20"/>
          <w:szCs w:val="20"/>
          <w:lang w:val="es-UY"/>
        </w:rPr>
        <w:t xml:space="preserve"> pero con </w:t>
      </w:r>
      <w:r w:rsidRPr="00D101B3">
        <w:rPr>
          <w:rFonts w:asciiTheme="majorHAnsi" w:hAnsiTheme="majorHAnsi"/>
          <w:sz w:val="20"/>
          <w:szCs w:val="20"/>
          <w:lang w:val="es-UY"/>
        </w:rPr>
        <w:t>l</w:t>
      </w:r>
      <w:r w:rsidR="00C74737" w:rsidRPr="00D101B3">
        <w:rPr>
          <w:rFonts w:asciiTheme="majorHAnsi" w:hAnsiTheme="majorHAnsi"/>
          <w:sz w:val="20"/>
          <w:szCs w:val="20"/>
          <w:lang w:val="es-UY"/>
        </w:rPr>
        <w:t>a prohibición expresa de salir de Chile</w:t>
      </w:r>
      <w:r w:rsidR="00B96E54" w:rsidRPr="00D101B3">
        <w:rPr>
          <w:rFonts w:asciiTheme="majorHAnsi" w:hAnsiTheme="majorHAnsi"/>
          <w:sz w:val="20"/>
          <w:szCs w:val="20"/>
          <w:lang w:val="es-UY"/>
        </w:rPr>
        <w:t>. A</w:t>
      </w:r>
      <w:r w:rsidR="00C74737" w:rsidRPr="00D101B3">
        <w:rPr>
          <w:rFonts w:asciiTheme="majorHAnsi" w:hAnsiTheme="majorHAnsi"/>
          <w:sz w:val="20"/>
          <w:szCs w:val="20"/>
          <w:lang w:val="es-UY"/>
        </w:rPr>
        <w:t xml:space="preserve">duce que esto ha causado </w:t>
      </w:r>
      <w:r w:rsidR="00B96E54" w:rsidRPr="00D101B3">
        <w:rPr>
          <w:rFonts w:asciiTheme="majorHAnsi" w:hAnsiTheme="majorHAnsi"/>
          <w:sz w:val="20"/>
          <w:szCs w:val="20"/>
          <w:lang w:val="es-UY"/>
        </w:rPr>
        <w:t xml:space="preserve">una </w:t>
      </w:r>
      <w:r w:rsidR="00C74737" w:rsidRPr="00D101B3">
        <w:rPr>
          <w:rFonts w:asciiTheme="majorHAnsi" w:hAnsiTheme="majorHAnsi"/>
          <w:sz w:val="20"/>
          <w:szCs w:val="20"/>
          <w:lang w:val="es-UY"/>
        </w:rPr>
        <w:t>serie de afectaciones a las presuntas víctimas</w:t>
      </w:r>
      <w:r w:rsidR="00B96E54" w:rsidRPr="00D101B3">
        <w:rPr>
          <w:rFonts w:asciiTheme="majorHAnsi" w:hAnsiTheme="majorHAnsi"/>
          <w:sz w:val="20"/>
          <w:szCs w:val="20"/>
          <w:lang w:val="es-UY"/>
        </w:rPr>
        <w:t>,</w:t>
      </w:r>
      <w:r w:rsidR="00C74737" w:rsidRPr="00D101B3">
        <w:rPr>
          <w:rFonts w:asciiTheme="majorHAnsi" w:hAnsiTheme="majorHAnsi"/>
          <w:sz w:val="20"/>
          <w:szCs w:val="20"/>
          <w:lang w:val="es-UY"/>
        </w:rPr>
        <w:t xml:space="preserve"> contrarias a su derecho a la personalidad jurídica</w:t>
      </w:r>
      <w:r w:rsidR="00B96E54" w:rsidRPr="00D101B3">
        <w:rPr>
          <w:rFonts w:asciiTheme="majorHAnsi" w:hAnsiTheme="majorHAnsi"/>
          <w:sz w:val="20"/>
          <w:szCs w:val="20"/>
          <w:lang w:val="es-UY"/>
        </w:rPr>
        <w:t>.</w:t>
      </w:r>
      <w:r w:rsidR="00C74737" w:rsidRPr="00D101B3">
        <w:rPr>
          <w:rFonts w:asciiTheme="majorHAnsi" w:hAnsiTheme="majorHAnsi"/>
          <w:sz w:val="20"/>
          <w:szCs w:val="20"/>
          <w:lang w:val="es-UY"/>
        </w:rPr>
        <w:t xml:space="preserve"> Indica que </w:t>
      </w:r>
      <w:r w:rsidRPr="00D101B3">
        <w:rPr>
          <w:rFonts w:asciiTheme="majorHAnsi" w:hAnsiTheme="majorHAnsi"/>
          <w:sz w:val="20"/>
          <w:szCs w:val="20"/>
          <w:lang w:val="es-UY"/>
        </w:rPr>
        <w:t xml:space="preserve">habían ingresado a Chile con visa de turista y que </w:t>
      </w:r>
      <w:r w:rsidR="00C74737" w:rsidRPr="00D101B3">
        <w:rPr>
          <w:rFonts w:asciiTheme="majorHAnsi" w:hAnsiTheme="majorHAnsi"/>
          <w:sz w:val="20"/>
          <w:szCs w:val="20"/>
          <w:lang w:val="es-UY"/>
        </w:rPr>
        <w:t xml:space="preserve">durante los primeros 4 meses que estuvieron en libertad no se les proporcionó documento de identidad </w:t>
      </w:r>
      <w:r w:rsidRPr="00D101B3">
        <w:rPr>
          <w:rFonts w:asciiTheme="majorHAnsi" w:hAnsiTheme="majorHAnsi"/>
          <w:sz w:val="20"/>
          <w:szCs w:val="20"/>
          <w:lang w:val="es-UY"/>
        </w:rPr>
        <w:t xml:space="preserve">alguno </w:t>
      </w:r>
      <w:r w:rsidR="00C74737" w:rsidRPr="00D101B3">
        <w:rPr>
          <w:rFonts w:asciiTheme="majorHAnsi" w:hAnsiTheme="majorHAnsi"/>
          <w:sz w:val="20"/>
          <w:szCs w:val="20"/>
          <w:lang w:val="es-UY"/>
        </w:rPr>
        <w:t xml:space="preserve">que avalara su permanencia en </w:t>
      </w:r>
      <w:r w:rsidRPr="00D101B3">
        <w:rPr>
          <w:rFonts w:asciiTheme="majorHAnsi" w:hAnsiTheme="majorHAnsi"/>
          <w:sz w:val="20"/>
          <w:szCs w:val="20"/>
          <w:lang w:val="es-UY"/>
        </w:rPr>
        <w:t xml:space="preserve">el país; </w:t>
      </w:r>
      <w:r w:rsidR="00C74737" w:rsidRPr="00D101B3">
        <w:rPr>
          <w:rFonts w:asciiTheme="majorHAnsi" w:hAnsiTheme="majorHAnsi"/>
          <w:sz w:val="20"/>
          <w:szCs w:val="20"/>
          <w:lang w:val="es-UY"/>
        </w:rPr>
        <w:t xml:space="preserve">y que luego han tenido acceso solo a cédulas de identidad temporales que duran 8 meses y requieren trámites lentos y costosos. Señala que las dificultadas relacionadas con la obtención de documentos de identidad y la ausencia de historial bancario en Chile ha hecho altamente difícil para las presuntas víctimas alquilar un lugar para residir, y que las autoridades chilenas </w:t>
      </w:r>
      <w:r w:rsidR="0027441C" w:rsidRPr="00D101B3">
        <w:rPr>
          <w:rFonts w:asciiTheme="majorHAnsi" w:hAnsiTheme="majorHAnsi"/>
          <w:sz w:val="20"/>
          <w:szCs w:val="20"/>
          <w:lang w:val="es-UY"/>
        </w:rPr>
        <w:t xml:space="preserve">no </w:t>
      </w:r>
      <w:r w:rsidRPr="00D101B3">
        <w:rPr>
          <w:rFonts w:asciiTheme="majorHAnsi" w:hAnsiTheme="majorHAnsi"/>
          <w:sz w:val="20"/>
          <w:szCs w:val="20"/>
          <w:lang w:val="es-UY"/>
        </w:rPr>
        <w:t xml:space="preserve">les </w:t>
      </w:r>
      <w:r w:rsidR="0027441C" w:rsidRPr="00D101B3">
        <w:rPr>
          <w:rFonts w:asciiTheme="majorHAnsi" w:hAnsiTheme="majorHAnsi"/>
          <w:sz w:val="20"/>
          <w:szCs w:val="20"/>
          <w:lang w:val="es-UY"/>
        </w:rPr>
        <w:t>brindaron</w:t>
      </w:r>
      <w:r w:rsidR="00C74737" w:rsidRPr="00D101B3">
        <w:rPr>
          <w:rFonts w:asciiTheme="majorHAnsi" w:hAnsiTheme="majorHAnsi"/>
          <w:sz w:val="20"/>
          <w:szCs w:val="20"/>
          <w:lang w:val="es-UY"/>
        </w:rPr>
        <w:t xml:space="preserve"> asistencia </w:t>
      </w:r>
      <w:r w:rsidRPr="00D101B3">
        <w:rPr>
          <w:rFonts w:asciiTheme="majorHAnsi" w:hAnsiTheme="majorHAnsi"/>
          <w:sz w:val="20"/>
          <w:szCs w:val="20"/>
          <w:lang w:val="es-UY"/>
        </w:rPr>
        <w:t>alguna</w:t>
      </w:r>
      <w:r w:rsidR="00C74737" w:rsidRPr="00D101B3">
        <w:rPr>
          <w:rFonts w:asciiTheme="majorHAnsi" w:hAnsiTheme="majorHAnsi"/>
          <w:sz w:val="20"/>
          <w:szCs w:val="20"/>
          <w:lang w:val="es-UY"/>
        </w:rPr>
        <w:t xml:space="preserve">. </w:t>
      </w:r>
    </w:p>
    <w:p w14:paraId="1D4EF655" w14:textId="250D9F31" w:rsidR="00B96E54" w:rsidRPr="00D101B3" w:rsidRDefault="00C74737"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También denuncia que en la práctica ha sido imposible para las presuntas víctimas obtener trabajo remunerado en Chile</w:t>
      </w:r>
      <w:r w:rsidR="00B96E54" w:rsidRPr="00D101B3">
        <w:rPr>
          <w:rFonts w:asciiTheme="majorHAnsi" w:hAnsiTheme="majorHAnsi"/>
          <w:sz w:val="20"/>
          <w:szCs w:val="20"/>
          <w:lang w:val="es-UY"/>
        </w:rPr>
        <w:t>,</w:t>
      </w:r>
      <w:r w:rsidRPr="00D101B3">
        <w:rPr>
          <w:rFonts w:asciiTheme="majorHAnsi" w:hAnsiTheme="majorHAnsi"/>
          <w:sz w:val="20"/>
          <w:szCs w:val="20"/>
          <w:lang w:val="es-UY"/>
        </w:rPr>
        <w:t xml:space="preserve"> por las dificultades burocráticas que han enfrentado en relación con la obtención de un permiso de trabajo. Añade que</w:t>
      </w:r>
      <w:r w:rsidR="00A77400" w:rsidRPr="00D101B3">
        <w:rPr>
          <w:rFonts w:asciiTheme="majorHAnsi" w:hAnsiTheme="majorHAnsi"/>
          <w:sz w:val="20"/>
          <w:szCs w:val="20"/>
          <w:lang w:val="es-UY"/>
        </w:rPr>
        <w:t xml:space="preserve"> sus</w:t>
      </w:r>
      <w:r w:rsidRPr="00D101B3">
        <w:rPr>
          <w:rFonts w:asciiTheme="majorHAnsi" w:hAnsiTheme="majorHAnsi"/>
          <w:sz w:val="20"/>
          <w:szCs w:val="20"/>
          <w:lang w:val="es-UY"/>
        </w:rPr>
        <w:t xml:space="preserve"> costos de salud fueron inicialmente cubiertos por el Ejército de Chile pero que</w:t>
      </w:r>
      <w:r w:rsidR="00A77400" w:rsidRPr="00D101B3">
        <w:rPr>
          <w:rFonts w:asciiTheme="majorHAnsi" w:hAnsiTheme="majorHAnsi"/>
          <w:sz w:val="20"/>
          <w:szCs w:val="20"/>
          <w:lang w:val="es-UY"/>
        </w:rPr>
        <w:t>,</w:t>
      </w:r>
      <w:r w:rsidRPr="00D101B3">
        <w:rPr>
          <w:rFonts w:asciiTheme="majorHAnsi" w:hAnsiTheme="majorHAnsi"/>
          <w:sz w:val="20"/>
          <w:szCs w:val="20"/>
          <w:lang w:val="es-UY"/>
        </w:rPr>
        <w:t xml:space="preserve"> a partir de 2008</w:t>
      </w:r>
      <w:r w:rsidR="00A77400" w:rsidRPr="00D101B3">
        <w:rPr>
          <w:rFonts w:asciiTheme="majorHAnsi" w:hAnsiTheme="majorHAnsi"/>
          <w:sz w:val="20"/>
          <w:szCs w:val="20"/>
          <w:lang w:val="es-UY"/>
        </w:rPr>
        <w:t>,</w:t>
      </w:r>
      <w:r w:rsidRPr="00D101B3">
        <w:rPr>
          <w:rFonts w:asciiTheme="majorHAnsi" w:hAnsiTheme="majorHAnsi"/>
          <w:sz w:val="20"/>
          <w:szCs w:val="20"/>
          <w:lang w:val="es-UY"/>
        </w:rPr>
        <w:t xml:space="preserve"> se les empezó a cobrar un monto equivalente al 50% del arancel de un civil</w:t>
      </w:r>
      <w:r w:rsidR="00A77400" w:rsidRPr="00D101B3">
        <w:rPr>
          <w:rFonts w:asciiTheme="majorHAnsi" w:hAnsiTheme="majorHAnsi"/>
          <w:sz w:val="20"/>
          <w:szCs w:val="20"/>
          <w:lang w:val="es-UY"/>
        </w:rPr>
        <w:t>;</w:t>
      </w:r>
      <w:r w:rsidRPr="00D101B3">
        <w:rPr>
          <w:rFonts w:asciiTheme="majorHAnsi" w:hAnsiTheme="majorHAnsi"/>
          <w:sz w:val="20"/>
          <w:szCs w:val="20"/>
          <w:lang w:val="es-UY"/>
        </w:rPr>
        <w:t xml:space="preserve"> y que desde de 2012 se las ha requerido que cubran totalmente sus </w:t>
      </w:r>
      <w:r w:rsidR="0027441C" w:rsidRPr="00D101B3">
        <w:rPr>
          <w:rFonts w:asciiTheme="majorHAnsi" w:hAnsiTheme="majorHAnsi"/>
          <w:sz w:val="20"/>
          <w:szCs w:val="20"/>
          <w:lang w:val="es-UY"/>
        </w:rPr>
        <w:t>gastos</w:t>
      </w:r>
      <w:r w:rsidRPr="00D101B3">
        <w:rPr>
          <w:rFonts w:asciiTheme="majorHAnsi" w:hAnsiTheme="majorHAnsi"/>
          <w:sz w:val="20"/>
          <w:szCs w:val="20"/>
          <w:lang w:val="es-UY"/>
        </w:rPr>
        <w:t>. Sostiene que esto ha afectado gravemente a las presuntas víctimas</w:t>
      </w:r>
      <w:r w:rsidR="00B96E54" w:rsidRPr="00D101B3">
        <w:rPr>
          <w:rFonts w:asciiTheme="majorHAnsi" w:hAnsiTheme="majorHAnsi"/>
          <w:sz w:val="20"/>
          <w:szCs w:val="20"/>
          <w:lang w:val="es-UY"/>
        </w:rPr>
        <w:t>,</w:t>
      </w:r>
      <w:r w:rsidRPr="00D101B3">
        <w:rPr>
          <w:rFonts w:asciiTheme="majorHAnsi" w:hAnsiTheme="majorHAnsi"/>
          <w:sz w:val="20"/>
          <w:szCs w:val="20"/>
          <w:lang w:val="es-UY"/>
        </w:rPr>
        <w:t xml:space="preserve"> qu</w:t>
      </w:r>
      <w:r w:rsidR="00A77400" w:rsidRPr="00D101B3">
        <w:rPr>
          <w:rFonts w:asciiTheme="majorHAnsi" w:hAnsiTheme="majorHAnsi"/>
          <w:sz w:val="20"/>
          <w:szCs w:val="20"/>
          <w:lang w:val="es-UY"/>
        </w:rPr>
        <w:t>e</w:t>
      </w:r>
      <w:r w:rsidRPr="00D101B3">
        <w:rPr>
          <w:rFonts w:asciiTheme="majorHAnsi" w:hAnsiTheme="majorHAnsi"/>
          <w:sz w:val="20"/>
          <w:szCs w:val="20"/>
          <w:lang w:val="es-UY"/>
        </w:rPr>
        <w:t xml:space="preserve"> padecen condiciones crónicas de salud y han tenido que pagar altos costos de salud en Chile</w:t>
      </w:r>
      <w:r w:rsidR="0027441C" w:rsidRPr="00D101B3">
        <w:rPr>
          <w:rFonts w:asciiTheme="majorHAnsi" w:hAnsiTheme="majorHAnsi"/>
          <w:sz w:val="20"/>
          <w:szCs w:val="20"/>
          <w:lang w:val="es-UY"/>
        </w:rPr>
        <w:t>,</w:t>
      </w:r>
      <w:r w:rsidRPr="00D101B3">
        <w:rPr>
          <w:rFonts w:asciiTheme="majorHAnsi" w:hAnsiTheme="majorHAnsi"/>
          <w:sz w:val="20"/>
          <w:szCs w:val="20"/>
          <w:lang w:val="es-UY"/>
        </w:rPr>
        <w:t xml:space="preserve"> pese a que se les descuenta</w:t>
      </w:r>
      <w:r w:rsidR="0027441C" w:rsidRPr="00D101B3">
        <w:rPr>
          <w:rFonts w:asciiTheme="majorHAnsi" w:hAnsiTheme="majorHAnsi"/>
          <w:sz w:val="20"/>
          <w:szCs w:val="20"/>
          <w:lang w:val="es-UY"/>
        </w:rPr>
        <w:t>n</w:t>
      </w:r>
      <w:r w:rsidRPr="00D101B3">
        <w:rPr>
          <w:rFonts w:asciiTheme="majorHAnsi" w:hAnsiTheme="majorHAnsi"/>
          <w:sz w:val="20"/>
          <w:szCs w:val="20"/>
          <w:lang w:val="es-UY"/>
        </w:rPr>
        <w:t xml:space="preserve"> aportes de salud de las pensiones que reciben del Uruguay. </w:t>
      </w:r>
    </w:p>
    <w:p w14:paraId="2328EC2E" w14:textId="54E5A0A1" w:rsidR="00DF3C24" w:rsidRPr="00D101B3" w:rsidRDefault="00C74737"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Resalta que la presunta víctima Radelli Cóppola ha contraído matrimonio en Chile con su cónyuge uruguaya con quien ha tenido un hijo que, pese a ser chileno, ha</w:t>
      </w:r>
      <w:r w:rsidR="0027693A" w:rsidRPr="00D101B3">
        <w:rPr>
          <w:rFonts w:asciiTheme="majorHAnsi" w:hAnsiTheme="majorHAnsi"/>
          <w:sz w:val="20"/>
          <w:szCs w:val="20"/>
          <w:lang w:val="es-UY"/>
        </w:rPr>
        <w:t>bría</w:t>
      </w:r>
      <w:r w:rsidRPr="00D101B3">
        <w:rPr>
          <w:rFonts w:asciiTheme="majorHAnsi" w:hAnsiTheme="majorHAnsi"/>
          <w:sz w:val="20"/>
          <w:szCs w:val="20"/>
          <w:lang w:val="es-UY"/>
        </w:rPr>
        <w:t xml:space="preserve"> sido excluido del sistema de salud público de Chile por </w:t>
      </w:r>
      <w:r w:rsidR="00301024" w:rsidRPr="00D101B3">
        <w:rPr>
          <w:rFonts w:asciiTheme="majorHAnsi" w:hAnsiTheme="majorHAnsi"/>
          <w:sz w:val="20"/>
          <w:szCs w:val="20"/>
          <w:lang w:val="es-UY"/>
        </w:rPr>
        <w:t>“</w:t>
      </w:r>
      <w:r w:rsidRPr="00D101B3">
        <w:rPr>
          <w:rFonts w:asciiTheme="majorHAnsi" w:hAnsiTheme="majorHAnsi"/>
          <w:sz w:val="20"/>
          <w:szCs w:val="20"/>
          <w:lang w:val="es-UY"/>
        </w:rPr>
        <w:t>seguir la suerte</w:t>
      </w:r>
      <w:r w:rsidR="00301024" w:rsidRPr="00D101B3">
        <w:rPr>
          <w:rFonts w:asciiTheme="majorHAnsi" w:hAnsiTheme="majorHAnsi"/>
          <w:sz w:val="20"/>
          <w:szCs w:val="20"/>
          <w:lang w:val="es-UY"/>
        </w:rPr>
        <w:t>”</w:t>
      </w:r>
      <w:r w:rsidRPr="00D101B3">
        <w:rPr>
          <w:rFonts w:asciiTheme="majorHAnsi" w:hAnsiTheme="majorHAnsi"/>
          <w:sz w:val="20"/>
          <w:szCs w:val="20"/>
          <w:lang w:val="es-UY"/>
        </w:rPr>
        <w:t xml:space="preserve"> de su padre.  </w:t>
      </w:r>
      <w:r w:rsidR="00B96E54" w:rsidRPr="00D101B3">
        <w:rPr>
          <w:rFonts w:asciiTheme="majorHAnsi" w:hAnsiTheme="majorHAnsi"/>
          <w:sz w:val="20"/>
          <w:szCs w:val="20"/>
          <w:lang w:val="es-UY"/>
        </w:rPr>
        <w:t>Asimismo, sostiene</w:t>
      </w:r>
      <w:r w:rsidR="00EF1BA6" w:rsidRPr="00D101B3">
        <w:rPr>
          <w:rFonts w:asciiTheme="majorHAnsi" w:hAnsiTheme="majorHAnsi"/>
          <w:sz w:val="20"/>
          <w:szCs w:val="20"/>
          <w:lang w:val="es-UY"/>
        </w:rPr>
        <w:t xml:space="preserve"> que el tiempo que las presuntas víctimas estuvieron sometidos a la medida cautelar de impedimento de abandonar el país no les fue descontado de sus condenas</w:t>
      </w:r>
      <w:r w:rsidR="00FC2DC4" w:rsidRPr="00D101B3">
        <w:rPr>
          <w:rFonts w:asciiTheme="majorHAnsi" w:hAnsiTheme="majorHAnsi"/>
          <w:sz w:val="20"/>
          <w:szCs w:val="20"/>
          <w:lang w:val="es-UY"/>
        </w:rPr>
        <w:t xml:space="preserve">, pese a que este tiempo excedió el de las penas a las que fueron condenados en primera instancia. </w:t>
      </w:r>
      <w:r w:rsidR="00EF1BA6" w:rsidRPr="00D101B3">
        <w:rPr>
          <w:rFonts w:asciiTheme="majorHAnsi" w:hAnsiTheme="majorHAnsi"/>
          <w:sz w:val="20"/>
          <w:szCs w:val="20"/>
          <w:lang w:val="es-UY"/>
        </w:rPr>
        <w:t xml:space="preserve"> </w:t>
      </w:r>
    </w:p>
    <w:p w14:paraId="409930FC" w14:textId="27D265FD" w:rsidR="00FD5A9B" w:rsidRPr="00D101B3" w:rsidRDefault="00FD5A9B"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lastRenderedPageBreak/>
        <w:t xml:space="preserve">El Estado, por su parte, </w:t>
      </w:r>
      <w:r w:rsidR="00FC2DC4" w:rsidRPr="00D101B3">
        <w:rPr>
          <w:rFonts w:asciiTheme="majorHAnsi" w:hAnsiTheme="majorHAnsi"/>
          <w:sz w:val="20"/>
          <w:szCs w:val="20"/>
          <w:lang w:val="es-UY"/>
        </w:rPr>
        <w:t xml:space="preserve">considera que la petición debe ser inadmitida porque los hechos expuestos en ella no constituyen, </w:t>
      </w:r>
      <w:r w:rsidR="00FC2DC4" w:rsidRPr="00D101B3">
        <w:rPr>
          <w:rFonts w:asciiTheme="majorHAnsi" w:hAnsiTheme="majorHAnsi"/>
          <w:i/>
          <w:sz w:val="20"/>
          <w:szCs w:val="20"/>
          <w:lang w:val="es-UY"/>
        </w:rPr>
        <w:t>a priori</w:t>
      </w:r>
      <w:r w:rsidR="00FC2DC4" w:rsidRPr="00D101B3">
        <w:rPr>
          <w:rFonts w:asciiTheme="majorHAnsi" w:hAnsiTheme="majorHAnsi"/>
          <w:sz w:val="20"/>
          <w:szCs w:val="20"/>
          <w:lang w:val="es-UY"/>
        </w:rPr>
        <w:t xml:space="preserve">, vulneración a derechos consagrados en la Convención Americana; porque algunas de las alegaciones contenidas en la petición se refieren a derechos respecto a los que la Comisión no tiene competencia </w:t>
      </w:r>
      <w:r w:rsidR="00FC2DC4" w:rsidRPr="00D101B3">
        <w:rPr>
          <w:rFonts w:asciiTheme="majorHAnsi" w:hAnsiTheme="majorHAnsi"/>
          <w:i/>
          <w:sz w:val="20"/>
          <w:szCs w:val="20"/>
          <w:lang w:val="es-UY"/>
        </w:rPr>
        <w:t>ratione materiae</w:t>
      </w:r>
      <w:r w:rsidR="00FC2DC4" w:rsidRPr="00D101B3">
        <w:rPr>
          <w:rFonts w:asciiTheme="majorHAnsi" w:hAnsiTheme="majorHAnsi"/>
          <w:sz w:val="20"/>
          <w:szCs w:val="20"/>
          <w:lang w:val="es-UY"/>
        </w:rPr>
        <w:t xml:space="preserve">, y porque la parte peticionaria pretende que la Comisión actúe como una cuarta instancia con respecto a lo decidido en la jurisdicción doméstica. </w:t>
      </w:r>
    </w:p>
    <w:p w14:paraId="5EE58383" w14:textId="32E546DB" w:rsidR="00FC2DC4" w:rsidRPr="00D101B3" w:rsidRDefault="00FC2DC4"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 xml:space="preserve">Sostiene que las autoridades judiciales </w:t>
      </w:r>
      <w:r w:rsidR="00A77400" w:rsidRPr="00D101B3">
        <w:rPr>
          <w:rFonts w:asciiTheme="majorHAnsi" w:hAnsiTheme="majorHAnsi"/>
          <w:sz w:val="20"/>
          <w:szCs w:val="20"/>
          <w:lang w:val="es-UY"/>
        </w:rPr>
        <w:t>internas</w:t>
      </w:r>
      <w:r w:rsidRPr="00D101B3">
        <w:rPr>
          <w:rFonts w:asciiTheme="majorHAnsi" w:hAnsiTheme="majorHAnsi"/>
          <w:sz w:val="20"/>
          <w:szCs w:val="20"/>
          <w:lang w:val="es-UY"/>
        </w:rPr>
        <w:t xml:space="preserve"> respetaron plenamente las garantías del debido proceso en el desarrollo del proceso contra las presuntas víctimas, resaltando que estos pudieron ejercer medios de defensa y tuvieron acceso a los recursos procesales previstos en la ley para obtener la revisión de sus condenas por un tribunal superior. </w:t>
      </w:r>
      <w:r w:rsidR="008979A6" w:rsidRPr="00D101B3">
        <w:rPr>
          <w:rFonts w:asciiTheme="majorHAnsi" w:hAnsiTheme="majorHAnsi"/>
          <w:sz w:val="20"/>
          <w:szCs w:val="20"/>
          <w:lang w:val="es-UY"/>
        </w:rPr>
        <w:t>También indica que la aplicación a las presuntas víctimas de normas procesales derogadas no vulneró el principio de legalidad</w:t>
      </w:r>
      <w:r w:rsidR="000D3B02" w:rsidRPr="00D101B3">
        <w:rPr>
          <w:rFonts w:asciiTheme="majorHAnsi" w:hAnsiTheme="majorHAnsi"/>
          <w:sz w:val="20"/>
          <w:szCs w:val="20"/>
          <w:lang w:val="es-UY"/>
        </w:rPr>
        <w:t>,</w:t>
      </w:r>
      <w:r w:rsidR="008979A6" w:rsidRPr="00D101B3">
        <w:rPr>
          <w:rFonts w:asciiTheme="majorHAnsi" w:hAnsiTheme="majorHAnsi"/>
          <w:sz w:val="20"/>
          <w:szCs w:val="20"/>
          <w:lang w:val="es-UY"/>
        </w:rPr>
        <w:t xml:space="preserve"> </w:t>
      </w:r>
      <w:r w:rsidR="000D3B02" w:rsidRPr="00D101B3">
        <w:rPr>
          <w:rFonts w:asciiTheme="majorHAnsi" w:hAnsiTheme="majorHAnsi"/>
          <w:sz w:val="20"/>
          <w:szCs w:val="20"/>
          <w:lang w:val="es-UY"/>
        </w:rPr>
        <w:t>dado que tales disposiciones estaban</w:t>
      </w:r>
      <w:r w:rsidR="008979A6" w:rsidRPr="00D101B3">
        <w:rPr>
          <w:rFonts w:asciiTheme="majorHAnsi" w:hAnsiTheme="majorHAnsi"/>
          <w:sz w:val="20"/>
          <w:szCs w:val="20"/>
          <w:lang w:val="es-UY"/>
        </w:rPr>
        <w:t xml:space="preserve"> vigentes al momento de producirse los hechos ilícitos que dieron lugar al procesamiento. Manifiesta además que el que se haya prohibido a las presuntas víctimas utilizar sus uniformes militares dentro del recinto en que se encontraban privados de libertad constituye una consecuencia propia del proceso penal y no reviste, </w:t>
      </w:r>
      <w:r w:rsidR="008979A6" w:rsidRPr="00D101B3">
        <w:rPr>
          <w:rFonts w:asciiTheme="majorHAnsi" w:hAnsiTheme="majorHAnsi"/>
          <w:i/>
          <w:sz w:val="20"/>
          <w:szCs w:val="20"/>
          <w:lang w:val="es-UY"/>
        </w:rPr>
        <w:t>prima facie</w:t>
      </w:r>
      <w:r w:rsidR="008979A6" w:rsidRPr="00D101B3">
        <w:rPr>
          <w:rFonts w:asciiTheme="majorHAnsi" w:hAnsiTheme="majorHAnsi"/>
          <w:sz w:val="20"/>
          <w:szCs w:val="20"/>
          <w:lang w:val="es-UY"/>
        </w:rPr>
        <w:t xml:space="preserve">, las características de una violación a la Convención Americana.  </w:t>
      </w:r>
      <w:r w:rsidRPr="00D101B3">
        <w:rPr>
          <w:rFonts w:asciiTheme="majorHAnsi" w:hAnsiTheme="majorHAnsi"/>
          <w:sz w:val="20"/>
          <w:szCs w:val="20"/>
          <w:lang w:val="es-UY"/>
        </w:rPr>
        <w:t xml:space="preserve">Agrega que la medida cautelar de arraigo nacional aplicada a las presuntas víctimas </w:t>
      </w:r>
      <w:r w:rsidR="00743AFE" w:rsidRPr="00D101B3">
        <w:rPr>
          <w:rFonts w:asciiTheme="majorHAnsi" w:hAnsiTheme="majorHAnsi"/>
          <w:sz w:val="20"/>
          <w:szCs w:val="20"/>
          <w:lang w:val="es-UY"/>
        </w:rPr>
        <w:t>fue una de las consecuencias legales</w:t>
      </w:r>
      <w:r w:rsidRPr="00D101B3">
        <w:rPr>
          <w:rFonts w:asciiTheme="majorHAnsi" w:hAnsiTheme="majorHAnsi"/>
          <w:sz w:val="20"/>
          <w:szCs w:val="20"/>
          <w:lang w:val="es-UY"/>
        </w:rPr>
        <w:t xml:space="preserve"> del proces</w:t>
      </w:r>
      <w:r w:rsidR="00743AFE" w:rsidRPr="00D101B3">
        <w:rPr>
          <w:rFonts w:asciiTheme="majorHAnsi" w:hAnsiTheme="majorHAnsi"/>
          <w:sz w:val="20"/>
          <w:szCs w:val="20"/>
          <w:lang w:val="es-UY"/>
        </w:rPr>
        <w:t>o penal al que fueron sometidos y que las solicitudes presentadas por las presuntas víctimas para que se les permitiera cumplir su libertad provisional en Uruguay fueron rechazadas de manera fundada y en aplicación a la normativa vigente. Señala que</w:t>
      </w:r>
      <w:r w:rsidR="000D3B02" w:rsidRPr="00D101B3">
        <w:rPr>
          <w:rFonts w:asciiTheme="majorHAnsi" w:hAnsiTheme="majorHAnsi"/>
          <w:sz w:val="20"/>
          <w:szCs w:val="20"/>
          <w:lang w:val="es-UY"/>
        </w:rPr>
        <w:t xml:space="preserve"> </w:t>
      </w:r>
      <w:r w:rsidR="00743AFE" w:rsidRPr="00D101B3">
        <w:rPr>
          <w:rFonts w:asciiTheme="majorHAnsi" w:hAnsiTheme="majorHAnsi"/>
          <w:sz w:val="20"/>
          <w:szCs w:val="20"/>
          <w:lang w:val="es-UY"/>
        </w:rPr>
        <w:t>al momento en que la petición fue trasladada al Estado</w:t>
      </w:r>
      <w:r w:rsidR="000D3B02" w:rsidRPr="00D101B3">
        <w:rPr>
          <w:rFonts w:asciiTheme="majorHAnsi" w:hAnsiTheme="majorHAnsi"/>
          <w:sz w:val="20"/>
          <w:szCs w:val="20"/>
          <w:lang w:val="es-UY"/>
        </w:rPr>
        <w:t xml:space="preserve">, </w:t>
      </w:r>
      <w:r w:rsidR="00743AFE" w:rsidRPr="00D101B3">
        <w:rPr>
          <w:rFonts w:asciiTheme="majorHAnsi" w:hAnsiTheme="majorHAnsi"/>
          <w:sz w:val="20"/>
          <w:szCs w:val="20"/>
          <w:lang w:val="es-UY"/>
        </w:rPr>
        <w:t xml:space="preserve">dos de las presuntas víctimas se encontraban cumpliendo sus condenas en Uruguay mientras que la otra había decidido voluntariamente permanecer en Chile, circunstancias que considera han hecho cesar el motivo de la petición. </w:t>
      </w:r>
    </w:p>
    <w:p w14:paraId="6A9895DC" w14:textId="3E8F4D85" w:rsidR="00743AFE" w:rsidRPr="00D101B3" w:rsidRDefault="00A77400"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En cuanto a las</w:t>
      </w:r>
      <w:r w:rsidR="00743AFE" w:rsidRPr="00D101B3">
        <w:rPr>
          <w:rFonts w:asciiTheme="majorHAnsi" w:hAnsiTheme="majorHAnsi"/>
          <w:sz w:val="20"/>
          <w:szCs w:val="20"/>
          <w:lang w:val="es-UY"/>
        </w:rPr>
        <w:t xml:space="preserve"> supuestas violaciones al derecho al reconocimiento de la personalidad jurídica, </w:t>
      </w:r>
      <w:r w:rsidRPr="00D101B3">
        <w:rPr>
          <w:rFonts w:asciiTheme="majorHAnsi" w:hAnsiTheme="majorHAnsi"/>
          <w:sz w:val="20"/>
          <w:szCs w:val="20"/>
          <w:lang w:val="es-UY"/>
        </w:rPr>
        <w:t xml:space="preserve">afirma que </w:t>
      </w:r>
      <w:r w:rsidR="00743AFE" w:rsidRPr="00D101B3">
        <w:rPr>
          <w:rFonts w:asciiTheme="majorHAnsi" w:hAnsiTheme="majorHAnsi"/>
          <w:sz w:val="20"/>
          <w:szCs w:val="20"/>
          <w:lang w:val="es-UY"/>
        </w:rPr>
        <w:t xml:space="preserve">la </w:t>
      </w:r>
      <w:r w:rsidRPr="00D101B3">
        <w:rPr>
          <w:rFonts w:asciiTheme="majorHAnsi" w:hAnsiTheme="majorHAnsi"/>
          <w:sz w:val="20"/>
          <w:szCs w:val="20"/>
          <w:lang w:val="es-UY"/>
        </w:rPr>
        <w:t xml:space="preserve">verdadera </w:t>
      </w:r>
      <w:r w:rsidR="00743AFE" w:rsidRPr="00D101B3">
        <w:rPr>
          <w:rFonts w:asciiTheme="majorHAnsi" w:hAnsiTheme="majorHAnsi"/>
          <w:sz w:val="20"/>
          <w:szCs w:val="20"/>
          <w:lang w:val="es-UY"/>
        </w:rPr>
        <w:t>intención de</w:t>
      </w:r>
      <w:r w:rsidRPr="00D101B3">
        <w:rPr>
          <w:rFonts w:asciiTheme="majorHAnsi" w:hAnsiTheme="majorHAnsi"/>
          <w:sz w:val="20"/>
          <w:szCs w:val="20"/>
          <w:lang w:val="es-UY"/>
        </w:rPr>
        <w:t xml:space="preserve"> </w:t>
      </w:r>
      <w:r w:rsidR="00743AFE" w:rsidRPr="00D101B3">
        <w:rPr>
          <w:rFonts w:asciiTheme="majorHAnsi" w:hAnsiTheme="majorHAnsi"/>
          <w:sz w:val="20"/>
          <w:szCs w:val="20"/>
          <w:lang w:val="es-UY"/>
        </w:rPr>
        <w:t>l</w:t>
      </w:r>
      <w:r w:rsidRPr="00D101B3">
        <w:rPr>
          <w:rFonts w:asciiTheme="majorHAnsi" w:hAnsiTheme="majorHAnsi"/>
          <w:sz w:val="20"/>
          <w:szCs w:val="20"/>
          <w:lang w:val="es-UY"/>
        </w:rPr>
        <w:t>a</w:t>
      </w:r>
      <w:r w:rsidR="00743AFE" w:rsidRPr="00D101B3">
        <w:rPr>
          <w:rFonts w:asciiTheme="majorHAnsi" w:hAnsiTheme="majorHAnsi"/>
          <w:sz w:val="20"/>
          <w:szCs w:val="20"/>
          <w:lang w:val="es-UY"/>
        </w:rPr>
        <w:t xml:space="preserve"> </w:t>
      </w:r>
      <w:r w:rsidRPr="00D101B3">
        <w:rPr>
          <w:rFonts w:asciiTheme="majorHAnsi" w:hAnsiTheme="majorHAnsi"/>
          <w:sz w:val="20"/>
          <w:szCs w:val="20"/>
          <w:lang w:val="es-UY"/>
        </w:rPr>
        <w:t xml:space="preserve">parte </w:t>
      </w:r>
      <w:r w:rsidR="00743AFE" w:rsidRPr="00D101B3">
        <w:rPr>
          <w:rFonts w:asciiTheme="majorHAnsi" w:hAnsiTheme="majorHAnsi"/>
          <w:sz w:val="20"/>
          <w:szCs w:val="20"/>
          <w:lang w:val="es-UY"/>
        </w:rPr>
        <w:t>peticionari</w:t>
      </w:r>
      <w:r w:rsidRPr="00D101B3">
        <w:rPr>
          <w:rFonts w:asciiTheme="majorHAnsi" w:hAnsiTheme="majorHAnsi"/>
          <w:sz w:val="20"/>
          <w:szCs w:val="20"/>
          <w:lang w:val="es-UY"/>
        </w:rPr>
        <w:t>a</w:t>
      </w:r>
      <w:r w:rsidR="00743AFE" w:rsidRPr="00D101B3">
        <w:rPr>
          <w:rFonts w:asciiTheme="majorHAnsi" w:hAnsiTheme="majorHAnsi"/>
          <w:sz w:val="20"/>
          <w:szCs w:val="20"/>
          <w:lang w:val="es-UY"/>
        </w:rPr>
        <w:t xml:space="preserve"> es presentar un reclamo respecto a derechos económicos, sociales y culturales</w:t>
      </w:r>
      <w:r w:rsidR="00B3218C" w:rsidRPr="00D101B3">
        <w:rPr>
          <w:rFonts w:asciiTheme="majorHAnsi" w:hAnsiTheme="majorHAnsi"/>
          <w:sz w:val="20"/>
          <w:szCs w:val="20"/>
          <w:lang w:val="es-UY"/>
        </w:rPr>
        <w:t>,</w:t>
      </w:r>
      <w:r w:rsidR="00743AFE" w:rsidRPr="00D101B3">
        <w:rPr>
          <w:rFonts w:asciiTheme="majorHAnsi" w:hAnsiTheme="majorHAnsi"/>
          <w:sz w:val="20"/>
          <w:szCs w:val="20"/>
          <w:lang w:val="es-UY"/>
        </w:rPr>
        <w:t xml:space="preserve"> tales como el derecho al trabajo y a la salud. Considera que la C</w:t>
      </w:r>
      <w:r w:rsidR="00B3218C" w:rsidRPr="00D101B3">
        <w:rPr>
          <w:rFonts w:asciiTheme="majorHAnsi" w:hAnsiTheme="majorHAnsi"/>
          <w:sz w:val="20"/>
          <w:szCs w:val="20"/>
          <w:lang w:val="es-UY"/>
        </w:rPr>
        <w:t>IDH</w:t>
      </w:r>
      <w:r w:rsidR="00743AFE" w:rsidRPr="00D101B3">
        <w:rPr>
          <w:rFonts w:asciiTheme="majorHAnsi" w:hAnsiTheme="majorHAnsi"/>
          <w:sz w:val="20"/>
          <w:szCs w:val="20"/>
          <w:lang w:val="es-UY"/>
        </w:rPr>
        <w:t xml:space="preserve"> carece de competencia </w:t>
      </w:r>
      <w:r w:rsidR="00743AFE" w:rsidRPr="00D101B3">
        <w:rPr>
          <w:rFonts w:asciiTheme="majorHAnsi" w:hAnsiTheme="majorHAnsi"/>
          <w:i/>
          <w:sz w:val="20"/>
          <w:szCs w:val="20"/>
          <w:lang w:val="es-UY"/>
        </w:rPr>
        <w:t>ratione materiae</w:t>
      </w:r>
      <w:r w:rsidR="00743AFE" w:rsidRPr="00D101B3">
        <w:rPr>
          <w:rFonts w:asciiTheme="majorHAnsi" w:hAnsiTheme="majorHAnsi"/>
          <w:sz w:val="20"/>
          <w:szCs w:val="20"/>
          <w:lang w:val="es-UY"/>
        </w:rPr>
        <w:t xml:space="preserve"> para pronunciarse respecto a estos derechos porque no figuran en la Convención Americana</w:t>
      </w:r>
      <w:r w:rsidR="00B3218C" w:rsidRPr="00D101B3">
        <w:rPr>
          <w:rFonts w:asciiTheme="majorHAnsi" w:hAnsiTheme="majorHAnsi"/>
          <w:sz w:val="20"/>
          <w:szCs w:val="20"/>
          <w:lang w:val="es-UY"/>
        </w:rPr>
        <w:t>;</w:t>
      </w:r>
      <w:r w:rsidR="00743AFE" w:rsidRPr="00D101B3">
        <w:rPr>
          <w:rFonts w:asciiTheme="majorHAnsi" w:hAnsiTheme="majorHAnsi"/>
          <w:sz w:val="20"/>
          <w:szCs w:val="20"/>
          <w:lang w:val="es-UY"/>
        </w:rPr>
        <w:t xml:space="preserve"> </w:t>
      </w:r>
      <w:r w:rsidR="00B3218C" w:rsidRPr="00D101B3">
        <w:rPr>
          <w:rFonts w:asciiTheme="majorHAnsi" w:hAnsiTheme="majorHAnsi"/>
          <w:sz w:val="20"/>
          <w:szCs w:val="20"/>
          <w:lang w:val="es-UY"/>
        </w:rPr>
        <w:t xml:space="preserve">y </w:t>
      </w:r>
      <w:r w:rsidR="00743AFE" w:rsidRPr="00D101B3">
        <w:rPr>
          <w:rFonts w:asciiTheme="majorHAnsi" w:hAnsiTheme="majorHAnsi"/>
          <w:sz w:val="20"/>
          <w:szCs w:val="20"/>
          <w:lang w:val="es-UY"/>
        </w:rPr>
        <w:t xml:space="preserve">que, aunque </w:t>
      </w:r>
      <w:r w:rsidR="00B3218C" w:rsidRPr="00D101B3">
        <w:rPr>
          <w:rFonts w:asciiTheme="majorHAnsi" w:hAnsiTheme="majorHAnsi"/>
          <w:sz w:val="20"/>
          <w:szCs w:val="20"/>
          <w:lang w:val="es-UY"/>
        </w:rPr>
        <w:t xml:space="preserve">estén reconocidos en </w:t>
      </w:r>
      <w:r w:rsidR="00743AFE" w:rsidRPr="00D101B3">
        <w:rPr>
          <w:rFonts w:asciiTheme="majorHAnsi" w:hAnsiTheme="majorHAnsi"/>
          <w:sz w:val="20"/>
          <w:szCs w:val="20"/>
          <w:lang w:val="es-UY"/>
        </w:rPr>
        <w:t>la Declaración Americana de Derechos</w:t>
      </w:r>
      <w:r w:rsidR="00B6353D" w:rsidRPr="00D101B3">
        <w:rPr>
          <w:rFonts w:asciiTheme="majorHAnsi" w:hAnsiTheme="majorHAnsi"/>
          <w:sz w:val="20"/>
          <w:szCs w:val="20"/>
          <w:lang w:val="es-UY"/>
        </w:rPr>
        <w:t xml:space="preserve">, no son susceptibles de judicialización ante la Comisión </w:t>
      </w:r>
      <w:r w:rsidR="00B3218C" w:rsidRPr="00D101B3">
        <w:rPr>
          <w:rFonts w:asciiTheme="majorHAnsi" w:hAnsiTheme="majorHAnsi"/>
          <w:sz w:val="20"/>
          <w:szCs w:val="20"/>
          <w:lang w:val="es-UY"/>
        </w:rPr>
        <w:t>Interamericana</w:t>
      </w:r>
      <w:r w:rsidR="00B6353D" w:rsidRPr="00D101B3">
        <w:rPr>
          <w:rFonts w:asciiTheme="majorHAnsi" w:hAnsiTheme="majorHAnsi"/>
          <w:sz w:val="20"/>
          <w:szCs w:val="20"/>
          <w:lang w:val="es-UY"/>
        </w:rPr>
        <w:t>.</w:t>
      </w:r>
      <w:r w:rsidR="000D3B02" w:rsidRPr="00D101B3">
        <w:rPr>
          <w:rFonts w:asciiTheme="majorHAnsi" w:hAnsiTheme="majorHAnsi"/>
          <w:sz w:val="20"/>
          <w:szCs w:val="20"/>
          <w:lang w:val="es-UY"/>
        </w:rPr>
        <w:t xml:space="preserve"> En esa línea, r</w:t>
      </w:r>
      <w:r w:rsidR="00B6353D" w:rsidRPr="00D101B3">
        <w:rPr>
          <w:rFonts w:asciiTheme="majorHAnsi" w:hAnsiTheme="majorHAnsi"/>
          <w:sz w:val="20"/>
          <w:szCs w:val="20"/>
          <w:lang w:val="es-UY"/>
        </w:rPr>
        <w:t>esalta que C</w:t>
      </w:r>
      <w:r w:rsidR="008979A6" w:rsidRPr="00D101B3">
        <w:rPr>
          <w:rFonts w:asciiTheme="majorHAnsi" w:hAnsiTheme="majorHAnsi"/>
          <w:sz w:val="20"/>
          <w:szCs w:val="20"/>
          <w:lang w:val="es-UY"/>
        </w:rPr>
        <w:t>hile</w:t>
      </w:r>
      <w:r w:rsidR="00B6353D" w:rsidRPr="00D101B3">
        <w:rPr>
          <w:rFonts w:asciiTheme="majorHAnsi" w:hAnsiTheme="majorHAnsi"/>
          <w:sz w:val="20"/>
          <w:szCs w:val="20"/>
          <w:lang w:val="es-UY"/>
        </w:rPr>
        <w:t xml:space="preserve"> no ha manifestado su voluntad de brindar competencia a los órganos del </w:t>
      </w:r>
      <w:r w:rsidR="00B3218C" w:rsidRPr="00D101B3">
        <w:rPr>
          <w:rFonts w:asciiTheme="majorHAnsi" w:hAnsiTheme="majorHAnsi"/>
          <w:sz w:val="20"/>
          <w:szCs w:val="20"/>
          <w:lang w:val="es-UY"/>
        </w:rPr>
        <w:t>s</w:t>
      </w:r>
      <w:r w:rsidR="00B6353D" w:rsidRPr="00D101B3">
        <w:rPr>
          <w:rFonts w:asciiTheme="majorHAnsi" w:hAnsiTheme="majorHAnsi"/>
          <w:sz w:val="20"/>
          <w:szCs w:val="20"/>
          <w:lang w:val="es-UY"/>
        </w:rPr>
        <w:t xml:space="preserve">istema </w:t>
      </w:r>
      <w:r w:rsidR="00B3218C" w:rsidRPr="00D101B3">
        <w:rPr>
          <w:rFonts w:asciiTheme="majorHAnsi" w:hAnsiTheme="majorHAnsi"/>
          <w:sz w:val="20"/>
          <w:szCs w:val="20"/>
          <w:lang w:val="es-UY"/>
        </w:rPr>
        <w:t>i</w:t>
      </w:r>
      <w:r w:rsidR="00B6353D" w:rsidRPr="00D101B3">
        <w:rPr>
          <w:rFonts w:asciiTheme="majorHAnsi" w:hAnsiTheme="majorHAnsi"/>
          <w:sz w:val="20"/>
          <w:szCs w:val="20"/>
          <w:lang w:val="es-UY"/>
        </w:rPr>
        <w:t xml:space="preserve">nteramericano con relación a los derechos </w:t>
      </w:r>
      <w:r w:rsidR="00960B12" w:rsidRPr="00D101B3">
        <w:rPr>
          <w:rFonts w:asciiTheme="majorHAnsi" w:hAnsiTheme="majorHAnsi"/>
          <w:sz w:val="20"/>
          <w:szCs w:val="20"/>
          <w:lang w:val="es-UY"/>
        </w:rPr>
        <w:t>económicos,</w:t>
      </w:r>
      <w:r w:rsidR="00B6353D" w:rsidRPr="00D101B3">
        <w:rPr>
          <w:rFonts w:asciiTheme="majorHAnsi" w:hAnsiTheme="majorHAnsi"/>
          <w:sz w:val="20"/>
          <w:szCs w:val="20"/>
          <w:lang w:val="es-UY"/>
        </w:rPr>
        <w:t xml:space="preserve"> sociales y culturales, por cuanto no ha ratificado el Protocolo de S</w:t>
      </w:r>
      <w:r w:rsidR="00960B12" w:rsidRPr="00D101B3">
        <w:rPr>
          <w:rFonts w:asciiTheme="majorHAnsi" w:hAnsiTheme="majorHAnsi"/>
          <w:sz w:val="20"/>
          <w:szCs w:val="20"/>
          <w:lang w:val="es-UY"/>
        </w:rPr>
        <w:t>an</w:t>
      </w:r>
      <w:r w:rsidR="00B6353D" w:rsidRPr="00D101B3">
        <w:rPr>
          <w:rFonts w:asciiTheme="majorHAnsi" w:hAnsiTheme="majorHAnsi"/>
          <w:sz w:val="20"/>
          <w:szCs w:val="20"/>
          <w:lang w:val="es-UY"/>
        </w:rPr>
        <w:t xml:space="preserve"> Salvador. </w:t>
      </w:r>
      <w:r w:rsidR="008979A6" w:rsidRPr="00D101B3">
        <w:rPr>
          <w:rFonts w:asciiTheme="majorHAnsi" w:hAnsiTheme="majorHAnsi"/>
          <w:sz w:val="20"/>
          <w:szCs w:val="20"/>
          <w:lang w:val="es-UY"/>
        </w:rPr>
        <w:tab/>
      </w:r>
    </w:p>
    <w:p w14:paraId="4DDA1694" w14:textId="263E9945" w:rsidR="008979A6" w:rsidRPr="00D101B3" w:rsidRDefault="00960B12"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D101B3">
        <w:rPr>
          <w:rFonts w:asciiTheme="majorHAnsi" w:hAnsiTheme="majorHAnsi"/>
          <w:sz w:val="20"/>
          <w:szCs w:val="20"/>
          <w:lang w:val="es-UY"/>
        </w:rPr>
        <w:t xml:space="preserve">Considera que lo expuesto en la petición no es un caso de infracción a los derechos humanos sino una simple disconformidad con el resultado de una sentencia cuya revisión se solicitó por distintas vías judiciales a nivel doméstico. Manifiesta por lo tanto que la pretensión es inadmisible conforme a la “fórmula de la cuarta instancia” porque la denuncia solo pretende buscar una nueva instancia que revise y enmiende la sentencia que </w:t>
      </w:r>
      <w:r w:rsidR="000D3B02" w:rsidRPr="00D101B3">
        <w:rPr>
          <w:rFonts w:asciiTheme="majorHAnsi" w:hAnsiTheme="majorHAnsi"/>
          <w:sz w:val="20"/>
          <w:szCs w:val="20"/>
          <w:lang w:val="es-UY"/>
        </w:rPr>
        <w:t>resultó</w:t>
      </w:r>
      <w:r w:rsidRPr="00D101B3">
        <w:rPr>
          <w:rFonts w:asciiTheme="majorHAnsi" w:hAnsiTheme="majorHAnsi"/>
          <w:sz w:val="20"/>
          <w:szCs w:val="20"/>
          <w:lang w:val="es-UY"/>
        </w:rPr>
        <w:t xml:space="preserve"> desfavorable a los intereses de las presuntas víctimas. </w:t>
      </w:r>
    </w:p>
    <w:p w14:paraId="6F4D4171" w14:textId="680CC0A8" w:rsidR="003239B8" w:rsidRPr="00D101B3" w:rsidRDefault="003239B8" w:rsidP="00257F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UY"/>
        </w:rPr>
      </w:pPr>
      <w:r w:rsidRPr="00D101B3">
        <w:rPr>
          <w:rFonts w:asciiTheme="majorHAnsi" w:eastAsia="Cambria" w:hAnsiTheme="majorHAnsi" w:cs="Cambria"/>
          <w:b/>
          <w:bCs/>
          <w:color w:val="000000"/>
          <w:sz w:val="20"/>
          <w:szCs w:val="20"/>
          <w:u w:color="000000"/>
          <w:lang w:val="es-ES" w:eastAsia="es-ES"/>
        </w:rPr>
        <w:t>VI.</w:t>
      </w:r>
      <w:r w:rsidRPr="00D101B3">
        <w:rPr>
          <w:rFonts w:asciiTheme="majorHAnsi" w:eastAsia="Cambria" w:hAnsiTheme="majorHAnsi" w:cs="Cambria"/>
          <w:b/>
          <w:bCs/>
          <w:color w:val="000000"/>
          <w:sz w:val="20"/>
          <w:szCs w:val="20"/>
          <w:u w:color="000000"/>
          <w:lang w:val="es-ES" w:eastAsia="es-ES"/>
        </w:rPr>
        <w:tab/>
      </w:r>
      <w:r w:rsidR="00C21FEF" w:rsidRPr="00D101B3">
        <w:rPr>
          <w:rFonts w:asciiTheme="majorHAnsi" w:hAnsiTheme="majorHAnsi"/>
          <w:b/>
          <w:sz w:val="20"/>
          <w:szCs w:val="20"/>
          <w:lang w:val="es-ES"/>
        </w:rPr>
        <w:t>AGOTAMIENTO DE RECURSOS INTERNOS Y PLAZO DE PRESENTACIÓN</w:t>
      </w:r>
      <w:r w:rsidR="00C21FEF" w:rsidRPr="00D101B3">
        <w:rPr>
          <w:rFonts w:asciiTheme="majorHAnsi" w:eastAsia="Cambria" w:hAnsiTheme="majorHAnsi" w:cs="Cambria"/>
          <w:b/>
          <w:bCs/>
          <w:color w:val="000000"/>
          <w:sz w:val="20"/>
          <w:szCs w:val="20"/>
          <w:u w:color="000000"/>
          <w:lang w:val="es-ES" w:eastAsia="es-ES"/>
        </w:rPr>
        <w:t xml:space="preserve"> </w:t>
      </w:r>
    </w:p>
    <w:p w14:paraId="46124757" w14:textId="3C4CEDF7" w:rsidR="00C7464E" w:rsidRPr="00D101B3" w:rsidRDefault="007E75F4"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D101B3">
        <w:rPr>
          <w:rFonts w:asciiTheme="majorHAnsi" w:hAnsiTheme="majorHAnsi"/>
          <w:sz w:val="20"/>
          <w:szCs w:val="20"/>
          <w:lang w:val="es-ES"/>
        </w:rPr>
        <w:t xml:space="preserve">La Comisión </w:t>
      </w:r>
      <w:r w:rsidR="00B3218C" w:rsidRPr="00D101B3">
        <w:rPr>
          <w:rFonts w:asciiTheme="majorHAnsi" w:hAnsiTheme="majorHAnsi"/>
          <w:sz w:val="20"/>
          <w:szCs w:val="20"/>
          <w:lang w:val="es-ES"/>
        </w:rPr>
        <w:t xml:space="preserve">Interamericana </w:t>
      </w:r>
      <w:r w:rsidRPr="00D101B3">
        <w:rPr>
          <w:rFonts w:asciiTheme="majorHAnsi" w:hAnsiTheme="majorHAnsi"/>
          <w:sz w:val="20"/>
          <w:szCs w:val="20"/>
          <w:lang w:val="es-ES"/>
        </w:rPr>
        <w:t xml:space="preserve">observa que </w:t>
      </w:r>
      <w:r w:rsidR="00C7464E" w:rsidRPr="00D101B3">
        <w:rPr>
          <w:rFonts w:asciiTheme="majorHAnsi" w:hAnsiTheme="majorHAnsi"/>
          <w:sz w:val="20"/>
          <w:szCs w:val="20"/>
          <w:lang w:val="es-ES"/>
        </w:rPr>
        <w:t xml:space="preserve">ninguna de las partes ha presentado observaciones respecto </w:t>
      </w:r>
      <w:r w:rsidR="00B3218C" w:rsidRPr="00D101B3">
        <w:rPr>
          <w:rFonts w:asciiTheme="majorHAnsi" w:hAnsiTheme="majorHAnsi"/>
          <w:sz w:val="20"/>
          <w:szCs w:val="20"/>
          <w:lang w:val="es-ES"/>
        </w:rPr>
        <w:t>el cumplimiento con</w:t>
      </w:r>
      <w:r w:rsidR="00C7464E" w:rsidRPr="00D101B3">
        <w:rPr>
          <w:rFonts w:asciiTheme="majorHAnsi" w:hAnsiTheme="majorHAnsi"/>
          <w:sz w:val="20"/>
          <w:szCs w:val="20"/>
          <w:lang w:val="es-ES"/>
        </w:rPr>
        <w:t xml:space="preserve"> los requisitos de agotamiento de los recursos internos </w:t>
      </w:r>
      <w:r w:rsidR="00B3218C" w:rsidRPr="00D101B3">
        <w:rPr>
          <w:rFonts w:asciiTheme="majorHAnsi" w:hAnsiTheme="majorHAnsi"/>
          <w:sz w:val="20"/>
          <w:szCs w:val="20"/>
          <w:lang w:val="es-ES"/>
        </w:rPr>
        <w:t xml:space="preserve">o de </w:t>
      </w:r>
      <w:r w:rsidR="00C7464E" w:rsidRPr="00D101B3">
        <w:rPr>
          <w:rFonts w:asciiTheme="majorHAnsi" w:hAnsiTheme="majorHAnsi"/>
          <w:sz w:val="20"/>
          <w:szCs w:val="20"/>
          <w:lang w:val="es-ES"/>
        </w:rPr>
        <w:t>presentación dentro de plazo.</w:t>
      </w:r>
      <w:r w:rsidR="00B3218C" w:rsidRPr="00D101B3">
        <w:rPr>
          <w:rFonts w:asciiTheme="majorHAnsi" w:hAnsiTheme="majorHAnsi"/>
          <w:sz w:val="20"/>
          <w:szCs w:val="20"/>
          <w:lang w:val="es-ES"/>
        </w:rPr>
        <w:t xml:space="preserve"> De todas maneras, el expediente revela </w:t>
      </w:r>
      <w:r w:rsidR="00C7464E" w:rsidRPr="00D101B3">
        <w:rPr>
          <w:rFonts w:asciiTheme="majorHAnsi" w:hAnsiTheme="majorHAnsi"/>
          <w:sz w:val="20"/>
          <w:szCs w:val="20"/>
          <w:lang w:val="es-ES"/>
        </w:rPr>
        <w:t>que las presuntas víctimas presentaron los recursos de apelación y de casación contra la condena penal en su contra</w:t>
      </w:r>
      <w:r w:rsidR="00452DAC" w:rsidRPr="00D101B3">
        <w:rPr>
          <w:rFonts w:asciiTheme="majorHAnsi" w:hAnsiTheme="majorHAnsi"/>
          <w:sz w:val="20"/>
          <w:szCs w:val="20"/>
          <w:lang w:val="es-ES"/>
        </w:rPr>
        <w:t>. Adicionalmente, el Estado ha indicado que las presuntas víctimas presentaron solicitudes para que se les permitiera esperar el resultado del juicio en Uruguay</w:t>
      </w:r>
      <w:r w:rsidR="00D96054" w:rsidRPr="00D101B3">
        <w:rPr>
          <w:rFonts w:asciiTheme="majorHAnsi" w:hAnsiTheme="majorHAnsi"/>
          <w:sz w:val="20"/>
          <w:szCs w:val="20"/>
          <w:lang w:val="es-ES"/>
        </w:rPr>
        <w:t>,</w:t>
      </w:r>
      <w:r w:rsidR="00452DAC" w:rsidRPr="00D101B3">
        <w:rPr>
          <w:rFonts w:asciiTheme="majorHAnsi" w:hAnsiTheme="majorHAnsi"/>
          <w:sz w:val="20"/>
          <w:szCs w:val="20"/>
          <w:lang w:val="es-ES"/>
        </w:rPr>
        <w:t xml:space="preserve"> que fueron rechazadas. El Estado no ha alegado ni surge del expediente que </w:t>
      </w:r>
      <w:r w:rsidR="00B3218C" w:rsidRPr="00D101B3">
        <w:rPr>
          <w:rFonts w:asciiTheme="majorHAnsi" w:hAnsiTheme="majorHAnsi"/>
          <w:sz w:val="20"/>
          <w:szCs w:val="20"/>
          <w:lang w:val="es-ES"/>
        </w:rPr>
        <w:t xml:space="preserve">hubiera </w:t>
      </w:r>
      <w:r w:rsidR="00452DAC" w:rsidRPr="00D101B3">
        <w:rPr>
          <w:rFonts w:asciiTheme="majorHAnsi" w:hAnsiTheme="majorHAnsi"/>
          <w:sz w:val="20"/>
          <w:szCs w:val="20"/>
          <w:lang w:val="es-ES"/>
        </w:rPr>
        <w:t xml:space="preserve">recursos adicionales no agotados que </w:t>
      </w:r>
      <w:r w:rsidR="00B3218C" w:rsidRPr="00D101B3">
        <w:rPr>
          <w:rFonts w:asciiTheme="majorHAnsi" w:hAnsiTheme="majorHAnsi"/>
          <w:sz w:val="20"/>
          <w:szCs w:val="20"/>
          <w:lang w:val="es-ES"/>
        </w:rPr>
        <w:t xml:space="preserve">podrían </w:t>
      </w:r>
      <w:r w:rsidR="00452DAC" w:rsidRPr="00D101B3">
        <w:rPr>
          <w:rFonts w:asciiTheme="majorHAnsi" w:hAnsiTheme="majorHAnsi"/>
          <w:sz w:val="20"/>
          <w:szCs w:val="20"/>
          <w:lang w:val="es-ES"/>
        </w:rPr>
        <w:t xml:space="preserve">ser idóneos para que los reclamos de las presuntas víctimas sean atendidos </w:t>
      </w:r>
      <w:r w:rsidR="00B3218C" w:rsidRPr="00D101B3">
        <w:rPr>
          <w:rFonts w:asciiTheme="majorHAnsi" w:hAnsiTheme="majorHAnsi"/>
          <w:sz w:val="20"/>
          <w:szCs w:val="20"/>
          <w:lang w:val="es-ES"/>
        </w:rPr>
        <w:t>en el ámbito interno</w:t>
      </w:r>
      <w:r w:rsidR="00452DAC" w:rsidRPr="00D101B3">
        <w:rPr>
          <w:rFonts w:asciiTheme="majorHAnsi" w:hAnsiTheme="majorHAnsi"/>
          <w:sz w:val="20"/>
          <w:szCs w:val="20"/>
          <w:lang w:val="es-ES"/>
        </w:rPr>
        <w:t xml:space="preserve">.  Por </w:t>
      </w:r>
      <w:r w:rsidR="00B3218C" w:rsidRPr="00D101B3">
        <w:rPr>
          <w:rFonts w:asciiTheme="majorHAnsi" w:hAnsiTheme="majorHAnsi"/>
          <w:sz w:val="20"/>
          <w:szCs w:val="20"/>
          <w:lang w:val="es-ES"/>
        </w:rPr>
        <w:t>lo tanto, la CIDH</w:t>
      </w:r>
      <w:r w:rsidR="00452DAC" w:rsidRPr="00D101B3">
        <w:rPr>
          <w:rFonts w:asciiTheme="majorHAnsi" w:hAnsiTheme="majorHAnsi"/>
          <w:sz w:val="20"/>
          <w:szCs w:val="20"/>
          <w:lang w:val="es-ES"/>
        </w:rPr>
        <w:t xml:space="preserve"> estima que la presente petición cumple con </w:t>
      </w:r>
      <w:r w:rsidR="00B3218C" w:rsidRPr="00D101B3">
        <w:rPr>
          <w:rFonts w:asciiTheme="majorHAnsi" w:hAnsiTheme="majorHAnsi"/>
          <w:sz w:val="20"/>
          <w:szCs w:val="20"/>
          <w:lang w:val="es-ES"/>
        </w:rPr>
        <w:t xml:space="preserve">el </w:t>
      </w:r>
      <w:r w:rsidR="00452DAC" w:rsidRPr="00D101B3">
        <w:rPr>
          <w:rFonts w:asciiTheme="majorHAnsi" w:hAnsiTheme="majorHAnsi"/>
          <w:sz w:val="20"/>
          <w:szCs w:val="20"/>
          <w:lang w:val="es-ES"/>
        </w:rPr>
        <w:t>requisito del artículo 46.1(a) de la Convención Americana. Dado que la decisión que confirmó definitivamente la condena contra las presuntas víctimas se emitió el</w:t>
      </w:r>
      <w:r w:rsidR="00981386" w:rsidRPr="00D101B3">
        <w:rPr>
          <w:rFonts w:asciiTheme="majorHAnsi" w:hAnsiTheme="majorHAnsi"/>
          <w:sz w:val="20"/>
          <w:szCs w:val="20"/>
          <w:lang w:val="es-ES"/>
        </w:rPr>
        <w:t xml:space="preserve"> 11 de agosto de 2015 y la petición fue presentada el 20 de julio de 2012,</w:t>
      </w:r>
      <w:r w:rsidR="00452DAC" w:rsidRPr="00D101B3">
        <w:rPr>
          <w:rFonts w:asciiTheme="majorHAnsi" w:hAnsiTheme="majorHAnsi"/>
          <w:sz w:val="20"/>
          <w:szCs w:val="20"/>
          <w:lang w:val="es-ES"/>
        </w:rPr>
        <w:t xml:space="preserve"> la Comisión </w:t>
      </w:r>
      <w:r w:rsidR="00B3218C" w:rsidRPr="00D101B3">
        <w:rPr>
          <w:rFonts w:asciiTheme="majorHAnsi" w:hAnsiTheme="majorHAnsi"/>
          <w:sz w:val="20"/>
          <w:szCs w:val="20"/>
          <w:lang w:val="es-ES"/>
        </w:rPr>
        <w:t xml:space="preserve">Interamericana </w:t>
      </w:r>
      <w:r w:rsidR="00452DAC" w:rsidRPr="00D101B3">
        <w:rPr>
          <w:rFonts w:asciiTheme="majorHAnsi" w:hAnsiTheme="majorHAnsi"/>
          <w:sz w:val="20"/>
          <w:szCs w:val="20"/>
          <w:lang w:val="es-ES"/>
        </w:rPr>
        <w:t xml:space="preserve">concluye que cumple </w:t>
      </w:r>
      <w:r w:rsidR="00B3218C" w:rsidRPr="00D101B3">
        <w:rPr>
          <w:rFonts w:asciiTheme="majorHAnsi" w:hAnsiTheme="majorHAnsi"/>
          <w:sz w:val="20"/>
          <w:szCs w:val="20"/>
          <w:lang w:val="es-ES"/>
        </w:rPr>
        <w:t xml:space="preserve">igualmente </w:t>
      </w:r>
      <w:r w:rsidR="00452DAC" w:rsidRPr="00D101B3">
        <w:rPr>
          <w:rFonts w:asciiTheme="majorHAnsi" w:hAnsiTheme="majorHAnsi"/>
          <w:sz w:val="20"/>
          <w:szCs w:val="20"/>
          <w:lang w:val="es-ES"/>
        </w:rPr>
        <w:t xml:space="preserve">con </w:t>
      </w:r>
      <w:r w:rsidR="00B3218C" w:rsidRPr="00D101B3">
        <w:rPr>
          <w:rFonts w:asciiTheme="majorHAnsi" w:hAnsiTheme="majorHAnsi"/>
          <w:sz w:val="20"/>
          <w:szCs w:val="20"/>
          <w:lang w:val="es-ES"/>
        </w:rPr>
        <w:t>e</w:t>
      </w:r>
      <w:r w:rsidR="00452DAC" w:rsidRPr="00D101B3">
        <w:rPr>
          <w:rFonts w:asciiTheme="majorHAnsi" w:hAnsiTheme="majorHAnsi"/>
          <w:sz w:val="20"/>
          <w:szCs w:val="20"/>
          <w:lang w:val="es-ES"/>
        </w:rPr>
        <w:t xml:space="preserve">l requisito del artículo 46.1(b) de la Convención Americana. </w:t>
      </w:r>
    </w:p>
    <w:p w14:paraId="6E51E4A9" w14:textId="56BE0F9E" w:rsidR="00B3218C" w:rsidRPr="00D101B3" w:rsidRDefault="00B3218C">
      <w:pPr>
        <w:rPr>
          <w:rFonts w:asciiTheme="majorHAnsi" w:hAnsiTheme="majorHAnsi"/>
          <w:sz w:val="20"/>
          <w:szCs w:val="20"/>
          <w:lang w:val="es-ES"/>
        </w:rPr>
      </w:pPr>
      <w:r w:rsidRPr="00D101B3">
        <w:rPr>
          <w:rFonts w:asciiTheme="majorHAnsi" w:hAnsiTheme="majorHAnsi"/>
          <w:sz w:val="20"/>
          <w:szCs w:val="20"/>
          <w:lang w:val="es-ES"/>
        </w:rPr>
        <w:br w:type="page"/>
      </w:r>
    </w:p>
    <w:p w14:paraId="4FFBE378" w14:textId="4749B2AB" w:rsidR="003239B8" w:rsidRPr="00D101B3" w:rsidRDefault="003239B8" w:rsidP="003822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D101B3">
        <w:rPr>
          <w:rFonts w:asciiTheme="majorHAnsi" w:hAnsiTheme="majorHAnsi"/>
          <w:b/>
          <w:bCs/>
          <w:sz w:val="20"/>
          <w:szCs w:val="20"/>
          <w:lang w:val="es-ES"/>
        </w:rPr>
        <w:lastRenderedPageBreak/>
        <w:t>VII.</w:t>
      </w:r>
      <w:r w:rsidRPr="00D101B3">
        <w:rPr>
          <w:rFonts w:asciiTheme="majorHAnsi" w:hAnsiTheme="majorHAnsi"/>
          <w:b/>
          <w:bCs/>
          <w:sz w:val="20"/>
          <w:szCs w:val="20"/>
          <w:lang w:val="es-ES"/>
        </w:rPr>
        <w:tab/>
      </w:r>
      <w:r w:rsidR="00C21FEF" w:rsidRPr="00D101B3">
        <w:rPr>
          <w:rFonts w:asciiTheme="majorHAnsi" w:hAnsiTheme="majorHAnsi"/>
          <w:b/>
          <w:bCs/>
          <w:sz w:val="20"/>
          <w:szCs w:val="20"/>
          <w:lang w:val="es-ES"/>
        </w:rPr>
        <w:t xml:space="preserve">CARACTERIZACIÓN </w:t>
      </w:r>
    </w:p>
    <w:p w14:paraId="64FF1E25" w14:textId="0695A26A" w:rsidR="00301024" w:rsidRPr="00D101B3" w:rsidRDefault="008723F2" w:rsidP="008723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101B3">
        <w:rPr>
          <w:rFonts w:asciiTheme="majorHAnsi" w:hAnsiTheme="majorHAnsi"/>
          <w:sz w:val="20"/>
          <w:szCs w:val="20"/>
          <w:lang w:val="es-ES"/>
        </w:rPr>
        <w:t>Preliminarmente y dado que el Estado ha presentado argumentos relacionados con la llamada fórmula de la “cuarta instancia”</w:t>
      </w:r>
      <w:r w:rsidRPr="00D101B3">
        <w:rPr>
          <w:rFonts w:asciiTheme="majorHAnsi" w:hAnsiTheme="majorHAnsi"/>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D101B3">
        <w:rPr>
          <w:rStyle w:val="FootnoteReference"/>
          <w:rFonts w:asciiTheme="majorHAnsi" w:hAnsiTheme="majorHAnsi" w:cs="Calibri"/>
          <w:sz w:val="20"/>
          <w:szCs w:val="20"/>
          <w:lang w:val="es-ES_tradnl"/>
        </w:rPr>
        <w:footnoteReference w:id="4"/>
      </w:r>
      <w:r w:rsidRPr="00D101B3">
        <w:rPr>
          <w:rFonts w:asciiTheme="majorHAnsi" w:hAnsiTheme="majorHAnsi"/>
          <w:sz w:val="20"/>
          <w:szCs w:val="20"/>
          <w:lang w:val="es-ES_tradnl"/>
        </w:rPr>
        <w:t>.</w:t>
      </w:r>
    </w:p>
    <w:p w14:paraId="35845E60" w14:textId="77777777" w:rsidR="008723F2" w:rsidRPr="00D101B3" w:rsidRDefault="008723F2" w:rsidP="008723F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3DBE63FA" w14:textId="5EF910F0" w:rsidR="008723F2" w:rsidRPr="00D101B3" w:rsidRDefault="008723F2" w:rsidP="008723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
        </w:rPr>
      </w:pPr>
      <w:r w:rsidRPr="00D101B3">
        <w:rPr>
          <w:rFonts w:asciiTheme="majorHAnsi" w:hAnsiTheme="majorHAnsi"/>
          <w:color w:val="auto"/>
          <w:sz w:val="20"/>
          <w:szCs w:val="20"/>
          <w:lang w:val="es-ES"/>
        </w:rPr>
        <w:t xml:space="preserve">La </w:t>
      </w:r>
      <w:r w:rsidR="00D101B3" w:rsidRPr="00D101B3">
        <w:rPr>
          <w:rFonts w:asciiTheme="majorHAnsi" w:hAnsiTheme="majorHAnsi"/>
          <w:color w:val="auto"/>
          <w:sz w:val="20"/>
          <w:szCs w:val="20"/>
          <w:lang w:val="es-ES"/>
        </w:rPr>
        <w:t xml:space="preserve">parte peticionaria </w:t>
      </w:r>
      <w:r w:rsidRPr="00D101B3">
        <w:rPr>
          <w:rFonts w:asciiTheme="majorHAnsi" w:hAnsiTheme="majorHAnsi"/>
          <w:color w:val="auto"/>
          <w:sz w:val="20"/>
          <w:szCs w:val="20"/>
          <w:lang w:val="es-ES"/>
        </w:rPr>
        <w:t xml:space="preserve">alega que las presuntas víctimas fueron condenadas penalmente por un juez que no podía considerarse imparcial porque ya había emitido criterio contra </w:t>
      </w:r>
      <w:r w:rsidR="00D101B3" w:rsidRPr="00D101B3">
        <w:rPr>
          <w:rFonts w:asciiTheme="majorHAnsi" w:hAnsiTheme="majorHAnsi"/>
          <w:color w:val="auto"/>
          <w:sz w:val="20"/>
          <w:szCs w:val="20"/>
          <w:lang w:val="es-ES"/>
        </w:rPr>
        <w:t>ellos</w:t>
      </w:r>
      <w:r w:rsidRPr="00D101B3">
        <w:rPr>
          <w:rFonts w:asciiTheme="majorHAnsi" w:hAnsiTheme="majorHAnsi"/>
          <w:color w:val="auto"/>
          <w:sz w:val="20"/>
          <w:szCs w:val="20"/>
          <w:lang w:val="es-ES"/>
        </w:rPr>
        <w:t xml:space="preserve"> en los medios de comunicación</w:t>
      </w:r>
      <w:r w:rsidR="00D101B3" w:rsidRPr="00D101B3">
        <w:rPr>
          <w:rFonts w:asciiTheme="majorHAnsi" w:hAnsiTheme="majorHAnsi"/>
          <w:color w:val="auto"/>
          <w:sz w:val="20"/>
          <w:szCs w:val="20"/>
          <w:lang w:val="es-ES"/>
        </w:rPr>
        <w:t>,</w:t>
      </w:r>
      <w:r w:rsidRPr="00D101B3">
        <w:rPr>
          <w:rFonts w:asciiTheme="majorHAnsi" w:hAnsiTheme="majorHAnsi"/>
          <w:color w:val="auto"/>
          <w:sz w:val="20"/>
          <w:szCs w:val="20"/>
          <w:lang w:val="es-ES"/>
        </w:rPr>
        <w:t xml:space="preserve"> y porque era la misma autoridad que había estado a cargo de la investigación y de formular la acusación en su contra; que a las presuntas víctimas se les negó el acceso al expediente pertinente al proceso en su contra hasta luego de que rindieran sus declaraciones, y se les forzó a rendir declaraciones sin la presencia de una persona letrada que les asistiera;  y que a una de las presuntas víctimas se le impidió reunirse privadamente con su defensor durante el tiempo en que se encontró privado de libertad.</w:t>
      </w:r>
    </w:p>
    <w:p w14:paraId="6CBF176A" w14:textId="77777777" w:rsidR="008723F2" w:rsidRPr="00D101B3" w:rsidRDefault="008723F2" w:rsidP="008723F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719DBB45" w14:textId="5190112C" w:rsidR="00ED4955" w:rsidRPr="00D101B3" w:rsidRDefault="00ED4955"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D101B3">
        <w:rPr>
          <w:rFonts w:asciiTheme="majorHAnsi" w:hAnsiTheme="majorHAnsi"/>
          <w:sz w:val="20"/>
          <w:szCs w:val="20"/>
          <w:lang w:val="es-ES"/>
        </w:rPr>
        <w:t>Dada la naturaleza de las alegaciones, la Comisión considera pertinente recordar que la Corte Interamericana ha indicado que “</w:t>
      </w:r>
      <w:r w:rsidRPr="00D101B3">
        <w:rPr>
          <w:rFonts w:asciiTheme="majorHAnsi" w:hAnsiTheme="majorHAnsi"/>
          <w:sz w:val="20"/>
          <w:szCs w:val="20"/>
          <w:lang w:val="es-PA"/>
        </w:rPr>
        <w:t>la imparcialidad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Pr="00D101B3">
        <w:rPr>
          <w:rStyle w:val="FootnoteReference"/>
          <w:rFonts w:asciiTheme="majorHAnsi" w:hAnsiTheme="majorHAnsi"/>
          <w:sz w:val="20"/>
          <w:szCs w:val="20"/>
          <w:lang w:val="es-PA"/>
        </w:rPr>
        <w:footnoteReference w:id="5"/>
      </w:r>
      <w:r w:rsidRPr="00D101B3">
        <w:rPr>
          <w:rFonts w:asciiTheme="majorHAnsi" w:hAnsiTheme="majorHAnsi"/>
          <w:sz w:val="20"/>
          <w:szCs w:val="20"/>
          <w:lang w:val="es-PA"/>
        </w:rPr>
        <w:t>.</w:t>
      </w:r>
      <w:r w:rsidR="0049356F" w:rsidRPr="00D101B3">
        <w:rPr>
          <w:rFonts w:asciiTheme="majorHAnsi" w:hAnsiTheme="majorHAnsi"/>
          <w:sz w:val="20"/>
          <w:szCs w:val="20"/>
          <w:lang w:val="es-PA"/>
        </w:rPr>
        <w:t xml:space="preserve"> De igual manera, que la Corte Interamericana ha señalado que “[a]siste al Estado la potestad de construir un expediente tomando las medidas necesarias para impedir que dicha labor se vea afectada por la destrucción u ocultamiento de pruebas. Sin embargo, esta potestad debe armonizarse con el derecho de defensa del investigado, que supone, la posibilidad de conocer los hechos que se le imputan”</w:t>
      </w:r>
      <w:r w:rsidR="0049356F" w:rsidRPr="00D101B3">
        <w:rPr>
          <w:rStyle w:val="FootnoteReference"/>
          <w:rFonts w:asciiTheme="majorHAnsi" w:hAnsiTheme="majorHAnsi"/>
          <w:sz w:val="20"/>
          <w:szCs w:val="20"/>
          <w:lang w:val="es-PA"/>
        </w:rPr>
        <w:footnoteReference w:id="6"/>
      </w:r>
      <w:r w:rsidR="0049356F" w:rsidRPr="00D101B3">
        <w:rPr>
          <w:rFonts w:asciiTheme="majorHAnsi" w:hAnsiTheme="majorHAnsi"/>
          <w:sz w:val="20"/>
          <w:szCs w:val="20"/>
          <w:lang w:val="es-PA"/>
        </w:rPr>
        <w:t xml:space="preserve">. La Corte Interamericana ha determinado </w:t>
      </w:r>
      <w:r w:rsidR="00B3218C" w:rsidRPr="00D101B3">
        <w:rPr>
          <w:rFonts w:asciiTheme="majorHAnsi" w:hAnsiTheme="majorHAnsi"/>
          <w:sz w:val="20"/>
          <w:szCs w:val="20"/>
          <w:lang w:val="es-PA"/>
        </w:rPr>
        <w:t xml:space="preserve">igualmente </w:t>
      </w:r>
      <w:r w:rsidR="0049356F" w:rsidRPr="00D101B3">
        <w:rPr>
          <w:rFonts w:asciiTheme="majorHAnsi" w:hAnsiTheme="majorHAnsi"/>
          <w:sz w:val="20"/>
          <w:szCs w:val="20"/>
          <w:lang w:val="es-PA"/>
        </w:rPr>
        <w:t xml:space="preserve">que </w:t>
      </w:r>
      <w:r w:rsidR="005749F1" w:rsidRPr="00D101B3">
        <w:rPr>
          <w:rFonts w:asciiTheme="majorHAnsi" w:hAnsiTheme="majorHAnsi"/>
          <w:sz w:val="20"/>
          <w:szCs w:val="20"/>
          <w:lang w:val="es-PA"/>
        </w:rPr>
        <w:t>“[s]i el derecho a la defensa surge desde el momento en que se ordena investigar a una persona [sic], el investigado debe tener acceso a la defensa técnica desde ese mismo momento, sobre todo en la diligencia en la que se recibe su declaración”</w:t>
      </w:r>
      <w:r w:rsidR="005749F1" w:rsidRPr="00D101B3">
        <w:rPr>
          <w:rStyle w:val="FootnoteReference"/>
          <w:rFonts w:asciiTheme="majorHAnsi" w:hAnsiTheme="majorHAnsi"/>
          <w:sz w:val="20"/>
          <w:szCs w:val="20"/>
          <w:lang w:val="es-PA"/>
        </w:rPr>
        <w:footnoteReference w:id="7"/>
      </w:r>
      <w:r w:rsidR="002712A4" w:rsidRPr="00D101B3">
        <w:rPr>
          <w:rFonts w:asciiTheme="majorHAnsi" w:hAnsiTheme="majorHAnsi"/>
          <w:sz w:val="20"/>
          <w:szCs w:val="20"/>
          <w:lang w:val="es-PA"/>
        </w:rPr>
        <w:t>, así como que ya ha expresado que “toda persona privada de libertad deberá contar con las oportunidades, infraestructura y tiempo adecuados para recibir visitas, comunicarse y consultar a sus abogados sin demora, interceptación o censura y con plena confidencialidad”</w:t>
      </w:r>
      <w:r w:rsidR="002712A4" w:rsidRPr="00D101B3">
        <w:rPr>
          <w:rStyle w:val="FootnoteReference"/>
          <w:rFonts w:asciiTheme="majorHAnsi" w:hAnsiTheme="majorHAnsi"/>
          <w:sz w:val="20"/>
          <w:szCs w:val="20"/>
          <w:lang w:val="es-PA"/>
        </w:rPr>
        <w:footnoteReference w:id="8"/>
      </w:r>
      <w:r w:rsidR="002712A4" w:rsidRPr="00D101B3">
        <w:rPr>
          <w:rFonts w:asciiTheme="majorHAnsi" w:hAnsiTheme="majorHAnsi"/>
          <w:sz w:val="20"/>
          <w:szCs w:val="20"/>
          <w:lang w:val="es-PA"/>
        </w:rPr>
        <w:t>.</w:t>
      </w:r>
      <w:r w:rsidR="00C46D46" w:rsidRPr="00D101B3">
        <w:rPr>
          <w:rFonts w:asciiTheme="majorHAnsi" w:hAnsiTheme="majorHAnsi"/>
          <w:sz w:val="20"/>
          <w:szCs w:val="20"/>
          <w:lang w:val="es-PA"/>
        </w:rPr>
        <w:t xml:space="preserve"> </w:t>
      </w:r>
    </w:p>
    <w:p w14:paraId="21E1535A" w14:textId="59CD9CCA" w:rsidR="00C46D46" w:rsidRPr="005B3D9B" w:rsidRDefault="00B3218C"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D101B3">
        <w:rPr>
          <w:rFonts w:asciiTheme="majorHAnsi" w:hAnsiTheme="majorHAnsi"/>
          <w:sz w:val="20"/>
          <w:szCs w:val="20"/>
          <w:lang w:val="es-ES"/>
        </w:rPr>
        <w:t>T</w:t>
      </w:r>
      <w:r w:rsidR="00C46D46" w:rsidRPr="00D101B3">
        <w:rPr>
          <w:rFonts w:asciiTheme="majorHAnsi" w:hAnsiTheme="majorHAnsi"/>
          <w:sz w:val="20"/>
          <w:szCs w:val="20"/>
          <w:lang w:val="es-ES"/>
        </w:rPr>
        <w:t>ras examinar los elementos de hecho y de derecho expuestos por las partes</w:t>
      </w:r>
      <w:r w:rsidRPr="00D101B3">
        <w:rPr>
          <w:rFonts w:asciiTheme="majorHAnsi" w:hAnsiTheme="majorHAnsi"/>
          <w:sz w:val="20"/>
          <w:szCs w:val="20"/>
          <w:lang w:val="es-ES"/>
        </w:rPr>
        <w:t>,</w:t>
      </w:r>
      <w:r w:rsidR="00C46D46" w:rsidRPr="00D101B3">
        <w:rPr>
          <w:rFonts w:asciiTheme="majorHAnsi" w:hAnsiTheme="majorHAnsi"/>
          <w:sz w:val="20"/>
          <w:szCs w:val="20"/>
          <w:lang w:val="es-ES"/>
        </w:rPr>
        <w:t xml:space="preserve"> la Comisión </w:t>
      </w:r>
      <w:r w:rsidRPr="00D101B3">
        <w:rPr>
          <w:rFonts w:asciiTheme="majorHAnsi" w:hAnsiTheme="majorHAnsi"/>
          <w:sz w:val="20"/>
          <w:szCs w:val="20"/>
          <w:lang w:val="es-ES"/>
        </w:rPr>
        <w:t xml:space="preserve">Interamericana </w:t>
      </w:r>
      <w:r w:rsidR="00C46D46" w:rsidRPr="00D101B3">
        <w:rPr>
          <w:rFonts w:asciiTheme="majorHAnsi" w:hAnsiTheme="majorHAnsi"/>
          <w:sz w:val="20"/>
          <w:szCs w:val="20"/>
          <w:lang w:val="es-ES"/>
        </w:rPr>
        <w:t xml:space="preserve">estima que las alegaciones de la parte peticionaria no resultan manifiestamente infundadas y requieren un estudio de fondo pues los hechos alegados, de corroborarse como ciertos podrían caracterizar violaciones a los </w:t>
      </w:r>
      <w:r w:rsidR="00C46D46" w:rsidRPr="00D101B3">
        <w:rPr>
          <w:rFonts w:asciiTheme="majorHAnsi" w:hAnsiTheme="majorHAnsi"/>
          <w:bCs/>
          <w:sz w:val="20"/>
          <w:szCs w:val="20"/>
          <w:lang w:val="es-ES"/>
        </w:rPr>
        <w:t>artículos</w:t>
      </w:r>
      <w:r w:rsidR="009666E2" w:rsidRPr="00D101B3">
        <w:rPr>
          <w:rFonts w:asciiTheme="majorHAnsi" w:hAnsiTheme="majorHAnsi"/>
          <w:bCs/>
          <w:sz w:val="20"/>
          <w:szCs w:val="20"/>
          <w:lang w:val="es-ES" w:eastAsia="es-ES"/>
        </w:rPr>
        <w:t xml:space="preserve"> 8 (garantías judiciales)</w:t>
      </w:r>
      <w:r w:rsidR="00E40DEE" w:rsidRPr="00D101B3">
        <w:rPr>
          <w:rFonts w:asciiTheme="majorHAnsi" w:hAnsiTheme="majorHAnsi"/>
          <w:bCs/>
          <w:sz w:val="20"/>
          <w:szCs w:val="20"/>
          <w:lang w:val="es-ES" w:eastAsia="es-ES"/>
        </w:rPr>
        <w:t xml:space="preserve"> y</w:t>
      </w:r>
      <w:r w:rsidR="009666E2" w:rsidRPr="00D101B3">
        <w:rPr>
          <w:rFonts w:asciiTheme="majorHAnsi" w:hAnsiTheme="majorHAnsi"/>
          <w:bCs/>
          <w:sz w:val="20"/>
          <w:szCs w:val="20"/>
          <w:lang w:val="es-ES" w:eastAsia="es-ES"/>
        </w:rPr>
        <w:t xml:space="preserve"> 25 (protección judicial) de la Convención Americana en relación con sus artículos 1.1. (obligación de respetar los derechos) y 2 (deber de adoptar disposiciones de derecho interno).</w:t>
      </w:r>
    </w:p>
    <w:p w14:paraId="304D4C97" w14:textId="77777777" w:rsidR="005B3D9B" w:rsidRPr="00D101B3" w:rsidRDefault="005B3D9B" w:rsidP="005B3D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p>
    <w:p w14:paraId="0E8D6F0C" w14:textId="64138B9B" w:rsidR="009666E2" w:rsidRPr="00D101B3" w:rsidRDefault="009666E2"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D101B3">
        <w:rPr>
          <w:rFonts w:asciiTheme="majorHAnsi" w:hAnsiTheme="majorHAnsi"/>
          <w:bCs/>
          <w:sz w:val="20"/>
          <w:szCs w:val="20"/>
          <w:lang w:val="es-ES" w:eastAsia="es-ES"/>
        </w:rPr>
        <w:lastRenderedPageBreak/>
        <w:t xml:space="preserve">En cuanto a las </w:t>
      </w:r>
      <w:r w:rsidR="00F60346" w:rsidRPr="00D101B3">
        <w:rPr>
          <w:rFonts w:asciiTheme="majorHAnsi" w:hAnsiTheme="majorHAnsi"/>
          <w:bCs/>
          <w:sz w:val="20"/>
          <w:szCs w:val="20"/>
          <w:lang w:val="es-ES" w:eastAsia="es-ES"/>
        </w:rPr>
        <w:t xml:space="preserve">supuestas </w:t>
      </w:r>
      <w:r w:rsidRPr="00D101B3">
        <w:rPr>
          <w:rFonts w:asciiTheme="majorHAnsi" w:hAnsiTheme="majorHAnsi"/>
          <w:bCs/>
          <w:sz w:val="20"/>
          <w:szCs w:val="20"/>
          <w:lang w:val="es-ES" w:eastAsia="es-ES"/>
        </w:rPr>
        <w:t xml:space="preserve">violaciones </w:t>
      </w:r>
      <w:r w:rsidR="00B51D51" w:rsidRPr="00D101B3">
        <w:rPr>
          <w:rFonts w:asciiTheme="majorHAnsi" w:hAnsiTheme="majorHAnsi"/>
          <w:bCs/>
          <w:sz w:val="20"/>
          <w:szCs w:val="20"/>
          <w:lang w:val="es-ES" w:eastAsia="es-ES"/>
        </w:rPr>
        <w:t>al artículo 9 (principio de legalidad y de retroactividad)</w:t>
      </w:r>
      <w:r w:rsidRPr="00D101B3">
        <w:rPr>
          <w:rFonts w:asciiTheme="majorHAnsi" w:hAnsiTheme="majorHAnsi"/>
          <w:bCs/>
          <w:sz w:val="20"/>
          <w:szCs w:val="20"/>
          <w:lang w:val="es-ES" w:eastAsia="es-ES"/>
        </w:rPr>
        <w:t xml:space="preserve"> de la Convención Americana, la C</w:t>
      </w:r>
      <w:r w:rsidR="00F60346" w:rsidRPr="00D101B3">
        <w:rPr>
          <w:rFonts w:asciiTheme="majorHAnsi" w:hAnsiTheme="majorHAnsi"/>
          <w:bCs/>
          <w:sz w:val="20"/>
          <w:szCs w:val="20"/>
          <w:lang w:val="es-ES" w:eastAsia="es-ES"/>
        </w:rPr>
        <w:t>IDH</w:t>
      </w:r>
      <w:r w:rsidR="00D70731" w:rsidRPr="00D101B3">
        <w:rPr>
          <w:rFonts w:asciiTheme="majorHAnsi" w:hAnsiTheme="majorHAnsi"/>
          <w:bCs/>
          <w:sz w:val="20"/>
          <w:szCs w:val="20"/>
          <w:lang w:val="es-ES" w:eastAsia="es-ES"/>
        </w:rPr>
        <w:t xml:space="preserve"> observa que los reclamos de la parte peticionaria se refieren a que las autoridades judiciales </w:t>
      </w:r>
      <w:r w:rsidR="00F60346" w:rsidRPr="00D101B3">
        <w:rPr>
          <w:rFonts w:asciiTheme="majorHAnsi" w:hAnsiTheme="majorHAnsi"/>
          <w:bCs/>
          <w:sz w:val="20"/>
          <w:szCs w:val="20"/>
          <w:lang w:val="es-ES" w:eastAsia="es-ES"/>
        </w:rPr>
        <w:t xml:space="preserve">supuestamente </w:t>
      </w:r>
      <w:r w:rsidR="00D70731" w:rsidRPr="00D101B3">
        <w:rPr>
          <w:rFonts w:asciiTheme="majorHAnsi" w:hAnsiTheme="majorHAnsi"/>
          <w:bCs/>
          <w:sz w:val="20"/>
          <w:szCs w:val="20"/>
          <w:lang w:val="es-ES" w:eastAsia="es-ES"/>
        </w:rPr>
        <w:t xml:space="preserve">aplicaron la calificación de delitos de “lesa humanidad” a los hechos por </w:t>
      </w:r>
      <w:r w:rsidR="00F60346" w:rsidRPr="00D101B3">
        <w:rPr>
          <w:rFonts w:asciiTheme="majorHAnsi" w:hAnsiTheme="majorHAnsi"/>
          <w:bCs/>
          <w:sz w:val="20"/>
          <w:szCs w:val="20"/>
          <w:lang w:val="es-ES" w:eastAsia="es-ES"/>
        </w:rPr>
        <w:t xml:space="preserve">que </w:t>
      </w:r>
      <w:r w:rsidR="00D70731" w:rsidRPr="00D101B3">
        <w:rPr>
          <w:rFonts w:asciiTheme="majorHAnsi" w:hAnsiTheme="majorHAnsi"/>
          <w:bCs/>
          <w:sz w:val="20"/>
          <w:szCs w:val="20"/>
          <w:lang w:val="es-ES" w:eastAsia="es-ES"/>
        </w:rPr>
        <w:t>fueron condenad</w:t>
      </w:r>
      <w:r w:rsidR="00F60346" w:rsidRPr="00D101B3">
        <w:rPr>
          <w:rFonts w:asciiTheme="majorHAnsi" w:hAnsiTheme="majorHAnsi"/>
          <w:bCs/>
          <w:sz w:val="20"/>
          <w:szCs w:val="20"/>
          <w:lang w:val="es-ES" w:eastAsia="es-ES"/>
        </w:rPr>
        <w:t>a</w:t>
      </w:r>
      <w:r w:rsidR="00D70731" w:rsidRPr="00D101B3">
        <w:rPr>
          <w:rFonts w:asciiTheme="majorHAnsi" w:hAnsiTheme="majorHAnsi"/>
          <w:bCs/>
          <w:sz w:val="20"/>
          <w:szCs w:val="20"/>
          <w:lang w:val="es-ES" w:eastAsia="es-ES"/>
        </w:rPr>
        <w:t>s, pese a que esa calificación no existía al momento en que se cometieron los hechos</w:t>
      </w:r>
      <w:r w:rsidR="00F60346" w:rsidRPr="00D101B3">
        <w:rPr>
          <w:rFonts w:asciiTheme="majorHAnsi" w:hAnsiTheme="majorHAnsi"/>
          <w:bCs/>
          <w:sz w:val="20"/>
          <w:szCs w:val="20"/>
          <w:lang w:val="es-ES" w:eastAsia="es-ES"/>
        </w:rPr>
        <w:t>;</w:t>
      </w:r>
      <w:r w:rsidR="00D70731" w:rsidRPr="00D101B3">
        <w:rPr>
          <w:rFonts w:asciiTheme="majorHAnsi" w:hAnsiTheme="majorHAnsi"/>
          <w:bCs/>
          <w:sz w:val="20"/>
          <w:szCs w:val="20"/>
          <w:lang w:val="es-ES" w:eastAsia="es-ES"/>
        </w:rPr>
        <w:t xml:space="preserve"> y </w:t>
      </w:r>
      <w:r w:rsidR="00F60346" w:rsidRPr="00D101B3">
        <w:rPr>
          <w:rFonts w:asciiTheme="majorHAnsi" w:hAnsiTheme="majorHAnsi"/>
          <w:bCs/>
          <w:sz w:val="20"/>
          <w:szCs w:val="20"/>
          <w:lang w:val="es-ES" w:eastAsia="es-ES"/>
        </w:rPr>
        <w:t xml:space="preserve">que ello tuvo como </w:t>
      </w:r>
      <w:r w:rsidR="00D70731" w:rsidRPr="00D101B3">
        <w:rPr>
          <w:rFonts w:asciiTheme="majorHAnsi" w:hAnsiTheme="majorHAnsi"/>
          <w:bCs/>
          <w:sz w:val="20"/>
          <w:szCs w:val="20"/>
          <w:lang w:val="es-ES" w:eastAsia="es-ES"/>
        </w:rPr>
        <w:t xml:space="preserve">consecuencia que el beneficio de la “media prescripción” se considerara inaplicable a sus condenas. Ante estos argumentos, </w:t>
      </w:r>
      <w:r w:rsidR="00F60346" w:rsidRPr="00D101B3">
        <w:rPr>
          <w:rFonts w:asciiTheme="majorHAnsi" w:hAnsiTheme="majorHAnsi"/>
          <w:bCs/>
          <w:sz w:val="20"/>
          <w:szCs w:val="20"/>
          <w:lang w:val="es-ES" w:eastAsia="es-ES"/>
        </w:rPr>
        <w:t xml:space="preserve">cabe señalar </w:t>
      </w:r>
      <w:r w:rsidR="00D70731" w:rsidRPr="00D101B3">
        <w:rPr>
          <w:rFonts w:asciiTheme="majorHAnsi" w:hAnsiTheme="majorHAnsi"/>
          <w:bCs/>
          <w:sz w:val="20"/>
          <w:szCs w:val="20"/>
          <w:lang w:val="es-ES" w:eastAsia="es-ES"/>
        </w:rPr>
        <w:t>que la Corte Interamericana ha determinado que “</w:t>
      </w:r>
      <w:r w:rsidR="00D70731" w:rsidRPr="00D101B3">
        <w:rPr>
          <w:rFonts w:asciiTheme="majorHAnsi" w:hAnsiTheme="majorHAnsi"/>
          <w:color w:val="000000"/>
          <w:sz w:val="20"/>
          <w:szCs w:val="20"/>
          <w:shd w:val="clear" w:color="auto" w:fill="FFFFFF"/>
          <w:lang w:val="es-PA"/>
        </w:rPr>
        <w:t>la prescripción de la acción penal es inadmisible e inaplicable cuando se trata de muy graves violaciones a los derechos humanos en los términos del Derecho Internacional”</w:t>
      </w:r>
      <w:r w:rsidR="00D70731" w:rsidRPr="00D101B3">
        <w:rPr>
          <w:rStyle w:val="FootnoteReference"/>
          <w:rFonts w:asciiTheme="majorHAnsi" w:hAnsiTheme="majorHAnsi"/>
          <w:color w:val="000000"/>
          <w:sz w:val="20"/>
          <w:szCs w:val="20"/>
          <w:shd w:val="clear" w:color="auto" w:fill="FFFFFF"/>
          <w:lang w:val="es-PA"/>
        </w:rPr>
        <w:footnoteReference w:id="9"/>
      </w:r>
      <w:r w:rsidR="00D70731" w:rsidRPr="00D101B3">
        <w:rPr>
          <w:rFonts w:asciiTheme="majorHAnsi" w:hAnsiTheme="majorHAnsi"/>
          <w:color w:val="000000"/>
          <w:sz w:val="20"/>
          <w:szCs w:val="20"/>
          <w:shd w:val="clear" w:color="auto" w:fill="FFFFFF"/>
          <w:lang w:val="es-PA"/>
        </w:rPr>
        <w:t xml:space="preserve">. </w:t>
      </w:r>
      <w:r w:rsidR="00D25849" w:rsidRPr="00D101B3">
        <w:rPr>
          <w:rFonts w:asciiTheme="majorHAnsi" w:hAnsiTheme="majorHAnsi"/>
          <w:bCs/>
          <w:sz w:val="20"/>
          <w:szCs w:val="20"/>
          <w:lang w:val="es-ES" w:eastAsia="es-ES"/>
        </w:rPr>
        <w:t xml:space="preserve">En consecuencia, la Comisión </w:t>
      </w:r>
      <w:r w:rsidR="00F60346" w:rsidRPr="00D101B3">
        <w:rPr>
          <w:rFonts w:asciiTheme="majorHAnsi" w:hAnsiTheme="majorHAnsi"/>
          <w:bCs/>
          <w:sz w:val="20"/>
          <w:szCs w:val="20"/>
          <w:lang w:val="es-ES" w:eastAsia="es-ES"/>
        </w:rPr>
        <w:t xml:space="preserve">Interamericana </w:t>
      </w:r>
      <w:r w:rsidR="00D25849" w:rsidRPr="00D101B3">
        <w:rPr>
          <w:rFonts w:asciiTheme="majorHAnsi" w:hAnsiTheme="majorHAnsi"/>
          <w:bCs/>
          <w:sz w:val="20"/>
          <w:szCs w:val="20"/>
          <w:lang w:val="es-ES" w:eastAsia="es-ES"/>
        </w:rPr>
        <w:t xml:space="preserve">estima que no surgen de </w:t>
      </w:r>
      <w:r w:rsidR="00F60346" w:rsidRPr="00D101B3">
        <w:rPr>
          <w:rFonts w:asciiTheme="majorHAnsi" w:hAnsiTheme="majorHAnsi"/>
          <w:bCs/>
          <w:sz w:val="20"/>
          <w:szCs w:val="20"/>
          <w:lang w:val="es-ES" w:eastAsia="es-ES"/>
        </w:rPr>
        <w:t xml:space="preserve">los alegatos </w:t>
      </w:r>
      <w:r w:rsidR="00D25849" w:rsidRPr="00D101B3">
        <w:rPr>
          <w:rFonts w:asciiTheme="majorHAnsi" w:hAnsiTheme="majorHAnsi"/>
          <w:bCs/>
          <w:sz w:val="20"/>
          <w:szCs w:val="20"/>
          <w:lang w:val="es-ES" w:eastAsia="es-ES"/>
        </w:rPr>
        <w:t xml:space="preserve">de la parte peticionaria ni del expediente elementos o sustento suficiente </w:t>
      </w:r>
      <w:r w:rsidRPr="00D101B3">
        <w:rPr>
          <w:rFonts w:asciiTheme="majorHAnsi" w:hAnsiTheme="majorHAnsi"/>
          <w:bCs/>
          <w:sz w:val="20"/>
          <w:szCs w:val="20"/>
          <w:lang w:val="es-ES" w:eastAsia="es-ES"/>
        </w:rPr>
        <w:t xml:space="preserve">para considerar, </w:t>
      </w:r>
      <w:r w:rsidRPr="00D101B3">
        <w:rPr>
          <w:rFonts w:asciiTheme="majorHAnsi" w:hAnsiTheme="majorHAnsi"/>
          <w:bCs/>
          <w:i/>
          <w:sz w:val="20"/>
          <w:szCs w:val="20"/>
          <w:lang w:val="es-ES" w:eastAsia="es-ES"/>
        </w:rPr>
        <w:t>prima facie</w:t>
      </w:r>
      <w:r w:rsidRPr="00D101B3">
        <w:rPr>
          <w:rFonts w:asciiTheme="majorHAnsi" w:hAnsiTheme="majorHAnsi"/>
          <w:bCs/>
          <w:sz w:val="20"/>
          <w:szCs w:val="20"/>
          <w:lang w:val="es-ES" w:eastAsia="es-ES"/>
        </w:rPr>
        <w:t xml:space="preserve">, </w:t>
      </w:r>
      <w:r w:rsidR="00D25849" w:rsidRPr="00D101B3">
        <w:rPr>
          <w:rFonts w:asciiTheme="majorHAnsi" w:hAnsiTheme="majorHAnsi"/>
          <w:bCs/>
          <w:sz w:val="20"/>
          <w:szCs w:val="20"/>
          <w:lang w:val="es-ES" w:eastAsia="es-ES"/>
        </w:rPr>
        <w:t xml:space="preserve">la violación del artículo 9 de la Convención Americana. </w:t>
      </w:r>
    </w:p>
    <w:p w14:paraId="5CDFB743" w14:textId="5B14C636" w:rsidR="00B51D51" w:rsidRPr="000A3FE2" w:rsidRDefault="00B51D51" w:rsidP="00B51D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0A3FE2">
        <w:rPr>
          <w:rFonts w:asciiTheme="majorHAnsi" w:hAnsiTheme="majorHAnsi"/>
          <w:sz w:val="20"/>
          <w:szCs w:val="20"/>
          <w:lang w:val="es-PA"/>
        </w:rPr>
        <w:t xml:space="preserve">La parte peticionaria denuncia </w:t>
      </w:r>
      <w:r w:rsidR="00D101B3" w:rsidRPr="000A3FE2">
        <w:rPr>
          <w:rFonts w:asciiTheme="majorHAnsi" w:hAnsiTheme="majorHAnsi"/>
          <w:sz w:val="20"/>
          <w:szCs w:val="20"/>
          <w:lang w:val="es-PA"/>
        </w:rPr>
        <w:t xml:space="preserve">que </w:t>
      </w:r>
      <w:r w:rsidRPr="000A3FE2">
        <w:rPr>
          <w:rFonts w:asciiTheme="majorHAnsi" w:hAnsiTheme="majorHAnsi"/>
          <w:sz w:val="20"/>
          <w:szCs w:val="20"/>
          <w:lang w:val="es-PA"/>
        </w:rPr>
        <w:t xml:space="preserve">las presuntas víctimas </w:t>
      </w:r>
      <w:r w:rsidR="00D101B3" w:rsidRPr="000A3FE2">
        <w:rPr>
          <w:rFonts w:asciiTheme="majorHAnsi" w:hAnsiTheme="majorHAnsi"/>
          <w:sz w:val="20"/>
          <w:szCs w:val="20"/>
          <w:lang w:val="es-PA"/>
        </w:rPr>
        <w:t xml:space="preserve">habrían afrontado </w:t>
      </w:r>
      <w:r w:rsidRPr="000A3FE2">
        <w:rPr>
          <w:rFonts w:asciiTheme="majorHAnsi" w:hAnsiTheme="majorHAnsi"/>
          <w:sz w:val="20"/>
          <w:szCs w:val="20"/>
          <w:lang w:val="es-PA"/>
        </w:rPr>
        <w:t>dificultades para obtener los documentos necesarios para desarrollar su vida jurídica en Chile</w:t>
      </w:r>
      <w:r w:rsidR="00D101B3" w:rsidRPr="000A3FE2">
        <w:rPr>
          <w:rFonts w:asciiTheme="majorHAnsi" w:hAnsiTheme="majorHAnsi"/>
          <w:sz w:val="20"/>
          <w:szCs w:val="20"/>
          <w:lang w:val="es-PA"/>
        </w:rPr>
        <w:t>,</w:t>
      </w:r>
      <w:r w:rsidRPr="000A3FE2">
        <w:rPr>
          <w:rFonts w:asciiTheme="majorHAnsi" w:hAnsiTheme="majorHAnsi"/>
          <w:sz w:val="20"/>
          <w:szCs w:val="20"/>
          <w:lang w:val="es-PA"/>
        </w:rPr>
        <w:t xml:space="preserve"> y </w:t>
      </w:r>
      <w:r w:rsidR="00D101B3" w:rsidRPr="000A3FE2">
        <w:rPr>
          <w:rFonts w:asciiTheme="majorHAnsi" w:hAnsiTheme="majorHAnsi"/>
          <w:sz w:val="20"/>
          <w:szCs w:val="20"/>
          <w:lang w:val="es-PA"/>
        </w:rPr>
        <w:t xml:space="preserve">que se causaron </w:t>
      </w:r>
      <w:r w:rsidRPr="000A3FE2">
        <w:rPr>
          <w:rFonts w:asciiTheme="majorHAnsi" w:hAnsiTheme="majorHAnsi"/>
          <w:sz w:val="20"/>
          <w:szCs w:val="20"/>
          <w:lang w:val="es-PA"/>
        </w:rPr>
        <w:t>daños a sus uniformes militares</w:t>
      </w:r>
      <w:r w:rsidR="00B457A3" w:rsidRPr="000A3FE2">
        <w:rPr>
          <w:rFonts w:asciiTheme="majorHAnsi" w:hAnsiTheme="majorHAnsi"/>
          <w:sz w:val="20"/>
          <w:szCs w:val="20"/>
          <w:lang w:val="es-PA"/>
        </w:rPr>
        <w:t xml:space="preserve">. Respecto a estas denuncias, la Comisión </w:t>
      </w:r>
      <w:r w:rsidR="00D101B3" w:rsidRPr="000A3FE2">
        <w:rPr>
          <w:rFonts w:asciiTheme="majorHAnsi" w:hAnsiTheme="majorHAnsi"/>
          <w:sz w:val="20"/>
          <w:szCs w:val="20"/>
          <w:lang w:val="es-PA"/>
        </w:rPr>
        <w:t xml:space="preserve">Interamericana </w:t>
      </w:r>
      <w:r w:rsidR="00B457A3" w:rsidRPr="000A3FE2">
        <w:rPr>
          <w:rFonts w:asciiTheme="majorHAnsi" w:hAnsiTheme="majorHAnsi"/>
          <w:sz w:val="20"/>
          <w:szCs w:val="20"/>
          <w:lang w:val="es-PA"/>
        </w:rPr>
        <w:t xml:space="preserve">estima que la información aportada por la parte peticionaria y la obrante en </w:t>
      </w:r>
      <w:r w:rsidR="000A3FE2" w:rsidRPr="000A3FE2">
        <w:rPr>
          <w:rFonts w:asciiTheme="majorHAnsi" w:hAnsiTheme="majorHAnsi"/>
          <w:sz w:val="20"/>
          <w:szCs w:val="20"/>
          <w:lang w:val="es-PA"/>
        </w:rPr>
        <w:t xml:space="preserve">el </w:t>
      </w:r>
      <w:r w:rsidR="00B457A3" w:rsidRPr="000A3FE2">
        <w:rPr>
          <w:rFonts w:asciiTheme="majorHAnsi" w:hAnsiTheme="majorHAnsi"/>
          <w:sz w:val="20"/>
          <w:szCs w:val="20"/>
          <w:lang w:val="es-PA"/>
        </w:rPr>
        <w:t>expediente resulta insuficiente para considerar</w:t>
      </w:r>
      <w:r w:rsidR="00E40DEE" w:rsidRPr="000A3FE2">
        <w:rPr>
          <w:rFonts w:asciiTheme="majorHAnsi" w:hAnsiTheme="majorHAnsi"/>
          <w:sz w:val="20"/>
          <w:szCs w:val="20"/>
          <w:lang w:val="es-PA"/>
        </w:rPr>
        <w:t>,</w:t>
      </w:r>
      <w:r w:rsidR="00B457A3" w:rsidRPr="000A3FE2">
        <w:rPr>
          <w:rFonts w:asciiTheme="majorHAnsi" w:hAnsiTheme="majorHAnsi"/>
          <w:sz w:val="20"/>
          <w:szCs w:val="20"/>
          <w:lang w:val="es-PA"/>
        </w:rPr>
        <w:t xml:space="preserve"> </w:t>
      </w:r>
      <w:r w:rsidR="00B457A3" w:rsidRPr="000A3FE2">
        <w:rPr>
          <w:rFonts w:asciiTheme="majorHAnsi" w:hAnsiTheme="majorHAnsi"/>
          <w:i/>
          <w:iCs/>
          <w:sz w:val="20"/>
          <w:szCs w:val="20"/>
          <w:lang w:val="es-PA"/>
        </w:rPr>
        <w:t>prima facie</w:t>
      </w:r>
      <w:r w:rsidR="00E40DEE" w:rsidRPr="000A3FE2">
        <w:rPr>
          <w:rFonts w:asciiTheme="majorHAnsi" w:hAnsiTheme="majorHAnsi"/>
          <w:sz w:val="20"/>
          <w:szCs w:val="20"/>
          <w:lang w:val="es-PA"/>
        </w:rPr>
        <w:t>,</w:t>
      </w:r>
      <w:r w:rsidR="00B457A3" w:rsidRPr="000A3FE2">
        <w:rPr>
          <w:rFonts w:asciiTheme="majorHAnsi" w:hAnsiTheme="majorHAnsi"/>
          <w:sz w:val="20"/>
          <w:szCs w:val="20"/>
          <w:lang w:val="es-PA"/>
        </w:rPr>
        <w:t xml:space="preserve"> la posible violación de</w:t>
      </w:r>
      <w:r w:rsidR="00E40DEE" w:rsidRPr="000A3FE2">
        <w:rPr>
          <w:rFonts w:asciiTheme="majorHAnsi" w:hAnsiTheme="majorHAnsi"/>
          <w:sz w:val="20"/>
          <w:szCs w:val="20"/>
          <w:lang w:val="es-PA"/>
        </w:rPr>
        <w:t xml:space="preserve"> los artículos 3 (personalidad jurídica) y 11 (honra y dignidad) de la Convención Americana. </w:t>
      </w:r>
    </w:p>
    <w:p w14:paraId="23F05EE1" w14:textId="40023FC2" w:rsidR="009666E2" w:rsidRPr="00D101B3" w:rsidRDefault="00F60346" w:rsidP="005327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D101B3">
        <w:rPr>
          <w:rFonts w:asciiTheme="majorHAnsi" w:hAnsiTheme="majorHAnsi"/>
          <w:bCs/>
          <w:sz w:val="20"/>
          <w:szCs w:val="20"/>
          <w:lang w:val="es-ES" w:eastAsia="es-ES"/>
        </w:rPr>
        <w:t xml:space="preserve">El </w:t>
      </w:r>
      <w:r w:rsidR="009666E2" w:rsidRPr="00D101B3">
        <w:rPr>
          <w:rFonts w:asciiTheme="majorHAnsi" w:hAnsiTheme="majorHAnsi"/>
          <w:bCs/>
          <w:sz w:val="20"/>
          <w:szCs w:val="20"/>
          <w:lang w:val="es-ES" w:eastAsia="es-ES"/>
        </w:rPr>
        <w:t xml:space="preserve">Estado </w:t>
      </w:r>
      <w:r w:rsidRPr="00D101B3">
        <w:rPr>
          <w:rFonts w:asciiTheme="majorHAnsi" w:hAnsiTheme="majorHAnsi"/>
          <w:bCs/>
          <w:sz w:val="20"/>
          <w:szCs w:val="20"/>
          <w:lang w:val="es-ES" w:eastAsia="es-ES"/>
        </w:rPr>
        <w:t>a</w:t>
      </w:r>
      <w:r w:rsidR="009666E2" w:rsidRPr="00D101B3">
        <w:rPr>
          <w:rFonts w:asciiTheme="majorHAnsi" w:hAnsiTheme="majorHAnsi"/>
          <w:bCs/>
          <w:sz w:val="20"/>
          <w:szCs w:val="20"/>
          <w:lang w:val="es-ES" w:eastAsia="es-ES"/>
        </w:rPr>
        <w:t>lega que la petición habría perdido su objeto porque dos de las presuntas víctimas ya se encontrarían en Uruguay</w:t>
      </w:r>
      <w:r w:rsidRPr="00D101B3">
        <w:rPr>
          <w:rFonts w:asciiTheme="majorHAnsi" w:hAnsiTheme="majorHAnsi"/>
          <w:bCs/>
          <w:sz w:val="20"/>
          <w:szCs w:val="20"/>
          <w:lang w:val="es-ES" w:eastAsia="es-ES"/>
        </w:rPr>
        <w:t>,</w:t>
      </w:r>
      <w:r w:rsidR="009666E2" w:rsidRPr="00D101B3">
        <w:rPr>
          <w:rFonts w:asciiTheme="majorHAnsi" w:hAnsiTheme="majorHAnsi"/>
          <w:bCs/>
          <w:sz w:val="20"/>
          <w:szCs w:val="20"/>
          <w:lang w:val="es-ES" w:eastAsia="es-ES"/>
        </w:rPr>
        <w:t xml:space="preserve"> mientras que la otra habría decidido voluntariamente permanecer en Chile</w:t>
      </w:r>
      <w:r w:rsidRPr="00D101B3">
        <w:rPr>
          <w:rFonts w:asciiTheme="majorHAnsi" w:hAnsiTheme="majorHAnsi"/>
          <w:bCs/>
          <w:sz w:val="20"/>
          <w:szCs w:val="20"/>
          <w:lang w:val="es-ES" w:eastAsia="es-ES"/>
        </w:rPr>
        <w:t>. Al respecto</w:t>
      </w:r>
      <w:r w:rsidR="009666E2" w:rsidRPr="00D101B3">
        <w:rPr>
          <w:rFonts w:asciiTheme="majorHAnsi" w:hAnsiTheme="majorHAnsi"/>
          <w:bCs/>
          <w:sz w:val="20"/>
          <w:szCs w:val="20"/>
          <w:lang w:val="es-ES" w:eastAsia="es-ES"/>
        </w:rPr>
        <w:t xml:space="preserve">, la Comisión ya ha determinado </w:t>
      </w:r>
      <w:r w:rsidRPr="00D101B3">
        <w:rPr>
          <w:rFonts w:asciiTheme="majorHAnsi" w:hAnsiTheme="majorHAnsi"/>
          <w:bCs/>
          <w:sz w:val="20"/>
          <w:szCs w:val="20"/>
          <w:lang w:val="es-ES" w:eastAsia="es-ES"/>
        </w:rPr>
        <w:t xml:space="preserve">anteriormente </w:t>
      </w:r>
      <w:r w:rsidR="009666E2" w:rsidRPr="00D101B3">
        <w:rPr>
          <w:rFonts w:asciiTheme="majorHAnsi" w:hAnsiTheme="majorHAnsi"/>
          <w:bCs/>
          <w:sz w:val="20"/>
          <w:szCs w:val="20"/>
          <w:lang w:val="es-ES" w:eastAsia="es-ES"/>
        </w:rPr>
        <w:t xml:space="preserve">que una petición no puede ser </w:t>
      </w:r>
      <w:r w:rsidR="009666E2" w:rsidRPr="00D101B3">
        <w:rPr>
          <w:rFonts w:asciiTheme="majorHAnsi" w:hAnsiTheme="majorHAnsi"/>
          <w:sz w:val="20"/>
          <w:szCs w:val="20"/>
          <w:lang w:val="es-ES"/>
        </w:rPr>
        <w:t xml:space="preserve">declarada inadmisible simplemente porque la situación de hecho ha cambiado en el tiempo entre </w:t>
      </w:r>
      <w:r w:rsidRPr="00D101B3">
        <w:rPr>
          <w:rFonts w:asciiTheme="majorHAnsi" w:hAnsiTheme="majorHAnsi"/>
          <w:sz w:val="20"/>
          <w:szCs w:val="20"/>
          <w:lang w:val="es-ES"/>
        </w:rPr>
        <w:t xml:space="preserve">su presentación </w:t>
      </w:r>
      <w:r w:rsidR="009666E2" w:rsidRPr="00D101B3">
        <w:rPr>
          <w:rFonts w:asciiTheme="majorHAnsi" w:hAnsiTheme="majorHAnsi"/>
          <w:sz w:val="20"/>
          <w:szCs w:val="20"/>
          <w:lang w:val="es-ES"/>
        </w:rPr>
        <w:t>y la decisión de admisibilidad. Por el contrario, si una petición presenta una denuncia susceptible de ser caracterizada como violación de derechos humanos y no hay evidencia de que el Estado h</w:t>
      </w:r>
      <w:r w:rsidR="00536551" w:rsidRPr="00D101B3">
        <w:rPr>
          <w:rFonts w:asciiTheme="majorHAnsi" w:hAnsiTheme="majorHAnsi"/>
          <w:sz w:val="20"/>
          <w:szCs w:val="20"/>
          <w:lang w:val="es-ES"/>
        </w:rPr>
        <w:t>ubiera</w:t>
      </w:r>
      <w:r w:rsidR="009666E2" w:rsidRPr="00D101B3">
        <w:rPr>
          <w:rFonts w:asciiTheme="majorHAnsi" w:hAnsiTheme="majorHAnsi"/>
          <w:sz w:val="20"/>
          <w:szCs w:val="20"/>
          <w:lang w:val="es-ES"/>
        </w:rPr>
        <w:t xml:space="preserve"> provisto una reparación integral a las presuntas víctimas, debe ser admitida para el examen de fondo</w:t>
      </w:r>
      <w:r w:rsidR="009666E2" w:rsidRPr="00D101B3">
        <w:rPr>
          <w:rStyle w:val="FootnoteReference"/>
          <w:rFonts w:asciiTheme="majorHAnsi" w:hAnsiTheme="majorHAnsi"/>
          <w:sz w:val="20"/>
          <w:szCs w:val="20"/>
          <w:lang w:val="es-ES"/>
        </w:rPr>
        <w:footnoteReference w:id="10"/>
      </w:r>
      <w:r w:rsidR="009666E2" w:rsidRPr="00D101B3">
        <w:rPr>
          <w:rFonts w:asciiTheme="majorHAnsi" w:hAnsiTheme="majorHAnsi"/>
          <w:sz w:val="20"/>
          <w:szCs w:val="20"/>
          <w:lang w:val="es-ES"/>
        </w:rPr>
        <w:t>.</w:t>
      </w:r>
    </w:p>
    <w:p w14:paraId="29BB41F5" w14:textId="31E747AD" w:rsidR="003239B8" w:rsidRPr="00D101B3"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D101B3">
        <w:rPr>
          <w:rFonts w:asciiTheme="majorHAnsi" w:hAnsiTheme="majorHAnsi"/>
          <w:b/>
          <w:bCs/>
          <w:sz w:val="20"/>
          <w:szCs w:val="20"/>
          <w:lang w:val="es-ES"/>
        </w:rPr>
        <w:t xml:space="preserve">VIII. </w:t>
      </w:r>
      <w:r w:rsidRPr="00D101B3">
        <w:rPr>
          <w:rFonts w:asciiTheme="majorHAnsi" w:hAnsiTheme="majorHAnsi"/>
          <w:b/>
          <w:bCs/>
          <w:sz w:val="20"/>
          <w:szCs w:val="20"/>
          <w:lang w:val="es-ES"/>
        </w:rPr>
        <w:tab/>
        <w:t>DECISIÓN</w:t>
      </w:r>
    </w:p>
    <w:p w14:paraId="13433B7D" w14:textId="2EBFB758" w:rsidR="00D70731" w:rsidRPr="00D101B3" w:rsidRDefault="003239B8" w:rsidP="005327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101B3">
        <w:rPr>
          <w:rFonts w:asciiTheme="majorHAnsi" w:hAnsiTheme="majorHAnsi"/>
          <w:sz w:val="20"/>
          <w:szCs w:val="20"/>
          <w:lang w:val="es-ES"/>
        </w:rPr>
        <w:t>Declarar admisible la presente petición en relación con</w:t>
      </w:r>
      <w:r w:rsidR="00C72A01" w:rsidRPr="00D101B3">
        <w:rPr>
          <w:rFonts w:asciiTheme="majorHAnsi" w:hAnsiTheme="majorHAnsi"/>
          <w:sz w:val="20"/>
          <w:szCs w:val="20"/>
          <w:lang w:val="es-ES"/>
        </w:rPr>
        <w:t xml:space="preserve"> los artículos </w:t>
      </w:r>
      <w:r w:rsidR="009666E2" w:rsidRPr="00D101B3">
        <w:rPr>
          <w:rFonts w:asciiTheme="majorHAnsi" w:hAnsiTheme="majorHAnsi"/>
          <w:sz w:val="20"/>
          <w:szCs w:val="20"/>
          <w:lang w:val="es-ES"/>
        </w:rPr>
        <w:t>8</w:t>
      </w:r>
      <w:r w:rsidR="00E40DEE" w:rsidRPr="00D101B3">
        <w:rPr>
          <w:rFonts w:asciiTheme="majorHAnsi" w:hAnsiTheme="majorHAnsi"/>
          <w:sz w:val="20"/>
          <w:szCs w:val="20"/>
          <w:lang w:val="es-ES"/>
        </w:rPr>
        <w:t xml:space="preserve"> y </w:t>
      </w:r>
      <w:r w:rsidR="009666E2" w:rsidRPr="00D101B3">
        <w:rPr>
          <w:rFonts w:asciiTheme="majorHAnsi" w:hAnsiTheme="majorHAnsi"/>
          <w:sz w:val="20"/>
          <w:szCs w:val="20"/>
          <w:lang w:val="es-ES"/>
        </w:rPr>
        <w:t>25 de la Convención Americana</w:t>
      </w:r>
      <w:r w:rsidR="00E40DEE" w:rsidRPr="00D101B3">
        <w:rPr>
          <w:rFonts w:asciiTheme="majorHAnsi" w:hAnsiTheme="majorHAnsi"/>
          <w:sz w:val="20"/>
          <w:szCs w:val="20"/>
          <w:lang w:val="es-ES"/>
        </w:rPr>
        <w:t xml:space="preserve"> en </w:t>
      </w:r>
      <w:r w:rsidR="00622562">
        <w:rPr>
          <w:rFonts w:asciiTheme="majorHAnsi" w:hAnsiTheme="majorHAnsi"/>
          <w:sz w:val="20"/>
          <w:szCs w:val="20"/>
          <w:lang w:val="es-ES"/>
        </w:rPr>
        <w:t>concordancia</w:t>
      </w:r>
      <w:r w:rsidR="00E40DEE" w:rsidRPr="00D101B3">
        <w:rPr>
          <w:rFonts w:asciiTheme="majorHAnsi" w:hAnsiTheme="majorHAnsi"/>
          <w:sz w:val="20"/>
          <w:szCs w:val="20"/>
          <w:lang w:val="es-ES"/>
        </w:rPr>
        <w:t xml:space="preserve"> con sus artículos 1.1. y 2</w:t>
      </w:r>
      <w:r w:rsidR="00840E5C">
        <w:rPr>
          <w:rFonts w:asciiTheme="majorHAnsi" w:hAnsiTheme="majorHAnsi"/>
          <w:sz w:val="20"/>
          <w:szCs w:val="20"/>
          <w:lang w:val="es-ES"/>
        </w:rPr>
        <w:t>;</w:t>
      </w:r>
    </w:p>
    <w:p w14:paraId="41AA5BF6" w14:textId="3F2FC1C8" w:rsidR="000419AD" w:rsidRPr="00D101B3" w:rsidRDefault="00D70731" w:rsidP="005327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101B3">
        <w:rPr>
          <w:rFonts w:asciiTheme="majorHAnsi" w:hAnsiTheme="majorHAnsi"/>
          <w:sz w:val="20"/>
          <w:szCs w:val="20"/>
          <w:lang w:val="es-ES"/>
        </w:rPr>
        <w:t xml:space="preserve">Declarar inadmisible la presente petición en relación con </w:t>
      </w:r>
      <w:r w:rsidR="00E40DEE" w:rsidRPr="00D101B3">
        <w:rPr>
          <w:rFonts w:asciiTheme="majorHAnsi" w:hAnsiTheme="majorHAnsi"/>
          <w:sz w:val="20"/>
          <w:szCs w:val="20"/>
          <w:lang w:val="es-ES"/>
        </w:rPr>
        <w:t>los artículos 3,</w:t>
      </w:r>
      <w:r w:rsidRPr="00D101B3">
        <w:rPr>
          <w:rFonts w:asciiTheme="majorHAnsi" w:hAnsiTheme="majorHAnsi"/>
          <w:sz w:val="20"/>
          <w:szCs w:val="20"/>
          <w:lang w:val="es-ES"/>
        </w:rPr>
        <w:t xml:space="preserve"> 9</w:t>
      </w:r>
      <w:r w:rsidR="00E40DEE" w:rsidRPr="00D101B3">
        <w:rPr>
          <w:rFonts w:asciiTheme="majorHAnsi" w:hAnsiTheme="majorHAnsi"/>
          <w:sz w:val="20"/>
          <w:szCs w:val="20"/>
          <w:lang w:val="es-ES"/>
        </w:rPr>
        <w:t xml:space="preserve"> y 11</w:t>
      </w:r>
      <w:r w:rsidRPr="00D101B3">
        <w:rPr>
          <w:rFonts w:asciiTheme="majorHAnsi" w:hAnsiTheme="majorHAnsi"/>
          <w:sz w:val="20"/>
          <w:szCs w:val="20"/>
          <w:lang w:val="es-ES"/>
        </w:rPr>
        <w:t xml:space="preserve"> de la Convención Americana</w:t>
      </w:r>
      <w:r w:rsidR="00840E5C">
        <w:rPr>
          <w:rFonts w:asciiTheme="majorHAnsi" w:hAnsiTheme="majorHAnsi"/>
          <w:sz w:val="20"/>
          <w:szCs w:val="20"/>
          <w:lang w:val="es-ES"/>
        </w:rPr>
        <w:t>, y;</w:t>
      </w:r>
    </w:p>
    <w:p w14:paraId="12A7002C" w14:textId="15CC790D" w:rsidR="004A6A54" w:rsidRDefault="004A6A54" w:rsidP="005327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101B3">
        <w:rPr>
          <w:rFonts w:asciiTheme="majorHAnsi" w:hAnsiTheme="majorHAnsi"/>
          <w:sz w:val="20"/>
          <w:szCs w:val="20"/>
          <w:lang w:val="es-ES"/>
        </w:rPr>
        <w:t xml:space="preserve">Notificar a las partes la presente decisión; </w:t>
      </w:r>
      <w:r w:rsidR="00874720" w:rsidRPr="00D101B3">
        <w:rPr>
          <w:rFonts w:asciiTheme="majorHAnsi" w:hAnsiTheme="majorHAnsi"/>
          <w:sz w:val="20"/>
          <w:szCs w:val="20"/>
          <w:lang w:val="es-ES"/>
        </w:rPr>
        <w:t>proceder</w:t>
      </w:r>
      <w:r w:rsidRPr="00D101B3">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7DAD495C" w14:textId="77777777" w:rsidR="006611C0" w:rsidRPr="00A37B82" w:rsidRDefault="006611C0" w:rsidP="006611C0">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a</w:t>
      </w:r>
      <w:r>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os</w:t>
      </w:r>
      <w:r w:rsidRPr="00B76FE0">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B76FE0">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3"/>
      <w:bookmarkEnd w:id="4"/>
    </w:p>
    <w:sectPr w:rsidR="006611C0" w:rsidRPr="00A37B82"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AEFE" w14:textId="77777777" w:rsidR="0009078D" w:rsidRDefault="0009078D">
      <w:r>
        <w:separator/>
      </w:r>
    </w:p>
  </w:endnote>
  <w:endnote w:type="continuationSeparator" w:id="0">
    <w:p w14:paraId="023AF398" w14:textId="77777777" w:rsidR="0009078D" w:rsidRDefault="0009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9C527B" w:rsidRPr="00934A2C" w:rsidRDefault="009C527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9C527B" w:rsidRDefault="009C5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9C527B" w:rsidRPr="00934A2C" w:rsidRDefault="009C527B">
    <w:pPr>
      <w:pStyle w:val="Footer"/>
      <w:jc w:val="center"/>
      <w:rPr>
        <w:sz w:val="16"/>
        <w:szCs w:val="22"/>
      </w:rPr>
    </w:pPr>
  </w:p>
  <w:p w14:paraId="4EA5439C" w14:textId="77777777" w:rsidR="009C527B" w:rsidRDefault="009C5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1B36BB1" w:rsidR="009C527B" w:rsidRPr="00934A2C" w:rsidRDefault="009C527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84848">
          <w:rPr>
            <w:noProof/>
            <w:sz w:val="16"/>
            <w:szCs w:val="22"/>
          </w:rPr>
          <w:t>6</w:t>
        </w:r>
        <w:r w:rsidRPr="00934A2C">
          <w:rPr>
            <w:noProof/>
            <w:sz w:val="16"/>
            <w:szCs w:val="22"/>
          </w:rPr>
          <w:fldChar w:fldCharType="end"/>
        </w:r>
      </w:p>
    </w:sdtContent>
  </w:sdt>
  <w:p w14:paraId="68530E6A" w14:textId="77777777" w:rsidR="009C527B" w:rsidRDefault="009C52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9C527B" w:rsidRPr="00934A2C" w:rsidRDefault="009C527B">
    <w:pPr>
      <w:pStyle w:val="Footer"/>
      <w:jc w:val="center"/>
      <w:rPr>
        <w:sz w:val="16"/>
        <w:szCs w:val="22"/>
      </w:rPr>
    </w:pPr>
  </w:p>
  <w:p w14:paraId="49059CE3" w14:textId="77777777" w:rsidR="009C527B" w:rsidRDefault="009C5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427E" w14:textId="77777777" w:rsidR="0009078D" w:rsidRPr="000F35ED" w:rsidRDefault="0009078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52A397" w14:textId="77777777" w:rsidR="0009078D" w:rsidRPr="000F35ED" w:rsidRDefault="0009078D" w:rsidP="000F35ED">
      <w:pPr>
        <w:rPr>
          <w:rFonts w:asciiTheme="majorHAnsi" w:hAnsiTheme="majorHAnsi"/>
          <w:sz w:val="16"/>
          <w:szCs w:val="16"/>
        </w:rPr>
      </w:pPr>
      <w:r w:rsidRPr="000F35ED">
        <w:rPr>
          <w:rFonts w:asciiTheme="majorHAnsi" w:hAnsiTheme="majorHAnsi"/>
          <w:sz w:val="16"/>
          <w:szCs w:val="16"/>
        </w:rPr>
        <w:separator/>
      </w:r>
    </w:p>
    <w:p w14:paraId="435AC972" w14:textId="77777777" w:rsidR="0009078D" w:rsidRPr="000F35ED" w:rsidRDefault="0009078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8399AF9" w14:textId="77777777" w:rsidR="0009078D" w:rsidRPr="000F35ED" w:rsidRDefault="0009078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F14ED2" w14:textId="7638708D" w:rsidR="009C527B" w:rsidRPr="00D074A4" w:rsidRDefault="009C527B" w:rsidP="00840E5C">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Convención Americana”.</w:t>
      </w:r>
    </w:p>
  </w:footnote>
  <w:footnote w:id="3">
    <w:p w14:paraId="08CD6656" w14:textId="77777777" w:rsidR="009C527B" w:rsidRPr="00D074A4" w:rsidRDefault="009C527B" w:rsidP="00840E5C">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p>
  </w:footnote>
  <w:footnote w:id="4">
    <w:p w14:paraId="357BEE4A" w14:textId="77777777" w:rsidR="008723F2" w:rsidRPr="00DC0084" w:rsidRDefault="008723F2" w:rsidP="00840E5C">
      <w:pPr>
        <w:pStyle w:val="FootnoteText"/>
        <w:ind w:firstLine="720"/>
        <w:jc w:val="both"/>
        <w:rPr>
          <w:rFonts w:asciiTheme="majorHAnsi" w:hAnsiTheme="majorHAnsi"/>
          <w:sz w:val="16"/>
          <w:szCs w:val="16"/>
          <w:lang w:val="es-ES"/>
        </w:rPr>
      </w:pPr>
      <w:r w:rsidRPr="00DC0084">
        <w:rPr>
          <w:rStyle w:val="FootnoteReference"/>
          <w:rFonts w:asciiTheme="majorHAnsi" w:hAnsiTheme="majorHAnsi"/>
          <w:sz w:val="16"/>
          <w:szCs w:val="16"/>
        </w:rPr>
        <w:footnoteRef/>
      </w:r>
      <w:r w:rsidRPr="00DC0084">
        <w:rPr>
          <w:rFonts w:asciiTheme="majorHAnsi" w:hAnsiTheme="majorHAnsi"/>
          <w:sz w:val="16"/>
          <w:szCs w:val="16"/>
          <w:lang w:val="es-ES"/>
        </w:rPr>
        <w:t xml:space="preserve"> CIDH, Informe No. 143/18, Petición 940-08. Admisibilidad. Luis Américo Ayala Gonzales. Perú. 4 de diciembre de 2018, párr. 12.</w:t>
      </w:r>
    </w:p>
  </w:footnote>
  <w:footnote w:id="5">
    <w:p w14:paraId="1DBB4B94" w14:textId="07AAA173" w:rsidR="00ED4955" w:rsidRPr="009179BE" w:rsidRDefault="00ED4955" w:rsidP="00840E5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pt-BR"/>
        </w:rPr>
      </w:pPr>
      <w:r w:rsidRPr="00B62DA5">
        <w:rPr>
          <w:rStyle w:val="FootnoteReference"/>
          <w:rFonts w:ascii="Cambria" w:hAnsi="Cambria"/>
          <w:color w:val="auto"/>
          <w:sz w:val="16"/>
          <w:szCs w:val="16"/>
        </w:rPr>
        <w:footnoteRef/>
      </w:r>
      <w:r w:rsidRPr="00B62DA5">
        <w:rPr>
          <w:rFonts w:ascii="Cambria" w:hAnsi="Cambria"/>
          <w:color w:val="auto"/>
          <w:sz w:val="16"/>
          <w:szCs w:val="16"/>
          <w:lang w:val="es-PA"/>
        </w:rPr>
        <w:t xml:space="preserve"> </w:t>
      </w:r>
      <w:r w:rsidRPr="0049356F">
        <w:rPr>
          <w:rFonts w:asciiTheme="majorHAnsi" w:hAnsiTheme="majorHAnsi"/>
          <w:color w:val="auto"/>
          <w:sz w:val="16"/>
          <w:szCs w:val="16"/>
          <w:lang w:val="es-PA"/>
        </w:rPr>
        <w:t xml:space="preserve">Corte I.D.H., Caso </w:t>
      </w:r>
      <w:proofErr w:type="spellStart"/>
      <w:r w:rsidRPr="0049356F">
        <w:rPr>
          <w:rFonts w:asciiTheme="majorHAnsi" w:hAnsiTheme="majorHAnsi"/>
          <w:color w:val="auto"/>
          <w:sz w:val="16"/>
          <w:szCs w:val="16"/>
          <w:lang w:val="es-PA"/>
        </w:rPr>
        <w:t>Apitz</w:t>
      </w:r>
      <w:proofErr w:type="spellEnd"/>
      <w:r w:rsidRPr="0049356F">
        <w:rPr>
          <w:rFonts w:asciiTheme="majorHAnsi" w:hAnsiTheme="majorHAnsi"/>
          <w:color w:val="auto"/>
          <w:sz w:val="16"/>
          <w:szCs w:val="16"/>
          <w:lang w:val="es-PA"/>
        </w:rPr>
        <w:t xml:space="preserve"> Barbera y otros (“Corte Primera de lo Contencioso Administrativo”) Vs. Venezuela. Excepción Preliminar, Fondo, Reparaciones y Costas. </w:t>
      </w:r>
      <w:r w:rsidRPr="005B3D9B">
        <w:rPr>
          <w:rFonts w:asciiTheme="majorHAnsi" w:hAnsiTheme="majorHAnsi"/>
          <w:color w:val="auto"/>
          <w:sz w:val="16"/>
          <w:szCs w:val="16"/>
          <w:lang w:val="es-419"/>
        </w:rPr>
        <w:t>Se</w:t>
      </w:r>
      <w:r w:rsidR="0049356F" w:rsidRPr="005B3D9B">
        <w:rPr>
          <w:rFonts w:asciiTheme="majorHAnsi" w:hAnsiTheme="majorHAnsi"/>
          <w:color w:val="auto"/>
          <w:sz w:val="16"/>
          <w:szCs w:val="16"/>
          <w:lang w:val="es-419"/>
        </w:rPr>
        <w:t>ntencia de 5 de agosto de 2008</w:t>
      </w:r>
      <w:r w:rsidRPr="005B3D9B">
        <w:rPr>
          <w:rFonts w:asciiTheme="majorHAnsi" w:hAnsiTheme="majorHAnsi"/>
          <w:color w:val="auto"/>
          <w:sz w:val="16"/>
          <w:szCs w:val="16"/>
          <w:lang w:val="es-419"/>
        </w:rPr>
        <w:t xml:space="preserve">, párr. </w:t>
      </w:r>
      <w:r w:rsidRPr="009179BE">
        <w:rPr>
          <w:rFonts w:asciiTheme="majorHAnsi" w:hAnsiTheme="majorHAnsi"/>
          <w:color w:val="auto"/>
          <w:sz w:val="16"/>
          <w:szCs w:val="16"/>
          <w:lang w:val="pt-BR"/>
        </w:rPr>
        <w:t>56.</w:t>
      </w:r>
    </w:p>
  </w:footnote>
  <w:footnote w:id="6">
    <w:p w14:paraId="03BCDE07" w14:textId="20B71CAE" w:rsidR="0049356F" w:rsidRPr="0049356F" w:rsidRDefault="0049356F" w:rsidP="00840E5C">
      <w:pPr>
        <w:pStyle w:val="FootnoteText"/>
        <w:ind w:firstLine="720"/>
        <w:jc w:val="both"/>
        <w:rPr>
          <w:rFonts w:asciiTheme="majorHAnsi" w:hAnsiTheme="majorHAnsi"/>
          <w:sz w:val="16"/>
          <w:szCs w:val="16"/>
          <w:lang w:val="es-PA"/>
        </w:rPr>
      </w:pPr>
      <w:r w:rsidRPr="0049356F">
        <w:rPr>
          <w:rStyle w:val="FootnoteReference"/>
          <w:rFonts w:asciiTheme="majorHAnsi" w:hAnsiTheme="majorHAnsi"/>
          <w:sz w:val="16"/>
          <w:szCs w:val="16"/>
        </w:rPr>
        <w:footnoteRef/>
      </w:r>
      <w:r w:rsidRPr="00AC2323">
        <w:rPr>
          <w:rFonts w:asciiTheme="majorHAnsi" w:hAnsiTheme="majorHAnsi"/>
          <w:sz w:val="16"/>
          <w:szCs w:val="16"/>
          <w:lang w:val="pt-BR"/>
        </w:rPr>
        <w:t xml:space="preserve"> </w:t>
      </w:r>
      <w:r w:rsidRPr="00AC2323">
        <w:rPr>
          <w:rFonts w:asciiTheme="majorHAnsi" w:hAnsiTheme="majorHAnsi"/>
          <w:sz w:val="16"/>
          <w:szCs w:val="16"/>
          <w:lang w:val="pt-BR"/>
        </w:rPr>
        <w:t xml:space="preserve">Corte </w:t>
      </w:r>
      <w:r w:rsidRPr="00AC2323">
        <w:rPr>
          <w:rFonts w:asciiTheme="majorHAnsi" w:hAnsiTheme="majorHAnsi"/>
          <w:sz w:val="16"/>
          <w:szCs w:val="16"/>
          <w:lang w:val="pt-BR"/>
        </w:rPr>
        <w:t xml:space="preserve">I.D.H., Caso J. vs. Perú. </w:t>
      </w:r>
      <w:r w:rsidRPr="0049356F">
        <w:rPr>
          <w:rFonts w:asciiTheme="majorHAnsi" w:hAnsiTheme="majorHAnsi"/>
          <w:sz w:val="16"/>
          <w:szCs w:val="16"/>
          <w:lang w:val="es-PA"/>
        </w:rPr>
        <w:t xml:space="preserve">Excepción Preliminar, </w:t>
      </w:r>
      <w:r w:rsidRPr="0049356F">
        <w:rPr>
          <w:rFonts w:asciiTheme="majorHAnsi" w:hAnsiTheme="majorHAnsi"/>
          <w:sz w:val="16"/>
          <w:szCs w:val="16"/>
          <w:lang w:val="es-PA"/>
        </w:rPr>
        <w:tab/>
        <w:t>Fondo, Reparaciones y Costas. S</w:t>
      </w:r>
      <w:r>
        <w:rPr>
          <w:rFonts w:asciiTheme="majorHAnsi" w:hAnsiTheme="majorHAnsi"/>
          <w:sz w:val="16"/>
          <w:szCs w:val="16"/>
          <w:lang w:val="es-PA"/>
        </w:rPr>
        <w:t xml:space="preserve">entencia de </w:t>
      </w:r>
      <w:r w:rsidRPr="0049356F">
        <w:rPr>
          <w:rFonts w:asciiTheme="majorHAnsi" w:hAnsiTheme="majorHAnsi"/>
          <w:sz w:val="16"/>
          <w:szCs w:val="16"/>
          <w:lang w:val="es-PA"/>
        </w:rPr>
        <w:t>27 de noviembre de 2013, párr. 196.</w:t>
      </w:r>
    </w:p>
  </w:footnote>
  <w:footnote w:id="7">
    <w:p w14:paraId="180EA5B5" w14:textId="6F191CE0" w:rsidR="005749F1" w:rsidRPr="005749F1" w:rsidRDefault="005749F1" w:rsidP="00840E5C">
      <w:pPr>
        <w:pStyle w:val="FootnoteText"/>
        <w:ind w:firstLine="720"/>
        <w:jc w:val="both"/>
        <w:rPr>
          <w:rFonts w:asciiTheme="majorHAnsi" w:hAnsiTheme="majorHAnsi" w:cstheme="minorHAnsi"/>
          <w:sz w:val="16"/>
          <w:szCs w:val="16"/>
          <w:lang w:val="es-PA"/>
        </w:rPr>
      </w:pPr>
      <w:r>
        <w:rPr>
          <w:rStyle w:val="FootnoteReference"/>
        </w:rPr>
        <w:footnoteRef/>
      </w:r>
      <w:r w:rsidRPr="005B3D9B">
        <w:rPr>
          <w:rFonts w:asciiTheme="majorHAnsi" w:hAnsiTheme="majorHAnsi"/>
          <w:sz w:val="16"/>
          <w:szCs w:val="16"/>
          <w:lang w:val="pt-BR"/>
        </w:rPr>
        <w:t xml:space="preserve">Corte I.D.H., Caso Barreo Leiva vs. Venezuela. </w:t>
      </w:r>
      <w:r>
        <w:rPr>
          <w:rFonts w:asciiTheme="majorHAnsi" w:hAnsiTheme="majorHAnsi"/>
          <w:sz w:val="16"/>
          <w:szCs w:val="16"/>
          <w:lang w:val="es-PA"/>
        </w:rPr>
        <w:t xml:space="preserve">Fondo Reparaciones y Costas. Sentencia de 17 de noviembre de 2009, párr. 62. </w:t>
      </w:r>
    </w:p>
  </w:footnote>
  <w:footnote w:id="8">
    <w:p w14:paraId="0C66A30F" w14:textId="555168D0" w:rsidR="002712A4" w:rsidRPr="002712A4" w:rsidRDefault="002712A4" w:rsidP="00840E5C">
      <w:pPr>
        <w:pStyle w:val="FootnoteText"/>
        <w:ind w:firstLine="720"/>
        <w:jc w:val="both"/>
        <w:rPr>
          <w:rFonts w:asciiTheme="majorHAnsi" w:hAnsiTheme="majorHAnsi"/>
          <w:sz w:val="16"/>
          <w:szCs w:val="16"/>
          <w:lang w:val="es-PA"/>
        </w:rPr>
      </w:pPr>
      <w:r>
        <w:rPr>
          <w:rStyle w:val="FootnoteReference"/>
        </w:rPr>
        <w:footnoteRef/>
      </w:r>
      <w:r w:rsidRPr="002712A4">
        <w:rPr>
          <w:lang w:val="es-PA"/>
        </w:rPr>
        <w:t xml:space="preserve"> </w:t>
      </w:r>
      <w:r w:rsidRPr="002712A4">
        <w:rPr>
          <w:rFonts w:asciiTheme="majorHAnsi" w:hAnsiTheme="majorHAnsi"/>
          <w:sz w:val="16"/>
          <w:szCs w:val="16"/>
          <w:lang w:val="es-PA"/>
        </w:rPr>
        <w:t>CIDH, Informe sobre el Uso de la Prisión Preventiva en las Américas. OEA/Ser. L/V/II. Doc. 46/13. 30 de diciembre de 2013, Párr. 261</w:t>
      </w:r>
    </w:p>
  </w:footnote>
  <w:footnote w:id="9">
    <w:p w14:paraId="63E470B3" w14:textId="52664BF6" w:rsidR="00D70731" w:rsidRPr="00D25849" w:rsidRDefault="00D70731" w:rsidP="00840E5C">
      <w:pPr>
        <w:pStyle w:val="FootnoteText"/>
        <w:ind w:firstLine="720"/>
        <w:jc w:val="both"/>
        <w:rPr>
          <w:rFonts w:asciiTheme="majorHAnsi" w:hAnsiTheme="majorHAnsi" w:cstheme="minorHAnsi"/>
          <w:sz w:val="16"/>
          <w:szCs w:val="16"/>
          <w:lang w:val="es-PA"/>
        </w:rPr>
      </w:pPr>
      <w:r w:rsidRPr="00D25849">
        <w:rPr>
          <w:rStyle w:val="FootnoteReference"/>
          <w:rFonts w:asciiTheme="majorHAnsi" w:hAnsiTheme="majorHAnsi" w:cstheme="minorHAnsi"/>
          <w:sz w:val="16"/>
          <w:szCs w:val="16"/>
        </w:rPr>
        <w:footnoteRef/>
      </w:r>
      <w:r w:rsidRPr="00D25849">
        <w:rPr>
          <w:rFonts w:asciiTheme="majorHAnsi" w:hAnsiTheme="majorHAnsi" w:cstheme="minorHAnsi"/>
          <w:sz w:val="16"/>
          <w:szCs w:val="16"/>
          <w:lang w:val="es-PA"/>
        </w:rPr>
        <w:t xml:space="preserve"> Corte I.D.H. Caso Albán Cornejo vs. Ecuador. Fondo, Reparaciones y Costas. Sentencia de 22 de noviembre de 2007</w:t>
      </w:r>
      <w:r w:rsidR="00D25849" w:rsidRPr="00D25849">
        <w:rPr>
          <w:rFonts w:asciiTheme="majorHAnsi" w:hAnsiTheme="majorHAnsi" w:cstheme="minorHAnsi"/>
          <w:sz w:val="16"/>
          <w:szCs w:val="16"/>
          <w:lang w:val="es-PA"/>
        </w:rPr>
        <w:t>, párr. 111.</w:t>
      </w:r>
    </w:p>
  </w:footnote>
  <w:footnote w:id="10">
    <w:p w14:paraId="42206AC2" w14:textId="37F73A8F" w:rsidR="009666E2" w:rsidRPr="009666E2" w:rsidRDefault="009666E2" w:rsidP="00840E5C">
      <w:pPr>
        <w:pStyle w:val="FootnoteText"/>
        <w:ind w:firstLine="720"/>
        <w:jc w:val="both"/>
        <w:rPr>
          <w:lang w:val="es-PA"/>
        </w:rPr>
      </w:pPr>
      <w:r w:rsidRPr="00D25849">
        <w:rPr>
          <w:rStyle w:val="FootnoteReference"/>
          <w:rFonts w:asciiTheme="majorHAnsi" w:hAnsiTheme="majorHAnsi" w:cstheme="minorHAnsi"/>
          <w:sz w:val="16"/>
          <w:szCs w:val="16"/>
        </w:rPr>
        <w:footnoteRef/>
      </w:r>
      <w:r w:rsidRPr="00D25849">
        <w:rPr>
          <w:rFonts w:asciiTheme="majorHAnsi" w:hAnsiTheme="majorHAnsi" w:cstheme="minorHAnsi"/>
          <w:sz w:val="16"/>
          <w:szCs w:val="16"/>
          <w:lang w:val="es-PA"/>
        </w:rPr>
        <w:t xml:space="preserve"> </w:t>
      </w:r>
      <w:r w:rsidRPr="00AC2323">
        <w:rPr>
          <w:rFonts w:asciiTheme="majorHAnsi" w:hAnsiTheme="majorHAnsi" w:cstheme="minorHAnsi"/>
          <w:color w:val="auto"/>
          <w:sz w:val="16"/>
          <w:szCs w:val="16"/>
          <w:lang w:val="es-ES"/>
        </w:rPr>
        <w:t xml:space="preserve">CIDH, Informe No. </w:t>
      </w:r>
      <w:r w:rsidRPr="00D25849">
        <w:rPr>
          <w:rFonts w:asciiTheme="majorHAnsi" w:hAnsiTheme="majorHAnsi" w:cstheme="minorHAnsi"/>
          <w:color w:val="auto"/>
          <w:sz w:val="16"/>
          <w:szCs w:val="16"/>
          <w:lang w:val="es-ES"/>
        </w:rPr>
        <w:t xml:space="preserve">225/19, Petición 312-13. Admisibilidad. </w:t>
      </w:r>
      <w:r w:rsidRPr="005B3D9B">
        <w:rPr>
          <w:rFonts w:asciiTheme="majorHAnsi" w:hAnsiTheme="majorHAnsi" w:cstheme="minorHAnsi"/>
          <w:color w:val="auto"/>
          <w:sz w:val="16"/>
          <w:szCs w:val="16"/>
        </w:rPr>
        <w:t xml:space="preserve">Cynthia Lou ‘Cindi’ Fisher, </w:t>
      </w:r>
      <w:proofErr w:type="spellStart"/>
      <w:r w:rsidRPr="005B3D9B">
        <w:rPr>
          <w:rFonts w:asciiTheme="majorHAnsi" w:hAnsiTheme="majorHAnsi" w:cstheme="minorHAnsi"/>
          <w:color w:val="auto"/>
          <w:sz w:val="16"/>
          <w:szCs w:val="16"/>
        </w:rPr>
        <w:t>Siddharta</w:t>
      </w:r>
      <w:proofErr w:type="spellEnd"/>
      <w:r w:rsidRPr="005B3D9B">
        <w:rPr>
          <w:rFonts w:asciiTheme="majorHAnsi" w:hAnsiTheme="majorHAnsi" w:cstheme="minorHAnsi"/>
          <w:color w:val="auto"/>
          <w:sz w:val="16"/>
          <w:szCs w:val="16"/>
        </w:rPr>
        <w:t xml:space="preserve"> Fisher. </w:t>
      </w:r>
      <w:r w:rsidRPr="00D25849">
        <w:rPr>
          <w:rFonts w:asciiTheme="majorHAnsi" w:hAnsiTheme="majorHAnsi" w:cstheme="minorHAnsi"/>
          <w:color w:val="auto"/>
          <w:sz w:val="16"/>
          <w:szCs w:val="16"/>
          <w:lang w:val="es-ES"/>
        </w:rPr>
        <w:t>Estados Unidos. 11 de septiembre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9C527B" w:rsidRDefault="009C527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9C527B" w:rsidRDefault="009C5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9C527B" w:rsidRDefault="009C527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9C527B" w:rsidRPr="00EC7D62" w:rsidRDefault="0009078D"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9C527B" w:rsidRDefault="009C527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C527B" w:rsidRDefault="009C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9C527B" w:rsidRDefault="009C527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C527B" w:rsidRPr="00EC7D62" w:rsidRDefault="0009078D"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8434711"/>
    <w:multiLevelType w:val="hybridMultilevel"/>
    <w:tmpl w:val="438A9BA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2"/>
  </w:num>
  <w:num w:numId="5">
    <w:abstractNumId w:val="46"/>
  </w:num>
  <w:num w:numId="6">
    <w:abstractNumId w:val="27"/>
  </w:num>
  <w:num w:numId="7">
    <w:abstractNumId w:val="7"/>
  </w:num>
  <w:num w:numId="8">
    <w:abstractNumId w:val="18"/>
  </w:num>
  <w:num w:numId="9">
    <w:abstractNumId w:val="37"/>
  </w:num>
  <w:num w:numId="10">
    <w:abstractNumId w:val="41"/>
  </w:num>
  <w:num w:numId="11">
    <w:abstractNumId w:val="1"/>
  </w:num>
  <w:num w:numId="12">
    <w:abstractNumId w:val="36"/>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9"/>
  </w:num>
  <w:num w:numId="54">
    <w:abstractNumId w:val="44"/>
  </w:num>
  <w:num w:numId="55">
    <w:abstractNumId w:val="5"/>
  </w:num>
  <w:num w:numId="56">
    <w:abstractNumId w:val="42"/>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32E4"/>
    <w:rsid w:val="00006E1F"/>
    <w:rsid w:val="000070D7"/>
    <w:rsid w:val="000112E0"/>
    <w:rsid w:val="000132B7"/>
    <w:rsid w:val="00013313"/>
    <w:rsid w:val="00014023"/>
    <w:rsid w:val="00014313"/>
    <w:rsid w:val="0001788C"/>
    <w:rsid w:val="00024488"/>
    <w:rsid w:val="0003376F"/>
    <w:rsid w:val="000337EF"/>
    <w:rsid w:val="00040C3A"/>
    <w:rsid w:val="000419AD"/>
    <w:rsid w:val="000433C9"/>
    <w:rsid w:val="00045A01"/>
    <w:rsid w:val="00046CDA"/>
    <w:rsid w:val="00061733"/>
    <w:rsid w:val="000673D0"/>
    <w:rsid w:val="000716C5"/>
    <w:rsid w:val="00075E23"/>
    <w:rsid w:val="00082D97"/>
    <w:rsid w:val="0009078D"/>
    <w:rsid w:val="00091C07"/>
    <w:rsid w:val="0009344A"/>
    <w:rsid w:val="00096481"/>
    <w:rsid w:val="000A1C34"/>
    <w:rsid w:val="000A392E"/>
    <w:rsid w:val="000A3FE2"/>
    <w:rsid w:val="000A4746"/>
    <w:rsid w:val="000A52FC"/>
    <w:rsid w:val="000A575F"/>
    <w:rsid w:val="000B6028"/>
    <w:rsid w:val="000D05CB"/>
    <w:rsid w:val="000D10DB"/>
    <w:rsid w:val="000D3651"/>
    <w:rsid w:val="000D3B02"/>
    <w:rsid w:val="000E2985"/>
    <w:rsid w:val="000E5EB5"/>
    <w:rsid w:val="000F02EC"/>
    <w:rsid w:val="000F35ED"/>
    <w:rsid w:val="00107131"/>
    <w:rsid w:val="0010736F"/>
    <w:rsid w:val="00113F73"/>
    <w:rsid w:val="00117CF0"/>
    <w:rsid w:val="00121CC2"/>
    <w:rsid w:val="00131425"/>
    <w:rsid w:val="0013183A"/>
    <w:rsid w:val="00132BF5"/>
    <w:rsid w:val="00133EE5"/>
    <w:rsid w:val="00136EC3"/>
    <w:rsid w:val="00167A34"/>
    <w:rsid w:val="00174378"/>
    <w:rsid w:val="00175057"/>
    <w:rsid w:val="0018052A"/>
    <w:rsid w:val="00196FEE"/>
    <w:rsid w:val="001A22A2"/>
    <w:rsid w:val="001A7870"/>
    <w:rsid w:val="001B3A00"/>
    <w:rsid w:val="001C1B41"/>
    <w:rsid w:val="001C5A65"/>
    <w:rsid w:val="001D18E2"/>
    <w:rsid w:val="001D3954"/>
    <w:rsid w:val="001D630B"/>
    <w:rsid w:val="001D65EF"/>
    <w:rsid w:val="001E2632"/>
    <w:rsid w:val="001E49E7"/>
    <w:rsid w:val="001F25BA"/>
    <w:rsid w:val="001F7201"/>
    <w:rsid w:val="0021279D"/>
    <w:rsid w:val="00215A57"/>
    <w:rsid w:val="00216A1D"/>
    <w:rsid w:val="0022072D"/>
    <w:rsid w:val="00223A29"/>
    <w:rsid w:val="002250A3"/>
    <w:rsid w:val="00233517"/>
    <w:rsid w:val="00235217"/>
    <w:rsid w:val="0024508A"/>
    <w:rsid w:val="0024546E"/>
    <w:rsid w:val="00246D1F"/>
    <w:rsid w:val="00247403"/>
    <w:rsid w:val="00247542"/>
    <w:rsid w:val="00251109"/>
    <w:rsid w:val="0025568F"/>
    <w:rsid w:val="00257FC8"/>
    <w:rsid w:val="00263F6F"/>
    <w:rsid w:val="00266530"/>
    <w:rsid w:val="00266B61"/>
    <w:rsid w:val="0026712A"/>
    <w:rsid w:val="002704DB"/>
    <w:rsid w:val="002712A4"/>
    <w:rsid w:val="0027441C"/>
    <w:rsid w:val="0027693A"/>
    <w:rsid w:val="002836F3"/>
    <w:rsid w:val="0028417C"/>
    <w:rsid w:val="0029436E"/>
    <w:rsid w:val="002A0AAE"/>
    <w:rsid w:val="002A5820"/>
    <w:rsid w:val="002A6627"/>
    <w:rsid w:val="002B0B90"/>
    <w:rsid w:val="002C3B2B"/>
    <w:rsid w:val="002C57EB"/>
    <w:rsid w:val="002C6A45"/>
    <w:rsid w:val="002D1AB4"/>
    <w:rsid w:val="002D2B26"/>
    <w:rsid w:val="002D31B4"/>
    <w:rsid w:val="002D7EA2"/>
    <w:rsid w:val="002E187C"/>
    <w:rsid w:val="002E4781"/>
    <w:rsid w:val="002F3179"/>
    <w:rsid w:val="00301024"/>
    <w:rsid w:val="00302733"/>
    <w:rsid w:val="0030535D"/>
    <w:rsid w:val="00314078"/>
    <w:rsid w:val="0031535D"/>
    <w:rsid w:val="003239B8"/>
    <w:rsid w:val="0033169F"/>
    <w:rsid w:val="00344977"/>
    <w:rsid w:val="00346C95"/>
    <w:rsid w:val="00353A95"/>
    <w:rsid w:val="00356185"/>
    <w:rsid w:val="00360380"/>
    <w:rsid w:val="00366053"/>
    <w:rsid w:val="0037519E"/>
    <w:rsid w:val="00375317"/>
    <w:rsid w:val="00377E2B"/>
    <w:rsid w:val="0038223E"/>
    <w:rsid w:val="0038524B"/>
    <w:rsid w:val="00386CF0"/>
    <w:rsid w:val="00390590"/>
    <w:rsid w:val="003A3E87"/>
    <w:rsid w:val="003B6DD0"/>
    <w:rsid w:val="003B70FB"/>
    <w:rsid w:val="003C3FDF"/>
    <w:rsid w:val="003C676B"/>
    <w:rsid w:val="003D3BC2"/>
    <w:rsid w:val="003E04BE"/>
    <w:rsid w:val="003E6CA1"/>
    <w:rsid w:val="0040018F"/>
    <w:rsid w:val="004065A8"/>
    <w:rsid w:val="00406675"/>
    <w:rsid w:val="00411591"/>
    <w:rsid w:val="004165C2"/>
    <w:rsid w:val="004273CC"/>
    <w:rsid w:val="00427495"/>
    <w:rsid w:val="004347D7"/>
    <w:rsid w:val="00434A4B"/>
    <w:rsid w:val="004419F2"/>
    <w:rsid w:val="00441ECB"/>
    <w:rsid w:val="00445193"/>
    <w:rsid w:val="00452DAC"/>
    <w:rsid w:val="00454B82"/>
    <w:rsid w:val="00454F0A"/>
    <w:rsid w:val="00455077"/>
    <w:rsid w:val="00462C1B"/>
    <w:rsid w:val="00467B7E"/>
    <w:rsid w:val="00473BB4"/>
    <w:rsid w:val="00477592"/>
    <w:rsid w:val="0048136A"/>
    <w:rsid w:val="0048440B"/>
    <w:rsid w:val="00484848"/>
    <w:rsid w:val="00486F1C"/>
    <w:rsid w:val="0049088F"/>
    <w:rsid w:val="0049356F"/>
    <w:rsid w:val="0049419D"/>
    <w:rsid w:val="00494CCE"/>
    <w:rsid w:val="004A2767"/>
    <w:rsid w:val="004A4B9C"/>
    <w:rsid w:val="004A640B"/>
    <w:rsid w:val="004A6A54"/>
    <w:rsid w:val="004C0E8D"/>
    <w:rsid w:val="004C1EDB"/>
    <w:rsid w:val="004C20D2"/>
    <w:rsid w:val="004C2312"/>
    <w:rsid w:val="004C246A"/>
    <w:rsid w:val="004C4B62"/>
    <w:rsid w:val="004C54C9"/>
    <w:rsid w:val="004D1F9B"/>
    <w:rsid w:val="004D2499"/>
    <w:rsid w:val="004D4ABA"/>
    <w:rsid w:val="004D5FD2"/>
    <w:rsid w:val="004D6025"/>
    <w:rsid w:val="004D70F9"/>
    <w:rsid w:val="004E2649"/>
    <w:rsid w:val="004F626F"/>
    <w:rsid w:val="00501399"/>
    <w:rsid w:val="00504084"/>
    <w:rsid w:val="0050633D"/>
    <w:rsid w:val="00507BC4"/>
    <w:rsid w:val="00511602"/>
    <w:rsid w:val="005128E4"/>
    <w:rsid w:val="005133DB"/>
    <w:rsid w:val="00514504"/>
    <w:rsid w:val="005149F8"/>
    <w:rsid w:val="00520E16"/>
    <w:rsid w:val="005224F5"/>
    <w:rsid w:val="005246D3"/>
    <w:rsid w:val="005253C4"/>
    <w:rsid w:val="00525560"/>
    <w:rsid w:val="00530A97"/>
    <w:rsid w:val="00532774"/>
    <w:rsid w:val="00533A62"/>
    <w:rsid w:val="0053487B"/>
    <w:rsid w:val="00536551"/>
    <w:rsid w:val="00544C49"/>
    <w:rsid w:val="005516A1"/>
    <w:rsid w:val="0055189F"/>
    <w:rsid w:val="00554BF6"/>
    <w:rsid w:val="005559EF"/>
    <w:rsid w:val="00555E10"/>
    <w:rsid w:val="0056074A"/>
    <w:rsid w:val="005609ED"/>
    <w:rsid w:val="00563557"/>
    <w:rsid w:val="00570968"/>
    <w:rsid w:val="0057352D"/>
    <w:rsid w:val="0057402A"/>
    <w:rsid w:val="005749F1"/>
    <w:rsid w:val="005771D0"/>
    <w:rsid w:val="005809CB"/>
    <w:rsid w:val="005834FD"/>
    <w:rsid w:val="00585A16"/>
    <w:rsid w:val="0059191A"/>
    <w:rsid w:val="005921FF"/>
    <w:rsid w:val="005A24ED"/>
    <w:rsid w:val="005A6D0E"/>
    <w:rsid w:val="005B3D9B"/>
    <w:rsid w:val="005B52B0"/>
    <w:rsid w:val="005B6806"/>
    <w:rsid w:val="005C4225"/>
    <w:rsid w:val="005D13C5"/>
    <w:rsid w:val="005D6FF2"/>
    <w:rsid w:val="005E3E07"/>
    <w:rsid w:val="005E5F78"/>
    <w:rsid w:val="005F0DAD"/>
    <w:rsid w:val="005F0F33"/>
    <w:rsid w:val="00600DEB"/>
    <w:rsid w:val="00601040"/>
    <w:rsid w:val="006070D1"/>
    <w:rsid w:val="0061738A"/>
    <w:rsid w:val="00621DD3"/>
    <w:rsid w:val="00622562"/>
    <w:rsid w:val="00623843"/>
    <w:rsid w:val="006258B9"/>
    <w:rsid w:val="00627C9F"/>
    <w:rsid w:val="006311E9"/>
    <w:rsid w:val="00632354"/>
    <w:rsid w:val="00635421"/>
    <w:rsid w:val="00642810"/>
    <w:rsid w:val="00652333"/>
    <w:rsid w:val="00653B87"/>
    <w:rsid w:val="00660CBD"/>
    <w:rsid w:val="006611C0"/>
    <w:rsid w:val="00675B2C"/>
    <w:rsid w:val="0068009E"/>
    <w:rsid w:val="006856C8"/>
    <w:rsid w:val="00686E2A"/>
    <w:rsid w:val="00691772"/>
    <w:rsid w:val="00691776"/>
    <w:rsid w:val="00692219"/>
    <w:rsid w:val="0069536F"/>
    <w:rsid w:val="00696195"/>
    <w:rsid w:val="0069690D"/>
    <w:rsid w:val="006A17D2"/>
    <w:rsid w:val="006A29BD"/>
    <w:rsid w:val="006A53B4"/>
    <w:rsid w:val="006A73E6"/>
    <w:rsid w:val="006B2D5C"/>
    <w:rsid w:val="006B79EA"/>
    <w:rsid w:val="006C3525"/>
    <w:rsid w:val="006C4EB1"/>
    <w:rsid w:val="006D14F3"/>
    <w:rsid w:val="006D46DB"/>
    <w:rsid w:val="006D5FC5"/>
    <w:rsid w:val="006E0166"/>
    <w:rsid w:val="006E2FFB"/>
    <w:rsid w:val="006E3931"/>
    <w:rsid w:val="006E5825"/>
    <w:rsid w:val="006E59C8"/>
    <w:rsid w:val="006E7B34"/>
    <w:rsid w:val="006F3F7B"/>
    <w:rsid w:val="0070637E"/>
    <w:rsid w:val="0070697F"/>
    <w:rsid w:val="0072199C"/>
    <w:rsid w:val="00722C9F"/>
    <w:rsid w:val="007253B8"/>
    <w:rsid w:val="00726D6B"/>
    <w:rsid w:val="0073741F"/>
    <w:rsid w:val="00743AFE"/>
    <w:rsid w:val="0076643F"/>
    <w:rsid w:val="00777F63"/>
    <w:rsid w:val="0078377F"/>
    <w:rsid w:val="00785D5C"/>
    <w:rsid w:val="0079129C"/>
    <w:rsid w:val="007924E1"/>
    <w:rsid w:val="00793F54"/>
    <w:rsid w:val="00795E6C"/>
    <w:rsid w:val="007A17AD"/>
    <w:rsid w:val="007A5817"/>
    <w:rsid w:val="007B05C4"/>
    <w:rsid w:val="007B60E9"/>
    <w:rsid w:val="007B6CC3"/>
    <w:rsid w:val="007B71E2"/>
    <w:rsid w:val="007B767B"/>
    <w:rsid w:val="007B76D3"/>
    <w:rsid w:val="007C3334"/>
    <w:rsid w:val="007C4159"/>
    <w:rsid w:val="007D2B98"/>
    <w:rsid w:val="007D328D"/>
    <w:rsid w:val="007E21BC"/>
    <w:rsid w:val="007E75F4"/>
    <w:rsid w:val="007E7C82"/>
    <w:rsid w:val="007F2AA1"/>
    <w:rsid w:val="007F3777"/>
    <w:rsid w:val="007F588D"/>
    <w:rsid w:val="007F58A4"/>
    <w:rsid w:val="00801C0F"/>
    <w:rsid w:val="00803423"/>
    <w:rsid w:val="00803A03"/>
    <w:rsid w:val="00803AE2"/>
    <w:rsid w:val="00803C12"/>
    <w:rsid w:val="00803DC6"/>
    <w:rsid w:val="00803F1C"/>
    <w:rsid w:val="0080600E"/>
    <w:rsid w:val="00811520"/>
    <w:rsid w:val="00812D22"/>
    <w:rsid w:val="00814688"/>
    <w:rsid w:val="00817612"/>
    <w:rsid w:val="00831D07"/>
    <w:rsid w:val="008338A4"/>
    <w:rsid w:val="00834D49"/>
    <w:rsid w:val="00837C45"/>
    <w:rsid w:val="00840B5C"/>
    <w:rsid w:val="00840E5C"/>
    <w:rsid w:val="00844730"/>
    <w:rsid w:val="008457C2"/>
    <w:rsid w:val="00851C2B"/>
    <w:rsid w:val="00857A82"/>
    <w:rsid w:val="0086304D"/>
    <w:rsid w:val="00866A35"/>
    <w:rsid w:val="008723F2"/>
    <w:rsid w:val="00873836"/>
    <w:rsid w:val="00874720"/>
    <w:rsid w:val="008763C5"/>
    <w:rsid w:val="00883F95"/>
    <w:rsid w:val="00885737"/>
    <w:rsid w:val="00885993"/>
    <w:rsid w:val="00890650"/>
    <w:rsid w:val="008952BB"/>
    <w:rsid w:val="00896D7E"/>
    <w:rsid w:val="0089751D"/>
    <w:rsid w:val="008979A6"/>
    <w:rsid w:val="00897E12"/>
    <w:rsid w:val="008A0AB8"/>
    <w:rsid w:val="008A0CEB"/>
    <w:rsid w:val="008A7E0F"/>
    <w:rsid w:val="008B12F5"/>
    <w:rsid w:val="008B1EED"/>
    <w:rsid w:val="008C5E2D"/>
    <w:rsid w:val="008D114A"/>
    <w:rsid w:val="008D768D"/>
    <w:rsid w:val="008E1315"/>
    <w:rsid w:val="008E3759"/>
    <w:rsid w:val="008E3BFE"/>
    <w:rsid w:val="008E4F1C"/>
    <w:rsid w:val="008E580E"/>
    <w:rsid w:val="008F1912"/>
    <w:rsid w:val="0090270B"/>
    <w:rsid w:val="00904013"/>
    <w:rsid w:val="009041DC"/>
    <w:rsid w:val="00904C8E"/>
    <w:rsid w:val="009142B1"/>
    <w:rsid w:val="009179BE"/>
    <w:rsid w:val="00917B5A"/>
    <w:rsid w:val="00920A58"/>
    <w:rsid w:val="00920A8C"/>
    <w:rsid w:val="00922E6C"/>
    <w:rsid w:val="00927E20"/>
    <w:rsid w:val="00927F02"/>
    <w:rsid w:val="00934A2C"/>
    <w:rsid w:val="0094529B"/>
    <w:rsid w:val="00960B12"/>
    <w:rsid w:val="009666E2"/>
    <w:rsid w:val="0096697B"/>
    <w:rsid w:val="0096706E"/>
    <w:rsid w:val="00971500"/>
    <w:rsid w:val="009725F4"/>
    <w:rsid w:val="00973FAC"/>
    <w:rsid w:val="00974491"/>
    <w:rsid w:val="00975C4E"/>
    <w:rsid w:val="00981386"/>
    <w:rsid w:val="00981FBA"/>
    <w:rsid w:val="00990498"/>
    <w:rsid w:val="00997BC5"/>
    <w:rsid w:val="009A4F41"/>
    <w:rsid w:val="009A5FF0"/>
    <w:rsid w:val="009A6379"/>
    <w:rsid w:val="009B381B"/>
    <w:rsid w:val="009C527B"/>
    <w:rsid w:val="009C6CB7"/>
    <w:rsid w:val="009D1753"/>
    <w:rsid w:val="009D7611"/>
    <w:rsid w:val="009E0B61"/>
    <w:rsid w:val="009E41D6"/>
    <w:rsid w:val="009E4EC3"/>
    <w:rsid w:val="009E53DE"/>
    <w:rsid w:val="009F0345"/>
    <w:rsid w:val="009F314C"/>
    <w:rsid w:val="00A11212"/>
    <w:rsid w:val="00A11E44"/>
    <w:rsid w:val="00A20002"/>
    <w:rsid w:val="00A30100"/>
    <w:rsid w:val="00A322E4"/>
    <w:rsid w:val="00A328B3"/>
    <w:rsid w:val="00A3454F"/>
    <w:rsid w:val="00A50FCF"/>
    <w:rsid w:val="00A528D1"/>
    <w:rsid w:val="00A60826"/>
    <w:rsid w:val="00A610CD"/>
    <w:rsid w:val="00A65011"/>
    <w:rsid w:val="00A758AA"/>
    <w:rsid w:val="00A77400"/>
    <w:rsid w:val="00A77712"/>
    <w:rsid w:val="00A818AB"/>
    <w:rsid w:val="00A850E6"/>
    <w:rsid w:val="00A861CD"/>
    <w:rsid w:val="00A865AF"/>
    <w:rsid w:val="00A93C5B"/>
    <w:rsid w:val="00AA09A2"/>
    <w:rsid w:val="00AA1179"/>
    <w:rsid w:val="00AA7996"/>
    <w:rsid w:val="00AB2DCE"/>
    <w:rsid w:val="00AC19CB"/>
    <w:rsid w:val="00AC2323"/>
    <w:rsid w:val="00AC244D"/>
    <w:rsid w:val="00AC75CA"/>
    <w:rsid w:val="00AD489F"/>
    <w:rsid w:val="00AE0953"/>
    <w:rsid w:val="00AE5488"/>
    <w:rsid w:val="00AE6F91"/>
    <w:rsid w:val="00AF5571"/>
    <w:rsid w:val="00AF5D74"/>
    <w:rsid w:val="00B00B8E"/>
    <w:rsid w:val="00B03419"/>
    <w:rsid w:val="00B07341"/>
    <w:rsid w:val="00B261A9"/>
    <w:rsid w:val="00B30539"/>
    <w:rsid w:val="00B314DB"/>
    <w:rsid w:val="00B318C1"/>
    <w:rsid w:val="00B3218C"/>
    <w:rsid w:val="00B32F75"/>
    <w:rsid w:val="00B33154"/>
    <w:rsid w:val="00B361F2"/>
    <w:rsid w:val="00B3718B"/>
    <w:rsid w:val="00B3745F"/>
    <w:rsid w:val="00B457A3"/>
    <w:rsid w:val="00B45E23"/>
    <w:rsid w:val="00B46185"/>
    <w:rsid w:val="00B4632A"/>
    <w:rsid w:val="00B46622"/>
    <w:rsid w:val="00B51D51"/>
    <w:rsid w:val="00B530F1"/>
    <w:rsid w:val="00B5429F"/>
    <w:rsid w:val="00B56C46"/>
    <w:rsid w:val="00B634F5"/>
    <w:rsid w:val="00B6353D"/>
    <w:rsid w:val="00B650D3"/>
    <w:rsid w:val="00B72A9A"/>
    <w:rsid w:val="00B767C7"/>
    <w:rsid w:val="00B83336"/>
    <w:rsid w:val="00B86627"/>
    <w:rsid w:val="00B96E54"/>
    <w:rsid w:val="00BA0CBA"/>
    <w:rsid w:val="00BA2400"/>
    <w:rsid w:val="00BA276C"/>
    <w:rsid w:val="00BA5484"/>
    <w:rsid w:val="00BB265C"/>
    <w:rsid w:val="00BB306F"/>
    <w:rsid w:val="00BB79D4"/>
    <w:rsid w:val="00BC693D"/>
    <w:rsid w:val="00BD4B89"/>
    <w:rsid w:val="00BD5922"/>
    <w:rsid w:val="00BD5FD2"/>
    <w:rsid w:val="00BE646F"/>
    <w:rsid w:val="00BF02CB"/>
    <w:rsid w:val="00BF1898"/>
    <w:rsid w:val="00BF6FD8"/>
    <w:rsid w:val="00C03680"/>
    <w:rsid w:val="00C054DF"/>
    <w:rsid w:val="00C14BD4"/>
    <w:rsid w:val="00C21762"/>
    <w:rsid w:val="00C21FEF"/>
    <w:rsid w:val="00C23BA4"/>
    <w:rsid w:val="00C24543"/>
    <w:rsid w:val="00C256A2"/>
    <w:rsid w:val="00C25ADB"/>
    <w:rsid w:val="00C2623F"/>
    <w:rsid w:val="00C46D46"/>
    <w:rsid w:val="00C51515"/>
    <w:rsid w:val="00C549EF"/>
    <w:rsid w:val="00C5660B"/>
    <w:rsid w:val="00C6279E"/>
    <w:rsid w:val="00C62928"/>
    <w:rsid w:val="00C65CB7"/>
    <w:rsid w:val="00C66B72"/>
    <w:rsid w:val="00C70198"/>
    <w:rsid w:val="00C72A01"/>
    <w:rsid w:val="00C7464E"/>
    <w:rsid w:val="00C74737"/>
    <w:rsid w:val="00C8540B"/>
    <w:rsid w:val="00C87AC4"/>
    <w:rsid w:val="00C9491D"/>
    <w:rsid w:val="00C9567A"/>
    <w:rsid w:val="00CA499E"/>
    <w:rsid w:val="00CB212D"/>
    <w:rsid w:val="00CB2660"/>
    <w:rsid w:val="00CC254F"/>
    <w:rsid w:val="00CC5E90"/>
    <w:rsid w:val="00CD046C"/>
    <w:rsid w:val="00CE076C"/>
    <w:rsid w:val="00CE2778"/>
    <w:rsid w:val="00CE5199"/>
    <w:rsid w:val="00CE66D5"/>
    <w:rsid w:val="00CF41C4"/>
    <w:rsid w:val="00CF637A"/>
    <w:rsid w:val="00D059DE"/>
    <w:rsid w:val="00D05ABD"/>
    <w:rsid w:val="00D06F66"/>
    <w:rsid w:val="00D074A4"/>
    <w:rsid w:val="00D101B3"/>
    <w:rsid w:val="00D126F3"/>
    <w:rsid w:val="00D13FCE"/>
    <w:rsid w:val="00D14902"/>
    <w:rsid w:val="00D1541A"/>
    <w:rsid w:val="00D2102D"/>
    <w:rsid w:val="00D25849"/>
    <w:rsid w:val="00D306D1"/>
    <w:rsid w:val="00D30800"/>
    <w:rsid w:val="00D34786"/>
    <w:rsid w:val="00D37BFC"/>
    <w:rsid w:val="00D47A8E"/>
    <w:rsid w:val="00D52D14"/>
    <w:rsid w:val="00D535A0"/>
    <w:rsid w:val="00D70731"/>
    <w:rsid w:val="00D712D3"/>
    <w:rsid w:val="00D71422"/>
    <w:rsid w:val="00D72DC6"/>
    <w:rsid w:val="00D7558D"/>
    <w:rsid w:val="00D7664D"/>
    <w:rsid w:val="00D77F33"/>
    <w:rsid w:val="00D81D92"/>
    <w:rsid w:val="00D848AC"/>
    <w:rsid w:val="00D876F9"/>
    <w:rsid w:val="00D93608"/>
    <w:rsid w:val="00D96054"/>
    <w:rsid w:val="00D97D59"/>
    <w:rsid w:val="00DA13A2"/>
    <w:rsid w:val="00DA23D4"/>
    <w:rsid w:val="00DA7B5F"/>
    <w:rsid w:val="00DB51C3"/>
    <w:rsid w:val="00DC11E7"/>
    <w:rsid w:val="00DC24E3"/>
    <w:rsid w:val="00DC7023"/>
    <w:rsid w:val="00DC769A"/>
    <w:rsid w:val="00DD3D86"/>
    <w:rsid w:val="00DD4AD2"/>
    <w:rsid w:val="00DE0342"/>
    <w:rsid w:val="00DE208F"/>
    <w:rsid w:val="00DF1BEC"/>
    <w:rsid w:val="00DF1EC4"/>
    <w:rsid w:val="00DF3C24"/>
    <w:rsid w:val="00E0340B"/>
    <w:rsid w:val="00E04A90"/>
    <w:rsid w:val="00E0551F"/>
    <w:rsid w:val="00E15EF2"/>
    <w:rsid w:val="00E219C7"/>
    <w:rsid w:val="00E40DEE"/>
    <w:rsid w:val="00E4118C"/>
    <w:rsid w:val="00E43157"/>
    <w:rsid w:val="00E461CE"/>
    <w:rsid w:val="00E51AE6"/>
    <w:rsid w:val="00E5276B"/>
    <w:rsid w:val="00E56F4F"/>
    <w:rsid w:val="00E573E4"/>
    <w:rsid w:val="00E614FE"/>
    <w:rsid w:val="00E638D2"/>
    <w:rsid w:val="00E67981"/>
    <w:rsid w:val="00E71C69"/>
    <w:rsid w:val="00E720CA"/>
    <w:rsid w:val="00E84328"/>
    <w:rsid w:val="00E84EB5"/>
    <w:rsid w:val="00E85662"/>
    <w:rsid w:val="00E8789F"/>
    <w:rsid w:val="00E92B33"/>
    <w:rsid w:val="00E97B71"/>
    <w:rsid w:val="00EA3D34"/>
    <w:rsid w:val="00EA624C"/>
    <w:rsid w:val="00EB2FE4"/>
    <w:rsid w:val="00EB39D6"/>
    <w:rsid w:val="00EB3E12"/>
    <w:rsid w:val="00EB454D"/>
    <w:rsid w:val="00EB54BA"/>
    <w:rsid w:val="00EC4AAA"/>
    <w:rsid w:val="00ED4955"/>
    <w:rsid w:val="00ED549D"/>
    <w:rsid w:val="00ED76BE"/>
    <w:rsid w:val="00EE00E9"/>
    <w:rsid w:val="00EE09F3"/>
    <w:rsid w:val="00EE247F"/>
    <w:rsid w:val="00EE57EB"/>
    <w:rsid w:val="00EF04D5"/>
    <w:rsid w:val="00EF1AAA"/>
    <w:rsid w:val="00EF1BA6"/>
    <w:rsid w:val="00EF1E3A"/>
    <w:rsid w:val="00EF4225"/>
    <w:rsid w:val="00EF4A26"/>
    <w:rsid w:val="00EF619B"/>
    <w:rsid w:val="00F00B55"/>
    <w:rsid w:val="00F02AD1"/>
    <w:rsid w:val="00F115A5"/>
    <w:rsid w:val="00F253CC"/>
    <w:rsid w:val="00F261EE"/>
    <w:rsid w:val="00F308F1"/>
    <w:rsid w:val="00F3260F"/>
    <w:rsid w:val="00F37106"/>
    <w:rsid w:val="00F426F7"/>
    <w:rsid w:val="00F43D1D"/>
    <w:rsid w:val="00F44E25"/>
    <w:rsid w:val="00F519CF"/>
    <w:rsid w:val="00F54231"/>
    <w:rsid w:val="00F56BA5"/>
    <w:rsid w:val="00F57827"/>
    <w:rsid w:val="00F60346"/>
    <w:rsid w:val="00F60E22"/>
    <w:rsid w:val="00F65FC7"/>
    <w:rsid w:val="00F81395"/>
    <w:rsid w:val="00F81BB8"/>
    <w:rsid w:val="00F87019"/>
    <w:rsid w:val="00F90C64"/>
    <w:rsid w:val="00F917D1"/>
    <w:rsid w:val="00F94965"/>
    <w:rsid w:val="00F9653B"/>
    <w:rsid w:val="00FA0C29"/>
    <w:rsid w:val="00FB62CF"/>
    <w:rsid w:val="00FC0324"/>
    <w:rsid w:val="00FC2DC4"/>
    <w:rsid w:val="00FD3C3B"/>
    <w:rsid w:val="00FD4A52"/>
    <w:rsid w:val="00FD5A9B"/>
    <w:rsid w:val="00FD6D58"/>
    <w:rsid w:val="00FE07DD"/>
    <w:rsid w:val="00FE1F28"/>
    <w:rsid w:val="00FE6B45"/>
    <w:rsid w:val="00FF119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unhideWhenUsed/>
    <w:rsid w:val="00377E2B"/>
    <w:rPr>
      <w:sz w:val="20"/>
      <w:szCs w:val="20"/>
    </w:rPr>
  </w:style>
  <w:style w:type="character" w:customStyle="1" w:styleId="CommentTextChar">
    <w:name w:val="Comment Text Char"/>
    <w:basedOn w:val="DefaultParagraphFont"/>
    <w:link w:val="CommentText"/>
    <w:uiPriority w:val="99"/>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locked/>
    <w:rsid w:val="00117CF0"/>
    <w:rPr>
      <w:rFonts w:ascii="Cambria" w:eastAsia="Cambria" w:hAnsi="Cambria" w:cs="Cambria"/>
      <w:color w:val="000000"/>
      <w:sz w:val="24"/>
      <w:szCs w:val="24"/>
      <w:u w:color="000000"/>
      <w:lang w:val="en-US"/>
    </w:rPr>
  </w:style>
  <w:style w:type="paragraph" w:styleId="Revision">
    <w:name w:val="Revision"/>
    <w:hidden/>
    <w:uiPriority w:val="99"/>
    <w:semiHidden/>
    <w:rsid w:val="0027693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046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2125">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93482523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5CD1"/>
    <w:rsid w:val="00200821"/>
    <w:rsid w:val="0025245B"/>
    <w:rsid w:val="002C52A7"/>
    <w:rsid w:val="00394049"/>
    <w:rsid w:val="003B5CBB"/>
    <w:rsid w:val="004679A0"/>
    <w:rsid w:val="004B5BBB"/>
    <w:rsid w:val="004F2DF8"/>
    <w:rsid w:val="00555DD5"/>
    <w:rsid w:val="00666399"/>
    <w:rsid w:val="0069641B"/>
    <w:rsid w:val="006F24A1"/>
    <w:rsid w:val="00702EED"/>
    <w:rsid w:val="0071718D"/>
    <w:rsid w:val="00727BBD"/>
    <w:rsid w:val="007B051A"/>
    <w:rsid w:val="00833FB5"/>
    <w:rsid w:val="00857B5B"/>
    <w:rsid w:val="00866180"/>
    <w:rsid w:val="009A261B"/>
    <w:rsid w:val="00AA2E17"/>
    <w:rsid w:val="00AC15A4"/>
    <w:rsid w:val="00AF2105"/>
    <w:rsid w:val="00B0336C"/>
    <w:rsid w:val="00B17E31"/>
    <w:rsid w:val="00B940B9"/>
    <w:rsid w:val="00BA1A41"/>
    <w:rsid w:val="00BE194F"/>
    <w:rsid w:val="00C35B5F"/>
    <w:rsid w:val="00C5567C"/>
    <w:rsid w:val="00C767D1"/>
    <w:rsid w:val="00D03C2D"/>
    <w:rsid w:val="00D241E9"/>
    <w:rsid w:val="00D73E16"/>
    <w:rsid w:val="00D7750D"/>
    <w:rsid w:val="00E0516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3BAC-E257-4F9B-8100-89364458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3869</Words>
  <Characters>19814</Characters>
  <Application>Microsoft Office Word</Application>
  <DocSecurity>0</DocSecurity>
  <Lines>373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4/22</dc:title>
  <dc:creator/>
  <cp:lastModifiedBy/>
  <cp:revision>1</cp:revision>
  <dcterms:created xsi:type="dcterms:W3CDTF">2022-04-06T15:30:00Z</dcterms:created>
  <dcterms:modified xsi:type="dcterms:W3CDTF">2022-04-06T15:30:00Z</dcterms:modified>
</cp:coreProperties>
</file>