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80AC" w14:textId="77777777" w:rsidR="00040C3A" w:rsidRPr="007A3389" w:rsidRDefault="007B1494" w:rsidP="001E4D7D">
      <w:pPr>
        <w:jc w:val="both"/>
        <w:rPr>
          <w:rFonts w:asciiTheme="majorHAnsi" w:hAnsiTheme="majorHAnsi" w:cs="Univers"/>
          <w:b/>
          <w:bCs/>
          <w:sz w:val="20"/>
          <w:szCs w:val="20"/>
          <w:lang w:val="es-ES"/>
        </w:rPr>
      </w:pPr>
      <w:r w:rsidRPr="007A338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1C45701" wp14:editId="2329E74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32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i1jwIAAHkFAAAOAAAAZHJzL2Uyb0RvYy54bWysVEtv2zAMvg/YfxB0X21nadMYcYogRYcB&#10;QVusHXpWZCk2JouapMTJfv0o+dGgK3YY5oNgih8/PkRycXNsFDkI62rQBc0uUkqE5lDWelfQ7893&#10;n64pcZ7pkinQoqAn4ejN8uOHRWtyMYEKVCksQRLt8tYUtPLe5EnieCUa5i7ACI1KCbZhHkW7S0rL&#10;WmRvVDJJ06ukBVsaC1w4h7e3nZIuI7+UgvsHKZ3wRBUUY/PxtPHchjNZLli+s8xUNe/DYP8QRcNq&#10;jU5HqlvmGdnb+g+qpuYWHEh/waFJQMqai5gDZpOlb7J5qpgRMRcsjjNjmdz/o+X3hyfzaEPozmyA&#10;/3BYkaQ1Lh81QXA95ihtE7AYODnGKp7GKoqjJxwvs2k6n6VYbI666/lsdvU51jlh+WBurPNfBDQk&#10;/BTU4jPF6rHDxvkQAMsHSIwMVF3e1UpFwe62a2XJgeGTTlezbD4Nr4gm7hymdABrCGadOtzEzLpk&#10;Ylr+pETAKf1NSFKXGP4kRhIbUIx+GOdC+6xTVawUnfvLFL/Be2jZYBFjiYSBWaL/kbsnGJAdycDd&#10;Rdnjg6mI/Tsap38LrDMeLaJn0H40bmoN9j0ChVn1njv8UKSuNKFKWyhPj5ZY6KbHGX5X47ttmPOP&#10;zOK44FvjCvAPeEgFbUGh/6OkAvvrvfuAxy5GLSUtjl9B3c89s4IS9VVjf8+z6TTMaxSml7MJCvZc&#10;sz3X6H2zBmyHDJeN4fE34L0afqWF5gU3xSp4RRXTHH0XlHs7CGvfrQXcNVysVhGGM2qY3+gnwwN5&#10;qGroy+fjC7Omb16PfX8Pw6iy/E0Pd9hgqWG19yDr2OCvde3rjfMdG6ffRWGBnMsR9boxl78BAAD/&#10;/wMAUEsDBBQABgAIAAAAIQC+YxpO4wAAAAwBAAAPAAAAZHJzL2Rvd25yZXYueG1sTI/NTsMwEITv&#10;SLyDtUjcWoeC3SrEqfgRohICSkFI3NzYdSLidRS7TXh7tie4ze6MZr8tlqNv2cH2sQmo4GKaAbNY&#10;BdOgU/Dx/jBZAItJo9FtQKvgx0ZYlqcnhc5NGPDNHjbJMSrBmGsFdUpdznmsaut1nIbOInm70Hud&#10;aOwdN70eqNy3fJZlknvdIF2odWfvalt9b/ZewW1sPofwdPWoF8/3K7f62r249atS52fjzTWwZMf0&#10;F4YjPqFDSUzbsEcTWatgIoWgKAkhZ8COCSFpsyVxKeYSeFnw/0+UvwAAAP//AwBQSwECLQAUAAYA&#10;CAAAACEAtoM4kv4AAADhAQAAEwAAAAAAAAAAAAAAAAAAAAAAW0NvbnRlbnRfVHlwZXNdLnhtbFBL&#10;AQItABQABgAIAAAAIQA4/SH/1gAAAJQBAAALAAAAAAAAAAAAAAAAAC8BAABfcmVscy8ucmVsc1BL&#10;AQItABQABgAIAAAAIQAHTni1jwIAAHkFAAAOAAAAAAAAAAAAAAAAAC4CAABkcnMvZTJvRG9jLnht&#10;bFBLAQItABQABgAIAAAAIQC+YxpO4wAAAAwBAAAPAAAAAAAAAAAAAAAAAOkEAABkcnMvZG93bnJl&#10;di54bWxQSwUGAAAAAAQABADzAAAA+QUAAAAA&#10;" fillcolor="#4a7194" stroked="f" strokeweight="2pt"/>
            </w:pict>
          </mc:Fallback>
        </mc:AlternateContent>
      </w:r>
      <w:r w:rsidRPr="007A338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03BE883" wp14:editId="3D7C5C0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AF83C" w14:textId="77777777" w:rsidR="00721292" w:rsidRDefault="00721292">
                            <w:r>
                              <w:t xml:space="preserve">  </w:t>
                            </w:r>
                            <w:r>
                              <w:rPr>
                                <w:noProof/>
                              </w:rPr>
                              <w:drawing>
                                <wp:inline distT="0" distB="0" distL="0" distR="0" wp14:anchorId="620B248E" wp14:editId="60863EA4">
                                  <wp:extent cx="2647666" cy="509676"/>
                                  <wp:effectExtent l="0" t="0" r="635" b="508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BE883"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v1ZjP4gAA&#10;AA8BAAAPAAAAZHJzL2Rvd25yZXYueG1sTE9NS8NAEL0L/odlBG/txkLCkmZTSqQIoofWXrxNstMk&#10;mN2N2W0b/fWOJ70M83gz76PYzHYQF5pC752Gh2UCglzjTe9aDce33UKBCBGdwcE70vBFATbl7U2B&#10;ufFXt6fLIbaCRVzIUUMX45hLGZqOLIalH8kxd/KTxchwaqWZ8MridpCrJMmkxd6xQ4cjVR01H4ez&#10;1fBc7V5xX6+s+h6qp5fTdvw8vqda39/Nj2se2zWISHP8+4DfDpwfSg5W+7MzQQyMVcKFooZFqlIQ&#10;fKFUxkutIWNGloX836P8AQAA//8DAFBLAQItABQABgAIAAAAIQC2gziS/gAAAOEBAAATAAAAAAAA&#10;AAAAAAAAAAAAAABbQ29udGVudF9UeXBlc10ueG1sUEsBAi0AFAAGAAgAAAAhADj9If/WAAAAlAEA&#10;AAsAAAAAAAAAAAAAAAAALwEAAF9yZWxzLy5yZWxzUEsBAi0AFAAGAAgAAAAhAKXcuCt3AgAAVgUA&#10;AA4AAAAAAAAAAAAAAAAALgIAAGRycy9lMm9Eb2MueG1sUEsBAi0AFAAGAAgAAAAhAK/VmM/iAAAA&#10;DwEAAA8AAAAAAAAAAAAAAAAA0QQAAGRycy9kb3ducmV2LnhtbFBLBQYAAAAABAAEAPMAAADgBQAA&#10;AAA=&#10;" filled="f" stroked="f" strokeweight=".5pt">
                <v:textbox>
                  <w:txbxContent>
                    <w:p w14:paraId="574AF83C" w14:textId="77777777" w:rsidR="00721292" w:rsidRDefault="00721292">
                      <w:r>
                        <w:t xml:space="preserve">  </w:t>
                      </w:r>
                      <w:r>
                        <w:rPr>
                          <w:noProof/>
                        </w:rPr>
                        <w:drawing>
                          <wp:inline distT="0" distB="0" distL="0" distR="0" wp14:anchorId="620B248E" wp14:editId="60863EA4">
                            <wp:extent cx="2647666" cy="509676"/>
                            <wp:effectExtent l="0" t="0" r="635" b="508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7B15F935" w14:textId="77777777" w:rsidR="00040C3A" w:rsidRPr="007A3389" w:rsidRDefault="00040C3A" w:rsidP="00040C3A">
      <w:pPr>
        <w:tabs>
          <w:tab w:val="center" w:pos="5400"/>
        </w:tabs>
        <w:suppressAutoHyphens/>
        <w:jc w:val="both"/>
        <w:rPr>
          <w:rFonts w:asciiTheme="majorHAnsi" w:hAnsiTheme="majorHAnsi"/>
          <w:sz w:val="20"/>
          <w:szCs w:val="20"/>
          <w:lang w:val="es-ES"/>
        </w:rPr>
      </w:pPr>
    </w:p>
    <w:p w14:paraId="15066556" w14:textId="77777777" w:rsidR="00040C3A" w:rsidRPr="007A3389" w:rsidRDefault="00040C3A" w:rsidP="00040C3A">
      <w:pPr>
        <w:tabs>
          <w:tab w:val="center" w:pos="5400"/>
        </w:tabs>
        <w:suppressAutoHyphens/>
        <w:jc w:val="both"/>
        <w:rPr>
          <w:rFonts w:asciiTheme="majorHAnsi" w:hAnsiTheme="majorHAnsi"/>
          <w:sz w:val="20"/>
          <w:szCs w:val="20"/>
          <w:lang w:val="es-ES"/>
        </w:rPr>
      </w:pPr>
    </w:p>
    <w:p w14:paraId="316A4A1E" w14:textId="77777777" w:rsidR="005128E4" w:rsidRPr="007A3389" w:rsidRDefault="005128E4" w:rsidP="00040C3A">
      <w:pPr>
        <w:tabs>
          <w:tab w:val="center" w:pos="5400"/>
        </w:tabs>
        <w:suppressAutoHyphens/>
        <w:rPr>
          <w:rFonts w:asciiTheme="majorHAnsi" w:hAnsiTheme="majorHAnsi"/>
          <w:sz w:val="20"/>
          <w:szCs w:val="20"/>
          <w:lang w:val="es-ES"/>
        </w:rPr>
      </w:pPr>
    </w:p>
    <w:p w14:paraId="55AA2B60" w14:textId="77777777" w:rsidR="005128E4" w:rsidRPr="007A3389" w:rsidRDefault="005128E4" w:rsidP="00040C3A">
      <w:pPr>
        <w:tabs>
          <w:tab w:val="center" w:pos="5400"/>
        </w:tabs>
        <w:suppressAutoHyphens/>
        <w:rPr>
          <w:rFonts w:asciiTheme="majorHAnsi" w:hAnsiTheme="majorHAnsi"/>
          <w:sz w:val="20"/>
          <w:szCs w:val="20"/>
          <w:lang w:val="es-ES"/>
        </w:rPr>
      </w:pPr>
    </w:p>
    <w:p w14:paraId="7C4EF0D7" w14:textId="77777777" w:rsidR="005128E4" w:rsidRPr="007A3389" w:rsidRDefault="005128E4" w:rsidP="00040C3A">
      <w:pPr>
        <w:tabs>
          <w:tab w:val="center" w:pos="5400"/>
        </w:tabs>
        <w:suppressAutoHyphens/>
        <w:rPr>
          <w:rFonts w:asciiTheme="majorHAnsi" w:hAnsiTheme="majorHAnsi"/>
          <w:sz w:val="20"/>
          <w:szCs w:val="20"/>
          <w:lang w:val="es-ES"/>
        </w:rPr>
      </w:pPr>
    </w:p>
    <w:p w14:paraId="7B7A68AE" w14:textId="77777777" w:rsidR="00040C3A" w:rsidRPr="007A3389" w:rsidRDefault="00040C3A" w:rsidP="005128E4">
      <w:pPr>
        <w:tabs>
          <w:tab w:val="center" w:pos="5400"/>
        </w:tabs>
        <w:suppressAutoHyphens/>
        <w:jc w:val="center"/>
        <w:rPr>
          <w:rFonts w:asciiTheme="majorHAnsi" w:hAnsiTheme="majorHAnsi"/>
          <w:sz w:val="20"/>
          <w:szCs w:val="20"/>
          <w:lang w:val="es-ES"/>
        </w:rPr>
      </w:pPr>
    </w:p>
    <w:p w14:paraId="220ECFBA" w14:textId="77777777" w:rsidR="00040C3A" w:rsidRPr="007A3389" w:rsidRDefault="007B1494" w:rsidP="005128E4">
      <w:pPr>
        <w:tabs>
          <w:tab w:val="center" w:pos="5400"/>
        </w:tabs>
        <w:suppressAutoHyphens/>
        <w:jc w:val="center"/>
        <w:rPr>
          <w:rFonts w:asciiTheme="majorHAnsi" w:hAnsiTheme="majorHAnsi"/>
          <w:sz w:val="20"/>
          <w:szCs w:val="20"/>
          <w:lang w:val="es-ES"/>
        </w:rPr>
      </w:pPr>
      <w:r w:rsidRPr="007A3389">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3E8AAA83" wp14:editId="68BC36E8">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24F0B"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p>
                          <w:p w14:paraId="740F2472"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p>
                          <w:p w14:paraId="03F62640"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p>
                          <w:p w14:paraId="15260A0B"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p>
                          <w:p w14:paraId="6F5C0296" w14:textId="4B215634" w:rsidR="00721292" w:rsidRPr="000D3EE0" w:rsidRDefault="00721292" w:rsidP="004B7EB6">
                            <w:pPr>
                              <w:spacing w:line="276" w:lineRule="auto"/>
                              <w:rPr>
                                <w:rFonts w:asciiTheme="majorHAnsi" w:hAnsiTheme="majorHAnsi" w:cs="Arial"/>
                                <w:b/>
                                <w:bCs/>
                                <w:color w:val="0D0D0D" w:themeColor="text1" w:themeTint="F2"/>
                                <w:sz w:val="36"/>
                                <w:szCs w:val="40"/>
                                <w:lang w:val="es-ES"/>
                              </w:rPr>
                            </w:pPr>
                            <w:r w:rsidRPr="000D3EE0">
                              <w:rPr>
                                <w:rFonts w:asciiTheme="majorHAnsi" w:hAnsiTheme="majorHAnsi" w:cs="Arial"/>
                                <w:b/>
                                <w:bCs/>
                                <w:color w:val="0D0D0D" w:themeColor="text1" w:themeTint="F2"/>
                                <w:sz w:val="36"/>
                                <w:szCs w:val="40"/>
                                <w:lang w:val="es-ES"/>
                              </w:rPr>
                              <w:t xml:space="preserve">INFORME No. </w:t>
                            </w:r>
                            <w:r w:rsidR="003351BB">
                              <w:rPr>
                                <w:rFonts w:asciiTheme="majorHAnsi" w:hAnsiTheme="majorHAnsi" w:cs="Arial"/>
                                <w:b/>
                                <w:bCs/>
                                <w:color w:val="0D0D0D" w:themeColor="text1" w:themeTint="F2"/>
                                <w:sz w:val="36"/>
                                <w:szCs w:val="40"/>
                                <w:lang w:val="es-ES"/>
                              </w:rPr>
                              <w:t>451</w:t>
                            </w:r>
                            <w:r w:rsidRPr="000D3EE0">
                              <w:rPr>
                                <w:rFonts w:asciiTheme="majorHAnsi" w:hAnsiTheme="majorHAnsi" w:cs="Arial"/>
                                <w:b/>
                                <w:bCs/>
                                <w:color w:val="0D0D0D" w:themeColor="text1" w:themeTint="F2"/>
                                <w:sz w:val="36"/>
                                <w:szCs w:val="40"/>
                                <w:lang w:val="es-ES"/>
                              </w:rPr>
                              <w:t>/</w:t>
                            </w:r>
                            <w:r>
                              <w:rPr>
                                <w:rFonts w:asciiTheme="majorHAnsi" w:hAnsiTheme="majorHAnsi" w:cs="Arial"/>
                                <w:b/>
                                <w:bCs/>
                                <w:color w:val="0D0D0D" w:themeColor="text1" w:themeTint="F2"/>
                                <w:sz w:val="36"/>
                                <w:szCs w:val="40"/>
                                <w:lang w:val="es-ES"/>
                              </w:rPr>
                              <w:t>21</w:t>
                            </w:r>
                          </w:p>
                          <w:p w14:paraId="37DC3658"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r w:rsidRPr="000D3EE0">
                              <w:rPr>
                                <w:rFonts w:asciiTheme="majorHAnsi" w:hAnsiTheme="majorHAnsi" w:cs="Arial"/>
                                <w:b/>
                                <w:bCs/>
                                <w:color w:val="0D0D0D" w:themeColor="text1" w:themeTint="F2"/>
                                <w:sz w:val="36"/>
                                <w:szCs w:val="40"/>
                                <w:lang w:val="es-ES"/>
                              </w:rPr>
                              <w:t>CASO 13.478</w:t>
                            </w:r>
                          </w:p>
                          <w:p w14:paraId="161D9F92" w14:textId="77777777" w:rsidR="00721292" w:rsidRPr="000D3EE0" w:rsidRDefault="00721292" w:rsidP="00F45EBF">
                            <w:pPr>
                              <w:spacing w:line="276" w:lineRule="auto"/>
                              <w:rPr>
                                <w:rFonts w:asciiTheme="majorHAnsi" w:hAnsiTheme="majorHAnsi" w:cs="Arial"/>
                                <w:color w:val="0D0D0D" w:themeColor="text1" w:themeTint="F2"/>
                                <w:szCs w:val="22"/>
                                <w:lang w:val="es-ES"/>
                              </w:rPr>
                            </w:pPr>
                            <w:r w:rsidRPr="000D3EE0">
                              <w:rPr>
                                <w:rFonts w:asciiTheme="majorHAnsi" w:hAnsiTheme="majorHAnsi" w:cs="Arial"/>
                                <w:color w:val="0D0D0D" w:themeColor="text1" w:themeTint="F2"/>
                                <w:szCs w:val="22"/>
                                <w:lang w:val="es-ES"/>
                              </w:rPr>
                              <w:t>INFORME DE ADMISIBILIDAD Y FONDO</w:t>
                            </w:r>
                            <w:r>
                              <w:rPr>
                                <w:rFonts w:asciiTheme="majorHAnsi" w:hAnsiTheme="majorHAnsi" w:cs="Arial"/>
                                <w:color w:val="0D0D0D" w:themeColor="text1" w:themeTint="F2"/>
                                <w:szCs w:val="22"/>
                                <w:lang w:val="es-ES"/>
                              </w:rPr>
                              <w:t xml:space="preserve"> </w:t>
                            </w:r>
                            <w:r w:rsidRPr="003351BB">
                              <w:rPr>
                                <w:rFonts w:asciiTheme="majorHAnsi" w:hAnsiTheme="majorHAnsi" w:cs="Arial"/>
                                <w:color w:val="0D0D0D" w:themeColor="text1" w:themeTint="F2"/>
                                <w:szCs w:val="22"/>
                                <w:lang w:val="es-ES"/>
                              </w:rPr>
                              <w:t>(PUBLICACIÓN</w:t>
                            </w:r>
                            <w:r>
                              <w:rPr>
                                <w:rFonts w:asciiTheme="majorHAnsi" w:hAnsiTheme="majorHAnsi" w:cs="Arial"/>
                                <w:color w:val="0D0D0D" w:themeColor="text1" w:themeTint="F2"/>
                                <w:szCs w:val="22"/>
                                <w:lang w:val="es-ES"/>
                              </w:rPr>
                              <w:t>)</w:t>
                            </w:r>
                            <w:r w:rsidRPr="000D3EE0">
                              <w:rPr>
                                <w:rFonts w:asciiTheme="majorHAnsi" w:hAnsiTheme="majorHAnsi" w:cs="Arial"/>
                                <w:color w:val="0D0D0D" w:themeColor="text1" w:themeTint="F2"/>
                                <w:szCs w:val="22"/>
                                <w:lang w:val="es-ES"/>
                              </w:rPr>
                              <w:t xml:space="preserve"> </w:t>
                            </w:r>
                          </w:p>
                          <w:p w14:paraId="097F501A" w14:textId="77777777" w:rsidR="00721292" w:rsidRPr="000D3EE0" w:rsidRDefault="00721292" w:rsidP="004B7EB6">
                            <w:pPr>
                              <w:spacing w:line="276" w:lineRule="auto"/>
                              <w:rPr>
                                <w:rFonts w:asciiTheme="majorHAnsi" w:hAnsiTheme="majorHAnsi" w:cs="Arial"/>
                                <w:color w:val="0D0D0D" w:themeColor="text1" w:themeTint="F2"/>
                                <w:szCs w:val="22"/>
                                <w:lang w:val="es-ES"/>
                              </w:rPr>
                            </w:pPr>
                          </w:p>
                          <w:p w14:paraId="7430A16D" w14:textId="77777777" w:rsidR="00721292" w:rsidRPr="000D3EE0" w:rsidRDefault="00721292" w:rsidP="004B7EB6">
                            <w:pPr>
                              <w:spacing w:line="276" w:lineRule="auto"/>
                              <w:rPr>
                                <w:rFonts w:asciiTheme="majorHAnsi" w:hAnsiTheme="majorHAnsi" w:cs="Arial"/>
                                <w:color w:val="0D0D0D" w:themeColor="text1" w:themeTint="F2"/>
                                <w:szCs w:val="22"/>
                                <w:lang w:val="es-ES"/>
                              </w:rPr>
                            </w:pPr>
                            <w:r w:rsidRPr="000D3EE0">
                              <w:rPr>
                                <w:rFonts w:asciiTheme="majorHAnsi" w:hAnsiTheme="majorHAnsi" w:cs="Arial"/>
                                <w:color w:val="0D0D0D" w:themeColor="text1" w:themeTint="F2"/>
                                <w:szCs w:val="22"/>
                                <w:lang w:val="es-ES"/>
                              </w:rPr>
                              <w:t>JOSÉ TRINIDAD LOZA VENTURA</w:t>
                            </w:r>
                          </w:p>
                          <w:p w14:paraId="08ADC458" w14:textId="77777777" w:rsidR="00721292" w:rsidRPr="000D3EE0" w:rsidRDefault="00721292" w:rsidP="004B7EB6">
                            <w:pPr>
                              <w:spacing w:line="276" w:lineRule="auto"/>
                              <w:rPr>
                                <w:rFonts w:asciiTheme="majorHAnsi" w:hAnsiTheme="majorHAnsi" w:cs="Arial"/>
                                <w:color w:val="0D0D0D" w:themeColor="text1" w:themeTint="F2"/>
                                <w:szCs w:val="22"/>
                                <w:lang w:val="es-ES"/>
                              </w:rPr>
                            </w:pPr>
                            <w:r w:rsidRPr="000D3EE0">
                              <w:rPr>
                                <w:rFonts w:asciiTheme="majorHAnsi" w:hAnsiTheme="majorHAnsi" w:cs="Arial"/>
                                <w:color w:val="0D0D0D" w:themeColor="text1" w:themeTint="F2"/>
                                <w:szCs w:val="22"/>
                                <w:lang w:val="es-ES"/>
                              </w:rPr>
                              <w:t>ESTADOS UNIDOS DE AMÉRICA</w:t>
                            </w:r>
                          </w:p>
                          <w:p w14:paraId="0D520D42" w14:textId="77777777" w:rsidR="00721292" w:rsidRPr="000D3EE0" w:rsidRDefault="00721292" w:rsidP="008D2EA5">
                            <w:pPr>
                              <w:spacing w:line="276" w:lineRule="auto"/>
                              <w:jc w:val="both"/>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AA83"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AzERm3lAAAADwEAAA8AAABkcnMvZG93bnJldi54bWxMj0FPwzAMhe9I/IfISNxYSkenrms6TUUT&#10;EoLDxi7c3MZrK5qkNNlW+PWYE1wsP9l+/l6+nkwvzjT6zlkF97MIBNna6c42Cg5v27sUhA9oNfbO&#10;koIv8rAurq9yzLS72B2d96ERbGJ9hgraEIZMSl+3ZNDP3ECWZ0c3Ggwsx0bqES9sbnoZR9FCGuws&#10;f2hxoLKl+mN/Mgqey+0r7qrYpN99+fRy3Ayfh/dEqdub6XHFZbMCEWgKfxfwm4H5oWCwyp2s9qJn&#10;vVgyf+DmgYPxQprEcxCVgmQ5j0EWufyfo/gBAAD//wMAUEsBAi0AFAAGAAgAAAAhALaDOJL+AAAA&#10;4QEAABMAAAAAAAAAAAAAAAAAAAAAAFtDb250ZW50X1R5cGVzXS54bWxQSwECLQAUAAYACAAAACEA&#10;OP0h/9YAAACUAQAACwAAAAAAAAAAAAAAAAAvAQAAX3JlbHMvLnJlbHNQSwECLQAUAAYACAAAACEA&#10;IpvCU38CAABeBQAADgAAAAAAAAAAAAAAAAAuAgAAZHJzL2Uyb0RvYy54bWxQSwECLQAUAAYACAAA&#10;ACEADMRGbeUAAAAPAQAADwAAAAAAAAAAAAAAAADZBAAAZHJzL2Rvd25yZXYueG1sUEsFBgAAAAAE&#10;AAQA8wAAAOsFAAAAAA==&#10;" filled="f" stroked="f" strokeweight=".5pt">
                <v:textbox>
                  <w:txbxContent>
                    <w:p w14:paraId="1B324F0B"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p>
                    <w:p w14:paraId="740F2472"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p>
                    <w:p w14:paraId="03F62640"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p>
                    <w:p w14:paraId="15260A0B"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p>
                    <w:p w14:paraId="6F5C0296" w14:textId="4B215634" w:rsidR="00721292" w:rsidRPr="000D3EE0" w:rsidRDefault="00721292" w:rsidP="004B7EB6">
                      <w:pPr>
                        <w:spacing w:line="276" w:lineRule="auto"/>
                        <w:rPr>
                          <w:rFonts w:asciiTheme="majorHAnsi" w:hAnsiTheme="majorHAnsi" w:cs="Arial"/>
                          <w:b/>
                          <w:bCs/>
                          <w:color w:val="0D0D0D" w:themeColor="text1" w:themeTint="F2"/>
                          <w:sz w:val="36"/>
                          <w:szCs w:val="40"/>
                          <w:lang w:val="es-ES"/>
                        </w:rPr>
                      </w:pPr>
                      <w:r w:rsidRPr="000D3EE0">
                        <w:rPr>
                          <w:rFonts w:asciiTheme="majorHAnsi" w:hAnsiTheme="majorHAnsi" w:cs="Arial"/>
                          <w:b/>
                          <w:bCs/>
                          <w:color w:val="0D0D0D" w:themeColor="text1" w:themeTint="F2"/>
                          <w:sz w:val="36"/>
                          <w:szCs w:val="40"/>
                          <w:lang w:val="es-ES"/>
                        </w:rPr>
                        <w:t xml:space="preserve">INFORME No. </w:t>
                      </w:r>
                      <w:r w:rsidR="003351BB">
                        <w:rPr>
                          <w:rFonts w:asciiTheme="majorHAnsi" w:hAnsiTheme="majorHAnsi" w:cs="Arial"/>
                          <w:b/>
                          <w:bCs/>
                          <w:color w:val="0D0D0D" w:themeColor="text1" w:themeTint="F2"/>
                          <w:sz w:val="36"/>
                          <w:szCs w:val="40"/>
                          <w:lang w:val="es-ES"/>
                        </w:rPr>
                        <w:t>451</w:t>
                      </w:r>
                      <w:r w:rsidRPr="000D3EE0">
                        <w:rPr>
                          <w:rFonts w:asciiTheme="majorHAnsi" w:hAnsiTheme="majorHAnsi" w:cs="Arial"/>
                          <w:b/>
                          <w:bCs/>
                          <w:color w:val="0D0D0D" w:themeColor="text1" w:themeTint="F2"/>
                          <w:sz w:val="36"/>
                          <w:szCs w:val="40"/>
                          <w:lang w:val="es-ES"/>
                        </w:rPr>
                        <w:t>/</w:t>
                      </w:r>
                      <w:r>
                        <w:rPr>
                          <w:rFonts w:asciiTheme="majorHAnsi" w:hAnsiTheme="majorHAnsi" w:cs="Arial"/>
                          <w:b/>
                          <w:bCs/>
                          <w:color w:val="0D0D0D" w:themeColor="text1" w:themeTint="F2"/>
                          <w:sz w:val="36"/>
                          <w:szCs w:val="40"/>
                          <w:lang w:val="es-ES"/>
                        </w:rPr>
                        <w:t>21</w:t>
                      </w:r>
                    </w:p>
                    <w:p w14:paraId="37DC3658" w14:textId="77777777" w:rsidR="00721292" w:rsidRPr="000D3EE0" w:rsidRDefault="00721292" w:rsidP="004B7EB6">
                      <w:pPr>
                        <w:spacing w:line="276" w:lineRule="auto"/>
                        <w:rPr>
                          <w:rFonts w:asciiTheme="majorHAnsi" w:hAnsiTheme="majorHAnsi" w:cs="Arial"/>
                          <w:b/>
                          <w:bCs/>
                          <w:color w:val="0D0D0D" w:themeColor="text1" w:themeTint="F2"/>
                          <w:sz w:val="36"/>
                          <w:szCs w:val="40"/>
                          <w:lang w:val="es-ES"/>
                        </w:rPr>
                      </w:pPr>
                      <w:r w:rsidRPr="000D3EE0">
                        <w:rPr>
                          <w:rFonts w:asciiTheme="majorHAnsi" w:hAnsiTheme="majorHAnsi" w:cs="Arial"/>
                          <w:b/>
                          <w:bCs/>
                          <w:color w:val="0D0D0D" w:themeColor="text1" w:themeTint="F2"/>
                          <w:sz w:val="36"/>
                          <w:szCs w:val="40"/>
                          <w:lang w:val="es-ES"/>
                        </w:rPr>
                        <w:t>CASO 13.478</w:t>
                      </w:r>
                    </w:p>
                    <w:p w14:paraId="161D9F92" w14:textId="77777777" w:rsidR="00721292" w:rsidRPr="000D3EE0" w:rsidRDefault="00721292" w:rsidP="00F45EBF">
                      <w:pPr>
                        <w:spacing w:line="276" w:lineRule="auto"/>
                        <w:rPr>
                          <w:rFonts w:asciiTheme="majorHAnsi" w:hAnsiTheme="majorHAnsi" w:cs="Arial"/>
                          <w:color w:val="0D0D0D" w:themeColor="text1" w:themeTint="F2"/>
                          <w:szCs w:val="22"/>
                          <w:lang w:val="es-ES"/>
                        </w:rPr>
                      </w:pPr>
                      <w:r w:rsidRPr="000D3EE0">
                        <w:rPr>
                          <w:rFonts w:asciiTheme="majorHAnsi" w:hAnsiTheme="majorHAnsi" w:cs="Arial"/>
                          <w:color w:val="0D0D0D" w:themeColor="text1" w:themeTint="F2"/>
                          <w:szCs w:val="22"/>
                          <w:lang w:val="es-ES"/>
                        </w:rPr>
                        <w:t>INFORME DE ADMISIBILIDAD Y FONDO</w:t>
                      </w:r>
                      <w:r>
                        <w:rPr>
                          <w:rFonts w:asciiTheme="majorHAnsi" w:hAnsiTheme="majorHAnsi" w:cs="Arial"/>
                          <w:color w:val="0D0D0D" w:themeColor="text1" w:themeTint="F2"/>
                          <w:szCs w:val="22"/>
                          <w:lang w:val="es-ES"/>
                        </w:rPr>
                        <w:t xml:space="preserve"> </w:t>
                      </w:r>
                      <w:r w:rsidRPr="003351BB">
                        <w:rPr>
                          <w:rFonts w:asciiTheme="majorHAnsi" w:hAnsiTheme="majorHAnsi" w:cs="Arial"/>
                          <w:color w:val="0D0D0D" w:themeColor="text1" w:themeTint="F2"/>
                          <w:szCs w:val="22"/>
                          <w:lang w:val="es-ES"/>
                        </w:rPr>
                        <w:t>(PUBLICACIÓN</w:t>
                      </w:r>
                      <w:r>
                        <w:rPr>
                          <w:rFonts w:asciiTheme="majorHAnsi" w:hAnsiTheme="majorHAnsi" w:cs="Arial"/>
                          <w:color w:val="0D0D0D" w:themeColor="text1" w:themeTint="F2"/>
                          <w:szCs w:val="22"/>
                          <w:lang w:val="es-ES"/>
                        </w:rPr>
                        <w:t>)</w:t>
                      </w:r>
                      <w:r w:rsidRPr="000D3EE0">
                        <w:rPr>
                          <w:rFonts w:asciiTheme="majorHAnsi" w:hAnsiTheme="majorHAnsi" w:cs="Arial"/>
                          <w:color w:val="0D0D0D" w:themeColor="text1" w:themeTint="F2"/>
                          <w:szCs w:val="22"/>
                          <w:lang w:val="es-ES"/>
                        </w:rPr>
                        <w:t xml:space="preserve"> </w:t>
                      </w:r>
                    </w:p>
                    <w:p w14:paraId="097F501A" w14:textId="77777777" w:rsidR="00721292" w:rsidRPr="000D3EE0" w:rsidRDefault="00721292" w:rsidP="004B7EB6">
                      <w:pPr>
                        <w:spacing w:line="276" w:lineRule="auto"/>
                        <w:rPr>
                          <w:rFonts w:asciiTheme="majorHAnsi" w:hAnsiTheme="majorHAnsi" w:cs="Arial"/>
                          <w:color w:val="0D0D0D" w:themeColor="text1" w:themeTint="F2"/>
                          <w:szCs w:val="22"/>
                          <w:lang w:val="es-ES"/>
                        </w:rPr>
                      </w:pPr>
                    </w:p>
                    <w:p w14:paraId="7430A16D" w14:textId="77777777" w:rsidR="00721292" w:rsidRPr="000D3EE0" w:rsidRDefault="00721292" w:rsidP="004B7EB6">
                      <w:pPr>
                        <w:spacing w:line="276" w:lineRule="auto"/>
                        <w:rPr>
                          <w:rFonts w:asciiTheme="majorHAnsi" w:hAnsiTheme="majorHAnsi" w:cs="Arial"/>
                          <w:color w:val="0D0D0D" w:themeColor="text1" w:themeTint="F2"/>
                          <w:szCs w:val="22"/>
                          <w:lang w:val="es-ES"/>
                        </w:rPr>
                      </w:pPr>
                      <w:r w:rsidRPr="000D3EE0">
                        <w:rPr>
                          <w:rFonts w:asciiTheme="majorHAnsi" w:hAnsiTheme="majorHAnsi" w:cs="Arial"/>
                          <w:color w:val="0D0D0D" w:themeColor="text1" w:themeTint="F2"/>
                          <w:szCs w:val="22"/>
                          <w:lang w:val="es-ES"/>
                        </w:rPr>
                        <w:t>JOSÉ TRINIDAD LOZA VENTURA</w:t>
                      </w:r>
                    </w:p>
                    <w:p w14:paraId="08ADC458" w14:textId="77777777" w:rsidR="00721292" w:rsidRPr="000D3EE0" w:rsidRDefault="00721292" w:rsidP="004B7EB6">
                      <w:pPr>
                        <w:spacing w:line="276" w:lineRule="auto"/>
                        <w:rPr>
                          <w:rFonts w:asciiTheme="majorHAnsi" w:hAnsiTheme="majorHAnsi" w:cs="Arial"/>
                          <w:color w:val="0D0D0D" w:themeColor="text1" w:themeTint="F2"/>
                          <w:szCs w:val="22"/>
                          <w:lang w:val="es-ES"/>
                        </w:rPr>
                      </w:pPr>
                      <w:r w:rsidRPr="000D3EE0">
                        <w:rPr>
                          <w:rFonts w:asciiTheme="majorHAnsi" w:hAnsiTheme="majorHAnsi" w:cs="Arial"/>
                          <w:color w:val="0D0D0D" w:themeColor="text1" w:themeTint="F2"/>
                          <w:szCs w:val="22"/>
                          <w:lang w:val="es-ES"/>
                        </w:rPr>
                        <w:t>ESTADOS UNIDOS DE AMÉRICA</w:t>
                      </w:r>
                    </w:p>
                    <w:p w14:paraId="0D520D42" w14:textId="77777777" w:rsidR="00721292" w:rsidRPr="000D3EE0" w:rsidRDefault="00721292" w:rsidP="008D2EA5">
                      <w:pPr>
                        <w:spacing w:line="276" w:lineRule="auto"/>
                        <w:jc w:val="both"/>
                        <w:rPr>
                          <w:rFonts w:asciiTheme="majorHAnsi" w:hAnsiTheme="majorHAnsi"/>
                          <w:color w:val="0D0D0D" w:themeColor="text1" w:themeTint="F2"/>
                          <w:lang w:val="es-ES"/>
                        </w:rPr>
                      </w:pPr>
                    </w:p>
                  </w:txbxContent>
                </v:textbox>
              </v:shape>
            </w:pict>
          </mc:Fallback>
        </mc:AlternateContent>
      </w:r>
    </w:p>
    <w:p w14:paraId="2D43D76E" w14:textId="77777777" w:rsidR="005B52B0" w:rsidRPr="007A3389" w:rsidRDefault="005B52B0" w:rsidP="005128E4">
      <w:pPr>
        <w:tabs>
          <w:tab w:val="center" w:pos="5400"/>
        </w:tabs>
        <w:suppressAutoHyphens/>
        <w:jc w:val="center"/>
        <w:rPr>
          <w:rFonts w:asciiTheme="majorHAnsi" w:hAnsiTheme="majorHAnsi"/>
          <w:sz w:val="20"/>
          <w:szCs w:val="20"/>
          <w:lang w:val="es-ES"/>
        </w:rPr>
      </w:pPr>
    </w:p>
    <w:p w14:paraId="1EAC6E08" w14:textId="3CE150F0" w:rsidR="005B52B0" w:rsidRPr="007A3389" w:rsidRDefault="005B52B0" w:rsidP="005128E4">
      <w:pPr>
        <w:tabs>
          <w:tab w:val="center" w:pos="5400"/>
        </w:tabs>
        <w:suppressAutoHyphens/>
        <w:jc w:val="center"/>
        <w:rPr>
          <w:rFonts w:asciiTheme="majorHAnsi" w:hAnsiTheme="majorHAnsi"/>
          <w:sz w:val="20"/>
          <w:szCs w:val="20"/>
          <w:lang w:val="es-ES"/>
        </w:rPr>
      </w:pPr>
    </w:p>
    <w:p w14:paraId="5805DEEE" w14:textId="3D36897F" w:rsidR="005B52B0" w:rsidRPr="007A3389" w:rsidRDefault="005B52B0" w:rsidP="005128E4">
      <w:pPr>
        <w:tabs>
          <w:tab w:val="center" w:pos="5400"/>
        </w:tabs>
        <w:suppressAutoHyphens/>
        <w:jc w:val="center"/>
        <w:rPr>
          <w:rFonts w:asciiTheme="majorHAnsi" w:hAnsiTheme="majorHAnsi"/>
          <w:sz w:val="20"/>
          <w:szCs w:val="20"/>
          <w:lang w:val="es-ES"/>
        </w:rPr>
      </w:pPr>
    </w:p>
    <w:p w14:paraId="744628E0"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429B001A"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4F5FC07C"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27682320" w14:textId="1DEB7F1F" w:rsidR="00040C3A" w:rsidRPr="007A3389" w:rsidRDefault="00040C3A" w:rsidP="00040C3A">
      <w:pPr>
        <w:tabs>
          <w:tab w:val="center" w:pos="5400"/>
        </w:tabs>
        <w:suppressAutoHyphens/>
        <w:jc w:val="center"/>
        <w:rPr>
          <w:rFonts w:asciiTheme="majorHAnsi" w:hAnsiTheme="majorHAnsi"/>
          <w:sz w:val="20"/>
          <w:szCs w:val="20"/>
          <w:lang w:val="es-ES"/>
        </w:rPr>
      </w:pPr>
    </w:p>
    <w:p w14:paraId="61184070" w14:textId="251B2873" w:rsidR="00040C3A" w:rsidRPr="007A3389" w:rsidRDefault="007B1494" w:rsidP="00040C3A">
      <w:pPr>
        <w:tabs>
          <w:tab w:val="center" w:pos="5400"/>
        </w:tabs>
        <w:suppressAutoHyphens/>
        <w:jc w:val="center"/>
        <w:rPr>
          <w:rFonts w:asciiTheme="majorHAnsi" w:hAnsiTheme="majorHAnsi"/>
          <w:sz w:val="20"/>
          <w:szCs w:val="20"/>
          <w:lang w:val="es-ES"/>
        </w:rPr>
      </w:pPr>
      <w:r w:rsidRPr="007A338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79361E3" wp14:editId="24209A6E">
                <wp:simplePos x="0" y="0"/>
                <wp:positionH relativeFrom="column">
                  <wp:posOffset>-370205</wp:posOffset>
                </wp:positionH>
                <wp:positionV relativeFrom="paragraph">
                  <wp:posOffset>43180</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DDE41" w14:textId="77777777" w:rsidR="00721292" w:rsidRPr="000D3EE0" w:rsidRDefault="00721292" w:rsidP="002C1641">
                            <w:pPr>
                              <w:jc w:val="right"/>
                              <w:rPr>
                                <w:rFonts w:asciiTheme="minorHAnsi" w:hAnsiTheme="minorHAnsi"/>
                                <w:color w:val="FFFFFF" w:themeColor="background1"/>
                                <w:sz w:val="22"/>
                                <w:lang w:val="es-ES"/>
                              </w:rPr>
                            </w:pPr>
                            <w:r w:rsidRPr="000D3EE0">
                              <w:rPr>
                                <w:rFonts w:asciiTheme="minorHAnsi" w:hAnsiTheme="minorHAnsi"/>
                                <w:color w:val="FFFFFF" w:themeColor="background1"/>
                                <w:sz w:val="22"/>
                                <w:lang w:val="es-ES"/>
                              </w:rPr>
                              <w:t>OEA/Ser.L/V/II</w:t>
                            </w:r>
                          </w:p>
                          <w:p w14:paraId="25842541" w14:textId="15BC5D16" w:rsidR="00721292" w:rsidRPr="000D3EE0" w:rsidRDefault="00721292" w:rsidP="002C1641">
                            <w:pPr>
                              <w:jc w:val="right"/>
                              <w:rPr>
                                <w:rFonts w:asciiTheme="minorHAnsi" w:hAnsiTheme="minorHAnsi"/>
                                <w:color w:val="FFFFFF" w:themeColor="background1"/>
                                <w:sz w:val="22"/>
                                <w:lang w:val="es-ES"/>
                              </w:rPr>
                            </w:pPr>
                            <w:r w:rsidRPr="000D3EE0">
                              <w:rPr>
                                <w:rFonts w:asciiTheme="minorHAnsi" w:hAnsiTheme="minorHAnsi"/>
                                <w:color w:val="FFFFFF" w:themeColor="background1"/>
                                <w:sz w:val="22"/>
                                <w:lang w:val="es-ES"/>
                              </w:rPr>
                              <w:t xml:space="preserve">Doc. </w:t>
                            </w:r>
                            <w:r w:rsidR="003351BB">
                              <w:rPr>
                                <w:rFonts w:asciiTheme="minorHAnsi" w:hAnsiTheme="minorHAnsi"/>
                                <w:color w:val="FFFFFF" w:themeColor="background1"/>
                                <w:sz w:val="22"/>
                                <w:lang w:val="es-ES"/>
                              </w:rPr>
                              <w:t>468</w:t>
                            </w:r>
                          </w:p>
                          <w:p w14:paraId="5995E695" w14:textId="0A50B32F" w:rsidR="00721292" w:rsidRPr="000D3EE0" w:rsidRDefault="003351BB" w:rsidP="002C1641">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w:t>
                            </w:r>
                            <w:r w:rsidR="00721292" w:rsidRPr="000D3EE0">
                              <w:rPr>
                                <w:rFonts w:asciiTheme="minorHAnsi" w:hAnsiTheme="minorHAnsi"/>
                                <w:color w:val="FFFFFF" w:themeColor="background1"/>
                                <w:sz w:val="22"/>
                                <w:lang w:val="es-ES"/>
                              </w:rPr>
                              <w:t xml:space="preserve"> </w:t>
                            </w:r>
                            <w:r w:rsidR="00721292">
                              <w:rPr>
                                <w:rFonts w:asciiTheme="minorHAnsi" w:hAnsiTheme="minorHAnsi"/>
                                <w:color w:val="FFFFFF" w:themeColor="background1"/>
                                <w:sz w:val="22"/>
                                <w:lang w:val="es-ES"/>
                              </w:rPr>
                              <w:t xml:space="preserve">diciembre </w:t>
                            </w:r>
                            <w:r w:rsidR="00721292" w:rsidRPr="000D3EE0">
                              <w:rPr>
                                <w:rFonts w:asciiTheme="minorHAnsi" w:hAnsiTheme="minorHAnsi"/>
                                <w:color w:val="FFFFFF" w:themeColor="background1"/>
                                <w:sz w:val="22"/>
                                <w:lang w:val="es-ES"/>
                              </w:rPr>
                              <w:t>20</w:t>
                            </w:r>
                            <w:r w:rsidR="00721292">
                              <w:rPr>
                                <w:rFonts w:asciiTheme="minorHAnsi" w:hAnsiTheme="minorHAnsi"/>
                                <w:color w:val="FFFFFF" w:themeColor="background1"/>
                                <w:sz w:val="22"/>
                                <w:lang w:val="es-ES"/>
                              </w:rPr>
                              <w:t>21</w:t>
                            </w:r>
                          </w:p>
                          <w:p w14:paraId="66BBD644" w14:textId="77777777" w:rsidR="00721292" w:rsidRPr="000D3EE0" w:rsidRDefault="00721292" w:rsidP="002C1641">
                            <w:pPr>
                              <w:jc w:val="right"/>
                              <w:rPr>
                                <w:rFonts w:asciiTheme="minorHAnsi" w:hAnsiTheme="minorHAnsi"/>
                                <w:color w:val="FFFFFF" w:themeColor="background1"/>
                                <w:sz w:val="22"/>
                                <w:lang w:val="es-ES"/>
                              </w:rPr>
                            </w:pPr>
                            <w:r w:rsidRPr="000D3EE0">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61E3"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nVq/&#10;4+EAAAAOAQAADwAAAGRycy9kb3ducmV2LnhtbExPTWvCQBC9F/oflhF6041KJMRsRFKkUNqD1ktv&#10;m+yYBLOzaXbVtL++46m9DG94M+8j24y2E1ccfOtIwXwWgUCqnGmpVnD82E0TED5oMrpzhAq+0cMm&#10;f3zIdGrcjfZ4PYRasAj5VCtoQuhTKX3VoNV+5nok5k5usDrwOtTSDPrG4raTiyhaSatbYodG91g0&#10;WJ0PF6vgtdi96325sMlPV7y8nbb91/EzVuppMj6veWzXIAKO4e8D7h04P+QcrHQXMl50CqZxsuRT&#10;BSuucefjOYOSwZIJmWfyf438FwAA//8DAFBLAQItABQABgAIAAAAIQC2gziS/gAAAOEBAAATAAAA&#10;AAAAAAAAAAAAAAAAAABbQ29udGVudF9UeXBlc10ueG1sUEsBAi0AFAAGAAgAAAAhADj9If/WAAAA&#10;lAEAAAsAAAAAAAAAAAAAAAAALwEAAF9yZWxzLy5yZWxzUEsBAi0AFAAGAAgAAAAhAJtk9Kh7AgAA&#10;XQUAAA4AAAAAAAAAAAAAAAAALgIAAGRycy9lMm9Eb2MueG1sUEsBAi0AFAAGAAgAAAAhAJ1av+Ph&#10;AAAADgEAAA8AAAAAAAAAAAAAAAAA1QQAAGRycy9kb3ducmV2LnhtbFBLBQYAAAAABAAEAPMAAADj&#10;BQAAAAA=&#10;" filled="f" stroked="f" strokeweight=".5pt">
                <v:textbox>
                  <w:txbxContent>
                    <w:p w14:paraId="093DDE41" w14:textId="77777777" w:rsidR="00721292" w:rsidRPr="000D3EE0" w:rsidRDefault="00721292" w:rsidP="002C1641">
                      <w:pPr>
                        <w:jc w:val="right"/>
                        <w:rPr>
                          <w:rFonts w:asciiTheme="minorHAnsi" w:hAnsiTheme="minorHAnsi"/>
                          <w:color w:val="FFFFFF" w:themeColor="background1"/>
                          <w:sz w:val="22"/>
                          <w:lang w:val="es-ES"/>
                        </w:rPr>
                      </w:pPr>
                      <w:r w:rsidRPr="000D3EE0">
                        <w:rPr>
                          <w:rFonts w:asciiTheme="minorHAnsi" w:hAnsiTheme="minorHAnsi"/>
                          <w:color w:val="FFFFFF" w:themeColor="background1"/>
                          <w:sz w:val="22"/>
                          <w:lang w:val="es-ES"/>
                        </w:rPr>
                        <w:t>OEA/</w:t>
                      </w:r>
                      <w:r w:rsidRPr="000D3EE0">
                        <w:rPr>
                          <w:rFonts w:asciiTheme="minorHAnsi" w:hAnsiTheme="minorHAnsi"/>
                          <w:color w:val="FFFFFF" w:themeColor="background1"/>
                          <w:sz w:val="22"/>
                          <w:lang w:val="es-ES"/>
                        </w:rPr>
                        <w:t>Ser.L/V/II</w:t>
                      </w:r>
                    </w:p>
                    <w:p w14:paraId="25842541" w14:textId="15BC5D16" w:rsidR="00721292" w:rsidRPr="000D3EE0" w:rsidRDefault="00721292" w:rsidP="002C1641">
                      <w:pPr>
                        <w:jc w:val="right"/>
                        <w:rPr>
                          <w:rFonts w:asciiTheme="minorHAnsi" w:hAnsiTheme="minorHAnsi"/>
                          <w:color w:val="FFFFFF" w:themeColor="background1"/>
                          <w:sz w:val="22"/>
                          <w:lang w:val="es-ES"/>
                        </w:rPr>
                      </w:pPr>
                      <w:r w:rsidRPr="000D3EE0">
                        <w:rPr>
                          <w:rFonts w:asciiTheme="minorHAnsi" w:hAnsiTheme="minorHAnsi"/>
                          <w:color w:val="FFFFFF" w:themeColor="background1"/>
                          <w:sz w:val="22"/>
                          <w:lang w:val="es-ES"/>
                        </w:rPr>
                        <w:t xml:space="preserve">Doc. </w:t>
                      </w:r>
                      <w:r w:rsidR="003351BB">
                        <w:rPr>
                          <w:rFonts w:asciiTheme="minorHAnsi" w:hAnsiTheme="minorHAnsi"/>
                          <w:color w:val="FFFFFF" w:themeColor="background1"/>
                          <w:sz w:val="22"/>
                          <w:lang w:val="es-ES"/>
                        </w:rPr>
                        <w:t>468</w:t>
                      </w:r>
                    </w:p>
                    <w:p w14:paraId="5995E695" w14:textId="0A50B32F" w:rsidR="00721292" w:rsidRPr="000D3EE0" w:rsidRDefault="003351BB" w:rsidP="002C1641">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w:t>
                      </w:r>
                      <w:r w:rsidR="00721292" w:rsidRPr="000D3EE0">
                        <w:rPr>
                          <w:rFonts w:asciiTheme="minorHAnsi" w:hAnsiTheme="minorHAnsi"/>
                          <w:color w:val="FFFFFF" w:themeColor="background1"/>
                          <w:sz w:val="22"/>
                          <w:lang w:val="es-ES"/>
                        </w:rPr>
                        <w:t xml:space="preserve"> </w:t>
                      </w:r>
                      <w:r w:rsidR="00721292">
                        <w:rPr>
                          <w:rFonts w:asciiTheme="minorHAnsi" w:hAnsiTheme="minorHAnsi"/>
                          <w:color w:val="FFFFFF" w:themeColor="background1"/>
                          <w:sz w:val="22"/>
                          <w:lang w:val="es-ES"/>
                        </w:rPr>
                        <w:t xml:space="preserve">diciembre </w:t>
                      </w:r>
                      <w:r w:rsidR="00721292" w:rsidRPr="000D3EE0">
                        <w:rPr>
                          <w:rFonts w:asciiTheme="minorHAnsi" w:hAnsiTheme="minorHAnsi"/>
                          <w:color w:val="FFFFFF" w:themeColor="background1"/>
                          <w:sz w:val="22"/>
                          <w:lang w:val="es-ES"/>
                        </w:rPr>
                        <w:t>20</w:t>
                      </w:r>
                      <w:r w:rsidR="00721292">
                        <w:rPr>
                          <w:rFonts w:asciiTheme="minorHAnsi" w:hAnsiTheme="minorHAnsi"/>
                          <w:color w:val="FFFFFF" w:themeColor="background1"/>
                          <w:sz w:val="22"/>
                          <w:lang w:val="es-ES"/>
                        </w:rPr>
                        <w:t>21</w:t>
                      </w:r>
                    </w:p>
                    <w:p w14:paraId="66BBD644" w14:textId="77777777" w:rsidR="00721292" w:rsidRPr="000D3EE0" w:rsidRDefault="00721292" w:rsidP="002C1641">
                      <w:pPr>
                        <w:jc w:val="right"/>
                        <w:rPr>
                          <w:rFonts w:asciiTheme="minorHAnsi" w:hAnsiTheme="minorHAnsi"/>
                          <w:color w:val="FFFFFF" w:themeColor="background1"/>
                          <w:sz w:val="22"/>
                          <w:lang w:val="es-ES"/>
                        </w:rPr>
                      </w:pPr>
                      <w:r w:rsidRPr="000D3EE0">
                        <w:rPr>
                          <w:rFonts w:asciiTheme="minorHAnsi" w:hAnsiTheme="minorHAnsi"/>
                          <w:color w:val="FFFFFF" w:themeColor="background1"/>
                          <w:sz w:val="22"/>
                          <w:lang w:val="es-ES"/>
                        </w:rPr>
                        <w:t>Original: inglés</w:t>
                      </w:r>
                    </w:p>
                  </w:txbxContent>
                </v:textbox>
              </v:shape>
            </w:pict>
          </mc:Fallback>
        </mc:AlternateContent>
      </w:r>
    </w:p>
    <w:p w14:paraId="7A6D0344" w14:textId="77777777" w:rsidR="00040C3A" w:rsidRPr="007A3389" w:rsidRDefault="00040C3A" w:rsidP="00040C3A">
      <w:pPr>
        <w:tabs>
          <w:tab w:val="center" w:pos="5400"/>
        </w:tabs>
        <w:suppressAutoHyphens/>
        <w:jc w:val="center"/>
        <w:rPr>
          <w:rFonts w:asciiTheme="majorHAnsi" w:hAnsiTheme="majorHAnsi" w:cs="Arial"/>
          <w:sz w:val="20"/>
          <w:szCs w:val="20"/>
          <w:lang w:val="es-ES"/>
        </w:rPr>
      </w:pPr>
    </w:p>
    <w:p w14:paraId="43234E33"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3C7BD62A"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75D3E8B7"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5D939E0E"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03235662" w14:textId="77777777" w:rsidR="005128E4" w:rsidRPr="007A3389" w:rsidRDefault="005128E4" w:rsidP="00040C3A">
      <w:pPr>
        <w:tabs>
          <w:tab w:val="center" w:pos="5400"/>
        </w:tabs>
        <w:suppressAutoHyphens/>
        <w:jc w:val="center"/>
        <w:rPr>
          <w:rFonts w:asciiTheme="majorHAnsi" w:hAnsiTheme="majorHAnsi"/>
          <w:sz w:val="20"/>
          <w:szCs w:val="20"/>
          <w:lang w:val="es-ES"/>
        </w:rPr>
      </w:pPr>
    </w:p>
    <w:p w14:paraId="7DB5922A"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39B547AD" w14:textId="77777777" w:rsidR="005128E4" w:rsidRPr="007A3389" w:rsidRDefault="005128E4" w:rsidP="00040C3A">
      <w:pPr>
        <w:tabs>
          <w:tab w:val="center" w:pos="5400"/>
        </w:tabs>
        <w:suppressAutoHyphens/>
        <w:jc w:val="center"/>
        <w:rPr>
          <w:rFonts w:asciiTheme="majorHAnsi" w:hAnsiTheme="majorHAnsi"/>
          <w:sz w:val="20"/>
          <w:szCs w:val="20"/>
          <w:lang w:val="es-ES"/>
        </w:rPr>
      </w:pPr>
    </w:p>
    <w:p w14:paraId="7A8B9056" w14:textId="77777777" w:rsidR="005128E4" w:rsidRPr="007A3389" w:rsidRDefault="005128E4" w:rsidP="00040C3A">
      <w:pPr>
        <w:tabs>
          <w:tab w:val="center" w:pos="5400"/>
        </w:tabs>
        <w:suppressAutoHyphens/>
        <w:jc w:val="center"/>
        <w:rPr>
          <w:rFonts w:asciiTheme="majorHAnsi" w:hAnsiTheme="majorHAnsi"/>
          <w:sz w:val="20"/>
          <w:szCs w:val="20"/>
          <w:lang w:val="es-ES"/>
        </w:rPr>
      </w:pPr>
    </w:p>
    <w:p w14:paraId="572D20F0" w14:textId="77777777" w:rsidR="005128E4" w:rsidRPr="007A3389" w:rsidRDefault="005128E4" w:rsidP="00040C3A">
      <w:pPr>
        <w:tabs>
          <w:tab w:val="center" w:pos="5400"/>
        </w:tabs>
        <w:suppressAutoHyphens/>
        <w:jc w:val="center"/>
        <w:rPr>
          <w:rFonts w:asciiTheme="majorHAnsi" w:hAnsiTheme="majorHAnsi"/>
          <w:sz w:val="20"/>
          <w:szCs w:val="20"/>
          <w:lang w:val="es-ES"/>
        </w:rPr>
      </w:pPr>
    </w:p>
    <w:p w14:paraId="79556E07"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5D6AF063" w14:textId="77777777" w:rsidR="00040C3A" w:rsidRPr="007A3389" w:rsidRDefault="00040C3A" w:rsidP="00040C3A">
      <w:pPr>
        <w:tabs>
          <w:tab w:val="center" w:pos="5400"/>
        </w:tabs>
        <w:suppressAutoHyphens/>
        <w:jc w:val="center"/>
        <w:rPr>
          <w:rFonts w:asciiTheme="majorHAnsi" w:hAnsiTheme="majorHAnsi"/>
          <w:sz w:val="20"/>
          <w:szCs w:val="20"/>
          <w:lang w:val="es-ES"/>
        </w:rPr>
      </w:pPr>
    </w:p>
    <w:p w14:paraId="6A94EAE4"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6E04205D"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2F5A936F"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40D6E8B5"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0FAA4A5D"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12F386C3"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2385AA6D"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59E7EB4B"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313A71F7"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2A32E2C7"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7D32C228"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1F4F7EE1"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47C34B70" w14:textId="77777777" w:rsidR="002C1641" w:rsidRPr="007A3389" w:rsidRDefault="007B1494" w:rsidP="00040C3A">
      <w:pPr>
        <w:tabs>
          <w:tab w:val="center" w:pos="5400"/>
        </w:tabs>
        <w:suppressAutoHyphens/>
        <w:jc w:val="center"/>
        <w:rPr>
          <w:rFonts w:asciiTheme="majorHAnsi" w:hAnsiTheme="majorHAnsi"/>
          <w:sz w:val="20"/>
          <w:szCs w:val="20"/>
          <w:lang w:val="es-ES"/>
        </w:rPr>
      </w:pPr>
      <w:r w:rsidRPr="007A338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C931D1C" wp14:editId="52D0866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46A37" w14:textId="702C679B" w:rsidR="00721292" w:rsidRPr="00B24C0F" w:rsidRDefault="00721292" w:rsidP="004165C2">
                            <w:pPr>
                              <w:tabs>
                                <w:tab w:val="center" w:pos="5400"/>
                              </w:tabs>
                              <w:suppressAutoHyphens/>
                              <w:spacing w:before="60"/>
                              <w:rPr>
                                <w:rFonts w:asciiTheme="majorHAnsi" w:hAnsiTheme="majorHAnsi"/>
                                <w:color w:val="0D0D0D" w:themeColor="text1" w:themeTint="F2"/>
                                <w:sz w:val="18"/>
                                <w:szCs w:val="22"/>
                                <w:lang w:val="es-US"/>
                              </w:rPr>
                            </w:pPr>
                            <w:r w:rsidRPr="000D3EE0">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Pr="000D3EE0">
                              <w:rPr>
                                <w:rFonts w:asciiTheme="majorHAnsi" w:hAnsiTheme="majorHAnsi"/>
                                <w:color w:val="0D0D0D" w:themeColor="text1" w:themeTint="F2"/>
                                <w:sz w:val="18"/>
                                <w:szCs w:val="20"/>
                                <w:lang w:val="es-ES"/>
                              </w:rPr>
                              <w:t xml:space="preserve">por la Comisión el </w:t>
                            </w:r>
                            <w:r w:rsidR="003351BB">
                              <w:rPr>
                                <w:rFonts w:asciiTheme="majorHAnsi" w:hAnsiTheme="majorHAnsi"/>
                                <w:color w:val="0D0D0D" w:themeColor="text1" w:themeTint="F2"/>
                                <w:sz w:val="18"/>
                                <w:szCs w:val="20"/>
                                <w:lang w:val="es-ES"/>
                              </w:rPr>
                              <w:t>31</w:t>
                            </w:r>
                            <w:r w:rsidRPr="000D3EE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w:t>
                            </w:r>
                            <w:r w:rsidRPr="000D3EE0">
                              <w:rPr>
                                <w:rFonts w:asciiTheme="majorHAnsi" w:hAnsiTheme="majorHAnsi"/>
                                <w:color w:val="0D0D0D" w:themeColor="text1" w:themeTint="F2"/>
                                <w:sz w:val="18"/>
                                <w:szCs w:val="20"/>
                                <w:lang w:val="es-ES"/>
                              </w:rPr>
                              <w:t xml:space="preserve"> de</w:t>
                            </w:r>
                            <w:r w:rsidRPr="006277D0">
                              <w:rPr>
                                <w:rFonts w:asciiTheme="majorHAnsi" w:hAnsiTheme="majorHAnsi"/>
                                <w:color w:val="0D0D0D" w:themeColor="text1" w:themeTint="F2"/>
                                <w:sz w:val="18"/>
                                <w:szCs w:val="20"/>
                                <w:lang w:val="es-MX"/>
                              </w:rPr>
                              <w:t xml:space="preserve"> 20</w:t>
                            </w:r>
                            <w:r>
                              <w:rPr>
                                <w:rFonts w:asciiTheme="majorHAnsi" w:hAnsiTheme="majorHAnsi"/>
                                <w:color w:val="0D0D0D" w:themeColor="text1" w:themeTint="F2"/>
                                <w:sz w:val="18"/>
                                <w:szCs w:val="20"/>
                                <w:lang w:val="es-MX"/>
                              </w:rPr>
                              <w:t>21</w:t>
                            </w:r>
                            <w:r w:rsidR="000155D0">
                              <w:rPr>
                                <w:rFonts w:asciiTheme="majorHAnsi" w:hAnsiTheme="majorHAnsi"/>
                                <w:color w:val="0D0D0D" w:themeColor="text1" w:themeTint="F2"/>
                                <w:sz w:val="18"/>
                                <w:szCs w:val="20"/>
                                <w:lang w:val="es-MX"/>
                              </w:rPr>
                              <w:t>.</w:t>
                            </w:r>
                            <w:r w:rsidRPr="006277D0">
                              <w:rPr>
                                <w:rFonts w:asciiTheme="majorHAnsi" w:hAnsiTheme="majorHAnsi"/>
                                <w:color w:val="0D0D0D" w:themeColor="text1" w:themeTint="F2"/>
                                <w:sz w:val="18"/>
                                <w:szCs w:val="20"/>
                                <w:lang w:val="es-MX"/>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31D1C"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61946A37" w14:textId="702C679B" w:rsidR="00721292" w:rsidRPr="00B24C0F" w:rsidRDefault="00721292" w:rsidP="004165C2">
                      <w:pPr>
                        <w:tabs>
                          <w:tab w:val="center" w:pos="5400"/>
                        </w:tabs>
                        <w:suppressAutoHyphens/>
                        <w:spacing w:before="60"/>
                        <w:rPr>
                          <w:rFonts w:asciiTheme="majorHAnsi" w:hAnsiTheme="majorHAnsi"/>
                          <w:color w:val="0D0D0D" w:themeColor="text1" w:themeTint="F2"/>
                          <w:sz w:val="18"/>
                          <w:szCs w:val="22"/>
                          <w:lang w:val="es-US"/>
                        </w:rPr>
                      </w:pPr>
                      <w:r w:rsidRPr="000D3EE0">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Pr="000D3EE0">
                        <w:rPr>
                          <w:rFonts w:asciiTheme="majorHAnsi" w:hAnsiTheme="majorHAnsi"/>
                          <w:color w:val="0D0D0D" w:themeColor="text1" w:themeTint="F2"/>
                          <w:sz w:val="18"/>
                          <w:szCs w:val="20"/>
                          <w:lang w:val="es-ES"/>
                        </w:rPr>
                        <w:t xml:space="preserve">por la Comisión el </w:t>
                      </w:r>
                      <w:r w:rsidR="003351BB">
                        <w:rPr>
                          <w:rFonts w:asciiTheme="majorHAnsi" w:hAnsiTheme="majorHAnsi"/>
                          <w:color w:val="0D0D0D" w:themeColor="text1" w:themeTint="F2"/>
                          <w:sz w:val="18"/>
                          <w:szCs w:val="20"/>
                          <w:lang w:val="es-ES"/>
                        </w:rPr>
                        <w:t>31</w:t>
                      </w:r>
                      <w:r w:rsidRPr="000D3EE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w:t>
                      </w:r>
                      <w:r w:rsidRPr="000D3EE0">
                        <w:rPr>
                          <w:rFonts w:asciiTheme="majorHAnsi" w:hAnsiTheme="majorHAnsi"/>
                          <w:color w:val="0D0D0D" w:themeColor="text1" w:themeTint="F2"/>
                          <w:sz w:val="18"/>
                          <w:szCs w:val="20"/>
                          <w:lang w:val="es-ES"/>
                        </w:rPr>
                        <w:t xml:space="preserve"> de</w:t>
                      </w:r>
                      <w:r w:rsidRPr="006277D0">
                        <w:rPr>
                          <w:rFonts w:asciiTheme="majorHAnsi" w:hAnsiTheme="majorHAnsi"/>
                          <w:color w:val="0D0D0D" w:themeColor="text1" w:themeTint="F2"/>
                          <w:sz w:val="18"/>
                          <w:szCs w:val="20"/>
                          <w:lang w:val="es-MX"/>
                        </w:rPr>
                        <w:t xml:space="preserve"> 20</w:t>
                      </w:r>
                      <w:r>
                        <w:rPr>
                          <w:rFonts w:asciiTheme="majorHAnsi" w:hAnsiTheme="majorHAnsi"/>
                          <w:color w:val="0D0D0D" w:themeColor="text1" w:themeTint="F2"/>
                          <w:sz w:val="18"/>
                          <w:szCs w:val="20"/>
                          <w:lang w:val="es-MX"/>
                        </w:rPr>
                        <w:t>21</w:t>
                      </w:r>
                      <w:r w:rsidR="000155D0">
                        <w:rPr>
                          <w:rFonts w:asciiTheme="majorHAnsi" w:hAnsiTheme="majorHAnsi"/>
                          <w:color w:val="0D0D0D" w:themeColor="text1" w:themeTint="F2"/>
                          <w:sz w:val="18"/>
                          <w:szCs w:val="20"/>
                          <w:lang w:val="es-MX"/>
                        </w:rPr>
                        <w:t>.</w:t>
                      </w:r>
                      <w:r w:rsidRPr="006277D0">
                        <w:rPr>
                          <w:rFonts w:asciiTheme="majorHAnsi" w:hAnsiTheme="majorHAnsi"/>
                          <w:color w:val="0D0D0D" w:themeColor="text1" w:themeTint="F2"/>
                          <w:sz w:val="18"/>
                          <w:szCs w:val="20"/>
                          <w:lang w:val="es-MX"/>
                        </w:rPr>
                        <w:br/>
                      </w:r>
                    </w:p>
                  </w:txbxContent>
                </v:textbox>
              </v:shape>
            </w:pict>
          </mc:Fallback>
        </mc:AlternateContent>
      </w:r>
    </w:p>
    <w:p w14:paraId="2A31EF64"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58B991CA"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621AD0A4"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39C310C0"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0B66622E" w14:textId="77777777" w:rsidR="002C1641" w:rsidRPr="007A3389" w:rsidRDefault="007B1494" w:rsidP="00040C3A">
      <w:pPr>
        <w:tabs>
          <w:tab w:val="center" w:pos="5400"/>
        </w:tabs>
        <w:suppressAutoHyphens/>
        <w:jc w:val="center"/>
        <w:rPr>
          <w:rFonts w:asciiTheme="majorHAnsi" w:hAnsiTheme="majorHAnsi"/>
          <w:sz w:val="20"/>
          <w:szCs w:val="20"/>
          <w:lang w:val="es-ES"/>
        </w:rPr>
      </w:pPr>
      <w:r w:rsidRPr="007A3389">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24C0DEFB" wp14:editId="16371A8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0D6AF" w14:textId="02CB618A" w:rsidR="00721292" w:rsidRPr="000D3EE0" w:rsidRDefault="00721292" w:rsidP="00F45EBF">
                            <w:pPr>
                              <w:spacing w:line="276" w:lineRule="auto"/>
                              <w:jc w:val="both"/>
                              <w:rPr>
                                <w:rFonts w:asciiTheme="majorHAnsi" w:hAnsiTheme="majorHAnsi"/>
                                <w:color w:val="595959" w:themeColor="text1" w:themeTint="A6"/>
                                <w:sz w:val="18"/>
                                <w:lang w:val="es-ES"/>
                              </w:rPr>
                            </w:pPr>
                            <w:r w:rsidRPr="006277D0">
                              <w:rPr>
                                <w:rFonts w:asciiTheme="majorHAnsi" w:hAnsiTheme="majorHAnsi"/>
                                <w:b/>
                                <w:color w:val="595959" w:themeColor="text1" w:themeTint="A6"/>
                                <w:sz w:val="18"/>
                                <w:lang w:val="pt-BR"/>
                              </w:rPr>
                              <w:t>Citar como:</w:t>
                            </w:r>
                            <w:r w:rsidRPr="006277D0">
                              <w:rPr>
                                <w:rFonts w:asciiTheme="majorHAnsi" w:hAnsiTheme="majorHAnsi"/>
                                <w:color w:val="595959" w:themeColor="text1" w:themeTint="A6"/>
                                <w:sz w:val="18"/>
                                <w:lang w:val="pt-BR"/>
                              </w:rPr>
                              <w:t xml:space="preserve"> CIDH, Informe No. </w:t>
                            </w:r>
                            <w:r w:rsidR="003351BB">
                              <w:rPr>
                                <w:rFonts w:asciiTheme="majorHAnsi" w:hAnsiTheme="majorHAnsi"/>
                                <w:color w:val="595959" w:themeColor="text1" w:themeTint="A6"/>
                                <w:sz w:val="18"/>
                                <w:lang w:val="es-ES"/>
                              </w:rPr>
                              <w:t>454</w:t>
                            </w:r>
                            <w:r w:rsidRPr="000D3EE0">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21</w:t>
                            </w:r>
                            <w:r w:rsidRPr="000D3EE0">
                              <w:rPr>
                                <w:rFonts w:asciiTheme="majorHAnsi" w:hAnsiTheme="majorHAnsi"/>
                                <w:color w:val="595959" w:themeColor="text1" w:themeTint="A6"/>
                                <w:sz w:val="18"/>
                                <w:lang w:val="es-ES"/>
                              </w:rPr>
                              <w:t>. Caso 13.478. Admisibilidad y Fondo</w:t>
                            </w:r>
                            <w:r>
                              <w:rPr>
                                <w:rFonts w:asciiTheme="majorHAnsi" w:hAnsiTheme="majorHAnsi"/>
                                <w:color w:val="595959" w:themeColor="text1" w:themeTint="A6"/>
                                <w:sz w:val="18"/>
                                <w:lang w:val="es-ES"/>
                              </w:rPr>
                              <w:t xml:space="preserve"> </w:t>
                            </w:r>
                            <w:r w:rsidRPr="003351BB">
                              <w:rPr>
                                <w:rFonts w:asciiTheme="majorHAnsi" w:hAnsiTheme="majorHAnsi"/>
                                <w:color w:val="595959" w:themeColor="text1" w:themeTint="A6"/>
                                <w:sz w:val="18"/>
                                <w:lang w:val="es-ES"/>
                              </w:rPr>
                              <w:t>(Publicación).</w:t>
                            </w:r>
                            <w:r w:rsidRPr="000D3EE0">
                              <w:rPr>
                                <w:rFonts w:asciiTheme="majorHAnsi" w:hAnsiTheme="majorHAnsi"/>
                                <w:color w:val="595959" w:themeColor="text1" w:themeTint="A6"/>
                                <w:sz w:val="18"/>
                                <w:lang w:val="es-ES"/>
                              </w:rPr>
                              <w:t xml:space="preserve"> José Trinidad Loza Ventura. Estados Unidos de América. </w:t>
                            </w:r>
                            <w:r w:rsidR="003351BB">
                              <w:rPr>
                                <w:rFonts w:asciiTheme="majorHAnsi" w:hAnsiTheme="majorHAnsi"/>
                                <w:color w:val="595959" w:themeColor="text1" w:themeTint="A6"/>
                                <w:sz w:val="18"/>
                                <w:lang w:val="es-ES"/>
                              </w:rPr>
                              <w:t>31</w:t>
                            </w:r>
                            <w:r w:rsidRPr="000D3EE0">
                              <w:rPr>
                                <w:rFonts w:asciiTheme="majorHAnsi" w:hAnsiTheme="majorHAnsi"/>
                                <w:color w:val="595959" w:themeColor="text1" w:themeTint="A6"/>
                                <w:sz w:val="18"/>
                                <w:lang w:val="es-ES"/>
                              </w:rPr>
                              <w:t xml:space="preserve"> de </w:t>
                            </w:r>
                            <w:r>
                              <w:rPr>
                                <w:rFonts w:asciiTheme="majorHAnsi" w:hAnsiTheme="majorHAnsi"/>
                                <w:color w:val="595959" w:themeColor="text1" w:themeTint="A6"/>
                                <w:sz w:val="18"/>
                                <w:lang w:val="es-ES"/>
                              </w:rPr>
                              <w:t>diciembre</w:t>
                            </w:r>
                            <w:r w:rsidRPr="000D3EE0">
                              <w:rPr>
                                <w:rFonts w:asciiTheme="majorHAnsi" w:hAnsiTheme="majorHAnsi"/>
                                <w:color w:val="595959" w:themeColor="text1" w:themeTint="A6"/>
                                <w:sz w:val="18"/>
                                <w:lang w:val="es-ES"/>
                              </w:rPr>
                              <w:t xml:space="preserve"> de 20</w:t>
                            </w:r>
                            <w:r>
                              <w:rPr>
                                <w:rFonts w:asciiTheme="majorHAnsi" w:hAnsiTheme="majorHAnsi"/>
                                <w:color w:val="595959" w:themeColor="text1" w:themeTint="A6"/>
                                <w:sz w:val="18"/>
                                <w:lang w:val="es-ES"/>
                              </w:rPr>
                              <w:t>21</w:t>
                            </w:r>
                            <w:r w:rsidRPr="000D3EE0">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DEF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noaU&#10;heIAAAAPAQAADwAAAGRycy9kb3ducmV2LnhtbExPTU/DMAy9I/EfIiNxY8kqirau6TQVTUgIDhu7&#10;cEsbr61onNJkW+HXY05wsf38nj9evp5cL844hs6ThvlMgUCqve2o0XB4294tQIRoyJreE2r4wgDr&#10;4voqN5n1F9rheR8bwUsoZEZDG+OQSRnqFp0JMz8gMXf0ozOR4dhIO5oLL3e9TJR6kM50xBdaM2DZ&#10;Yv2xPzkNz+X21eyqxC2++/Lp5bgZPg/vqda3N9PjisNmBSLiFP8m4NcD/w8FP1b5E9kgesZLlbKU&#10;i3vOLFimKgFRcWPOjCxy+d9H8QMAAP//AwBQSwECLQAUAAYACAAAACEAtoM4kv4AAADhAQAAEwAA&#10;AAAAAAAAAAAAAAAAAAAAW0NvbnRlbnRfVHlwZXNdLnhtbFBLAQItABQABgAIAAAAIQA4/SH/1gAA&#10;AJQBAAALAAAAAAAAAAAAAAAAAC8BAABfcmVscy8ucmVsc1BLAQItABQABgAIAAAAIQBN7da0ewIA&#10;AF0FAAAOAAAAAAAAAAAAAAAAAC4CAABkcnMvZTJvRG9jLnhtbFBLAQItABQABgAIAAAAIQCehpSF&#10;4gAAAA8BAAAPAAAAAAAAAAAAAAAAANUEAABkcnMvZG93bnJldi54bWxQSwUGAAAAAAQABADzAAAA&#10;5AUAAAAA&#10;" filled="f" stroked="f" strokeweight=".5pt">
                <v:textbox>
                  <w:txbxContent>
                    <w:p w14:paraId="59C0D6AF" w14:textId="02CB618A" w:rsidR="00721292" w:rsidRPr="000D3EE0" w:rsidRDefault="00721292" w:rsidP="00F45EBF">
                      <w:pPr>
                        <w:spacing w:line="276" w:lineRule="auto"/>
                        <w:jc w:val="both"/>
                        <w:rPr>
                          <w:rFonts w:asciiTheme="majorHAnsi" w:hAnsiTheme="majorHAnsi"/>
                          <w:color w:val="595959" w:themeColor="text1" w:themeTint="A6"/>
                          <w:sz w:val="18"/>
                          <w:lang w:val="es-ES"/>
                        </w:rPr>
                      </w:pPr>
                      <w:r w:rsidRPr="006277D0">
                        <w:rPr>
                          <w:rFonts w:asciiTheme="majorHAnsi" w:hAnsiTheme="majorHAnsi"/>
                          <w:b/>
                          <w:color w:val="595959" w:themeColor="text1" w:themeTint="A6"/>
                          <w:sz w:val="18"/>
                          <w:lang w:val="pt-BR"/>
                        </w:rPr>
                        <w:t>Citar como:</w:t>
                      </w:r>
                      <w:r w:rsidRPr="006277D0">
                        <w:rPr>
                          <w:rFonts w:asciiTheme="majorHAnsi" w:hAnsiTheme="majorHAnsi"/>
                          <w:color w:val="595959" w:themeColor="text1" w:themeTint="A6"/>
                          <w:sz w:val="18"/>
                          <w:lang w:val="pt-BR"/>
                        </w:rPr>
                        <w:t xml:space="preserve"> </w:t>
                      </w:r>
                      <w:r w:rsidRPr="006277D0">
                        <w:rPr>
                          <w:rFonts w:asciiTheme="majorHAnsi" w:hAnsiTheme="majorHAnsi"/>
                          <w:color w:val="595959" w:themeColor="text1" w:themeTint="A6"/>
                          <w:sz w:val="18"/>
                          <w:lang w:val="pt-BR"/>
                        </w:rPr>
                        <w:t xml:space="preserve">CIDH, Informe No. </w:t>
                      </w:r>
                      <w:r w:rsidR="003351BB">
                        <w:rPr>
                          <w:rFonts w:asciiTheme="majorHAnsi" w:hAnsiTheme="majorHAnsi"/>
                          <w:color w:val="595959" w:themeColor="text1" w:themeTint="A6"/>
                          <w:sz w:val="18"/>
                          <w:lang w:val="es-ES"/>
                        </w:rPr>
                        <w:t>454</w:t>
                      </w:r>
                      <w:r w:rsidRPr="000D3EE0">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21</w:t>
                      </w:r>
                      <w:r w:rsidRPr="000D3EE0">
                        <w:rPr>
                          <w:rFonts w:asciiTheme="majorHAnsi" w:hAnsiTheme="majorHAnsi"/>
                          <w:color w:val="595959" w:themeColor="text1" w:themeTint="A6"/>
                          <w:sz w:val="18"/>
                          <w:lang w:val="es-ES"/>
                        </w:rPr>
                        <w:t>. Caso 13.478. Admisibilidad y Fondo</w:t>
                      </w:r>
                      <w:r>
                        <w:rPr>
                          <w:rFonts w:asciiTheme="majorHAnsi" w:hAnsiTheme="majorHAnsi"/>
                          <w:color w:val="595959" w:themeColor="text1" w:themeTint="A6"/>
                          <w:sz w:val="18"/>
                          <w:lang w:val="es-ES"/>
                        </w:rPr>
                        <w:t xml:space="preserve"> </w:t>
                      </w:r>
                      <w:r w:rsidRPr="003351BB">
                        <w:rPr>
                          <w:rFonts w:asciiTheme="majorHAnsi" w:hAnsiTheme="majorHAnsi"/>
                          <w:color w:val="595959" w:themeColor="text1" w:themeTint="A6"/>
                          <w:sz w:val="18"/>
                          <w:lang w:val="es-ES"/>
                        </w:rPr>
                        <w:t>(Publicación).</w:t>
                      </w:r>
                      <w:r w:rsidRPr="000D3EE0">
                        <w:rPr>
                          <w:rFonts w:asciiTheme="majorHAnsi" w:hAnsiTheme="majorHAnsi"/>
                          <w:color w:val="595959" w:themeColor="text1" w:themeTint="A6"/>
                          <w:sz w:val="18"/>
                          <w:lang w:val="es-ES"/>
                        </w:rPr>
                        <w:t xml:space="preserve"> José Trinidad Loza Ventura. Estados Unidos de América. </w:t>
                      </w:r>
                      <w:r w:rsidR="003351BB">
                        <w:rPr>
                          <w:rFonts w:asciiTheme="majorHAnsi" w:hAnsiTheme="majorHAnsi"/>
                          <w:color w:val="595959" w:themeColor="text1" w:themeTint="A6"/>
                          <w:sz w:val="18"/>
                          <w:lang w:val="es-ES"/>
                        </w:rPr>
                        <w:t>31</w:t>
                      </w:r>
                      <w:r w:rsidRPr="000D3EE0">
                        <w:rPr>
                          <w:rFonts w:asciiTheme="majorHAnsi" w:hAnsiTheme="majorHAnsi"/>
                          <w:color w:val="595959" w:themeColor="text1" w:themeTint="A6"/>
                          <w:sz w:val="18"/>
                          <w:lang w:val="es-ES"/>
                        </w:rPr>
                        <w:t xml:space="preserve"> de </w:t>
                      </w:r>
                      <w:r>
                        <w:rPr>
                          <w:rFonts w:asciiTheme="majorHAnsi" w:hAnsiTheme="majorHAnsi"/>
                          <w:color w:val="595959" w:themeColor="text1" w:themeTint="A6"/>
                          <w:sz w:val="18"/>
                          <w:lang w:val="es-ES"/>
                        </w:rPr>
                        <w:t>diciembre</w:t>
                      </w:r>
                      <w:r w:rsidRPr="000D3EE0">
                        <w:rPr>
                          <w:rFonts w:asciiTheme="majorHAnsi" w:hAnsiTheme="majorHAnsi"/>
                          <w:color w:val="595959" w:themeColor="text1" w:themeTint="A6"/>
                          <w:sz w:val="18"/>
                          <w:lang w:val="es-ES"/>
                        </w:rPr>
                        <w:t xml:space="preserve"> de 20</w:t>
                      </w:r>
                      <w:r>
                        <w:rPr>
                          <w:rFonts w:asciiTheme="majorHAnsi" w:hAnsiTheme="majorHAnsi"/>
                          <w:color w:val="595959" w:themeColor="text1" w:themeTint="A6"/>
                          <w:sz w:val="18"/>
                          <w:lang w:val="es-ES"/>
                        </w:rPr>
                        <w:t>21</w:t>
                      </w:r>
                      <w:r w:rsidRPr="000D3EE0">
                        <w:rPr>
                          <w:rFonts w:asciiTheme="majorHAnsi" w:hAnsiTheme="majorHAnsi"/>
                          <w:color w:val="595959" w:themeColor="text1" w:themeTint="A6"/>
                          <w:sz w:val="18"/>
                          <w:lang w:val="es-ES"/>
                        </w:rPr>
                        <w:t>.</w:t>
                      </w:r>
                    </w:p>
                  </w:txbxContent>
                </v:textbox>
              </v:shape>
            </w:pict>
          </mc:Fallback>
        </mc:AlternateContent>
      </w:r>
    </w:p>
    <w:p w14:paraId="71D13CAD"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03119B02" w14:textId="77777777" w:rsidR="002C1641" w:rsidRPr="007A3389" w:rsidRDefault="002C1641" w:rsidP="00040C3A">
      <w:pPr>
        <w:tabs>
          <w:tab w:val="center" w:pos="5400"/>
        </w:tabs>
        <w:suppressAutoHyphens/>
        <w:jc w:val="center"/>
        <w:rPr>
          <w:rFonts w:asciiTheme="majorHAnsi" w:hAnsiTheme="majorHAnsi"/>
          <w:sz w:val="20"/>
          <w:szCs w:val="20"/>
          <w:lang w:val="es-ES"/>
        </w:rPr>
      </w:pPr>
    </w:p>
    <w:p w14:paraId="55744D67" w14:textId="77777777" w:rsidR="003C32BC" w:rsidRPr="007A3389" w:rsidRDefault="003C32BC" w:rsidP="003C32BC">
      <w:pPr>
        <w:tabs>
          <w:tab w:val="center" w:pos="5400"/>
        </w:tabs>
        <w:suppressAutoHyphens/>
        <w:jc w:val="center"/>
        <w:rPr>
          <w:rFonts w:asciiTheme="majorHAnsi" w:hAnsiTheme="majorHAnsi"/>
          <w:sz w:val="20"/>
          <w:szCs w:val="20"/>
          <w:lang w:val="es-ES"/>
        </w:rPr>
      </w:pPr>
    </w:p>
    <w:p w14:paraId="69CA52AB" w14:textId="77777777" w:rsidR="003C32BC" w:rsidRPr="007A3389" w:rsidRDefault="000D3EE0" w:rsidP="003C32BC">
      <w:pPr>
        <w:tabs>
          <w:tab w:val="center" w:pos="5400"/>
        </w:tabs>
        <w:suppressAutoHyphens/>
        <w:jc w:val="center"/>
        <w:rPr>
          <w:rFonts w:asciiTheme="majorHAnsi" w:hAnsiTheme="majorHAnsi"/>
          <w:sz w:val="20"/>
          <w:szCs w:val="20"/>
          <w:lang w:val="es-ES"/>
        </w:rPr>
      </w:pPr>
      <w:r w:rsidRPr="007A3389">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5B02651E" wp14:editId="05EE1E32">
                <wp:simplePos x="0" y="0"/>
                <wp:positionH relativeFrom="column">
                  <wp:posOffset>1206500</wp:posOffset>
                </wp:positionH>
                <wp:positionV relativeFrom="paragraph">
                  <wp:posOffset>724535</wp:posOffset>
                </wp:positionV>
                <wp:extent cx="2085975" cy="60198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601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D59AE" w14:textId="77777777" w:rsidR="00721292" w:rsidRDefault="00721292">
                            <w:r>
                              <w:rPr>
                                <w:noProof/>
                                <w:color w:val="FFFFFF" w:themeColor="background1"/>
                              </w:rPr>
                              <w:drawing>
                                <wp:inline distT="0" distB="0" distL="0" distR="0" wp14:anchorId="191DF85D" wp14:editId="2DCDD902">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2651E" id="Text Box 2" o:spid="_x0000_s1031" type="#_x0000_t202" style="position:absolute;left:0;text-align:left;margin-left:95pt;margin-top:57.05pt;width:164.25pt;height:4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axhgIAAIUFAAAOAAAAZHJzL2Uyb0RvYy54bWysVEtv2zAMvg/YfxB0X+xkTR9GnSJLkWFA&#10;0BZrh54VWWqEyqImKbGzX19Kdh7teumwi02JH0nx4+Pyqq012QjnFZiSDgc5JcJwqJR5Kumvh/mX&#10;c0p8YKZiGowo6VZ4ejX5/OmysYUYwQp0JRxBJ8YXjS3pKgRbZJnnK1EzPwArDColuJoFPLqnrHKs&#10;Qe+1zkZ5fpo14CrrgAvv8fa6U9JJ8i+l4OFWSi8C0SXFt4X0dem7jN9scsmKJ8fsSvH+GewfXlEz&#10;ZTDo3tU1C4ysnfrLVa24Aw8yDDjUGUipuEg5YDbD/E029ytmRcoFyfF2T5P/f275zebe3jkS2m/Q&#10;YgFTEt4ugD975CZrrC96TOTUFx7RMdFWujr+MQWChsjtds+naAPheDnKz8cXZ2NKOOpO8+HFeSI8&#10;O1hb58N3ATWJQkkd1iu9gG0WPsT4rNhBYjAPWlVzpXU6xB4RM+3IhmF1dRjGaqLFK5Q2pMHgX8d5&#10;cmwgmnc4baIbkbqkD3fIMElhq0XEaPNTSKKqlOg7sRnnwuzjJ3RESQz1EcMef3jVR4y7PNAiRQYT&#10;9sa1MuC6wr6mrHreUSY7fF9w3+UdKQjtssXESzqO5MabJVRbbBgH3Sx5y+cKi7dgPtwxh8ODrYAL&#10;IdziR2pA8qGXKFmB+/PefcRjT6OWkgaHsaT+95o5QYn+YbDbL4YnJ3F60+FkfDbCgzvWLI81Zl3P&#10;ADtiiKvH8iRGfNA7UTqoH3FvTGNUVDHDMXZJw06chW5F4N7hYjpNIJxXy8LC3Fu+m5PYmg/tI3O2&#10;79+AnX8Du7FlxZs27rCxPgam6wBSpR4/sNrzj7OeGrnfS3GZHJ8T6rA9Jy8AAAD//wMAUEsDBBQA&#10;BgAIAAAAIQBr0q1r5gAAABABAAAPAAAAZHJzL2Rvd25yZXYueG1sTI9NT8MwDIbvSPyHyEhcEEu7&#10;Uei6phPiU+LGyoe4ZY1pKxqnarK2/HvMCS6WX9l+/T75dradGHHwrSMF8SICgVQ501Kt4KW8P09B&#10;+KDJ6M4RKvhGD9vi+CjXmXETPeO4C7VgE/KZVtCE0GdS+qpBq/3C9Ug8+3SD1YHlUEsz6InNbSeX&#10;UXQprW6JPzS6x5sGq6/dwSr4OKvfn/z88DqtklV/9ziWV2+mVOr0ZL7dcLnegAg4h78L+GXg/FBw&#10;sL07kPGiY72OGChwE1/EIHgjidMExF7BMkrXIItc/gcpfgAAAP//AwBQSwECLQAUAAYACAAAACEA&#10;toM4kv4AAADhAQAAEwAAAAAAAAAAAAAAAAAAAAAAW0NvbnRlbnRfVHlwZXNdLnhtbFBLAQItABQA&#10;BgAIAAAAIQA4/SH/1gAAAJQBAAALAAAAAAAAAAAAAAAAAC8BAABfcmVscy8ucmVsc1BLAQItABQA&#10;BgAIAAAAIQBQNxaxhgIAAIUFAAAOAAAAAAAAAAAAAAAAAC4CAABkcnMvZTJvRG9jLnhtbFBLAQIt&#10;ABQABgAIAAAAIQBr0q1r5gAAABABAAAPAAAAAAAAAAAAAAAAAOAEAABkcnMvZG93bnJldi54bWxQ&#10;SwUGAAAAAAQABADzAAAA8wUAAAAA&#10;" fillcolor="white [3201]" stroked="f" strokeweight=".5pt">
                <v:textbox>
                  <w:txbxContent>
                    <w:p w14:paraId="462D59AE" w14:textId="77777777" w:rsidR="00721292" w:rsidRDefault="00721292">
                      <w:r>
                        <w:rPr>
                          <w:noProof/>
                          <w:color w:val="FFFFFF" w:themeColor="background1"/>
                        </w:rPr>
                        <w:drawing>
                          <wp:inline distT="0" distB="0" distL="0" distR="0" wp14:anchorId="191DF85D" wp14:editId="2DCDD902">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7B1494" w:rsidRPr="007A3389">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1B092607" wp14:editId="4904A76B">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C4E6E" w14:textId="77777777" w:rsidR="00721292" w:rsidRPr="004B7EB6" w:rsidRDefault="0072129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9260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lUe5g&#10;5QAAABABAAAPAAAAZHJzL2Rvd25yZXYueG1sTE9NT8JAEL2b+B82Y+INtlCxtXRLSA0xMXgAuXib&#10;dpe2cT9qd4Hqr3c46WUyk/fmfeSr0Wh2VoPvnBUwm0bAlK2d7Gwj4PC+maTAfEArUTurBHwrD6vi&#10;9ibHTLqL3anzPjSMRKzPUEAbQp9x7utWGfRT1ytL2NENBgOdQ8PlgBcSN5rPo+iRG+wsObTYq7JV&#10;9ef+ZAS8lps33FVzk/7o8mV7XPdfh4+FEPd34/OSxnoJLKgx/H3AtQPlh4KCVe5kpWdawOQhmRGV&#10;gHgRA7sy4vQJWEVLmiTAi5z/L1L8AgAA//8DAFBLAQItABQABgAIAAAAIQC2gziS/gAAAOEBAAAT&#10;AAAAAAAAAAAAAAAAAAAAAABbQ29udGVudF9UeXBlc10ueG1sUEsBAi0AFAAGAAgAAAAhADj9If/W&#10;AAAAlAEAAAsAAAAAAAAAAAAAAAAALwEAAF9yZWxzLy5yZWxzUEsBAi0AFAAGAAgAAAAhANW+PF56&#10;AgAAXQUAAA4AAAAAAAAAAAAAAAAALgIAAGRycy9lMm9Eb2MueG1sUEsBAi0AFAAGAAgAAAAhAGVR&#10;7mDlAAAAEAEAAA8AAAAAAAAAAAAAAAAA1AQAAGRycy9kb3ducmV2LnhtbFBLBQYAAAAABAAEAPMA&#10;AADmBQAAAAA=&#10;" filled="f" stroked="f" strokeweight=".5pt">
                <v:textbox>
                  <w:txbxContent>
                    <w:p w14:paraId="394C4E6E" w14:textId="77777777" w:rsidR="00721292" w:rsidRPr="004B7EB6" w:rsidRDefault="0072129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1D24A55" w14:textId="77777777" w:rsidR="007607C4" w:rsidRPr="007A3389" w:rsidRDefault="007607C4" w:rsidP="003C32BC">
      <w:pPr>
        <w:tabs>
          <w:tab w:val="center" w:pos="5400"/>
        </w:tabs>
        <w:suppressAutoHyphens/>
        <w:jc w:val="center"/>
        <w:rPr>
          <w:rFonts w:asciiTheme="majorHAnsi" w:hAnsiTheme="majorHAnsi"/>
          <w:sz w:val="20"/>
          <w:szCs w:val="20"/>
          <w:lang w:val="es-ES"/>
        </w:rPr>
        <w:sectPr w:rsidR="007607C4" w:rsidRPr="007A338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4B7A5B0C" w14:textId="77777777" w:rsidR="00FC3EB4" w:rsidRPr="007A3389" w:rsidRDefault="000D3EE0" w:rsidP="00FC3EB4">
      <w:pPr>
        <w:tabs>
          <w:tab w:val="center" w:pos="5400"/>
        </w:tabs>
        <w:suppressAutoHyphens/>
        <w:spacing w:line="276" w:lineRule="auto"/>
        <w:jc w:val="center"/>
        <w:rPr>
          <w:rFonts w:asciiTheme="majorHAnsi" w:hAnsiTheme="majorHAnsi"/>
          <w:b/>
          <w:sz w:val="20"/>
          <w:szCs w:val="20"/>
          <w:lang w:val="es-ES"/>
        </w:rPr>
      </w:pPr>
      <w:r w:rsidRPr="007A3389">
        <w:rPr>
          <w:rFonts w:asciiTheme="majorHAnsi" w:hAnsiTheme="majorHAnsi"/>
          <w:b/>
          <w:sz w:val="20"/>
          <w:szCs w:val="20"/>
          <w:lang w:val="es-ES"/>
        </w:rPr>
        <w:lastRenderedPageBreak/>
        <w:t>ÍNDICE</w:t>
      </w:r>
    </w:p>
    <w:p w14:paraId="3003AFBB" w14:textId="77777777" w:rsidR="007607C4" w:rsidRPr="00FF0184" w:rsidRDefault="007607C4" w:rsidP="00145EDC">
      <w:pPr>
        <w:tabs>
          <w:tab w:val="center" w:pos="5400"/>
        </w:tabs>
        <w:suppressAutoHyphens/>
        <w:spacing w:line="276" w:lineRule="auto"/>
        <w:rPr>
          <w:rFonts w:asciiTheme="majorHAnsi" w:hAnsiTheme="majorHAnsi"/>
          <w:sz w:val="20"/>
          <w:szCs w:val="20"/>
          <w:lang w:val="es-ES"/>
        </w:rPr>
      </w:pPr>
    </w:p>
    <w:p w14:paraId="187960A5" w14:textId="77777777" w:rsidR="00FF0184" w:rsidRPr="004368AF" w:rsidRDefault="00DA36AE">
      <w:pPr>
        <w:pStyle w:val="TOC1"/>
        <w:rPr>
          <w:rFonts w:eastAsiaTheme="minorEastAsia" w:cstheme="minorBidi"/>
          <w:b w:val="0"/>
          <w:bdr w:val="none" w:sz="0" w:space="0" w:color="auto"/>
          <w:lang w:val="es-US" w:eastAsia="zh-CN"/>
        </w:rPr>
      </w:pPr>
      <w:r w:rsidRPr="004368AF">
        <w:rPr>
          <w:b w:val="0"/>
          <w:noProof w:val="0"/>
          <w:lang w:val="es-ES"/>
        </w:rPr>
        <w:fldChar w:fldCharType="begin"/>
      </w:r>
      <w:r w:rsidR="00864785" w:rsidRPr="004368AF">
        <w:rPr>
          <w:b w:val="0"/>
          <w:noProof w:val="0"/>
          <w:lang w:val="es-ES"/>
        </w:rPr>
        <w:instrText xml:space="preserve"> TOC \o "1-3" \h \z \u </w:instrText>
      </w:r>
      <w:r w:rsidRPr="004368AF">
        <w:rPr>
          <w:b w:val="0"/>
          <w:noProof w:val="0"/>
          <w:lang w:val="es-ES"/>
        </w:rPr>
        <w:fldChar w:fldCharType="separate"/>
      </w:r>
      <w:hyperlink w:anchor="_Toc90298910" w:history="1">
        <w:r w:rsidR="00FF0184" w:rsidRPr="004368AF">
          <w:rPr>
            <w:rStyle w:val="Hyperlink"/>
            <w:lang w:val="es-ES"/>
          </w:rPr>
          <w:t>I.</w:t>
        </w:r>
        <w:r w:rsidR="00FF0184" w:rsidRPr="004368AF">
          <w:rPr>
            <w:rFonts w:eastAsiaTheme="minorEastAsia" w:cstheme="minorBidi"/>
            <w:b w:val="0"/>
            <w:bdr w:val="none" w:sz="0" w:space="0" w:color="auto"/>
            <w:lang w:val="es-US" w:eastAsia="zh-CN"/>
          </w:rPr>
          <w:tab/>
        </w:r>
        <w:r w:rsidR="00FF0184" w:rsidRPr="004368AF">
          <w:rPr>
            <w:rStyle w:val="Hyperlink"/>
            <w:lang w:val="es-ES"/>
          </w:rPr>
          <w:t>INTRODUCCIÓN</w:t>
        </w:r>
        <w:r w:rsidR="00FF0184" w:rsidRPr="004368AF">
          <w:rPr>
            <w:webHidden/>
          </w:rPr>
          <w:tab/>
        </w:r>
        <w:r w:rsidR="00FF0184" w:rsidRPr="004368AF">
          <w:rPr>
            <w:webHidden/>
          </w:rPr>
          <w:fldChar w:fldCharType="begin"/>
        </w:r>
        <w:r w:rsidR="00FF0184" w:rsidRPr="004368AF">
          <w:rPr>
            <w:webHidden/>
          </w:rPr>
          <w:instrText xml:space="preserve"> PAGEREF _Toc90298910 \h </w:instrText>
        </w:r>
        <w:r w:rsidR="00FF0184" w:rsidRPr="004368AF">
          <w:rPr>
            <w:webHidden/>
          </w:rPr>
        </w:r>
        <w:r w:rsidR="00FF0184" w:rsidRPr="004368AF">
          <w:rPr>
            <w:webHidden/>
          </w:rPr>
          <w:fldChar w:fldCharType="separate"/>
        </w:r>
        <w:r w:rsidR="00FF0184" w:rsidRPr="004368AF">
          <w:rPr>
            <w:webHidden/>
          </w:rPr>
          <w:t>3</w:t>
        </w:r>
        <w:r w:rsidR="00FF0184" w:rsidRPr="004368AF">
          <w:rPr>
            <w:webHidden/>
          </w:rPr>
          <w:fldChar w:fldCharType="end"/>
        </w:r>
      </w:hyperlink>
    </w:p>
    <w:p w14:paraId="037D46E7" w14:textId="77777777" w:rsidR="00FF0184" w:rsidRPr="004368AF" w:rsidRDefault="007B36C9">
      <w:pPr>
        <w:pStyle w:val="TOC1"/>
        <w:rPr>
          <w:rFonts w:eastAsiaTheme="minorEastAsia" w:cstheme="minorBidi"/>
          <w:b w:val="0"/>
          <w:bdr w:val="none" w:sz="0" w:space="0" w:color="auto"/>
          <w:lang w:val="es-US" w:eastAsia="zh-CN"/>
        </w:rPr>
      </w:pPr>
      <w:hyperlink w:anchor="_Toc90298911" w:history="1">
        <w:r w:rsidR="00FF0184" w:rsidRPr="004368AF">
          <w:rPr>
            <w:rStyle w:val="Hyperlink"/>
            <w:lang w:val="es-ES"/>
          </w:rPr>
          <w:t>II.</w:t>
        </w:r>
        <w:r w:rsidR="00FF0184" w:rsidRPr="004368AF">
          <w:rPr>
            <w:rFonts w:eastAsiaTheme="minorEastAsia" w:cstheme="minorBidi"/>
            <w:b w:val="0"/>
            <w:bdr w:val="none" w:sz="0" w:space="0" w:color="auto"/>
            <w:lang w:val="es-US" w:eastAsia="zh-CN"/>
          </w:rPr>
          <w:tab/>
        </w:r>
        <w:r w:rsidR="00FF0184" w:rsidRPr="004368AF">
          <w:rPr>
            <w:rStyle w:val="Hyperlink"/>
            <w:lang w:val="es-ES"/>
          </w:rPr>
          <w:t>POSICIÓN DE LAS PARTES</w:t>
        </w:r>
        <w:r w:rsidR="00FF0184" w:rsidRPr="004368AF">
          <w:rPr>
            <w:webHidden/>
          </w:rPr>
          <w:tab/>
        </w:r>
        <w:r w:rsidR="00FF0184" w:rsidRPr="004368AF">
          <w:rPr>
            <w:webHidden/>
          </w:rPr>
          <w:fldChar w:fldCharType="begin"/>
        </w:r>
        <w:r w:rsidR="00FF0184" w:rsidRPr="004368AF">
          <w:rPr>
            <w:webHidden/>
          </w:rPr>
          <w:instrText xml:space="preserve"> PAGEREF _Toc90298911 \h </w:instrText>
        </w:r>
        <w:r w:rsidR="00FF0184" w:rsidRPr="004368AF">
          <w:rPr>
            <w:webHidden/>
          </w:rPr>
        </w:r>
        <w:r w:rsidR="00FF0184" w:rsidRPr="004368AF">
          <w:rPr>
            <w:webHidden/>
          </w:rPr>
          <w:fldChar w:fldCharType="separate"/>
        </w:r>
        <w:r w:rsidR="00FF0184" w:rsidRPr="004368AF">
          <w:rPr>
            <w:webHidden/>
          </w:rPr>
          <w:t>3</w:t>
        </w:r>
        <w:r w:rsidR="00FF0184" w:rsidRPr="004368AF">
          <w:rPr>
            <w:webHidden/>
          </w:rPr>
          <w:fldChar w:fldCharType="end"/>
        </w:r>
      </w:hyperlink>
    </w:p>
    <w:p w14:paraId="7815BECB"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12" w:history="1">
        <w:r w:rsidR="00FF0184" w:rsidRPr="004368AF">
          <w:rPr>
            <w:rStyle w:val="Hyperlink"/>
            <w:rFonts w:asciiTheme="majorHAnsi" w:hAnsiTheme="majorHAnsi"/>
            <w:sz w:val="20"/>
            <w:szCs w:val="20"/>
            <w:lang w:val="es-ES"/>
          </w:rPr>
          <w:t>A.</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Posición de los peticionarios</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_Toc90298912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3</w:t>
        </w:r>
        <w:r w:rsidR="00FF0184" w:rsidRPr="004368AF">
          <w:rPr>
            <w:rFonts w:asciiTheme="majorHAnsi" w:hAnsiTheme="majorHAnsi"/>
            <w:webHidden/>
            <w:sz w:val="20"/>
            <w:szCs w:val="20"/>
          </w:rPr>
          <w:fldChar w:fldCharType="end"/>
        </w:r>
      </w:hyperlink>
    </w:p>
    <w:p w14:paraId="75455865"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13" w:history="1">
        <w:r w:rsidR="00FF0184" w:rsidRPr="004368AF">
          <w:rPr>
            <w:rStyle w:val="Hyperlink"/>
            <w:rFonts w:asciiTheme="majorHAnsi" w:hAnsiTheme="majorHAnsi"/>
            <w:sz w:val="20"/>
            <w:szCs w:val="20"/>
            <w:lang w:val="es-ES"/>
          </w:rPr>
          <w:t>B.</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Posición del Estado</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_Toc90298913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5</w:t>
        </w:r>
        <w:r w:rsidR="00FF0184" w:rsidRPr="004368AF">
          <w:rPr>
            <w:rFonts w:asciiTheme="majorHAnsi" w:hAnsiTheme="majorHAnsi"/>
            <w:webHidden/>
            <w:sz w:val="20"/>
            <w:szCs w:val="20"/>
          </w:rPr>
          <w:fldChar w:fldCharType="end"/>
        </w:r>
      </w:hyperlink>
    </w:p>
    <w:p w14:paraId="005D1534" w14:textId="77777777" w:rsidR="00FF0184" w:rsidRPr="004368AF" w:rsidRDefault="007B36C9">
      <w:pPr>
        <w:pStyle w:val="TOC1"/>
        <w:rPr>
          <w:rFonts w:eastAsiaTheme="minorEastAsia" w:cstheme="minorBidi"/>
          <w:b w:val="0"/>
          <w:bdr w:val="none" w:sz="0" w:space="0" w:color="auto"/>
          <w:lang w:val="es-US" w:eastAsia="zh-CN"/>
        </w:rPr>
      </w:pPr>
      <w:hyperlink w:anchor="_Toc90298914" w:history="1">
        <w:r w:rsidR="00FF0184" w:rsidRPr="004368AF">
          <w:rPr>
            <w:rStyle w:val="Hyperlink"/>
            <w:lang w:val="es-ES"/>
          </w:rPr>
          <w:t>III.</w:t>
        </w:r>
        <w:r w:rsidR="00FF0184" w:rsidRPr="004368AF">
          <w:rPr>
            <w:rFonts w:eastAsiaTheme="minorEastAsia" w:cstheme="minorBidi"/>
            <w:b w:val="0"/>
            <w:bdr w:val="none" w:sz="0" w:space="0" w:color="auto"/>
            <w:lang w:val="es-US" w:eastAsia="zh-CN"/>
          </w:rPr>
          <w:tab/>
        </w:r>
        <w:r w:rsidR="00FF0184" w:rsidRPr="004368AF">
          <w:rPr>
            <w:rStyle w:val="Hyperlink"/>
            <w:lang w:val="es-ES"/>
          </w:rPr>
          <w:t>ADMISIBILIDAD</w:t>
        </w:r>
        <w:r w:rsidR="00FF0184" w:rsidRPr="004368AF">
          <w:rPr>
            <w:webHidden/>
          </w:rPr>
          <w:tab/>
        </w:r>
        <w:r w:rsidR="00FF0184" w:rsidRPr="004368AF">
          <w:rPr>
            <w:webHidden/>
          </w:rPr>
          <w:fldChar w:fldCharType="begin"/>
        </w:r>
        <w:r w:rsidR="00FF0184" w:rsidRPr="004368AF">
          <w:rPr>
            <w:webHidden/>
          </w:rPr>
          <w:instrText xml:space="preserve"> PAGEREF _Toc90298914 \h </w:instrText>
        </w:r>
        <w:r w:rsidR="00FF0184" w:rsidRPr="004368AF">
          <w:rPr>
            <w:webHidden/>
          </w:rPr>
        </w:r>
        <w:r w:rsidR="00FF0184" w:rsidRPr="004368AF">
          <w:rPr>
            <w:webHidden/>
          </w:rPr>
          <w:fldChar w:fldCharType="separate"/>
        </w:r>
        <w:r w:rsidR="00FF0184" w:rsidRPr="004368AF">
          <w:rPr>
            <w:webHidden/>
          </w:rPr>
          <w:t>7</w:t>
        </w:r>
        <w:r w:rsidR="00FF0184" w:rsidRPr="004368AF">
          <w:rPr>
            <w:webHidden/>
          </w:rPr>
          <w:fldChar w:fldCharType="end"/>
        </w:r>
      </w:hyperlink>
    </w:p>
    <w:p w14:paraId="0E031EC5"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15" w:history="1">
        <w:r w:rsidR="00FF0184" w:rsidRPr="004368AF">
          <w:rPr>
            <w:rStyle w:val="Hyperlink"/>
            <w:rFonts w:asciiTheme="majorHAnsi" w:hAnsiTheme="majorHAnsi"/>
            <w:sz w:val="20"/>
            <w:szCs w:val="20"/>
            <w:lang w:val="es-ES"/>
          </w:rPr>
          <w:t>A.</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Competencia, duplicación de procedimientos y cosa juzgada internacional</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_Toc90298915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7</w:t>
        </w:r>
        <w:r w:rsidR="00FF0184" w:rsidRPr="004368AF">
          <w:rPr>
            <w:rFonts w:asciiTheme="majorHAnsi" w:hAnsiTheme="majorHAnsi"/>
            <w:webHidden/>
            <w:sz w:val="20"/>
            <w:szCs w:val="20"/>
          </w:rPr>
          <w:fldChar w:fldCharType="end"/>
        </w:r>
      </w:hyperlink>
    </w:p>
    <w:p w14:paraId="28C02BDC"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16" w:history="1">
        <w:r w:rsidR="00FF0184" w:rsidRPr="004368AF">
          <w:rPr>
            <w:rStyle w:val="Hyperlink"/>
            <w:rFonts w:asciiTheme="majorHAnsi" w:hAnsiTheme="majorHAnsi" w:cs="Tahoma"/>
            <w:sz w:val="20"/>
            <w:szCs w:val="20"/>
            <w:lang w:val="es-ES"/>
          </w:rPr>
          <w:t>B.</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cs="Tahoma"/>
            <w:sz w:val="20"/>
            <w:szCs w:val="20"/>
            <w:shd w:val="clear" w:color="auto" w:fill="FFFFFF"/>
            <w:lang w:val="es-ES"/>
          </w:rPr>
          <w:t>Agotamiento de los recursos internos y plazo de presentación</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_Toc90298916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7</w:t>
        </w:r>
        <w:r w:rsidR="00FF0184" w:rsidRPr="004368AF">
          <w:rPr>
            <w:rFonts w:asciiTheme="majorHAnsi" w:hAnsiTheme="majorHAnsi"/>
            <w:webHidden/>
            <w:sz w:val="20"/>
            <w:szCs w:val="20"/>
          </w:rPr>
          <w:fldChar w:fldCharType="end"/>
        </w:r>
      </w:hyperlink>
    </w:p>
    <w:p w14:paraId="6F5F52EB"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17" w:history="1">
        <w:r w:rsidR="00FF0184" w:rsidRPr="004368AF">
          <w:rPr>
            <w:rStyle w:val="Hyperlink"/>
            <w:rFonts w:asciiTheme="majorHAnsi" w:hAnsiTheme="majorHAnsi"/>
            <w:sz w:val="20"/>
            <w:szCs w:val="20"/>
            <w:lang w:val="es-ES"/>
          </w:rPr>
          <w:t>C.</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Caracterización de los hechos alegados</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_Toc90298917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8</w:t>
        </w:r>
        <w:r w:rsidR="00FF0184" w:rsidRPr="004368AF">
          <w:rPr>
            <w:rFonts w:asciiTheme="majorHAnsi" w:hAnsiTheme="majorHAnsi"/>
            <w:webHidden/>
            <w:sz w:val="20"/>
            <w:szCs w:val="20"/>
          </w:rPr>
          <w:fldChar w:fldCharType="end"/>
        </w:r>
      </w:hyperlink>
    </w:p>
    <w:p w14:paraId="36FCF609" w14:textId="77777777" w:rsidR="00FF0184" w:rsidRPr="004368AF" w:rsidRDefault="007B36C9">
      <w:pPr>
        <w:pStyle w:val="TOC1"/>
        <w:rPr>
          <w:rFonts w:eastAsiaTheme="minorEastAsia" w:cstheme="minorBidi"/>
          <w:b w:val="0"/>
          <w:bdr w:val="none" w:sz="0" w:space="0" w:color="auto"/>
          <w:lang w:val="es-US" w:eastAsia="zh-CN"/>
        </w:rPr>
      </w:pPr>
      <w:hyperlink w:anchor="_Toc90298918" w:history="1">
        <w:r w:rsidR="00FF0184" w:rsidRPr="004368AF">
          <w:rPr>
            <w:rStyle w:val="Hyperlink"/>
            <w:lang w:val="es-ES"/>
          </w:rPr>
          <w:t>IV.</w:t>
        </w:r>
        <w:r w:rsidR="00FF0184" w:rsidRPr="004368AF">
          <w:rPr>
            <w:rFonts w:eastAsiaTheme="minorEastAsia" w:cstheme="minorBidi"/>
            <w:b w:val="0"/>
            <w:bdr w:val="none" w:sz="0" w:space="0" w:color="auto"/>
            <w:lang w:val="es-US" w:eastAsia="zh-CN"/>
          </w:rPr>
          <w:tab/>
        </w:r>
        <w:r w:rsidR="00FF0184" w:rsidRPr="004368AF">
          <w:rPr>
            <w:rStyle w:val="Hyperlink"/>
            <w:lang w:val="es-ES"/>
          </w:rPr>
          <w:t>DETERMINACIONES DE HECHO</w:t>
        </w:r>
        <w:r w:rsidR="00FF0184" w:rsidRPr="004368AF">
          <w:rPr>
            <w:webHidden/>
          </w:rPr>
          <w:tab/>
        </w:r>
        <w:r w:rsidR="00FF0184" w:rsidRPr="004368AF">
          <w:rPr>
            <w:webHidden/>
          </w:rPr>
          <w:fldChar w:fldCharType="begin"/>
        </w:r>
        <w:r w:rsidR="00FF0184" w:rsidRPr="004368AF">
          <w:rPr>
            <w:webHidden/>
          </w:rPr>
          <w:instrText xml:space="preserve"> PAGEREF _Toc90298918 \h </w:instrText>
        </w:r>
        <w:r w:rsidR="00FF0184" w:rsidRPr="004368AF">
          <w:rPr>
            <w:webHidden/>
          </w:rPr>
        </w:r>
        <w:r w:rsidR="00FF0184" w:rsidRPr="004368AF">
          <w:rPr>
            <w:webHidden/>
          </w:rPr>
          <w:fldChar w:fldCharType="separate"/>
        </w:r>
        <w:r w:rsidR="00FF0184" w:rsidRPr="004368AF">
          <w:rPr>
            <w:webHidden/>
          </w:rPr>
          <w:t>8</w:t>
        </w:r>
        <w:r w:rsidR="00FF0184" w:rsidRPr="004368AF">
          <w:rPr>
            <w:webHidden/>
          </w:rPr>
          <w:fldChar w:fldCharType="end"/>
        </w:r>
      </w:hyperlink>
    </w:p>
    <w:p w14:paraId="21778A11"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19" w:history="1">
        <w:r w:rsidR="00FF0184" w:rsidRPr="004368AF">
          <w:rPr>
            <w:rStyle w:val="Hyperlink"/>
            <w:rFonts w:asciiTheme="majorHAnsi" w:hAnsiTheme="majorHAnsi"/>
            <w:sz w:val="20"/>
            <w:szCs w:val="20"/>
            <w:lang w:val="es-ES"/>
          </w:rPr>
          <w:t>A.</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Hechos del caso</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_Toc90298919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8</w:t>
        </w:r>
        <w:r w:rsidR="00FF0184" w:rsidRPr="004368AF">
          <w:rPr>
            <w:rFonts w:asciiTheme="majorHAnsi" w:hAnsiTheme="majorHAnsi"/>
            <w:webHidden/>
            <w:sz w:val="20"/>
            <w:szCs w:val="20"/>
          </w:rPr>
          <w:fldChar w:fldCharType="end"/>
        </w:r>
      </w:hyperlink>
    </w:p>
    <w:p w14:paraId="01F87D01"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20" w:history="1">
        <w:r w:rsidR="00FF0184" w:rsidRPr="004368AF">
          <w:rPr>
            <w:rStyle w:val="Hyperlink"/>
            <w:rFonts w:asciiTheme="majorHAnsi" w:hAnsiTheme="majorHAnsi"/>
            <w:sz w:val="20"/>
            <w:szCs w:val="20"/>
            <w:lang w:val="es-ES"/>
          </w:rPr>
          <w:t>B.</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El juicio y la pena de muerte</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_Toc90298920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9</w:t>
        </w:r>
        <w:r w:rsidR="00FF0184" w:rsidRPr="004368AF">
          <w:rPr>
            <w:rFonts w:asciiTheme="majorHAnsi" w:hAnsiTheme="majorHAnsi"/>
            <w:webHidden/>
            <w:sz w:val="20"/>
            <w:szCs w:val="20"/>
          </w:rPr>
          <w:fldChar w:fldCharType="end"/>
        </w:r>
      </w:hyperlink>
    </w:p>
    <w:p w14:paraId="34E04623"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21" w:history="1">
        <w:r w:rsidR="00FF0184" w:rsidRPr="004368AF">
          <w:rPr>
            <w:rStyle w:val="Hyperlink"/>
            <w:rFonts w:asciiTheme="majorHAnsi" w:hAnsiTheme="majorHAnsi"/>
            <w:sz w:val="20"/>
            <w:szCs w:val="20"/>
            <w:lang w:val="es-ES"/>
          </w:rPr>
          <w:t>C.</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Actuaciones poscondenatorias</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_Toc90298921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9</w:t>
        </w:r>
        <w:r w:rsidR="00FF0184" w:rsidRPr="004368AF">
          <w:rPr>
            <w:rFonts w:asciiTheme="majorHAnsi" w:hAnsiTheme="majorHAnsi"/>
            <w:webHidden/>
            <w:sz w:val="20"/>
            <w:szCs w:val="20"/>
          </w:rPr>
          <w:fldChar w:fldCharType="end"/>
        </w:r>
      </w:hyperlink>
    </w:p>
    <w:p w14:paraId="1AEF7E18"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22" w:history="1">
        <w:r w:rsidR="00FF0184" w:rsidRPr="004368AF">
          <w:rPr>
            <w:rStyle w:val="Hyperlink"/>
            <w:rFonts w:asciiTheme="majorHAnsi" w:hAnsiTheme="majorHAnsi"/>
            <w:sz w:val="20"/>
            <w:szCs w:val="20"/>
            <w:lang w:val="es-ES"/>
          </w:rPr>
          <w:t>D.</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Actuaciones de hábeas corpus en instancias federales</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_Toc90298922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10</w:t>
        </w:r>
        <w:r w:rsidR="00FF0184" w:rsidRPr="004368AF">
          <w:rPr>
            <w:rFonts w:asciiTheme="majorHAnsi" w:hAnsiTheme="majorHAnsi"/>
            <w:webHidden/>
            <w:sz w:val="20"/>
            <w:szCs w:val="20"/>
          </w:rPr>
          <w:fldChar w:fldCharType="end"/>
        </w:r>
      </w:hyperlink>
    </w:p>
    <w:p w14:paraId="70C50CDF"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23" w:history="1">
        <w:r w:rsidR="00FF0184" w:rsidRPr="004368AF">
          <w:rPr>
            <w:rStyle w:val="Hyperlink"/>
            <w:rFonts w:asciiTheme="majorHAnsi" w:hAnsiTheme="majorHAnsi"/>
            <w:sz w:val="20"/>
            <w:szCs w:val="20"/>
            <w:lang w:val="es-ES"/>
          </w:rPr>
          <w:t>E.</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Método de ejecución</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_Toc90298923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12</w:t>
        </w:r>
        <w:r w:rsidR="00FF0184" w:rsidRPr="004368AF">
          <w:rPr>
            <w:rFonts w:asciiTheme="majorHAnsi" w:hAnsiTheme="majorHAnsi"/>
            <w:webHidden/>
            <w:sz w:val="20"/>
            <w:szCs w:val="20"/>
          </w:rPr>
          <w:fldChar w:fldCharType="end"/>
        </w:r>
      </w:hyperlink>
    </w:p>
    <w:p w14:paraId="528BC304" w14:textId="77777777" w:rsidR="00FF0184" w:rsidRPr="004368AF" w:rsidRDefault="007B36C9">
      <w:pPr>
        <w:pStyle w:val="TOC1"/>
        <w:rPr>
          <w:rFonts w:eastAsiaTheme="minorEastAsia" w:cstheme="minorBidi"/>
          <w:b w:val="0"/>
          <w:bdr w:val="none" w:sz="0" w:space="0" w:color="auto"/>
          <w:lang w:val="es-US" w:eastAsia="zh-CN"/>
        </w:rPr>
      </w:pPr>
      <w:hyperlink w:anchor="_Toc90298924" w:history="1">
        <w:r w:rsidR="00FF0184" w:rsidRPr="004368AF">
          <w:rPr>
            <w:rStyle w:val="Hyperlink"/>
            <w:lang w:val="es-ES"/>
          </w:rPr>
          <w:t>V.</w:t>
        </w:r>
        <w:r w:rsidR="00FF0184" w:rsidRPr="004368AF">
          <w:rPr>
            <w:rFonts w:eastAsiaTheme="minorEastAsia" w:cstheme="minorBidi"/>
            <w:b w:val="0"/>
            <w:bdr w:val="none" w:sz="0" w:space="0" w:color="auto"/>
            <w:lang w:val="es-US" w:eastAsia="zh-CN"/>
          </w:rPr>
          <w:tab/>
        </w:r>
        <w:r w:rsidR="00FF0184" w:rsidRPr="004368AF">
          <w:rPr>
            <w:rStyle w:val="Hyperlink"/>
            <w:lang w:val="es-ES"/>
          </w:rPr>
          <w:t>ANÁLISIS DE DERECHO</w:t>
        </w:r>
        <w:r w:rsidR="00FF0184" w:rsidRPr="004368AF">
          <w:rPr>
            <w:webHidden/>
          </w:rPr>
          <w:tab/>
        </w:r>
        <w:r w:rsidR="00FF0184" w:rsidRPr="004368AF">
          <w:rPr>
            <w:webHidden/>
          </w:rPr>
          <w:fldChar w:fldCharType="begin"/>
        </w:r>
        <w:r w:rsidR="00FF0184" w:rsidRPr="004368AF">
          <w:rPr>
            <w:webHidden/>
          </w:rPr>
          <w:instrText xml:space="preserve"> PAGEREF _Toc90298924 \h </w:instrText>
        </w:r>
        <w:r w:rsidR="00FF0184" w:rsidRPr="004368AF">
          <w:rPr>
            <w:webHidden/>
          </w:rPr>
        </w:r>
        <w:r w:rsidR="00FF0184" w:rsidRPr="004368AF">
          <w:rPr>
            <w:webHidden/>
          </w:rPr>
          <w:fldChar w:fldCharType="separate"/>
        </w:r>
        <w:r w:rsidR="00FF0184" w:rsidRPr="004368AF">
          <w:rPr>
            <w:webHidden/>
          </w:rPr>
          <w:t>13</w:t>
        </w:r>
        <w:r w:rsidR="00FF0184" w:rsidRPr="004368AF">
          <w:rPr>
            <w:webHidden/>
          </w:rPr>
          <w:fldChar w:fldCharType="end"/>
        </w:r>
      </w:hyperlink>
    </w:p>
    <w:p w14:paraId="56C561F8"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25" w:history="1">
        <w:r w:rsidR="00FF0184" w:rsidRPr="004368AF">
          <w:rPr>
            <w:rStyle w:val="Hyperlink"/>
            <w:rFonts w:asciiTheme="majorHAnsi" w:hAnsiTheme="majorHAnsi"/>
            <w:sz w:val="20"/>
            <w:szCs w:val="20"/>
            <w:lang w:val="es-ES"/>
          </w:rPr>
          <w:t>A.</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Consideraciones preliminares</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_Toc90298925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13</w:t>
        </w:r>
        <w:r w:rsidR="00FF0184" w:rsidRPr="004368AF">
          <w:rPr>
            <w:rFonts w:asciiTheme="majorHAnsi" w:hAnsiTheme="majorHAnsi"/>
            <w:webHidden/>
            <w:sz w:val="20"/>
            <w:szCs w:val="20"/>
          </w:rPr>
          <w:fldChar w:fldCharType="end"/>
        </w:r>
      </w:hyperlink>
    </w:p>
    <w:p w14:paraId="6D4C480C"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26" w:history="1">
        <w:r w:rsidR="00FF0184" w:rsidRPr="004368AF">
          <w:rPr>
            <w:rStyle w:val="Hyperlink"/>
            <w:rFonts w:asciiTheme="majorHAnsi" w:hAnsiTheme="majorHAnsi"/>
            <w:sz w:val="20"/>
            <w:szCs w:val="20"/>
            <w:lang w:val="es-ES"/>
          </w:rPr>
          <w:t>B.</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Derecho de justicia y derecho a proceso regular</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_Toc90298926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14</w:t>
        </w:r>
        <w:r w:rsidR="00FF0184" w:rsidRPr="004368AF">
          <w:rPr>
            <w:rFonts w:asciiTheme="majorHAnsi" w:hAnsiTheme="majorHAnsi"/>
            <w:webHidden/>
            <w:sz w:val="20"/>
            <w:szCs w:val="20"/>
          </w:rPr>
          <w:fldChar w:fldCharType="end"/>
        </w:r>
      </w:hyperlink>
    </w:p>
    <w:p w14:paraId="2274F636" w14:textId="77777777" w:rsidR="00FF0184" w:rsidRPr="004368AF" w:rsidRDefault="007B36C9">
      <w:pPr>
        <w:pStyle w:val="TOC3"/>
        <w:rPr>
          <w:rFonts w:asciiTheme="majorHAnsi" w:eastAsiaTheme="minorEastAsia" w:hAnsiTheme="majorHAnsi" w:cstheme="minorBidi"/>
          <w:noProof/>
          <w:sz w:val="20"/>
          <w:szCs w:val="20"/>
          <w:bdr w:val="none" w:sz="0" w:space="0" w:color="auto"/>
          <w:lang w:val="es-US" w:eastAsia="zh-CN"/>
        </w:rPr>
      </w:pPr>
      <w:hyperlink w:anchor="_Toc90298927" w:history="1">
        <w:r w:rsidR="00FF0184" w:rsidRPr="004368AF">
          <w:rPr>
            <w:rStyle w:val="Hyperlink"/>
            <w:rFonts w:asciiTheme="majorHAnsi" w:hAnsiTheme="majorHAnsi"/>
            <w:noProof/>
            <w:sz w:val="20"/>
            <w:szCs w:val="20"/>
            <w:lang w:val="es-ES"/>
          </w:rPr>
          <w:t>1.</w:t>
        </w:r>
        <w:r w:rsidR="00FF0184" w:rsidRPr="004368AF">
          <w:rPr>
            <w:rFonts w:asciiTheme="majorHAnsi" w:eastAsiaTheme="minorEastAsia" w:hAnsiTheme="majorHAnsi" w:cstheme="minorBidi"/>
            <w:noProof/>
            <w:sz w:val="20"/>
            <w:szCs w:val="20"/>
            <w:bdr w:val="none" w:sz="0" w:space="0" w:color="auto"/>
            <w:lang w:val="es-US" w:eastAsia="zh-CN"/>
          </w:rPr>
          <w:tab/>
        </w:r>
        <w:r w:rsidR="00FF0184" w:rsidRPr="004368AF">
          <w:rPr>
            <w:rStyle w:val="Hyperlink"/>
            <w:rFonts w:asciiTheme="majorHAnsi" w:hAnsiTheme="majorHAnsi"/>
            <w:noProof/>
            <w:sz w:val="20"/>
            <w:szCs w:val="20"/>
            <w:lang w:val="es-ES"/>
          </w:rPr>
          <w:t>Consideraciones generales sobre el derecho a la notificación consular</w:t>
        </w:r>
        <w:r w:rsidR="00FF0184" w:rsidRPr="004368AF">
          <w:rPr>
            <w:rFonts w:asciiTheme="majorHAnsi" w:hAnsiTheme="majorHAnsi"/>
            <w:noProof/>
            <w:webHidden/>
            <w:sz w:val="20"/>
            <w:szCs w:val="20"/>
          </w:rPr>
          <w:tab/>
        </w:r>
        <w:r w:rsidR="00FF0184" w:rsidRPr="004368AF">
          <w:rPr>
            <w:rFonts w:asciiTheme="majorHAnsi" w:hAnsiTheme="majorHAnsi"/>
            <w:noProof/>
            <w:webHidden/>
            <w:sz w:val="20"/>
            <w:szCs w:val="20"/>
          </w:rPr>
          <w:fldChar w:fldCharType="begin"/>
        </w:r>
        <w:r w:rsidR="00FF0184" w:rsidRPr="004368AF">
          <w:rPr>
            <w:rFonts w:asciiTheme="majorHAnsi" w:hAnsiTheme="majorHAnsi"/>
            <w:noProof/>
            <w:webHidden/>
            <w:sz w:val="20"/>
            <w:szCs w:val="20"/>
          </w:rPr>
          <w:instrText xml:space="preserve"> PAGEREF _Toc90298927 \h </w:instrText>
        </w:r>
        <w:r w:rsidR="00FF0184" w:rsidRPr="004368AF">
          <w:rPr>
            <w:rFonts w:asciiTheme="majorHAnsi" w:hAnsiTheme="majorHAnsi"/>
            <w:noProof/>
            <w:webHidden/>
            <w:sz w:val="20"/>
            <w:szCs w:val="20"/>
          </w:rPr>
        </w:r>
        <w:r w:rsidR="00FF0184" w:rsidRPr="004368AF">
          <w:rPr>
            <w:rFonts w:asciiTheme="majorHAnsi" w:hAnsiTheme="majorHAnsi"/>
            <w:noProof/>
            <w:webHidden/>
            <w:sz w:val="20"/>
            <w:szCs w:val="20"/>
          </w:rPr>
          <w:fldChar w:fldCharType="separate"/>
        </w:r>
        <w:r w:rsidR="00FF0184" w:rsidRPr="004368AF">
          <w:rPr>
            <w:rFonts w:asciiTheme="majorHAnsi" w:hAnsiTheme="majorHAnsi"/>
            <w:noProof/>
            <w:webHidden/>
            <w:sz w:val="20"/>
            <w:szCs w:val="20"/>
          </w:rPr>
          <w:t>14</w:t>
        </w:r>
        <w:r w:rsidR="00FF0184" w:rsidRPr="004368AF">
          <w:rPr>
            <w:rFonts w:asciiTheme="majorHAnsi" w:hAnsiTheme="majorHAnsi"/>
            <w:noProof/>
            <w:webHidden/>
            <w:sz w:val="20"/>
            <w:szCs w:val="20"/>
          </w:rPr>
          <w:fldChar w:fldCharType="end"/>
        </w:r>
      </w:hyperlink>
    </w:p>
    <w:p w14:paraId="7C164736" w14:textId="77777777" w:rsidR="00FF0184" w:rsidRPr="004368AF" w:rsidRDefault="007B36C9">
      <w:pPr>
        <w:pStyle w:val="TOC3"/>
        <w:rPr>
          <w:rFonts w:asciiTheme="majorHAnsi" w:eastAsiaTheme="minorEastAsia" w:hAnsiTheme="majorHAnsi" w:cstheme="minorBidi"/>
          <w:noProof/>
          <w:sz w:val="20"/>
          <w:szCs w:val="20"/>
          <w:bdr w:val="none" w:sz="0" w:space="0" w:color="auto"/>
          <w:lang w:val="es-US" w:eastAsia="zh-CN"/>
        </w:rPr>
      </w:pPr>
      <w:hyperlink w:anchor="_Toc90298928" w:history="1">
        <w:r w:rsidR="00FF0184" w:rsidRPr="004368AF">
          <w:rPr>
            <w:rStyle w:val="Hyperlink"/>
            <w:rFonts w:asciiTheme="majorHAnsi" w:hAnsiTheme="majorHAnsi"/>
            <w:noProof/>
            <w:sz w:val="20"/>
            <w:szCs w:val="20"/>
            <w:lang w:val="es-ES"/>
          </w:rPr>
          <w:t>2.</w:t>
        </w:r>
        <w:r w:rsidR="00FF0184" w:rsidRPr="004368AF">
          <w:rPr>
            <w:rFonts w:asciiTheme="majorHAnsi" w:eastAsiaTheme="minorEastAsia" w:hAnsiTheme="majorHAnsi" w:cstheme="minorBidi"/>
            <w:noProof/>
            <w:sz w:val="20"/>
            <w:szCs w:val="20"/>
            <w:bdr w:val="none" w:sz="0" w:space="0" w:color="auto"/>
            <w:lang w:val="es-US" w:eastAsia="zh-CN"/>
          </w:rPr>
          <w:tab/>
        </w:r>
        <w:r w:rsidR="00FF0184" w:rsidRPr="004368AF">
          <w:rPr>
            <w:rStyle w:val="Hyperlink"/>
            <w:rFonts w:asciiTheme="majorHAnsi" w:hAnsiTheme="majorHAnsi"/>
            <w:noProof/>
            <w:sz w:val="20"/>
            <w:szCs w:val="20"/>
            <w:lang w:val="es-ES"/>
          </w:rPr>
          <w:t>Análisis del caso</w:t>
        </w:r>
        <w:r w:rsidR="00FF0184" w:rsidRPr="004368AF">
          <w:rPr>
            <w:rFonts w:asciiTheme="majorHAnsi" w:hAnsiTheme="majorHAnsi"/>
            <w:noProof/>
            <w:webHidden/>
            <w:sz w:val="20"/>
            <w:szCs w:val="20"/>
          </w:rPr>
          <w:tab/>
        </w:r>
        <w:r w:rsidR="00FF0184" w:rsidRPr="004368AF">
          <w:rPr>
            <w:rFonts w:asciiTheme="majorHAnsi" w:hAnsiTheme="majorHAnsi"/>
            <w:noProof/>
            <w:webHidden/>
            <w:sz w:val="20"/>
            <w:szCs w:val="20"/>
          </w:rPr>
          <w:fldChar w:fldCharType="begin"/>
        </w:r>
        <w:r w:rsidR="00FF0184" w:rsidRPr="004368AF">
          <w:rPr>
            <w:rFonts w:asciiTheme="majorHAnsi" w:hAnsiTheme="majorHAnsi"/>
            <w:noProof/>
            <w:webHidden/>
            <w:sz w:val="20"/>
            <w:szCs w:val="20"/>
          </w:rPr>
          <w:instrText xml:space="preserve"> PAGEREF _Toc90298928 \h </w:instrText>
        </w:r>
        <w:r w:rsidR="00FF0184" w:rsidRPr="004368AF">
          <w:rPr>
            <w:rFonts w:asciiTheme="majorHAnsi" w:hAnsiTheme="majorHAnsi"/>
            <w:noProof/>
            <w:webHidden/>
            <w:sz w:val="20"/>
            <w:szCs w:val="20"/>
          </w:rPr>
        </w:r>
        <w:r w:rsidR="00FF0184" w:rsidRPr="004368AF">
          <w:rPr>
            <w:rFonts w:asciiTheme="majorHAnsi" w:hAnsiTheme="majorHAnsi"/>
            <w:noProof/>
            <w:webHidden/>
            <w:sz w:val="20"/>
            <w:szCs w:val="20"/>
          </w:rPr>
          <w:fldChar w:fldCharType="separate"/>
        </w:r>
        <w:r w:rsidR="00FF0184" w:rsidRPr="004368AF">
          <w:rPr>
            <w:rFonts w:asciiTheme="majorHAnsi" w:hAnsiTheme="majorHAnsi"/>
            <w:noProof/>
            <w:webHidden/>
            <w:sz w:val="20"/>
            <w:szCs w:val="20"/>
          </w:rPr>
          <w:t>15</w:t>
        </w:r>
        <w:r w:rsidR="00FF0184" w:rsidRPr="004368AF">
          <w:rPr>
            <w:rFonts w:asciiTheme="majorHAnsi" w:hAnsiTheme="majorHAnsi"/>
            <w:noProof/>
            <w:webHidden/>
            <w:sz w:val="20"/>
            <w:szCs w:val="20"/>
          </w:rPr>
          <w:fldChar w:fldCharType="end"/>
        </w:r>
      </w:hyperlink>
    </w:p>
    <w:p w14:paraId="7DB6DB66" w14:textId="77777777" w:rsidR="00FF0184" w:rsidRPr="004368AF" w:rsidRDefault="007B36C9">
      <w:pPr>
        <w:pStyle w:val="TOC3"/>
        <w:rPr>
          <w:rFonts w:asciiTheme="majorHAnsi" w:eastAsiaTheme="minorEastAsia" w:hAnsiTheme="majorHAnsi" w:cstheme="minorBidi"/>
          <w:noProof/>
          <w:sz w:val="20"/>
          <w:szCs w:val="20"/>
          <w:bdr w:val="none" w:sz="0" w:space="0" w:color="auto"/>
          <w:lang w:val="es-US" w:eastAsia="zh-CN"/>
        </w:rPr>
      </w:pPr>
      <w:hyperlink w:anchor="_Toc90298929" w:history="1">
        <w:r w:rsidR="00FF0184" w:rsidRPr="004368AF">
          <w:rPr>
            <w:rStyle w:val="Hyperlink"/>
            <w:rFonts w:asciiTheme="majorHAnsi" w:hAnsiTheme="majorHAnsi"/>
            <w:noProof/>
            <w:sz w:val="20"/>
            <w:szCs w:val="20"/>
            <w:lang w:val="es-ES"/>
          </w:rPr>
          <w:t>3.</w:t>
        </w:r>
        <w:r w:rsidR="00FF0184" w:rsidRPr="004368AF">
          <w:rPr>
            <w:rFonts w:asciiTheme="majorHAnsi" w:eastAsiaTheme="minorEastAsia" w:hAnsiTheme="majorHAnsi" w:cstheme="minorBidi"/>
            <w:noProof/>
            <w:sz w:val="20"/>
            <w:szCs w:val="20"/>
            <w:bdr w:val="none" w:sz="0" w:space="0" w:color="auto"/>
            <w:lang w:val="es-US" w:eastAsia="zh-CN"/>
          </w:rPr>
          <w:tab/>
        </w:r>
        <w:r w:rsidR="00FF0184" w:rsidRPr="004368AF">
          <w:rPr>
            <w:rStyle w:val="Hyperlink"/>
            <w:rFonts w:asciiTheme="majorHAnsi" w:hAnsiTheme="majorHAnsi"/>
            <w:noProof/>
            <w:sz w:val="20"/>
            <w:szCs w:val="20"/>
            <w:lang w:val="es-ES"/>
          </w:rPr>
          <w:t>Consideraciones generales sobre la asistencia ineficaz del abogado de oficio</w:t>
        </w:r>
        <w:r w:rsidR="00FF0184" w:rsidRPr="004368AF">
          <w:rPr>
            <w:rFonts w:asciiTheme="majorHAnsi" w:hAnsiTheme="majorHAnsi"/>
            <w:noProof/>
            <w:webHidden/>
            <w:sz w:val="20"/>
            <w:szCs w:val="20"/>
          </w:rPr>
          <w:tab/>
        </w:r>
        <w:r w:rsidR="00FF0184" w:rsidRPr="004368AF">
          <w:rPr>
            <w:rFonts w:asciiTheme="majorHAnsi" w:hAnsiTheme="majorHAnsi"/>
            <w:noProof/>
            <w:webHidden/>
            <w:sz w:val="20"/>
            <w:szCs w:val="20"/>
          </w:rPr>
          <w:fldChar w:fldCharType="begin"/>
        </w:r>
        <w:r w:rsidR="00FF0184" w:rsidRPr="004368AF">
          <w:rPr>
            <w:rFonts w:asciiTheme="majorHAnsi" w:hAnsiTheme="majorHAnsi"/>
            <w:noProof/>
            <w:webHidden/>
            <w:sz w:val="20"/>
            <w:szCs w:val="20"/>
          </w:rPr>
          <w:instrText xml:space="preserve"> PAGEREF _Toc90298929 \h </w:instrText>
        </w:r>
        <w:r w:rsidR="00FF0184" w:rsidRPr="004368AF">
          <w:rPr>
            <w:rFonts w:asciiTheme="majorHAnsi" w:hAnsiTheme="majorHAnsi"/>
            <w:noProof/>
            <w:webHidden/>
            <w:sz w:val="20"/>
            <w:szCs w:val="20"/>
          </w:rPr>
        </w:r>
        <w:r w:rsidR="00FF0184" w:rsidRPr="004368AF">
          <w:rPr>
            <w:rFonts w:asciiTheme="majorHAnsi" w:hAnsiTheme="majorHAnsi"/>
            <w:noProof/>
            <w:webHidden/>
            <w:sz w:val="20"/>
            <w:szCs w:val="20"/>
          </w:rPr>
          <w:fldChar w:fldCharType="separate"/>
        </w:r>
        <w:r w:rsidR="00FF0184" w:rsidRPr="004368AF">
          <w:rPr>
            <w:rFonts w:asciiTheme="majorHAnsi" w:hAnsiTheme="majorHAnsi"/>
            <w:noProof/>
            <w:webHidden/>
            <w:sz w:val="20"/>
            <w:szCs w:val="20"/>
          </w:rPr>
          <w:t>15</w:t>
        </w:r>
        <w:r w:rsidR="00FF0184" w:rsidRPr="004368AF">
          <w:rPr>
            <w:rFonts w:asciiTheme="majorHAnsi" w:hAnsiTheme="majorHAnsi"/>
            <w:noProof/>
            <w:webHidden/>
            <w:sz w:val="20"/>
            <w:szCs w:val="20"/>
          </w:rPr>
          <w:fldChar w:fldCharType="end"/>
        </w:r>
      </w:hyperlink>
    </w:p>
    <w:p w14:paraId="6B0BD0C3" w14:textId="77777777" w:rsidR="00FF0184" w:rsidRPr="004368AF" w:rsidRDefault="007B36C9">
      <w:pPr>
        <w:pStyle w:val="TOC3"/>
        <w:rPr>
          <w:rFonts w:asciiTheme="majorHAnsi" w:eastAsiaTheme="minorEastAsia" w:hAnsiTheme="majorHAnsi" w:cstheme="minorBidi"/>
          <w:noProof/>
          <w:sz w:val="20"/>
          <w:szCs w:val="20"/>
          <w:bdr w:val="none" w:sz="0" w:space="0" w:color="auto"/>
          <w:lang w:val="es-US" w:eastAsia="zh-CN"/>
        </w:rPr>
      </w:pPr>
      <w:hyperlink w:anchor="_Toc90298930" w:history="1">
        <w:r w:rsidR="00FF0184" w:rsidRPr="004368AF">
          <w:rPr>
            <w:rStyle w:val="Hyperlink"/>
            <w:rFonts w:asciiTheme="majorHAnsi" w:hAnsiTheme="majorHAnsi"/>
            <w:noProof/>
            <w:sz w:val="20"/>
            <w:szCs w:val="20"/>
            <w:lang w:val="es-ES"/>
          </w:rPr>
          <w:t>4.</w:t>
        </w:r>
        <w:r w:rsidR="00FF0184" w:rsidRPr="004368AF">
          <w:rPr>
            <w:rFonts w:asciiTheme="majorHAnsi" w:eastAsiaTheme="minorEastAsia" w:hAnsiTheme="majorHAnsi" w:cstheme="minorBidi"/>
            <w:noProof/>
            <w:sz w:val="20"/>
            <w:szCs w:val="20"/>
            <w:bdr w:val="none" w:sz="0" w:space="0" w:color="auto"/>
            <w:lang w:val="es-US" w:eastAsia="zh-CN"/>
          </w:rPr>
          <w:tab/>
        </w:r>
        <w:r w:rsidR="00FF0184" w:rsidRPr="004368AF">
          <w:rPr>
            <w:rStyle w:val="Hyperlink"/>
            <w:rFonts w:asciiTheme="majorHAnsi" w:hAnsiTheme="majorHAnsi"/>
            <w:noProof/>
            <w:sz w:val="20"/>
            <w:szCs w:val="20"/>
            <w:lang w:val="es-ES"/>
          </w:rPr>
          <w:t>Análisis del caso</w:t>
        </w:r>
        <w:r w:rsidR="00FF0184" w:rsidRPr="004368AF">
          <w:rPr>
            <w:rFonts w:asciiTheme="majorHAnsi" w:hAnsiTheme="majorHAnsi"/>
            <w:noProof/>
            <w:webHidden/>
            <w:sz w:val="20"/>
            <w:szCs w:val="20"/>
          </w:rPr>
          <w:tab/>
        </w:r>
        <w:r w:rsidR="00FF0184" w:rsidRPr="004368AF">
          <w:rPr>
            <w:rFonts w:asciiTheme="majorHAnsi" w:hAnsiTheme="majorHAnsi"/>
            <w:noProof/>
            <w:webHidden/>
            <w:sz w:val="20"/>
            <w:szCs w:val="20"/>
          </w:rPr>
          <w:fldChar w:fldCharType="begin"/>
        </w:r>
        <w:r w:rsidR="00FF0184" w:rsidRPr="004368AF">
          <w:rPr>
            <w:rFonts w:asciiTheme="majorHAnsi" w:hAnsiTheme="majorHAnsi"/>
            <w:noProof/>
            <w:webHidden/>
            <w:sz w:val="20"/>
            <w:szCs w:val="20"/>
          </w:rPr>
          <w:instrText xml:space="preserve"> PAGEREF _Toc90298930 \h </w:instrText>
        </w:r>
        <w:r w:rsidR="00FF0184" w:rsidRPr="004368AF">
          <w:rPr>
            <w:rFonts w:asciiTheme="majorHAnsi" w:hAnsiTheme="majorHAnsi"/>
            <w:noProof/>
            <w:webHidden/>
            <w:sz w:val="20"/>
            <w:szCs w:val="20"/>
          </w:rPr>
        </w:r>
        <w:r w:rsidR="00FF0184" w:rsidRPr="004368AF">
          <w:rPr>
            <w:rFonts w:asciiTheme="majorHAnsi" w:hAnsiTheme="majorHAnsi"/>
            <w:noProof/>
            <w:webHidden/>
            <w:sz w:val="20"/>
            <w:szCs w:val="20"/>
          </w:rPr>
          <w:fldChar w:fldCharType="separate"/>
        </w:r>
        <w:r w:rsidR="00FF0184" w:rsidRPr="004368AF">
          <w:rPr>
            <w:rFonts w:asciiTheme="majorHAnsi" w:hAnsiTheme="majorHAnsi"/>
            <w:noProof/>
            <w:webHidden/>
            <w:sz w:val="20"/>
            <w:szCs w:val="20"/>
          </w:rPr>
          <w:t>16</w:t>
        </w:r>
        <w:r w:rsidR="00FF0184" w:rsidRPr="004368AF">
          <w:rPr>
            <w:rFonts w:asciiTheme="majorHAnsi" w:hAnsiTheme="majorHAnsi"/>
            <w:noProof/>
            <w:webHidden/>
            <w:sz w:val="20"/>
            <w:szCs w:val="20"/>
          </w:rPr>
          <w:fldChar w:fldCharType="end"/>
        </w:r>
      </w:hyperlink>
    </w:p>
    <w:p w14:paraId="3F54BAA8" w14:textId="77777777" w:rsidR="00FF0184" w:rsidRPr="004368AF" w:rsidRDefault="007B36C9">
      <w:pPr>
        <w:pStyle w:val="TOC3"/>
        <w:rPr>
          <w:rFonts w:asciiTheme="majorHAnsi" w:eastAsiaTheme="minorEastAsia" w:hAnsiTheme="majorHAnsi" w:cstheme="minorBidi"/>
          <w:noProof/>
          <w:sz w:val="20"/>
          <w:szCs w:val="20"/>
          <w:bdr w:val="none" w:sz="0" w:space="0" w:color="auto"/>
          <w:lang w:val="es-US" w:eastAsia="zh-CN"/>
        </w:rPr>
      </w:pPr>
      <w:hyperlink w:anchor="_Toc90298931" w:history="1">
        <w:r w:rsidR="00FF0184" w:rsidRPr="004368AF">
          <w:rPr>
            <w:rStyle w:val="Hyperlink"/>
            <w:rFonts w:asciiTheme="majorHAnsi" w:hAnsiTheme="majorHAnsi"/>
            <w:noProof/>
            <w:sz w:val="20"/>
            <w:szCs w:val="20"/>
            <w:lang w:val="es-ES"/>
          </w:rPr>
          <w:t>5.</w:t>
        </w:r>
        <w:r w:rsidR="00FF0184" w:rsidRPr="004368AF">
          <w:rPr>
            <w:rFonts w:asciiTheme="majorHAnsi" w:eastAsiaTheme="minorEastAsia" w:hAnsiTheme="majorHAnsi" w:cstheme="minorBidi"/>
            <w:noProof/>
            <w:sz w:val="20"/>
            <w:szCs w:val="20"/>
            <w:bdr w:val="none" w:sz="0" w:space="0" w:color="auto"/>
            <w:lang w:val="es-US" w:eastAsia="zh-CN"/>
          </w:rPr>
          <w:tab/>
        </w:r>
        <w:r w:rsidR="00FF0184" w:rsidRPr="004368AF">
          <w:rPr>
            <w:rStyle w:val="Hyperlink"/>
            <w:rFonts w:asciiTheme="majorHAnsi" w:hAnsiTheme="majorHAnsi"/>
            <w:noProof/>
            <w:sz w:val="20"/>
            <w:szCs w:val="20"/>
            <w:lang w:val="es-ES"/>
          </w:rPr>
          <w:t>Confesión obtenida mediante coacción y mala conducta de la fiscalía</w:t>
        </w:r>
        <w:r w:rsidR="00FF0184" w:rsidRPr="004368AF">
          <w:rPr>
            <w:rFonts w:asciiTheme="majorHAnsi" w:hAnsiTheme="majorHAnsi"/>
            <w:noProof/>
            <w:webHidden/>
            <w:sz w:val="20"/>
            <w:szCs w:val="20"/>
          </w:rPr>
          <w:tab/>
        </w:r>
        <w:r w:rsidR="00FF0184" w:rsidRPr="004368AF">
          <w:rPr>
            <w:rFonts w:asciiTheme="majorHAnsi" w:hAnsiTheme="majorHAnsi"/>
            <w:noProof/>
            <w:webHidden/>
            <w:sz w:val="20"/>
            <w:szCs w:val="20"/>
          </w:rPr>
          <w:fldChar w:fldCharType="begin"/>
        </w:r>
        <w:r w:rsidR="00FF0184" w:rsidRPr="004368AF">
          <w:rPr>
            <w:rFonts w:asciiTheme="majorHAnsi" w:hAnsiTheme="majorHAnsi"/>
            <w:noProof/>
            <w:webHidden/>
            <w:sz w:val="20"/>
            <w:szCs w:val="20"/>
          </w:rPr>
          <w:instrText xml:space="preserve"> PAGEREF _Toc90298931 \h </w:instrText>
        </w:r>
        <w:r w:rsidR="00FF0184" w:rsidRPr="004368AF">
          <w:rPr>
            <w:rFonts w:asciiTheme="majorHAnsi" w:hAnsiTheme="majorHAnsi"/>
            <w:noProof/>
            <w:webHidden/>
            <w:sz w:val="20"/>
            <w:szCs w:val="20"/>
          </w:rPr>
        </w:r>
        <w:r w:rsidR="00FF0184" w:rsidRPr="004368AF">
          <w:rPr>
            <w:rFonts w:asciiTheme="majorHAnsi" w:hAnsiTheme="majorHAnsi"/>
            <w:noProof/>
            <w:webHidden/>
            <w:sz w:val="20"/>
            <w:szCs w:val="20"/>
          </w:rPr>
          <w:fldChar w:fldCharType="separate"/>
        </w:r>
        <w:r w:rsidR="00FF0184" w:rsidRPr="004368AF">
          <w:rPr>
            <w:rFonts w:asciiTheme="majorHAnsi" w:hAnsiTheme="majorHAnsi"/>
            <w:noProof/>
            <w:webHidden/>
            <w:sz w:val="20"/>
            <w:szCs w:val="20"/>
          </w:rPr>
          <w:t>17</w:t>
        </w:r>
        <w:r w:rsidR="00FF0184" w:rsidRPr="004368AF">
          <w:rPr>
            <w:rFonts w:asciiTheme="majorHAnsi" w:hAnsiTheme="majorHAnsi"/>
            <w:noProof/>
            <w:webHidden/>
            <w:sz w:val="20"/>
            <w:szCs w:val="20"/>
          </w:rPr>
          <w:fldChar w:fldCharType="end"/>
        </w:r>
      </w:hyperlink>
    </w:p>
    <w:p w14:paraId="30899593"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32" w:history="1">
        <w:r w:rsidR="00FF0184" w:rsidRPr="004368AF">
          <w:rPr>
            <w:rStyle w:val="Hyperlink"/>
            <w:rFonts w:asciiTheme="majorHAnsi" w:hAnsiTheme="majorHAnsi"/>
            <w:sz w:val="20"/>
            <w:szCs w:val="20"/>
            <w:lang w:val="es-ES"/>
          </w:rPr>
          <w:t>C.</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Derecho a la protección contra el arresto arbitrario y derecho de igualdad ante la ley</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_Toc90298932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17</w:t>
        </w:r>
        <w:r w:rsidR="00FF0184" w:rsidRPr="004368AF">
          <w:rPr>
            <w:rFonts w:asciiTheme="majorHAnsi" w:hAnsiTheme="majorHAnsi"/>
            <w:webHidden/>
            <w:sz w:val="20"/>
            <w:szCs w:val="20"/>
          </w:rPr>
          <w:fldChar w:fldCharType="end"/>
        </w:r>
      </w:hyperlink>
    </w:p>
    <w:p w14:paraId="293BFA60"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33" w:history="1">
        <w:r w:rsidR="00FF0184" w:rsidRPr="004368AF">
          <w:rPr>
            <w:rStyle w:val="Hyperlink"/>
            <w:rFonts w:asciiTheme="majorHAnsi" w:hAnsiTheme="majorHAnsi"/>
            <w:sz w:val="20"/>
            <w:szCs w:val="20"/>
            <w:lang w:val="es-ES"/>
          </w:rPr>
          <w:t>D.</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Derecho a no recibir un castigo cruel, infamante o inusitado</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_Toc90298933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20</w:t>
        </w:r>
        <w:r w:rsidR="00FF0184" w:rsidRPr="004368AF">
          <w:rPr>
            <w:rFonts w:asciiTheme="majorHAnsi" w:hAnsiTheme="majorHAnsi"/>
            <w:webHidden/>
            <w:sz w:val="20"/>
            <w:szCs w:val="20"/>
          </w:rPr>
          <w:fldChar w:fldCharType="end"/>
        </w:r>
      </w:hyperlink>
    </w:p>
    <w:p w14:paraId="7D0103C5" w14:textId="77777777" w:rsidR="00FF0184" w:rsidRPr="004368AF" w:rsidRDefault="007B36C9">
      <w:pPr>
        <w:pStyle w:val="TOC3"/>
        <w:rPr>
          <w:rFonts w:asciiTheme="majorHAnsi" w:eastAsiaTheme="minorEastAsia" w:hAnsiTheme="majorHAnsi" w:cstheme="minorBidi"/>
          <w:noProof/>
          <w:sz w:val="20"/>
          <w:szCs w:val="20"/>
          <w:bdr w:val="none" w:sz="0" w:space="0" w:color="auto"/>
          <w:lang w:val="es-US" w:eastAsia="zh-CN"/>
        </w:rPr>
      </w:pPr>
      <w:hyperlink w:anchor="_Toc90298934" w:history="1">
        <w:r w:rsidR="00FF0184" w:rsidRPr="004368AF">
          <w:rPr>
            <w:rStyle w:val="Hyperlink"/>
            <w:rFonts w:asciiTheme="majorHAnsi" w:hAnsiTheme="majorHAnsi"/>
            <w:noProof/>
            <w:sz w:val="20"/>
            <w:szCs w:val="20"/>
            <w:lang w:val="es-ES"/>
          </w:rPr>
          <w:t>1.</w:t>
        </w:r>
        <w:r w:rsidR="00FF0184" w:rsidRPr="004368AF">
          <w:rPr>
            <w:rFonts w:asciiTheme="majorHAnsi" w:eastAsiaTheme="minorEastAsia" w:hAnsiTheme="majorHAnsi" w:cstheme="minorBidi"/>
            <w:noProof/>
            <w:sz w:val="20"/>
            <w:szCs w:val="20"/>
            <w:bdr w:val="none" w:sz="0" w:space="0" w:color="auto"/>
            <w:lang w:val="es-US" w:eastAsia="zh-CN"/>
          </w:rPr>
          <w:tab/>
        </w:r>
        <w:r w:rsidR="00FF0184" w:rsidRPr="004368AF">
          <w:rPr>
            <w:rStyle w:val="Hyperlink"/>
            <w:rFonts w:asciiTheme="majorHAnsi" w:hAnsiTheme="majorHAnsi"/>
            <w:noProof/>
            <w:sz w:val="20"/>
            <w:szCs w:val="20"/>
            <w:lang w:val="es-ES"/>
          </w:rPr>
          <w:t>Método de ejecución</w:t>
        </w:r>
        <w:r w:rsidR="00FF0184" w:rsidRPr="004368AF">
          <w:rPr>
            <w:rFonts w:asciiTheme="majorHAnsi" w:hAnsiTheme="majorHAnsi"/>
            <w:noProof/>
            <w:webHidden/>
            <w:sz w:val="20"/>
            <w:szCs w:val="20"/>
          </w:rPr>
          <w:tab/>
        </w:r>
        <w:r w:rsidR="00FF0184" w:rsidRPr="004368AF">
          <w:rPr>
            <w:rFonts w:asciiTheme="majorHAnsi" w:hAnsiTheme="majorHAnsi"/>
            <w:noProof/>
            <w:webHidden/>
            <w:sz w:val="20"/>
            <w:szCs w:val="20"/>
          </w:rPr>
          <w:fldChar w:fldCharType="begin"/>
        </w:r>
        <w:r w:rsidR="00FF0184" w:rsidRPr="004368AF">
          <w:rPr>
            <w:rFonts w:asciiTheme="majorHAnsi" w:hAnsiTheme="majorHAnsi"/>
            <w:noProof/>
            <w:webHidden/>
            <w:sz w:val="20"/>
            <w:szCs w:val="20"/>
          </w:rPr>
          <w:instrText xml:space="preserve"> PAGEREF _Toc90298934 \h </w:instrText>
        </w:r>
        <w:r w:rsidR="00FF0184" w:rsidRPr="004368AF">
          <w:rPr>
            <w:rFonts w:asciiTheme="majorHAnsi" w:hAnsiTheme="majorHAnsi"/>
            <w:noProof/>
            <w:webHidden/>
            <w:sz w:val="20"/>
            <w:szCs w:val="20"/>
          </w:rPr>
        </w:r>
        <w:r w:rsidR="00FF0184" w:rsidRPr="004368AF">
          <w:rPr>
            <w:rFonts w:asciiTheme="majorHAnsi" w:hAnsiTheme="majorHAnsi"/>
            <w:noProof/>
            <w:webHidden/>
            <w:sz w:val="20"/>
            <w:szCs w:val="20"/>
          </w:rPr>
          <w:fldChar w:fldCharType="separate"/>
        </w:r>
        <w:r w:rsidR="00FF0184" w:rsidRPr="004368AF">
          <w:rPr>
            <w:rFonts w:asciiTheme="majorHAnsi" w:hAnsiTheme="majorHAnsi"/>
            <w:noProof/>
            <w:webHidden/>
            <w:sz w:val="20"/>
            <w:szCs w:val="20"/>
          </w:rPr>
          <w:t>20</w:t>
        </w:r>
        <w:r w:rsidR="00FF0184" w:rsidRPr="004368AF">
          <w:rPr>
            <w:rFonts w:asciiTheme="majorHAnsi" w:hAnsiTheme="majorHAnsi"/>
            <w:noProof/>
            <w:webHidden/>
            <w:sz w:val="20"/>
            <w:szCs w:val="20"/>
          </w:rPr>
          <w:fldChar w:fldCharType="end"/>
        </w:r>
      </w:hyperlink>
    </w:p>
    <w:p w14:paraId="2AFAA709" w14:textId="77777777" w:rsidR="00FF0184" w:rsidRPr="004368AF" w:rsidRDefault="007B36C9">
      <w:pPr>
        <w:pStyle w:val="TOC3"/>
        <w:rPr>
          <w:rFonts w:asciiTheme="majorHAnsi" w:eastAsiaTheme="minorEastAsia" w:hAnsiTheme="majorHAnsi" w:cstheme="minorBidi"/>
          <w:noProof/>
          <w:sz w:val="20"/>
          <w:szCs w:val="20"/>
          <w:bdr w:val="none" w:sz="0" w:space="0" w:color="auto"/>
          <w:lang w:val="es-US" w:eastAsia="zh-CN"/>
        </w:rPr>
      </w:pPr>
      <w:hyperlink w:anchor="_Toc90298935" w:history="1">
        <w:r w:rsidR="00FF0184" w:rsidRPr="004368AF">
          <w:rPr>
            <w:rStyle w:val="Hyperlink"/>
            <w:rFonts w:asciiTheme="majorHAnsi" w:hAnsiTheme="majorHAnsi"/>
            <w:noProof/>
            <w:sz w:val="20"/>
            <w:szCs w:val="20"/>
            <w:lang w:val="es-ES"/>
          </w:rPr>
          <w:t>3.</w:t>
        </w:r>
        <w:r w:rsidR="00FF0184" w:rsidRPr="004368AF">
          <w:rPr>
            <w:rFonts w:asciiTheme="majorHAnsi" w:eastAsiaTheme="minorEastAsia" w:hAnsiTheme="majorHAnsi" w:cstheme="minorBidi"/>
            <w:noProof/>
            <w:sz w:val="20"/>
            <w:szCs w:val="20"/>
            <w:bdr w:val="none" w:sz="0" w:space="0" w:color="auto"/>
            <w:lang w:val="es-US" w:eastAsia="zh-CN"/>
          </w:rPr>
          <w:tab/>
        </w:r>
        <w:r w:rsidR="00FF0184" w:rsidRPr="004368AF">
          <w:rPr>
            <w:rStyle w:val="Hyperlink"/>
            <w:rFonts w:asciiTheme="majorHAnsi" w:hAnsiTheme="majorHAnsi"/>
            <w:noProof/>
            <w:sz w:val="20"/>
            <w:szCs w:val="20"/>
            <w:lang w:val="es-ES"/>
          </w:rPr>
          <w:t>La privación de la libertad en el corredor de la muerte</w:t>
        </w:r>
        <w:r w:rsidR="00FF0184" w:rsidRPr="004368AF">
          <w:rPr>
            <w:rFonts w:asciiTheme="majorHAnsi" w:hAnsiTheme="majorHAnsi"/>
            <w:noProof/>
            <w:webHidden/>
            <w:sz w:val="20"/>
            <w:szCs w:val="20"/>
          </w:rPr>
          <w:tab/>
        </w:r>
        <w:r w:rsidR="00FF0184" w:rsidRPr="004368AF">
          <w:rPr>
            <w:rFonts w:asciiTheme="majorHAnsi" w:hAnsiTheme="majorHAnsi"/>
            <w:noProof/>
            <w:webHidden/>
            <w:sz w:val="20"/>
            <w:szCs w:val="20"/>
          </w:rPr>
          <w:fldChar w:fldCharType="begin"/>
        </w:r>
        <w:r w:rsidR="00FF0184" w:rsidRPr="004368AF">
          <w:rPr>
            <w:rFonts w:asciiTheme="majorHAnsi" w:hAnsiTheme="majorHAnsi"/>
            <w:noProof/>
            <w:webHidden/>
            <w:sz w:val="20"/>
            <w:szCs w:val="20"/>
          </w:rPr>
          <w:instrText xml:space="preserve"> PAGEREF _Toc90298935 \h </w:instrText>
        </w:r>
        <w:r w:rsidR="00FF0184" w:rsidRPr="004368AF">
          <w:rPr>
            <w:rFonts w:asciiTheme="majorHAnsi" w:hAnsiTheme="majorHAnsi"/>
            <w:noProof/>
            <w:webHidden/>
            <w:sz w:val="20"/>
            <w:szCs w:val="20"/>
          </w:rPr>
        </w:r>
        <w:r w:rsidR="00FF0184" w:rsidRPr="004368AF">
          <w:rPr>
            <w:rFonts w:asciiTheme="majorHAnsi" w:hAnsiTheme="majorHAnsi"/>
            <w:noProof/>
            <w:webHidden/>
            <w:sz w:val="20"/>
            <w:szCs w:val="20"/>
          </w:rPr>
          <w:fldChar w:fldCharType="separate"/>
        </w:r>
        <w:r w:rsidR="00FF0184" w:rsidRPr="004368AF">
          <w:rPr>
            <w:rFonts w:asciiTheme="majorHAnsi" w:hAnsiTheme="majorHAnsi"/>
            <w:noProof/>
            <w:webHidden/>
            <w:sz w:val="20"/>
            <w:szCs w:val="20"/>
          </w:rPr>
          <w:t>21</w:t>
        </w:r>
        <w:r w:rsidR="00FF0184" w:rsidRPr="004368AF">
          <w:rPr>
            <w:rFonts w:asciiTheme="majorHAnsi" w:hAnsiTheme="majorHAnsi"/>
            <w:noProof/>
            <w:webHidden/>
            <w:sz w:val="20"/>
            <w:szCs w:val="20"/>
          </w:rPr>
          <w:fldChar w:fldCharType="end"/>
        </w:r>
      </w:hyperlink>
    </w:p>
    <w:p w14:paraId="6CE6D185" w14:textId="77777777" w:rsidR="00FF0184" w:rsidRPr="004368AF" w:rsidRDefault="007B36C9">
      <w:pPr>
        <w:pStyle w:val="TOC2"/>
        <w:rPr>
          <w:rFonts w:asciiTheme="majorHAnsi" w:eastAsiaTheme="minorEastAsia" w:hAnsiTheme="majorHAnsi" w:cstheme="minorBidi"/>
          <w:sz w:val="20"/>
          <w:szCs w:val="20"/>
          <w:bdr w:val="none" w:sz="0" w:space="0" w:color="auto"/>
          <w:lang w:val="es-US" w:eastAsia="zh-CN"/>
        </w:rPr>
      </w:pPr>
      <w:hyperlink w:anchor="_Toc90298936" w:history="1">
        <w:r w:rsidR="00FF0184" w:rsidRPr="004368AF">
          <w:rPr>
            <w:rStyle w:val="Hyperlink"/>
            <w:rFonts w:asciiTheme="majorHAnsi" w:hAnsiTheme="majorHAnsi"/>
            <w:sz w:val="20"/>
            <w:szCs w:val="20"/>
            <w:lang w:val="es-ES"/>
          </w:rPr>
          <w:t>2.</w:t>
        </w:r>
        <w:r w:rsidR="00FF0184" w:rsidRPr="004368AF">
          <w:rPr>
            <w:rFonts w:asciiTheme="majorHAnsi" w:eastAsiaTheme="minorEastAsia" w:hAnsiTheme="majorHAnsi" w:cstheme="minorBidi"/>
            <w:sz w:val="20"/>
            <w:szCs w:val="20"/>
            <w:bdr w:val="none" w:sz="0" w:space="0" w:color="auto"/>
            <w:lang w:val="es-US" w:eastAsia="zh-CN"/>
          </w:rPr>
          <w:tab/>
        </w:r>
        <w:r w:rsidR="00FF0184" w:rsidRPr="004368AF">
          <w:rPr>
            <w:rStyle w:val="Hyperlink"/>
            <w:rFonts w:asciiTheme="majorHAnsi" w:hAnsiTheme="majorHAnsi"/>
            <w:sz w:val="20"/>
            <w:szCs w:val="20"/>
            <w:lang w:val="es-ES"/>
          </w:rPr>
          <w:t>El derecho a la vida y a la protección contra un castigo cruel, infamante o inusitado con respecto a la eventual ejecución de José Trinidad Loza Ventura</w:t>
        </w:r>
        <w:r w:rsidR="00FF0184" w:rsidRPr="004368AF">
          <w:rPr>
            <w:rFonts w:asciiTheme="majorHAnsi" w:hAnsiTheme="majorHAnsi"/>
            <w:webHidden/>
            <w:sz w:val="20"/>
            <w:szCs w:val="20"/>
          </w:rPr>
          <w:tab/>
        </w:r>
        <w:r w:rsidR="00FF0184" w:rsidRPr="004368AF">
          <w:rPr>
            <w:rFonts w:asciiTheme="majorHAnsi" w:hAnsiTheme="majorHAnsi"/>
            <w:webHidden/>
            <w:sz w:val="20"/>
            <w:szCs w:val="20"/>
          </w:rPr>
          <w:fldChar w:fldCharType="begin"/>
        </w:r>
        <w:r w:rsidR="00FF0184" w:rsidRPr="004368AF">
          <w:rPr>
            <w:rFonts w:asciiTheme="majorHAnsi" w:hAnsiTheme="majorHAnsi"/>
            <w:webHidden/>
            <w:sz w:val="20"/>
            <w:szCs w:val="20"/>
          </w:rPr>
          <w:instrText xml:space="preserve"> PAGEREF _Toc90298936 \h </w:instrText>
        </w:r>
        <w:r w:rsidR="00FF0184" w:rsidRPr="004368AF">
          <w:rPr>
            <w:rFonts w:asciiTheme="majorHAnsi" w:hAnsiTheme="majorHAnsi"/>
            <w:webHidden/>
            <w:sz w:val="20"/>
            <w:szCs w:val="20"/>
          </w:rPr>
        </w:r>
        <w:r w:rsidR="00FF0184" w:rsidRPr="004368AF">
          <w:rPr>
            <w:rFonts w:asciiTheme="majorHAnsi" w:hAnsiTheme="majorHAnsi"/>
            <w:webHidden/>
            <w:sz w:val="20"/>
            <w:szCs w:val="20"/>
          </w:rPr>
          <w:fldChar w:fldCharType="separate"/>
        </w:r>
        <w:r w:rsidR="00FF0184" w:rsidRPr="004368AF">
          <w:rPr>
            <w:rFonts w:asciiTheme="majorHAnsi" w:hAnsiTheme="majorHAnsi"/>
            <w:webHidden/>
            <w:sz w:val="20"/>
            <w:szCs w:val="20"/>
          </w:rPr>
          <w:t>22</w:t>
        </w:r>
        <w:r w:rsidR="00FF0184" w:rsidRPr="004368AF">
          <w:rPr>
            <w:rFonts w:asciiTheme="majorHAnsi" w:hAnsiTheme="majorHAnsi"/>
            <w:webHidden/>
            <w:sz w:val="20"/>
            <w:szCs w:val="20"/>
          </w:rPr>
          <w:fldChar w:fldCharType="end"/>
        </w:r>
      </w:hyperlink>
    </w:p>
    <w:p w14:paraId="6E00BF91" w14:textId="77777777" w:rsidR="00FF0184" w:rsidRPr="004368AF" w:rsidRDefault="007B36C9">
      <w:pPr>
        <w:pStyle w:val="TOC1"/>
        <w:rPr>
          <w:rFonts w:eastAsiaTheme="minorEastAsia" w:cstheme="minorBidi"/>
          <w:b w:val="0"/>
          <w:bdr w:val="none" w:sz="0" w:space="0" w:color="auto"/>
          <w:lang w:val="es-US" w:eastAsia="zh-CN"/>
        </w:rPr>
      </w:pPr>
      <w:hyperlink w:anchor="_Toc90298937" w:history="1">
        <w:r w:rsidR="00FF0184" w:rsidRPr="004368AF">
          <w:rPr>
            <w:rStyle w:val="Hyperlink"/>
          </w:rPr>
          <w:t>VI.</w:t>
        </w:r>
        <w:r w:rsidR="00FF0184" w:rsidRPr="004368AF">
          <w:rPr>
            <w:rFonts w:eastAsiaTheme="minorEastAsia" w:cstheme="minorBidi"/>
            <w:b w:val="0"/>
            <w:bdr w:val="none" w:sz="0" w:space="0" w:color="auto"/>
            <w:lang w:val="es-US" w:eastAsia="zh-CN"/>
          </w:rPr>
          <w:tab/>
        </w:r>
        <w:r w:rsidR="00FF0184" w:rsidRPr="004368AF">
          <w:rPr>
            <w:rStyle w:val="Hyperlink"/>
          </w:rPr>
          <w:t>INFORME Nº 243/19 E INFORMACIÓN SOBRE EL CUMPLIMIENTO</w:t>
        </w:r>
        <w:r w:rsidR="00FF0184" w:rsidRPr="004368AF">
          <w:rPr>
            <w:webHidden/>
          </w:rPr>
          <w:tab/>
        </w:r>
        <w:r w:rsidR="00FF0184" w:rsidRPr="004368AF">
          <w:rPr>
            <w:webHidden/>
          </w:rPr>
          <w:fldChar w:fldCharType="begin"/>
        </w:r>
        <w:r w:rsidR="00FF0184" w:rsidRPr="004368AF">
          <w:rPr>
            <w:webHidden/>
          </w:rPr>
          <w:instrText xml:space="preserve"> PAGEREF _Toc90298937 \h </w:instrText>
        </w:r>
        <w:r w:rsidR="00FF0184" w:rsidRPr="004368AF">
          <w:rPr>
            <w:webHidden/>
          </w:rPr>
        </w:r>
        <w:r w:rsidR="00FF0184" w:rsidRPr="004368AF">
          <w:rPr>
            <w:webHidden/>
          </w:rPr>
          <w:fldChar w:fldCharType="separate"/>
        </w:r>
        <w:r w:rsidR="00FF0184" w:rsidRPr="004368AF">
          <w:rPr>
            <w:webHidden/>
          </w:rPr>
          <w:t>22</w:t>
        </w:r>
        <w:r w:rsidR="00FF0184" w:rsidRPr="004368AF">
          <w:rPr>
            <w:webHidden/>
          </w:rPr>
          <w:fldChar w:fldCharType="end"/>
        </w:r>
      </w:hyperlink>
    </w:p>
    <w:p w14:paraId="2DC21F61" w14:textId="77777777" w:rsidR="00FF0184" w:rsidRPr="004368AF" w:rsidRDefault="007B36C9">
      <w:pPr>
        <w:pStyle w:val="TOC1"/>
        <w:rPr>
          <w:rFonts w:eastAsiaTheme="minorEastAsia" w:cstheme="minorBidi"/>
          <w:b w:val="0"/>
          <w:bdr w:val="none" w:sz="0" w:space="0" w:color="auto"/>
          <w:lang w:val="es-US" w:eastAsia="zh-CN"/>
        </w:rPr>
      </w:pPr>
      <w:hyperlink w:anchor="_Toc90298938" w:history="1">
        <w:r w:rsidR="00FF0184" w:rsidRPr="004368AF">
          <w:rPr>
            <w:rStyle w:val="Hyperlink"/>
            <w:lang w:val="es-ES"/>
          </w:rPr>
          <w:t>VII.</w:t>
        </w:r>
        <w:r w:rsidR="00FF0184" w:rsidRPr="004368AF">
          <w:rPr>
            <w:rFonts w:eastAsiaTheme="minorEastAsia" w:cstheme="minorBidi"/>
            <w:b w:val="0"/>
            <w:bdr w:val="none" w:sz="0" w:space="0" w:color="auto"/>
            <w:lang w:val="es-US" w:eastAsia="zh-CN"/>
          </w:rPr>
          <w:tab/>
        </w:r>
        <w:r w:rsidR="00FF0184" w:rsidRPr="004368AF">
          <w:rPr>
            <w:rStyle w:val="Hyperlink"/>
            <w:lang w:val="es-ES"/>
          </w:rPr>
          <w:t>ACCIONES POSTERIORES AL INFORME No. 332/21</w:t>
        </w:r>
        <w:r w:rsidR="00FF0184" w:rsidRPr="004368AF">
          <w:rPr>
            <w:webHidden/>
          </w:rPr>
          <w:tab/>
        </w:r>
        <w:r w:rsidR="00FF0184" w:rsidRPr="004368AF">
          <w:rPr>
            <w:webHidden/>
          </w:rPr>
          <w:fldChar w:fldCharType="begin"/>
        </w:r>
        <w:r w:rsidR="00FF0184" w:rsidRPr="004368AF">
          <w:rPr>
            <w:webHidden/>
          </w:rPr>
          <w:instrText xml:space="preserve"> PAGEREF _Toc90298938 \h </w:instrText>
        </w:r>
        <w:r w:rsidR="00FF0184" w:rsidRPr="004368AF">
          <w:rPr>
            <w:webHidden/>
          </w:rPr>
        </w:r>
        <w:r w:rsidR="00FF0184" w:rsidRPr="004368AF">
          <w:rPr>
            <w:webHidden/>
          </w:rPr>
          <w:fldChar w:fldCharType="separate"/>
        </w:r>
        <w:r w:rsidR="00FF0184" w:rsidRPr="004368AF">
          <w:rPr>
            <w:webHidden/>
          </w:rPr>
          <w:t>23</w:t>
        </w:r>
        <w:r w:rsidR="00FF0184" w:rsidRPr="004368AF">
          <w:rPr>
            <w:webHidden/>
          </w:rPr>
          <w:fldChar w:fldCharType="end"/>
        </w:r>
      </w:hyperlink>
    </w:p>
    <w:p w14:paraId="0B3A8FE7" w14:textId="77777777" w:rsidR="00FF0184" w:rsidRPr="004368AF" w:rsidRDefault="007B36C9">
      <w:pPr>
        <w:pStyle w:val="TOC1"/>
        <w:rPr>
          <w:rFonts w:eastAsiaTheme="minorEastAsia" w:cstheme="minorBidi"/>
          <w:b w:val="0"/>
          <w:bdr w:val="none" w:sz="0" w:space="0" w:color="auto"/>
          <w:lang w:val="es-US" w:eastAsia="zh-CN"/>
        </w:rPr>
      </w:pPr>
      <w:hyperlink w:anchor="_Toc90298939" w:history="1">
        <w:r w:rsidR="00FF0184" w:rsidRPr="004368AF">
          <w:rPr>
            <w:rStyle w:val="Hyperlink"/>
            <w:lang w:val="es-ES"/>
          </w:rPr>
          <w:t>VIII.</w:t>
        </w:r>
        <w:r w:rsidR="00FF0184" w:rsidRPr="004368AF">
          <w:rPr>
            <w:rFonts w:eastAsiaTheme="minorEastAsia" w:cstheme="minorBidi"/>
            <w:b w:val="0"/>
            <w:bdr w:val="none" w:sz="0" w:space="0" w:color="auto"/>
            <w:lang w:val="es-US" w:eastAsia="zh-CN"/>
          </w:rPr>
          <w:tab/>
        </w:r>
        <w:r w:rsidR="00FF0184" w:rsidRPr="004368AF">
          <w:rPr>
            <w:rStyle w:val="Hyperlink"/>
          </w:rPr>
          <w:t>CONCLUSIONES</w:t>
        </w:r>
        <w:r w:rsidR="00FF0184" w:rsidRPr="004368AF">
          <w:rPr>
            <w:rStyle w:val="Hyperlink"/>
            <w:lang w:val="es-ES"/>
          </w:rPr>
          <w:t xml:space="preserve"> Y RECOMENDACIONES FINALES</w:t>
        </w:r>
        <w:r w:rsidR="00FF0184" w:rsidRPr="004368AF">
          <w:rPr>
            <w:webHidden/>
          </w:rPr>
          <w:tab/>
        </w:r>
        <w:r w:rsidR="00FF0184" w:rsidRPr="004368AF">
          <w:rPr>
            <w:webHidden/>
          </w:rPr>
          <w:fldChar w:fldCharType="begin"/>
        </w:r>
        <w:r w:rsidR="00FF0184" w:rsidRPr="004368AF">
          <w:rPr>
            <w:webHidden/>
          </w:rPr>
          <w:instrText xml:space="preserve"> PAGEREF _Toc90298939 \h </w:instrText>
        </w:r>
        <w:r w:rsidR="00FF0184" w:rsidRPr="004368AF">
          <w:rPr>
            <w:webHidden/>
          </w:rPr>
        </w:r>
        <w:r w:rsidR="00FF0184" w:rsidRPr="004368AF">
          <w:rPr>
            <w:webHidden/>
          </w:rPr>
          <w:fldChar w:fldCharType="separate"/>
        </w:r>
        <w:r w:rsidR="00FF0184" w:rsidRPr="004368AF">
          <w:rPr>
            <w:webHidden/>
          </w:rPr>
          <w:t>23</w:t>
        </w:r>
        <w:r w:rsidR="00FF0184" w:rsidRPr="004368AF">
          <w:rPr>
            <w:webHidden/>
          </w:rPr>
          <w:fldChar w:fldCharType="end"/>
        </w:r>
      </w:hyperlink>
    </w:p>
    <w:p w14:paraId="60AF4537" w14:textId="77777777" w:rsidR="00FF0184" w:rsidRPr="004368AF" w:rsidRDefault="007B36C9">
      <w:pPr>
        <w:pStyle w:val="TOC1"/>
        <w:rPr>
          <w:rFonts w:eastAsiaTheme="minorEastAsia" w:cstheme="minorBidi"/>
          <w:b w:val="0"/>
          <w:bdr w:val="none" w:sz="0" w:space="0" w:color="auto"/>
          <w:lang w:val="es-US" w:eastAsia="zh-CN"/>
        </w:rPr>
      </w:pPr>
      <w:hyperlink w:anchor="_Toc90298940" w:history="1">
        <w:r w:rsidR="00FF0184" w:rsidRPr="004368AF">
          <w:rPr>
            <w:rStyle w:val="Hyperlink"/>
            <w:lang w:val="es-ES"/>
          </w:rPr>
          <w:t>IX.</w:t>
        </w:r>
        <w:r w:rsidR="00FF0184" w:rsidRPr="004368AF">
          <w:rPr>
            <w:rFonts w:eastAsiaTheme="minorEastAsia" w:cstheme="minorBidi"/>
            <w:b w:val="0"/>
            <w:bdr w:val="none" w:sz="0" w:space="0" w:color="auto"/>
            <w:lang w:val="es-US" w:eastAsia="zh-CN"/>
          </w:rPr>
          <w:tab/>
        </w:r>
        <w:r w:rsidR="00FF0184" w:rsidRPr="004368AF">
          <w:rPr>
            <w:rStyle w:val="Hyperlink"/>
            <w:lang w:val="es-ES"/>
          </w:rPr>
          <w:t>PUBLICACIÓN</w:t>
        </w:r>
        <w:r w:rsidR="00FF0184" w:rsidRPr="004368AF">
          <w:rPr>
            <w:webHidden/>
          </w:rPr>
          <w:tab/>
        </w:r>
        <w:r w:rsidR="00FF0184" w:rsidRPr="004368AF">
          <w:rPr>
            <w:webHidden/>
          </w:rPr>
          <w:fldChar w:fldCharType="begin"/>
        </w:r>
        <w:r w:rsidR="00FF0184" w:rsidRPr="004368AF">
          <w:rPr>
            <w:webHidden/>
          </w:rPr>
          <w:instrText xml:space="preserve"> PAGEREF _Toc90298940 \h </w:instrText>
        </w:r>
        <w:r w:rsidR="00FF0184" w:rsidRPr="004368AF">
          <w:rPr>
            <w:webHidden/>
          </w:rPr>
        </w:r>
        <w:r w:rsidR="00FF0184" w:rsidRPr="004368AF">
          <w:rPr>
            <w:webHidden/>
          </w:rPr>
          <w:fldChar w:fldCharType="separate"/>
        </w:r>
        <w:r w:rsidR="00FF0184" w:rsidRPr="004368AF">
          <w:rPr>
            <w:webHidden/>
          </w:rPr>
          <w:t>24</w:t>
        </w:r>
        <w:r w:rsidR="00FF0184" w:rsidRPr="004368AF">
          <w:rPr>
            <w:webHidden/>
          </w:rPr>
          <w:fldChar w:fldCharType="end"/>
        </w:r>
      </w:hyperlink>
    </w:p>
    <w:p w14:paraId="3EFF46F1" w14:textId="77777777" w:rsidR="007607C4" w:rsidRPr="007A3389" w:rsidRDefault="00DA36AE" w:rsidP="00145EDC">
      <w:pPr>
        <w:tabs>
          <w:tab w:val="center" w:pos="5400"/>
        </w:tabs>
        <w:suppressAutoHyphens/>
        <w:spacing w:line="276" w:lineRule="auto"/>
        <w:rPr>
          <w:rFonts w:asciiTheme="majorHAnsi" w:hAnsiTheme="majorHAnsi"/>
          <w:sz w:val="20"/>
          <w:szCs w:val="20"/>
          <w:lang w:val="es-ES"/>
        </w:rPr>
      </w:pPr>
      <w:r w:rsidRPr="004368AF">
        <w:rPr>
          <w:rFonts w:asciiTheme="majorHAnsi" w:hAnsiTheme="majorHAnsi"/>
          <w:sz w:val="20"/>
          <w:szCs w:val="20"/>
          <w:lang w:val="es-ES"/>
        </w:rPr>
        <w:fldChar w:fldCharType="end"/>
      </w:r>
    </w:p>
    <w:p w14:paraId="62515DF8" w14:textId="77777777" w:rsidR="007607C4" w:rsidRPr="007A3389" w:rsidRDefault="007607C4" w:rsidP="00145EDC">
      <w:pPr>
        <w:tabs>
          <w:tab w:val="center" w:pos="5400"/>
        </w:tabs>
        <w:suppressAutoHyphens/>
        <w:spacing w:line="276" w:lineRule="auto"/>
        <w:rPr>
          <w:rFonts w:asciiTheme="majorHAnsi" w:hAnsiTheme="majorHAnsi"/>
          <w:sz w:val="20"/>
          <w:szCs w:val="20"/>
          <w:lang w:val="es-ES"/>
        </w:rPr>
      </w:pPr>
    </w:p>
    <w:p w14:paraId="668EEBCD" w14:textId="77777777" w:rsidR="00DE01CB" w:rsidRPr="007A3389" w:rsidRDefault="00DE01CB" w:rsidP="00145EDC">
      <w:pPr>
        <w:tabs>
          <w:tab w:val="center" w:pos="5400"/>
        </w:tabs>
        <w:suppressAutoHyphens/>
        <w:spacing w:line="276" w:lineRule="auto"/>
        <w:rPr>
          <w:rFonts w:asciiTheme="majorHAnsi" w:hAnsiTheme="majorHAnsi"/>
          <w:sz w:val="20"/>
          <w:szCs w:val="20"/>
          <w:lang w:val="es-ES"/>
        </w:rPr>
      </w:pPr>
    </w:p>
    <w:p w14:paraId="13F90938" w14:textId="77777777" w:rsidR="00DE01CB" w:rsidRPr="007A3389" w:rsidRDefault="00DE01CB" w:rsidP="00145EDC">
      <w:pPr>
        <w:tabs>
          <w:tab w:val="center" w:pos="5400"/>
        </w:tabs>
        <w:suppressAutoHyphens/>
        <w:spacing w:line="276" w:lineRule="auto"/>
        <w:rPr>
          <w:rFonts w:asciiTheme="majorHAnsi" w:hAnsiTheme="majorHAnsi"/>
          <w:sz w:val="20"/>
          <w:szCs w:val="20"/>
          <w:lang w:val="es-ES"/>
        </w:rPr>
      </w:pPr>
    </w:p>
    <w:p w14:paraId="53E3527A" w14:textId="77777777" w:rsidR="005A0B5A" w:rsidRPr="007A3389" w:rsidRDefault="005A0B5A" w:rsidP="00145EDC">
      <w:pPr>
        <w:tabs>
          <w:tab w:val="center" w:pos="5400"/>
        </w:tabs>
        <w:suppressAutoHyphens/>
        <w:spacing w:line="276" w:lineRule="auto"/>
        <w:rPr>
          <w:rFonts w:asciiTheme="majorHAnsi" w:hAnsiTheme="majorHAnsi"/>
          <w:sz w:val="20"/>
          <w:szCs w:val="20"/>
          <w:lang w:val="es-ES"/>
        </w:rPr>
      </w:pPr>
    </w:p>
    <w:p w14:paraId="52E007CF" w14:textId="77777777" w:rsidR="00074893" w:rsidRPr="007A3389" w:rsidRDefault="00074893">
      <w:pPr>
        <w:rPr>
          <w:rFonts w:asciiTheme="majorHAnsi" w:eastAsiaTheme="majorEastAsia" w:hAnsiTheme="majorHAnsi" w:cstheme="majorBidi"/>
          <w:b/>
          <w:bCs/>
          <w:sz w:val="20"/>
          <w:szCs w:val="20"/>
          <w:lang w:val="es-ES"/>
        </w:rPr>
      </w:pPr>
      <w:r w:rsidRPr="007A3389">
        <w:rPr>
          <w:sz w:val="20"/>
          <w:szCs w:val="20"/>
          <w:lang w:val="es-ES"/>
        </w:rPr>
        <w:br w:type="page"/>
      </w:r>
    </w:p>
    <w:p w14:paraId="779862D8" w14:textId="77777777" w:rsidR="001C4006" w:rsidRPr="007A3389" w:rsidRDefault="00830E88" w:rsidP="003676F1">
      <w:pPr>
        <w:pStyle w:val="Heading1"/>
        <w:tabs>
          <w:tab w:val="left" w:pos="360"/>
        </w:tabs>
        <w:spacing w:before="0"/>
        <w:ind w:hanging="720"/>
        <w:rPr>
          <w:color w:val="auto"/>
          <w:sz w:val="20"/>
          <w:szCs w:val="20"/>
          <w:lang w:val="es-ES"/>
        </w:rPr>
      </w:pPr>
      <w:bookmarkStart w:id="0" w:name="_Toc90298910"/>
      <w:r w:rsidRPr="007A3389">
        <w:rPr>
          <w:color w:val="auto"/>
          <w:sz w:val="20"/>
          <w:szCs w:val="20"/>
          <w:lang w:val="es-ES"/>
        </w:rPr>
        <w:lastRenderedPageBreak/>
        <w:t>INTRODUC</w:t>
      </w:r>
      <w:r w:rsidR="008A10AB" w:rsidRPr="007A3389">
        <w:rPr>
          <w:color w:val="auto"/>
          <w:sz w:val="20"/>
          <w:szCs w:val="20"/>
          <w:lang w:val="es-ES"/>
        </w:rPr>
        <w:t>CIÓN</w:t>
      </w:r>
      <w:bookmarkEnd w:id="0"/>
      <w:r w:rsidR="001C4006" w:rsidRPr="007A3389">
        <w:rPr>
          <w:color w:val="auto"/>
          <w:sz w:val="20"/>
          <w:szCs w:val="20"/>
          <w:lang w:val="es-ES"/>
        </w:rPr>
        <w:t xml:space="preserve"> </w:t>
      </w:r>
    </w:p>
    <w:p w14:paraId="2C14DFB9" w14:textId="77777777" w:rsidR="001C4006" w:rsidRPr="007A3389" w:rsidRDefault="001C4006" w:rsidP="00BB5A59">
      <w:pPr>
        <w:suppressAutoHyphens/>
        <w:ind w:left="1440" w:hanging="720"/>
        <w:rPr>
          <w:rFonts w:asciiTheme="majorHAnsi" w:hAnsiTheme="majorHAnsi"/>
          <w:b/>
          <w:sz w:val="20"/>
          <w:szCs w:val="20"/>
          <w:lang w:val="es-ES"/>
        </w:rPr>
      </w:pPr>
    </w:p>
    <w:p w14:paraId="37D77B5F" w14:textId="77777777" w:rsidR="001C4006" w:rsidRPr="007A3389" w:rsidRDefault="008A10AB"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7A3389">
        <w:rPr>
          <w:rFonts w:asciiTheme="majorHAnsi" w:hAnsiTheme="majorHAnsi"/>
          <w:sz w:val="20"/>
          <w:szCs w:val="20"/>
          <w:lang w:val="es-ES"/>
        </w:rPr>
        <w:t xml:space="preserve">El </w:t>
      </w:r>
      <w:r w:rsidR="00E018BA" w:rsidRPr="007A3389">
        <w:rPr>
          <w:rFonts w:asciiTheme="majorHAnsi" w:hAnsiTheme="majorHAnsi"/>
          <w:sz w:val="20"/>
          <w:szCs w:val="20"/>
          <w:lang w:val="es-ES"/>
        </w:rPr>
        <w:t>17</w:t>
      </w:r>
      <w:r w:rsidRPr="007A3389">
        <w:rPr>
          <w:rFonts w:asciiTheme="majorHAnsi" w:hAnsiTheme="majorHAnsi"/>
          <w:sz w:val="20"/>
          <w:szCs w:val="20"/>
          <w:lang w:val="es-ES"/>
        </w:rPr>
        <w:t xml:space="preserve"> de julio de</w:t>
      </w:r>
      <w:r w:rsidR="00AA07DC" w:rsidRPr="007A3389">
        <w:rPr>
          <w:rFonts w:asciiTheme="majorHAnsi" w:hAnsiTheme="majorHAnsi"/>
          <w:sz w:val="20"/>
          <w:szCs w:val="20"/>
          <w:lang w:val="es-ES"/>
        </w:rPr>
        <w:t xml:space="preserve"> 2015</w:t>
      </w:r>
      <w:r w:rsidR="0007716F" w:rsidRPr="007A3389">
        <w:rPr>
          <w:rFonts w:asciiTheme="majorHAnsi" w:hAnsiTheme="majorHAnsi"/>
          <w:sz w:val="20"/>
          <w:szCs w:val="20"/>
          <w:lang w:val="es-ES"/>
        </w:rPr>
        <w:t xml:space="preserve">, </w:t>
      </w:r>
      <w:r w:rsidRPr="007A3389">
        <w:rPr>
          <w:rFonts w:asciiTheme="majorHAnsi" w:hAnsiTheme="majorHAnsi"/>
          <w:sz w:val="20"/>
          <w:szCs w:val="20"/>
          <w:lang w:val="es-ES"/>
        </w:rPr>
        <w:t>la Comisión Interamericana de Derechos Humanos</w:t>
      </w:r>
      <w:r w:rsidR="001C4006" w:rsidRPr="007A3389">
        <w:rPr>
          <w:rFonts w:asciiTheme="majorHAnsi" w:hAnsiTheme="majorHAnsi"/>
          <w:sz w:val="20"/>
          <w:szCs w:val="20"/>
          <w:lang w:val="es-ES"/>
        </w:rPr>
        <w:t xml:space="preserve"> (</w:t>
      </w:r>
      <w:r w:rsidRPr="007A3389">
        <w:rPr>
          <w:rFonts w:asciiTheme="majorHAnsi" w:hAnsiTheme="majorHAnsi"/>
          <w:sz w:val="20"/>
          <w:szCs w:val="20"/>
          <w:lang w:val="es-ES"/>
        </w:rPr>
        <w:t>“la Comisión Interamericana</w:t>
      </w:r>
      <w:r w:rsidR="001C4006" w:rsidRPr="007A3389">
        <w:rPr>
          <w:rFonts w:asciiTheme="majorHAnsi" w:hAnsiTheme="majorHAnsi"/>
          <w:sz w:val="20"/>
          <w:szCs w:val="20"/>
          <w:lang w:val="es-ES"/>
        </w:rPr>
        <w:t>”</w:t>
      </w:r>
      <w:r w:rsidR="004D4E01" w:rsidRPr="007A3389">
        <w:rPr>
          <w:rFonts w:asciiTheme="majorHAnsi" w:hAnsiTheme="majorHAnsi"/>
          <w:sz w:val="20"/>
          <w:szCs w:val="20"/>
          <w:lang w:val="es-ES"/>
        </w:rPr>
        <w:t>, “</w:t>
      </w:r>
      <w:r w:rsidRPr="007A3389">
        <w:rPr>
          <w:rFonts w:asciiTheme="majorHAnsi" w:hAnsiTheme="majorHAnsi"/>
          <w:sz w:val="20"/>
          <w:szCs w:val="20"/>
          <w:lang w:val="es-ES"/>
        </w:rPr>
        <w:t>la Comisión</w:t>
      </w:r>
      <w:r w:rsidR="004D4E01" w:rsidRPr="007A3389">
        <w:rPr>
          <w:rFonts w:asciiTheme="majorHAnsi" w:hAnsiTheme="majorHAnsi"/>
          <w:sz w:val="20"/>
          <w:szCs w:val="20"/>
          <w:lang w:val="es-ES"/>
        </w:rPr>
        <w:t>”</w:t>
      </w:r>
      <w:r w:rsidR="001C4006" w:rsidRPr="007A3389">
        <w:rPr>
          <w:rFonts w:asciiTheme="majorHAnsi" w:hAnsiTheme="majorHAnsi"/>
          <w:sz w:val="20"/>
          <w:szCs w:val="20"/>
          <w:lang w:val="es-ES"/>
        </w:rPr>
        <w:t xml:space="preserve"> o “</w:t>
      </w:r>
      <w:r w:rsidRPr="007A3389">
        <w:rPr>
          <w:rFonts w:asciiTheme="majorHAnsi" w:hAnsiTheme="majorHAnsi"/>
          <w:sz w:val="20"/>
          <w:szCs w:val="20"/>
          <w:lang w:val="es-ES"/>
        </w:rPr>
        <w:t>la CIDH</w:t>
      </w:r>
      <w:r w:rsidR="001C4006" w:rsidRPr="007A3389">
        <w:rPr>
          <w:rFonts w:asciiTheme="majorHAnsi" w:hAnsiTheme="majorHAnsi"/>
          <w:sz w:val="20"/>
          <w:szCs w:val="20"/>
          <w:lang w:val="es-ES"/>
        </w:rPr>
        <w:t>”) rec</w:t>
      </w:r>
      <w:r w:rsidRPr="007A3389">
        <w:rPr>
          <w:rFonts w:asciiTheme="majorHAnsi" w:hAnsiTheme="majorHAnsi"/>
          <w:sz w:val="20"/>
          <w:szCs w:val="20"/>
          <w:lang w:val="es-ES"/>
        </w:rPr>
        <w:t>ibió una petición y una solicitud de</w:t>
      </w:r>
      <w:r w:rsidR="00B24A00" w:rsidRPr="007A3389">
        <w:rPr>
          <w:rFonts w:asciiTheme="majorHAnsi" w:hAnsiTheme="majorHAnsi"/>
          <w:sz w:val="20"/>
          <w:szCs w:val="20"/>
          <w:lang w:val="es-ES"/>
        </w:rPr>
        <w:t xml:space="preserve"> </w:t>
      </w:r>
      <w:r w:rsidRPr="007A3389">
        <w:rPr>
          <w:rFonts w:asciiTheme="majorHAnsi" w:hAnsiTheme="majorHAnsi"/>
          <w:sz w:val="20"/>
          <w:szCs w:val="20"/>
          <w:lang w:val="es-ES"/>
        </w:rPr>
        <w:t>medidas cautelares</w:t>
      </w:r>
      <w:r w:rsidR="00B24A00" w:rsidRPr="007A3389">
        <w:rPr>
          <w:rStyle w:val="FootnoteReference"/>
          <w:rFonts w:asciiTheme="majorHAnsi" w:hAnsiTheme="majorHAnsi"/>
          <w:sz w:val="20"/>
          <w:szCs w:val="20"/>
          <w:lang w:val="es-ES"/>
        </w:rPr>
        <w:footnoteReference w:id="2"/>
      </w:r>
      <w:r w:rsidR="00B24A00" w:rsidRPr="007A3389">
        <w:rPr>
          <w:rFonts w:asciiTheme="majorHAnsi" w:hAnsiTheme="majorHAnsi"/>
          <w:sz w:val="20"/>
          <w:szCs w:val="20"/>
          <w:lang w:val="es-ES"/>
        </w:rPr>
        <w:t xml:space="preserve"> </w:t>
      </w:r>
      <w:r w:rsidRPr="007A3389">
        <w:rPr>
          <w:rFonts w:asciiTheme="majorHAnsi" w:hAnsiTheme="majorHAnsi"/>
          <w:sz w:val="20"/>
          <w:szCs w:val="20"/>
          <w:lang w:val="es-ES"/>
        </w:rPr>
        <w:t xml:space="preserve">presentadas por </w:t>
      </w:r>
      <w:r w:rsidR="00DE0893" w:rsidRPr="007A3389">
        <w:rPr>
          <w:rFonts w:asciiTheme="majorHAnsi" w:hAnsiTheme="majorHAnsi"/>
          <w:sz w:val="20"/>
          <w:szCs w:val="20"/>
          <w:lang w:val="es-ES"/>
        </w:rPr>
        <w:t>Sandr</w:t>
      </w:r>
      <w:r w:rsidR="002B5794" w:rsidRPr="007A3389">
        <w:rPr>
          <w:rFonts w:asciiTheme="majorHAnsi" w:hAnsiTheme="majorHAnsi"/>
          <w:sz w:val="20"/>
          <w:szCs w:val="20"/>
          <w:lang w:val="es-ES"/>
        </w:rPr>
        <w:t>a</w:t>
      </w:r>
      <w:r w:rsidR="00860797">
        <w:rPr>
          <w:rFonts w:asciiTheme="majorHAnsi" w:hAnsiTheme="majorHAnsi"/>
          <w:sz w:val="20"/>
          <w:szCs w:val="20"/>
          <w:lang w:val="es-ES"/>
        </w:rPr>
        <w:t xml:space="preserve"> </w:t>
      </w:r>
      <w:r w:rsidR="00DE0893" w:rsidRPr="007A3389">
        <w:rPr>
          <w:rFonts w:asciiTheme="majorHAnsi" w:hAnsiTheme="majorHAnsi"/>
          <w:sz w:val="20"/>
          <w:szCs w:val="20"/>
          <w:lang w:val="es-ES"/>
        </w:rPr>
        <w:t>Babcock</w:t>
      </w:r>
      <w:r w:rsidR="00016B44" w:rsidRPr="007A3389">
        <w:rPr>
          <w:rFonts w:asciiTheme="majorHAnsi" w:hAnsiTheme="majorHAnsi"/>
          <w:sz w:val="20"/>
          <w:szCs w:val="20"/>
          <w:lang w:val="es-ES"/>
        </w:rPr>
        <w:t xml:space="preserve">, Laurence E. </w:t>
      </w:r>
      <w:proofErr w:type="spellStart"/>
      <w:r w:rsidR="00016B44" w:rsidRPr="007A3389">
        <w:rPr>
          <w:rFonts w:asciiTheme="majorHAnsi" w:hAnsiTheme="majorHAnsi"/>
          <w:sz w:val="20"/>
          <w:szCs w:val="20"/>
          <w:lang w:val="es-ES"/>
        </w:rPr>
        <w:t>Komp</w:t>
      </w:r>
      <w:proofErr w:type="spellEnd"/>
      <w:r w:rsidR="00016B44" w:rsidRPr="007A3389">
        <w:rPr>
          <w:rFonts w:asciiTheme="majorHAnsi" w:hAnsiTheme="majorHAnsi"/>
          <w:sz w:val="20"/>
          <w:szCs w:val="20"/>
          <w:lang w:val="es-ES"/>
        </w:rPr>
        <w:t xml:space="preserve"> </w:t>
      </w:r>
      <w:r w:rsidRPr="007A3389">
        <w:rPr>
          <w:rFonts w:asciiTheme="majorHAnsi" w:hAnsiTheme="majorHAnsi"/>
          <w:sz w:val="20"/>
          <w:szCs w:val="20"/>
          <w:lang w:val="es-ES"/>
        </w:rPr>
        <w:t>y</w:t>
      </w:r>
      <w:r w:rsidR="00016B44" w:rsidRPr="007A3389">
        <w:rPr>
          <w:rFonts w:asciiTheme="majorHAnsi" w:hAnsiTheme="majorHAnsi"/>
          <w:sz w:val="20"/>
          <w:szCs w:val="20"/>
          <w:lang w:val="es-ES"/>
        </w:rPr>
        <w:t xml:space="preserve"> </w:t>
      </w:r>
      <w:r w:rsidR="00221704" w:rsidRPr="007A3389">
        <w:rPr>
          <w:rFonts w:asciiTheme="majorHAnsi" w:hAnsiTheme="majorHAnsi"/>
          <w:sz w:val="20"/>
          <w:szCs w:val="20"/>
          <w:lang w:val="es-ES"/>
        </w:rPr>
        <w:t>James A</w:t>
      </w:r>
      <w:r w:rsidRPr="007A3389">
        <w:rPr>
          <w:rFonts w:asciiTheme="majorHAnsi" w:hAnsiTheme="majorHAnsi"/>
          <w:sz w:val="20"/>
          <w:szCs w:val="20"/>
          <w:lang w:val="es-ES"/>
        </w:rPr>
        <w:t>.</w:t>
      </w:r>
      <w:r w:rsidR="00221704" w:rsidRPr="007A3389">
        <w:rPr>
          <w:rFonts w:asciiTheme="majorHAnsi" w:hAnsiTheme="majorHAnsi"/>
          <w:sz w:val="20"/>
          <w:szCs w:val="20"/>
          <w:lang w:val="es-ES"/>
        </w:rPr>
        <w:t xml:space="preserve"> Wilson </w:t>
      </w:r>
      <w:r w:rsidR="00A649AE" w:rsidRPr="007A3389">
        <w:rPr>
          <w:rFonts w:asciiTheme="majorHAnsi" w:hAnsiTheme="majorHAnsi"/>
          <w:sz w:val="20"/>
          <w:szCs w:val="20"/>
          <w:lang w:val="es-ES"/>
        </w:rPr>
        <w:t>(</w:t>
      </w:r>
      <w:r w:rsidR="000D3EE0" w:rsidRPr="007A3389">
        <w:rPr>
          <w:rFonts w:asciiTheme="majorHAnsi" w:hAnsiTheme="majorHAnsi"/>
          <w:sz w:val="20"/>
          <w:szCs w:val="20"/>
          <w:lang w:val="es-ES"/>
        </w:rPr>
        <w:t>“los peticionarios</w:t>
      </w:r>
      <w:r w:rsidR="00244E7D" w:rsidRPr="007A3389">
        <w:rPr>
          <w:rFonts w:asciiTheme="majorHAnsi" w:hAnsiTheme="majorHAnsi"/>
          <w:sz w:val="20"/>
          <w:szCs w:val="20"/>
          <w:lang w:val="es-ES"/>
        </w:rPr>
        <w:t>”)</w:t>
      </w:r>
      <w:r w:rsidR="009F7E41" w:rsidRPr="007A3389">
        <w:rPr>
          <w:rFonts w:asciiTheme="majorHAnsi" w:hAnsiTheme="majorHAnsi"/>
          <w:sz w:val="20"/>
          <w:szCs w:val="20"/>
          <w:lang w:val="es-ES"/>
        </w:rPr>
        <w:t>,</w:t>
      </w:r>
      <w:r w:rsidR="0076495F" w:rsidRPr="007A3389">
        <w:rPr>
          <w:rFonts w:asciiTheme="majorHAnsi" w:hAnsiTheme="majorHAnsi"/>
          <w:sz w:val="20"/>
          <w:szCs w:val="20"/>
          <w:lang w:val="es-ES"/>
        </w:rPr>
        <w:t xml:space="preserve"> </w:t>
      </w:r>
      <w:r w:rsidRPr="007A3389">
        <w:rPr>
          <w:rFonts w:asciiTheme="majorHAnsi" w:hAnsiTheme="majorHAnsi"/>
          <w:sz w:val="20"/>
          <w:szCs w:val="20"/>
          <w:lang w:val="es-ES"/>
        </w:rPr>
        <w:t>en la cual se alega la responsabilidad internacional de Estados Unidos de América (“el Estado” o “Estados Unidos</w:t>
      </w:r>
      <w:r w:rsidR="001C4006" w:rsidRPr="007A3389">
        <w:rPr>
          <w:rFonts w:asciiTheme="majorHAnsi" w:hAnsiTheme="majorHAnsi"/>
          <w:sz w:val="20"/>
          <w:szCs w:val="20"/>
          <w:lang w:val="es-ES"/>
        </w:rPr>
        <w:t>”)</w:t>
      </w:r>
      <w:r w:rsidR="005D5FAD" w:rsidRPr="007A3389">
        <w:rPr>
          <w:rStyle w:val="FootnoteReference"/>
          <w:rFonts w:asciiTheme="majorHAnsi" w:hAnsiTheme="majorHAnsi"/>
          <w:sz w:val="20"/>
          <w:szCs w:val="20"/>
          <w:lang w:val="es-ES"/>
        </w:rPr>
        <w:footnoteReference w:id="3"/>
      </w:r>
      <w:r w:rsidR="001C4006"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por la violación de los derechos de</w:t>
      </w:r>
      <w:r w:rsidR="001C4006" w:rsidRPr="007A3389">
        <w:rPr>
          <w:rFonts w:asciiTheme="majorHAnsi" w:hAnsiTheme="majorHAnsi"/>
          <w:sz w:val="20"/>
          <w:szCs w:val="20"/>
          <w:lang w:val="es-ES"/>
        </w:rPr>
        <w:t xml:space="preserve"> </w:t>
      </w:r>
      <w:r w:rsidR="001D02D5" w:rsidRPr="007A3389">
        <w:rPr>
          <w:rFonts w:asciiTheme="majorHAnsi" w:hAnsiTheme="majorHAnsi"/>
          <w:sz w:val="20"/>
          <w:szCs w:val="20"/>
          <w:lang w:val="es-ES"/>
        </w:rPr>
        <w:t>José</w:t>
      </w:r>
      <w:r w:rsidR="00DE0893" w:rsidRPr="007A3389">
        <w:rPr>
          <w:rFonts w:asciiTheme="majorHAnsi" w:hAnsiTheme="majorHAnsi"/>
          <w:sz w:val="20"/>
          <w:szCs w:val="20"/>
          <w:lang w:val="es-ES"/>
        </w:rPr>
        <w:t xml:space="preserve"> Trinidad Loza Ventura</w:t>
      </w:r>
      <w:r w:rsidR="00F769C7"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señor</w:t>
      </w:r>
      <w:r w:rsidR="00F769C7" w:rsidRPr="007A3389">
        <w:rPr>
          <w:rFonts w:asciiTheme="majorHAnsi" w:hAnsiTheme="majorHAnsi"/>
          <w:sz w:val="20"/>
          <w:szCs w:val="20"/>
          <w:lang w:val="es-ES"/>
        </w:rPr>
        <w:t xml:space="preserve"> </w:t>
      </w:r>
      <w:r w:rsidR="00B74BBA" w:rsidRPr="007A3389">
        <w:rPr>
          <w:rFonts w:asciiTheme="majorHAnsi" w:hAnsiTheme="majorHAnsi"/>
          <w:sz w:val="20"/>
          <w:szCs w:val="20"/>
          <w:lang w:val="es-ES"/>
        </w:rPr>
        <w:t>Loza</w:t>
      </w:r>
      <w:r w:rsidR="00F769C7" w:rsidRPr="007A3389">
        <w:rPr>
          <w:rFonts w:asciiTheme="majorHAnsi" w:hAnsiTheme="majorHAnsi"/>
          <w:sz w:val="20"/>
          <w:szCs w:val="20"/>
          <w:lang w:val="es-ES"/>
        </w:rPr>
        <w:t>”)</w:t>
      </w:r>
      <w:r w:rsidR="00D20D54" w:rsidRPr="007A3389">
        <w:rPr>
          <w:rFonts w:asciiTheme="majorHAnsi" w:hAnsiTheme="majorHAnsi"/>
          <w:sz w:val="20"/>
          <w:szCs w:val="20"/>
          <w:lang w:val="es-ES"/>
        </w:rPr>
        <w:t xml:space="preserve">, </w:t>
      </w:r>
      <w:r w:rsidRPr="007A3389">
        <w:rPr>
          <w:rFonts w:asciiTheme="majorHAnsi" w:hAnsiTheme="majorHAnsi"/>
          <w:sz w:val="20"/>
          <w:szCs w:val="20"/>
          <w:lang w:val="es-ES"/>
        </w:rPr>
        <w:t>ciudadano mexicano que había sido condenado a muerte en el estado de</w:t>
      </w:r>
      <w:r w:rsidR="0053134C" w:rsidRPr="007A3389">
        <w:rPr>
          <w:rFonts w:asciiTheme="majorHAnsi" w:hAnsiTheme="majorHAnsi"/>
          <w:sz w:val="20"/>
          <w:szCs w:val="20"/>
          <w:lang w:val="es-ES"/>
        </w:rPr>
        <w:t xml:space="preserve"> </w:t>
      </w:r>
      <w:r w:rsidR="00DE0893" w:rsidRPr="007A3389">
        <w:rPr>
          <w:rFonts w:asciiTheme="majorHAnsi" w:hAnsiTheme="majorHAnsi"/>
          <w:sz w:val="20"/>
          <w:szCs w:val="20"/>
          <w:lang w:val="es-ES"/>
        </w:rPr>
        <w:t>Ohio</w:t>
      </w:r>
      <w:r w:rsidR="001C4006" w:rsidRPr="007A3389">
        <w:rPr>
          <w:rFonts w:asciiTheme="majorHAnsi" w:hAnsiTheme="majorHAnsi"/>
          <w:sz w:val="20"/>
          <w:szCs w:val="20"/>
          <w:lang w:val="es-ES"/>
        </w:rPr>
        <w:t xml:space="preserve">. </w:t>
      </w:r>
    </w:p>
    <w:p w14:paraId="60A4CA12" w14:textId="77777777" w:rsidR="001C4006" w:rsidRPr="007A3389"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lang w:val="es-ES"/>
        </w:rPr>
      </w:pPr>
    </w:p>
    <w:p w14:paraId="2CE8F739" w14:textId="77777777" w:rsidR="001C4006" w:rsidRPr="007A3389" w:rsidRDefault="00D87346"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7A3389">
        <w:rPr>
          <w:rFonts w:asciiTheme="majorHAnsi" w:hAnsiTheme="majorHAnsi"/>
          <w:sz w:val="20"/>
          <w:szCs w:val="20"/>
          <w:lang w:val="es-ES"/>
        </w:rPr>
        <w:t xml:space="preserve">El </w:t>
      </w:r>
      <w:r w:rsidR="00AD73A3" w:rsidRPr="007A3389">
        <w:rPr>
          <w:rFonts w:asciiTheme="majorHAnsi" w:hAnsiTheme="majorHAnsi"/>
          <w:sz w:val="20"/>
          <w:szCs w:val="20"/>
          <w:lang w:val="es-ES"/>
        </w:rPr>
        <w:t>1</w:t>
      </w:r>
      <w:r w:rsidR="001D02D5" w:rsidRPr="007A3389">
        <w:rPr>
          <w:rFonts w:asciiTheme="majorHAnsi" w:hAnsiTheme="majorHAnsi"/>
          <w:sz w:val="20"/>
          <w:szCs w:val="20"/>
          <w:lang w:val="es-ES"/>
        </w:rPr>
        <w:t>8</w:t>
      </w:r>
      <w:r w:rsidRPr="007A3389">
        <w:rPr>
          <w:rFonts w:asciiTheme="majorHAnsi" w:hAnsiTheme="majorHAnsi"/>
          <w:sz w:val="20"/>
          <w:szCs w:val="20"/>
          <w:lang w:val="es-ES"/>
        </w:rPr>
        <w:t xml:space="preserve"> de octubre de</w:t>
      </w:r>
      <w:r w:rsidR="001D02D5" w:rsidRPr="007A3389">
        <w:rPr>
          <w:rFonts w:asciiTheme="majorHAnsi" w:hAnsiTheme="majorHAnsi"/>
          <w:sz w:val="20"/>
          <w:szCs w:val="20"/>
          <w:lang w:val="es-ES"/>
        </w:rPr>
        <w:t xml:space="preserve"> 2016</w:t>
      </w:r>
      <w:r w:rsidR="00A05601" w:rsidRPr="007A3389">
        <w:rPr>
          <w:rFonts w:asciiTheme="majorHAnsi" w:hAnsiTheme="majorHAnsi"/>
          <w:sz w:val="20"/>
          <w:szCs w:val="20"/>
          <w:lang w:val="es-ES"/>
        </w:rPr>
        <w:t xml:space="preserve">, </w:t>
      </w:r>
      <w:r w:rsidRPr="007A3389">
        <w:rPr>
          <w:rFonts w:asciiTheme="majorHAnsi" w:hAnsiTheme="majorHAnsi"/>
          <w:sz w:val="20"/>
          <w:szCs w:val="20"/>
          <w:lang w:val="es-ES"/>
        </w:rPr>
        <w:t xml:space="preserve">la Comisión notificó a las partes la aplicación del artículo 36.3 de su Reglamento, ya que la petición se encuadra en los criterios establecidos en su resolución 1/16, y se puso a disposición de </w:t>
      </w:r>
      <w:r w:rsidR="00C95CDD">
        <w:rPr>
          <w:rFonts w:asciiTheme="majorHAnsi" w:hAnsiTheme="majorHAnsi"/>
          <w:sz w:val="20"/>
          <w:szCs w:val="20"/>
          <w:lang w:val="es-ES"/>
        </w:rPr>
        <w:t>el</w:t>
      </w:r>
      <w:r w:rsidRPr="007A3389">
        <w:rPr>
          <w:rFonts w:asciiTheme="majorHAnsi" w:hAnsiTheme="majorHAnsi"/>
          <w:sz w:val="20"/>
          <w:szCs w:val="20"/>
          <w:lang w:val="es-ES"/>
        </w:rPr>
        <w:t>las para llegar a una solución amistosa. Las partes contaron con los plazos dispuestos en el Reglamento de la CIDH para presentar observaciones adicionales sobre el fondo. Toda la información recibida por la Comisión fue transmitida debidamente a las partes</w:t>
      </w:r>
      <w:r w:rsidR="0027671E" w:rsidRPr="007A3389">
        <w:rPr>
          <w:rFonts w:asciiTheme="majorHAnsi" w:hAnsiTheme="majorHAnsi"/>
          <w:sz w:val="20"/>
          <w:szCs w:val="20"/>
          <w:lang w:val="es-ES"/>
        </w:rPr>
        <w:t>.</w:t>
      </w:r>
    </w:p>
    <w:p w14:paraId="006101A7" w14:textId="77777777" w:rsidR="001C4006" w:rsidRPr="007A3389"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lang w:val="es-ES"/>
        </w:rPr>
      </w:pPr>
    </w:p>
    <w:p w14:paraId="24892322" w14:textId="77777777" w:rsidR="001C4006" w:rsidRPr="007A3389" w:rsidRDefault="000D3EE0" w:rsidP="003676F1">
      <w:pPr>
        <w:pStyle w:val="Heading1"/>
        <w:tabs>
          <w:tab w:val="left" w:pos="360"/>
        </w:tabs>
        <w:spacing w:before="0"/>
        <w:ind w:hanging="720"/>
        <w:rPr>
          <w:color w:val="auto"/>
          <w:sz w:val="20"/>
          <w:szCs w:val="20"/>
          <w:lang w:val="es-ES"/>
        </w:rPr>
      </w:pPr>
      <w:bookmarkStart w:id="1" w:name="_Toc90298911"/>
      <w:r w:rsidRPr="007A3389">
        <w:rPr>
          <w:color w:val="auto"/>
          <w:sz w:val="20"/>
          <w:szCs w:val="20"/>
          <w:lang w:val="es-ES"/>
        </w:rPr>
        <w:t>POSICIÓN DE LAS PARTES</w:t>
      </w:r>
      <w:bookmarkEnd w:id="1"/>
    </w:p>
    <w:p w14:paraId="3C15A36C" w14:textId="77777777" w:rsidR="001C4006" w:rsidRPr="007A3389" w:rsidRDefault="001C4006" w:rsidP="00BB5A59">
      <w:pPr>
        <w:suppressAutoHyphens/>
        <w:ind w:left="1440" w:hanging="720"/>
        <w:rPr>
          <w:rFonts w:asciiTheme="majorHAnsi" w:hAnsiTheme="majorHAnsi"/>
          <w:sz w:val="20"/>
          <w:szCs w:val="20"/>
          <w:lang w:val="es-ES"/>
        </w:rPr>
      </w:pPr>
    </w:p>
    <w:p w14:paraId="252B46D2" w14:textId="77777777" w:rsidR="005C164F" w:rsidRPr="007A3389" w:rsidRDefault="005C164F" w:rsidP="003676F1">
      <w:pPr>
        <w:pStyle w:val="Heading2"/>
        <w:numPr>
          <w:ilvl w:val="0"/>
          <w:numId w:val="57"/>
        </w:numPr>
        <w:tabs>
          <w:tab w:val="left" w:pos="360"/>
        </w:tabs>
        <w:spacing w:before="0"/>
        <w:ind w:hanging="720"/>
        <w:rPr>
          <w:color w:val="auto"/>
          <w:sz w:val="20"/>
          <w:szCs w:val="20"/>
          <w:lang w:val="es-ES"/>
        </w:rPr>
      </w:pPr>
      <w:bookmarkStart w:id="2" w:name="_Toc90298912"/>
      <w:r w:rsidRPr="007A3389">
        <w:rPr>
          <w:color w:val="auto"/>
          <w:sz w:val="20"/>
          <w:szCs w:val="20"/>
          <w:lang w:val="es-ES"/>
        </w:rPr>
        <w:t>P</w:t>
      </w:r>
      <w:r w:rsidR="000D3EE0" w:rsidRPr="007A3389">
        <w:rPr>
          <w:color w:val="auto"/>
          <w:sz w:val="20"/>
          <w:szCs w:val="20"/>
          <w:lang w:val="es-ES"/>
        </w:rPr>
        <w:t>osición de los p</w:t>
      </w:r>
      <w:r w:rsidR="00262ECA" w:rsidRPr="007A3389">
        <w:rPr>
          <w:color w:val="auto"/>
          <w:sz w:val="20"/>
          <w:szCs w:val="20"/>
          <w:lang w:val="es-ES"/>
        </w:rPr>
        <w:t>eti</w:t>
      </w:r>
      <w:r w:rsidR="000D3EE0" w:rsidRPr="007A3389">
        <w:rPr>
          <w:color w:val="auto"/>
          <w:sz w:val="20"/>
          <w:szCs w:val="20"/>
          <w:lang w:val="es-ES"/>
        </w:rPr>
        <w:t>cionarios</w:t>
      </w:r>
      <w:bookmarkEnd w:id="2"/>
    </w:p>
    <w:p w14:paraId="08489EF0" w14:textId="77777777" w:rsidR="005C164F" w:rsidRPr="007A3389" w:rsidRDefault="005C164F" w:rsidP="00BB5A59">
      <w:pPr>
        <w:suppressAutoHyphens/>
        <w:ind w:left="1440" w:hanging="720"/>
        <w:rPr>
          <w:rFonts w:asciiTheme="majorHAnsi" w:hAnsiTheme="majorHAnsi"/>
          <w:sz w:val="20"/>
          <w:szCs w:val="20"/>
          <w:lang w:val="es-ES"/>
        </w:rPr>
      </w:pPr>
    </w:p>
    <w:p w14:paraId="65061CF3" w14:textId="77777777" w:rsidR="007F1641" w:rsidRPr="007A3389" w:rsidRDefault="00C95CDD"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L</w:t>
      </w:r>
      <w:r w:rsidR="000D3EE0" w:rsidRPr="007A3389">
        <w:rPr>
          <w:rFonts w:asciiTheme="majorHAnsi" w:hAnsiTheme="majorHAnsi"/>
          <w:sz w:val="20"/>
          <w:szCs w:val="20"/>
          <w:lang w:val="es-ES"/>
        </w:rPr>
        <w:t>os peticionarios</w:t>
      </w:r>
      <w:r>
        <w:rPr>
          <w:rFonts w:asciiTheme="majorHAnsi" w:hAnsiTheme="majorHAnsi"/>
          <w:sz w:val="20"/>
          <w:szCs w:val="20"/>
          <w:lang w:val="es-ES"/>
        </w:rPr>
        <w:t xml:space="preserve"> señalan que</w:t>
      </w:r>
      <w:r w:rsidR="007F1641"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señor</w:t>
      </w:r>
      <w:r w:rsidR="004A5E29" w:rsidRPr="007A3389">
        <w:rPr>
          <w:rFonts w:asciiTheme="majorHAnsi" w:hAnsiTheme="majorHAnsi"/>
          <w:sz w:val="20"/>
          <w:szCs w:val="20"/>
          <w:lang w:val="es-ES"/>
        </w:rPr>
        <w:t xml:space="preserve"> </w:t>
      </w:r>
      <w:r w:rsidR="00B74BBA" w:rsidRPr="007A3389">
        <w:rPr>
          <w:rFonts w:asciiTheme="majorHAnsi" w:hAnsiTheme="majorHAnsi"/>
          <w:sz w:val="20"/>
          <w:szCs w:val="20"/>
          <w:lang w:val="es-ES"/>
        </w:rPr>
        <w:t>Loza</w:t>
      </w:r>
      <w:r w:rsidR="004A5E29" w:rsidRPr="007A3389">
        <w:rPr>
          <w:rFonts w:asciiTheme="majorHAnsi" w:hAnsiTheme="majorHAnsi"/>
          <w:sz w:val="20"/>
          <w:szCs w:val="20"/>
          <w:lang w:val="es-ES"/>
        </w:rPr>
        <w:t xml:space="preserve"> </w:t>
      </w:r>
      <w:r w:rsidR="00A3351B" w:rsidRPr="007A3389">
        <w:rPr>
          <w:rFonts w:asciiTheme="majorHAnsi" w:hAnsiTheme="majorHAnsi"/>
          <w:sz w:val="20"/>
          <w:szCs w:val="20"/>
          <w:lang w:val="es-ES"/>
        </w:rPr>
        <w:t xml:space="preserve">fue arrestado en el estado de </w:t>
      </w:r>
      <w:r w:rsidR="004A5E29" w:rsidRPr="007A3389">
        <w:rPr>
          <w:rFonts w:asciiTheme="majorHAnsi" w:hAnsiTheme="majorHAnsi"/>
          <w:sz w:val="20"/>
          <w:szCs w:val="20"/>
          <w:lang w:val="es-ES"/>
        </w:rPr>
        <w:t xml:space="preserve">Ohio </w:t>
      </w:r>
      <w:r w:rsidR="00A3351B" w:rsidRPr="007A3389">
        <w:rPr>
          <w:rFonts w:asciiTheme="majorHAnsi" w:hAnsiTheme="majorHAnsi"/>
          <w:sz w:val="20"/>
          <w:szCs w:val="20"/>
          <w:lang w:val="es-ES"/>
        </w:rPr>
        <w:t xml:space="preserve">el </w:t>
      </w:r>
      <w:r w:rsidR="004A5E29" w:rsidRPr="007A3389">
        <w:rPr>
          <w:rFonts w:asciiTheme="majorHAnsi" w:hAnsiTheme="majorHAnsi"/>
          <w:sz w:val="20"/>
          <w:szCs w:val="20"/>
          <w:lang w:val="es-ES"/>
        </w:rPr>
        <w:t>16</w:t>
      </w:r>
      <w:r w:rsidR="00A3351B" w:rsidRPr="007A3389">
        <w:rPr>
          <w:rFonts w:asciiTheme="majorHAnsi" w:hAnsiTheme="majorHAnsi"/>
          <w:sz w:val="20"/>
          <w:szCs w:val="20"/>
          <w:lang w:val="es-ES"/>
        </w:rPr>
        <w:t xml:space="preserve"> de enero de</w:t>
      </w:r>
      <w:r w:rsidR="004A5E29" w:rsidRPr="007A3389">
        <w:rPr>
          <w:rFonts w:asciiTheme="majorHAnsi" w:hAnsiTheme="majorHAnsi"/>
          <w:sz w:val="20"/>
          <w:szCs w:val="20"/>
          <w:lang w:val="es-ES"/>
        </w:rPr>
        <w:t xml:space="preserve"> 1991</w:t>
      </w:r>
      <w:r w:rsidR="00A3351B" w:rsidRPr="007A3389">
        <w:rPr>
          <w:rFonts w:asciiTheme="majorHAnsi" w:hAnsiTheme="majorHAnsi"/>
          <w:sz w:val="20"/>
          <w:szCs w:val="20"/>
          <w:lang w:val="es-ES"/>
        </w:rPr>
        <w:t xml:space="preserve"> y se le imputaron cuatro cargos de homicidio</w:t>
      </w:r>
      <w:r w:rsidR="004A5E29" w:rsidRPr="007A3389">
        <w:rPr>
          <w:rFonts w:asciiTheme="majorHAnsi" w:hAnsiTheme="majorHAnsi"/>
          <w:sz w:val="20"/>
          <w:szCs w:val="20"/>
          <w:lang w:val="es-ES"/>
        </w:rPr>
        <w:t xml:space="preserve">. </w:t>
      </w:r>
      <w:r w:rsidR="00A3351B" w:rsidRPr="007A3389">
        <w:rPr>
          <w:rFonts w:asciiTheme="majorHAnsi" w:hAnsiTheme="majorHAnsi"/>
          <w:sz w:val="20"/>
          <w:szCs w:val="20"/>
          <w:lang w:val="es-ES"/>
        </w:rPr>
        <w:t>Posteriormente fue declarado culpable y condenado a muerte</w:t>
      </w:r>
      <w:r w:rsidR="00A07134" w:rsidRPr="007A3389">
        <w:rPr>
          <w:rFonts w:asciiTheme="majorHAnsi" w:hAnsiTheme="majorHAnsi"/>
          <w:sz w:val="20"/>
          <w:szCs w:val="20"/>
          <w:lang w:val="es-ES"/>
        </w:rPr>
        <w:t xml:space="preserve">. </w:t>
      </w:r>
      <w:r w:rsidR="000D3EE0" w:rsidRPr="007A3389">
        <w:rPr>
          <w:rFonts w:asciiTheme="majorHAnsi" w:hAnsiTheme="majorHAnsi"/>
          <w:sz w:val="20"/>
          <w:szCs w:val="20"/>
          <w:lang w:val="es-ES"/>
        </w:rPr>
        <w:t>Los peticionarios</w:t>
      </w:r>
      <w:r w:rsidR="00565B4B" w:rsidRPr="007A3389">
        <w:rPr>
          <w:rFonts w:asciiTheme="majorHAnsi" w:hAnsiTheme="majorHAnsi"/>
          <w:sz w:val="20"/>
          <w:szCs w:val="20"/>
          <w:lang w:val="es-ES"/>
        </w:rPr>
        <w:t xml:space="preserve"> </w:t>
      </w:r>
      <w:r w:rsidR="00A3351B" w:rsidRPr="007A3389">
        <w:rPr>
          <w:rFonts w:asciiTheme="majorHAnsi" w:hAnsiTheme="majorHAnsi"/>
          <w:sz w:val="20"/>
          <w:szCs w:val="20"/>
          <w:lang w:val="es-ES"/>
        </w:rPr>
        <w:t xml:space="preserve">afirman </w:t>
      </w:r>
      <w:r w:rsidR="005019B9" w:rsidRPr="007A3389">
        <w:rPr>
          <w:rFonts w:asciiTheme="majorHAnsi" w:hAnsiTheme="majorHAnsi"/>
          <w:sz w:val="20"/>
          <w:szCs w:val="20"/>
          <w:lang w:val="es-ES"/>
        </w:rPr>
        <w:t>que el juicio d</w:t>
      </w:r>
      <w:r w:rsidR="00D87346" w:rsidRPr="007A3389">
        <w:rPr>
          <w:rFonts w:asciiTheme="majorHAnsi" w:hAnsiTheme="majorHAnsi"/>
          <w:sz w:val="20"/>
          <w:szCs w:val="20"/>
          <w:lang w:val="es-ES"/>
        </w:rPr>
        <w:t>el señor</w:t>
      </w:r>
      <w:r w:rsidR="004A5E29" w:rsidRPr="007A3389">
        <w:rPr>
          <w:rFonts w:asciiTheme="majorHAnsi" w:hAnsiTheme="majorHAnsi"/>
          <w:sz w:val="20"/>
          <w:szCs w:val="20"/>
          <w:lang w:val="es-ES"/>
        </w:rPr>
        <w:t xml:space="preserve"> </w:t>
      </w:r>
      <w:r w:rsidR="00B74BBA" w:rsidRPr="007A3389">
        <w:rPr>
          <w:rFonts w:asciiTheme="majorHAnsi" w:hAnsiTheme="majorHAnsi"/>
          <w:sz w:val="20"/>
          <w:szCs w:val="20"/>
          <w:lang w:val="es-ES"/>
        </w:rPr>
        <w:t>Loza</w:t>
      </w:r>
      <w:r w:rsidR="004A5E29" w:rsidRPr="007A3389">
        <w:rPr>
          <w:rFonts w:asciiTheme="majorHAnsi" w:hAnsiTheme="majorHAnsi"/>
          <w:sz w:val="20"/>
          <w:szCs w:val="20"/>
          <w:lang w:val="es-ES"/>
        </w:rPr>
        <w:t xml:space="preserve"> </w:t>
      </w:r>
      <w:r w:rsidR="005019B9" w:rsidRPr="007A3389">
        <w:rPr>
          <w:rFonts w:asciiTheme="majorHAnsi" w:hAnsiTheme="majorHAnsi"/>
          <w:sz w:val="20"/>
          <w:szCs w:val="20"/>
          <w:lang w:val="es-ES"/>
        </w:rPr>
        <w:t xml:space="preserve">estuvo </w:t>
      </w:r>
      <w:r w:rsidR="004A5E29" w:rsidRPr="007A3389">
        <w:rPr>
          <w:rFonts w:asciiTheme="majorHAnsi" w:hAnsiTheme="majorHAnsi"/>
          <w:sz w:val="20"/>
          <w:szCs w:val="20"/>
          <w:lang w:val="es-ES"/>
        </w:rPr>
        <w:t>“i</w:t>
      </w:r>
      <w:r w:rsidR="005019B9" w:rsidRPr="007A3389">
        <w:rPr>
          <w:rFonts w:asciiTheme="majorHAnsi" w:hAnsiTheme="majorHAnsi"/>
          <w:sz w:val="20"/>
          <w:szCs w:val="20"/>
          <w:lang w:val="es-ES"/>
        </w:rPr>
        <w:t>mbuido de animosidad racial</w:t>
      </w:r>
      <w:r w:rsidR="004A5E29" w:rsidRPr="007A3389">
        <w:rPr>
          <w:rFonts w:asciiTheme="majorHAnsi" w:hAnsiTheme="majorHAnsi"/>
          <w:sz w:val="20"/>
          <w:szCs w:val="20"/>
          <w:lang w:val="es-ES"/>
        </w:rPr>
        <w:t xml:space="preserve"> </w:t>
      </w:r>
      <w:r w:rsidR="005019B9" w:rsidRPr="007A3389">
        <w:rPr>
          <w:rFonts w:asciiTheme="majorHAnsi" w:hAnsiTheme="majorHAnsi"/>
          <w:sz w:val="20"/>
          <w:szCs w:val="20"/>
          <w:lang w:val="es-ES"/>
        </w:rPr>
        <w:t>y</w:t>
      </w:r>
      <w:r w:rsidR="004A5E29" w:rsidRPr="007A3389">
        <w:rPr>
          <w:rFonts w:asciiTheme="majorHAnsi" w:hAnsiTheme="majorHAnsi"/>
          <w:sz w:val="20"/>
          <w:szCs w:val="20"/>
          <w:lang w:val="es-ES"/>
        </w:rPr>
        <w:t xml:space="preserve"> </w:t>
      </w:r>
      <w:r w:rsidR="00A3351B" w:rsidRPr="007A3389">
        <w:rPr>
          <w:rFonts w:asciiTheme="majorHAnsi" w:hAnsiTheme="majorHAnsi"/>
          <w:sz w:val="20"/>
          <w:szCs w:val="20"/>
          <w:lang w:val="es-ES"/>
        </w:rPr>
        <w:t>conducta indebida de la policía</w:t>
      </w:r>
      <w:r w:rsidR="004A5E29" w:rsidRPr="007A3389">
        <w:rPr>
          <w:rFonts w:asciiTheme="majorHAnsi" w:hAnsiTheme="majorHAnsi"/>
          <w:sz w:val="20"/>
          <w:szCs w:val="20"/>
          <w:lang w:val="es-ES"/>
        </w:rPr>
        <w:t>”</w:t>
      </w:r>
      <w:r w:rsidR="005019B9" w:rsidRPr="007A3389">
        <w:rPr>
          <w:rFonts w:asciiTheme="majorHAnsi" w:hAnsiTheme="majorHAnsi"/>
          <w:sz w:val="20"/>
          <w:szCs w:val="20"/>
          <w:lang w:val="es-ES"/>
        </w:rPr>
        <w:t xml:space="preserve"> y que al señor Loza no le informaron sobre su </w:t>
      </w:r>
      <w:r w:rsidR="008A10AB" w:rsidRPr="007A3389">
        <w:rPr>
          <w:rFonts w:asciiTheme="majorHAnsi" w:hAnsiTheme="majorHAnsi"/>
          <w:sz w:val="20"/>
          <w:szCs w:val="20"/>
          <w:lang w:val="es-ES"/>
        </w:rPr>
        <w:t>derecho a la notificación consular</w:t>
      </w:r>
      <w:r w:rsidR="004A5E29" w:rsidRPr="007A3389">
        <w:rPr>
          <w:rFonts w:asciiTheme="majorHAnsi" w:hAnsiTheme="majorHAnsi"/>
          <w:sz w:val="20"/>
          <w:szCs w:val="20"/>
          <w:lang w:val="es-ES"/>
        </w:rPr>
        <w:t xml:space="preserve"> </w:t>
      </w:r>
      <w:r w:rsidR="005019B9" w:rsidRPr="007A3389">
        <w:rPr>
          <w:rFonts w:asciiTheme="majorHAnsi" w:hAnsiTheme="majorHAnsi"/>
          <w:sz w:val="20"/>
          <w:szCs w:val="20"/>
          <w:lang w:val="es-ES"/>
        </w:rPr>
        <w:t xml:space="preserve">y a </w:t>
      </w:r>
      <w:r w:rsidR="00277987">
        <w:rPr>
          <w:rFonts w:asciiTheme="majorHAnsi" w:hAnsiTheme="majorHAnsi"/>
          <w:sz w:val="20"/>
          <w:szCs w:val="20"/>
          <w:lang w:val="es-ES"/>
        </w:rPr>
        <w:t xml:space="preserve">comunicarse </w:t>
      </w:r>
      <w:r w:rsidR="005019B9" w:rsidRPr="007A3389">
        <w:rPr>
          <w:rFonts w:asciiTheme="majorHAnsi" w:hAnsiTheme="majorHAnsi"/>
          <w:sz w:val="20"/>
          <w:szCs w:val="20"/>
          <w:lang w:val="es-ES"/>
        </w:rPr>
        <w:t>con el consulado antes del juicio y durante el mismo</w:t>
      </w:r>
      <w:r w:rsidR="006C030E" w:rsidRPr="007A3389">
        <w:rPr>
          <w:rFonts w:asciiTheme="majorHAnsi" w:hAnsiTheme="majorHAnsi"/>
          <w:sz w:val="20"/>
          <w:szCs w:val="20"/>
          <w:lang w:val="es-ES"/>
        </w:rPr>
        <w:t>.</w:t>
      </w:r>
      <w:r w:rsidR="00860797">
        <w:rPr>
          <w:rFonts w:asciiTheme="majorHAnsi" w:hAnsiTheme="majorHAnsi"/>
          <w:sz w:val="20"/>
          <w:szCs w:val="20"/>
          <w:lang w:val="es-ES"/>
        </w:rPr>
        <w:t xml:space="preserve"> </w:t>
      </w:r>
    </w:p>
    <w:p w14:paraId="36918639" w14:textId="77777777" w:rsidR="00A75A39" w:rsidRPr="007A3389" w:rsidRDefault="00A75A39" w:rsidP="00A75A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07D6FA6C" w14:textId="77777777" w:rsidR="007D4CD9" w:rsidRPr="007A3389" w:rsidRDefault="00C95CDD" w:rsidP="007D4C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C95CDD">
        <w:rPr>
          <w:rFonts w:asciiTheme="majorHAnsi" w:hAnsiTheme="majorHAnsi"/>
          <w:sz w:val="20"/>
          <w:szCs w:val="20"/>
          <w:lang w:val="es-ES"/>
        </w:rPr>
        <w:t xml:space="preserve">Según los peticionarios, </w:t>
      </w:r>
      <w:r w:rsidR="00A06C83" w:rsidRPr="007A3389">
        <w:rPr>
          <w:rFonts w:asciiTheme="majorHAnsi" w:hAnsiTheme="majorHAnsi"/>
          <w:sz w:val="20"/>
          <w:szCs w:val="20"/>
          <w:lang w:val="es-ES"/>
        </w:rPr>
        <w:t>consta que</w:t>
      </w:r>
      <w:r w:rsidR="005019B9" w:rsidRPr="007A3389">
        <w:rPr>
          <w:rFonts w:asciiTheme="majorHAnsi" w:hAnsiTheme="majorHAnsi"/>
          <w:sz w:val="20"/>
          <w:szCs w:val="20"/>
          <w:lang w:val="es-ES"/>
        </w:rPr>
        <w:t>, durante la investigación penal</w:t>
      </w:r>
      <w:r w:rsidR="007D4CD9"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el detective a cargo</w:t>
      </w:r>
      <w:r w:rsidR="007D4CD9" w:rsidRPr="007A3389">
        <w:rPr>
          <w:rFonts w:asciiTheme="majorHAnsi" w:hAnsiTheme="majorHAnsi"/>
          <w:sz w:val="20"/>
          <w:szCs w:val="20"/>
          <w:lang w:val="es-ES"/>
        </w:rPr>
        <w:t xml:space="preserve">, Roger </w:t>
      </w:r>
      <w:proofErr w:type="spellStart"/>
      <w:r w:rsidR="007D4CD9" w:rsidRPr="007A3389">
        <w:rPr>
          <w:rFonts w:asciiTheme="majorHAnsi" w:hAnsiTheme="majorHAnsi"/>
          <w:sz w:val="20"/>
          <w:szCs w:val="20"/>
          <w:lang w:val="es-ES"/>
        </w:rPr>
        <w:t>Knabel</w:t>
      </w:r>
      <w:proofErr w:type="spellEnd"/>
      <w:r w:rsidR="007D4CD9"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 xml:space="preserve">se refirió a </w:t>
      </w:r>
      <w:r w:rsidR="005019B9" w:rsidRPr="007A3389">
        <w:rPr>
          <w:rFonts w:asciiTheme="majorHAnsi" w:hAnsiTheme="majorHAnsi"/>
          <w:sz w:val="20"/>
          <w:szCs w:val="20"/>
          <w:lang w:val="es-ES"/>
        </w:rPr>
        <w:t>la presunta víctima</w:t>
      </w:r>
      <w:r w:rsidR="007D4CD9"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 xml:space="preserve">como “el mojado de </w:t>
      </w:r>
      <w:r w:rsidR="007D4CD9" w:rsidRPr="007A3389">
        <w:rPr>
          <w:rFonts w:asciiTheme="majorHAnsi" w:hAnsiTheme="majorHAnsi"/>
          <w:sz w:val="20"/>
          <w:szCs w:val="20"/>
          <w:lang w:val="es-ES"/>
        </w:rPr>
        <w:t xml:space="preserve">California”. </w:t>
      </w:r>
      <w:r w:rsidR="00A06C83" w:rsidRPr="007A3389">
        <w:rPr>
          <w:rFonts w:asciiTheme="majorHAnsi" w:hAnsiTheme="majorHAnsi"/>
          <w:sz w:val="20"/>
          <w:szCs w:val="20"/>
          <w:lang w:val="es-ES"/>
        </w:rPr>
        <w:t xml:space="preserve">Agregan que, en la escena del delito, el señor </w:t>
      </w:r>
      <w:proofErr w:type="spellStart"/>
      <w:r w:rsidR="00A06C83" w:rsidRPr="007A3389">
        <w:rPr>
          <w:rFonts w:asciiTheme="majorHAnsi" w:hAnsiTheme="majorHAnsi"/>
          <w:sz w:val="20"/>
          <w:szCs w:val="20"/>
          <w:lang w:val="es-ES"/>
        </w:rPr>
        <w:t>Knabel</w:t>
      </w:r>
      <w:proofErr w:type="spellEnd"/>
      <w:r w:rsidR="00A06C83" w:rsidRPr="007A3389">
        <w:rPr>
          <w:rFonts w:asciiTheme="majorHAnsi" w:hAnsiTheme="majorHAnsi"/>
          <w:sz w:val="20"/>
          <w:szCs w:val="20"/>
          <w:lang w:val="es-ES"/>
        </w:rPr>
        <w:t xml:space="preserve"> concluyó</w:t>
      </w:r>
      <w:r w:rsidR="007D4CD9"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 xml:space="preserve">que el autor había sido </w:t>
      </w:r>
      <w:r w:rsidR="00D87346" w:rsidRPr="007A3389">
        <w:rPr>
          <w:rFonts w:asciiTheme="majorHAnsi" w:hAnsiTheme="majorHAnsi"/>
          <w:sz w:val="20"/>
          <w:szCs w:val="20"/>
          <w:lang w:val="es-ES"/>
        </w:rPr>
        <w:t>el señor</w:t>
      </w:r>
      <w:r w:rsidR="007D4CD9" w:rsidRPr="007A3389">
        <w:rPr>
          <w:rFonts w:asciiTheme="majorHAnsi" w:hAnsiTheme="majorHAnsi"/>
          <w:sz w:val="20"/>
          <w:szCs w:val="20"/>
          <w:lang w:val="es-ES"/>
        </w:rPr>
        <w:t xml:space="preserve"> Loza</w:t>
      </w:r>
      <w:r w:rsidR="00A06C83" w:rsidRPr="007A3389">
        <w:rPr>
          <w:rFonts w:asciiTheme="majorHAnsi" w:hAnsiTheme="majorHAnsi"/>
          <w:sz w:val="20"/>
          <w:szCs w:val="20"/>
          <w:lang w:val="es-ES"/>
        </w:rPr>
        <w:t>. L</w:t>
      </w:r>
      <w:r w:rsidR="000D3EE0" w:rsidRPr="007A3389">
        <w:rPr>
          <w:rFonts w:asciiTheme="majorHAnsi" w:hAnsiTheme="majorHAnsi"/>
          <w:sz w:val="20"/>
          <w:szCs w:val="20"/>
          <w:lang w:val="es-ES"/>
        </w:rPr>
        <w:t>os peticionarios</w:t>
      </w:r>
      <w:r w:rsidR="00C8734C"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afirman que el</w:t>
      </w:r>
      <w:r w:rsidR="007D4CD9" w:rsidRPr="007A3389">
        <w:rPr>
          <w:rFonts w:asciiTheme="majorHAnsi" w:hAnsiTheme="majorHAnsi"/>
          <w:sz w:val="20"/>
          <w:szCs w:val="20"/>
          <w:lang w:val="es-ES"/>
        </w:rPr>
        <w:t xml:space="preserve"> detective </w:t>
      </w:r>
      <w:r w:rsidR="00A06C83" w:rsidRPr="007A3389">
        <w:rPr>
          <w:rFonts w:asciiTheme="majorHAnsi" w:hAnsiTheme="majorHAnsi"/>
          <w:sz w:val="20"/>
          <w:szCs w:val="20"/>
          <w:lang w:val="es-ES"/>
        </w:rPr>
        <w:t>dijo que podrían electrocutar a la novia d</w:t>
      </w:r>
      <w:r w:rsidR="00D87346" w:rsidRPr="007A3389">
        <w:rPr>
          <w:rFonts w:asciiTheme="majorHAnsi" w:hAnsiTheme="majorHAnsi"/>
          <w:sz w:val="20"/>
          <w:szCs w:val="20"/>
          <w:lang w:val="es-ES"/>
        </w:rPr>
        <w:t>el señor</w:t>
      </w:r>
      <w:r w:rsidR="007D4CD9" w:rsidRPr="007A3389">
        <w:rPr>
          <w:rFonts w:asciiTheme="majorHAnsi" w:hAnsiTheme="majorHAnsi"/>
          <w:sz w:val="20"/>
          <w:szCs w:val="20"/>
          <w:lang w:val="es-ES"/>
        </w:rPr>
        <w:t xml:space="preserve"> Loza</w:t>
      </w:r>
      <w:r w:rsidR="00A06C83" w:rsidRPr="007A3389">
        <w:rPr>
          <w:rFonts w:asciiTheme="majorHAnsi" w:hAnsiTheme="majorHAnsi"/>
          <w:sz w:val="20"/>
          <w:szCs w:val="20"/>
          <w:lang w:val="es-ES"/>
        </w:rPr>
        <w:t xml:space="preserve">, que estaba embarazada, o ponerla en la cámara de gas si la </w:t>
      </w:r>
      <w:r w:rsidR="005019B9" w:rsidRPr="007A3389">
        <w:rPr>
          <w:rFonts w:asciiTheme="majorHAnsi" w:hAnsiTheme="majorHAnsi"/>
          <w:sz w:val="20"/>
          <w:szCs w:val="20"/>
          <w:lang w:val="es-ES"/>
        </w:rPr>
        <w:t>presunta víctima</w:t>
      </w:r>
      <w:r w:rsidR="007D4CD9"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 xml:space="preserve">no se declaraba culpable de los homicidios y que </w:t>
      </w:r>
      <w:r w:rsidR="00D87346" w:rsidRPr="007A3389">
        <w:rPr>
          <w:rFonts w:asciiTheme="majorHAnsi" w:hAnsiTheme="majorHAnsi"/>
          <w:sz w:val="20"/>
          <w:szCs w:val="20"/>
          <w:lang w:val="es-ES"/>
        </w:rPr>
        <w:t>el señor</w:t>
      </w:r>
      <w:r w:rsidR="007D4CD9" w:rsidRPr="007A3389">
        <w:rPr>
          <w:rFonts w:asciiTheme="majorHAnsi" w:hAnsiTheme="majorHAnsi"/>
          <w:sz w:val="20"/>
          <w:szCs w:val="20"/>
          <w:lang w:val="es-ES"/>
        </w:rPr>
        <w:t xml:space="preserve"> Loza </w:t>
      </w:r>
      <w:r w:rsidR="00A06C83" w:rsidRPr="007A3389">
        <w:rPr>
          <w:rFonts w:asciiTheme="majorHAnsi" w:hAnsiTheme="majorHAnsi"/>
          <w:sz w:val="20"/>
          <w:szCs w:val="20"/>
          <w:lang w:val="es-ES"/>
        </w:rPr>
        <w:t xml:space="preserve">confesó después que le aseguraron que no </w:t>
      </w:r>
      <w:r w:rsidR="00117FCC" w:rsidRPr="007A3389">
        <w:rPr>
          <w:rFonts w:asciiTheme="majorHAnsi" w:hAnsiTheme="majorHAnsi"/>
          <w:sz w:val="20"/>
          <w:szCs w:val="20"/>
          <w:lang w:val="es-ES"/>
        </w:rPr>
        <w:t xml:space="preserve">le harían daño </w:t>
      </w:r>
      <w:r w:rsidR="00117FCC" w:rsidRPr="000745C0">
        <w:rPr>
          <w:rFonts w:asciiTheme="majorHAnsi" w:hAnsiTheme="majorHAnsi"/>
          <w:sz w:val="20"/>
          <w:szCs w:val="20"/>
          <w:lang w:val="es-ES"/>
        </w:rPr>
        <w:t>a su novia</w:t>
      </w:r>
      <w:r w:rsidR="007D4CD9" w:rsidRPr="007A3389">
        <w:rPr>
          <w:rFonts w:asciiTheme="majorHAnsi" w:hAnsiTheme="majorHAnsi"/>
          <w:sz w:val="20"/>
          <w:szCs w:val="20"/>
          <w:lang w:val="es-ES"/>
        </w:rPr>
        <w:t xml:space="preserve">. </w:t>
      </w:r>
      <w:r w:rsidR="000D3EE0" w:rsidRPr="007A3389">
        <w:rPr>
          <w:rFonts w:asciiTheme="majorHAnsi" w:hAnsiTheme="majorHAnsi"/>
          <w:sz w:val="20"/>
          <w:szCs w:val="20"/>
          <w:lang w:val="es-ES"/>
        </w:rPr>
        <w:t>Los peticionarios</w:t>
      </w:r>
      <w:r w:rsidR="007D4CD9"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indican que el detective</w:t>
      </w:r>
      <w:r w:rsidR="007D4CD9" w:rsidRPr="007A3389">
        <w:rPr>
          <w:rFonts w:asciiTheme="majorHAnsi" w:hAnsiTheme="majorHAnsi"/>
          <w:sz w:val="20"/>
          <w:szCs w:val="20"/>
          <w:lang w:val="es-ES"/>
        </w:rPr>
        <w:t xml:space="preserve"> decid</w:t>
      </w:r>
      <w:r w:rsidR="00117FCC" w:rsidRPr="007A3389">
        <w:rPr>
          <w:rFonts w:asciiTheme="majorHAnsi" w:hAnsiTheme="majorHAnsi"/>
          <w:sz w:val="20"/>
          <w:szCs w:val="20"/>
          <w:lang w:val="es-ES"/>
        </w:rPr>
        <w:t xml:space="preserve">ió que </w:t>
      </w:r>
      <w:r w:rsidR="00D87346" w:rsidRPr="007A3389">
        <w:rPr>
          <w:rFonts w:asciiTheme="majorHAnsi" w:hAnsiTheme="majorHAnsi"/>
          <w:sz w:val="20"/>
          <w:szCs w:val="20"/>
          <w:lang w:val="es-ES"/>
        </w:rPr>
        <w:t>el señor</w:t>
      </w:r>
      <w:r w:rsidR="007D4CD9" w:rsidRPr="007A3389">
        <w:rPr>
          <w:rFonts w:asciiTheme="majorHAnsi" w:hAnsiTheme="majorHAnsi"/>
          <w:sz w:val="20"/>
          <w:szCs w:val="20"/>
          <w:lang w:val="es-ES"/>
        </w:rPr>
        <w:t xml:space="preserve"> Loza </w:t>
      </w:r>
      <w:r w:rsidR="00117FCC" w:rsidRPr="007A3389">
        <w:rPr>
          <w:rFonts w:asciiTheme="majorHAnsi" w:hAnsiTheme="majorHAnsi"/>
          <w:sz w:val="20"/>
          <w:szCs w:val="20"/>
          <w:lang w:val="es-ES"/>
        </w:rPr>
        <w:t xml:space="preserve">debía recibir </w:t>
      </w:r>
      <w:r w:rsidR="00A06C83" w:rsidRPr="007A3389">
        <w:rPr>
          <w:rFonts w:asciiTheme="majorHAnsi" w:hAnsiTheme="majorHAnsi"/>
          <w:sz w:val="20"/>
          <w:szCs w:val="20"/>
          <w:lang w:val="es-ES"/>
        </w:rPr>
        <w:t>la pena de muerte</w:t>
      </w:r>
      <w:r w:rsidR="007D4CD9"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y que los fiscales</w:t>
      </w:r>
      <w:r w:rsidR="007D4CD9"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no lo cuestionaron</w:t>
      </w:r>
      <w:r w:rsidR="007D4CD9" w:rsidRPr="007A3389">
        <w:rPr>
          <w:rFonts w:asciiTheme="majorHAnsi" w:hAnsiTheme="majorHAnsi"/>
          <w:sz w:val="20"/>
          <w:szCs w:val="20"/>
          <w:lang w:val="es-ES"/>
        </w:rPr>
        <w:t>.</w:t>
      </w:r>
    </w:p>
    <w:p w14:paraId="5D51C02C" w14:textId="77777777" w:rsidR="007D4CD9" w:rsidRPr="007A3389" w:rsidRDefault="007D4CD9" w:rsidP="00A75A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24464801" w14:textId="77777777" w:rsidR="00C44A35" w:rsidRPr="007A3389" w:rsidRDefault="000D3EE0" w:rsidP="00F23C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7A3389">
        <w:rPr>
          <w:rFonts w:asciiTheme="majorHAnsi" w:hAnsiTheme="majorHAnsi"/>
          <w:sz w:val="20"/>
          <w:szCs w:val="20"/>
          <w:lang w:val="es-ES"/>
        </w:rPr>
        <w:t>Los peticionarios</w:t>
      </w:r>
      <w:r w:rsidR="00C8734C" w:rsidRPr="007A3389">
        <w:rPr>
          <w:rFonts w:asciiTheme="majorHAnsi" w:hAnsiTheme="majorHAnsi"/>
          <w:sz w:val="20"/>
          <w:szCs w:val="20"/>
          <w:lang w:val="es-ES"/>
        </w:rPr>
        <w:t xml:space="preserve"> al</w:t>
      </w:r>
      <w:r w:rsidR="00117FCC" w:rsidRPr="007A3389">
        <w:rPr>
          <w:rFonts w:asciiTheme="majorHAnsi" w:hAnsiTheme="majorHAnsi"/>
          <w:sz w:val="20"/>
          <w:szCs w:val="20"/>
          <w:lang w:val="es-ES"/>
        </w:rPr>
        <w:t xml:space="preserve">egan que </w:t>
      </w:r>
      <w:r w:rsidR="00D87346" w:rsidRPr="007A3389">
        <w:rPr>
          <w:rFonts w:asciiTheme="majorHAnsi" w:hAnsiTheme="majorHAnsi"/>
          <w:sz w:val="20"/>
          <w:szCs w:val="20"/>
          <w:lang w:val="es-ES"/>
        </w:rPr>
        <w:t>el Estado</w:t>
      </w:r>
      <w:r w:rsidR="00C8734C" w:rsidRPr="007A3389">
        <w:rPr>
          <w:rFonts w:asciiTheme="majorHAnsi" w:hAnsiTheme="majorHAnsi"/>
          <w:sz w:val="20"/>
          <w:szCs w:val="20"/>
          <w:lang w:val="es-ES"/>
        </w:rPr>
        <w:t xml:space="preserve"> viol</w:t>
      </w:r>
      <w:r w:rsidR="00117FCC" w:rsidRPr="007A3389">
        <w:rPr>
          <w:rFonts w:asciiTheme="majorHAnsi" w:hAnsiTheme="majorHAnsi"/>
          <w:sz w:val="20"/>
          <w:szCs w:val="20"/>
          <w:lang w:val="es-ES"/>
        </w:rPr>
        <w:t>ó el derecho d</w:t>
      </w:r>
      <w:r w:rsidR="00D87346" w:rsidRPr="007A3389">
        <w:rPr>
          <w:rFonts w:asciiTheme="majorHAnsi" w:hAnsiTheme="majorHAnsi"/>
          <w:sz w:val="20"/>
          <w:szCs w:val="20"/>
          <w:lang w:val="es-ES"/>
        </w:rPr>
        <w:t>el señor</w:t>
      </w:r>
      <w:r w:rsidR="00C8734C" w:rsidRPr="007A3389">
        <w:rPr>
          <w:rFonts w:asciiTheme="majorHAnsi" w:hAnsiTheme="majorHAnsi"/>
          <w:sz w:val="20"/>
          <w:szCs w:val="20"/>
          <w:lang w:val="es-ES"/>
        </w:rPr>
        <w:t xml:space="preserve"> Ventura</w:t>
      </w:r>
      <w:r w:rsidR="00117FCC" w:rsidRPr="007A3389">
        <w:rPr>
          <w:rFonts w:asciiTheme="majorHAnsi" w:hAnsiTheme="majorHAnsi"/>
          <w:sz w:val="20"/>
          <w:szCs w:val="20"/>
          <w:lang w:val="es-ES"/>
        </w:rPr>
        <w:t xml:space="preserve"> a la </w:t>
      </w:r>
      <w:r w:rsidR="003010E1" w:rsidRPr="007A3389">
        <w:rPr>
          <w:rFonts w:asciiTheme="majorHAnsi" w:hAnsiTheme="majorHAnsi"/>
          <w:sz w:val="20"/>
          <w:szCs w:val="20"/>
          <w:lang w:val="es-ES"/>
        </w:rPr>
        <w:t>igualdad ante la ley</w:t>
      </w:r>
      <w:r w:rsidR="00C8734C"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 xml:space="preserve">porque el juicio al cual fue sometido por un delito punible con la pena de muerte </w:t>
      </w:r>
      <w:r w:rsidR="000F05A8">
        <w:rPr>
          <w:rFonts w:asciiTheme="majorHAnsi" w:hAnsiTheme="majorHAnsi"/>
          <w:sz w:val="20"/>
          <w:szCs w:val="20"/>
          <w:lang w:val="es-ES"/>
        </w:rPr>
        <w:t xml:space="preserve">supuestamente </w:t>
      </w:r>
      <w:r w:rsidR="00F23C27" w:rsidRPr="007A3389">
        <w:rPr>
          <w:rFonts w:asciiTheme="majorHAnsi" w:hAnsiTheme="majorHAnsi"/>
          <w:sz w:val="20"/>
          <w:szCs w:val="20"/>
          <w:lang w:val="es-ES"/>
        </w:rPr>
        <w:t xml:space="preserve">estuvo contaminado por la </w:t>
      </w:r>
      <w:r w:rsidR="003010E1" w:rsidRPr="007A3389">
        <w:rPr>
          <w:rFonts w:asciiTheme="majorHAnsi" w:hAnsiTheme="majorHAnsi"/>
          <w:sz w:val="20"/>
          <w:szCs w:val="20"/>
          <w:lang w:val="es-ES"/>
        </w:rPr>
        <w:t>mala conducta de la fiscalía</w:t>
      </w:r>
      <w:r w:rsidR="00C8734C"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 xml:space="preserve">y </w:t>
      </w:r>
      <w:r w:rsidR="00F23C27" w:rsidRPr="007A3389">
        <w:rPr>
          <w:rFonts w:asciiTheme="majorHAnsi" w:hAnsiTheme="majorHAnsi"/>
          <w:sz w:val="20"/>
          <w:szCs w:val="20"/>
          <w:lang w:val="es-ES"/>
        </w:rPr>
        <w:t xml:space="preserve">por </w:t>
      </w:r>
      <w:r w:rsidR="00A06C83" w:rsidRPr="007A3389">
        <w:rPr>
          <w:rFonts w:asciiTheme="majorHAnsi" w:hAnsiTheme="majorHAnsi"/>
          <w:sz w:val="20"/>
          <w:szCs w:val="20"/>
          <w:lang w:val="es-ES"/>
        </w:rPr>
        <w:t xml:space="preserve">animosidad </w:t>
      </w:r>
      <w:r w:rsidR="00C8734C" w:rsidRPr="007A3389">
        <w:rPr>
          <w:rFonts w:asciiTheme="majorHAnsi" w:hAnsiTheme="majorHAnsi"/>
          <w:sz w:val="20"/>
          <w:szCs w:val="20"/>
          <w:lang w:val="es-ES"/>
        </w:rPr>
        <w:t xml:space="preserve">racial </w:t>
      </w:r>
      <w:r w:rsidR="00A06C83" w:rsidRPr="007A3389">
        <w:rPr>
          <w:rFonts w:asciiTheme="majorHAnsi" w:hAnsiTheme="majorHAnsi"/>
          <w:sz w:val="20"/>
          <w:szCs w:val="20"/>
          <w:lang w:val="es-ES"/>
        </w:rPr>
        <w:t>o étnica</w:t>
      </w:r>
      <w:r w:rsidR="00C8734C" w:rsidRPr="007A3389">
        <w:rPr>
          <w:rFonts w:asciiTheme="majorHAnsi" w:hAnsiTheme="majorHAnsi"/>
          <w:sz w:val="20"/>
          <w:szCs w:val="20"/>
          <w:lang w:val="es-ES"/>
        </w:rPr>
        <w:t>.</w:t>
      </w:r>
      <w:r w:rsidR="0005705F"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 xml:space="preserve">Señalan que, aunque la decisión de pedir la pena de muerte comúnmente se toma tras deliberaciones cuidadosas de un comité de </w:t>
      </w:r>
      <w:r w:rsidR="00A06C83" w:rsidRPr="007A3389">
        <w:rPr>
          <w:rFonts w:asciiTheme="majorHAnsi" w:hAnsiTheme="majorHAnsi"/>
          <w:sz w:val="20"/>
          <w:szCs w:val="20"/>
          <w:lang w:val="es-ES"/>
        </w:rPr>
        <w:t>fiscales</w:t>
      </w:r>
      <w:r w:rsidR="0005705F"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en este</w:t>
      </w:r>
      <w:r w:rsidR="0005705F" w:rsidRPr="007A3389">
        <w:rPr>
          <w:rFonts w:asciiTheme="majorHAnsi" w:hAnsiTheme="majorHAnsi"/>
          <w:sz w:val="20"/>
          <w:szCs w:val="20"/>
          <w:lang w:val="es-ES"/>
        </w:rPr>
        <w:t xml:space="preserve"> cas</w:t>
      </w:r>
      <w:r w:rsidR="00F23C27" w:rsidRPr="007A3389">
        <w:rPr>
          <w:rFonts w:asciiTheme="majorHAnsi" w:hAnsiTheme="majorHAnsi"/>
          <w:sz w:val="20"/>
          <w:szCs w:val="20"/>
          <w:lang w:val="es-ES"/>
        </w:rPr>
        <w:t>o</w:t>
      </w:r>
      <w:r w:rsidR="0005705F"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el fiscal</w:t>
      </w:r>
      <w:r w:rsidR="0005705F"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 xml:space="preserve">admitió que simplemente se había adherido a la decisión del </w:t>
      </w:r>
      <w:r w:rsidR="0005705F" w:rsidRPr="007A3389">
        <w:rPr>
          <w:rFonts w:asciiTheme="majorHAnsi" w:hAnsiTheme="majorHAnsi"/>
          <w:sz w:val="20"/>
          <w:szCs w:val="20"/>
          <w:lang w:val="es-ES"/>
        </w:rPr>
        <w:t xml:space="preserve">detective </w:t>
      </w:r>
      <w:proofErr w:type="spellStart"/>
      <w:r w:rsidR="0005705F" w:rsidRPr="007A3389">
        <w:rPr>
          <w:rFonts w:asciiTheme="majorHAnsi" w:hAnsiTheme="majorHAnsi"/>
          <w:sz w:val="20"/>
          <w:szCs w:val="20"/>
          <w:lang w:val="es-ES"/>
        </w:rPr>
        <w:t>Knabel</w:t>
      </w:r>
      <w:proofErr w:type="spellEnd"/>
      <w:r w:rsidR="0005705F" w:rsidRPr="007A3389">
        <w:rPr>
          <w:rFonts w:asciiTheme="majorHAnsi" w:hAnsiTheme="majorHAnsi"/>
          <w:sz w:val="20"/>
          <w:szCs w:val="20"/>
          <w:lang w:val="es-ES"/>
        </w:rPr>
        <w:t>.</w:t>
      </w:r>
      <w:r w:rsidR="00C44A35" w:rsidRPr="007A3389">
        <w:rPr>
          <w:rFonts w:asciiTheme="majorHAnsi" w:hAnsiTheme="majorHAnsi"/>
          <w:sz w:val="20"/>
          <w:szCs w:val="20"/>
          <w:lang w:val="es-ES"/>
        </w:rPr>
        <w:t xml:space="preserve"> </w:t>
      </w:r>
    </w:p>
    <w:p w14:paraId="3745170B" w14:textId="77777777" w:rsidR="00C44A35" w:rsidRPr="007A3389" w:rsidRDefault="00C44A35" w:rsidP="00C44A35">
      <w:pPr>
        <w:pStyle w:val="ListParagraph"/>
        <w:rPr>
          <w:rFonts w:asciiTheme="majorHAnsi" w:hAnsiTheme="majorHAnsi"/>
          <w:sz w:val="20"/>
          <w:szCs w:val="20"/>
          <w:lang w:val="es-ES"/>
        </w:rPr>
      </w:pPr>
    </w:p>
    <w:p w14:paraId="7091E22D" w14:textId="77777777" w:rsidR="00C8734C" w:rsidRPr="007A3389" w:rsidRDefault="000D3EE0" w:rsidP="00C873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7A3389">
        <w:rPr>
          <w:rFonts w:asciiTheme="majorHAnsi" w:hAnsiTheme="majorHAnsi"/>
          <w:sz w:val="20"/>
          <w:szCs w:val="20"/>
          <w:lang w:val="es-ES"/>
        </w:rPr>
        <w:t>Los peticionarios</w:t>
      </w:r>
      <w:r w:rsidR="00C8734C"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 xml:space="preserve">indican que, durante el primer juicio, </w:t>
      </w:r>
      <w:r w:rsidR="005019B9" w:rsidRPr="007A3389">
        <w:rPr>
          <w:rFonts w:asciiTheme="majorHAnsi" w:hAnsiTheme="majorHAnsi"/>
          <w:sz w:val="20"/>
          <w:szCs w:val="20"/>
          <w:lang w:val="es-ES"/>
        </w:rPr>
        <w:t>la fiscalía</w:t>
      </w:r>
      <w:r w:rsidR="00C8734C"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no informó que, después de hacer más de treinta pruebas con la ropa d</w:t>
      </w:r>
      <w:r w:rsidR="00D87346" w:rsidRPr="007A3389">
        <w:rPr>
          <w:rFonts w:asciiTheme="majorHAnsi" w:hAnsiTheme="majorHAnsi"/>
          <w:sz w:val="20"/>
          <w:szCs w:val="20"/>
          <w:lang w:val="es-ES"/>
        </w:rPr>
        <w:t>el señor</w:t>
      </w:r>
      <w:r w:rsidR="00C8734C" w:rsidRPr="007A3389">
        <w:rPr>
          <w:rFonts w:asciiTheme="majorHAnsi" w:hAnsiTheme="majorHAnsi"/>
          <w:sz w:val="20"/>
          <w:szCs w:val="20"/>
          <w:lang w:val="es-ES"/>
        </w:rPr>
        <w:t xml:space="preserve"> Loza</w:t>
      </w:r>
      <w:r w:rsidR="00F23C27" w:rsidRPr="007A3389">
        <w:rPr>
          <w:rFonts w:asciiTheme="majorHAnsi" w:hAnsiTheme="majorHAnsi"/>
          <w:sz w:val="20"/>
          <w:szCs w:val="20"/>
          <w:lang w:val="es-ES"/>
        </w:rPr>
        <w:t xml:space="preserve">, los investigadores no </w:t>
      </w:r>
      <w:r w:rsidR="000F05A8">
        <w:rPr>
          <w:rFonts w:asciiTheme="majorHAnsi" w:hAnsiTheme="majorHAnsi"/>
          <w:sz w:val="20"/>
          <w:szCs w:val="20"/>
          <w:lang w:val="es-ES"/>
        </w:rPr>
        <w:t xml:space="preserve">encontraron </w:t>
      </w:r>
      <w:r w:rsidR="00F23C27" w:rsidRPr="007A3389">
        <w:rPr>
          <w:rFonts w:asciiTheme="majorHAnsi" w:hAnsiTheme="majorHAnsi"/>
          <w:sz w:val="20"/>
          <w:szCs w:val="20"/>
          <w:lang w:val="es-ES"/>
        </w:rPr>
        <w:t>sangre ni restos de pólvora. L</w:t>
      </w:r>
      <w:r w:rsidR="005019B9" w:rsidRPr="007A3389">
        <w:rPr>
          <w:rFonts w:asciiTheme="majorHAnsi" w:hAnsiTheme="majorHAnsi"/>
          <w:sz w:val="20"/>
          <w:szCs w:val="20"/>
          <w:lang w:val="es-ES"/>
        </w:rPr>
        <w:t>a fiscalía</w:t>
      </w:r>
      <w:r w:rsidR="00753374"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 xml:space="preserve">tampoco informó que </w:t>
      </w:r>
      <w:proofErr w:type="spellStart"/>
      <w:r w:rsidR="00753374" w:rsidRPr="007A3389">
        <w:rPr>
          <w:rFonts w:asciiTheme="majorHAnsi" w:hAnsiTheme="majorHAnsi"/>
          <w:sz w:val="20"/>
          <w:szCs w:val="20"/>
          <w:lang w:val="es-ES"/>
        </w:rPr>
        <w:t>Dorothy</w:t>
      </w:r>
      <w:proofErr w:type="spellEnd"/>
      <w:r w:rsidR="00753374" w:rsidRPr="007A3389">
        <w:rPr>
          <w:rFonts w:asciiTheme="majorHAnsi" w:hAnsiTheme="majorHAnsi"/>
          <w:sz w:val="20"/>
          <w:szCs w:val="20"/>
          <w:lang w:val="es-ES"/>
        </w:rPr>
        <w:t xml:space="preserve"> Jackson ha</w:t>
      </w:r>
      <w:r w:rsidR="00F23C27" w:rsidRPr="007A3389">
        <w:rPr>
          <w:rFonts w:asciiTheme="majorHAnsi" w:hAnsiTheme="majorHAnsi"/>
          <w:sz w:val="20"/>
          <w:szCs w:val="20"/>
          <w:lang w:val="es-ES"/>
        </w:rPr>
        <w:t>bía confesado que ella había sido la autora de los homicidios</w:t>
      </w:r>
      <w:r w:rsidR="00753374"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 xml:space="preserve">Asimismo, se afirma que el </w:t>
      </w:r>
      <w:r w:rsidR="00C8734C" w:rsidRPr="007A3389">
        <w:rPr>
          <w:rFonts w:asciiTheme="majorHAnsi" w:hAnsiTheme="majorHAnsi"/>
          <w:sz w:val="20"/>
          <w:szCs w:val="20"/>
          <w:lang w:val="es-ES"/>
        </w:rPr>
        <w:t xml:space="preserve">error </w:t>
      </w:r>
      <w:r w:rsidR="00F23C27" w:rsidRPr="007A3389">
        <w:rPr>
          <w:rFonts w:asciiTheme="majorHAnsi" w:hAnsiTheme="majorHAnsi"/>
          <w:sz w:val="20"/>
          <w:szCs w:val="20"/>
          <w:lang w:val="es-ES"/>
        </w:rPr>
        <w:t xml:space="preserve">era tan grande que, como consecuencia de </w:t>
      </w:r>
      <w:r w:rsidR="00EE0CB0" w:rsidRPr="007A3389">
        <w:rPr>
          <w:rFonts w:asciiTheme="majorHAnsi" w:hAnsiTheme="majorHAnsi"/>
          <w:sz w:val="20"/>
          <w:szCs w:val="20"/>
          <w:lang w:val="es-ES"/>
        </w:rPr>
        <w:t>la mala conducta del fiscal</w:t>
      </w:r>
      <w:r w:rsidR="00F23C27" w:rsidRPr="007A3389">
        <w:rPr>
          <w:rFonts w:asciiTheme="majorHAnsi" w:hAnsiTheme="majorHAnsi"/>
          <w:sz w:val="20"/>
          <w:szCs w:val="20"/>
          <w:lang w:val="es-ES"/>
        </w:rPr>
        <w:t>, el juicio fue declarado nulo</w:t>
      </w:r>
      <w:r w:rsidR="00753374" w:rsidRPr="007A3389">
        <w:rPr>
          <w:rFonts w:asciiTheme="majorHAnsi" w:hAnsiTheme="majorHAnsi"/>
          <w:sz w:val="20"/>
          <w:szCs w:val="20"/>
          <w:lang w:val="es-ES"/>
        </w:rPr>
        <w:t>.</w:t>
      </w:r>
      <w:r w:rsidR="00C8734C" w:rsidRPr="007A3389">
        <w:rPr>
          <w:rFonts w:asciiTheme="majorHAnsi" w:hAnsiTheme="majorHAnsi"/>
          <w:sz w:val="20"/>
          <w:szCs w:val="20"/>
          <w:lang w:val="es-ES"/>
        </w:rPr>
        <w:t xml:space="preserve"> </w:t>
      </w:r>
      <w:r w:rsidRPr="007A3389">
        <w:rPr>
          <w:rFonts w:asciiTheme="majorHAnsi" w:hAnsiTheme="majorHAnsi"/>
          <w:sz w:val="20"/>
          <w:szCs w:val="20"/>
          <w:lang w:val="es-ES"/>
        </w:rPr>
        <w:t>Los peticionarios</w:t>
      </w:r>
      <w:r w:rsidR="00C8734C" w:rsidRPr="007A3389">
        <w:rPr>
          <w:rFonts w:asciiTheme="majorHAnsi" w:hAnsiTheme="majorHAnsi"/>
          <w:sz w:val="20"/>
          <w:szCs w:val="20"/>
          <w:lang w:val="es-ES"/>
        </w:rPr>
        <w:t xml:space="preserve"> </w:t>
      </w:r>
      <w:r w:rsidR="00F23C27" w:rsidRPr="007A3389">
        <w:rPr>
          <w:rFonts w:asciiTheme="majorHAnsi" w:hAnsiTheme="majorHAnsi"/>
          <w:sz w:val="20"/>
          <w:szCs w:val="20"/>
          <w:lang w:val="es-ES"/>
        </w:rPr>
        <w:t>e</w:t>
      </w:r>
      <w:r w:rsidR="00C8734C" w:rsidRPr="007A3389">
        <w:rPr>
          <w:rFonts w:asciiTheme="majorHAnsi" w:hAnsiTheme="majorHAnsi"/>
          <w:sz w:val="20"/>
          <w:szCs w:val="20"/>
          <w:lang w:val="es-ES"/>
        </w:rPr>
        <w:t>specif</w:t>
      </w:r>
      <w:r w:rsidR="00F23C27" w:rsidRPr="007A3389">
        <w:rPr>
          <w:rFonts w:asciiTheme="majorHAnsi" w:hAnsiTheme="majorHAnsi"/>
          <w:sz w:val="20"/>
          <w:szCs w:val="20"/>
          <w:lang w:val="es-ES"/>
        </w:rPr>
        <w:t>ican que, después del segundo juicio d</w:t>
      </w:r>
      <w:r w:rsidR="00D87346" w:rsidRPr="007A3389">
        <w:rPr>
          <w:rFonts w:asciiTheme="majorHAnsi" w:hAnsiTheme="majorHAnsi"/>
          <w:sz w:val="20"/>
          <w:szCs w:val="20"/>
          <w:lang w:val="es-ES"/>
        </w:rPr>
        <w:t>el señor</w:t>
      </w:r>
      <w:r w:rsidR="00C8734C" w:rsidRPr="007A3389">
        <w:rPr>
          <w:rFonts w:asciiTheme="majorHAnsi" w:hAnsiTheme="majorHAnsi"/>
          <w:sz w:val="20"/>
          <w:szCs w:val="20"/>
          <w:lang w:val="es-ES"/>
        </w:rPr>
        <w:t xml:space="preserve"> Loza, </w:t>
      </w:r>
      <w:r w:rsidR="00F23C27" w:rsidRPr="007A3389">
        <w:rPr>
          <w:rFonts w:asciiTheme="majorHAnsi" w:hAnsiTheme="majorHAnsi"/>
          <w:sz w:val="20"/>
          <w:szCs w:val="20"/>
          <w:lang w:val="es-ES"/>
        </w:rPr>
        <w:t xml:space="preserve">el abogado que lo representó en la etapa </w:t>
      </w:r>
      <w:proofErr w:type="spellStart"/>
      <w:r w:rsidR="00F23C27" w:rsidRPr="007A3389">
        <w:rPr>
          <w:rFonts w:asciiTheme="majorHAnsi" w:hAnsiTheme="majorHAnsi"/>
          <w:sz w:val="20"/>
          <w:szCs w:val="20"/>
          <w:lang w:val="es-ES"/>
        </w:rPr>
        <w:t>poscondenatoria</w:t>
      </w:r>
      <w:proofErr w:type="spellEnd"/>
      <w:r w:rsidR="00F23C27" w:rsidRPr="007A3389">
        <w:rPr>
          <w:rFonts w:asciiTheme="majorHAnsi" w:hAnsiTheme="majorHAnsi"/>
          <w:sz w:val="20"/>
          <w:szCs w:val="20"/>
          <w:lang w:val="es-ES"/>
        </w:rPr>
        <w:t xml:space="preserve"> se enteró de que </w:t>
      </w:r>
      <w:proofErr w:type="spellStart"/>
      <w:r w:rsidR="00C8734C" w:rsidRPr="007A3389">
        <w:rPr>
          <w:rFonts w:asciiTheme="majorHAnsi" w:hAnsiTheme="majorHAnsi"/>
          <w:sz w:val="20"/>
          <w:szCs w:val="20"/>
          <w:lang w:val="es-ES"/>
        </w:rPr>
        <w:t>Dorothy</w:t>
      </w:r>
      <w:proofErr w:type="spellEnd"/>
      <w:r w:rsidR="00C8734C" w:rsidRPr="007A3389">
        <w:rPr>
          <w:rFonts w:asciiTheme="majorHAnsi" w:hAnsiTheme="majorHAnsi"/>
          <w:sz w:val="20"/>
          <w:szCs w:val="20"/>
          <w:lang w:val="es-ES"/>
        </w:rPr>
        <w:t xml:space="preserve"> Jackson </w:t>
      </w:r>
      <w:r w:rsidR="00587810" w:rsidRPr="007A3389">
        <w:rPr>
          <w:rFonts w:asciiTheme="majorHAnsi" w:hAnsiTheme="majorHAnsi"/>
          <w:sz w:val="20"/>
          <w:szCs w:val="20"/>
          <w:lang w:val="es-ES"/>
        </w:rPr>
        <w:t>le había dicho a su novio que ella había matado a su madre</w:t>
      </w:r>
      <w:r w:rsidR="00753374" w:rsidRPr="007A3389">
        <w:rPr>
          <w:rFonts w:asciiTheme="majorHAnsi" w:hAnsiTheme="majorHAnsi"/>
          <w:sz w:val="20"/>
          <w:szCs w:val="20"/>
          <w:lang w:val="es-ES"/>
        </w:rPr>
        <w:t xml:space="preserve">. </w:t>
      </w:r>
      <w:r w:rsidR="00587810" w:rsidRPr="007A3389">
        <w:rPr>
          <w:rFonts w:asciiTheme="majorHAnsi" w:hAnsiTheme="majorHAnsi"/>
          <w:sz w:val="20"/>
          <w:szCs w:val="20"/>
          <w:lang w:val="es-ES"/>
        </w:rPr>
        <w:t xml:space="preserve">El efecto acumulativo de este acto, según </w:t>
      </w:r>
      <w:r w:rsidRPr="007A3389">
        <w:rPr>
          <w:rFonts w:asciiTheme="majorHAnsi" w:hAnsiTheme="majorHAnsi"/>
          <w:sz w:val="20"/>
          <w:szCs w:val="20"/>
          <w:lang w:val="es-ES"/>
        </w:rPr>
        <w:t>los peticionarios</w:t>
      </w:r>
      <w:r w:rsidR="00835A28" w:rsidRPr="007A3389">
        <w:rPr>
          <w:rFonts w:asciiTheme="majorHAnsi" w:hAnsiTheme="majorHAnsi"/>
          <w:sz w:val="20"/>
          <w:szCs w:val="20"/>
          <w:lang w:val="es-ES"/>
        </w:rPr>
        <w:t xml:space="preserve">, </w:t>
      </w:r>
      <w:r w:rsidR="00587810" w:rsidRPr="007A3389">
        <w:rPr>
          <w:rFonts w:asciiTheme="majorHAnsi" w:hAnsiTheme="majorHAnsi"/>
          <w:sz w:val="20"/>
          <w:szCs w:val="20"/>
          <w:lang w:val="es-ES"/>
        </w:rPr>
        <w:t xml:space="preserve">viola el derecho de </w:t>
      </w:r>
      <w:r w:rsidR="005019B9" w:rsidRPr="007A3389">
        <w:rPr>
          <w:rFonts w:asciiTheme="majorHAnsi" w:hAnsiTheme="majorHAnsi"/>
          <w:sz w:val="20"/>
          <w:szCs w:val="20"/>
          <w:lang w:val="es-ES"/>
        </w:rPr>
        <w:t>la presunta víctima</w:t>
      </w:r>
      <w:r w:rsidR="00587810" w:rsidRPr="007A3389">
        <w:rPr>
          <w:rFonts w:asciiTheme="majorHAnsi" w:hAnsiTheme="majorHAnsi"/>
          <w:sz w:val="20"/>
          <w:szCs w:val="20"/>
          <w:lang w:val="es-ES"/>
        </w:rPr>
        <w:t xml:space="preserve"> al debido proceso.</w:t>
      </w:r>
    </w:p>
    <w:p w14:paraId="279EC8BE" w14:textId="77777777" w:rsidR="00C8734C" w:rsidRPr="007A3389" w:rsidRDefault="00C8734C" w:rsidP="00A75A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1187E62F" w14:textId="77777777" w:rsidR="00A050D8" w:rsidRPr="007A3389" w:rsidRDefault="00C3697D" w:rsidP="008F60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7A3389">
        <w:rPr>
          <w:rFonts w:asciiTheme="majorHAnsi" w:hAnsiTheme="majorHAnsi"/>
          <w:sz w:val="20"/>
          <w:szCs w:val="20"/>
          <w:lang w:val="es-ES"/>
        </w:rPr>
        <w:lastRenderedPageBreak/>
        <w:t>Los peticionarios afirman</w:t>
      </w:r>
      <w:r w:rsidR="00A75A39" w:rsidRPr="007A3389">
        <w:rPr>
          <w:rFonts w:asciiTheme="majorHAnsi" w:hAnsiTheme="majorHAnsi"/>
          <w:sz w:val="20"/>
          <w:szCs w:val="20"/>
          <w:lang w:val="es-ES"/>
        </w:rPr>
        <w:t xml:space="preserve"> </w:t>
      </w:r>
      <w:r w:rsidR="007A3389" w:rsidRPr="007A3389">
        <w:rPr>
          <w:rFonts w:asciiTheme="majorHAnsi" w:hAnsiTheme="majorHAnsi"/>
          <w:sz w:val="20"/>
          <w:szCs w:val="20"/>
          <w:lang w:val="es-ES"/>
        </w:rPr>
        <w:t xml:space="preserve">que </w:t>
      </w:r>
      <w:r w:rsidR="00D87346" w:rsidRPr="007A3389">
        <w:rPr>
          <w:rFonts w:asciiTheme="majorHAnsi" w:hAnsiTheme="majorHAnsi"/>
          <w:sz w:val="20"/>
          <w:szCs w:val="20"/>
          <w:lang w:val="es-ES"/>
        </w:rPr>
        <w:t>el Estado</w:t>
      </w:r>
      <w:r w:rsidR="00A75A39" w:rsidRPr="007A3389">
        <w:rPr>
          <w:rFonts w:asciiTheme="majorHAnsi" w:hAnsiTheme="majorHAnsi"/>
          <w:sz w:val="20"/>
          <w:szCs w:val="20"/>
          <w:lang w:val="es-ES"/>
        </w:rPr>
        <w:t xml:space="preserve"> viol</w:t>
      </w:r>
      <w:r w:rsidR="007A3389" w:rsidRPr="007A3389">
        <w:rPr>
          <w:rFonts w:asciiTheme="majorHAnsi" w:hAnsiTheme="majorHAnsi"/>
          <w:sz w:val="20"/>
          <w:szCs w:val="20"/>
          <w:lang w:val="es-ES"/>
        </w:rPr>
        <w:t>ó los derechos de</w:t>
      </w:r>
      <w:r w:rsidR="00A75A39" w:rsidRPr="007A3389">
        <w:rPr>
          <w:rFonts w:asciiTheme="majorHAnsi" w:hAnsiTheme="majorHAnsi"/>
          <w:sz w:val="20"/>
          <w:szCs w:val="20"/>
          <w:lang w:val="es-ES"/>
        </w:rPr>
        <w:t xml:space="preserve"> </w:t>
      </w:r>
      <w:r w:rsidR="005019B9" w:rsidRPr="007A3389">
        <w:rPr>
          <w:rFonts w:asciiTheme="majorHAnsi" w:hAnsiTheme="majorHAnsi"/>
          <w:sz w:val="20"/>
          <w:szCs w:val="20"/>
          <w:lang w:val="es-ES"/>
        </w:rPr>
        <w:t>la presunta víctima</w:t>
      </w:r>
      <w:r w:rsidR="007A3389" w:rsidRPr="007A3389">
        <w:rPr>
          <w:rFonts w:asciiTheme="majorHAnsi" w:hAnsiTheme="majorHAnsi"/>
          <w:sz w:val="20"/>
          <w:szCs w:val="20"/>
          <w:lang w:val="es-ES"/>
        </w:rPr>
        <w:t xml:space="preserve"> a un juicio imparcial y al debido proce</w:t>
      </w:r>
      <w:r w:rsidR="006A1466">
        <w:rPr>
          <w:rFonts w:asciiTheme="majorHAnsi" w:hAnsiTheme="majorHAnsi"/>
          <w:sz w:val="20"/>
          <w:szCs w:val="20"/>
          <w:lang w:val="es-ES"/>
        </w:rPr>
        <w:t xml:space="preserve">so </w:t>
      </w:r>
      <w:r w:rsidR="007A3389" w:rsidRPr="007A3389">
        <w:rPr>
          <w:rFonts w:asciiTheme="majorHAnsi" w:hAnsiTheme="majorHAnsi"/>
          <w:sz w:val="20"/>
          <w:szCs w:val="20"/>
          <w:lang w:val="es-ES"/>
        </w:rPr>
        <w:t xml:space="preserve">legal al no informarle sobre su derecho a la notificación consular y a </w:t>
      </w:r>
      <w:r w:rsidR="00472A85">
        <w:rPr>
          <w:rFonts w:asciiTheme="majorHAnsi" w:hAnsiTheme="majorHAnsi"/>
          <w:sz w:val="20"/>
          <w:szCs w:val="20"/>
          <w:lang w:val="es-ES"/>
        </w:rPr>
        <w:t xml:space="preserve">comunicarse </w:t>
      </w:r>
      <w:r w:rsidR="007A3389" w:rsidRPr="007A3389">
        <w:rPr>
          <w:rFonts w:asciiTheme="majorHAnsi" w:hAnsiTheme="majorHAnsi"/>
          <w:sz w:val="20"/>
          <w:szCs w:val="20"/>
          <w:lang w:val="es-ES"/>
        </w:rPr>
        <w:t xml:space="preserve">con el consulado de conformidad con el </w:t>
      </w:r>
      <w:r w:rsidR="00EE0CB0" w:rsidRPr="007A3389">
        <w:rPr>
          <w:rFonts w:asciiTheme="majorHAnsi" w:hAnsiTheme="majorHAnsi"/>
          <w:sz w:val="20"/>
          <w:szCs w:val="20"/>
          <w:lang w:val="es-ES"/>
        </w:rPr>
        <w:t>artículo 36 de la Convención de Viena sobre Relaciones Consulares</w:t>
      </w:r>
      <w:r w:rsidR="007B54BA" w:rsidRPr="007A3389">
        <w:rPr>
          <w:rFonts w:asciiTheme="majorHAnsi" w:hAnsiTheme="majorHAnsi"/>
          <w:sz w:val="20"/>
          <w:szCs w:val="20"/>
          <w:lang w:val="es-ES"/>
        </w:rPr>
        <w:t xml:space="preserve"> (</w:t>
      </w:r>
      <w:r w:rsidR="00835A28" w:rsidRPr="007A3389">
        <w:rPr>
          <w:rFonts w:asciiTheme="majorHAnsi" w:hAnsiTheme="majorHAnsi"/>
          <w:sz w:val="20"/>
          <w:szCs w:val="20"/>
          <w:lang w:val="es-ES"/>
        </w:rPr>
        <w:t>“</w:t>
      </w:r>
      <w:r w:rsidR="00EE0CB0" w:rsidRPr="007A3389">
        <w:rPr>
          <w:rFonts w:asciiTheme="majorHAnsi" w:hAnsiTheme="majorHAnsi"/>
          <w:sz w:val="20"/>
          <w:szCs w:val="20"/>
          <w:lang w:val="es-ES"/>
        </w:rPr>
        <w:t>la Convención de Viena</w:t>
      </w:r>
      <w:r w:rsidR="00835A28" w:rsidRPr="007A3389">
        <w:rPr>
          <w:rFonts w:asciiTheme="majorHAnsi" w:hAnsiTheme="majorHAnsi"/>
          <w:sz w:val="20"/>
          <w:szCs w:val="20"/>
          <w:lang w:val="es-ES"/>
        </w:rPr>
        <w:t>”</w:t>
      </w:r>
      <w:r w:rsidR="007B54BA" w:rsidRPr="007A3389">
        <w:rPr>
          <w:rFonts w:asciiTheme="majorHAnsi" w:hAnsiTheme="majorHAnsi"/>
          <w:sz w:val="20"/>
          <w:szCs w:val="20"/>
          <w:lang w:val="es-ES"/>
        </w:rPr>
        <w:t>)</w:t>
      </w:r>
      <w:r w:rsidR="00437A98" w:rsidRPr="007A3389">
        <w:rPr>
          <w:rFonts w:asciiTheme="majorHAnsi" w:hAnsiTheme="majorHAnsi"/>
          <w:sz w:val="20"/>
          <w:szCs w:val="20"/>
          <w:lang w:val="es-ES"/>
        </w:rPr>
        <w:t xml:space="preserve">, </w:t>
      </w:r>
      <w:r w:rsidR="007A3389">
        <w:rPr>
          <w:rFonts w:asciiTheme="majorHAnsi" w:hAnsiTheme="majorHAnsi"/>
          <w:sz w:val="20"/>
          <w:szCs w:val="20"/>
          <w:lang w:val="es-ES"/>
        </w:rPr>
        <w:t xml:space="preserve">que es esencial para salvaguardar los </w:t>
      </w:r>
      <w:r w:rsidR="006A1466">
        <w:rPr>
          <w:rFonts w:asciiTheme="majorHAnsi" w:hAnsiTheme="majorHAnsi"/>
          <w:sz w:val="20"/>
          <w:szCs w:val="20"/>
          <w:lang w:val="es-ES"/>
        </w:rPr>
        <w:t>derechos antedichos</w:t>
      </w:r>
      <w:r w:rsidR="00A75A39" w:rsidRPr="007A3389">
        <w:rPr>
          <w:rFonts w:asciiTheme="majorHAnsi" w:hAnsiTheme="majorHAnsi"/>
          <w:sz w:val="20"/>
          <w:szCs w:val="20"/>
          <w:lang w:val="es-ES"/>
        </w:rPr>
        <w:t xml:space="preserve">. </w:t>
      </w:r>
      <w:r w:rsidR="007A3389">
        <w:rPr>
          <w:rFonts w:asciiTheme="majorHAnsi" w:hAnsiTheme="majorHAnsi"/>
          <w:sz w:val="20"/>
          <w:szCs w:val="20"/>
          <w:lang w:val="es-ES"/>
        </w:rPr>
        <w:t xml:space="preserve">Agregan que las autoridades de </w:t>
      </w:r>
      <w:r w:rsidR="007B54BA" w:rsidRPr="007A3389">
        <w:rPr>
          <w:rFonts w:asciiTheme="majorHAnsi" w:hAnsiTheme="majorHAnsi"/>
          <w:sz w:val="20"/>
          <w:szCs w:val="20"/>
          <w:lang w:val="es-ES"/>
        </w:rPr>
        <w:t xml:space="preserve">Ohio </w:t>
      </w:r>
      <w:r w:rsidR="007A3389">
        <w:rPr>
          <w:rFonts w:asciiTheme="majorHAnsi" w:hAnsiTheme="majorHAnsi"/>
          <w:sz w:val="20"/>
          <w:szCs w:val="20"/>
          <w:lang w:val="es-ES"/>
        </w:rPr>
        <w:t>no informaron a</w:t>
      </w:r>
      <w:r w:rsidR="00D87346" w:rsidRPr="007A3389">
        <w:rPr>
          <w:rFonts w:asciiTheme="majorHAnsi" w:hAnsiTheme="majorHAnsi"/>
          <w:sz w:val="20"/>
          <w:szCs w:val="20"/>
          <w:lang w:val="es-ES"/>
        </w:rPr>
        <w:t>l señor</w:t>
      </w:r>
      <w:r w:rsidR="007B54BA" w:rsidRPr="007A3389">
        <w:rPr>
          <w:rFonts w:asciiTheme="majorHAnsi" w:hAnsiTheme="majorHAnsi"/>
          <w:sz w:val="20"/>
          <w:szCs w:val="20"/>
          <w:lang w:val="es-ES"/>
        </w:rPr>
        <w:t xml:space="preserve"> Loza </w:t>
      </w:r>
      <w:r w:rsidR="007A3389">
        <w:rPr>
          <w:rFonts w:asciiTheme="majorHAnsi" w:hAnsiTheme="majorHAnsi"/>
          <w:sz w:val="20"/>
          <w:szCs w:val="20"/>
          <w:lang w:val="es-ES"/>
        </w:rPr>
        <w:t>sobre su derecho a la notificación y el acceso con</w:t>
      </w:r>
      <w:r w:rsidR="007B54BA" w:rsidRPr="007A3389">
        <w:rPr>
          <w:rFonts w:asciiTheme="majorHAnsi" w:hAnsiTheme="majorHAnsi"/>
          <w:sz w:val="20"/>
          <w:szCs w:val="20"/>
          <w:lang w:val="es-ES"/>
        </w:rPr>
        <w:t>sular</w:t>
      </w:r>
      <w:r w:rsidR="007A3389">
        <w:rPr>
          <w:rFonts w:asciiTheme="majorHAnsi" w:hAnsiTheme="majorHAnsi"/>
          <w:sz w:val="20"/>
          <w:szCs w:val="20"/>
          <w:lang w:val="es-ES"/>
        </w:rPr>
        <w:t xml:space="preserve">es de acuerdo con </w:t>
      </w:r>
      <w:r w:rsidR="00EE0CB0" w:rsidRPr="007A3389">
        <w:rPr>
          <w:rFonts w:asciiTheme="majorHAnsi" w:hAnsiTheme="majorHAnsi"/>
          <w:sz w:val="20"/>
          <w:szCs w:val="20"/>
          <w:lang w:val="es-ES"/>
        </w:rPr>
        <w:t>la Convención de Viena</w:t>
      </w:r>
      <w:r w:rsidR="00F34A7E" w:rsidRPr="007A3389">
        <w:rPr>
          <w:rFonts w:asciiTheme="majorHAnsi" w:hAnsiTheme="majorHAnsi"/>
          <w:sz w:val="20"/>
          <w:szCs w:val="20"/>
          <w:lang w:val="es-ES"/>
        </w:rPr>
        <w:t xml:space="preserve">. </w:t>
      </w:r>
      <w:r w:rsidR="007A3389">
        <w:rPr>
          <w:rFonts w:asciiTheme="majorHAnsi" w:hAnsiTheme="majorHAnsi"/>
          <w:sz w:val="20"/>
          <w:szCs w:val="20"/>
          <w:lang w:val="es-ES"/>
        </w:rPr>
        <w:t>Indican que los abogados que lo defendieron en el juicio</w:t>
      </w:r>
      <w:r w:rsidR="00A050D8" w:rsidRPr="007A3389">
        <w:rPr>
          <w:rFonts w:asciiTheme="majorHAnsi" w:hAnsiTheme="majorHAnsi"/>
          <w:sz w:val="20"/>
          <w:szCs w:val="20"/>
          <w:lang w:val="es-ES"/>
        </w:rPr>
        <w:t xml:space="preserve"> </w:t>
      </w:r>
      <w:r w:rsidR="007A3389">
        <w:rPr>
          <w:rFonts w:asciiTheme="majorHAnsi" w:hAnsiTheme="majorHAnsi"/>
          <w:sz w:val="20"/>
          <w:szCs w:val="20"/>
          <w:lang w:val="es-ES"/>
        </w:rPr>
        <w:t>fueron negligentes al no poner al consulado en conocimiento de la detención d</w:t>
      </w:r>
      <w:r w:rsidR="00D87346" w:rsidRPr="007A3389">
        <w:rPr>
          <w:rFonts w:asciiTheme="majorHAnsi" w:hAnsiTheme="majorHAnsi"/>
          <w:sz w:val="20"/>
          <w:szCs w:val="20"/>
          <w:lang w:val="es-ES"/>
        </w:rPr>
        <w:t>el señor</w:t>
      </w:r>
      <w:r w:rsidR="00A050D8" w:rsidRPr="007A3389">
        <w:rPr>
          <w:rFonts w:asciiTheme="majorHAnsi" w:hAnsiTheme="majorHAnsi"/>
          <w:sz w:val="20"/>
          <w:szCs w:val="20"/>
          <w:lang w:val="es-ES"/>
        </w:rPr>
        <w:t xml:space="preserve"> Loza</w:t>
      </w:r>
      <w:r w:rsidR="007A3389">
        <w:rPr>
          <w:rFonts w:asciiTheme="majorHAnsi" w:hAnsiTheme="majorHAnsi"/>
          <w:sz w:val="20"/>
          <w:szCs w:val="20"/>
          <w:lang w:val="es-ES"/>
        </w:rPr>
        <w:t xml:space="preserve">. Señalan que, a pesar de que en </w:t>
      </w:r>
      <w:r w:rsidR="00C713EB">
        <w:rPr>
          <w:rFonts w:asciiTheme="majorHAnsi" w:hAnsiTheme="majorHAnsi"/>
          <w:sz w:val="20"/>
          <w:szCs w:val="20"/>
          <w:lang w:val="es-ES"/>
        </w:rPr>
        <w:t xml:space="preserve">las </w:t>
      </w:r>
      <w:r w:rsidR="00060B7E" w:rsidRPr="007A3389">
        <w:rPr>
          <w:rFonts w:asciiTheme="majorHAnsi" w:hAnsiTheme="majorHAnsi"/>
          <w:sz w:val="20"/>
          <w:szCs w:val="20"/>
          <w:lang w:val="es-ES"/>
        </w:rPr>
        <w:t xml:space="preserve">actuaciones de hábeas corpus en instancias </w:t>
      </w:r>
      <w:r w:rsidR="00C713EB">
        <w:rPr>
          <w:rFonts w:asciiTheme="majorHAnsi" w:hAnsiTheme="majorHAnsi"/>
          <w:sz w:val="20"/>
          <w:szCs w:val="20"/>
          <w:lang w:val="es-ES"/>
        </w:rPr>
        <w:t xml:space="preserve">estatales y </w:t>
      </w:r>
      <w:r w:rsidR="00060B7E" w:rsidRPr="007A3389">
        <w:rPr>
          <w:rFonts w:asciiTheme="majorHAnsi" w:hAnsiTheme="majorHAnsi"/>
          <w:sz w:val="20"/>
          <w:szCs w:val="20"/>
          <w:lang w:val="es-ES"/>
        </w:rPr>
        <w:t>federales</w:t>
      </w:r>
      <w:r w:rsidR="00C713EB">
        <w:rPr>
          <w:rFonts w:asciiTheme="majorHAnsi" w:hAnsiTheme="majorHAnsi"/>
          <w:sz w:val="20"/>
          <w:szCs w:val="20"/>
          <w:lang w:val="es-ES"/>
        </w:rPr>
        <w:t xml:space="preserve"> se presentó su </w:t>
      </w:r>
      <w:r w:rsidR="00C713EB" w:rsidRPr="00C713EB">
        <w:rPr>
          <w:rFonts w:asciiTheme="majorHAnsi" w:hAnsiTheme="majorHAnsi"/>
          <w:sz w:val="20"/>
          <w:szCs w:val="20"/>
          <w:lang w:val="es-ES"/>
        </w:rPr>
        <w:t>reclamo de violación del artículo 36</w:t>
      </w:r>
      <w:r w:rsidR="00BD5CCE" w:rsidRPr="007A3389">
        <w:rPr>
          <w:rFonts w:asciiTheme="majorHAnsi" w:hAnsiTheme="majorHAnsi"/>
          <w:sz w:val="20"/>
          <w:szCs w:val="20"/>
          <w:lang w:val="es-ES"/>
        </w:rPr>
        <w:t xml:space="preserve">, </w:t>
      </w:r>
      <w:r w:rsidR="00C713EB">
        <w:rPr>
          <w:rFonts w:asciiTheme="majorHAnsi" w:hAnsiTheme="majorHAnsi"/>
          <w:sz w:val="20"/>
          <w:szCs w:val="20"/>
          <w:lang w:val="es-ES"/>
        </w:rPr>
        <w:t xml:space="preserve">los tribunales se han negado a otorgar la </w:t>
      </w:r>
      <w:r w:rsidR="009E15DB" w:rsidRPr="007A3389">
        <w:rPr>
          <w:rFonts w:asciiTheme="majorHAnsi" w:hAnsiTheme="majorHAnsi"/>
          <w:sz w:val="20"/>
          <w:szCs w:val="20"/>
          <w:lang w:val="es-ES"/>
        </w:rPr>
        <w:t>“revi</w:t>
      </w:r>
      <w:r w:rsidR="00C713EB">
        <w:rPr>
          <w:rFonts w:asciiTheme="majorHAnsi" w:hAnsiTheme="majorHAnsi"/>
          <w:sz w:val="20"/>
          <w:szCs w:val="20"/>
          <w:lang w:val="es-ES"/>
        </w:rPr>
        <w:t xml:space="preserve">sión y </w:t>
      </w:r>
      <w:r w:rsidR="009E15DB" w:rsidRPr="007A3389">
        <w:rPr>
          <w:rFonts w:asciiTheme="majorHAnsi" w:hAnsiTheme="majorHAnsi"/>
          <w:sz w:val="20"/>
          <w:szCs w:val="20"/>
          <w:lang w:val="es-ES"/>
        </w:rPr>
        <w:t>reconsidera</w:t>
      </w:r>
      <w:r w:rsidR="00C713EB">
        <w:rPr>
          <w:rFonts w:asciiTheme="majorHAnsi" w:hAnsiTheme="majorHAnsi"/>
          <w:sz w:val="20"/>
          <w:szCs w:val="20"/>
          <w:lang w:val="es-ES"/>
        </w:rPr>
        <w:t>ción</w:t>
      </w:r>
      <w:r w:rsidR="009E15DB" w:rsidRPr="007A3389">
        <w:rPr>
          <w:rFonts w:asciiTheme="majorHAnsi" w:hAnsiTheme="majorHAnsi"/>
          <w:sz w:val="20"/>
          <w:szCs w:val="20"/>
          <w:lang w:val="es-ES"/>
        </w:rPr>
        <w:t xml:space="preserve">” </w:t>
      </w:r>
      <w:r w:rsidR="00C713EB">
        <w:rPr>
          <w:rFonts w:asciiTheme="majorHAnsi" w:hAnsiTheme="majorHAnsi"/>
          <w:sz w:val="20"/>
          <w:szCs w:val="20"/>
          <w:lang w:val="es-ES"/>
        </w:rPr>
        <w:t xml:space="preserve">debidas de conformidad con el fallo de la Corte </w:t>
      </w:r>
      <w:r w:rsidR="009E15DB" w:rsidRPr="007A3389">
        <w:rPr>
          <w:rFonts w:asciiTheme="majorHAnsi" w:hAnsiTheme="majorHAnsi"/>
          <w:sz w:val="20"/>
          <w:szCs w:val="20"/>
          <w:lang w:val="es-ES"/>
        </w:rPr>
        <w:t>Interna</w:t>
      </w:r>
      <w:r w:rsidR="00C713EB">
        <w:rPr>
          <w:rFonts w:asciiTheme="majorHAnsi" w:hAnsiTheme="majorHAnsi"/>
          <w:sz w:val="20"/>
          <w:szCs w:val="20"/>
          <w:lang w:val="es-ES"/>
        </w:rPr>
        <w:t>c</w:t>
      </w:r>
      <w:r w:rsidR="009E15DB" w:rsidRPr="007A3389">
        <w:rPr>
          <w:rFonts w:asciiTheme="majorHAnsi" w:hAnsiTheme="majorHAnsi"/>
          <w:sz w:val="20"/>
          <w:szCs w:val="20"/>
          <w:lang w:val="es-ES"/>
        </w:rPr>
        <w:t xml:space="preserve">ional </w:t>
      </w:r>
      <w:r w:rsidR="00C713EB">
        <w:rPr>
          <w:rFonts w:asciiTheme="majorHAnsi" w:hAnsiTheme="majorHAnsi"/>
          <w:sz w:val="20"/>
          <w:szCs w:val="20"/>
          <w:lang w:val="es-ES"/>
        </w:rPr>
        <w:t xml:space="preserve">de Justicia en el </w:t>
      </w:r>
      <w:r w:rsidR="00C713EB" w:rsidRPr="00C713EB">
        <w:rPr>
          <w:rFonts w:asciiTheme="majorHAnsi" w:hAnsiTheme="majorHAnsi"/>
          <w:sz w:val="20"/>
          <w:szCs w:val="20"/>
          <w:lang w:val="es-ES"/>
        </w:rPr>
        <w:t>caso Avena y otros nacionales mexicanos (México c. Estados Unidos)</w:t>
      </w:r>
      <w:r w:rsidR="009E15DB" w:rsidRPr="007A3389">
        <w:rPr>
          <w:rFonts w:asciiTheme="majorHAnsi" w:hAnsiTheme="majorHAnsi"/>
          <w:sz w:val="20"/>
          <w:szCs w:val="20"/>
          <w:lang w:val="es-ES"/>
        </w:rPr>
        <w:t xml:space="preserve">, 2004 </w:t>
      </w:r>
      <w:r w:rsidR="00C713EB">
        <w:rPr>
          <w:rFonts w:asciiTheme="majorHAnsi" w:hAnsiTheme="majorHAnsi"/>
          <w:sz w:val="20"/>
          <w:szCs w:val="20"/>
          <w:lang w:val="es-ES"/>
        </w:rPr>
        <w:t>CIJ</w:t>
      </w:r>
      <w:r w:rsidR="009E15DB" w:rsidRPr="007A3389">
        <w:rPr>
          <w:rFonts w:asciiTheme="majorHAnsi" w:hAnsiTheme="majorHAnsi"/>
          <w:sz w:val="20"/>
          <w:szCs w:val="20"/>
          <w:lang w:val="es-ES"/>
        </w:rPr>
        <w:t xml:space="preserve"> 12. </w:t>
      </w:r>
    </w:p>
    <w:p w14:paraId="259665A7" w14:textId="77777777" w:rsidR="00A050D8" w:rsidRPr="007A3389" w:rsidRDefault="00A050D8" w:rsidP="00A050D8">
      <w:pPr>
        <w:pStyle w:val="ListParagraph"/>
        <w:rPr>
          <w:rFonts w:asciiTheme="majorHAnsi" w:hAnsiTheme="majorHAnsi"/>
          <w:sz w:val="20"/>
          <w:szCs w:val="20"/>
          <w:lang w:val="es-ES"/>
        </w:rPr>
      </w:pPr>
    </w:p>
    <w:p w14:paraId="15C68393" w14:textId="77777777" w:rsidR="008F6014" w:rsidRPr="007A3389" w:rsidRDefault="00C3697D" w:rsidP="00A050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7A3389">
        <w:rPr>
          <w:rFonts w:asciiTheme="majorHAnsi" w:hAnsiTheme="majorHAnsi"/>
          <w:sz w:val="20"/>
          <w:szCs w:val="20"/>
          <w:lang w:val="es-ES"/>
        </w:rPr>
        <w:t>Los peticionarios señalan</w:t>
      </w:r>
      <w:r w:rsidR="00A050D8" w:rsidRPr="007A3389">
        <w:rPr>
          <w:rFonts w:asciiTheme="majorHAnsi" w:hAnsiTheme="majorHAnsi"/>
          <w:sz w:val="20"/>
          <w:szCs w:val="20"/>
          <w:lang w:val="es-ES"/>
        </w:rPr>
        <w:t xml:space="preserve"> </w:t>
      </w:r>
      <w:r w:rsidR="00C713EB">
        <w:rPr>
          <w:rFonts w:asciiTheme="majorHAnsi" w:hAnsiTheme="majorHAnsi"/>
          <w:sz w:val="20"/>
          <w:szCs w:val="20"/>
          <w:lang w:val="es-ES"/>
        </w:rPr>
        <w:t>que</w:t>
      </w:r>
      <w:r w:rsidR="006A1466">
        <w:rPr>
          <w:rFonts w:asciiTheme="majorHAnsi" w:hAnsiTheme="majorHAnsi"/>
          <w:sz w:val="20"/>
          <w:szCs w:val="20"/>
          <w:lang w:val="es-ES"/>
        </w:rPr>
        <w:t xml:space="preserve"> </w:t>
      </w:r>
      <w:r w:rsidR="00C713EB" w:rsidRPr="007A3389">
        <w:rPr>
          <w:rFonts w:asciiTheme="majorHAnsi" w:hAnsiTheme="majorHAnsi"/>
          <w:sz w:val="20"/>
          <w:szCs w:val="20"/>
          <w:lang w:val="es-ES"/>
        </w:rPr>
        <w:t>México</w:t>
      </w:r>
      <w:r w:rsidR="00A050D8" w:rsidRPr="007A3389">
        <w:rPr>
          <w:rFonts w:asciiTheme="majorHAnsi" w:hAnsiTheme="majorHAnsi"/>
          <w:sz w:val="20"/>
          <w:szCs w:val="20"/>
          <w:lang w:val="es-ES"/>
        </w:rPr>
        <w:t xml:space="preserve"> </w:t>
      </w:r>
      <w:r w:rsidR="006A1466">
        <w:rPr>
          <w:rFonts w:asciiTheme="majorHAnsi" w:hAnsiTheme="majorHAnsi"/>
          <w:sz w:val="20"/>
          <w:szCs w:val="20"/>
          <w:lang w:val="es-ES"/>
        </w:rPr>
        <w:t xml:space="preserve">ha proporcionado </w:t>
      </w:r>
      <w:r w:rsidR="00E87739">
        <w:rPr>
          <w:rFonts w:asciiTheme="majorHAnsi" w:hAnsiTheme="majorHAnsi"/>
          <w:sz w:val="20"/>
          <w:szCs w:val="20"/>
          <w:lang w:val="es-ES"/>
        </w:rPr>
        <w:t>asistencia co</w:t>
      </w:r>
      <w:r w:rsidR="00A050D8" w:rsidRPr="007A3389">
        <w:rPr>
          <w:rFonts w:asciiTheme="majorHAnsi" w:hAnsiTheme="majorHAnsi"/>
          <w:sz w:val="20"/>
          <w:szCs w:val="20"/>
          <w:lang w:val="es-ES"/>
        </w:rPr>
        <w:t>nsular</w:t>
      </w:r>
      <w:r w:rsidR="004F0994" w:rsidRPr="004F0994">
        <w:rPr>
          <w:rFonts w:asciiTheme="majorHAnsi" w:hAnsiTheme="majorHAnsi"/>
          <w:sz w:val="20"/>
          <w:szCs w:val="20"/>
          <w:lang w:val="es-ES"/>
        </w:rPr>
        <w:t xml:space="preserve"> en numerosas ocasiones</w:t>
      </w:r>
      <w:r w:rsidR="00A050D8" w:rsidRPr="007A3389">
        <w:rPr>
          <w:rFonts w:asciiTheme="majorHAnsi" w:hAnsiTheme="majorHAnsi"/>
          <w:sz w:val="20"/>
          <w:szCs w:val="20"/>
          <w:lang w:val="es-ES"/>
        </w:rPr>
        <w:t xml:space="preserve"> </w:t>
      </w:r>
      <w:r w:rsidR="00E87739">
        <w:rPr>
          <w:rFonts w:asciiTheme="majorHAnsi" w:hAnsiTheme="majorHAnsi"/>
          <w:sz w:val="20"/>
          <w:szCs w:val="20"/>
          <w:lang w:val="es-ES"/>
        </w:rPr>
        <w:t>a nacionales que enfrenta</w:t>
      </w:r>
      <w:r w:rsidR="006A1466">
        <w:rPr>
          <w:rFonts w:asciiTheme="majorHAnsi" w:hAnsiTheme="majorHAnsi"/>
          <w:sz w:val="20"/>
          <w:szCs w:val="20"/>
          <w:lang w:val="es-ES"/>
        </w:rPr>
        <w:t>ba</w:t>
      </w:r>
      <w:r w:rsidR="00E87739">
        <w:rPr>
          <w:rFonts w:asciiTheme="majorHAnsi" w:hAnsiTheme="majorHAnsi"/>
          <w:sz w:val="20"/>
          <w:szCs w:val="20"/>
          <w:lang w:val="es-ES"/>
        </w:rPr>
        <w:t xml:space="preserve">n </w:t>
      </w:r>
      <w:r w:rsidR="00A06C83" w:rsidRPr="007A3389">
        <w:rPr>
          <w:rFonts w:asciiTheme="majorHAnsi" w:hAnsiTheme="majorHAnsi"/>
          <w:sz w:val="20"/>
          <w:szCs w:val="20"/>
          <w:lang w:val="es-ES"/>
        </w:rPr>
        <w:t>la pena de muerte</w:t>
      </w:r>
      <w:r w:rsidR="00E87739">
        <w:rPr>
          <w:rFonts w:asciiTheme="majorHAnsi" w:hAnsiTheme="majorHAnsi"/>
          <w:sz w:val="20"/>
          <w:szCs w:val="20"/>
          <w:lang w:val="es-ES"/>
        </w:rPr>
        <w:t xml:space="preserve"> y habría asegurado que </w:t>
      </w:r>
      <w:r w:rsidR="005019B9" w:rsidRPr="007A3389">
        <w:rPr>
          <w:rFonts w:asciiTheme="majorHAnsi" w:hAnsiTheme="majorHAnsi"/>
          <w:sz w:val="20"/>
          <w:szCs w:val="20"/>
          <w:lang w:val="es-ES"/>
        </w:rPr>
        <w:t>la presunta víctima</w:t>
      </w:r>
      <w:r w:rsidR="00A050D8" w:rsidRPr="007A3389">
        <w:rPr>
          <w:rFonts w:asciiTheme="majorHAnsi" w:hAnsiTheme="majorHAnsi"/>
          <w:sz w:val="20"/>
          <w:szCs w:val="20"/>
          <w:lang w:val="es-ES"/>
        </w:rPr>
        <w:t xml:space="preserve"> </w:t>
      </w:r>
      <w:r w:rsidR="00E87739">
        <w:rPr>
          <w:rFonts w:asciiTheme="majorHAnsi" w:hAnsiTheme="majorHAnsi"/>
          <w:sz w:val="20"/>
          <w:szCs w:val="20"/>
          <w:lang w:val="es-ES"/>
        </w:rPr>
        <w:t>contara con un abogado competente, respaldado por los peritos e investigadores necesarios</w:t>
      </w:r>
      <w:r w:rsidR="00A050D8" w:rsidRPr="007A3389">
        <w:rPr>
          <w:rFonts w:asciiTheme="majorHAnsi" w:hAnsiTheme="majorHAnsi"/>
          <w:sz w:val="20"/>
          <w:szCs w:val="20"/>
          <w:lang w:val="es-ES"/>
        </w:rPr>
        <w:t xml:space="preserve">. </w:t>
      </w:r>
      <w:r w:rsidR="00E87739">
        <w:rPr>
          <w:rFonts w:asciiTheme="majorHAnsi" w:hAnsiTheme="majorHAnsi"/>
          <w:sz w:val="20"/>
          <w:szCs w:val="20"/>
          <w:lang w:val="es-ES"/>
        </w:rPr>
        <w:t xml:space="preserve">Agregan que los funcionarios </w:t>
      </w:r>
      <w:r w:rsidR="00A050D8" w:rsidRPr="007A3389">
        <w:rPr>
          <w:rFonts w:asciiTheme="majorHAnsi" w:hAnsiTheme="majorHAnsi"/>
          <w:sz w:val="20"/>
          <w:szCs w:val="20"/>
          <w:lang w:val="es-ES"/>
        </w:rPr>
        <w:t>consular</w:t>
      </w:r>
      <w:r w:rsidR="00E87739">
        <w:rPr>
          <w:rFonts w:asciiTheme="majorHAnsi" w:hAnsiTheme="majorHAnsi"/>
          <w:sz w:val="20"/>
          <w:szCs w:val="20"/>
          <w:lang w:val="es-ES"/>
        </w:rPr>
        <w:t xml:space="preserve">es habrían ayudado a conseguir documentos </w:t>
      </w:r>
      <w:r w:rsidR="004F0994">
        <w:rPr>
          <w:rFonts w:asciiTheme="majorHAnsi" w:hAnsiTheme="majorHAnsi"/>
          <w:sz w:val="20"/>
          <w:szCs w:val="20"/>
          <w:lang w:val="es-ES"/>
        </w:rPr>
        <w:t>en</w:t>
      </w:r>
      <w:r w:rsidR="00E87739">
        <w:rPr>
          <w:rFonts w:asciiTheme="majorHAnsi" w:hAnsiTheme="majorHAnsi"/>
          <w:sz w:val="20"/>
          <w:szCs w:val="20"/>
          <w:lang w:val="es-ES"/>
        </w:rPr>
        <w:t xml:space="preserve"> </w:t>
      </w:r>
      <w:r w:rsidR="00E87739" w:rsidRPr="007A3389">
        <w:rPr>
          <w:rFonts w:asciiTheme="majorHAnsi" w:hAnsiTheme="majorHAnsi"/>
          <w:sz w:val="20"/>
          <w:szCs w:val="20"/>
          <w:lang w:val="es-ES"/>
        </w:rPr>
        <w:t>México</w:t>
      </w:r>
      <w:r w:rsidR="00A050D8" w:rsidRPr="007A3389">
        <w:rPr>
          <w:rFonts w:asciiTheme="majorHAnsi" w:hAnsiTheme="majorHAnsi"/>
          <w:sz w:val="20"/>
          <w:szCs w:val="20"/>
          <w:lang w:val="es-ES"/>
        </w:rPr>
        <w:t xml:space="preserve"> </w:t>
      </w:r>
      <w:r w:rsidR="00E87739">
        <w:rPr>
          <w:rFonts w:asciiTheme="majorHAnsi" w:hAnsiTheme="majorHAnsi"/>
          <w:sz w:val="20"/>
          <w:szCs w:val="20"/>
          <w:lang w:val="es-ES"/>
        </w:rPr>
        <w:t xml:space="preserve">que dieran fe de la historia del acusado como prueba atenuante. Los peticionarios argumentan que </w:t>
      </w:r>
      <w:r w:rsidR="00D87346" w:rsidRPr="007A3389">
        <w:rPr>
          <w:rFonts w:asciiTheme="majorHAnsi" w:hAnsiTheme="majorHAnsi"/>
          <w:sz w:val="20"/>
          <w:szCs w:val="20"/>
          <w:lang w:val="es-ES"/>
        </w:rPr>
        <w:t>el señor</w:t>
      </w:r>
      <w:r w:rsidR="008F6014" w:rsidRPr="007A3389">
        <w:rPr>
          <w:rFonts w:asciiTheme="majorHAnsi" w:hAnsiTheme="majorHAnsi"/>
          <w:sz w:val="20"/>
          <w:szCs w:val="20"/>
          <w:lang w:val="es-ES"/>
        </w:rPr>
        <w:t xml:space="preserve"> Loza </w:t>
      </w:r>
      <w:r w:rsidR="00E87739">
        <w:rPr>
          <w:rFonts w:asciiTheme="majorHAnsi" w:hAnsiTheme="majorHAnsi"/>
          <w:sz w:val="20"/>
          <w:szCs w:val="20"/>
          <w:lang w:val="es-ES"/>
        </w:rPr>
        <w:t xml:space="preserve">se vio obligado a aceptar al </w:t>
      </w:r>
      <w:r w:rsidRPr="007A3389">
        <w:rPr>
          <w:rFonts w:asciiTheme="majorHAnsi" w:hAnsiTheme="majorHAnsi"/>
          <w:sz w:val="20"/>
          <w:szCs w:val="20"/>
          <w:lang w:val="es-ES"/>
        </w:rPr>
        <w:t>abogado de oficio</w:t>
      </w:r>
      <w:r w:rsidR="00E87739">
        <w:rPr>
          <w:rFonts w:asciiTheme="majorHAnsi" w:hAnsiTheme="majorHAnsi"/>
          <w:sz w:val="20"/>
          <w:szCs w:val="20"/>
          <w:lang w:val="es-ES"/>
        </w:rPr>
        <w:t xml:space="preserve">, que no presentó una defensa adecuada. Agregan que los abogados que defendieron al </w:t>
      </w:r>
      <w:r w:rsidR="00D87346" w:rsidRPr="007A3389">
        <w:rPr>
          <w:rFonts w:asciiTheme="majorHAnsi" w:hAnsiTheme="majorHAnsi"/>
          <w:sz w:val="20"/>
          <w:szCs w:val="20"/>
          <w:lang w:val="es-ES"/>
        </w:rPr>
        <w:t>señor</w:t>
      </w:r>
      <w:r w:rsidR="008F6014" w:rsidRPr="007A3389">
        <w:rPr>
          <w:rFonts w:asciiTheme="majorHAnsi" w:hAnsiTheme="majorHAnsi"/>
          <w:sz w:val="20"/>
          <w:szCs w:val="20"/>
          <w:lang w:val="es-ES"/>
        </w:rPr>
        <w:t xml:space="preserve"> Loza</w:t>
      </w:r>
      <w:r w:rsidR="00E87739">
        <w:rPr>
          <w:rFonts w:asciiTheme="majorHAnsi" w:hAnsiTheme="majorHAnsi"/>
          <w:sz w:val="20"/>
          <w:szCs w:val="20"/>
          <w:lang w:val="es-ES"/>
        </w:rPr>
        <w:t xml:space="preserve"> en el juicio no hicieron una investigación ni presentaron pruebas atenuantes</w:t>
      </w:r>
      <w:r w:rsidR="008F6014" w:rsidRPr="007A3389">
        <w:rPr>
          <w:rFonts w:asciiTheme="majorHAnsi" w:hAnsiTheme="majorHAnsi"/>
          <w:sz w:val="20"/>
          <w:szCs w:val="20"/>
          <w:lang w:val="es-ES"/>
        </w:rPr>
        <w:t xml:space="preserve"> </w:t>
      </w:r>
      <w:r w:rsidR="00E87739">
        <w:rPr>
          <w:rFonts w:asciiTheme="majorHAnsi" w:hAnsiTheme="majorHAnsi"/>
          <w:sz w:val="20"/>
          <w:szCs w:val="20"/>
          <w:lang w:val="es-ES"/>
        </w:rPr>
        <w:t>que le h</w:t>
      </w:r>
      <w:r w:rsidR="004F0994">
        <w:rPr>
          <w:rFonts w:asciiTheme="majorHAnsi" w:hAnsiTheme="majorHAnsi"/>
          <w:sz w:val="20"/>
          <w:szCs w:val="20"/>
          <w:lang w:val="es-ES"/>
        </w:rPr>
        <w:t>ubieran</w:t>
      </w:r>
      <w:r w:rsidR="00E87739">
        <w:rPr>
          <w:rFonts w:asciiTheme="majorHAnsi" w:hAnsiTheme="majorHAnsi"/>
          <w:sz w:val="20"/>
          <w:szCs w:val="20"/>
          <w:lang w:val="es-ES"/>
        </w:rPr>
        <w:t xml:space="preserve"> dado al jurado razones para perdonarle la vida</w:t>
      </w:r>
      <w:r w:rsidR="008F6014" w:rsidRPr="007A3389">
        <w:rPr>
          <w:rFonts w:asciiTheme="majorHAnsi" w:hAnsiTheme="majorHAnsi"/>
          <w:sz w:val="20"/>
          <w:szCs w:val="20"/>
          <w:lang w:val="es-ES"/>
        </w:rPr>
        <w:t xml:space="preserve">. </w:t>
      </w:r>
      <w:r w:rsidR="000D3EE0" w:rsidRPr="007A3389">
        <w:rPr>
          <w:rFonts w:asciiTheme="majorHAnsi" w:hAnsiTheme="majorHAnsi"/>
          <w:sz w:val="20"/>
          <w:szCs w:val="20"/>
          <w:lang w:val="es-ES"/>
        </w:rPr>
        <w:t>Los peticionarios</w:t>
      </w:r>
      <w:r w:rsidR="008F6014" w:rsidRPr="007A3389">
        <w:rPr>
          <w:rFonts w:asciiTheme="majorHAnsi" w:hAnsiTheme="majorHAnsi"/>
          <w:sz w:val="20"/>
          <w:szCs w:val="20"/>
          <w:lang w:val="es-ES"/>
        </w:rPr>
        <w:t xml:space="preserve"> </w:t>
      </w:r>
      <w:r w:rsidR="003A46FC">
        <w:rPr>
          <w:rFonts w:asciiTheme="majorHAnsi" w:hAnsiTheme="majorHAnsi"/>
          <w:sz w:val="20"/>
          <w:szCs w:val="20"/>
          <w:lang w:val="es-ES"/>
        </w:rPr>
        <w:t xml:space="preserve">afirman que estos abogados no habían representado nunca a un ciudadano mexicano y no investigaron los antecedentes culturales de la </w:t>
      </w:r>
      <w:r w:rsidR="005019B9" w:rsidRPr="007A3389">
        <w:rPr>
          <w:rFonts w:asciiTheme="majorHAnsi" w:hAnsiTheme="majorHAnsi"/>
          <w:sz w:val="20"/>
          <w:szCs w:val="20"/>
          <w:lang w:val="es-ES"/>
        </w:rPr>
        <w:t>presunta víctima</w:t>
      </w:r>
      <w:r w:rsidR="003A46FC">
        <w:rPr>
          <w:rFonts w:asciiTheme="majorHAnsi" w:hAnsiTheme="majorHAnsi"/>
          <w:sz w:val="20"/>
          <w:szCs w:val="20"/>
          <w:lang w:val="es-ES"/>
        </w:rPr>
        <w:t xml:space="preserve"> ni presentaron pruebas al respecto que p</w:t>
      </w:r>
      <w:r w:rsidR="004F0994">
        <w:rPr>
          <w:rFonts w:asciiTheme="majorHAnsi" w:hAnsiTheme="majorHAnsi"/>
          <w:sz w:val="20"/>
          <w:szCs w:val="20"/>
          <w:lang w:val="es-ES"/>
        </w:rPr>
        <w:t xml:space="preserve">udieran </w:t>
      </w:r>
      <w:r w:rsidR="003A46FC">
        <w:rPr>
          <w:rFonts w:asciiTheme="majorHAnsi" w:hAnsiTheme="majorHAnsi"/>
          <w:sz w:val="20"/>
          <w:szCs w:val="20"/>
          <w:lang w:val="es-ES"/>
        </w:rPr>
        <w:t xml:space="preserve">haberle dado al jurado una razón para </w:t>
      </w:r>
      <w:r w:rsidR="004F0994">
        <w:rPr>
          <w:rFonts w:asciiTheme="majorHAnsi" w:hAnsiTheme="majorHAnsi"/>
          <w:sz w:val="20"/>
          <w:szCs w:val="20"/>
          <w:lang w:val="es-ES"/>
        </w:rPr>
        <w:t>no condenarlo a muerte.</w:t>
      </w:r>
    </w:p>
    <w:p w14:paraId="7BB251F3" w14:textId="77777777" w:rsidR="0005705F" w:rsidRPr="007A3389" w:rsidRDefault="0005705F" w:rsidP="0005705F">
      <w:pPr>
        <w:pStyle w:val="ListParagraph"/>
        <w:rPr>
          <w:rFonts w:asciiTheme="majorHAnsi" w:hAnsiTheme="majorHAnsi"/>
          <w:sz w:val="20"/>
          <w:szCs w:val="20"/>
          <w:lang w:val="es-ES"/>
        </w:rPr>
      </w:pPr>
    </w:p>
    <w:p w14:paraId="02FED649" w14:textId="77777777" w:rsidR="0005705F" w:rsidRPr="007A3389" w:rsidRDefault="003A46FC" w:rsidP="00A050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w:t>
      </w:r>
      <w:r w:rsidR="0029523E" w:rsidRPr="007A3389">
        <w:rPr>
          <w:rFonts w:asciiTheme="majorHAnsi" w:hAnsiTheme="majorHAnsi"/>
          <w:sz w:val="20"/>
          <w:szCs w:val="20"/>
          <w:lang w:val="es-ES"/>
        </w:rPr>
        <w:t xml:space="preserve">n particular, </w:t>
      </w:r>
      <w:r w:rsidR="00C3697D" w:rsidRPr="007A3389">
        <w:rPr>
          <w:rFonts w:asciiTheme="majorHAnsi" w:hAnsiTheme="majorHAnsi"/>
          <w:sz w:val="20"/>
          <w:szCs w:val="20"/>
          <w:lang w:val="es-ES"/>
        </w:rPr>
        <w:t>los peticionarios alegan</w:t>
      </w:r>
      <w:r w:rsidR="0029523E" w:rsidRPr="007A3389">
        <w:rPr>
          <w:rFonts w:asciiTheme="majorHAnsi" w:hAnsiTheme="majorHAnsi"/>
          <w:sz w:val="20"/>
          <w:szCs w:val="20"/>
          <w:lang w:val="es-ES"/>
        </w:rPr>
        <w:t xml:space="preserve"> </w:t>
      </w:r>
      <w:r>
        <w:rPr>
          <w:rFonts w:asciiTheme="majorHAnsi" w:hAnsiTheme="majorHAnsi"/>
          <w:sz w:val="20"/>
          <w:szCs w:val="20"/>
          <w:lang w:val="es-ES"/>
        </w:rPr>
        <w:t>que los abogados d</w:t>
      </w:r>
      <w:r w:rsidR="00D87346" w:rsidRPr="007A3389">
        <w:rPr>
          <w:rFonts w:asciiTheme="majorHAnsi" w:hAnsiTheme="majorHAnsi"/>
          <w:sz w:val="20"/>
          <w:szCs w:val="20"/>
          <w:lang w:val="es-ES"/>
        </w:rPr>
        <w:t>el señor</w:t>
      </w:r>
      <w:r w:rsidR="0029523E" w:rsidRPr="007A3389">
        <w:rPr>
          <w:rFonts w:asciiTheme="majorHAnsi" w:hAnsiTheme="majorHAnsi"/>
          <w:sz w:val="20"/>
          <w:szCs w:val="20"/>
          <w:lang w:val="es-ES"/>
        </w:rPr>
        <w:t xml:space="preserve"> Loza</w:t>
      </w:r>
      <w:r>
        <w:rPr>
          <w:rFonts w:asciiTheme="majorHAnsi" w:hAnsiTheme="majorHAnsi"/>
          <w:sz w:val="20"/>
          <w:szCs w:val="20"/>
          <w:lang w:val="es-ES"/>
        </w:rPr>
        <w:t xml:space="preserve"> no contrataron a un </w:t>
      </w:r>
      <w:r w:rsidR="0029523E" w:rsidRPr="007A3389">
        <w:rPr>
          <w:rFonts w:asciiTheme="majorHAnsi" w:hAnsiTheme="majorHAnsi"/>
          <w:sz w:val="20"/>
          <w:szCs w:val="20"/>
          <w:lang w:val="es-ES"/>
        </w:rPr>
        <w:t>neurops</w:t>
      </w:r>
      <w:r>
        <w:rPr>
          <w:rFonts w:asciiTheme="majorHAnsi" w:hAnsiTheme="majorHAnsi"/>
          <w:sz w:val="20"/>
          <w:szCs w:val="20"/>
          <w:lang w:val="es-ES"/>
        </w:rPr>
        <w:t>icólogo ni hicieron una investigación exhaustiva de sus antecedentes</w:t>
      </w:r>
      <w:r w:rsidR="0029523E" w:rsidRPr="007A3389">
        <w:rPr>
          <w:rFonts w:asciiTheme="majorHAnsi" w:hAnsiTheme="majorHAnsi"/>
          <w:sz w:val="20"/>
          <w:szCs w:val="20"/>
          <w:lang w:val="es-ES"/>
        </w:rPr>
        <w:t xml:space="preserve"> social</w:t>
      </w:r>
      <w:r>
        <w:rPr>
          <w:rFonts w:asciiTheme="majorHAnsi" w:hAnsiTheme="majorHAnsi"/>
          <w:sz w:val="20"/>
          <w:szCs w:val="20"/>
          <w:lang w:val="es-ES"/>
        </w:rPr>
        <w:t xml:space="preserve">es y que el testimonio engañoso y perjudicial de </w:t>
      </w:r>
      <w:r w:rsidR="004F0994">
        <w:rPr>
          <w:rFonts w:asciiTheme="majorHAnsi" w:hAnsiTheme="majorHAnsi"/>
          <w:sz w:val="20"/>
          <w:szCs w:val="20"/>
          <w:lang w:val="es-ES"/>
        </w:rPr>
        <w:t xml:space="preserve">los </w:t>
      </w:r>
      <w:r>
        <w:rPr>
          <w:rFonts w:asciiTheme="majorHAnsi" w:hAnsiTheme="majorHAnsi"/>
          <w:sz w:val="20"/>
          <w:szCs w:val="20"/>
          <w:lang w:val="es-ES"/>
        </w:rPr>
        <w:t>“peritos” que presentaron sobre el involucramiento d</w:t>
      </w:r>
      <w:r w:rsidR="00D87346" w:rsidRPr="007A3389">
        <w:rPr>
          <w:rFonts w:asciiTheme="majorHAnsi" w:hAnsiTheme="majorHAnsi"/>
          <w:sz w:val="20"/>
          <w:szCs w:val="20"/>
          <w:lang w:val="es-ES"/>
        </w:rPr>
        <w:t>el señor</w:t>
      </w:r>
      <w:r w:rsidR="0029523E" w:rsidRPr="007A3389">
        <w:rPr>
          <w:rFonts w:asciiTheme="majorHAnsi" w:hAnsiTheme="majorHAnsi"/>
          <w:sz w:val="20"/>
          <w:szCs w:val="20"/>
          <w:lang w:val="es-ES"/>
        </w:rPr>
        <w:t xml:space="preserve"> Loza</w:t>
      </w:r>
      <w:r>
        <w:rPr>
          <w:rFonts w:asciiTheme="majorHAnsi" w:hAnsiTheme="majorHAnsi"/>
          <w:sz w:val="20"/>
          <w:szCs w:val="20"/>
          <w:lang w:val="es-ES"/>
        </w:rPr>
        <w:t xml:space="preserve"> en pandillas violó su derecho al debido proceso y a un juicio imparcial</w:t>
      </w:r>
      <w:r w:rsidR="0029523E" w:rsidRPr="007A3389">
        <w:rPr>
          <w:rFonts w:asciiTheme="majorHAnsi" w:hAnsiTheme="majorHAnsi"/>
          <w:sz w:val="20"/>
          <w:szCs w:val="20"/>
          <w:lang w:val="es-ES"/>
        </w:rPr>
        <w:t>.</w:t>
      </w:r>
    </w:p>
    <w:p w14:paraId="056F5D81" w14:textId="77777777" w:rsidR="008F6014" w:rsidRPr="007A3389" w:rsidRDefault="008F6014" w:rsidP="008F601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1C62CD13" w14:textId="77777777" w:rsidR="00AB45A1" w:rsidRPr="007A3389" w:rsidRDefault="003A46FC" w:rsidP="00FD6B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L</w:t>
      </w:r>
      <w:r w:rsidR="00C3697D" w:rsidRPr="007A3389">
        <w:rPr>
          <w:rFonts w:asciiTheme="majorHAnsi" w:hAnsiTheme="majorHAnsi"/>
          <w:sz w:val="20"/>
          <w:szCs w:val="20"/>
          <w:lang w:val="es-ES"/>
        </w:rPr>
        <w:t>os peticionarios afirman</w:t>
      </w:r>
      <w:r w:rsidR="00D13FAB" w:rsidRPr="007A3389">
        <w:rPr>
          <w:rFonts w:asciiTheme="majorHAnsi" w:hAnsiTheme="majorHAnsi"/>
          <w:sz w:val="20"/>
          <w:szCs w:val="20"/>
          <w:lang w:val="es-ES"/>
        </w:rPr>
        <w:t xml:space="preserve"> </w:t>
      </w:r>
      <w:r>
        <w:rPr>
          <w:rFonts w:asciiTheme="majorHAnsi" w:hAnsiTheme="majorHAnsi"/>
          <w:sz w:val="20"/>
          <w:szCs w:val="20"/>
          <w:lang w:val="es-ES"/>
        </w:rPr>
        <w:t xml:space="preserve">asimismo que </w:t>
      </w:r>
      <w:r w:rsidR="00D87346" w:rsidRPr="007A3389">
        <w:rPr>
          <w:rFonts w:asciiTheme="majorHAnsi" w:hAnsiTheme="majorHAnsi"/>
          <w:sz w:val="20"/>
          <w:szCs w:val="20"/>
          <w:lang w:val="es-ES"/>
        </w:rPr>
        <w:t xml:space="preserve">el </w:t>
      </w:r>
      <w:r>
        <w:rPr>
          <w:rFonts w:asciiTheme="majorHAnsi" w:hAnsiTheme="majorHAnsi"/>
          <w:sz w:val="20"/>
          <w:szCs w:val="20"/>
          <w:lang w:val="es-ES"/>
        </w:rPr>
        <w:t>e</w:t>
      </w:r>
      <w:r w:rsidR="00D87346" w:rsidRPr="007A3389">
        <w:rPr>
          <w:rFonts w:asciiTheme="majorHAnsi" w:hAnsiTheme="majorHAnsi"/>
          <w:sz w:val="20"/>
          <w:szCs w:val="20"/>
          <w:lang w:val="es-ES"/>
        </w:rPr>
        <w:t>stado</w:t>
      </w:r>
      <w:r w:rsidR="000169CA" w:rsidRPr="007A3389">
        <w:rPr>
          <w:rFonts w:asciiTheme="majorHAnsi" w:hAnsiTheme="majorHAnsi"/>
          <w:sz w:val="20"/>
          <w:szCs w:val="20"/>
          <w:lang w:val="es-ES"/>
        </w:rPr>
        <w:t xml:space="preserve"> </w:t>
      </w:r>
      <w:r>
        <w:rPr>
          <w:rFonts w:asciiTheme="majorHAnsi" w:hAnsiTheme="majorHAnsi"/>
          <w:sz w:val="20"/>
          <w:szCs w:val="20"/>
          <w:lang w:val="es-ES"/>
        </w:rPr>
        <w:t>de</w:t>
      </w:r>
      <w:r w:rsidR="000169CA" w:rsidRPr="007A3389">
        <w:rPr>
          <w:rFonts w:asciiTheme="majorHAnsi" w:hAnsiTheme="majorHAnsi"/>
          <w:sz w:val="20"/>
          <w:szCs w:val="20"/>
          <w:lang w:val="es-ES"/>
        </w:rPr>
        <w:t xml:space="preserve"> Ohio plan</w:t>
      </w:r>
      <w:r>
        <w:rPr>
          <w:rFonts w:asciiTheme="majorHAnsi" w:hAnsiTheme="majorHAnsi"/>
          <w:sz w:val="20"/>
          <w:szCs w:val="20"/>
          <w:lang w:val="es-ES"/>
        </w:rPr>
        <w:t>ea ejecutar a</w:t>
      </w:r>
      <w:r w:rsidR="00D87346" w:rsidRPr="007A3389">
        <w:rPr>
          <w:rFonts w:asciiTheme="majorHAnsi" w:hAnsiTheme="majorHAnsi"/>
          <w:sz w:val="20"/>
          <w:szCs w:val="20"/>
          <w:lang w:val="es-ES"/>
        </w:rPr>
        <w:t>l señor</w:t>
      </w:r>
      <w:r w:rsidR="000169CA" w:rsidRPr="007A3389">
        <w:rPr>
          <w:rFonts w:asciiTheme="majorHAnsi" w:hAnsiTheme="majorHAnsi"/>
          <w:sz w:val="20"/>
          <w:szCs w:val="20"/>
          <w:lang w:val="es-ES"/>
        </w:rPr>
        <w:t xml:space="preserve"> Loza </w:t>
      </w:r>
      <w:r>
        <w:rPr>
          <w:rFonts w:asciiTheme="majorHAnsi" w:hAnsiTheme="majorHAnsi"/>
          <w:sz w:val="20"/>
          <w:szCs w:val="20"/>
          <w:lang w:val="es-ES"/>
        </w:rPr>
        <w:t>por</w:t>
      </w:r>
      <w:r w:rsidR="000169CA" w:rsidRPr="007A3389">
        <w:rPr>
          <w:rFonts w:asciiTheme="majorHAnsi" w:hAnsiTheme="majorHAnsi"/>
          <w:sz w:val="20"/>
          <w:szCs w:val="20"/>
          <w:lang w:val="es-ES"/>
        </w:rPr>
        <w:t xml:space="preserve"> </w:t>
      </w:r>
      <w:r>
        <w:rPr>
          <w:rFonts w:asciiTheme="majorHAnsi" w:hAnsiTheme="majorHAnsi"/>
          <w:sz w:val="20"/>
          <w:szCs w:val="20"/>
          <w:lang w:val="es-ES"/>
        </w:rPr>
        <w:t>inyección letal</w:t>
      </w:r>
      <w:r w:rsidR="000169CA" w:rsidRPr="007A3389">
        <w:rPr>
          <w:rFonts w:asciiTheme="majorHAnsi" w:hAnsiTheme="majorHAnsi"/>
          <w:sz w:val="20"/>
          <w:szCs w:val="20"/>
          <w:lang w:val="es-ES"/>
        </w:rPr>
        <w:t xml:space="preserve"> </w:t>
      </w:r>
      <w:r w:rsidR="00851DA1">
        <w:rPr>
          <w:rFonts w:asciiTheme="majorHAnsi" w:hAnsiTheme="majorHAnsi"/>
          <w:sz w:val="20"/>
          <w:szCs w:val="20"/>
          <w:lang w:val="es-ES"/>
        </w:rPr>
        <w:t xml:space="preserve">y que su protocolo actual no ha sido sometido a pruebas y está envuelto en el secreto. Eso se debe a que, el protocolo que estaba en vigor en el momento en que se presentó </w:t>
      </w:r>
      <w:r w:rsidR="00631955" w:rsidRPr="007A3389">
        <w:rPr>
          <w:rFonts w:asciiTheme="majorHAnsi" w:hAnsiTheme="majorHAnsi"/>
          <w:sz w:val="20"/>
          <w:szCs w:val="20"/>
          <w:lang w:val="es-ES"/>
        </w:rPr>
        <w:t>la petición</w:t>
      </w:r>
      <w:r w:rsidR="006277D0">
        <w:rPr>
          <w:rFonts w:asciiTheme="majorHAnsi" w:hAnsiTheme="majorHAnsi"/>
          <w:sz w:val="20"/>
          <w:szCs w:val="20"/>
          <w:lang w:val="es-ES"/>
        </w:rPr>
        <w:t xml:space="preserve">  requería</w:t>
      </w:r>
      <w:r w:rsidR="00851DA1">
        <w:rPr>
          <w:rFonts w:asciiTheme="majorHAnsi" w:hAnsiTheme="majorHAnsi"/>
          <w:sz w:val="20"/>
          <w:szCs w:val="20"/>
          <w:lang w:val="es-ES"/>
        </w:rPr>
        <w:t xml:space="preserve"> fármacos</w:t>
      </w:r>
      <w:r w:rsidR="00C20667" w:rsidRPr="007A3389">
        <w:rPr>
          <w:rFonts w:asciiTheme="majorHAnsi" w:hAnsiTheme="majorHAnsi"/>
          <w:sz w:val="20"/>
          <w:szCs w:val="20"/>
          <w:lang w:val="es-ES"/>
        </w:rPr>
        <w:t xml:space="preserve"> (pentobarbital o</w:t>
      </w:r>
      <w:r w:rsidR="00851DA1">
        <w:rPr>
          <w:rFonts w:asciiTheme="majorHAnsi" w:hAnsiTheme="majorHAnsi"/>
          <w:sz w:val="20"/>
          <w:szCs w:val="20"/>
          <w:lang w:val="es-ES"/>
        </w:rPr>
        <w:t xml:space="preserve"> tiopental sódico</w:t>
      </w:r>
      <w:r w:rsidR="00C20667" w:rsidRPr="007A3389">
        <w:rPr>
          <w:rFonts w:asciiTheme="majorHAnsi" w:hAnsiTheme="majorHAnsi"/>
          <w:sz w:val="20"/>
          <w:szCs w:val="20"/>
          <w:lang w:val="es-ES"/>
        </w:rPr>
        <w:t xml:space="preserve">) </w:t>
      </w:r>
      <w:r w:rsidR="00D16527">
        <w:rPr>
          <w:rFonts w:asciiTheme="majorHAnsi" w:hAnsiTheme="majorHAnsi"/>
          <w:sz w:val="20"/>
          <w:szCs w:val="20"/>
          <w:lang w:val="es-ES"/>
        </w:rPr>
        <w:t xml:space="preserve">que las compañías farmacéuticas de </w:t>
      </w:r>
      <w:r w:rsidR="00631955" w:rsidRPr="007A3389">
        <w:rPr>
          <w:rFonts w:asciiTheme="majorHAnsi" w:hAnsiTheme="majorHAnsi"/>
          <w:sz w:val="20"/>
          <w:szCs w:val="20"/>
          <w:lang w:val="es-ES"/>
        </w:rPr>
        <w:t>Estados Unidos</w:t>
      </w:r>
      <w:r w:rsidR="003F572E" w:rsidRPr="007A3389">
        <w:rPr>
          <w:rFonts w:asciiTheme="majorHAnsi" w:hAnsiTheme="majorHAnsi"/>
          <w:sz w:val="20"/>
          <w:szCs w:val="20"/>
          <w:lang w:val="es-ES"/>
        </w:rPr>
        <w:t xml:space="preserve"> </w:t>
      </w:r>
      <w:r w:rsidR="00D16527">
        <w:rPr>
          <w:rFonts w:asciiTheme="majorHAnsi" w:hAnsiTheme="majorHAnsi"/>
          <w:sz w:val="20"/>
          <w:szCs w:val="20"/>
          <w:lang w:val="es-ES"/>
        </w:rPr>
        <w:t xml:space="preserve">ya no fabrican. </w:t>
      </w:r>
      <w:r w:rsidR="004F0994">
        <w:rPr>
          <w:rFonts w:asciiTheme="majorHAnsi" w:hAnsiTheme="majorHAnsi"/>
          <w:sz w:val="20"/>
          <w:szCs w:val="20"/>
          <w:lang w:val="es-ES"/>
        </w:rPr>
        <w:t>E</w:t>
      </w:r>
      <w:r w:rsidR="00D87346" w:rsidRPr="007A3389">
        <w:rPr>
          <w:rFonts w:asciiTheme="majorHAnsi" w:hAnsiTheme="majorHAnsi"/>
          <w:sz w:val="20"/>
          <w:szCs w:val="20"/>
          <w:lang w:val="es-ES"/>
        </w:rPr>
        <w:t>l Estado</w:t>
      </w:r>
      <w:r w:rsidR="00AB45A1" w:rsidRPr="007A3389">
        <w:rPr>
          <w:rFonts w:asciiTheme="majorHAnsi" w:hAnsiTheme="majorHAnsi"/>
          <w:sz w:val="20"/>
          <w:szCs w:val="20"/>
          <w:lang w:val="es-ES"/>
        </w:rPr>
        <w:t xml:space="preserve"> </w:t>
      </w:r>
      <w:r w:rsidR="00D16527">
        <w:rPr>
          <w:rFonts w:asciiTheme="majorHAnsi" w:hAnsiTheme="majorHAnsi"/>
          <w:sz w:val="20"/>
          <w:szCs w:val="20"/>
          <w:lang w:val="es-ES"/>
        </w:rPr>
        <w:t xml:space="preserve">no ha dado a conocer el protocolo que tiene la intención de utilizar si no puede conseguir legalmente </w:t>
      </w:r>
      <w:r w:rsidR="003F572E" w:rsidRPr="007A3389">
        <w:rPr>
          <w:rFonts w:asciiTheme="majorHAnsi" w:hAnsiTheme="majorHAnsi"/>
          <w:sz w:val="20"/>
          <w:szCs w:val="20"/>
          <w:lang w:val="es-ES"/>
        </w:rPr>
        <w:t xml:space="preserve">pentobarbital </w:t>
      </w:r>
      <w:r w:rsidR="00D16527" w:rsidRPr="00D16527">
        <w:rPr>
          <w:rFonts w:asciiTheme="majorHAnsi" w:hAnsiTheme="majorHAnsi"/>
          <w:sz w:val="20"/>
          <w:szCs w:val="20"/>
          <w:lang w:val="es-ES"/>
        </w:rPr>
        <w:t>o tiopental sódico</w:t>
      </w:r>
      <w:r w:rsidR="000169CA" w:rsidRPr="007A3389">
        <w:rPr>
          <w:rFonts w:asciiTheme="majorHAnsi" w:hAnsiTheme="majorHAnsi"/>
          <w:sz w:val="20"/>
          <w:szCs w:val="20"/>
          <w:lang w:val="es-ES"/>
        </w:rPr>
        <w:t xml:space="preserve">. </w:t>
      </w:r>
      <w:r w:rsidR="00E06DE6" w:rsidRPr="00E06DE6">
        <w:rPr>
          <w:rFonts w:asciiTheme="majorHAnsi" w:hAnsiTheme="majorHAnsi"/>
          <w:sz w:val="20"/>
          <w:szCs w:val="20"/>
          <w:lang w:val="es-ES"/>
        </w:rPr>
        <w:t>Los peticionarios afirman</w:t>
      </w:r>
      <w:r w:rsidR="00E06DE6">
        <w:rPr>
          <w:rFonts w:asciiTheme="majorHAnsi" w:hAnsiTheme="majorHAnsi"/>
          <w:sz w:val="20"/>
          <w:szCs w:val="20"/>
          <w:lang w:val="es-ES"/>
        </w:rPr>
        <w:t xml:space="preserve"> que</w:t>
      </w:r>
      <w:r w:rsidR="00C018FF" w:rsidRPr="007A3389">
        <w:rPr>
          <w:rFonts w:asciiTheme="majorHAnsi" w:hAnsiTheme="majorHAnsi"/>
          <w:sz w:val="20"/>
          <w:szCs w:val="20"/>
          <w:lang w:val="es-ES"/>
        </w:rPr>
        <w:t xml:space="preserve">, </w:t>
      </w:r>
      <w:r w:rsidR="00E06DE6">
        <w:rPr>
          <w:rFonts w:asciiTheme="majorHAnsi" w:hAnsiTheme="majorHAnsi"/>
          <w:sz w:val="20"/>
          <w:szCs w:val="20"/>
          <w:lang w:val="es-ES"/>
        </w:rPr>
        <w:t xml:space="preserve">cuando se presentó </w:t>
      </w:r>
      <w:r w:rsidR="00631955" w:rsidRPr="007A3389">
        <w:rPr>
          <w:rFonts w:asciiTheme="majorHAnsi" w:hAnsiTheme="majorHAnsi"/>
          <w:sz w:val="20"/>
          <w:szCs w:val="20"/>
          <w:lang w:val="es-ES"/>
        </w:rPr>
        <w:t>la petición</w:t>
      </w:r>
      <w:r w:rsidR="00C018FF" w:rsidRPr="007A3389">
        <w:rPr>
          <w:rFonts w:asciiTheme="majorHAnsi" w:hAnsiTheme="majorHAnsi"/>
          <w:sz w:val="20"/>
          <w:szCs w:val="20"/>
          <w:lang w:val="es-ES"/>
        </w:rPr>
        <w:t xml:space="preserve">, </w:t>
      </w:r>
      <w:r w:rsidR="00E06DE6" w:rsidRPr="00E06DE6">
        <w:rPr>
          <w:rFonts w:asciiTheme="majorHAnsi" w:hAnsiTheme="majorHAnsi"/>
          <w:sz w:val="20"/>
          <w:szCs w:val="20"/>
          <w:lang w:val="es-ES"/>
        </w:rPr>
        <w:t xml:space="preserve">el Estado </w:t>
      </w:r>
      <w:r w:rsidR="00E06DE6">
        <w:rPr>
          <w:rFonts w:asciiTheme="majorHAnsi" w:hAnsiTheme="majorHAnsi"/>
          <w:sz w:val="20"/>
          <w:szCs w:val="20"/>
          <w:lang w:val="es-ES"/>
        </w:rPr>
        <w:t xml:space="preserve">no proporcionó suficiente información sobre el </w:t>
      </w:r>
      <w:r w:rsidR="000D3EE0" w:rsidRPr="007A3389">
        <w:rPr>
          <w:rFonts w:asciiTheme="majorHAnsi" w:hAnsiTheme="majorHAnsi"/>
          <w:sz w:val="20"/>
          <w:szCs w:val="20"/>
          <w:lang w:val="es-ES"/>
        </w:rPr>
        <w:t>método de ejecución</w:t>
      </w:r>
      <w:r w:rsidR="008417E4" w:rsidRPr="007A3389">
        <w:rPr>
          <w:rFonts w:asciiTheme="majorHAnsi" w:hAnsiTheme="majorHAnsi"/>
          <w:sz w:val="20"/>
          <w:szCs w:val="20"/>
          <w:lang w:val="es-ES"/>
        </w:rPr>
        <w:t>.</w:t>
      </w:r>
      <w:r w:rsidR="00C018FF" w:rsidRPr="007A3389">
        <w:rPr>
          <w:rFonts w:asciiTheme="majorHAnsi" w:hAnsiTheme="majorHAnsi"/>
          <w:sz w:val="20"/>
          <w:szCs w:val="20"/>
          <w:lang w:val="es-ES"/>
        </w:rPr>
        <w:t xml:space="preserve"> </w:t>
      </w:r>
      <w:r w:rsidR="00E06DE6">
        <w:rPr>
          <w:rFonts w:asciiTheme="majorHAnsi" w:hAnsiTheme="majorHAnsi"/>
          <w:sz w:val="20"/>
          <w:szCs w:val="20"/>
          <w:lang w:val="es-ES"/>
        </w:rPr>
        <w:t xml:space="preserve">Agregan que la </w:t>
      </w:r>
      <w:r>
        <w:rPr>
          <w:rFonts w:asciiTheme="majorHAnsi" w:hAnsiTheme="majorHAnsi"/>
          <w:sz w:val="20"/>
          <w:szCs w:val="20"/>
          <w:lang w:val="es-ES"/>
        </w:rPr>
        <w:t>inyección letal</w:t>
      </w:r>
      <w:r w:rsidR="00E06DE6">
        <w:rPr>
          <w:rFonts w:asciiTheme="majorHAnsi" w:hAnsiTheme="majorHAnsi"/>
          <w:sz w:val="20"/>
          <w:szCs w:val="20"/>
          <w:lang w:val="es-ES"/>
        </w:rPr>
        <w:t xml:space="preserve">, en la forma en que se administra en </w:t>
      </w:r>
      <w:r w:rsidR="00D13FAB" w:rsidRPr="007A3389">
        <w:rPr>
          <w:rFonts w:asciiTheme="majorHAnsi" w:hAnsiTheme="majorHAnsi"/>
          <w:sz w:val="20"/>
          <w:szCs w:val="20"/>
          <w:lang w:val="es-ES"/>
        </w:rPr>
        <w:t>Ohio</w:t>
      </w:r>
      <w:r w:rsidR="00E06DE6">
        <w:rPr>
          <w:rFonts w:asciiTheme="majorHAnsi" w:hAnsiTheme="majorHAnsi"/>
          <w:sz w:val="20"/>
          <w:szCs w:val="20"/>
          <w:lang w:val="es-ES"/>
        </w:rPr>
        <w:t>,</w:t>
      </w:r>
      <w:r w:rsidR="00D13FAB" w:rsidRPr="007A3389">
        <w:rPr>
          <w:rFonts w:asciiTheme="majorHAnsi" w:hAnsiTheme="majorHAnsi"/>
          <w:sz w:val="20"/>
          <w:szCs w:val="20"/>
          <w:lang w:val="es-ES"/>
        </w:rPr>
        <w:t xml:space="preserve"> viola</w:t>
      </w:r>
      <w:r w:rsidR="00E06DE6">
        <w:rPr>
          <w:rFonts w:asciiTheme="majorHAnsi" w:hAnsiTheme="majorHAnsi"/>
          <w:sz w:val="20"/>
          <w:szCs w:val="20"/>
          <w:lang w:val="es-ES"/>
        </w:rPr>
        <w:t xml:space="preserve"> el derecho a no recibir un castigo cruel, infamante o inusitado. Además, </w:t>
      </w:r>
      <w:r w:rsidR="006277D0">
        <w:rPr>
          <w:rFonts w:asciiTheme="majorHAnsi" w:hAnsiTheme="majorHAnsi"/>
          <w:sz w:val="20"/>
          <w:szCs w:val="20"/>
          <w:lang w:val="es-ES"/>
        </w:rPr>
        <w:t xml:space="preserve">señalaron que </w:t>
      </w:r>
      <w:r w:rsidR="00D13FAB" w:rsidRPr="007A3389">
        <w:rPr>
          <w:rFonts w:asciiTheme="majorHAnsi" w:hAnsiTheme="majorHAnsi"/>
          <w:sz w:val="20"/>
          <w:szCs w:val="20"/>
          <w:lang w:val="es-ES"/>
        </w:rPr>
        <w:t>Ohio us</w:t>
      </w:r>
      <w:r w:rsidR="00E06DE6">
        <w:rPr>
          <w:rFonts w:asciiTheme="majorHAnsi" w:hAnsiTheme="majorHAnsi"/>
          <w:sz w:val="20"/>
          <w:szCs w:val="20"/>
          <w:lang w:val="es-ES"/>
        </w:rPr>
        <w:t xml:space="preserve">a sus leyes en materia de secreto para impedir que </w:t>
      </w:r>
      <w:r w:rsidR="005019B9" w:rsidRPr="007A3389">
        <w:rPr>
          <w:rFonts w:asciiTheme="majorHAnsi" w:hAnsiTheme="majorHAnsi"/>
          <w:sz w:val="20"/>
          <w:szCs w:val="20"/>
          <w:lang w:val="es-ES"/>
        </w:rPr>
        <w:t>la presunta víctima</w:t>
      </w:r>
      <w:r w:rsidR="00D13FAB" w:rsidRPr="007A3389">
        <w:rPr>
          <w:rFonts w:asciiTheme="majorHAnsi" w:hAnsiTheme="majorHAnsi"/>
          <w:sz w:val="20"/>
          <w:szCs w:val="20"/>
          <w:lang w:val="es-ES"/>
        </w:rPr>
        <w:t xml:space="preserve"> </w:t>
      </w:r>
      <w:r w:rsidR="00E06DE6">
        <w:rPr>
          <w:rFonts w:asciiTheme="majorHAnsi" w:hAnsiTheme="majorHAnsi"/>
          <w:sz w:val="20"/>
          <w:szCs w:val="20"/>
          <w:lang w:val="es-ES"/>
        </w:rPr>
        <w:t xml:space="preserve">se entere de la fuente o los detalles del fármaco utilizado en el </w:t>
      </w:r>
      <w:r w:rsidR="00D13FAB" w:rsidRPr="007A3389">
        <w:rPr>
          <w:rFonts w:asciiTheme="majorHAnsi" w:hAnsiTheme="majorHAnsi"/>
          <w:sz w:val="20"/>
          <w:szCs w:val="20"/>
          <w:lang w:val="es-ES"/>
        </w:rPr>
        <w:t>protocol</w:t>
      </w:r>
      <w:r w:rsidR="00E06DE6">
        <w:rPr>
          <w:rFonts w:asciiTheme="majorHAnsi" w:hAnsiTheme="majorHAnsi"/>
          <w:sz w:val="20"/>
          <w:szCs w:val="20"/>
          <w:lang w:val="es-ES"/>
        </w:rPr>
        <w:t xml:space="preserve">o, lo cual también constituye una violación del derecho de petición. </w:t>
      </w:r>
      <w:r w:rsidR="00C3697D" w:rsidRPr="007A3389">
        <w:rPr>
          <w:rFonts w:asciiTheme="majorHAnsi" w:hAnsiTheme="majorHAnsi"/>
          <w:sz w:val="20"/>
          <w:szCs w:val="20"/>
          <w:lang w:val="es-ES"/>
        </w:rPr>
        <w:t>Los peticionarios afirman</w:t>
      </w:r>
      <w:r w:rsidR="00AB45A1" w:rsidRPr="007A3389">
        <w:rPr>
          <w:rFonts w:asciiTheme="majorHAnsi" w:hAnsiTheme="majorHAnsi"/>
          <w:sz w:val="20"/>
          <w:szCs w:val="20"/>
          <w:lang w:val="es-ES"/>
        </w:rPr>
        <w:t xml:space="preserve"> </w:t>
      </w:r>
      <w:r w:rsidR="00E06DE6">
        <w:rPr>
          <w:rFonts w:asciiTheme="majorHAnsi" w:hAnsiTheme="majorHAnsi"/>
          <w:sz w:val="20"/>
          <w:szCs w:val="20"/>
          <w:lang w:val="es-ES"/>
        </w:rPr>
        <w:t xml:space="preserve">que </w:t>
      </w:r>
      <w:r w:rsidR="00631955" w:rsidRPr="007A3389">
        <w:rPr>
          <w:rFonts w:asciiTheme="majorHAnsi" w:hAnsiTheme="majorHAnsi"/>
          <w:sz w:val="20"/>
          <w:szCs w:val="20"/>
          <w:lang w:val="es-ES"/>
        </w:rPr>
        <w:t>Estados Unidos</w:t>
      </w:r>
      <w:r w:rsidR="00AB45A1" w:rsidRPr="007A3389">
        <w:rPr>
          <w:rFonts w:asciiTheme="majorHAnsi" w:hAnsiTheme="majorHAnsi"/>
          <w:sz w:val="20"/>
          <w:szCs w:val="20"/>
          <w:lang w:val="es-ES"/>
        </w:rPr>
        <w:t xml:space="preserve"> opera</w:t>
      </w:r>
      <w:r w:rsidR="00E06DE6">
        <w:rPr>
          <w:rFonts w:asciiTheme="majorHAnsi" w:hAnsiTheme="majorHAnsi"/>
          <w:sz w:val="20"/>
          <w:szCs w:val="20"/>
          <w:lang w:val="es-ES"/>
        </w:rPr>
        <w:t xml:space="preserve"> de manera contraria a las normas </w:t>
      </w:r>
      <w:r w:rsidR="00AB45A1" w:rsidRPr="007A3389">
        <w:rPr>
          <w:rFonts w:asciiTheme="majorHAnsi" w:hAnsiTheme="majorHAnsi"/>
          <w:sz w:val="20"/>
          <w:szCs w:val="20"/>
          <w:lang w:val="es-ES"/>
        </w:rPr>
        <w:t>interna</w:t>
      </w:r>
      <w:r w:rsidR="00E06DE6">
        <w:rPr>
          <w:rFonts w:asciiTheme="majorHAnsi" w:hAnsiTheme="majorHAnsi"/>
          <w:sz w:val="20"/>
          <w:szCs w:val="20"/>
          <w:lang w:val="es-ES"/>
        </w:rPr>
        <w:t>c</w:t>
      </w:r>
      <w:r w:rsidR="00AB45A1" w:rsidRPr="007A3389">
        <w:rPr>
          <w:rFonts w:asciiTheme="majorHAnsi" w:hAnsiTheme="majorHAnsi"/>
          <w:sz w:val="20"/>
          <w:szCs w:val="20"/>
          <w:lang w:val="es-ES"/>
        </w:rPr>
        <w:t>ional</w:t>
      </w:r>
      <w:r w:rsidR="00E06DE6">
        <w:rPr>
          <w:rFonts w:asciiTheme="majorHAnsi" w:hAnsiTheme="majorHAnsi"/>
          <w:sz w:val="20"/>
          <w:szCs w:val="20"/>
          <w:lang w:val="es-ES"/>
        </w:rPr>
        <w:t xml:space="preserve">es de derechos </w:t>
      </w:r>
      <w:r w:rsidR="00AB45A1" w:rsidRPr="007A3389">
        <w:rPr>
          <w:rFonts w:asciiTheme="majorHAnsi" w:hAnsiTheme="majorHAnsi"/>
          <w:sz w:val="20"/>
          <w:szCs w:val="20"/>
          <w:lang w:val="es-ES"/>
        </w:rPr>
        <w:t>human</w:t>
      </w:r>
      <w:r w:rsidR="00E06DE6">
        <w:rPr>
          <w:rFonts w:asciiTheme="majorHAnsi" w:hAnsiTheme="majorHAnsi"/>
          <w:sz w:val="20"/>
          <w:szCs w:val="20"/>
          <w:lang w:val="es-ES"/>
        </w:rPr>
        <w:t xml:space="preserve">os relativas a la aplicación de </w:t>
      </w:r>
      <w:r w:rsidR="00A06C83" w:rsidRPr="007A3389">
        <w:rPr>
          <w:rFonts w:asciiTheme="majorHAnsi" w:hAnsiTheme="majorHAnsi"/>
          <w:sz w:val="20"/>
          <w:szCs w:val="20"/>
          <w:lang w:val="es-ES"/>
        </w:rPr>
        <w:t>la pena de muerte</w:t>
      </w:r>
      <w:r w:rsidR="00E06DE6">
        <w:rPr>
          <w:rFonts w:asciiTheme="majorHAnsi" w:hAnsiTheme="majorHAnsi"/>
          <w:sz w:val="20"/>
          <w:szCs w:val="20"/>
          <w:lang w:val="es-ES"/>
        </w:rPr>
        <w:t xml:space="preserve"> porque impone al </w:t>
      </w:r>
      <w:r w:rsidR="004F0994">
        <w:rPr>
          <w:rFonts w:asciiTheme="majorHAnsi" w:hAnsiTheme="majorHAnsi"/>
          <w:sz w:val="20"/>
          <w:szCs w:val="20"/>
          <w:lang w:val="es-ES"/>
        </w:rPr>
        <w:t xml:space="preserve">recluso </w:t>
      </w:r>
      <w:r w:rsidR="00E06DE6">
        <w:rPr>
          <w:rFonts w:asciiTheme="majorHAnsi" w:hAnsiTheme="majorHAnsi"/>
          <w:sz w:val="20"/>
          <w:szCs w:val="20"/>
          <w:lang w:val="es-ES"/>
        </w:rPr>
        <w:t xml:space="preserve">la carga de probar que un </w:t>
      </w:r>
      <w:r w:rsidR="000D3EE0" w:rsidRPr="007A3389">
        <w:rPr>
          <w:rFonts w:asciiTheme="majorHAnsi" w:hAnsiTheme="majorHAnsi"/>
          <w:sz w:val="20"/>
          <w:szCs w:val="20"/>
          <w:lang w:val="es-ES"/>
        </w:rPr>
        <w:t>método de ejecución</w:t>
      </w:r>
      <w:r w:rsidR="00AB45A1" w:rsidRPr="007A3389">
        <w:rPr>
          <w:rFonts w:asciiTheme="majorHAnsi" w:hAnsiTheme="majorHAnsi"/>
          <w:sz w:val="20"/>
          <w:szCs w:val="20"/>
          <w:lang w:val="es-ES"/>
        </w:rPr>
        <w:t xml:space="preserve"> </w:t>
      </w:r>
      <w:r w:rsidR="00E06DE6">
        <w:rPr>
          <w:rFonts w:asciiTheme="majorHAnsi" w:hAnsiTheme="majorHAnsi"/>
          <w:sz w:val="20"/>
          <w:szCs w:val="20"/>
          <w:lang w:val="es-ES"/>
        </w:rPr>
        <w:t>particular es inconstitucional.</w:t>
      </w:r>
    </w:p>
    <w:p w14:paraId="156206A5" w14:textId="77777777" w:rsidR="00825876" w:rsidRPr="007A3389" w:rsidRDefault="00825876" w:rsidP="0082587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6CA5ADBC" w14:textId="77777777" w:rsidR="00D72ED0" w:rsidRPr="007A3389" w:rsidRDefault="00C3697D" w:rsidP="00721A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7A3389">
        <w:rPr>
          <w:rFonts w:asciiTheme="majorHAnsi" w:hAnsiTheme="majorHAnsi"/>
          <w:sz w:val="20"/>
          <w:szCs w:val="20"/>
          <w:lang w:val="es-ES"/>
        </w:rPr>
        <w:t>Los peticionarios agregan</w:t>
      </w:r>
      <w:r w:rsidR="00D15377" w:rsidRPr="007A3389">
        <w:rPr>
          <w:rFonts w:asciiTheme="majorHAnsi" w:hAnsiTheme="majorHAnsi"/>
          <w:sz w:val="20"/>
          <w:szCs w:val="20"/>
          <w:lang w:val="es-ES"/>
        </w:rPr>
        <w:t xml:space="preserve"> </w:t>
      </w:r>
      <w:r w:rsidR="00E06DE6">
        <w:rPr>
          <w:rFonts w:asciiTheme="majorHAnsi" w:hAnsiTheme="majorHAnsi"/>
          <w:sz w:val="20"/>
          <w:szCs w:val="20"/>
          <w:lang w:val="es-ES"/>
        </w:rPr>
        <w:t xml:space="preserve">que </w:t>
      </w:r>
      <w:r w:rsidR="006277D0">
        <w:rPr>
          <w:rFonts w:asciiTheme="majorHAnsi" w:hAnsiTheme="majorHAnsi"/>
          <w:sz w:val="20"/>
          <w:szCs w:val="20"/>
          <w:lang w:val="es-ES"/>
        </w:rPr>
        <w:t xml:space="preserve">el estado de </w:t>
      </w:r>
      <w:r w:rsidR="00D15377" w:rsidRPr="007A3389">
        <w:rPr>
          <w:rFonts w:asciiTheme="majorHAnsi" w:hAnsiTheme="majorHAnsi"/>
          <w:sz w:val="20"/>
          <w:szCs w:val="20"/>
          <w:lang w:val="es-ES"/>
        </w:rPr>
        <w:t>Ohio ha</w:t>
      </w:r>
      <w:r w:rsidR="00E06DE6">
        <w:rPr>
          <w:rFonts w:asciiTheme="majorHAnsi" w:hAnsiTheme="majorHAnsi"/>
          <w:sz w:val="20"/>
          <w:szCs w:val="20"/>
          <w:lang w:val="es-ES"/>
        </w:rPr>
        <w:t xml:space="preserve"> cambiado su protocolo para la</w:t>
      </w:r>
      <w:r w:rsidR="00D15377" w:rsidRPr="007A3389">
        <w:rPr>
          <w:rFonts w:asciiTheme="majorHAnsi" w:hAnsiTheme="majorHAnsi"/>
          <w:sz w:val="20"/>
          <w:szCs w:val="20"/>
          <w:lang w:val="es-ES"/>
        </w:rPr>
        <w:t xml:space="preserve"> </w:t>
      </w:r>
      <w:r w:rsidR="003A46FC">
        <w:rPr>
          <w:rFonts w:asciiTheme="majorHAnsi" w:hAnsiTheme="majorHAnsi"/>
          <w:sz w:val="20"/>
          <w:szCs w:val="20"/>
          <w:lang w:val="es-ES"/>
        </w:rPr>
        <w:t>inyección letal</w:t>
      </w:r>
      <w:r w:rsidR="00D15377" w:rsidRPr="007A3389">
        <w:rPr>
          <w:rFonts w:asciiTheme="majorHAnsi" w:hAnsiTheme="majorHAnsi"/>
          <w:sz w:val="20"/>
          <w:szCs w:val="20"/>
          <w:lang w:val="es-ES"/>
        </w:rPr>
        <w:t xml:space="preserve"> </w:t>
      </w:r>
      <w:r w:rsidR="00E06DE6">
        <w:rPr>
          <w:rFonts w:asciiTheme="majorHAnsi" w:hAnsiTheme="majorHAnsi"/>
          <w:sz w:val="20"/>
          <w:szCs w:val="20"/>
          <w:lang w:val="es-ES"/>
        </w:rPr>
        <w:t>por lo menos tres veces en los últimos cuatro años. Indican que, e</w:t>
      </w:r>
      <w:r w:rsidR="00825876" w:rsidRPr="007A3389">
        <w:rPr>
          <w:rFonts w:asciiTheme="majorHAnsi" w:hAnsiTheme="majorHAnsi"/>
          <w:sz w:val="20"/>
          <w:szCs w:val="20"/>
          <w:lang w:val="es-ES"/>
        </w:rPr>
        <w:t>n 2017</w:t>
      </w:r>
      <w:r w:rsidR="00E06DE6">
        <w:rPr>
          <w:rFonts w:asciiTheme="majorHAnsi" w:hAnsiTheme="majorHAnsi"/>
          <w:sz w:val="20"/>
          <w:szCs w:val="20"/>
          <w:lang w:val="es-ES"/>
        </w:rPr>
        <w:t xml:space="preserve">, volvió a adoptar un protocolo de tres fármacos porque las compañías farmacéuticas de </w:t>
      </w:r>
      <w:r w:rsidR="00631955" w:rsidRPr="007A3389">
        <w:rPr>
          <w:rFonts w:asciiTheme="majorHAnsi" w:hAnsiTheme="majorHAnsi"/>
          <w:sz w:val="20"/>
          <w:szCs w:val="20"/>
          <w:lang w:val="es-ES"/>
        </w:rPr>
        <w:t>Estados Unidos</w:t>
      </w:r>
      <w:r w:rsidR="00825876" w:rsidRPr="007A3389">
        <w:rPr>
          <w:rFonts w:asciiTheme="majorHAnsi" w:hAnsiTheme="majorHAnsi"/>
          <w:sz w:val="20"/>
          <w:szCs w:val="20"/>
          <w:lang w:val="es-ES"/>
        </w:rPr>
        <w:t xml:space="preserve"> </w:t>
      </w:r>
      <w:r w:rsidR="00E06DE6">
        <w:rPr>
          <w:rFonts w:asciiTheme="majorHAnsi" w:hAnsiTheme="majorHAnsi"/>
          <w:sz w:val="20"/>
          <w:szCs w:val="20"/>
          <w:lang w:val="es-ES"/>
        </w:rPr>
        <w:t xml:space="preserve">ya no fabricaban </w:t>
      </w:r>
      <w:r w:rsidR="00825876" w:rsidRPr="007A3389">
        <w:rPr>
          <w:rFonts w:asciiTheme="majorHAnsi" w:hAnsiTheme="majorHAnsi"/>
          <w:sz w:val="20"/>
          <w:szCs w:val="20"/>
          <w:lang w:val="es-ES"/>
        </w:rPr>
        <w:t xml:space="preserve">pentobarbital </w:t>
      </w:r>
      <w:r w:rsidR="00B834B0" w:rsidRPr="00B834B0">
        <w:rPr>
          <w:rFonts w:asciiTheme="majorHAnsi" w:hAnsiTheme="majorHAnsi"/>
          <w:sz w:val="20"/>
          <w:szCs w:val="20"/>
          <w:lang w:val="es-ES"/>
        </w:rPr>
        <w:t>o tiopental sódico</w:t>
      </w:r>
      <w:r w:rsidR="00825876" w:rsidRPr="007A3389">
        <w:rPr>
          <w:rFonts w:asciiTheme="majorHAnsi" w:hAnsiTheme="majorHAnsi"/>
          <w:sz w:val="20"/>
          <w:szCs w:val="20"/>
          <w:lang w:val="es-ES"/>
        </w:rPr>
        <w:t xml:space="preserve">. </w:t>
      </w:r>
      <w:r w:rsidR="00E06DE6">
        <w:rPr>
          <w:rFonts w:asciiTheme="majorHAnsi" w:hAnsiTheme="majorHAnsi"/>
          <w:sz w:val="20"/>
          <w:szCs w:val="20"/>
          <w:lang w:val="es-ES"/>
        </w:rPr>
        <w:t>Un tribunal</w:t>
      </w:r>
      <w:r w:rsidR="00825876" w:rsidRPr="007A3389">
        <w:rPr>
          <w:rFonts w:asciiTheme="majorHAnsi" w:hAnsiTheme="majorHAnsi"/>
          <w:sz w:val="20"/>
          <w:szCs w:val="20"/>
          <w:lang w:val="es-ES"/>
        </w:rPr>
        <w:t xml:space="preserve"> federal d</w:t>
      </w:r>
      <w:r w:rsidR="00E06DE6">
        <w:rPr>
          <w:rFonts w:asciiTheme="majorHAnsi" w:hAnsiTheme="majorHAnsi"/>
          <w:sz w:val="20"/>
          <w:szCs w:val="20"/>
          <w:lang w:val="es-ES"/>
        </w:rPr>
        <w:t>e primera instancia suspendió todas las ejecuciones en</w:t>
      </w:r>
      <w:r w:rsidR="00825876" w:rsidRPr="007A3389">
        <w:rPr>
          <w:rFonts w:asciiTheme="majorHAnsi" w:hAnsiTheme="majorHAnsi"/>
          <w:sz w:val="20"/>
          <w:szCs w:val="20"/>
          <w:lang w:val="es-ES"/>
        </w:rPr>
        <w:t xml:space="preserve"> Ohio </w:t>
      </w:r>
      <w:r w:rsidR="00E06DE6">
        <w:rPr>
          <w:rFonts w:asciiTheme="majorHAnsi" w:hAnsiTheme="majorHAnsi"/>
          <w:sz w:val="20"/>
          <w:szCs w:val="20"/>
          <w:lang w:val="es-ES"/>
        </w:rPr>
        <w:t xml:space="preserve">después de oír declaraciones testimoniales sobre los riesgos del uso de </w:t>
      </w:r>
      <w:r w:rsidR="00825876" w:rsidRPr="007A3389">
        <w:rPr>
          <w:rFonts w:asciiTheme="majorHAnsi" w:hAnsiTheme="majorHAnsi"/>
          <w:sz w:val="20"/>
          <w:szCs w:val="20"/>
          <w:lang w:val="es-ES"/>
        </w:rPr>
        <w:t xml:space="preserve">midazolam </w:t>
      </w:r>
      <w:r w:rsidR="00E06DE6">
        <w:rPr>
          <w:rFonts w:asciiTheme="majorHAnsi" w:hAnsiTheme="majorHAnsi"/>
          <w:sz w:val="20"/>
          <w:szCs w:val="20"/>
          <w:lang w:val="es-ES"/>
        </w:rPr>
        <w:t>para ejecutar a seres humanos</w:t>
      </w:r>
      <w:r w:rsidR="00825876" w:rsidRPr="007A3389">
        <w:rPr>
          <w:rFonts w:asciiTheme="majorHAnsi" w:hAnsiTheme="majorHAnsi"/>
          <w:sz w:val="20"/>
          <w:szCs w:val="20"/>
          <w:lang w:val="es-ES"/>
        </w:rPr>
        <w:t xml:space="preserve">. </w:t>
      </w:r>
      <w:r w:rsidR="00E06DE6">
        <w:rPr>
          <w:rFonts w:asciiTheme="majorHAnsi" w:hAnsiTheme="majorHAnsi"/>
          <w:sz w:val="20"/>
          <w:szCs w:val="20"/>
          <w:lang w:val="es-ES"/>
        </w:rPr>
        <w:t xml:space="preserve">El Tribunal de Apelación del Sexto Circuito revocó esta opinión porque los peticionarios no habían demostrado que </w:t>
      </w:r>
      <w:r w:rsidR="00C95DAD">
        <w:rPr>
          <w:rFonts w:asciiTheme="majorHAnsi" w:hAnsiTheme="majorHAnsi"/>
          <w:sz w:val="20"/>
          <w:szCs w:val="20"/>
          <w:lang w:val="es-ES"/>
        </w:rPr>
        <w:t>el protocolo de tres fármacos presentaba el riesgo de que “seguramente o muy probablemente” causara</w:t>
      </w:r>
      <w:r w:rsidR="00EF7FC5">
        <w:rPr>
          <w:rFonts w:asciiTheme="majorHAnsi" w:hAnsiTheme="majorHAnsi"/>
          <w:sz w:val="20"/>
          <w:szCs w:val="20"/>
          <w:lang w:val="es-ES"/>
        </w:rPr>
        <w:t xml:space="preserve"> dolor grave y </w:t>
      </w:r>
      <w:r w:rsidR="002D3C13">
        <w:rPr>
          <w:rFonts w:asciiTheme="majorHAnsi" w:hAnsiTheme="majorHAnsi"/>
          <w:sz w:val="20"/>
          <w:szCs w:val="20"/>
          <w:lang w:val="es-ES"/>
        </w:rPr>
        <w:t>“</w:t>
      </w:r>
      <w:r w:rsidR="00EF7FC5">
        <w:rPr>
          <w:rFonts w:asciiTheme="majorHAnsi" w:hAnsiTheme="majorHAnsi"/>
          <w:sz w:val="20"/>
          <w:szCs w:val="20"/>
          <w:lang w:val="es-ES"/>
        </w:rPr>
        <w:t>sufrimiento innecesario</w:t>
      </w:r>
      <w:r w:rsidR="002D3C13">
        <w:rPr>
          <w:rFonts w:asciiTheme="majorHAnsi" w:hAnsiTheme="majorHAnsi"/>
          <w:sz w:val="20"/>
          <w:szCs w:val="20"/>
          <w:lang w:val="es-ES"/>
        </w:rPr>
        <w:t>”</w:t>
      </w:r>
      <w:r w:rsidR="00EF7FC5">
        <w:rPr>
          <w:rFonts w:asciiTheme="majorHAnsi" w:hAnsiTheme="majorHAnsi"/>
          <w:sz w:val="20"/>
          <w:szCs w:val="20"/>
          <w:lang w:val="es-ES"/>
        </w:rPr>
        <w:t xml:space="preserve">. Cinco jueces disintieron. </w:t>
      </w:r>
      <w:r w:rsidR="000D3EE0" w:rsidRPr="007A3389">
        <w:rPr>
          <w:rFonts w:asciiTheme="majorHAnsi" w:hAnsiTheme="majorHAnsi"/>
          <w:sz w:val="20"/>
          <w:szCs w:val="20"/>
          <w:lang w:val="es-ES"/>
        </w:rPr>
        <w:t>Los peticionarios</w:t>
      </w:r>
      <w:r w:rsidR="00F03705" w:rsidRPr="007A3389">
        <w:rPr>
          <w:rFonts w:asciiTheme="majorHAnsi" w:hAnsiTheme="majorHAnsi"/>
          <w:sz w:val="20"/>
          <w:szCs w:val="20"/>
          <w:lang w:val="es-ES"/>
        </w:rPr>
        <w:t xml:space="preserve"> indica</w:t>
      </w:r>
      <w:r w:rsidR="00EF7FC5">
        <w:rPr>
          <w:rFonts w:asciiTheme="majorHAnsi" w:hAnsiTheme="majorHAnsi"/>
          <w:sz w:val="20"/>
          <w:szCs w:val="20"/>
          <w:lang w:val="es-ES"/>
        </w:rPr>
        <w:t xml:space="preserve">n que dicho tribunal señaló que los demandantes no habían presentado prueba suficiente de que un recluso </w:t>
      </w:r>
      <w:r w:rsidR="00EF7FC5" w:rsidRPr="00EF7FC5">
        <w:rPr>
          <w:rFonts w:asciiTheme="majorHAnsi" w:hAnsiTheme="majorHAnsi"/>
          <w:sz w:val="20"/>
          <w:szCs w:val="20"/>
          <w:lang w:val="es-ES"/>
        </w:rPr>
        <w:t>seguramente o muy probablemente</w:t>
      </w:r>
      <w:r w:rsidR="00EF7FC5">
        <w:rPr>
          <w:rFonts w:asciiTheme="majorHAnsi" w:hAnsiTheme="majorHAnsi"/>
          <w:sz w:val="20"/>
          <w:szCs w:val="20"/>
          <w:lang w:val="es-ES"/>
        </w:rPr>
        <w:t xml:space="preserve"> sufriera no solo algo de dolor, sino un dolor de intensidad constitucionalmente inaceptable. </w:t>
      </w:r>
    </w:p>
    <w:p w14:paraId="2B06F9ED" w14:textId="77777777" w:rsidR="00D72ED0" w:rsidRPr="007A3389" w:rsidRDefault="00D72ED0" w:rsidP="00D72ED0">
      <w:pPr>
        <w:pStyle w:val="ListParagraph"/>
        <w:rPr>
          <w:rFonts w:asciiTheme="majorHAnsi" w:hAnsiTheme="majorHAnsi"/>
          <w:sz w:val="20"/>
          <w:szCs w:val="20"/>
          <w:lang w:val="es-ES"/>
        </w:rPr>
      </w:pPr>
    </w:p>
    <w:p w14:paraId="45AEB544" w14:textId="77777777" w:rsidR="00825876" w:rsidRPr="007A3389" w:rsidRDefault="00EF7FC5" w:rsidP="00721A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Según </w:t>
      </w:r>
      <w:r w:rsidR="000D3EE0" w:rsidRPr="007A3389">
        <w:rPr>
          <w:rFonts w:asciiTheme="majorHAnsi" w:hAnsiTheme="majorHAnsi"/>
          <w:sz w:val="20"/>
          <w:szCs w:val="20"/>
          <w:lang w:val="es-ES"/>
        </w:rPr>
        <w:t>los peticionarios</w:t>
      </w:r>
      <w:r w:rsidR="00F03705" w:rsidRPr="007A3389">
        <w:rPr>
          <w:rFonts w:asciiTheme="majorHAnsi" w:hAnsiTheme="majorHAnsi"/>
          <w:sz w:val="20"/>
          <w:szCs w:val="20"/>
          <w:lang w:val="es-ES"/>
        </w:rPr>
        <w:t xml:space="preserve">, </w:t>
      </w:r>
      <w:r>
        <w:rPr>
          <w:rFonts w:asciiTheme="majorHAnsi" w:hAnsiTheme="majorHAnsi"/>
          <w:sz w:val="20"/>
          <w:szCs w:val="20"/>
          <w:lang w:val="es-ES"/>
        </w:rPr>
        <w:t xml:space="preserve">el </w:t>
      </w:r>
      <w:r w:rsidR="00F03705" w:rsidRPr="007A3389">
        <w:rPr>
          <w:rFonts w:asciiTheme="majorHAnsi" w:hAnsiTheme="majorHAnsi"/>
          <w:sz w:val="20"/>
          <w:szCs w:val="20"/>
          <w:lang w:val="es-ES"/>
        </w:rPr>
        <w:t xml:space="preserve">panel </w:t>
      </w:r>
      <w:r>
        <w:rPr>
          <w:rFonts w:asciiTheme="majorHAnsi" w:hAnsiTheme="majorHAnsi"/>
          <w:sz w:val="20"/>
          <w:szCs w:val="20"/>
          <w:lang w:val="es-ES"/>
        </w:rPr>
        <w:t xml:space="preserve">de tres jueces rechazó la conclusión del juez auxiliar, ampliamente respaldada por un consenso científico casi </w:t>
      </w:r>
      <w:r w:rsidR="00860797">
        <w:rPr>
          <w:rFonts w:asciiTheme="majorHAnsi" w:hAnsiTheme="majorHAnsi"/>
          <w:sz w:val="20"/>
          <w:szCs w:val="20"/>
          <w:lang w:val="es-ES"/>
        </w:rPr>
        <w:t>general</w:t>
      </w:r>
      <w:r>
        <w:rPr>
          <w:rFonts w:asciiTheme="majorHAnsi" w:hAnsiTheme="majorHAnsi"/>
          <w:sz w:val="20"/>
          <w:szCs w:val="20"/>
          <w:lang w:val="es-ES"/>
        </w:rPr>
        <w:t xml:space="preserve">, de que el </w:t>
      </w:r>
      <w:r w:rsidR="00F03705" w:rsidRPr="007A3389">
        <w:rPr>
          <w:rFonts w:asciiTheme="majorHAnsi" w:hAnsiTheme="majorHAnsi"/>
          <w:sz w:val="20"/>
          <w:szCs w:val="20"/>
          <w:lang w:val="es-ES"/>
        </w:rPr>
        <w:t xml:space="preserve">midazolam </w:t>
      </w:r>
      <w:r>
        <w:rPr>
          <w:rFonts w:asciiTheme="majorHAnsi" w:hAnsiTheme="majorHAnsi"/>
          <w:sz w:val="20"/>
          <w:szCs w:val="20"/>
          <w:lang w:val="es-ES"/>
        </w:rPr>
        <w:t xml:space="preserve">no bloquea o mitiga el dolor porque </w:t>
      </w:r>
      <w:r>
        <w:rPr>
          <w:rFonts w:asciiTheme="majorHAnsi" w:hAnsiTheme="majorHAnsi"/>
          <w:sz w:val="20"/>
          <w:szCs w:val="20"/>
          <w:lang w:val="es-ES"/>
        </w:rPr>
        <w:lastRenderedPageBreak/>
        <w:t>no tiene propiedades analgésicas en ninguna dosis</w:t>
      </w:r>
      <w:r w:rsidR="00F03705" w:rsidRPr="007A3389">
        <w:rPr>
          <w:rFonts w:asciiTheme="majorHAnsi" w:hAnsiTheme="majorHAnsi"/>
          <w:sz w:val="20"/>
          <w:szCs w:val="20"/>
          <w:lang w:val="es-ES"/>
        </w:rPr>
        <w:t xml:space="preserve">. </w:t>
      </w:r>
      <w:r w:rsidR="000D3EE0" w:rsidRPr="007A3389">
        <w:rPr>
          <w:rFonts w:asciiTheme="majorHAnsi" w:hAnsiTheme="majorHAnsi"/>
          <w:sz w:val="20"/>
          <w:szCs w:val="20"/>
          <w:lang w:val="es-ES"/>
        </w:rPr>
        <w:t>Los peticionarios</w:t>
      </w:r>
      <w:r w:rsidR="0076368E" w:rsidRPr="007A3389">
        <w:rPr>
          <w:rFonts w:asciiTheme="majorHAnsi" w:hAnsiTheme="majorHAnsi"/>
          <w:sz w:val="20"/>
          <w:szCs w:val="20"/>
          <w:lang w:val="es-ES"/>
        </w:rPr>
        <w:t xml:space="preserve"> </w:t>
      </w:r>
      <w:r w:rsidR="006277D0">
        <w:rPr>
          <w:rFonts w:asciiTheme="majorHAnsi" w:hAnsiTheme="majorHAnsi"/>
          <w:sz w:val="20"/>
          <w:szCs w:val="20"/>
          <w:lang w:val="es-ES"/>
        </w:rPr>
        <w:t xml:space="preserve">señalaron </w:t>
      </w:r>
      <w:r>
        <w:rPr>
          <w:rFonts w:asciiTheme="majorHAnsi" w:hAnsiTheme="majorHAnsi"/>
          <w:sz w:val="20"/>
          <w:szCs w:val="20"/>
          <w:lang w:val="es-ES"/>
        </w:rPr>
        <w:t xml:space="preserve">que, el </w:t>
      </w:r>
      <w:r w:rsidR="0076368E" w:rsidRPr="007A3389">
        <w:rPr>
          <w:rFonts w:asciiTheme="majorHAnsi" w:hAnsiTheme="majorHAnsi"/>
          <w:sz w:val="20"/>
          <w:szCs w:val="20"/>
          <w:lang w:val="es-ES"/>
        </w:rPr>
        <w:t>15</w:t>
      </w:r>
      <w:r>
        <w:rPr>
          <w:rFonts w:asciiTheme="majorHAnsi" w:hAnsiTheme="majorHAnsi"/>
          <w:sz w:val="20"/>
          <w:szCs w:val="20"/>
          <w:lang w:val="es-ES"/>
        </w:rPr>
        <w:t xml:space="preserve"> de noviembre de</w:t>
      </w:r>
      <w:r w:rsidR="0076368E" w:rsidRPr="007A3389">
        <w:rPr>
          <w:rFonts w:asciiTheme="majorHAnsi" w:hAnsiTheme="majorHAnsi"/>
          <w:sz w:val="20"/>
          <w:szCs w:val="20"/>
          <w:lang w:val="es-ES"/>
        </w:rPr>
        <w:t xml:space="preserve"> 2017, </w:t>
      </w:r>
      <w:r>
        <w:rPr>
          <w:rFonts w:asciiTheme="majorHAnsi" w:hAnsiTheme="majorHAnsi"/>
          <w:sz w:val="20"/>
          <w:szCs w:val="20"/>
          <w:lang w:val="es-ES"/>
        </w:rPr>
        <w:t xml:space="preserve">hubo otra ejecución </w:t>
      </w:r>
      <w:r w:rsidR="006277D0">
        <w:rPr>
          <w:rFonts w:asciiTheme="majorHAnsi" w:hAnsiTheme="majorHAnsi"/>
          <w:sz w:val="20"/>
          <w:szCs w:val="20"/>
          <w:lang w:val="es-ES"/>
        </w:rPr>
        <w:t xml:space="preserve">que no fue adecuadamente realizada </w:t>
      </w:r>
      <w:r>
        <w:rPr>
          <w:rFonts w:asciiTheme="majorHAnsi" w:hAnsiTheme="majorHAnsi"/>
          <w:sz w:val="20"/>
          <w:szCs w:val="20"/>
          <w:lang w:val="es-ES"/>
        </w:rPr>
        <w:t>con el nuevo protocolo</w:t>
      </w:r>
      <w:r w:rsidR="0076368E" w:rsidRPr="007A3389">
        <w:rPr>
          <w:rFonts w:asciiTheme="majorHAnsi" w:hAnsiTheme="majorHAnsi"/>
          <w:sz w:val="20"/>
          <w:szCs w:val="20"/>
          <w:lang w:val="es-ES"/>
        </w:rPr>
        <w:t>.</w:t>
      </w:r>
    </w:p>
    <w:p w14:paraId="5A6CC612" w14:textId="77777777" w:rsidR="00D72ED0" w:rsidRPr="007A3389" w:rsidRDefault="00D72ED0" w:rsidP="00D72ED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19F78E9D" w14:textId="77777777" w:rsidR="00D72ED0" w:rsidRPr="007A3389" w:rsidRDefault="00C3697D" w:rsidP="00721A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7A3389">
        <w:rPr>
          <w:rFonts w:asciiTheme="majorHAnsi" w:hAnsiTheme="majorHAnsi"/>
          <w:sz w:val="20"/>
          <w:szCs w:val="20"/>
          <w:lang w:val="es-ES"/>
        </w:rPr>
        <w:t>Los peticionarios señalan</w:t>
      </w:r>
      <w:r w:rsidR="00D72ED0" w:rsidRPr="007A3389">
        <w:rPr>
          <w:rFonts w:asciiTheme="majorHAnsi" w:hAnsiTheme="majorHAnsi"/>
          <w:sz w:val="20"/>
          <w:szCs w:val="20"/>
          <w:lang w:val="es-ES"/>
        </w:rPr>
        <w:t xml:space="preserve"> </w:t>
      </w:r>
      <w:r w:rsidR="00860797">
        <w:rPr>
          <w:rFonts w:asciiTheme="majorHAnsi" w:hAnsiTheme="majorHAnsi"/>
          <w:sz w:val="20"/>
          <w:szCs w:val="20"/>
          <w:lang w:val="es-ES"/>
        </w:rPr>
        <w:t xml:space="preserve">que </w:t>
      </w:r>
      <w:r w:rsidR="00EF7FC5">
        <w:rPr>
          <w:rFonts w:asciiTheme="majorHAnsi" w:hAnsiTheme="majorHAnsi"/>
          <w:sz w:val="20"/>
          <w:szCs w:val="20"/>
          <w:lang w:val="es-ES"/>
        </w:rPr>
        <w:t xml:space="preserve">no resulta claro si </w:t>
      </w:r>
      <w:r w:rsidR="00D87346" w:rsidRPr="007A3389">
        <w:rPr>
          <w:rFonts w:asciiTheme="majorHAnsi" w:hAnsiTheme="majorHAnsi"/>
          <w:sz w:val="20"/>
          <w:szCs w:val="20"/>
          <w:lang w:val="es-ES"/>
        </w:rPr>
        <w:t xml:space="preserve">el </w:t>
      </w:r>
      <w:r w:rsidR="00EF7FC5">
        <w:rPr>
          <w:rFonts w:asciiTheme="majorHAnsi" w:hAnsiTheme="majorHAnsi"/>
          <w:sz w:val="20"/>
          <w:szCs w:val="20"/>
          <w:lang w:val="es-ES"/>
        </w:rPr>
        <w:t>e</w:t>
      </w:r>
      <w:r w:rsidR="00D87346" w:rsidRPr="007A3389">
        <w:rPr>
          <w:rFonts w:asciiTheme="majorHAnsi" w:hAnsiTheme="majorHAnsi"/>
          <w:sz w:val="20"/>
          <w:szCs w:val="20"/>
          <w:lang w:val="es-ES"/>
        </w:rPr>
        <w:t>stado</w:t>
      </w:r>
      <w:r w:rsidR="00860797">
        <w:rPr>
          <w:rFonts w:asciiTheme="majorHAnsi" w:hAnsiTheme="majorHAnsi"/>
          <w:sz w:val="20"/>
          <w:szCs w:val="20"/>
          <w:lang w:val="es-ES"/>
        </w:rPr>
        <w:t xml:space="preserve"> de </w:t>
      </w:r>
      <w:r w:rsidR="00D72ED0" w:rsidRPr="007A3389">
        <w:rPr>
          <w:rFonts w:asciiTheme="majorHAnsi" w:hAnsiTheme="majorHAnsi"/>
          <w:sz w:val="20"/>
          <w:szCs w:val="20"/>
          <w:lang w:val="es-ES"/>
        </w:rPr>
        <w:t xml:space="preserve">Ohio </w:t>
      </w:r>
      <w:r w:rsidR="00EF7FC5">
        <w:rPr>
          <w:rFonts w:asciiTheme="majorHAnsi" w:hAnsiTheme="majorHAnsi"/>
          <w:sz w:val="20"/>
          <w:szCs w:val="20"/>
          <w:lang w:val="es-ES"/>
        </w:rPr>
        <w:t xml:space="preserve">considera que la decisión del Sexto Circuito representa una aprobación del protocolo actual para las ejecuciones y </w:t>
      </w:r>
      <w:r w:rsidR="00D74140">
        <w:rPr>
          <w:rFonts w:asciiTheme="majorHAnsi" w:hAnsiTheme="majorHAnsi"/>
          <w:sz w:val="20"/>
          <w:szCs w:val="20"/>
          <w:lang w:val="es-ES"/>
        </w:rPr>
        <w:t>las reanudará en cuanto el gobierno consiga los fármacos o si el gobierno todavía está buscando un método nuevo</w:t>
      </w:r>
      <w:r w:rsidR="00D72ED0" w:rsidRPr="007A3389">
        <w:rPr>
          <w:rFonts w:asciiTheme="majorHAnsi" w:hAnsiTheme="majorHAnsi"/>
          <w:sz w:val="20"/>
          <w:szCs w:val="20"/>
          <w:lang w:val="es-ES"/>
        </w:rPr>
        <w:t>.</w:t>
      </w:r>
    </w:p>
    <w:p w14:paraId="4926C9FE" w14:textId="77777777" w:rsidR="00D72ED0" w:rsidRPr="007A3389" w:rsidRDefault="00D72ED0" w:rsidP="00D72ED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701FEE83" w14:textId="77777777" w:rsidR="0080231F" w:rsidRPr="007A3389" w:rsidRDefault="00D74140" w:rsidP="008023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Con respecto al requisito de agotamiento de los recursos internos,</w:t>
      </w:r>
      <w:r w:rsidR="00FE25F4" w:rsidRPr="007A3389">
        <w:rPr>
          <w:rFonts w:asciiTheme="majorHAnsi" w:hAnsiTheme="majorHAnsi"/>
          <w:sz w:val="20"/>
          <w:szCs w:val="20"/>
          <w:lang w:val="es-ES"/>
        </w:rPr>
        <w:t xml:space="preserve"> </w:t>
      </w:r>
      <w:r w:rsidR="000D3EE0" w:rsidRPr="007A3389">
        <w:rPr>
          <w:rFonts w:asciiTheme="majorHAnsi" w:hAnsiTheme="majorHAnsi"/>
          <w:sz w:val="20"/>
          <w:szCs w:val="20"/>
          <w:lang w:val="es-ES"/>
        </w:rPr>
        <w:t>los peticionarios</w:t>
      </w:r>
      <w:r w:rsidR="003A18F4" w:rsidRPr="007A3389">
        <w:rPr>
          <w:rFonts w:asciiTheme="majorHAnsi" w:hAnsiTheme="majorHAnsi"/>
          <w:sz w:val="20"/>
          <w:szCs w:val="20"/>
          <w:lang w:val="es-ES"/>
        </w:rPr>
        <w:t xml:space="preserve"> indica</w:t>
      </w:r>
      <w:r>
        <w:rPr>
          <w:rFonts w:asciiTheme="majorHAnsi" w:hAnsiTheme="majorHAnsi"/>
          <w:sz w:val="20"/>
          <w:szCs w:val="20"/>
          <w:lang w:val="es-ES"/>
        </w:rPr>
        <w:t>n que la condena y la sentencia d</w:t>
      </w:r>
      <w:r w:rsidR="00D87346" w:rsidRPr="007A3389">
        <w:rPr>
          <w:rFonts w:asciiTheme="majorHAnsi" w:hAnsiTheme="majorHAnsi"/>
          <w:sz w:val="20"/>
          <w:szCs w:val="20"/>
          <w:lang w:val="es-ES"/>
        </w:rPr>
        <w:t>el señor</w:t>
      </w:r>
      <w:r w:rsidR="003A18F4" w:rsidRPr="007A3389">
        <w:rPr>
          <w:rFonts w:asciiTheme="majorHAnsi" w:hAnsiTheme="majorHAnsi"/>
          <w:sz w:val="20"/>
          <w:szCs w:val="20"/>
          <w:lang w:val="es-ES"/>
        </w:rPr>
        <w:t xml:space="preserve"> </w:t>
      </w:r>
      <w:r w:rsidR="00EC514D" w:rsidRPr="007A3389">
        <w:rPr>
          <w:rFonts w:asciiTheme="majorHAnsi" w:hAnsiTheme="majorHAnsi"/>
          <w:sz w:val="20"/>
          <w:szCs w:val="20"/>
          <w:lang w:val="es-ES"/>
        </w:rPr>
        <w:t>Loza</w:t>
      </w:r>
      <w:r>
        <w:rPr>
          <w:rFonts w:asciiTheme="majorHAnsi" w:hAnsiTheme="majorHAnsi"/>
          <w:sz w:val="20"/>
          <w:szCs w:val="20"/>
          <w:lang w:val="es-ES"/>
        </w:rPr>
        <w:t xml:space="preserve"> fueron ratificadas en apelación directa y que el señor Loza ha agotado los recursos </w:t>
      </w:r>
      <w:proofErr w:type="spellStart"/>
      <w:r>
        <w:rPr>
          <w:rFonts w:asciiTheme="majorHAnsi" w:hAnsiTheme="majorHAnsi"/>
          <w:sz w:val="20"/>
          <w:szCs w:val="20"/>
          <w:lang w:val="es-ES"/>
        </w:rPr>
        <w:t>poscondenatorios</w:t>
      </w:r>
      <w:proofErr w:type="spellEnd"/>
      <w:r w:rsidR="0057276F" w:rsidRPr="007A3389">
        <w:rPr>
          <w:rFonts w:asciiTheme="majorHAnsi" w:hAnsiTheme="majorHAnsi"/>
          <w:sz w:val="20"/>
          <w:szCs w:val="20"/>
          <w:lang w:val="es-ES"/>
        </w:rPr>
        <w:t xml:space="preserve">. </w:t>
      </w:r>
      <w:r>
        <w:rPr>
          <w:rFonts w:asciiTheme="majorHAnsi" w:hAnsiTheme="majorHAnsi"/>
          <w:sz w:val="20"/>
          <w:szCs w:val="20"/>
          <w:lang w:val="es-ES"/>
        </w:rPr>
        <w:t xml:space="preserve">Los peticionarios concluyen que </w:t>
      </w:r>
      <w:r w:rsidR="00631955" w:rsidRPr="007A3389">
        <w:rPr>
          <w:rFonts w:asciiTheme="majorHAnsi" w:hAnsiTheme="majorHAnsi"/>
          <w:sz w:val="20"/>
          <w:szCs w:val="20"/>
          <w:lang w:val="es-ES"/>
        </w:rPr>
        <w:t>Estados Unidos</w:t>
      </w:r>
      <w:r w:rsidR="00E92E80" w:rsidRPr="007A3389">
        <w:rPr>
          <w:rFonts w:asciiTheme="majorHAnsi" w:hAnsiTheme="majorHAnsi"/>
          <w:sz w:val="20"/>
          <w:szCs w:val="20"/>
          <w:lang w:val="es-ES"/>
        </w:rPr>
        <w:t xml:space="preserve"> ha</w:t>
      </w:r>
      <w:r>
        <w:rPr>
          <w:rFonts w:asciiTheme="majorHAnsi" w:hAnsiTheme="majorHAnsi"/>
          <w:sz w:val="20"/>
          <w:szCs w:val="20"/>
          <w:lang w:val="es-ES"/>
        </w:rPr>
        <w:t xml:space="preserve"> violado los artículos</w:t>
      </w:r>
      <w:r w:rsidR="003E2DFE" w:rsidRPr="007A3389">
        <w:rPr>
          <w:rFonts w:asciiTheme="majorHAnsi" w:hAnsiTheme="majorHAnsi"/>
          <w:sz w:val="20"/>
          <w:szCs w:val="20"/>
          <w:lang w:val="es-ES"/>
        </w:rPr>
        <w:t xml:space="preserve"> I, II</w:t>
      </w:r>
      <w:r w:rsidR="00E92E80" w:rsidRPr="007A3389">
        <w:rPr>
          <w:rFonts w:asciiTheme="majorHAnsi" w:hAnsiTheme="majorHAnsi"/>
          <w:sz w:val="20"/>
          <w:szCs w:val="20"/>
          <w:lang w:val="es-ES"/>
        </w:rPr>
        <w:t>, XVIII, XXIV</w:t>
      </w:r>
      <w:r w:rsidR="003E2DFE" w:rsidRPr="007A3389">
        <w:rPr>
          <w:rFonts w:asciiTheme="majorHAnsi" w:hAnsiTheme="majorHAnsi"/>
          <w:sz w:val="20"/>
          <w:szCs w:val="20"/>
          <w:lang w:val="es-ES"/>
        </w:rPr>
        <w:t>, XXV</w:t>
      </w:r>
      <w:r w:rsidR="00E92E80" w:rsidRPr="007A3389">
        <w:rPr>
          <w:rFonts w:asciiTheme="majorHAnsi" w:hAnsiTheme="majorHAnsi"/>
          <w:sz w:val="20"/>
          <w:szCs w:val="20"/>
          <w:lang w:val="es-ES"/>
        </w:rPr>
        <w:t xml:space="preserve"> </w:t>
      </w:r>
      <w:r>
        <w:rPr>
          <w:rFonts w:asciiTheme="majorHAnsi" w:hAnsiTheme="majorHAnsi"/>
          <w:sz w:val="20"/>
          <w:szCs w:val="20"/>
          <w:lang w:val="es-ES"/>
        </w:rPr>
        <w:t xml:space="preserve">y </w:t>
      </w:r>
      <w:r w:rsidR="00E92E80" w:rsidRPr="007A3389">
        <w:rPr>
          <w:rFonts w:asciiTheme="majorHAnsi" w:hAnsiTheme="majorHAnsi"/>
          <w:sz w:val="20"/>
          <w:szCs w:val="20"/>
          <w:lang w:val="es-ES"/>
        </w:rPr>
        <w:t xml:space="preserve">XXVI </w:t>
      </w:r>
      <w:r>
        <w:rPr>
          <w:rFonts w:asciiTheme="majorHAnsi" w:hAnsiTheme="majorHAnsi"/>
          <w:sz w:val="20"/>
          <w:szCs w:val="20"/>
          <w:lang w:val="es-ES"/>
        </w:rPr>
        <w:t>de</w:t>
      </w:r>
      <w:r w:rsidR="00E92E80" w:rsidRPr="007A3389">
        <w:rPr>
          <w:rFonts w:asciiTheme="majorHAnsi" w:hAnsiTheme="majorHAnsi"/>
          <w:sz w:val="20"/>
          <w:szCs w:val="20"/>
          <w:lang w:val="es-ES"/>
        </w:rPr>
        <w:t xml:space="preserve"> </w:t>
      </w:r>
      <w:r>
        <w:rPr>
          <w:rFonts w:asciiTheme="majorHAnsi" w:hAnsiTheme="majorHAnsi"/>
          <w:sz w:val="20"/>
          <w:szCs w:val="20"/>
          <w:lang w:val="es-ES"/>
        </w:rPr>
        <w:t>la Declaración Americana</w:t>
      </w:r>
      <w:r w:rsidR="00E92E80" w:rsidRPr="007A3389">
        <w:rPr>
          <w:rFonts w:asciiTheme="majorHAnsi" w:hAnsiTheme="majorHAnsi"/>
          <w:sz w:val="20"/>
          <w:szCs w:val="20"/>
          <w:lang w:val="es-ES"/>
        </w:rPr>
        <w:t>.</w:t>
      </w:r>
    </w:p>
    <w:p w14:paraId="140DFE3F" w14:textId="77777777" w:rsidR="00F516D3" w:rsidRPr="007A3389" w:rsidRDefault="00F516D3" w:rsidP="00F516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77DF64AA" w14:textId="77777777" w:rsidR="00F516D3" w:rsidRPr="007A3389" w:rsidRDefault="00631955" w:rsidP="003676F1">
      <w:pPr>
        <w:pStyle w:val="Heading2"/>
        <w:numPr>
          <w:ilvl w:val="0"/>
          <w:numId w:val="57"/>
        </w:numPr>
        <w:tabs>
          <w:tab w:val="left" w:pos="360"/>
        </w:tabs>
        <w:spacing w:before="0"/>
        <w:ind w:hanging="720"/>
        <w:rPr>
          <w:color w:val="auto"/>
          <w:sz w:val="20"/>
          <w:szCs w:val="20"/>
          <w:lang w:val="es-ES"/>
        </w:rPr>
      </w:pPr>
      <w:bookmarkStart w:id="3" w:name="_Toc90298913"/>
      <w:r w:rsidRPr="007A3389">
        <w:rPr>
          <w:color w:val="auto"/>
          <w:sz w:val="20"/>
          <w:szCs w:val="20"/>
          <w:lang w:val="es-ES"/>
        </w:rPr>
        <w:t>Posición del Estado</w:t>
      </w:r>
      <w:bookmarkEnd w:id="3"/>
    </w:p>
    <w:p w14:paraId="5025CD49" w14:textId="77777777" w:rsidR="00507C24" w:rsidRPr="007A3389" w:rsidRDefault="00507C24" w:rsidP="00507C24">
      <w:pPr>
        <w:rPr>
          <w:rFonts w:asciiTheme="majorHAnsi" w:hAnsiTheme="majorHAnsi"/>
          <w:sz w:val="20"/>
          <w:szCs w:val="20"/>
          <w:lang w:val="es-ES"/>
        </w:rPr>
      </w:pPr>
    </w:p>
    <w:p w14:paraId="5541495A" w14:textId="77777777" w:rsidR="005C5243" w:rsidRPr="007A3389" w:rsidRDefault="00631955" w:rsidP="00507C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7A3389">
        <w:rPr>
          <w:rFonts w:asciiTheme="majorHAnsi" w:hAnsiTheme="majorHAnsi"/>
          <w:sz w:val="20"/>
          <w:szCs w:val="20"/>
          <w:lang w:val="es-ES"/>
        </w:rPr>
        <w:t>Estados Unidos alega que la petición</w:t>
      </w:r>
      <w:r w:rsidR="005C5243" w:rsidRPr="007A3389">
        <w:rPr>
          <w:rFonts w:asciiTheme="majorHAnsi" w:hAnsiTheme="majorHAnsi"/>
          <w:sz w:val="20"/>
          <w:szCs w:val="20"/>
          <w:lang w:val="es-ES"/>
        </w:rPr>
        <w:t xml:space="preserve"> </w:t>
      </w:r>
      <w:r w:rsidR="00BA0EDE">
        <w:rPr>
          <w:rFonts w:asciiTheme="majorHAnsi" w:hAnsiTheme="majorHAnsi"/>
          <w:sz w:val="20"/>
          <w:szCs w:val="20"/>
          <w:lang w:val="es-ES"/>
        </w:rPr>
        <w:t>e</w:t>
      </w:r>
      <w:r w:rsidR="005C5243" w:rsidRPr="007A3389">
        <w:rPr>
          <w:rFonts w:asciiTheme="majorHAnsi" w:hAnsiTheme="majorHAnsi"/>
          <w:sz w:val="20"/>
          <w:szCs w:val="20"/>
          <w:lang w:val="es-ES"/>
        </w:rPr>
        <w:t xml:space="preserve">s </w:t>
      </w:r>
      <w:r w:rsidRPr="007A3389">
        <w:rPr>
          <w:rFonts w:asciiTheme="majorHAnsi" w:hAnsiTheme="majorHAnsi"/>
          <w:sz w:val="20"/>
          <w:szCs w:val="20"/>
          <w:lang w:val="es-ES"/>
        </w:rPr>
        <w:t>inadmisible</w:t>
      </w:r>
      <w:r w:rsidR="005C5243" w:rsidRPr="007A3389">
        <w:rPr>
          <w:rFonts w:asciiTheme="majorHAnsi" w:hAnsiTheme="majorHAnsi"/>
          <w:sz w:val="20"/>
          <w:szCs w:val="20"/>
          <w:lang w:val="es-ES"/>
        </w:rPr>
        <w:t xml:space="preserve"> </w:t>
      </w:r>
      <w:r w:rsidR="00BA0EDE">
        <w:rPr>
          <w:rFonts w:asciiTheme="majorHAnsi" w:hAnsiTheme="majorHAnsi"/>
          <w:sz w:val="20"/>
          <w:szCs w:val="20"/>
          <w:lang w:val="es-ES"/>
        </w:rPr>
        <w:t>y que no demuestra el incumplimiento de ningún compromiso asumido por</w:t>
      </w:r>
      <w:r w:rsidR="005C5243" w:rsidRPr="007A3389">
        <w:rPr>
          <w:rFonts w:asciiTheme="majorHAnsi" w:hAnsiTheme="majorHAnsi"/>
          <w:sz w:val="20"/>
          <w:szCs w:val="20"/>
          <w:lang w:val="es-ES"/>
        </w:rPr>
        <w:t xml:space="preserve"> </w:t>
      </w:r>
      <w:r w:rsidRPr="007A3389">
        <w:rPr>
          <w:rFonts w:asciiTheme="majorHAnsi" w:hAnsiTheme="majorHAnsi"/>
          <w:sz w:val="20"/>
          <w:szCs w:val="20"/>
          <w:lang w:val="es-ES"/>
        </w:rPr>
        <w:t>Estados Unidos</w:t>
      </w:r>
      <w:r w:rsidR="005C5243" w:rsidRPr="007A3389">
        <w:rPr>
          <w:rFonts w:asciiTheme="majorHAnsi" w:hAnsiTheme="majorHAnsi"/>
          <w:sz w:val="20"/>
          <w:szCs w:val="20"/>
          <w:lang w:val="es-ES"/>
        </w:rPr>
        <w:t xml:space="preserve"> </w:t>
      </w:r>
      <w:r w:rsidR="00BA0EDE">
        <w:rPr>
          <w:rFonts w:asciiTheme="majorHAnsi" w:hAnsiTheme="majorHAnsi"/>
          <w:sz w:val="20"/>
          <w:szCs w:val="20"/>
          <w:lang w:val="es-ES"/>
        </w:rPr>
        <w:t xml:space="preserve">en el marco de </w:t>
      </w:r>
      <w:r w:rsidRPr="007A3389">
        <w:rPr>
          <w:rFonts w:asciiTheme="majorHAnsi" w:hAnsiTheme="majorHAnsi"/>
          <w:sz w:val="20"/>
          <w:szCs w:val="20"/>
          <w:lang w:val="es-ES"/>
        </w:rPr>
        <w:t>la Declaración Americana</w:t>
      </w:r>
      <w:r w:rsidR="005C5243" w:rsidRPr="007A3389">
        <w:rPr>
          <w:rFonts w:asciiTheme="majorHAnsi" w:hAnsiTheme="majorHAnsi"/>
          <w:sz w:val="20"/>
          <w:szCs w:val="20"/>
          <w:lang w:val="es-ES"/>
        </w:rPr>
        <w:t xml:space="preserve">. </w:t>
      </w:r>
    </w:p>
    <w:p w14:paraId="44A7E7BF" w14:textId="77777777" w:rsidR="005C5243" w:rsidRPr="007A3389" w:rsidRDefault="005C5243" w:rsidP="005C524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872735C" w14:textId="77777777" w:rsidR="005C5243" w:rsidRPr="007A3389" w:rsidRDefault="00631955" w:rsidP="00801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7A3389">
        <w:rPr>
          <w:rFonts w:asciiTheme="majorHAnsi" w:hAnsiTheme="majorHAnsi"/>
          <w:sz w:val="20"/>
          <w:szCs w:val="20"/>
          <w:lang w:val="es-ES"/>
        </w:rPr>
        <w:t>Estados Unidos</w:t>
      </w:r>
      <w:r w:rsidR="005C5243" w:rsidRPr="007A3389">
        <w:rPr>
          <w:rFonts w:asciiTheme="majorHAnsi" w:hAnsiTheme="majorHAnsi"/>
          <w:sz w:val="20"/>
          <w:szCs w:val="20"/>
          <w:lang w:val="es-ES"/>
        </w:rPr>
        <w:t xml:space="preserve"> </w:t>
      </w:r>
      <w:r w:rsidR="00801A6F">
        <w:rPr>
          <w:rFonts w:asciiTheme="majorHAnsi" w:hAnsiTheme="majorHAnsi"/>
          <w:sz w:val="20"/>
          <w:szCs w:val="20"/>
          <w:lang w:val="es-ES"/>
        </w:rPr>
        <w:t xml:space="preserve">señala que </w:t>
      </w:r>
      <w:r w:rsidR="000D3EE0" w:rsidRPr="007A3389">
        <w:rPr>
          <w:rFonts w:asciiTheme="majorHAnsi" w:hAnsiTheme="majorHAnsi"/>
          <w:sz w:val="20"/>
          <w:szCs w:val="20"/>
          <w:lang w:val="es-ES"/>
        </w:rPr>
        <w:t>los peticionarios</w:t>
      </w:r>
      <w:r w:rsidR="005C5243" w:rsidRPr="007A3389">
        <w:rPr>
          <w:rFonts w:asciiTheme="majorHAnsi" w:hAnsiTheme="majorHAnsi"/>
          <w:sz w:val="20"/>
          <w:szCs w:val="20"/>
          <w:lang w:val="es-ES"/>
        </w:rPr>
        <w:t xml:space="preserve"> </w:t>
      </w:r>
      <w:r w:rsidR="00801A6F">
        <w:rPr>
          <w:rFonts w:asciiTheme="majorHAnsi" w:hAnsiTheme="majorHAnsi"/>
          <w:sz w:val="20"/>
          <w:szCs w:val="20"/>
          <w:lang w:val="es-ES"/>
        </w:rPr>
        <w:t xml:space="preserve">no han expuesto </w:t>
      </w:r>
      <w:r w:rsidR="00801A6F" w:rsidRPr="00801A6F">
        <w:rPr>
          <w:rFonts w:asciiTheme="majorHAnsi" w:hAnsiTheme="majorHAnsi"/>
          <w:sz w:val="20"/>
          <w:szCs w:val="20"/>
          <w:lang w:val="es-ES"/>
        </w:rPr>
        <w:t>hechos que tiendan a caracterizar una violación de derechos amparados en la Declaración Americana</w:t>
      </w:r>
      <w:r w:rsidR="00801A6F">
        <w:rPr>
          <w:rFonts w:asciiTheme="majorHAnsi" w:hAnsiTheme="majorHAnsi"/>
          <w:sz w:val="20"/>
          <w:szCs w:val="20"/>
          <w:lang w:val="es-ES"/>
        </w:rPr>
        <w:t xml:space="preserve"> y que</w:t>
      </w:r>
      <w:r w:rsidR="005C5243" w:rsidRPr="007A3389">
        <w:rPr>
          <w:rFonts w:asciiTheme="majorHAnsi" w:hAnsiTheme="majorHAnsi"/>
          <w:sz w:val="20"/>
          <w:szCs w:val="20"/>
          <w:lang w:val="es-ES"/>
        </w:rPr>
        <w:t xml:space="preserve">, </w:t>
      </w:r>
      <w:r w:rsidR="00801A6F">
        <w:rPr>
          <w:rFonts w:asciiTheme="majorHAnsi" w:hAnsiTheme="majorHAnsi"/>
          <w:sz w:val="20"/>
          <w:szCs w:val="20"/>
          <w:lang w:val="es-ES"/>
        </w:rPr>
        <w:t xml:space="preserve">por lo tanto, </w:t>
      </w:r>
      <w:r w:rsidRPr="007A3389">
        <w:rPr>
          <w:rFonts w:asciiTheme="majorHAnsi" w:hAnsiTheme="majorHAnsi"/>
          <w:sz w:val="20"/>
          <w:szCs w:val="20"/>
          <w:lang w:val="es-ES"/>
        </w:rPr>
        <w:t>la petición</w:t>
      </w:r>
      <w:r w:rsidR="005C5243" w:rsidRPr="007A3389">
        <w:rPr>
          <w:rFonts w:asciiTheme="majorHAnsi" w:hAnsiTheme="majorHAnsi"/>
          <w:sz w:val="20"/>
          <w:szCs w:val="20"/>
          <w:lang w:val="es-ES"/>
        </w:rPr>
        <w:t xml:space="preserve"> </w:t>
      </w:r>
      <w:r w:rsidR="00801A6F">
        <w:rPr>
          <w:rFonts w:asciiTheme="majorHAnsi" w:hAnsiTheme="majorHAnsi"/>
          <w:sz w:val="20"/>
          <w:szCs w:val="20"/>
          <w:lang w:val="es-ES"/>
        </w:rPr>
        <w:t xml:space="preserve">es </w:t>
      </w:r>
      <w:r w:rsidRPr="007A3389">
        <w:rPr>
          <w:rFonts w:asciiTheme="majorHAnsi" w:hAnsiTheme="majorHAnsi"/>
          <w:sz w:val="20"/>
          <w:szCs w:val="20"/>
          <w:lang w:val="es-ES"/>
        </w:rPr>
        <w:t>inadmisible</w:t>
      </w:r>
      <w:r w:rsidR="005C5243" w:rsidRPr="007A3389">
        <w:rPr>
          <w:rFonts w:asciiTheme="majorHAnsi" w:hAnsiTheme="majorHAnsi"/>
          <w:sz w:val="20"/>
          <w:szCs w:val="20"/>
          <w:lang w:val="es-ES"/>
        </w:rPr>
        <w:t xml:space="preserve"> </w:t>
      </w:r>
      <w:r w:rsidR="00801A6F">
        <w:rPr>
          <w:rFonts w:asciiTheme="majorHAnsi" w:hAnsiTheme="majorHAnsi"/>
          <w:sz w:val="20"/>
          <w:szCs w:val="20"/>
          <w:lang w:val="es-ES"/>
        </w:rPr>
        <w:t xml:space="preserve">de acuerdo con el artículo </w:t>
      </w:r>
      <w:r w:rsidR="005C5243" w:rsidRPr="007A3389">
        <w:rPr>
          <w:rFonts w:asciiTheme="majorHAnsi" w:hAnsiTheme="majorHAnsi"/>
          <w:sz w:val="20"/>
          <w:szCs w:val="20"/>
          <w:lang w:val="es-ES"/>
        </w:rPr>
        <w:t>34</w:t>
      </w:r>
      <w:r w:rsidR="00801A6F">
        <w:rPr>
          <w:rFonts w:asciiTheme="majorHAnsi" w:hAnsiTheme="majorHAnsi"/>
          <w:sz w:val="20"/>
          <w:szCs w:val="20"/>
          <w:lang w:val="es-ES"/>
        </w:rPr>
        <w:t>.</w:t>
      </w:r>
      <w:r w:rsidR="005C5243" w:rsidRPr="007A3389">
        <w:rPr>
          <w:rFonts w:asciiTheme="majorHAnsi" w:hAnsiTheme="majorHAnsi"/>
          <w:sz w:val="20"/>
          <w:szCs w:val="20"/>
          <w:lang w:val="es-ES"/>
        </w:rPr>
        <w:t>a</w:t>
      </w:r>
      <w:r w:rsidR="00801A6F">
        <w:rPr>
          <w:rFonts w:asciiTheme="majorHAnsi" w:hAnsiTheme="majorHAnsi"/>
          <w:sz w:val="20"/>
          <w:szCs w:val="20"/>
          <w:lang w:val="es-ES"/>
        </w:rPr>
        <w:t xml:space="preserve"> del Reglamento. Las alegaciones efectuadas por los peticionarios de sesgo étnico</w:t>
      </w:r>
      <w:r w:rsidR="005C5243" w:rsidRPr="007A3389">
        <w:rPr>
          <w:rFonts w:asciiTheme="majorHAnsi" w:hAnsiTheme="majorHAnsi"/>
          <w:sz w:val="20"/>
          <w:szCs w:val="20"/>
          <w:lang w:val="es-ES"/>
        </w:rPr>
        <w:t xml:space="preserve">, </w:t>
      </w:r>
      <w:r w:rsidR="003010E1" w:rsidRPr="007A3389">
        <w:rPr>
          <w:rFonts w:asciiTheme="majorHAnsi" w:hAnsiTheme="majorHAnsi"/>
          <w:sz w:val="20"/>
          <w:szCs w:val="20"/>
          <w:lang w:val="es-ES"/>
        </w:rPr>
        <w:t>mala conducta de la fiscalía</w:t>
      </w:r>
      <w:r w:rsidR="00801A6F">
        <w:rPr>
          <w:rFonts w:asciiTheme="majorHAnsi" w:hAnsiTheme="majorHAnsi"/>
          <w:sz w:val="20"/>
          <w:szCs w:val="20"/>
          <w:lang w:val="es-ES"/>
        </w:rPr>
        <w:t xml:space="preserve"> y </w:t>
      </w:r>
      <w:r w:rsidR="00B06A65">
        <w:rPr>
          <w:rFonts w:asciiTheme="majorHAnsi" w:hAnsiTheme="majorHAnsi"/>
          <w:sz w:val="20"/>
          <w:szCs w:val="20"/>
          <w:lang w:val="es-ES"/>
        </w:rPr>
        <w:t>patrocinio letrado ineficaz</w:t>
      </w:r>
      <w:r w:rsidR="00801A6F">
        <w:rPr>
          <w:rFonts w:asciiTheme="majorHAnsi" w:hAnsiTheme="majorHAnsi"/>
          <w:sz w:val="20"/>
          <w:szCs w:val="20"/>
          <w:lang w:val="es-ES"/>
        </w:rPr>
        <w:t xml:space="preserve"> no exponen hechos que </w:t>
      </w:r>
      <w:r w:rsidR="00801A6F" w:rsidRPr="00801A6F">
        <w:rPr>
          <w:rFonts w:asciiTheme="majorHAnsi" w:hAnsiTheme="majorHAnsi"/>
          <w:sz w:val="20"/>
          <w:szCs w:val="20"/>
          <w:lang w:val="es-ES"/>
        </w:rPr>
        <w:t>tiendan a caracterizar una violación de</w:t>
      </w:r>
      <w:r w:rsidR="005C5243" w:rsidRPr="007A3389">
        <w:rPr>
          <w:rFonts w:asciiTheme="majorHAnsi" w:hAnsiTheme="majorHAnsi"/>
          <w:sz w:val="20"/>
          <w:szCs w:val="20"/>
          <w:lang w:val="es-ES"/>
        </w:rPr>
        <w:t xml:space="preserve"> </w:t>
      </w:r>
      <w:r w:rsidR="00801A6F">
        <w:rPr>
          <w:rFonts w:asciiTheme="majorHAnsi" w:hAnsiTheme="majorHAnsi"/>
          <w:sz w:val="20"/>
          <w:szCs w:val="20"/>
          <w:lang w:val="es-ES"/>
        </w:rPr>
        <w:t xml:space="preserve">los artículos </w:t>
      </w:r>
      <w:r w:rsidR="005C5243" w:rsidRPr="007A3389">
        <w:rPr>
          <w:rFonts w:asciiTheme="majorHAnsi" w:hAnsiTheme="majorHAnsi"/>
          <w:sz w:val="20"/>
          <w:szCs w:val="20"/>
          <w:lang w:val="es-ES"/>
        </w:rPr>
        <w:t>II, XVIII</w:t>
      </w:r>
      <w:r w:rsidR="00801A6F">
        <w:rPr>
          <w:rFonts w:asciiTheme="majorHAnsi" w:hAnsiTheme="majorHAnsi"/>
          <w:sz w:val="20"/>
          <w:szCs w:val="20"/>
          <w:lang w:val="es-ES"/>
        </w:rPr>
        <w:t xml:space="preserve"> </w:t>
      </w:r>
      <w:r w:rsidR="005C5243" w:rsidRPr="007A3389">
        <w:rPr>
          <w:rFonts w:asciiTheme="majorHAnsi" w:hAnsiTheme="majorHAnsi"/>
          <w:sz w:val="20"/>
          <w:szCs w:val="20"/>
          <w:lang w:val="es-ES"/>
        </w:rPr>
        <w:t xml:space="preserve">o XXVI </w:t>
      </w:r>
      <w:r w:rsidR="00801A6F">
        <w:rPr>
          <w:rFonts w:asciiTheme="majorHAnsi" w:hAnsiTheme="majorHAnsi"/>
          <w:sz w:val="20"/>
          <w:szCs w:val="20"/>
          <w:lang w:val="es-ES"/>
        </w:rPr>
        <w:t>de</w:t>
      </w:r>
      <w:r w:rsidR="005C5243" w:rsidRPr="007A3389">
        <w:rPr>
          <w:rFonts w:asciiTheme="majorHAnsi" w:hAnsiTheme="majorHAnsi"/>
          <w:sz w:val="20"/>
          <w:szCs w:val="20"/>
          <w:lang w:val="es-ES"/>
        </w:rPr>
        <w:t xml:space="preserve"> </w:t>
      </w:r>
      <w:r w:rsidRPr="007A3389">
        <w:rPr>
          <w:rFonts w:asciiTheme="majorHAnsi" w:hAnsiTheme="majorHAnsi"/>
          <w:sz w:val="20"/>
          <w:szCs w:val="20"/>
          <w:lang w:val="es-ES"/>
        </w:rPr>
        <w:t>la Declaración</w:t>
      </w:r>
      <w:r w:rsidR="00801A6F">
        <w:rPr>
          <w:rFonts w:asciiTheme="majorHAnsi" w:hAnsiTheme="majorHAnsi"/>
          <w:sz w:val="20"/>
          <w:szCs w:val="20"/>
          <w:lang w:val="es-ES"/>
        </w:rPr>
        <w:t xml:space="preserve"> y carecen de fundamento. </w:t>
      </w:r>
      <w:r w:rsidR="00D87346" w:rsidRPr="007A3389">
        <w:rPr>
          <w:rFonts w:asciiTheme="majorHAnsi" w:hAnsiTheme="majorHAnsi"/>
          <w:sz w:val="20"/>
          <w:szCs w:val="20"/>
          <w:lang w:val="es-ES"/>
        </w:rPr>
        <w:t>El Estado</w:t>
      </w:r>
      <w:r w:rsidR="005C5243" w:rsidRPr="007A3389">
        <w:rPr>
          <w:rFonts w:asciiTheme="majorHAnsi" w:hAnsiTheme="majorHAnsi"/>
          <w:sz w:val="20"/>
          <w:szCs w:val="20"/>
          <w:lang w:val="es-ES"/>
        </w:rPr>
        <w:t xml:space="preserve"> </w:t>
      </w:r>
      <w:r w:rsidR="00801A6F">
        <w:rPr>
          <w:rFonts w:asciiTheme="majorHAnsi" w:hAnsiTheme="majorHAnsi"/>
          <w:sz w:val="20"/>
          <w:szCs w:val="20"/>
          <w:lang w:val="es-ES"/>
        </w:rPr>
        <w:t xml:space="preserve">afirma que ha </w:t>
      </w:r>
      <w:r w:rsidR="002D3C13">
        <w:rPr>
          <w:rFonts w:asciiTheme="majorHAnsi" w:hAnsiTheme="majorHAnsi"/>
          <w:sz w:val="20"/>
          <w:szCs w:val="20"/>
          <w:lang w:val="es-ES"/>
        </w:rPr>
        <w:t>hecho un examen sustancial de las alegaciones y ha respondido de manera apropiada y que</w:t>
      </w:r>
      <w:r w:rsidR="005C5243" w:rsidRPr="007A3389">
        <w:rPr>
          <w:rFonts w:asciiTheme="majorHAnsi" w:hAnsiTheme="majorHAnsi"/>
          <w:sz w:val="20"/>
          <w:szCs w:val="20"/>
          <w:lang w:val="es-ES"/>
        </w:rPr>
        <w:t xml:space="preserve"> </w:t>
      </w:r>
      <w:r w:rsidR="000D3EE0" w:rsidRPr="007A3389">
        <w:rPr>
          <w:rFonts w:asciiTheme="majorHAnsi" w:hAnsiTheme="majorHAnsi"/>
          <w:sz w:val="20"/>
          <w:szCs w:val="20"/>
          <w:lang w:val="es-ES"/>
        </w:rPr>
        <w:t>los peticionarios</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 xml:space="preserve">no han aportado pruebas de que la condena o la sentencia hayan adolecido de </w:t>
      </w:r>
      <w:r w:rsidR="00EE0CB0" w:rsidRPr="007A3389">
        <w:rPr>
          <w:rFonts w:asciiTheme="majorHAnsi" w:hAnsiTheme="majorHAnsi"/>
          <w:sz w:val="20"/>
          <w:szCs w:val="20"/>
          <w:lang w:val="es-ES"/>
        </w:rPr>
        <w:t>discriminación racial</w:t>
      </w:r>
      <w:r w:rsidR="002D3C13">
        <w:rPr>
          <w:rFonts w:asciiTheme="majorHAnsi" w:hAnsiTheme="majorHAnsi"/>
          <w:sz w:val="20"/>
          <w:szCs w:val="20"/>
          <w:lang w:val="es-ES"/>
        </w:rPr>
        <w:t xml:space="preserve">. Agrega que las pruebas estadísticas no corrigen la falta de pruebas de que haya habido </w:t>
      </w:r>
      <w:r w:rsidR="00EE0CB0" w:rsidRPr="007A3389">
        <w:rPr>
          <w:rFonts w:asciiTheme="majorHAnsi" w:hAnsiTheme="majorHAnsi"/>
          <w:sz w:val="20"/>
          <w:szCs w:val="20"/>
          <w:lang w:val="es-ES"/>
        </w:rPr>
        <w:t>discriminación racial</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en la condena y en la sentencia.</w:t>
      </w:r>
    </w:p>
    <w:p w14:paraId="59C07C9E" w14:textId="77777777" w:rsidR="005C5243" w:rsidRPr="007A3389" w:rsidRDefault="005C5243" w:rsidP="005C524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48799E54" w14:textId="77777777" w:rsidR="005C5243" w:rsidRPr="007A3389" w:rsidRDefault="00D87346" w:rsidP="005C52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7A3389">
        <w:rPr>
          <w:rFonts w:asciiTheme="majorHAnsi" w:hAnsiTheme="majorHAnsi"/>
          <w:sz w:val="20"/>
          <w:szCs w:val="20"/>
          <w:lang w:val="es-ES"/>
        </w:rPr>
        <w:t>El Estado</w:t>
      </w:r>
      <w:r w:rsidR="005C5243" w:rsidRPr="007A3389">
        <w:rPr>
          <w:rFonts w:asciiTheme="majorHAnsi" w:hAnsiTheme="majorHAnsi"/>
          <w:sz w:val="20"/>
          <w:szCs w:val="20"/>
          <w:lang w:val="es-ES"/>
        </w:rPr>
        <w:t xml:space="preserve"> ma</w:t>
      </w:r>
      <w:r w:rsidR="002D3C13">
        <w:rPr>
          <w:rFonts w:asciiTheme="majorHAnsi" w:hAnsiTheme="majorHAnsi"/>
          <w:sz w:val="20"/>
          <w:szCs w:val="20"/>
          <w:lang w:val="es-ES"/>
        </w:rPr>
        <w:t>ntiene su posición de que</w:t>
      </w:r>
      <w:r w:rsidR="005C5243" w:rsidRPr="007A3389">
        <w:rPr>
          <w:rFonts w:asciiTheme="majorHAnsi" w:hAnsiTheme="majorHAnsi"/>
          <w:sz w:val="20"/>
          <w:szCs w:val="20"/>
          <w:lang w:val="es-ES"/>
        </w:rPr>
        <w:t xml:space="preserve"> </w:t>
      </w:r>
      <w:r w:rsidR="008A10AB" w:rsidRPr="007A3389">
        <w:rPr>
          <w:rFonts w:asciiTheme="majorHAnsi" w:hAnsiTheme="majorHAnsi"/>
          <w:sz w:val="20"/>
          <w:szCs w:val="20"/>
          <w:lang w:val="es-ES"/>
        </w:rPr>
        <w:t>la Comisión</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no tiene competencia para conocer de reclamos relacionados con la</w:t>
      </w:r>
      <w:r w:rsidR="00EE0CB0" w:rsidRPr="007A3389">
        <w:rPr>
          <w:rFonts w:asciiTheme="majorHAnsi" w:hAnsiTheme="majorHAnsi"/>
          <w:sz w:val="20"/>
          <w:szCs w:val="20"/>
          <w:lang w:val="es-ES"/>
        </w:rPr>
        <w:t xml:space="preserve"> Convención de Viena</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Agrega que los reclamos relativos a la notificación</w:t>
      </w:r>
      <w:r w:rsidR="005C5243" w:rsidRPr="007A3389">
        <w:rPr>
          <w:rFonts w:asciiTheme="majorHAnsi" w:hAnsiTheme="majorHAnsi"/>
          <w:sz w:val="20"/>
          <w:szCs w:val="20"/>
          <w:lang w:val="es-ES"/>
        </w:rPr>
        <w:t xml:space="preserve"> consular </w:t>
      </w:r>
      <w:r w:rsidR="002D3C13">
        <w:rPr>
          <w:rFonts w:asciiTheme="majorHAnsi" w:hAnsiTheme="majorHAnsi"/>
          <w:sz w:val="20"/>
          <w:szCs w:val="20"/>
          <w:lang w:val="es-ES"/>
        </w:rPr>
        <w:t xml:space="preserve">no dan lugar a una violación de los derechos humanos amparados en ningún instrumento internacional del cual </w:t>
      </w:r>
      <w:r w:rsidR="00631955" w:rsidRPr="007A3389">
        <w:rPr>
          <w:rFonts w:asciiTheme="majorHAnsi" w:hAnsiTheme="majorHAnsi"/>
          <w:sz w:val="20"/>
          <w:szCs w:val="20"/>
          <w:lang w:val="es-ES"/>
        </w:rPr>
        <w:t>Estados Unidos</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sea parte o el cual haya refrendado</w:t>
      </w:r>
      <w:r w:rsidR="005C5243" w:rsidRPr="007A3389">
        <w:rPr>
          <w:rFonts w:asciiTheme="majorHAnsi" w:hAnsiTheme="majorHAnsi"/>
          <w:sz w:val="20"/>
          <w:szCs w:val="20"/>
          <w:lang w:val="es-ES"/>
        </w:rPr>
        <w:t xml:space="preserve">. </w:t>
      </w:r>
      <w:r w:rsidRPr="007A3389">
        <w:rPr>
          <w:rFonts w:asciiTheme="majorHAnsi" w:hAnsiTheme="majorHAnsi"/>
          <w:sz w:val="20"/>
          <w:szCs w:val="20"/>
          <w:lang w:val="es-ES"/>
        </w:rPr>
        <w:t>El Estado</w:t>
      </w:r>
      <w:r w:rsidR="00647C9A" w:rsidRPr="007A3389">
        <w:rPr>
          <w:rFonts w:asciiTheme="majorHAnsi" w:hAnsiTheme="majorHAnsi"/>
          <w:sz w:val="20"/>
          <w:szCs w:val="20"/>
          <w:lang w:val="es-ES"/>
        </w:rPr>
        <w:t xml:space="preserve"> </w:t>
      </w:r>
      <w:r w:rsidR="002D3C13">
        <w:rPr>
          <w:rFonts w:asciiTheme="majorHAnsi" w:hAnsiTheme="majorHAnsi"/>
          <w:sz w:val="20"/>
          <w:szCs w:val="20"/>
          <w:lang w:val="es-ES"/>
        </w:rPr>
        <w:t>argumenta que la notificación consular</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no es un derecho humano</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 xml:space="preserve">Según </w:t>
      </w:r>
      <w:r w:rsidRPr="007A3389">
        <w:rPr>
          <w:rFonts w:asciiTheme="majorHAnsi" w:hAnsiTheme="majorHAnsi"/>
          <w:sz w:val="20"/>
          <w:szCs w:val="20"/>
          <w:lang w:val="es-ES"/>
        </w:rPr>
        <w:t>el Estado</w:t>
      </w:r>
      <w:r w:rsidR="00647C9A" w:rsidRPr="007A3389">
        <w:rPr>
          <w:rFonts w:asciiTheme="majorHAnsi" w:hAnsiTheme="majorHAnsi"/>
          <w:sz w:val="20"/>
          <w:szCs w:val="20"/>
          <w:lang w:val="es-ES"/>
        </w:rPr>
        <w:t xml:space="preserve">, </w:t>
      </w:r>
      <w:r w:rsidR="002D3C13">
        <w:rPr>
          <w:rFonts w:asciiTheme="majorHAnsi" w:hAnsiTheme="majorHAnsi"/>
          <w:sz w:val="20"/>
          <w:szCs w:val="20"/>
          <w:lang w:val="es-ES"/>
        </w:rPr>
        <w:t>las protecciones conferidas por la</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notificación consular</w:t>
      </w:r>
      <w:r w:rsidR="005C5243" w:rsidRPr="007A3389">
        <w:rPr>
          <w:rFonts w:asciiTheme="majorHAnsi" w:hAnsiTheme="majorHAnsi"/>
          <w:sz w:val="20"/>
          <w:szCs w:val="20"/>
          <w:lang w:val="es-ES"/>
        </w:rPr>
        <w:t xml:space="preserve"> </w:t>
      </w:r>
      <w:r w:rsidR="002D3C13">
        <w:rPr>
          <w:rFonts w:asciiTheme="majorHAnsi" w:hAnsiTheme="majorHAnsi"/>
          <w:sz w:val="20"/>
          <w:szCs w:val="20"/>
          <w:lang w:val="es-ES"/>
        </w:rPr>
        <w:t>se basan en los principios de reciprocidad, nacionalidad y función, y las personas no gozan de estas protecciones por el mero hecho de su existencia humana</w:t>
      </w:r>
      <w:r w:rsidR="005C5243" w:rsidRPr="007A3389">
        <w:rPr>
          <w:rFonts w:asciiTheme="majorHAnsi" w:hAnsiTheme="majorHAnsi"/>
          <w:sz w:val="20"/>
          <w:szCs w:val="20"/>
          <w:lang w:val="es-ES"/>
        </w:rPr>
        <w:t xml:space="preserve">. </w:t>
      </w:r>
    </w:p>
    <w:p w14:paraId="7CBBC9B0" w14:textId="77777777" w:rsidR="00C940E6" w:rsidRPr="007A3389" w:rsidRDefault="00C940E6" w:rsidP="00C940E6">
      <w:pPr>
        <w:pStyle w:val="ListParagraph"/>
        <w:rPr>
          <w:rFonts w:asciiTheme="majorHAnsi" w:hAnsiTheme="majorHAnsi"/>
          <w:sz w:val="20"/>
          <w:szCs w:val="20"/>
          <w:lang w:val="es-ES"/>
        </w:rPr>
      </w:pPr>
    </w:p>
    <w:p w14:paraId="4B356896" w14:textId="77777777" w:rsidR="00C940E6" w:rsidRPr="007A3389" w:rsidRDefault="002D3C13" w:rsidP="00C94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 xml:space="preserve">Con respecto </w:t>
      </w:r>
      <w:r w:rsidR="00801A6F">
        <w:rPr>
          <w:rFonts w:asciiTheme="majorHAnsi" w:hAnsiTheme="majorHAnsi"/>
          <w:sz w:val="20"/>
          <w:szCs w:val="20"/>
          <w:lang w:val="es-ES"/>
        </w:rPr>
        <w:t>a la confesión obtenida mediante coacción</w:t>
      </w:r>
      <w:r w:rsidR="00C940E6"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Estado</w:t>
      </w:r>
      <w:r w:rsidR="00C940E6" w:rsidRPr="007A3389">
        <w:rPr>
          <w:rFonts w:asciiTheme="majorHAnsi" w:hAnsiTheme="majorHAnsi"/>
          <w:sz w:val="20"/>
          <w:szCs w:val="20"/>
          <w:lang w:val="es-ES"/>
        </w:rPr>
        <w:t xml:space="preserve"> </w:t>
      </w:r>
      <w:r>
        <w:rPr>
          <w:rFonts w:asciiTheme="majorHAnsi" w:hAnsiTheme="majorHAnsi"/>
          <w:sz w:val="20"/>
          <w:szCs w:val="20"/>
          <w:lang w:val="es-ES"/>
        </w:rPr>
        <w:t>indica que se informó plenamente a</w:t>
      </w:r>
      <w:r w:rsidR="00C940E6" w:rsidRPr="007A3389">
        <w:rPr>
          <w:rFonts w:asciiTheme="majorHAnsi" w:hAnsiTheme="majorHAnsi"/>
          <w:sz w:val="20"/>
          <w:szCs w:val="20"/>
          <w:lang w:val="es-ES"/>
        </w:rPr>
        <w:t xml:space="preserve"> </w:t>
      </w:r>
      <w:r w:rsidR="005019B9" w:rsidRPr="007A3389">
        <w:rPr>
          <w:rFonts w:asciiTheme="majorHAnsi" w:hAnsiTheme="majorHAnsi"/>
          <w:sz w:val="20"/>
          <w:szCs w:val="20"/>
          <w:lang w:val="es-ES"/>
        </w:rPr>
        <w:t>la presunta víctima</w:t>
      </w:r>
      <w:r w:rsidR="00C940E6" w:rsidRPr="007A3389">
        <w:rPr>
          <w:rFonts w:asciiTheme="majorHAnsi" w:hAnsiTheme="majorHAnsi"/>
          <w:sz w:val="20"/>
          <w:szCs w:val="20"/>
          <w:lang w:val="es-ES"/>
        </w:rPr>
        <w:t xml:space="preserve"> </w:t>
      </w:r>
      <w:r>
        <w:rPr>
          <w:rFonts w:asciiTheme="majorHAnsi" w:hAnsiTheme="majorHAnsi"/>
          <w:sz w:val="20"/>
          <w:szCs w:val="20"/>
          <w:lang w:val="es-ES"/>
        </w:rPr>
        <w:t xml:space="preserve">sobre sus derechos según el </w:t>
      </w:r>
      <w:r w:rsidR="00E508A0">
        <w:rPr>
          <w:rFonts w:asciiTheme="majorHAnsi" w:hAnsiTheme="majorHAnsi"/>
          <w:sz w:val="20"/>
          <w:szCs w:val="20"/>
          <w:lang w:val="es-ES"/>
        </w:rPr>
        <w:t>“</w:t>
      </w:r>
      <w:r>
        <w:rPr>
          <w:rFonts w:asciiTheme="majorHAnsi" w:hAnsiTheme="majorHAnsi"/>
          <w:sz w:val="20"/>
          <w:szCs w:val="20"/>
          <w:lang w:val="es-ES"/>
        </w:rPr>
        <w:t xml:space="preserve">fallo de </w:t>
      </w:r>
      <w:r w:rsidR="00C940E6" w:rsidRPr="00E508A0">
        <w:rPr>
          <w:rFonts w:asciiTheme="majorHAnsi" w:hAnsiTheme="majorHAnsi"/>
          <w:i/>
          <w:sz w:val="20"/>
          <w:szCs w:val="20"/>
          <w:lang w:val="es-ES"/>
        </w:rPr>
        <w:t>Miranda</w:t>
      </w:r>
      <w:r w:rsidR="00E508A0">
        <w:rPr>
          <w:rFonts w:asciiTheme="majorHAnsi" w:hAnsiTheme="majorHAnsi"/>
          <w:sz w:val="20"/>
          <w:szCs w:val="20"/>
          <w:lang w:val="es-ES"/>
        </w:rPr>
        <w:t xml:space="preserve">”, </w:t>
      </w:r>
      <w:r w:rsidR="0027790C">
        <w:rPr>
          <w:rFonts w:asciiTheme="majorHAnsi" w:hAnsiTheme="majorHAnsi"/>
          <w:sz w:val="20"/>
          <w:szCs w:val="20"/>
          <w:lang w:val="es-ES"/>
        </w:rPr>
        <w:t xml:space="preserve">que el señor Loza renunció a sabiendas y por voluntad propia al derecho a no </w:t>
      </w:r>
      <w:proofErr w:type="spellStart"/>
      <w:r w:rsidR="0027790C">
        <w:rPr>
          <w:rFonts w:asciiTheme="majorHAnsi" w:hAnsiTheme="majorHAnsi"/>
          <w:sz w:val="20"/>
          <w:szCs w:val="20"/>
          <w:lang w:val="es-ES"/>
        </w:rPr>
        <w:t>autoincriminarse</w:t>
      </w:r>
      <w:proofErr w:type="spellEnd"/>
      <w:r w:rsidR="0027790C">
        <w:rPr>
          <w:rFonts w:asciiTheme="majorHAnsi" w:hAnsiTheme="majorHAnsi"/>
          <w:sz w:val="20"/>
          <w:szCs w:val="20"/>
          <w:lang w:val="es-ES"/>
        </w:rPr>
        <w:t xml:space="preserve"> al hablar voluntariamente con los </w:t>
      </w:r>
      <w:r w:rsidR="00C940E6" w:rsidRPr="007A3389">
        <w:rPr>
          <w:rFonts w:asciiTheme="majorHAnsi" w:hAnsiTheme="majorHAnsi"/>
          <w:sz w:val="20"/>
          <w:szCs w:val="20"/>
          <w:lang w:val="es-ES"/>
        </w:rPr>
        <w:t>detectives</w:t>
      </w:r>
      <w:r w:rsidR="0027790C">
        <w:rPr>
          <w:rFonts w:asciiTheme="majorHAnsi" w:hAnsiTheme="majorHAnsi"/>
          <w:sz w:val="20"/>
          <w:szCs w:val="20"/>
          <w:lang w:val="es-ES"/>
        </w:rPr>
        <w:t xml:space="preserve"> y que</w:t>
      </w:r>
      <w:r w:rsidR="00E508A0">
        <w:rPr>
          <w:rFonts w:asciiTheme="majorHAnsi" w:hAnsiTheme="majorHAnsi"/>
          <w:sz w:val="20"/>
          <w:szCs w:val="20"/>
          <w:lang w:val="es-ES"/>
        </w:rPr>
        <w:t>,</w:t>
      </w:r>
      <w:r w:rsidR="0027790C">
        <w:rPr>
          <w:rFonts w:asciiTheme="majorHAnsi" w:hAnsiTheme="majorHAnsi"/>
          <w:sz w:val="20"/>
          <w:szCs w:val="20"/>
          <w:lang w:val="es-ES"/>
        </w:rPr>
        <w:t xml:space="preserve"> el video resultante es una de muchas declaraciones independientes en las cuales el señor Loza reconoce su culpabilidad. E</w:t>
      </w:r>
      <w:r w:rsidR="0027790C" w:rsidRPr="0027790C">
        <w:rPr>
          <w:rFonts w:asciiTheme="majorHAnsi" w:hAnsiTheme="majorHAnsi"/>
          <w:sz w:val="20"/>
          <w:szCs w:val="20"/>
          <w:lang w:val="es-ES"/>
        </w:rPr>
        <w:t xml:space="preserve">l Estado afirma que </w:t>
      </w:r>
      <w:r w:rsidR="0027790C">
        <w:rPr>
          <w:rFonts w:asciiTheme="majorHAnsi" w:hAnsiTheme="majorHAnsi"/>
          <w:sz w:val="20"/>
          <w:szCs w:val="20"/>
          <w:lang w:val="es-ES"/>
        </w:rPr>
        <w:t xml:space="preserve">la supuesta falta de presentación de pruebas exculpatorias por </w:t>
      </w:r>
      <w:r w:rsidR="005019B9" w:rsidRPr="007A3389">
        <w:rPr>
          <w:rFonts w:asciiTheme="majorHAnsi" w:hAnsiTheme="majorHAnsi"/>
          <w:sz w:val="20"/>
          <w:szCs w:val="20"/>
          <w:lang w:val="es-ES"/>
        </w:rPr>
        <w:t>la fiscalía</w:t>
      </w:r>
      <w:r w:rsidR="00C940E6" w:rsidRPr="007A3389">
        <w:rPr>
          <w:rFonts w:asciiTheme="majorHAnsi" w:hAnsiTheme="majorHAnsi"/>
          <w:sz w:val="20"/>
          <w:szCs w:val="20"/>
          <w:lang w:val="es-ES"/>
        </w:rPr>
        <w:t xml:space="preserve"> </w:t>
      </w:r>
      <w:r w:rsidR="00DF0F4C">
        <w:rPr>
          <w:rFonts w:asciiTheme="majorHAnsi" w:hAnsiTheme="majorHAnsi"/>
          <w:sz w:val="20"/>
          <w:szCs w:val="20"/>
          <w:lang w:val="es-ES"/>
        </w:rPr>
        <w:t xml:space="preserve">fue considerada </w:t>
      </w:r>
      <w:r w:rsidR="00DF0F4C" w:rsidRPr="00E508A0">
        <w:rPr>
          <w:rFonts w:asciiTheme="majorHAnsi" w:hAnsiTheme="majorHAnsi"/>
          <w:i/>
          <w:sz w:val="20"/>
          <w:szCs w:val="20"/>
          <w:lang w:val="es-ES"/>
        </w:rPr>
        <w:t>in extenso</w:t>
      </w:r>
      <w:r w:rsidR="00DF0F4C">
        <w:rPr>
          <w:rFonts w:asciiTheme="majorHAnsi" w:hAnsiTheme="majorHAnsi"/>
          <w:sz w:val="20"/>
          <w:szCs w:val="20"/>
          <w:lang w:val="es-ES"/>
        </w:rPr>
        <w:t xml:space="preserve"> por </w:t>
      </w:r>
      <w:r w:rsidR="0027790C">
        <w:rPr>
          <w:rFonts w:asciiTheme="majorHAnsi" w:hAnsiTheme="majorHAnsi"/>
          <w:sz w:val="20"/>
          <w:szCs w:val="20"/>
          <w:lang w:val="es-ES"/>
        </w:rPr>
        <w:t>los tribunales de jurisdicción interna</w:t>
      </w:r>
      <w:r w:rsidR="00E508A0">
        <w:rPr>
          <w:rFonts w:asciiTheme="majorHAnsi" w:hAnsiTheme="majorHAnsi"/>
          <w:sz w:val="20"/>
          <w:szCs w:val="20"/>
          <w:lang w:val="es-ES"/>
        </w:rPr>
        <w:t xml:space="preserve"> y </w:t>
      </w:r>
      <w:r w:rsidR="00DF0F4C">
        <w:rPr>
          <w:rFonts w:asciiTheme="majorHAnsi" w:hAnsiTheme="majorHAnsi"/>
          <w:sz w:val="20"/>
          <w:szCs w:val="20"/>
          <w:lang w:val="es-ES"/>
        </w:rPr>
        <w:t xml:space="preserve">fue corregida con un nuevo juicio </w:t>
      </w:r>
      <w:r w:rsidR="00E508A0">
        <w:rPr>
          <w:rFonts w:asciiTheme="majorHAnsi" w:hAnsiTheme="majorHAnsi"/>
          <w:sz w:val="20"/>
          <w:szCs w:val="20"/>
          <w:lang w:val="es-ES"/>
        </w:rPr>
        <w:t xml:space="preserve">siendo </w:t>
      </w:r>
      <w:r w:rsidR="00C43939">
        <w:rPr>
          <w:rFonts w:asciiTheme="majorHAnsi" w:hAnsiTheme="majorHAnsi"/>
          <w:sz w:val="20"/>
          <w:szCs w:val="20"/>
          <w:lang w:val="es-ES"/>
        </w:rPr>
        <w:t>improcedente</w:t>
      </w:r>
      <w:r w:rsidR="00E508A0">
        <w:rPr>
          <w:rFonts w:asciiTheme="majorHAnsi" w:hAnsiTheme="majorHAnsi"/>
          <w:sz w:val="20"/>
          <w:szCs w:val="20"/>
          <w:lang w:val="es-ES"/>
        </w:rPr>
        <w:t xml:space="preserve"> tal argumento</w:t>
      </w:r>
      <w:r w:rsidR="00DF0F4C">
        <w:rPr>
          <w:rFonts w:asciiTheme="majorHAnsi" w:hAnsiTheme="majorHAnsi"/>
          <w:sz w:val="20"/>
          <w:szCs w:val="20"/>
          <w:lang w:val="es-ES"/>
        </w:rPr>
        <w:t xml:space="preserve">. Agrega que el reclamo de la retención de evaluaciones psicológicas y la supuesta confesión de </w:t>
      </w:r>
      <w:r w:rsidR="00E508A0">
        <w:rPr>
          <w:rFonts w:asciiTheme="majorHAnsi" w:hAnsiTheme="majorHAnsi"/>
          <w:sz w:val="20"/>
          <w:szCs w:val="20"/>
          <w:lang w:val="es-ES"/>
        </w:rPr>
        <w:t xml:space="preserve">la señora </w:t>
      </w:r>
      <w:proofErr w:type="spellStart"/>
      <w:r w:rsidR="00E508A0">
        <w:rPr>
          <w:rFonts w:asciiTheme="majorHAnsi" w:hAnsiTheme="majorHAnsi"/>
          <w:sz w:val="20"/>
          <w:szCs w:val="20"/>
          <w:lang w:val="es-ES"/>
        </w:rPr>
        <w:t>Dorothy</w:t>
      </w:r>
      <w:proofErr w:type="spellEnd"/>
      <w:r w:rsidR="00E508A0">
        <w:rPr>
          <w:rFonts w:asciiTheme="majorHAnsi" w:hAnsiTheme="majorHAnsi"/>
          <w:sz w:val="20"/>
          <w:szCs w:val="20"/>
          <w:lang w:val="es-ES"/>
        </w:rPr>
        <w:t xml:space="preserve"> </w:t>
      </w:r>
      <w:r w:rsidR="00C940E6" w:rsidRPr="007A3389">
        <w:rPr>
          <w:rFonts w:asciiTheme="majorHAnsi" w:hAnsiTheme="majorHAnsi"/>
          <w:sz w:val="20"/>
          <w:szCs w:val="20"/>
          <w:lang w:val="es-ES"/>
        </w:rPr>
        <w:t xml:space="preserve">Jackson </w:t>
      </w:r>
      <w:r w:rsidR="00DF0F4C">
        <w:rPr>
          <w:rFonts w:asciiTheme="majorHAnsi" w:hAnsiTheme="majorHAnsi"/>
          <w:sz w:val="20"/>
          <w:szCs w:val="20"/>
          <w:lang w:val="es-ES"/>
        </w:rPr>
        <w:t>fue abordado igualmente en tribunales estatales y</w:t>
      </w:r>
      <w:r w:rsidR="00C940E6" w:rsidRPr="007A3389">
        <w:rPr>
          <w:rFonts w:asciiTheme="majorHAnsi" w:hAnsiTheme="majorHAnsi"/>
          <w:sz w:val="20"/>
          <w:szCs w:val="20"/>
          <w:lang w:val="es-ES"/>
        </w:rPr>
        <w:t xml:space="preserve"> federal</w:t>
      </w:r>
      <w:r w:rsidR="00DF0F4C">
        <w:rPr>
          <w:rFonts w:asciiTheme="majorHAnsi" w:hAnsiTheme="majorHAnsi"/>
          <w:sz w:val="20"/>
          <w:szCs w:val="20"/>
          <w:lang w:val="es-ES"/>
        </w:rPr>
        <w:t>es</w:t>
      </w:r>
      <w:r w:rsidR="00E508A0">
        <w:rPr>
          <w:rFonts w:asciiTheme="majorHAnsi" w:hAnsiTheme="majorHAnsi"/>
          <w:sz w:val="20"/>
          <w:szCs w:val="20"/>
          <w:lang w:val="es-ES"/>
        </w:rPr>
        <w:t>, siendo desestimado</w:t>
      </w:r>
      <w:r w:rsidR="00C940E6"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Estado</w:t>
      </w:r>
      <w:r w:rsidR="00C940E6" w:rsidRPr="007A3389">
        <w:rPr>
          <w:rFonts w:asciiTheme="majorHAnsi" w:hAnsiTheme="majorHAnsi"/>
          <w:sz w:val="20"/>
          <w:szCs w:val="20"/>
          <w:lang w:val="es-ES"/>
        </w:rPr>
        <w:t xml:space="preserve"> </w:t>
      </w:r>
      <w:r w:rsidR="00DF0F4C">
        <w:rPr>
          <w:rFonts w:asciiTheme="majorHAnsi" w:hAnsiTheme="majorHAnsi"/>
          <w:sz w:val="20"/>
          <w:szCs w:val="20"/>
          <w:lang w:val="es-ES"/>
        </w:rPr>
        <w:t>sostiene que</w:t>
      </w:r>
      <w:r w:rsidR="00C940E6" w:rsidRPr="007A3389">
        <w:rPr>
          <w:rFonts w:asciiTheme="majorHAnsi" w:hAnsiTheme="majorHAnsi"/>
          <w:sz w:val="20"/>
          <w:szCs w:val="20"/>
          <w:lang w:val="es-ES"/>
        </w:rPr>
        <w:t xml:space="preserve"> </w:t>
      </w:r>
      <w:r w:rsidR="005019B9" w:rsidRPr="007A3389">
        <w:rPr>
          <w:rFonts w:asciiTheme="majorHAnsi" w:hAnsiTheme="majorHAnsi"/>
          <w:sz w:val="20"/>
          <w:szCs w:val="20"/>
          <w:lang w:val="es-ES"/>
        </w:rPr>
        <w:t>la presunta víctima</w:t>
      </w:r>
      <w:r w:rsidR="00C940E6" w:rsidRPr="007A3389">
        <w:rPr>
          <w:rFonts w:asciiTheme="majorHAnsi" w:hAnsiTheme="majorHAnsi"/>
          <w:sz w:val="20"/>
          <w:szCs w:val="20"/>
          <w:lang w:val="es-ES"/>
        </w:rPr>
        <w:t xml:space="preserve"> </w:t>
      </w:r>
      <w:r w:rsidR="00DF0F4C">
        <w:rPr>
          <w:rFonts w:asciiTheme="majorHAnsi" w:hAnsiTheme="majorHAnsi"/>
          <w:sz w:val="20"/>
          <w:szCs w:val="20"/>
          <w:lang w:val="es-ES"/>
        </w:rPr>
        <w:t xml:space="preserve">tuvo la oportunidad de plantear la supuesta ineficacia del abogado que lo representó en el juicio en sus actuaciones de </w:t>
      </w:r>
      <w:r w:rsidR="00DF0F4C" w:rsidRPr="00E508A0">
        <w:rPr>
          <w:rFonts w:asciiTheme="majorHAnsi" w:hAnsiTheme="majorHAnsi"/>
          <w:i/>
          <w:sz w:val="20"/>
          <w:szCs w:val="20"/>
          <w:lang w:val="es-ES"/>
        </w:rPr>
        <w:t>hábeas corpus</w:t>
      </w:r>
      <w:r w:rsidR="00DF0F4C">
        <w:rPr>
          <w:rFonts w:asciiTheme="majorHAnsi" w:hAnsiTheme="majorHAnsi"/>
          <w:sz w:val="20"/>
          <w:szCs w:val="20"/>
          <w:lang w:val="es-ES"/>
        </w:rPr>
        <w:t xml:space="preserve"> en los ámbitos estatal y </w:t>
      </w:r>
      <w:r w:rsidR="00C940E6" w:rsidRPr="007A3389">
        <w:rPr>
          <w:rFonts w:asciiTheme="majorHAnsi" w:hAnsiTheme="majorHAnsi"/>
          <w:sz w:val="20"/>
          <w:szCs w:val="20"/>
          <w:lang w:val="es-ES"/>
        </w:rPr>
        <w:t>federal</w:t>
      </w:r>
      <w:r w:rsidR="00DF0F4C">
        <w:rPr>
          <w:rFonts w:asciiTheme="majorHAnsi" w:hAnsiTheme="majorHAnsi"/>
          <w:sz w:val="20"/>
          <w:szCs w:val="20"/>
          <w:lang w:val="es-ES"/>
        </w:rPr>
        <w:t>,</w:t>
      </w:r>
      <w:r w:rsidR="00C940E6" w:rsidRPr="007A3389">
        <w:rPr>
          <w:rFonts w:asciiTheme="majorHAnsi" w:hAnsiTheme="majorHAnsi"/>
          <w:sz w:val="20"/>
          <w:szCs w:val="20"/>
          <w:lang w:val="es-ES"/>
        </w:rPr>
        <w:t xml:space="preserve"> </w:t>
      </w:r>
      <w:r w:rsidR="00DF0F4C">
        <w:rPr>
          <w:rFonts w:asciiTheme="majorHAnsi" w:hAnsiTheme="majorHAnsi"/>
          <w:sz w:val="20"/>
          <w:szCs w:val="20"/>
          <w:lang w:val="es-ES"/>
        </w:rPr>
        <w:t>y los tribunales determinaron que no tenía derecho a un nuevo juicio o a otro recurso</w:t>
      </w:r>
      <w:r w:rsidR="00C940E6" w:rsidRPr="007A3389">
        <w:rPr>
          <w:rFonts w:asciiTheme="majorHAnsi" w:hAnsiTheme="majorHAnsi"/>
          <w:sz w:val="20"/>
          <w:szCs w:val="20"/>
          <w:lang w:val="es-ES"/>
        </w:rPr>
        <w:t>.</w:t>
      </w:r>
    </w:p>
    <w:p w14:paraId="5AFA21E0" w14:textId="77777777" w:rsidR="00647C9A" w:rsidRPr="007A3389" w:rsidRDefault="00647C9A" w:rsidP="00647C9A">
      <w:pPr>
        <w:pStyle w:val="ListParagraph"/>
        <w:rPr>
          <w:rFonts w:asciiTheme="majorHAnsi" w:hAnsiTheme="majorHAnsi"/>
          <w:sz w:val="20"/>
          <w:szCs w:val="20"/>
          <w:lang w:val="es-ES"/>
        </w:rPr>
      </w:pPr>
    </w:p>
    <w:p w14:paraId="48F270FB" w14:textId="77777777" w:rsidR="00647C9A" w:rsidRPr="007A3389" w:rsidRDefault="00DF0F4C" w:rsidP="005C52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Con respecto a la supuesta discriminación</w:t>
      </w:r>
      <w:r w:rsidR="00647C9A"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Estado</w:t>
      </w:r>
      <w:r w:rsidR="00647C9A" w:rsidRPr="007A3389">
        <w:rPr>
          <w:rFonts w:asciiTheme="majorHAnsi" w:hAnsiTheme="majorHAnsi"/>
          <w:sz w:val="20"/>
          <w:szCs w:val="20"/>
          <w:lang w:val="es-ES"/>
        </w:rPr>
        <w:t xml:space="preserve"> a</w:t>
      </w:r>
      <w:r>
        <w:rPr>
          <w:rFonts w:asciiTheme="majorHAnsi" w:hAnsiTheme="majorHAnsi"/>
          <w:sz w:val="20"/>
          <w:szCs w:val="20"/>
          <w:lang w:val="es-ES"/>
        </w:rPr>
        <w:t xml:space="preserve">firma que los peticionarios presentan una interpretación nueva y ampliada del artículo </w:t>
      </w:r>
      <w:r w:rsidR="00647C9A" w:rsidRPr="007A3389">
        <w:rPr>
          <w:rFonts w:asciiTheme="majorHAnsi" w:hAnsiTheme="majorHAnsi"/>
          <w:sz w:val="20"/>
          <w:szCs w:val="20"/>
          <w:lang w:val="es-ES"/>
        </w:rPr>
        <w:t xml:space="preserve">II, </w:t>
      </w:r>
      <w:r>
        <w:rPr>
          <w:rFonts w:asciiTheme="majorHAnsi" w:hAnsiTheme="majorHAnsi"/>
          <w:sz w:val="20"/>
          <w:szCs w:val="20"/>
          <w:lang w:val="es-ES"/>
        </w:rPr>
        <w:t xml:space="preserve">al desvincularla de su contexto bien arraigado de un procedimiento </w:t>
      </w:r>
      <w:r w:rsidR="00647C9A" w:rsidRPr="007A3389">
        <w:rPr>
          <w:rFonts w:asciiTheme="majorHAnsi" w:hAnsiTheme="majorHAnsi"/>
          <w:sz w:val="20"/>
          <w:szCs w:val="20"/>
          <w:lang w:val="es-ES"/>
        </w:rPr>
        <w:t xml:space="preserve">judicial </w:t>
      </w:r>
      <w:r w:rsidR="00C43939">
        <w:rPr>
          <w:rFonts w:asciiTheme="majorHAnsi" w:hAnsiTheme="majorHAnsi"/>
          <w:sz w:val="20"/>
          <w:szCs w:val="20"/>
          <w:lang w:val="es-ES"/>
        </w:rPr>
        <w:t xml:space="preserve">en </w:t>
      </w:r>
      <w:r>
        <w:rPr>
          <w:rFonts w:asciiTheme="majorHAnsi" w:hAnsiTheme="majorHAnsi"/>
          <w:sz w:val="20"/>
          <w:szCs w:val="20"/>
          <w:lang w:val="es-ES"/>
        </w:rPr>
        <w:t xml:space="preserve">el cual los jueces y los miembros del jurado desempeñan un papel </w:t>
      </w:r>
      <w:r w:rsidR="00647C9A" w:rsidRPr="007A3389">
        <w:rPr>
          <w:rFonts w:asciiTheme="majorHAnsi" w:hAnsiTheme="majorHAnsi"/>
          <w:sz w:val="20"/>
          <w:szCs w:val="20"/>
          <w:lang w:val="es-ES"/>
        </w:rPr>
        <w:t xml:space="preserve">singular </w:t>
      </w:r>
      <w:r>
        <w:rPr>
          <w:rFonts w:asciiTheme="majorHAnsi" w:hAnsiTheme="majorHAnsi"/>
          <w:sz w:val="20"/>
          <w:szCs w:val="20"/>
          <w:lang w:val="es-ES"/>
        </w:rPr>
        <w:t xml:space="preserve">y, por lo tanto, están obligados a ceñirse a una norma </w:t>
      </w:r>
      <w:r w:rsidR="00817304">
        <w:rPr>
          <w:rFonts w:asciiTheme="majorHAnsi" w:hAnsiTheme="majorHAnsi"/>
          <w:sz w:val="20"/>
          <w:szCs w:val="20"/>
          <w:lang w:val="es-ES"/>
        </w:rPr>
        <w:t>inconfundible de imparcialidad, en calidad de encargados primordiales y finales de la decisión sobre la culpabilidad de un acusado y su sentencia</w:t>
      </w:r>
      <w:r w:rsidR="00647C9A" w:rsidRPr="007A3389">
        <w:rPr>
          <w:rFonts w:asciiTheme="majorHAnsi" w:hAnsiTheme="majorHAnsi"/>
          <w:sz w:val="20"/>
          <w:szCs w:val="20"/>
          <w:lang w:val="es-ES"/>
        </w:rPr>
        <w:t>.</w:t>
      </w:r>
      <w:r w:rsidR="00817304">
        <w:rPr>
          <w:rFonts w:asciiTheme="majorHAnsi" w:hAnsiTheme="majorHAnsi"/>
          <w:sz w:val="20"/>
          <w:szCs w:val="20"/>
          <w:lang w:val="es-ES"/>
        </w:rPr>
        <w:t xml:space="preserve"> Según </w:t>
      </w:r>
      <w:r w:rsidR="00D87346" w:rsidRPr="007A3389">
        <w:rPr>
          <w:rFonts w:asciiTheme="majorHAnsi" w:hAnsiTheme="majorHAnsi"/>
          <w:sz w:val="20"/>
          <w:szCs w:val="20"/>
          <w:lang w:val="es-ES"/>
        </w:rPr>
        <w:t>el Estado</w:t>
      </w:r>
      <w:r w:rsidR="00DE69AC" w:rsidRPr="007A3389">
        <w:rPr>
          <w:rFonts w:asciiTheme="majorHAnsi" w:hAnsiTheme="majorHAnsi"/>
          <w:sz w:val="20"/>
          <w:szCs w:val="20"/>
          <w:lang w:val="es-ES"/>
        </w:rPr>
        <w:t xml:space="preserve">, </w:t>
      </w:r>
      <w:r w:rsidR="00817304">
        <w:rPr>
          <w:rFonts w:asciiTheme="majorHAnsi" w:hAnsiTheme="majorHAnsi"/>
          <w:sz w:val="20"/>
          <w:szCs w:val="20"/>
          <w:lang w:val="es-ES"/>
        </w:rPr>
        <w:t xml:space="preserve">el argumento de que el </w:t>
      </w:r>
      <w:r w:rsidR="00DE69AC" w:rsidRPr="007A3389">
        <w:rPr>
          <w:rFonts w:asciiTheme="majorHAnsi" w:hAnsiTheme="majorHAnsi"/>
          <w:sz w:val="20"/>
          <w:szCs w:val="20"/>
          <w:lang w:val="es-ES"/>
        </w:rPr>
        <w:t xml:space="preserve">detective </w:t>
      </w:r>
      <w:r w:rsidR="00817304">
        <w:rPr>
          <w:rFonts w:asciiTheme="majorHAnsi" w:hAnsiTheme="majorHAnsi"/>
          <w:sz w:val="20"/>
          <w:szCs w:val="20"/>
          <w:lang w:val="es-ES"/>
        </w:rPr>
        <w:t>usurpó el papel d</w:t>
      </w:r>
      <w:r w:rsidR="00A06C83" w:rsidRPr="007A3389">
        <w:rPr>
          <w:rFonts w:asciiTheme="majorHAnsi" w:hAnsiTheme="majorHAnsi"/>
          <w:sz w:val="20"/>
          <w:szCs w:val="20"/>
          <w:lang w:val="es-ES"/>
        </w:rPr>
        <w:t>el fiscal</w:t>
      </w:r>
      <w:r w:rsidR="00DE69AC" w:rsidRPr="007A3389">
        <w:rPr>
          <w:rFonts w:asciiTheme="majorHAnsi" w:hAnsiTheme="majorHAnsi"/>
          <w:sz w:val="20"/>
          <w:szCs w:val="20"/>
          <w:lang w:val="es-ES"/>
        </w:rPr>
        <w:t xml:space="preserve"> </w:t>
      </w:r>
      <w:r w:rsidR="00817304">
        <w:rPr>
          <w:rFonts w:asciiTheme="majorHAnsi" w:hAnsiTheme="majorHAnsi"/>
          <w:sz w:val="20"/>
          <w:szCs w:val="20"/>
          <w:lang w:val="es-ES"/>
        </w:rPr>
        <w:t>al tomar la determinación de pedir</w:t>
      </w:r>
      <w:r w:rsidR="00DE69AC" w:rsidRPr="007A3389">
        <w:rPr>
          <w:rFonts w:asciiTheme="majorHAnsi" w:hAnsiTheme="majorHAnsi"/>
          <w:sz w:val="20"/>
          <w:szCs w:val="20"/>
          <w:lang w:val="es-ES"/>
        </w:rPr>
        <w:t xml:space="preserve"> </w:t>
      </w:r>
      <w:r w:rsidR="00A06C83" w:rsidRPr="007A3389">
        <w:rPr>
          <w:rFonts w:asciiTheme="majorHAnsi" w:hAnsiTheme="majorHAnsi"/>
          <w:sz w:val="20"/>
          <w:szCs w:val="20"/>
          <w:lang w:val="es-ES"/>
        </w:rPr>
        <w:t>la pena de muerte</w:t>
      </w:r>
      <w:r w:rsidR="00DE69AC" w:rsidRPr="007A3389">
        <w:rPr>
          <w:rFonts w:asciiTheme="majorHAnsi" w:hAnsiTheme="majorHAnsi"/>
          <w:sz w:val="20"/>
          <w:szCs w:val="20"/>
          <w:lang w:val="es-ES"/>
        </w:rPr>
        <w:t xml:space="preserve">, </w:t>
      </w:r>
      <w:r w:rsidR="00817304">
        <w:rPr>
          <w:rFonts w:asciiTheme="majorHAnsi" w:hAnsiTheme="majorHAnsi"/>
          <w:sz w:val="20"/>
          <w:szCs w:val="20"/>
          <w:lang w:val="es-ES"/>
        </w:rPr>
        <w:t xml:space="preserve">a lo cual </w:t>
      </w:r>
      <w:r w:rsidR="00A06C83" w:rsidRPr="007A3389">
        <w:rPr>
          <w:rFonts w:asciiTheme="majorHAnsi" w:hAnsiTheme="majorHAnsi"/>
          <w:sz w:val="20"/>
          <w:szCs w:val="20"/>
          <w:lang w:val="es-ES"/>
        </w:rPr>
        <w:t>el fiscal</w:t>
      </w:r>
      <w:r w:rsidR="00DE69AC" w:rsidRPr="007A3389">
        <w:rPr>
          <w:rFonts w:asciiTheme="majorHAnsi" w:hAnsiTheme="majorHAnsi"/>
          <w:sz w:val="20"/>
          <w:szCs w:val="20"/>
          <w:lang w:val="es-ES"/>
        </w:rPr>
        <w:t xml:space="preserve"> simpl</w:t>
      </w:r>
      <w:r w:rsidR="00817304">
        <w:rPr>
          <w:rFonts w:asciiTheme="majorHAnsi" w:hAnsiTheme="majorHAnsi"/>
          <w:sz w:val="20"/>
          <w:szCs w:val="20"/>
          <w:lang w:val="es-ES"/>
        </w:rPr>
        <w:t xml:space="preserve">emente asintió, es totalmente infundado. </w:t>
      </w:r>
      <w:r w:rsidR="00D87346" w:rsidRPr="007A3389">
        <w:rPr>
          <w:rFonts w:asciiTheme="majorHAnsi" w:hAnsiTheme="majorHAnsi"/>
          <w:sz w:val="20"/>
          <w:szCs w:val="20"/>
          <w:lang w:val="es-ES"/>
        </w:rPr>
        <w:t>El Estado</w:t>
      </w:r>
      <w:r w:rsidR="00DE4162" w:rsidRPr="007A3389">
        <w:rPr>
          <w:rFonts w:asciiTheme="majorHAnsi" w:hAnsiTheme="majorHAnsi"/>
          <w:sz w:val="20"/>
          <w:szCs w:val="20"/>
          <w:lang w:val="es-ES"/>
        </w:rPr>
        <w:t xml:space="preserve"> indica</w:t>
      </w:r>
      <w:r w:rsidR="00817304">
        <w:rPr>
          <w:rFonts w:asciiTheme="majorHAnsi" w:hAnsiTheme="majorHAnsi"/>
          <w:sz w:val="20"/>
          <w:szCs w:val="20"/>
          <w:lang w:val="es-ES"/>
        </w:rPr>
        <w:t xml:space="preserve"> que </w:t>
      </w:r>
      <w:r w:rsidR="00117FCC" w:rsidRPr="007A3389">
        <w:rPr>
          <w:rFonts w:asciiTheme="majorHAnsi" w:hAnsiTheme="majorHAnsi"/>
          <w:sz w:val="20"/>
          <w:szCs w:val="20"/>
          <w:lang w:val="es-ES"/>
        </w:rPr>
        <w:t>el detective</w:t>
      </w:r>
      <w:r w:rsidR="00DE69AC" w:rsidRPr="007A3389">
        <w:rPr>
          <w:rFonts w:asciiTheme="majorHAnsi" w:hAnsiTheme="majorHAnsi"/>
          <w:sz w:val="20"/>
          <w:szCs w:val="20"/>
          <w:lang w:val="es-ES"/>
        </w:rPr>
        <w:t xml:space="preserve"> </w:t>
      </w:r>
      <w:r w:rsidR="00817304">
        <w:rPr>
          <w:rFonts w:asciiTheme="majorHAnsi" w:hAnsiTheme="majorHAnsi"/>
          <w:sz w:val="20"/>
          <w:szCs w:val="20"/>
          <w:lang w:val="es-ES"/>
        </w:rPr>
        <w:t>no ejerció la facultad del fiscal para tomar decisiones en el caso d</w:t>
      </w:r>
      <w:r w:rsidR="00D87346" w:rsidRPr="007A3389">
        <w:rPr>
          <w:rFonts w:asciiTheme="majorHAnsi" w:hAnsiTheme="majorHAnsi"/>
          <w:sz w:val="20"/>
          <w:szCs w:val="20"/>
          <w:lang w:val="es-ES"/>
        </w:rPr>
        <w:t>el señor</w:t>
      </w:r>
      <w:r w:rsidR="00DE69AC" w:rsidRPr="007A3389">
        <w:rPr>
          <w:rFonts w:asciiTheme="majorHAnsi" w:hAnsiTheme="majorHAnsi"/>
          <w:sz w:val="20"/>
          <w:szCs w:val="20"/>
          <w:lang w:val="es-ES"/>
        </w:rPr>
        <w:t xml:space="preserve"> Loza</w:t>
      </w:r>
      <w:r w:rsidR="00817304">
        <w:rPr>
          <w:rFonts w:asciiTheme="majorHAnsi" w:hAnsiTheme="majorHAnsi"/>
          <w:sz w:val="20"/>
          <w:szCs w:val="20"/>
          <w:lang w:val="es-ES"/>
        </w:rPr>
        <w:t xml:space="preserve"> </w:t>
      </w:r>
      <w:r w:rsidR="00C43939">
        <w:rPr>
          <w:rFonts w:asciiTheme="majorHAnsi" w:hAnsiTheme="majorHAnsi"/>
          <w:sz w:val="20"/>
          <w:szCs w:val="20"/>
          <w:lang w:val="es-ES"/>
        </w:rPr>
        <w:t xml:space="preserve">y </w:t>
      </w:r>
      <w:r w:rsidR="00817304">
        <w:rPr>
          <w:rFonts w:asciiTheme="majorHAnsi" w:hAnsiTheme="majorHAnsi"/>
          <w:sz w:val="20"/>
          <w:szCs w:val="20"/>
          <w:lang w:val="es-ES"/>
        </w:rPr>
        <w:t>no podría haberlo hecho</w:t>
      </w:r>
      <w:r w:rsidR="00DE69AC" w:rsidRPr="007A3389">
        <w:rPr>
          <w:rFonts w:asciiTheme="majorHAnsi" w:hAnsiTheme="majorHAnsi"/>
          <w:sz w:val="20"/>
          <w:szCs w:val="20"/>
          <w:lang w:val="es-ES"/>
        </w:rPr>
        <w:t xml:space="preserve">. </w:t>
      </w:r>
      <w:r w:rsidR="00817304">
        <w:rPr>
          <w:rFonts w:asciiTheme="majorHAnsi" w:hAnsiTheme="majorHAnsi"/>
          <w:sz w:val="20"/>
          <w:szCs w:val="20"/>
          <w:lang w:val="es-ES"/>
        </w:rPr>
        <w:t xml:space="preserve">Recalca que los </w:t>
      </w:r>
      <w:r w:rsidR="00817304">
        <w:rPr>
          <w:rFonts w:asciiTheme="majorHAnsi" w:hAnsiTheme="majorHAnsi"/>
          <w:sz w:val="20"/>
          <w:szCs w:val="20"/>
          <w:lang w:val="es-ES"/>
        </w:rPr>
        <w:lastRenderedPageBreak/>
        <w:t>peticionarios no aportaron ninguna prueba concreta de sesgo étnico de las instancias decisorias (</w:t>
      </w:r>
      <w:r w:rsidR="00A06C83" w:rsidRPr="007A3389">
        <w:rPr>
          <w:rFonts w:asciiTheme="majorHAnsi" w:hAnsiTheme="majorHAnsi"/>
          <w:sz w:val="20"/>
          <w:szCs w:val="20"/>
          <w:lang w:val="es-ES"/>
        </w:rPr>
        <w:t>fiscales</w:t>
      </w:r>
      <w:r w:rsidR="00DE69AC" w:rsidRPr="007A3389">
        <w:rPr>
          <w:rFonts w:asciiTheme="majorHAnsi" w:hAnsiTheme="majorHAnsi"/>
          <w:sz w:val="20"/>
          <w:szCs w:val="20"/>
          <w:lang w:val="es-ES"/>
        </w:rPr>
        <w:t>, ju</w:t>
      </w:r>
      <w:r w:rsidR="00817304">
        <w:rPr>
          <w:rFonts w:asciiTheme="majorHAnsi" w:hAnsiTheme="majorHAnsi"/>
          <w:sz w:val="20"/>
          <w:szCs w:val="20"/>
          <w:lang w:val="es-ES"/>
        </w:rPr>
        <w:t>eces y jurado</w:t>
      </w:r>
      <w:r w:rsidR="00DE69AC" w:rsidRPr="007A3389">
        <w:rPr>
          <w:rFonts w:asciiTheme="majorHAnsi" w:hAnsiTheme="majorHAnsi"/>
          <w:sz w:val="20"/>
          <w:szCs w:val="20"/>
          <w:lang w:val="es-ES"/>
        </w:rPr>
        <w:t>s</w:t>
      </w:r>
      <w:r w:rsidR="00817304">
        <w:rPr>
          <w:rFonts w:asciiTheme="majorHAnsi" w:hAnsiTheme="majorHAnsi"/>
          <w:sz w:val="20"/>
          <w:szCs w:val="20"/>
          <w:lang w:val="es-ES"/>
        </w:rPr>
        <w:t>)</w:t>
      </w:r>
      <w:r w:rsidR="00DE4162" w:rsidRPr="007A3389">
        <w:rPr>
          <w:rFonts w:asciiTheme="majorHAnsi" w:hAnsiTheme="majorHAnsi"/>
          <w:sz w:val="20"/>
          <w:szCs w:val="20"/>
          <w:lang w:val="es-ES"/>
        </w:rPr>
        <w:t>.</w:t>
      </w:r>
      <w:r w:rsidR="00DE69AC"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Estado</w:t>
      </w:r>
      <w:r w:rsidR="00DE69AC" w:rsidRPr="007A3389">
        <w:rPr>
          <w:rFonts w:asciiTheme="majorHAnsi" w:hAnsiTheme="majorHAnsi"/>
          <w:sz w:val="20"/>
          <w:szCs w:val="20"/>
          <w:lang w:val="es-ES"/>
        </w:rPr>
        <w:t xml:space="preserve"> </w:t>
      </w:r>
      <w:r w:rsidR="00817304">
        <w:rPr>
          <w:rFonts w:asciiTheme="majorHAnsi" w:hAnsiTheme="majorHAnsi"/>
          <w:sz w:val="20"/>
          <w:szCs w:val="20"/>
          <w:lang w:val="es-ES"/>
        </w:rPr>
        <w:t xml:space="preserve">agrega que </w:t>
      </w:r>
      <w:r w:rsidR="00D87346" w:rsidRPr="007A3389">
        <w:rPr>
          <w:rFonts w:asciiTheme="majorHAnsi" w:hAnsiTheme="majorHAnsi"/>
          <w:sz w:val="20"/>
          <w:szCs w:val="20"/>
          <w:lang w:val="es-ES"/>
        </w:rPr>
        <w:t>el señor</w:t>
      </w:r>
      <w:r w:rsidR="00DE69AC" w:rsidRPr="007A3389">
        <w:rPr>
          <w:rFonts w:asciiTheme="majorHAnsi" w:hAnsiTheme="majorHAnsi"/>
          <w:sz w:val="20"/>
          <w:szCs w:val="20"/>
          <w:lang w:val="es-ES"/>
        </w:rPr>
        <w:t xml:space="preserve"> Loza</w:t>
      </w:r>
      <w:r w:rsidR="00C43939">
        <w:rPr>
          <w:rFonts w:asciiTheme="majorHAnsi" w:hAnsiTheme="majorHAnsi"/>
          <w:sz w:val="20"/>
          <w:szCs w:val="20"/>
          <w:lang w:val="es-ES"/>
        </w:rPr>
        <w:t>,</w:t>
      </w:r>
      <w:r w:rsidR="00C43939" w:rsidRPr="00C43939">
        <w:rPr>
          <w:rFonts w:asciiTheme="majorHAnsi" w:hAnsiTheme="majorHAnsi"/>
          <w:sz w:val="20"/>
          <w:szCs w:val="20"/>
          <w:lang w:val="es-ES"/>
        </w:rPr>
        <w:t xml:space="preserve"> cada vez que</w:t>
      </w:r>
      <w:r w:rsidR="00DE69AC" w:rsidRPr="007A3389">
        <w:rPr>
          <w:rFonts w:asciiTheme="majorHAnsi" w:hAnsiTheme="majorHAnsi"/>
          <w:sz w:val="20"/>
          <w:szCs w:val="20"/>
          <w:lang w:val="es-ES"/>
        </w:rPr>
        <w:t xml:space="preserve"> </w:t>
      </w:r>
      <w:r w:rsidR="00817304">
        <w:rPr>
          <w:rFonts w:asciiTheme="majorHAnsi" w:hAnsiTheme="majorHAnsi"/>
          <w:sz w:val="20"/>
          <w:szCs w:val="20"/>
          <w:lang w:val="es-ES"/>
        </w:rPr>
        <w:t xml:space="preserve">alegó este hecho ante tribunales estatales y </w:t>
      </w:r>
      <w:r w:rsidR="00DE69AC" w:rsidRPr="007A3389">
        <w:rPr>
          <w:rFonts w:asciiTheme="majorHAnsi" w:hAnsiTheme="majorHAnsi"/>
          <w:sz w:val="20"/>
          <w:szCs w:val="20"/>
          <w:lang w:val="es-ES"/>
        </w:rPr>
        <w:t>federal</w:t>
      </w:r>
      <w:r w:rsidR="00C43939">
        <w:rPr>
          <w:rFonts w:asciiTheme="majorHAnsi" w:hAnsiTheme="majorHAnsi"/>
          <w:sz w:val="20"/>
          <w:szCs w:val="20"/>
          <w:lang w:val="es-ES"/>
        </w:rPr>
        <w:t>es,</w:t>
      </w:r>
      <w:r w:rsidR="00DE69AC" w:rsidRPr="007A3389">
        <w:rPr>
          <w:rFonts w:asciiTheme="majorHAnsi" w:hAnsiTheme="majorHAnsi"/>
          <w:sz w:val="20"/>
          <w:szCs w:val="20"/>
          <w:lang w:val="es-ES"/>
        </w:rPr>
        <w:t xml:space="preserve"> </w:t>
      </w:r>
      <w:r w:rsidR="00817304">
        <w:rPr>
          <w:rFonts w:asciiTheme="majorHAnsi" w:hAnsiTheme="majorHAnsi"/>
          <w:sz w:val="20"/>
          <w:szCs w:val="20"/>
          <w:lang w:val="es-ES"/>
        </w:rPr>
        <w:t xml:space="preserve">no presentó prueba suficiente de que la investigación y su juzgamiento hubieran adolecido de </w:t>
      </w:r>
      <w:r w:rsidR="00EE0CB0" w:rsidRPr="007A3389">
        <w:rPr>
          <w:rFonts w:asciiTheme="majorHAnsi" w:hAnsiTheme="majorHAnsi"/>
          <w:sz w:val="20"/>
          <w:szCs w:val="20"/>
          <w:lang w:val="es-ES"/>
        </w:rPr>
        <w:t>discriminación racial</w:t>
      </w:r>
      <w:r w:rsidR="00DE69AC" w:rsidRPr="007A3389">
        <w:rPr>
          <w:rFonts w:asciiTheme="majorHAnsi" w:hAnsiTheme="majorHAnsi"/>
          <w:sz w:val="20"/>
          <w:szCs w:val="20"/>
          <w:lang w:val="es-ES"/>
        </w:rPr>
        <w:t>.</w:t>
      </w:r>
    </w:p>
    <w:p w14:paraId="17E52886" w14:textId="77777777" w:rsidR="006543B4" w:rsidRPr="007A3389" w:rsidRDefault="006543B4" w:rsidP="006543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4D506044" w14:textId="77777777" w:rsidR="002A555A" w:rsidRPr="007A3389" w:rsidRDefault="00ED25DA" w:rsidP="005C52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Con respecto a</w:t>
      </w:r>
      <w:r w:rsidR="00C43939">
        <w:rPr>
          <w:rFonts w:asciiTheme="majorHAnsi" w:hAnsiTheme="majorHAnsi"/>
          <w:sz w:val="20"/>
          <w:szCs w:val="20"/>
          <w:lang w:val="es-ES"/>
        </w:rPr>
        <w:t xml:space="preserve"> la </w:t>
      </w:r>
      <w:r w:rsidR="00EE0CB0" w:rsidRPr="007A3389">
        <w:rPr>
          <w:rFonts w:asciiTheme="majorHAnsi" w:hAnsiTheme="majorHAnsi"/>
          <w:sz w:val="20"/>
          <w:szCs w:val="20"/>
          <w:lang w:val="es-ES"/>
        </w:rPr>
        <w:t>asistencia ineficaz del abogado litigante</w:t>
      </w:r>
      <w:r w:rsidR="006543B4"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Estado</w:t>
      </w:r>
      <w:r w:rsidR="006543B4" w:rsidRPr="007A3389">
        <w:rPr>
          <w:rFonts w:asciiTheme="majorHAnsi" w:hAnsiTheme="majorHAnsi"/>
          <w:sz w:val="20"/>
          <w:szCs w:val="20"/>
          <w:lang w:val="es-ES"/>
        </w:rPr>
        <w:t xml:space="preserve"> al</w:t>
      </w:r>
      <w:r>
        <w:rPr>
          <w:rFonts w:asciiTheme="majorHAnsi" w:hAnsiTheme="majorHAnsi"/>
          <w:sz w:val="20"/>
          <w:szCs w:val="20"/>
          <w:lang w:val="es-ES"/>
        </w:rPr>
        <w:t xml:space="preserve">ega que </w:t>
      </w:r>
      <w:r w:rsidR="00C43939">
        <w:rPr>
          <w:rFonts w:asciiTheme="majorHAnsi" w:hAnsiTheme="majorHAnsi"/>
          <w:sz w:val="20"/>
          <w:szCs w:val="20"/>
          <w:lang w:val="es-ES"/>
        </w:rPr>
        <w:t xml:space="preserve">este reclamo </w:t>
      </w:r>
      <w:r>
        <w:rPr>
          <w:rFonts w:asciiTheme="majorHAnsi" w:hAnsiTheme="majorHAnsi"/>
          <w:sz w:val="20"/>
          <w:szCs w:val="20"/>
          <w:lang w:val="es-ES"/>
        </w:rPr>
        <w:t xml:space="preserve">se planteó en tribunales estatales y </w:t>
      </w:r>
      <w:r w:rsidR="006543B4" w:rsidRPr="007A3389">
        <w:rPr>
          <w:rFonts w:asciiTheme="majorHAnsi" w:hAnsiTheme="majorHAnsi"/>
          <w:sz w:val="20"/>
          <w:szCs w:val="20"/>
          <w:lang w:val="es-ES"/>
        </w:rPr>
        <w:t>federal</w:t>
      </w:r>
      <w:r>
        <w:rPr>
          <w:rFonts w:asciiTheme="majorHAnsi" w:hAnsiTheme="majorHAnsi"/>
          <w:sz w:val="20"/>
          <w:szCs w:val="20"/>
          <w:lang w:val="es-ES"/>
        </w:rPr>
        <w:t>es, en los cuales pasó por varias capas de revisión</w:t>
      </w:r>
      <w:r w:rsidR="006543B4" w:rsidRPr="007A3389">
        <w:rPr>
          <w:rFonts w:asciiTheme="majorHAnsi" w:hAnsiTheme="majorHAnsi"/>
          <w:sz w:val="20"/>
          <w:szCs w:val="20"/>
          <w:lang w:val="es-ES"/>
        </w:rPr>
        <w:t xml:space="preserve"> judicial</w:t>
      </w:r>
      <w:r>
        <w:rPr>
          <w:rFonts w:asciiTheme="majorHAnsi" w:hAnsiTheme="majorHAnsi"/>
          <w:sz w:val="20"/>
          <w:szCs w:val="20"/>
          <w:lang w:val="es-ES"/>
        </w:rPr>
        <w:t>.</w:t>
      </w:r>
      <w:r w:rsidR="002A555A"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Estado</w:t>
      </w:r>
      <w:r w:rsidR="002A555A" w:rsidRPr="007A3389">
        <w:rPr>
          <w:rFonts w:asciiTheme="majorHAnsi" w:hAnsiTheme="majorHAnsi"/>
          <w:sz w:val="20"/>
          <w:szCs w:val="20"/>
          <w:lang w:val="es-ES"/>
        </w:rPr>
        <w:t xml:space="preserve"> </w:t>
      </w:r>
      <w:r w:rsidR="00A56817">
        <w:rPr>
          <w:rFonts w:asciiTheme="majorHAnsi" w:hAnsiTheme="majorHAnsi"/>
          <w:sz w:val="20"/>
          <w:szCs w:val="20"/>
          <w:lang w:val="es-ES"/>
        </w:rPr>
        <w:t xml:space="preserve">recalca que los </w:t>
      </w:r>
      <w:r>
        <w:rPr>
          <w:rFonts w:asciiTheme="majorHAnsi" w:hAnsiTheme="majorHAnsi"/>
          <w:sz w:val="20"/>
          <w:szCs w:val="20"/>
          <w:lang w:val="es-ES"/>
        </w:rPr>
        <w:t>tribunales de jurisdicción interna</w:t>
      </w:r>
      <w:r w:rsidR="002A555A" w:rsidRPr="007A3389">
        <w:rPr>
          <w:rFonts w:asciiTheme="majorHAnsi" w:hAnsiTheme="majorHAnsi"/>
          <w:sz w:val="20"/>
          <w:szCs w:val="20"/>
          <w:lang w:val="es-ES"/>
        </w:rPr>
        <w:t xml:space="preserve"> </w:t>
      </w:r>
      <w:r w:rsidR="00A56817">
        <w:rPr>
          <w:rFonts w:asciiTheme="majorHAnsi" w:hAnsiTheme="majorHAnsi"/>
          <w:sz w:val="20"/>
          <w:szCs w:val="20"/>
          <w:lang w:val="es-ES"/>
        </w:rPr>
        <w:t>consideraron cuidadosamente este reclamo por lo menos en cinco ocasiones y todos llegaron a la conclusión de que no se habían violado los derechos de</w:t>
      </w:r>
      <w:r w:rsidR="00D87346" w:rsidRPr="007A3389">
        <w:rPr>
          <w:rFonts w:asciiTheme="majorHAnsi" w:hAnsiTheme="majorHAnsi"/>
          <w:sz w:val="20"/>
          <w:szCs w:val="20"/>
          <w:lang w:val="es-ES"/>
        </w:rPr>
        <w:t>l señor</w:t>
      </w:r>
      <w:r w:rsidR="002A555A" w:rsidRPr="007A3389">
        <w:rPr>
          <w:rFonts w:asciiTheme="majorHAnsi" w:hAnsiTheme="majorHAnsi"/>
          <w:sz w:val="20"/>
          <w:szCs w:val="20"/>
          <w:lang w:val="es-ES"/>
        </w:rPr>
        <w:t xml:space="preserve"> Loza</w:t>
      </w:r>
      <w:r w:rsidR="00A56817">
        <w:rPr>
          <w:rFonts w:asciiTheme="majorHAnsi" w:hAnsiTheme="majorHAnsi"/>
          <w:sz w:val="20"/>
          <w:szCs w:val="20"/>
          <w:lang w:val="es-ES"/>
        </w:rPr>
        <w:t xml:space="preserve"> al debido proceso.</w:t>
      </w:r>
    </w:p>
    <w:p w14:paraId="1F89E466" w14:textId="77777777" w:rsidR="002A555A" w:rsidRPr="007A3389" w:rsidRDefault="002A555A" w:rsidP="002A555A">
      <w:pPr>
        <w:pStyle w:val="ListParagraph"/>
        <w:rPr>
          <w:rFonts w:asciiTheme="majorHAnsi" w:hAnsiTheme="majorHAnsi"/>
          <w:sz w:val="20"/>
          <w:szCs w:val="20"/>
          <w:lang w:val="es-ES"/>
        </w:rPr>
      </w:pPr>
    </w:p>
    <w:p w14:paraId="080BF2C7" w14:textId="77777777" w:rsidR="00596EFF" w:rsidRPr="007A3389" w:rsidRDefault="00D87346" w:rsidP="00DB5B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7A3389">
        <w:rPr>
          <w:rFonts w:asciiTheme="majorHAnsi" w:hAnsiTheme="majorHAnsi"/>
          <w:sz w:val="20"/>
          <w:szCs w:val="20"/>
          <w:lang w:val="es-ES"/>
        </w:rPr>
        <w:t>El Estado</w:t>
      </w:r>
      <w:r w:rsidR="00297630" w:rsidRPr="007A3389">
        <w:rPr>
          <w:rFonts w:asciiTheme="majorHAnsi" w:hAnsiTheme="majorHAnsi"/>
          <w:sz w:val="20"/>
          <w:szCs w:val="20"/>
          <w:lang w:val="es-ES"/>
        </w:rPr>
        <w:t xml:space="preserve"> a</w:t>
      </w:r>
      <w:r w:rsidR="00DB5B34">
        <w:rPr>
          <w:rFonts w:asciiTheme="majorHAnsi" w:hAnsiTheme="majorHAnsi"/>
          <w:sz w:val="20"/>
          <w:szCs w:val="20"/>
          <w:lang w:val="es-ES"/>
        </w:rPr>
        <w:t xml:space="preserve">firma que la impugnación del protocolo de Ohio para las ejecuciones que se presenta en </w:t>
      </w:r>
      <w:r w:rsidR="00631955" w:rsidRPr="007A3389">
        <w:rPr>
          <w:rFonts w:asciiTheme="majorHAnsi" w:hAnsiTheme="majorHAnsi"/>
          <w:sz w:val="20"/>
          <w:szCs w:val="20"/>
          <w:lang w:val="es-ES"/>
        </w:rPr>
        <w:t xml:space="preserve">la </w:t>
      </w:r>
      <w:r w:rsidR="00DB5B34">
        <w:rPr>
          <w:rFonts w:asciiTheme="majorHAnsi" w:hAnsiTheme="majorHAnsi"/>
          <w:sz w:val="20"/>
          <w:szCs w:val="20"/>
          <w:lang w:val="es-ES"/>
        </w:rPr>
        <w:t xml:space="preserve">petición es improcedente y no expone hechos </w:t>
      </w:r>
      <w:r w:rsidR="00DB5B34" w:rsidRPr="00DB5B34">
        <w:rPr>
          <w:rFonts w:asciiTheme="majorHAnsi" w:hAnsiTheme="majorHAnsi"/>
          <w:sz w:val="20"/>
          <w:szCs w:val="20"/>
          <w:lang w:val="es-ES"/>
        </w:rPr>
        <w:t>que tiendan a caracterizar una violación de derechos amparados en la Declaración Americana</w:t>
      </w:r>
      <w:r w:rsidR="00297630" w:rsidRPr="007A3389">
        <w:rPr>
          <w:rFonts w:asciiTheme="majorHAnsi" w:hAnsiTheme="majorHAnsi"/>
          <w:sz w:val="20"/>
          <w:szCs w:val="20"/>
          <w:lang w:val="es-ES"/>
        </w:rPr>
        <w:t xml:space="preserve">. </w:t>
      </w:r>
      <w:r w:rsidR="00631955" w:rsidRPr="007A3389">
        <w:rPr>
          <w:rFonts w:asciiTheme="majorHAnsi" w:hAnsiTheme="majorHAnsi"/>
          <w:sz w:val="20"/>
          <w:szCs w:val="20"/>
          <w:lang w:val="es-ES"/>
        </w:rPr>
        <w:t>Estados Unidos</w:t>
      </w:r>
      <w:r w:rsidR="00860E35" w:rsidRPr="007A3389">
        <w:rPr>
          <w:rFonts w:asciiTheme="majorHAnsi" w:hAnsiTheme="majorHAnsi"/>
          <w:sz w:val="20"/>
          <w:szCs w:val="20"/>
          <w:lang w:val="es-ES"/>
        </w:rPr>
        <w:t xml:space="preserve"> </w:t>
      </w:r>
      <w:r w:rsidR="00DB5B34">
        <w:rPr>
          <w:rFonts w:asciiTheme="majorHAnsi" w:hAnsiTheme="majorHAnsi"/>
          <w:sz w:val="20"/>
          <w:szCs w:val="20"/>
          <w:lang w:val="es-ES"/>
        </w:rPr>
        <w:t xml:space="preserve">señala que </w:t>
      </w:r>
      <w:r w:rsidR="008A10AB" w:rsidRPr="007A3389">
        <w:rPr>
          <w:rFonts w:asciiTheme="majorHAnsi" w:hAnsiTheme="majorHAnsi"/>
          <w:sz w:val="20"/>
          <w:szCs w:val="20"/>
          <w:lang w:val="es-ES"/>
        </w:rPr>
        <w:t>la Comisión</w:t>
      </w:r>
      <w:r w:rsidR="00860E35" w:rsidRPr="007A3389">
        <w:rPr>
          <w:rFonts w:asciiTheme="majorHAnsi" w:hAnsiTheme="majorHAnsi"/>
          <w:sz w:val="20"/>
          <w:szCs w:val="20"/>
          <w:lang w:val="es-ES"/>
        </w:rPr>
        <w:t xml:space="preserve"> </w:t>
      </w:r>
      <w:r w:rsidR="00DB5B34">
        <w:rPr>
          <w:rFonts w:asciiTheme="majorHAnsi" w:hAnsiTheme="majorHAnsi"/>
          <w:sz w:val="20"/>
          <w:szCs w:val="20"/>
          <w:lang w:val="es-ES"/>
        </w:rPr>
        <w:t>debería dar a</w:t>
      </w:r>
      <w:r w:rsidRPr="007A3389">
        <w:rPr>
          <w:rFonts w:asciiTheme="majorHAnsi" w:hAnsiTheme="majorHAnsi"/>
          <w:sz w:val="20"/>
          <w:szCs w:val="20"/>
          <w:lang w:val="es-ES"/>
        </w:rPr>
        <w:t>l Estado</w:t>
      </w:r>
      <w:r w:rsidR="00860E35" w:rsidRPr="007A3389">
        <w:rPr>
          <w:rFonts w:asciiTheme="majorHAnsi" w:hAnsiTheme="majorHAnsi"/>
          <w:sz w:val="20"/>
          <w:szCs w:val="20"/>
          <w:lang w:val="es-ES"/>
        </w:rPr>
        <w:t xml:space="preserve"> </w:t>
      </w:r>
      <w:r w:rsidR="00DB5B34">
        <w:rPr>
          <w:rFonts w:asciiTheme="majorHAnsi" w:hAnsiTheme="majorHAnsi"/>
          <w:sz w:val="20"/>
          <w:szCs w:val="20"/>
          <w:lang w:val="es-ES"/>
        </w:rPr>
        <w:t xml:space="preserve">un margen de apreciación y aceptar la discreción de los agentes locales que tienen que tomar decisiones difíciles basándose en su propia evaluación de los hechos. Considera que las complicadas circunstancias </w:t>
      </w:r>
      <w:r w:rsidR="00860E35" w:rsidRPr="007A3389">
        <w:rPr>
          <w:rFonts w:asciiTheme="majorHAnsi" w:hAnsiTheme="majorHAnsi"/>
          <w:sz w:val="20"/>
          <w:szCs w:val="20"/>
          <w:lang w:val="es-ES"/>
        </w:rPr>
        <w:t>m</w:t>
      </w:r>
      <w:r w:rsidR="00DB5B34">
        <w:rPr>
          <w:rFonts w:asciiTheme="majorHAnsi" w:hAnsiTheme="majorHAnsi"/>
          <w:sz w:val="20"/>
          <w:szCs w:val="20"/>
          <w:lang w:val="es-ES"/>
        </w:rPr>
        <w:t xml:space="preserve">édicas y científicas en este asunto </w:t>
      </w:r>
      <w:r w:rsidR="004128E9">
        <w:rPr>
          <w:rFonts w:asciiTheme="majorHAnsi" w:hAnsiTheme="majorHAnsi"/>
          <w:sz w:val="20"/>
          <w:szCs w:val="20"/>
          <w:lang w:val="es-ES"/>
        </w:rPr>
        <w:t xml:space="preserve">favorecen firmemente la deferencia a la discreción de los responsables de las decisiones y que los órganos internacionales usan esta norma del </w:t>
      </w:r>
      <w:r w:rsidR="00860E35" w:rsidRPr="007A3389">
        <w:rPr>
          <w:rFonts w:asciiTheme="majorHAnsi" w:hAnsiTheme="majorHAnsi"/>
          <w:sz w:val="20"/>
          <w:szCs w:val="20"/>
          <w:lang w:val="es-ES"/>
        </w:rPr>
        <w:t>“</w:t>
      </w:r>
      <w:r w:rsidR="00DB5B34">
        <w:rPr>
          <w:rFonts w:asciiTheme="majorHAnsi" w:hAnsiTheme="majorHAnsi"/>
          <w:sz w:val="20"/>
          <w:szCs w:val="20"/>
          <w:lang w:val="es-ES"/>
        </w:rPr>
        <w:t>margen de apreciación</w:t>
      </w:r>
      <w:r w:rsidR="00860E35" w:rsidRPr="007A3389">
        <w:rPr>
          <w:rFonts w:asciiTheme="majorHAnsi" w:hAnsiTheme="majorHAnsi"/>
          <w:sz w:val="20"/>
          <w:szCs w:val="20"/>
          <w:lang w:val="es-ES"/>
        </w:rPr>
        <w:t xml:space="preserve">” </w:t>
      </w:r>
      <w:r w:rsidR="004128E9">
        <w:rPr>
          <w:rFonts w:asciiTheme="majorHAnsi" w:hAnsiTheme="majorHAnsi"/>
          <w:sz w:val="20"/>
          <w:szCs w:val="20"/>
          <w:lang w:val="es-ES"/>
        </w:rPr>
        <w:t>para respetar la soberanía de los Estados.</w:t>
      </w:r>
    </w:p>
    <w:p w14:paraId="4D6D67FA" w14:textId="77777777" w:rsidR="00596EFF" w:rsidRPr="007A3389" w:rsidRDefault="00596EFF" w:rsidP="00596EFF">
      <w:pPr>
        <w:pStyle w:val="ListParagraph"/>
        <w:rPr>
          <w:rFonts w:asciiTheme="majorHAnsi" w:hAnsiTheme="majorHAnsi"/>
          <w:sz w:val="20"/>
          <w:szCs w:val="20"/>
          <w:lang w:val="es-ES"/>
        </w:rPr>
      </w:pPr>
    </w:p>
    <w:p w14:paraId="793AB7AF" w14:textId="77777777" w:rsidR="00860E35" w:rsidRPr="004128E9" w:rsidRDefault="004128E9" w:rsidP="004128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 xml:space="preserve">Según </w:t>
      </w:r>
      <w:r w:rsidR="00631955" w:rsidRPr="007A3389">
        <w:rPr>
          <w:rFonts w:asciiTheme="majorHAnsi" w:hAnsiTheme="majorHAnsi"/>
          <w:sz w:val="20"/>
          <w:szCs w:val="20"/>
          <w:lang w:val="es-ES"/>
        </w:rPr>
        <w:t>Estados Unidos</w:t>
      </w:r>
      <w:r w:rsidR="00596EFF" w:rsidRPr="007A3389">
        <w:rPr>
          <w:rFonts w:asciiTheme="majorHAnsi" w:hAnsiTheme="majorHAnsi"/>
          <w:sz w:val="20"/>
          <w:szCs w:val="20"/>
          <w:lang w:val="es-ES"/>
        </w:rPr>
        <w:t>, Ohio ha</w:t>
      </w:r>
      <w:r>
        <w:rPr>
          <w:rFonts w:asciiTheme="majorHAnsi" w:hAnsiTheme="majorHAnsi"/>
          <w:sz w:val="20"/>
          <w:szCs w:val="20"/>
          <w:lang w:val="es-ES"/>
        </w:rPr>
        <w:t xml:space="preserve"> cumplido los requisitos constitucionales al procurar que la </w:t>
      </w:r>
      <w:r w:rsidR="003A46FC">
        <w:rPr>
          <w:rFonts w:asciiTheme="majorHAnsi" w:hAnsiTheme="majorHAnsi"/>
          <w:sz w:val="20"/>
          <w:szCs w:val="20"/>
          <w:lang w:val="es-ES"/>
        </w:rPr>
        <w:t>inyecci</w:t>
      </w:r>
      <w:r>
        <w:rPr>
          <w:rFonts w:asciiTheme="majorHAnsi" w:hAnsiTheme="majorHAnsi"/>
          <w:sz w:val="20"/>
          <w:szCs w:val="20"/>
          <w:lang w:val="es-ES"/>
        </w:rPr>
        <w:t xml:space="preserve">ón </w:t>
      </w:r>
      <w:r w:rsidR="003A46FC">
        <w:rPr>
          <w:rFonts w:asciiTheme="majorHAnsi" w:hAnsiTheme="majorHAnsi"/>
          <w:sz w:val="20"/>
          <w:szCs w:val="20"/>
          <w:lang w:val="es-ES"/>
        </w:rPr>
        <w:t>letal</w:t>
      </w:r>
      <w:r>
        <w:rPr>
          <w:rFonts w:asciiTheme="majorHAnsi" w:hAnsiTheme="majorHAnsi"/>
          <w:sz w:val="20"/>
          <w:szCs w:val="20"/>
          <w:lang w:val="es-ES"/>
        </w:rPr>
        <w:t xml:space="preserve"> sea lo más humanitaria posible. La </w:t>
      </w:r>
      <w:r w:rsidR="003A46FC" w:rsidRPr="004128E9">
        <w:rPr>
          <w:rFonts w:asciiTheme="majorHAnsi" w:hAnsiTheme="majorHAnsi"/>
          <w:sz w:val="20"/>
          <w:szCs w:val="20"/>
          <w:lang w:val="es-ES"/>
        </w:rPr>
        <w:t>inyección letal</w:t>
      </w:r>
      <w:r w:rsidR="00596EFF" w:rsidRPr="004128E9">
        <w:rPr>
          <w:rFonts w:asciiTheme="majorHAnsi" w:hAnsiTheme="majorHAnsi"/>
          <w:sz w:val="20"/>
          <w:szCs w:val="20"/>
          <w:lang w:val="es-ES"/>
        </w:rPr>
        <w:t xml:space="preserve"> ha</w:t>
      </w:r>
      <w:r>
        <w:rPr>
          <w:rFonts w:asciiTheme="majorHAnsi" w:hAnsiTheme="majorHAnsi"/>
          <w:sz w:val="20"/>
          <w:szCs w:val="20"/>
          <w:lang w:val="es-ES"/>
        </w:rPr>
        <w:t xml:space="preserve"> sido el único </w:t>
      </w:r>
      <w:r w:rsidR="000D3EE0" w:rsidRPr="004128E9">
        <w:rPr>
          <w:rFonts w:asciiTheme="majorHAnsi" w:hAnsiTheme="majorHAnsi"/>
          <w:sz w:val="20"/>
          <w:szCs w:val="20"/>
          <w:lang w:val="es-ES"/>
        </w:rPr>
        <w:t>método de ejecución</w:t>
      </w:r>
      <w:r w:rsidR="00596EFF" w:rsidRPr="004128E9">
        <w:rPr>
          <w:rFonts w:asciiTheme="majorHAnsi" w:hAnsiTheme="majorHAnsi"/>
          <w:sz w:val="20"/>
          <w:szCs w:val="20"/>
          <w:lang w:val="es-ES"/>
        </w:rPr>
        <w:t xml:space="preserve"> </w:t>
      </w:r>
      <w:r>
        <w:rPr>
          <w:rFonts w:asciiTheme="majorHAnsi" w:hAnsiTheme="majorHAnsi"/>
          <w:sz w:val="20"/>
          <w:szCs w:val="20"/>
          <w:lang w:val="es-ES"/>
        </w:rPr>
        <w:t xml:space="preserve">utilizado en el estado, y el artículo </w:t>
      </w:r>
      <w:r w:rsidR="00596EFF" w:rsidRPr="004128E9">
        <w:rPr>
          <w:rFonts w:asciiTheme="majorHAnsi" w:hAnsiTheme="majorHAnsi"/>
          <w:sz w:val="20"/>
          <w:szCs w:val="20"/>
          <w:lang w:val="es-ES"/>
        </w:rPr>
        <w:t>2949.22</w:t>
      </w:r>
      <w:r>
        <w:rPr>
          <w:rFonts w:asciiTheme="majorHAnsi" w:hAnsiTheme="majorHAnsi"/>
          <w:sz w:val="20"/>
          <w:szCs w:val="20"/>
          <w:lang w:val="es-ES"/>
        </w:rPr>
        <w:t xml:space="preserve"> del Código Revisado de Ohio</w:t>
      </w:r>
      <w:r w:rsidR="00596EFF" w:rsidRPr="004128E9">
        <w:rPr>
          <w:rFonts w:asciiTheme="majorHAnsi" w:hAnsiTheme="majorHAnsi"/>
          <w:sz w:val="20"/>
          <w:szCs w:val="20"/>
          <w:lang w:val="es-ES"/>
        </w:rPr>
        <w:t xml:space="preserve"> </w:t>
      </w:r>
      <w:r>
        <w:rPr>
          <w:rFonts w:asciiTheme="majorHAnsi" w:hAnsiTheme="majorHAnsi"/>
          <w:sz w:val="20"/>
          <w:szCs w:val="20"/>
          <w:lang w:val="es-ES"/>
        </w:rPr>
        <w:t xml:space="preserve">no permite el uso de otro </w:t>
      </w:r>
      <w:r w:rsidR="000D3EE0" w:rsidRPr="004128E9">
        <w:rPr>
          <w:rFonts w:asciiTheme="majorHAnsi" w:hAnsiTheme="majorHAnsi"/>
          <w:sz w:val="20"/>
          <w:szCs w:val="20"/>
          <w:lang w:val="es-ES"/>
        </w:rPr>
        <w:t xml:space="preserve">método </w:t>
      </w:r>
      <w:r>
        <w:rPr>
          <w:rFonts w:asciiTheme="majorHAnsi" w:hAnsiTheme="majorHAnsi"/>
          <w:sz w:val="20"/>
          <w:szCs w:val="20"/>
          <w:lang w:val="es-ES"/>
        </w:rPr>
        <w:t xml:space="preserve">salvo que </w:t>
      </w:r>
      <w:r w:rsidR="00596EFF" w:rsidRPr="004128E9">
        <w:rPr>
          <w:rFonts w:asciiTheme="majorHAnsi" w:hAnsiTheme="majorHAnsi"/>
          <w:sz w:val="20"/>
          <w:szCs w:val="20"/>
          <w:lang w:val="es-ES"/>
        </w:rPr>
        <w:t xml:space="preserve">a) </w:t>
      </w:r>
      <w:r>
        <w:rPr>
          <w:rFonts w:asciiTheme="majorHAnsi" w:hAnsiTheme="majorHAnsi"/>
          <w:sz w:val="20"/>
          <w:szCs w:val="20"/>
          <w:lang w:val="es-ES"/>
        </w:rPr>
        <w:t xml:space="preserve">se determine que la </w:t>
      </w:r>
      <w:r w:rsidR="003A46FC" w:rsidRPr="004128E9">
        <w:rPr>
          <w:rFonts w:asciiTheme="majorHAnsi" w:hAnsiTheme="majorHAnsi"/>
          <w:sz w:val="20"/>
          <w:szCs w:val="20"/>
          <w:lang w:val="es-ES"/>
        </w:rPr>
        <w:t>inyección letal</w:t>
      </w:r>
      <w:r w:rsidR="00596EFF" w:rsidRPr="004128E9">
        <w:rPr>
          <w:rFonts w:asciiTheme="majorHAnsi" w:hAnsiTheme="majorHAnsi"/>
          <w:sz w:val="20"/>
          <w:szCs w:val="20"/>
          <w:lang w:val="es-ES"/>
        </w:rPr>
        <w:t xml:space="preserve"> </w:t>
      </w:r>
      <w:r>
        <w:rPr>
          <w:rFonts w:asciiTheme="majorHAnsi" w:hAnsiTheme="majorHAnsi"/>
          <w:sz w:val="20"/>
          <w:szCs w:val="20"/>
          <w:lang w:val="es-ES"/>
        </w:rPr>
        <w:t xml:space="preserve">es inconstitucional y </w:t>
      </w:r>
      <w:r w:rsidR="00596EFF" w:rsidRPr="004128E9">
        <w:rPr>
          <w:rFonts w:asciiTheme="majorHAnsi" w:hAnsiTheme="majorHAnsi"/>
          <w:sz w:val="20"/>
          <w:szCs w:val="20"/>
          <w:lang w:val="es-ES"/>
        </w:rPr>
        <w:t xml:space="preserve">b) </w:t>
      </w:r>
      <w:r>
        <w:rPr>
          <w:rFonts w:asciiTheme="majorHAnsi" w:hAnsiTheme="majorHAnsi"/>
          <w:sz w:val="20"/>
          <w:szCs w:val="20"/>
          <w:lang w:val="es-ES"/>
        </w:rPr>
        <w:t>el otro método sea constitucional</w:t>
      </w:r>
      <w:r w:rsidR="00596EFF" w:rsidRPr="004128E9">
        <w:rPr>
          <w:rFonts w:asciiTheme="majorHAnsi" w:hAnsiTheme="majorHAnsi"/>
          <w:sz w:val="20"/>
          <w:szCs w:val="20"/>
          <w:lang w:val="es-ES"/>
        </w:rPr>
        <w:t xml:space="preserve"> </w:t>
      </w:r>
      <w:r>
        <w:rPr>
          <w:rFonts w:asciiTheme="majorHAnsi" w:hAnsiTheme="majorHAnsi"/>
          <w:sz w:val="20"/>
          <w:szCs w:val="20"/>
          <w:lang w:val="es-ES"/>
        </w:rPr>
        <w:t xml:space="preserve">y sea posteriormente prescrito por ley. El Estado indica que en </w:t>
      </w:r>
      <w:r w:rsidR="00631955" w:rsidRPr="004128E9">
        <w:rPr>
          <w:rFonts w:asciiTheme="majorHAnsi" w:hAnsiTheme="majorHAnsi"/>
          <w:sz w:val="20"/>
          <w:szCs w:val="20"/>
          <w:lang w:val="es-ES"/>
        </w:rPr>
        <w:t>la petición</w:t>
      </w:r>
      <w:r w:rsidR="00596EFF" w:rsidRPr="004128E9">
        <w:rPr>
          <w:rFonts w:asciiTheme="majorHAnsi" w:hAnsiTheme="majorHAnsi"/>
          <w:sz w:val="20"/>
          <w:szCs w:val="20"/>
          <w:lang w:val="es-ES"/>
        </w:rPr>
        <w:t xml:space="preserve"> </w:t>
      </w:r>
      <w:r>
        <w:rPr>
          <w:rFonts w:asciiTheme="majorHAnsi" w:hAnsiTheme="majorHAnsi"/>
          <w:sz w:val="20"/>
          <w:szCs w:val="20"/>
          <w:lang w:val="es-ES"/>
        </w:rPr>
        <w:t>no se exponen hechos que fundamenten el reclamo, sino que se alega que otros estados i</w:t>
      </w:r>
      <w:r w:rsidR="00596EFF" w:rsidRPr="004128E9">
        <w:rPr>
          <w:rFonts w:asciiTheme="majorHAnsi" w:hAnsiTheme="majorHAnsi"/>
          <w:sz w:val="20"/>
          <w:szCs w:val="20"/>
          <w:lang w:val="es-ES"/>
        </w:rPr>
        <w:t>mport</w:t>
      </w:r>
      <w:r>
        <w:rPr>
          <w:rFonts w:asciiTheme="majorHAnsi" w:hAnsiTheme="majorHAnsi"/>
          <w:sz w:val="20"/>
          <w:szCs w:val="20"/>
          <w:lang w:val="es-ES"/>
        </w:rPr>
        <w:t xml:space="preserve">an fármacos y los combinan. Señala que esta conclusión fue </w:t>
      </w:r>
      <w:r w:rsidR="00470EE9">
        <w:rPr>
          <w:rFonts w:asciiTheme="majorHAnsi" w:hAnsiTheme="majorHAnsi"/>
          <w:sz w:val="20"/>
          <w:szCs w:val="20"/>
          <w:lang w:val="es-ES"/>
        </w:rPr>
        <w:t>ratificada</w:t>
      </w:r>
      <w:r>
        <w:rPr>
          <w:rFonts w:asciiTheme="majorHAnsi" w:hAnsiTheme="majorHAnsi"/>
          <w:sz w:val="20"/>
          <w:szCs w:val="20"/>
          <w:lang w:val="es-ES"/>
        </w:rPr>
        <w:t xml:space="preserve"> por el Tribunal Federal de Apelaciones para el Sexto Circuito en </w:t>
      </w:r>
      <w:r w:rsidR="00596EFF" w:rsidRPr="004128E9">
        <w:rPr>
          <w:rFonts w:asciiTheme="majorHAnsi" w:hAnsiTheme="majorHAnsi"/>
          <w:sz w:val="20"/>
          <w:szCs w:val="20"/>
          <w:lang w:val="es-ES"/>
        </w:rPr>
        <w:t>2017</w:t>
      </w:r>
      <w:r w:rsidR="00D13E1B">
        <w:rPr>
          <w:rFonts w:asciiTheme="majorHAnsi" w:hAnsiTheme="majorHAnsi"/>
          <w:sz w:val="20"/>
          <w:szCs w:val="20"/>
          <w:lang w:val="es-ES"/>
        </w:rPr>
        <w:t xml:space="preserve"> cuando determinó que el procedimiento para la </w:t>
      </w:r>
      <w:r w:rsidR="003A46FC" w:rsidRPr="004128E9">
        <w:rPr>
          <w:rFonts w:asciiTheme="majorHAnsi" w:hAnsiTheme="majorHAnsi"/>
          <w:sz w:val="20"/>
          <w:szCs w:val="20"/>
          <w:lang w:val="es-ES"/>
        </w:rPr>
        <w:t>inyección letal</w:t>
      </w:r>
      <w:r w:rsidR="00596EFF" w:rsidRPr="004128E9">
        <w:rPr>
          <w:rFonts w:asciiTheme="majorHAnsi" w:hAnsiTheme="majorHAnsi"/>
          <w:sz w:val="20"/>
          <w:szCs w:val="20"/>
          <w:lang w:val="es-ES"/>
        </w:rPr>
        <w:t xml:space="preserve"> </w:t>
      </w:r>
      <w:r w:rsidR="00D13E1B">
        <w:rPr>
          <w:rFonts w:asciiTheme="majorHAnsi" w:hAnsiTheme="majorHAnsi"/>
          <w:sz w:val="20"/>
          <w:szCs w:val="20"/>
          <w:lang w:val="es-ES"/>
        </w:rPr>
        <w:t>que se utiliza en Ohio es el que la Corte Suprema de Estados Unidos ya había confirmado</w:t>
      </w:r>
      <w:r w:rsidR="00596EFF" w:rsidRPr="004128E9">
        <w:rPr>
          <w:rFonts w:asciiTheme="majorHAnsi" w:hAnsiTheme="majorHAnsi"/>
          <w:sz w:val="20"/>
          <w:szCs w:val="20"/>
          <w:lang w:val="es-ES"/>
        </w:rPr>
        <w:t xml:space="preserve">. </w:t>
      </w:r>
    </w:p>
    <w:p w14:paraId="5CA5BAEB" w14:textId="77777777" w:rsidR="00860E35" w:rsidRPr="007A3389" w:rsidRDefault="00860E35" w:rsidP="00860E35">
      <w:pPr>
        <w:pStyle w:val="ListParagraph"/>
        <w:rPr>
          <w:rFonts w:asciiTheme="majorHAnsi" w:hAnsiTheme="majorHAnsi"/>
          <w:sz w:val="20"/>
          <w:szCs w:val="20"/>
          <w:lang w:val="es-ES"/>
        </w:rPr>
      </w:pPr>
    </w:p>
    <w:p w14:paraId="5D00BD6F" w14:textId="77777777" w:rsidR="006360C4" w:rsidRPr="007A3389" w:rsidRDefault="00D13E1B" w:rsidP="006360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Por último</w:t>
      </w:r>
      <w:r w:rsidR="00C44A35" w:rsidRPr="007A3389">
        <w:rPr>
          <w:rFonts w:asciiTheme="majorHAnsi" w:hAnsiTheme="majorHAnsi"/>
          <w:sz w:val="20"/>
          <w:szCs w:val="20"/>
          <w:lang w:val="es-ES"/>
        </w:rPr>
        <w:t xml:space="preserve">, </w:t>
      </w:r>
      <w:r w:rsidR="00631955" w:rsidRPr="007A3389">
        <w:rPr>
          <w:rFonts w:asciiTheme="majorHAnsi" w:hAnsiTheme="majorHAnsi"/>
          <w:sz w:val="20"/>
          <w:szCs w:val="20"/>
          <w:lang w:val="es-ES"/>
        </w:rPr>
        <w:t>Estados Unidos</w:t>
      </w:r>
      <w:r w:rsidR="00A062DD" w:rsidRPr="007A3389">
        <w:rPr>
          <w:rFonts w:asciiTheme="majorHAnsi" w:hAnsiTheme="majorHAnsi"/>
          <w:sz w:val="20"/>
          <w:szCs w:val="20"/>
          <w:lang w:val="es-ES"/>
        </w:rPr>
        <w:t xml:space="preserve"> consider</w:t>
      </w:r>
      <w:r>
        <w:rPr>
          <w:rFonts w:asciiTheme="majorHAnsi" w:hAnsiTheme="majorHAnsi"/>
          <w:sz w:val="20"/>
          <w:szCs w:val="20"/>
          <w:lang w:val="es-ES"/>
        </w:rPr>
        <w:t xml:space="preserve">a que, de acuerdo con </w:t>
      </w:r>
      <w:r w:rsidRPr="00D13E1B">
        <w:rPr>
          <w:rFonts w:asciiTheme="majorHAnsi" w:hAnsiTheme="majorHAnsi"/>
          <w:sz w:val="20"/>
          <w:szCs w:val="20"/>
          <w:lang w:val="es-ES"/>
        </w:rPr>
        <w:t>el derecho internacional</w:t>
      </w:r>
      <w:r>
        <w:rPr>
          <w:rFonts w:asciiTheme="majorHAnsi" w:hAnsiTheme="majorHAnsi"/>
          <w:sz w:val="20"/>
          <w:szCs w:val="20"/>
          <w:lang w:val="es-ES"/>
        </w:rPr>
        <w:t xml:space="preserve">, no está obligado a cumplir las </w:t>
      </w:r>
      <w:r w:rsidR="008A10AB" w:rsidRPr="007A3389">
        <w:rPr>
          <w:rFonts w:asciiTheme="majorHAnsi" w:hAnsiTheme="majorHAnsi"/>
          <w:sz w:val="20"/>
          <w:szCs w:val="20"/>
          <w:lang w:val="es-ES"/>
        </w:rPr>
        <w:t>medidas cautelares</w:t>
      </w:r>
      <w:r w:rsidR="00A062DD" w:rsidRPr="007A3389">
        <w:rPr>
          <w:rFonts w:asciiTheme="majorHAnsi" w:hAnsiTheme="majorHAnsi"/>
          <w:sz w:val="20"/>
          <w:szCs w:val="20"/>
          <w:lang w:val="es-ES"/>
        </w:rPr>
        <w:t xml:space="preserve"> </w:t>
      </w:r>
      <w:r>
        <w:rPr>
          <w:rFonts w:asciiTheme="majorHAnsi" w:hAnsiTheme="majorHAnsi"/>
          <w:sz w:val="20"/>
          <w:szCs w:val="20"/>
          <w:lang w:val="es-ES"/>
        </w:rPr>
        <w:t>solicitadas por</w:t>
      </w:r>
      <w:r w:rsidR="004418C0">
        <w:rPr>
          <w:rFonts w:asciiTheme="majorHAnsi" w:hAnsiTheme="majorHAnsi"/>
          <w:sz w:val="20"/>
          <w:szCs w:val="20"/>
          <w:lang w:val="es-ES"/>
        </w:rPr>
        <w:t>que</w:t>
      </w:r>
      <w:r>
        <w:rPr>
          <w:rFonts w:asciiTheme="majorHAnsi" w:hAnsiTheme="majorHAnsi"/>
          <w:sz w:val="20"/>
          <w:szCs w:val="20"/>
          <w:lang w:val="es-ES"/>
        </w:rPr>
        <w:t xml:space="preserve"> </w:t>
      </w:r>
      <w:r w:rsidRPr="00D13E1B">
        <w:rPr>
          <w:rFonts w:asciiTheme="majorHAnsi" w:hAnsiTheme="majorHAnsi"/>
          <w:sz w:val="20"/>
          <w:szCs w:val="20"/>
          <w:lang w:val="es-ES"/>
        </w:rPr>
        <w:t>la Comisión</w:t>
      </w:r>
      <w:r>
        <w:rPr>
          <w:rFonts w:asciiTheme="majorHAnsi" w:hAnsiTheme="majorHAnsi"/>
          <w:sz w:val="20"/>
          <w:szCs w:val="20"/>
          <w:lang w:val="es-ES"/>
        </w:rPr>
        <w:t xml:space="preserve"> no está facultada para requerir que </w:t>
      </w:r>
      <w:r w:rsidR="00631955" w:rsidRPr="007A3389">
        <w:rPr>
          <w:rFonts w:asciiTheme="majorHAnsi" w:hAnsiTheme="majorHAnsi"/>
          <w:sz w:val="20"/>
          <w:szCs w:val="20"/>
          <w:lang w:val="es-ES"/>
        </w:rPr>
        <w:t>Estados Unidos</w:t>
      </w:r>
      <w:r w:rsidR="00A062DD" w:rsidRPr="007A3389">
        <w:rPr>
          <w:rFonts w:asciiTheme="majorHAnsi" w:hAnsiTheme="majorHAnsi"/>
          <w:sz w:val="20"/>
          <w:szCs w:val="20"/>
          <w:lang w:val="es-ES"/>
        </w:rPr>
        <w:t xml:space="preserve"> adopt</w:t>
      </w:r>
      <w:r>
        <w:rPr>
          <w:rFonts w:asciiTheme="majorHAnsi" w:hAnsiTheme="majorHAnsi"/>
          <w:sz w:val="20"/>
          <w:szCs w:val="20"/>
          <w:lang w:val="es-ES"/>
        </w:rPr>
        <w:t>e medidas de ese tipo.</w:t>
      </w:r>
    </w:p>
    <w:p w14:paraId="00703307" w14:textId="77777777" w:rsidR="00DD7F29" w:rsidRPr="007A3389" w:rsidRDefault="00DD7F29" w:rsidP="00DD7F2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6B625601" w14:textId="77777777" w:rsidR="009F382B" w:rsidRPr="007A3389" w:rsidRDefault="00D87346" w:rsidP="00AA7A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7A3389">
        <w:rPr>
          <w:rFonts w:asciiTheme="majorHAnsi" w:hAnsiTheme="majorHAnsi"/>
          <w:sz w:val="20"/>
          <w:szCs w:val="20"/>
          <w:lang w:val="es-ES"/>
        </w:rPr>
        <w:t>El Estado</w:t>
      </w:r>
      <w:r w:rsidR="00DD7F29" w:rsidRPr="007A3389">
        <w:rPr>
          <w:rFonts w:asciiTheme="majorHAnsi" w:hAnsiTheme="majorHAnsi"/>
          <w:sz w:val="20"/>
          <w:szCs w:val="20"/>
          <w:lang w:val="es-ES"/>
        </w:rPr>
        <w:t xml:space="preserve"> conclu</w:t>
      </w:r>
      <w:r w:rsidR="00D13E1B">
        <w:rPr>
          <w:rFonts w:asciiTheme="majorHAnsi" w:hAnsiTheme="majorHAnsi"/>
          <w:sz w:val="20"/>
          <w:szCs w:val="20"/>
          <w:lang w:val="es-ES"/>
        </w:rPr>
        <w:t xml:space="preserve">ye que </w:t>
      </w:r>
      <w:r w:rsidR="00631955" w:rsidRPr="007A3389">
        <w:rPr>
          <w:rFonts w:asciiTheme="majorHAnsi" w:hAnsiTheme="majorHAnsi"/>
          <w:sz w:val="20"/>
          <w:szCs w:val="20"/>
          <w:lang w:val="es-ES"/>
        </w:rPr>
        <w:t>la petición</w:t>
      </w:r>
      <w:r w:rsidR="00D13E1B">
        <w:rPr>
          <w:rFonts w:asciiTheme="majorHAnsi" w:hAnsiTheme="majorHAnsi"/>
          <w:sz w:val="20"/>
          <w:szCs w:val="20"/>
          <w:lang w:val="es-ES"/>
        </w:rPr>
        <w:t xml:space="preserve">, de admitirse, es completamente improcedente porque no demuestra el incumplimiento por Estados Unidos de ninguno de los compromisos asumidos en virtud de </w:t>
      </w:r>
      <w:r w:rsidR="00631955" w:rsidRPr="007A3389">
        <w:rPr>
          <w:rFonts w:asciiTheme="majorHAnsi" w:hAnsiTheme="majorHAnsi"/>
          <w:sz w:val="20"/>
          <w:szCs w:val="20"/>
          <w:lang w:val="es-ES"/>
        </w:rPr>
        <w:t>la Declaración Americana</w:t>
      </w:r>
      <w:r w:rsidR="00DD7F29" w:rsidRPr="007A3389">
        <w:rPr>
          <w:rFonts w:asciiTheme="majorHAnsi" w:hAnsiTheme="majorHAnsi"/>
          <w:sz w:val="20"/>
          <w:szCs w:val="20"/>
          <w:lang w:val="es-ES"/>
        </w:rPr>
        <w:t xml:space="preserve">. </w:t>
      </w:r>
      <w:r w:rsidRPr="007A3389">
        <w:rPr>
          <w:rFonts w:asciiTheme="majorHAnsi" w:hAnsiTheme="majorHAnsi"/>
          <w:sz w:val="20"/>
          <w:szCs w:val="20"/>
          <w:lang w:val="es-ES"/>
        </w:rPr>
        <w:t>El Estado</w:t>
      </w:r>
      <w:r w:rsidR="00DD7F29" w:rsidRPr="007A3389">
        <w:rPr>
          <w:rFonts w:asciiTheme="majorHAnsi" w:hAnsiTheme="majorHAnsi"/>
          <w:sz w:val="20"/>
          <w:szCs w:val="20"/>
          <w:lang w:val="es-ES"/>
        </w:rPr>
        <w:t xml:space="preserve"> af</w:t>
      </w:r>
      <w:r w:rsidR="00D13E1B">
        <w:rPr>
          <w:rFonts w:asciiTheme="majorHAnsi" w:hAnsiTheme="majorHAnsi"/>
          <w:sz w:val="20"/>
          <w:szCs w:val="20"/>
          <w:lang w:val="es-ES"/>
        </w:rPr>
        <w:t xml:space="preserve">irma que </w:t>
      </w:r>
      <w:r w:rsidR="00631955" w:rsidRPr="007A3389">
        <w:rPr>
          <w:rFonts w:asciiTheme="majorHAnsi" w:hAnsiTheme="majorHAnsi"/>
          <w:sz w:val="20"/>
          <w:szCs w:val="20"/>
          <w:lang w:val="es-ES"/>
        </w:rPr>
        <w:t>la Declaración</w:t>
      </w:r>
      <w:r w:rsidR="00DD7F29" w:rsidRPr="007A3389">
        <w:rPr>
          <w:rFonts w:asciiTheme="majorHAnsi" w:hAnsiTheme="majorHAnsi"/>
          <w:sz w:val="20"/>
          <w:szCs w:val="20"/>
          <w:lang w:val="es-ES"/>
        </w:rPr>
        <w:t xml:space="preserve"> </w:t>
      </w:r>
      <w:r w:rsidR="00D13E1B">
        <w:rPr>
          <w:rFonts w:asciiTheme="majorHAnsi" w:hAnsiTheme="majorHAnsi"/>
          <w:sz w:val="20"/>
          <w:szCs w:val="20"/>
          <w:lang w:val="es-ES"/>
        </w:rPr>
        <w:t xml:space="preserve">es un </w:t>
      </w:r>
      <w:r w:rsidR="00DD7F29" w:rsidRPr="007A3389">
        <w:rPr>
          <w:rFonts w:asciiTheme="majorHAnsi" w:hAnsiTheme="majorHAnsi"/>
          <w:sz w:val="20"/>
          <w:szCs w:val="20"/>
          <w:lang w:val="es-ES"/>
        </w:rPr>
        <w:t>instrument</w:t>
      </w:r>
      <w:r w:rsidR="00D13E1B">
        <w:rPr>
          <w:rFonts w:asciiTheme="majorHAnsi" w:hAnsiTheme="majorHAnsi"/>
          <w:sz w:val="20"/>
          <w:szCs w:val="20"/>
          <w:lang w:val="es-ES"/>
        </w:rPr>
        <w:t xml:space="preserve">o no vinculante que no crea derechos jurídicos ni impone obligaciones legales a los Estados Miembros de la Organización de los Estados Americanos (OEA) y que </w:t>
      </w:r>
      <w:r w:rsidR="008A10AB" w:rsidRPr="007A3389">
        <w:rPr>
          <w:rFonts w:asciiTheme="majorHAnsi" w:hAnsiTheme="majorHAnsi"/>
          <w:sz w:val="20"/>
          <w:szCs w:val="20"/>
          <w:lang w:val="es-ES"/>
        </w:rPr>
        <w:t>la Comisión</w:t>
      </w:r>
      <w:r w:rsidR="00DD7F29" w:rsidRPr="007A3389">
        <w:rPr>
          <w:rFonts w:asciiTheme="majorHAnsi" w:hAnsiTheme="majorHAnsi"/>
          <w:sz w:val="20"/>
          <w:szCs w:val="20"/>
          <w:lang w:val="es-ES"/>
        </w:rPr>
        <w:t xml:space="preserve"> </w:t>
      </w:r>
      <w:r w:rsidR="00D13E1B">
        <w:rPr>
          <w:rFonts w:asciiTheme="majorHAnsi" w:hAnsiTheme="majorHAnsi"/>
          <w:sz w:val="20"/>
          <w:szCs w:val="20"/>
          <w:lang w:val="es-ES"/>
        </w:rPr>
        <w:t>puede formular recomendaciones, pero no órdenes vinculantes</w:t>
      </w:r>
      <w:r w:rsidR="00DD7F29" w:rsidRPr="007A3389">
        <w:rPr>
          <w:rFonts w:asciiTheme="majorHAnsi" w:hAnsiTheme="majorHAnsi"/>
          <w:sz w:val="20"/>
          <w:szCs w:val="20"/>
          <w:lang w:val="es-ES"/>
        </w:rPr>
        <w:t xml:space="preserve">. </w:t>
      </w:r>
      <w:r w:rsidR="00D13E1B">
        <w:rPr>
          <w:rFonts w:asciiTheme="majorHAnsi" w:hAnsiTheme="majorHAnsi"/>
          <w:sz w:val="20"/>
          <w:szCs w:val="20"/>
          <w:lang w:val="es-ES"/>
        </w:rPr>
        <w:t xml:space="preserve">Asimismo, señala que la fórmula de cuarta instancia de la Comisión precluye el examen de los argumentos presentados en </w:t>
      </w:r>
      <w:r w:rsidR="00631955" w:rsidRPr="007A3389">
        <w:rPr>
          <w:rFonts w:asciiTheme="majorHAnsi" w:hAnsiTheme="majorHAnsi"/>
          <w:sz w:val="20"/>
          <w:szCs w:val="20"/>
          <w:lang w:val="es-ES"/>
        </w:rPr>
        <w:t>la petición</w:t>
      </w:r>
      <w:r w:rsidR="00E272A4" w:rsidRPr="007A3389">
        <w:rPr>
          <w:rFonts w:asciiTheme="majorHAnsi" w:hAnsiTheme="majorHAnsi"/>
          <w:sz w:val="20"/>
          <w:szCs w:val="20"/>
          <w:lang w:val="es-ES"/>
        </w:rPr>
        <w:t xml:space="preserve"> </w:t>
      </w:r>
      <w:r w:rsidR="00D13E1B">
        <w:rPr>
          <w:rFonts w:asciiTheme="majorHAnsi" w:hAnsiTheme="majorHAnsi"/>
          <w:sz w:val="20"/>
          <w:szCs w:val="20"/>
          <w:lang w:val="es-ES"/>
        </w:rPr>
        <w:t xml:space="preserve">y, por consiguiente, </w:t>
      </w:r>
      <w:r w:rsidR="008A10AB" w:rsidRPr="007A3389">
        <w:rPr>
          <w:rFonts w:asciiTheme="majorHAnsi" w:hAnsiTheme="majorHAnsi"/>
          <w:sz w:val="20"/>
          <w:szCs w:val="20"/>
          <w:lang w:val="es-ES"/>
        </w:rPr>
        <w:t>la Comisión</w:t>
      </w:r>
      <w:r w:rsidR="00E272A4" w:rsidRPr="007A3389">
        <w:rPr>
          <w:rFonts w:asciiTheme="majorHAnsi" w:hAnsiTheme="majorHAnsi"/>
          <w:sz w:val="20"/>
          <w:szCs w:val="20"/>
          <w:lang w:val="es-ES"/>
        </w:rPr>
        <w:t xml:space="preserve"> </w:t>
      </w:r>
      <w:r w:rsidR="00D13E1B">
        <w:rPr>
          <w:rFonts w:asciiTheme="majorHAnsi" w:hAnsiTheme="majorHAnsi"/>
          <w:sz w:val="20"/>
          <w:szCs w:val="20"/>
          <w:lang w:val="es-ES"/>
        </w:rPr>
        <w:t>no tiene competencia para realizar un examen de ese tipo</w:t>
      </w:r>
      <w:r w:rsidR="00E272A4" w:rsidRPr="007A3389">
        <w:rPr>
          <w:rFonts w:asciiTheme="majorHAnsi" w:hAnsiTheme="majorHAnsi"/>
          <w:sz w:val="20"/>
          <w:szCs w:val="20"/>
          <w:lang w:val="es-ES"/>
        </w:rPr>
        <w:t xml:space="preserve">, </w:t>
      </w:r>
      <w:r w:rsidR="00D13E1B">
        <w:rPr>
          <w:rFonts w:asciiTheme="majorHAnsi" w:hAnsiTheme="majorHAnsi"/>
          <w:sz w:val="20"/>
          <w:szCs w:val="20"/>
          <w:lang w:val="es-ES"/>
        </w:rPr>
        <w:t xml:space="preserve">que consistiría en un mero desacuerdo con determinaciones </w:t>
      </w:r>
      <w:r w:rsidR="00060350">
        <w:rPr>
          <w:rFonts w:asciiTheme="majorHAnsi" w:hAnsiTheme="majorHAnsi"/>
          <w:sz w:val="20"/>
          <w:szCs w:val="20"/>
          <w:lang w:val="es-ES"/>
        </w:rPr>
        <w:t>ponderadas de tribunales estatales y federales de</w:t>
      </w:r>
      <w:r w:rsidR="00E272A4" w:rsidRPr="007A3389">
        <w:rPr>
          <w:rFonts w:asciiTheme="majorHAnsi" w:hAnsiTheme="majorHAnsi"/>
          <w:sz w:val="20"/>
          <w:szCs w:val="20"/>
          <w:lang w:val="es-ES"/>
        </w:rPr>
        <w:t xml:space="preserve"> </w:t>
      </w:r>
      <w:r w:rsidR="00631955" w:rsidRPr="007A3389">
        <w:rPr>
          <w:rFonts w:asciiTheme="majorHAnsi" w:hAnsiTheme="majorHAnsi"/>
          <w:sz w:val="20"/>
          <w:szCs w:val="20"/>
          <w:lang w:val="es-ES"/>
        </w:rPr>
        <w:t>Estados Unidos</w:t>
      </w:r>
      <w:r w:rsidR="00060350">
        <w:rPr>
          <w:rFonts w:asciiTheme="majorHAnsi" w:hAnsiTheme="majorHAnsi"/>
          <w:sz w:val="20"/>
          <w:szCs w:val="20"/>
          <w:lang w:val="es-ES"/>
        </w:rPr>
        <w:t xml:space="preserve">, emitidas en plena conformidad con los compromisos asumidos por Estados Unidos de conformidad con </w:t>
      </w:r>
      <w:r w:rsidR="00631955" w:rsidRPr="007A3389">
        <w:rPr>
          <w:rFonts w:asciiTheme="majorHAnsi" w:hAnsiTheme="majorHAnsi"/>
          <w:sz w:val="20"/>
          <w:szCs w:val="20"/>
          <w:lang w:val="es-ES"/>
        </w:rPr>
        <w:t>la Declaración</w:t>
      </w:r>
      <w:r w:rsidR="00E272A4" w:rsidRPr="007A3389">
        <w:rPr>
          <w:rFonts w:asciiTheme="majorHAnsi" w:hAnsiTheme="majorHAnsi"/>
          <w:sz w:val="20"/>
          <w:szCs w:val="20"/>
          <w:lang w:val="es-ES"/>
        </w:rPr>
        <w:t>.</w:t>
      </w:r>
      <w:r w:rsidR="00122709" w:rsidRPr="007A3389">
        <w:rPr>
          <w:rFonts w:asciiTheme="majorHAnsi" w:hAnsiTheme="majorHAnsi"/>
          <w:sz w:val="20"/>
          <w:szCs w:val="20"/>
          <w:lang w:val="es-ES"/>
        </w:rPr>
        <w:t xml:space="preserve"> </w:t>
      </w:r>
    </w:p>
    <w:p w14:paraId="368A42A0" w14:textId="77777777" w:rsidR="005A0B5A" w:rsidRPr="007A3389" w:rsidRDefault="005A0B5A" w:rsidP="00E961D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12AC678" w14:textId="77777777" w:rsidR="00A473E3" w:rsidRPr="007A3389" w:rsidRDefault="000D3EE0" w:rsidP="006A4287">
      <w:pPr>
        <w:pStyle w:val="Heading1"/>
        <w:tabs>
          <w:tab w:val="left" w:pos="360"/>
        </w:tabs>
        <w:spacing w:before="0"/>
        <w:ind w:hanging="720"/>
        <w:rPr>
          <w:color w:val="auto"/>
          <w:sz w:val="20"/>
          <w:szCs w:val="20"/>
          <w:lang w:val="es-ES"/>
        </w:rPr>
      </w:pPr>
      <w:bookmarkStart w:id="4" w:name="_Toc90298914"/>
      <w:r w:rsidRPr="007A3389">
        <w:rPr>
          <w:color w:val="auto"/>
          <w:sz w:val="20"/>
          <w:szCs w:val="20"/>
          <w:lang w:val="es-ES"/>
        </w:rPr>
        <w:lastRenderedPageBreak/>
        <w:t>ADMISIBILIDAD</w:t>
      </w:r>
      <w:bookmarkEnd w:id="4"/>
    </w:p>
    <w:p w14:paraId="110CDB57" w14:textId="77777777" w:rsidR="00F516D3" w:rsidRPr="007A3389" w:rsidRDefault="00F516D3" w:rsidP="006A4287">
      <w:pPr>
        <w:keepNext/>
        <w:keepLines/>
        <w:rPr>
          <w:rFonts w:asciiTheme="majorHAnsi" w:hAnsiTheme="majorHAnsi"/>
          <w:sz w:val="20"/>
          <w:szCs w:val="20"/>
          <w:lang w:val="es-ES"/>
        </w:rPr>
      </w:pPr>
    </w:p>
    <w:p w14:paraId="354741E4" w14:textId="77777777" w:rsidR="00F516D3" w:rsidRPr="007A3389" w:rsidRDefault="000D3EE0" w:rsidP="006A4287">
      <w:pPr>
        <w:pStyle w:val="Heading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lang w:val="es-ES"/>
        </w:rPr>
      </w:pPr>
      <w:bookmarkStart w:id="5" w:name="_Toc90298915"/>
      <w:bookmarkStart w:id="6" w:name="_Toc6349142"/>
      <w:r w:rsidRPr="007A3389">
        <w:rPr>
          <w:rFonts w:cs="Times New Roman"/>
          <w:color w:val="auto"/>
          <w:sz w:val="20"/>
          <w:szCs w:val="20"/>
          <w:lang w:val="es-ES"/>
        </w:rPr>
        <w:t>Competencia, duplicación de procedimientos y cosa juzgada internacional</w:t>
      </w:r>
      <w:bookmarkEnd w:id="5"/>
      <w:r w:rsidR="00F516D3" w:rsidRPr="007A3389">
        <w:rPr>
          <w:rFonts w:cs="Times New Roman"/>
          <w:color w:val="auto"/>
          <w:sz w:val="20"/>
          <w:szCs w:val="20"/>
          <w:lang w:val="es-ES"/>
        </w:rPr>
        <w:t xml:space="preserve"> </w:t>
      </w:r>
      <w:bookmarkEnd w:id="6"/>
    </w:p>
    <w:p w14:paraId="09B7A4E5" w14:textId="77777777" w:rsidR="00947B86" w:rsidRPr="007A3389" w:rsidRDefault="00947B86" w:rsidP="006A4287">
      <w:pPr>
        <w:keepNext/>
        <w:keepLines/>
        <w:rPr>
          <w:rFonts w:asciiTheme="majorHAnsi" w:hAnsiTheme="majorHAnsi"/>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947B86" w:rsidRPr="007A3389" w14:paraId="4ED374A9" w14:textId="77777777">
        <w:trPr>
          <w:cantSplit/>
        </w:trPr>
        <w:tc>
          <w:tcPr>
            <w:tcW w:w="3600" w:type="dxa"/>
            <w:tcBorders>
              <w:top w:val="single" w:sz="4" w:space="0" w:color="auto"/>
              <w:bottom w:val="single" w:sz="6" w:space="0" w:color="auto"/>
            </w:tcBorders>
            <w:shd w:val="clear" w:color="auto" w:fill="386294"/>
            <w:vAlign w:val="center"/>
          </w:tcPr>
          <w:p w14:paraId="653D893B" w14:textId="77777777" w:rsidR="00947B86" w:rsidRPr="007A3389" w:rsidRDefault="00947B86" w:rsidP="006A4287">
            <w:pPr>
              <w:keepNext/>
              <w:keepLines/>
              <w:jc w:val="center"/>
              <w:rPr>
                <w:rFonts w:asciiTheme="majorHAnsi" w:hAnsiTheme="majorHAnsi"/>
                <w:b/>
                <w:bCs/>
                <w:i/>
                <w:color w:val="FFFFFF" w:themeColor="background1"/>
                <w:sz w:val="20"/>
                <w:szCs w:val="20"/>
                <w:lang w:val="es-ES"/>
              </w:rPr>
            </w:pPr>
            <w:r w:rsidRPr="007A3389">
              <w:rPr>
                <w:rFonts w:asciiTheme="majorHAnsi" w:hAnsiTheme="majorHAnsi"/>
                <w:b/>
                <w:bCs/>
                <w:color w:val="FFFFFF" w:themeColor="background1"/>
                <w:sz w:val="20"/>
                <w:szCs w:val="20"/>
                <w:lang w:val="es-ES"/>
              </w:rPr>
              <w:t>Competenc</w:t>
            </w:r>
            <w:r w:rsidR="00631955" w:rsidRPr="007A3389">
              <w:rPr>
                <w:rFonts w:asciiTheme="majorHAnsi" w:hAnsiTheme="majorHAnsi"/>
                <w:b/>
                <w:bCs/>
                <w:color w:val="FFFFFF" w:themeColor="background1"/>
                <w:sz w:val="20"/>
                <w:szCs w:val="20"/>
                <w:lang w:val="es-ES"/>
              </w:rPr>
              <w:t xml:space="preserve">ia </w:t>
            </w:r>
            <w:proofErr w:type="spellStart"/>
            <w:r w:rsidR="00631955" w:rsidRPr="007A3389">
              <w:rPr>
                <w:rFonts w:asciiTheme="majorHAnsi" w:hAnsiTheme="majorHAnsi"/>
                <w:b/>
                <w:bCs/>
                <w:i/>
                <w:color w:val="FFFFFF" w:themeColor="background1"/>
                <w:sz w:val="20"/>
                <w:szCs w:val="20"/>
                <w:lang w:val="es-ES"/>
              </w:rPr>
              <w:t>r</w:t>
            </w:r>
            <w:r w:rsidRPr="007A3389">
              <w:rPr>
                <w:rFonts w:asciiTheme="majorHAnsi" w:hAnsiTheme="majorHAnsi"/>
                <w:b/>
                <w:bCs/>
                <w:i/>
                <w:color w:val="FFFFFF" w:themeColor="background1"/>
                <w:sz w:val="20"/>
                <w:szCs w:val="20"/>
                <w:lang w:val="es-ES"/>
              </w:rPr>
              <w:t>atione</w:t>
            </w:r>
            <w:proofErr w:type="spellEnd"/>
            <w:r w:rsidRPr="007A3389">
              <w:rPr>
                <w:rFonts w:asciiTheme="majorHAnsi" w:hAnsiTheme="majorHAnsi"/>
                <w:b/>
                <w:bCs/>
                <w:i/>
                <w:color w:val="FFFFFF" w:themeColor="background1"/>
                <w:sz w:val="20"/>
                <w:szCs w:val="20"/>
                <w:lang w:val="es-ES"/>
              </w:rPr>
              <w:t xml:space="preserve"> </w:t>
            </w:r>
            <w:proofErr w:type="spellStart"/>
            <w:r w:rsidRPr="007A3389">
              <w:rPr>
                <w:rFonts w:asciiTheme="majorHAnsi" w:hAnsiTheme="majorHAnsi"/>
                <w:b/>
                <w:bCs/>
                <w:i/>
                <w:color w:val="FFFFFF" w:themeColor="background1"/>
                <w:sz w:val="20"/>
                <w:szCs w:val="20"/>
                <w:lang w:val="es-ES"/>
              </w:rPr>
              <w:t>personae</w:t>
            </w:r>
            <w:proofErr w:type="spellEnd"/>
            <w:r w:rsidRPr="007A3389">
              <w:rPr>
                <w:rFonts w:asciiTheme="majorHAnsi" w:hAnsiTheme="majorHAnsi"/>
                <w:b/>
                <w:bCs/>
                <w:i/>
                <w:color w:val="FFFFFF" w:themeColor="background1"/>
                <w:sz w:val="20"/>
                <w:szCs w:val="20"/>
                <w:lang w:val="es-ES"/>
              </w:rPr>
              <w:t>:</w:t>
            </w:r>
          </w:p>
        </w:tc>
        <w:tc>
          <w:tcPr>
            <w:tcW w:w="5760" w:type="dxa"/>
            <w:vAlign w:val="center"/>
          </w:tcPr>
          <w:p w14:paraId="04C68470" w14:textId="77777777" w:rsidR="00947B86" w:rsidRPr="007A3389" w:rsidRDefault="00631955" w:rsidP="006A4287">
            <w:pPr>
              <w:keepNext/>
              <w:keepLines/>
              <w:rPr>
                <w:rFonts w:asciiTheme="majorHAnsi" w:hAnsiTheme="majorHAnsi"/>
                <w:bCs/>
                <w:sz w:val="20"/>
                <w:szCs w:val="20"/>
                <w:lang w:val="es-ES"/>
              </w:rPr>
            </w:pPr>
            <w:r w:rsidRPr="007A3389">
              <w:rPr>
                <w:rFonts w:asciiTheme="majorHAnsi" w:hAnsiTheme="majorHAnsi"/>
                <w:bCs/>
                <w:sz w:val="20"/>
                <w:szCs w:val="20"/>
                <w:lang w:val="es-ES"/>
              </w:rPr>
              <w:t>Sí</w:t>
            </w:r>
          </w:p>
        </w:tc>
      </w:tr>
      <w:tr w:rsidR="00947B86" w:rsidRPr="007A3389" w14:paraId="40700896" w14:textId="77777777">
        <w:trPr>
          <w:cantSplit/>
        </w:trPr>
        <w:tc>
          <w:tcPr>
            <w:tcW w:w="3600" w:type="dxa"/>
            <w:tcBorders>
              <w:top w:val="single" w:sz="6" w:space="0" w:color="auto"/>
              <w:bottom w:val="single" w:sz="6" w:space="0" w:color="auto"/>
            </w:tcBorders>
            <w:shd w:val="clear" w:color="auto" w:fill="386294"/>
            <w:vAlign w:val="center"/>
          </w:tcPr>
          <w:p w14:paraId="212F452C" w14:textId="77777777" w:rsidR="00947B86" w:rsidRPr="007A3389" w:rsidRDefault="00947B86" w:rsidP="006A4287">
            <w:pPr>
              <w:keepNext/>
              <w:keepLines/>
              <w:jc w:val="center"/>
              <w:rPr>
                <w:rFonts w:asciiTheme="majorHAnsi" w:hAnsiTheme="majorHAnsi"/>
                <w:b/>
                <w:bCs/>
                <w:color w:val="FFFFFF" w:themeColor="background1"/>
                <w:sz w:val="20"/>
                <w:szCs w:val="20"/>
                <w:lang w:val="es-ES"/>
              </w:rPr>
            </w:pPr>
            <w:r w:rsidRPr="007A3389">
              <w:rPr>
                <w:rFonts w:asciiTheme="majorHAnsi" w:hAnsiTheme="majorHAnsi"/>
                <w:b/>
                <w:bCs/>
                <w:color w:val="FFFFFF" w:themeColor="background1"/>
                <w:sz w:val="20"/>
                <w:szCs w:val="20"/>
                <w:lang w:val="es-ES"/>
              </w:rPr>
              <w:t>Competenc</w:t>
            </w:r>
            <w:r w:rsidR="00631955" w:rsidRPr="007A3389">
              <w:rPr>
                <w:rFonts w:asciiTheme="majorHAnsi" w:hAnsiTheme="majorHAnsi"/>
                <w:b/>
                <w:bCs/>
                <w:color w:val="FFFFFF" w:themeColor="background1"/>
                <w:sz w:val="20"/>
                <w:szCs w:val="20"/>
                <w:lang w:val="es-ES"/>
              </w:rPr>
              <w:t>ia</w:t>
            </w:r>
            <w:r w:rsidR="00631955" w:rsidRPr="007A3389">
              <w:rPr>
                <w:rFonts w:asciiTheme="majorHAnsi" w:hAnsiTheme="majorHAnsi"/>
                <w:b/>
                <w:bCs/>
                <w:i/>
                <w:color w:val="FFFFFF" w:themeColor="background1"/>
                <w:sz w:val="20"/>
                <w:szCs w:val="20"/>
                <w:lang w:val="es-ES"/>
              </w:rPr>
              <w:t xml:space="preserve"> </w:t>
            </w:r>
            <w:proofErr w:type="spellStart"/>
            <w:r w:rsidR="00631955" w:rsidRPr="007A3389">
              <w:rPr>
                <w:rFonts w:asciiTheme="majorHAnsi" w:hAnsiTheme="majorHAnsi"/>
                <w:b/>
                <w:bCs/>
                <w:i/>
                <w:color w:val="FFFFFF" w:themeColor="background1"/>
                <w:sz w:val="20"/>
                <w:szCs w:val="20"/>
                <w:lang w:val="es-ES"/>
              </w:rPr>
              <w:t>r</w:t>
            </w:r>
            <w:r w:rsidRPr="007A3389">
              <w:rPr>
                <w:rFonts w:asciiTheme="majorHAnsi" w:hAnsiTheme="majorHAnsi"/>
                <w:b/>
                <w:bCs/>
                <w:i/>
                <w:color w:val="FFFFFF" w:themeColor="background1"/>
                <w:sz w:val="20"/>
                <w:szCs w:val="20"/>
                <w:lang w:val="es-ES"/>
              </w:rPr>
              <w:t>atione</w:t>
            </w:r>
            <w:proofErr w:type="spellEnd"/>
            <w:r w:rsidRPr="007A3389">
              <w:rPr>
                <w:rFonts w:asciiTheme="majorHAnsi" w:hAnsiTheme="majorHAnsi"/>
                <w:b/>
                <w:bCs/>
                <w:i/>
                <w:color w:val="FFFFFF" w:themeColor="background1"/>
                <w:sz w:val="20"/>
                <w:szCs w:val="20"/>
                <w:lang w:val="es-ES"/>
              </w:rPr>
              <w:t xml:space="preserve"> loci</w:t>
            </w:r>
            <w:r w:rsidRPr="007A3389">
              <w:rPr>
                <w:rFonts w:asciiTheme="majorHAnsi" w:hAnsiTheme="majorHAnsi"/>
                <w:b/>
                <w:bCs/>
                <w:color w:val="FFFFFF" w:themeColor="background1"/>
                <w:sz w:val="20"/>
                <w:szCs w:val="20"/>
                <w:lang w:val="es-ES"/>
              </w:rPr>
              <w:t>:</w:t>
            </w:r>
          </w:p>
        </w:tc>
        <w:tc>
          <w:tcPr>
            <w:tcW w:w="5760" w:type="dxa"/>
            <w:vAlign w:val="center"/>
          </w:tcPr>
          <w:p w14:paraId="2D7D714B" w14:textId="77777777" w:rsidR="00947B86" w:rsidRPr="007A3389" w:rsidRDefault="00631955" w:rsidP="006A4287">
            <w:pPr>
              <w:keepNext/>
              <w:keepLines/>
              <w:rPr>
                <w:rFonts w:asciiTheme="majorHAnsi" w:hAnsiTheme="majorHAnsi"/>
                <w:bCs/>
                <w:sz w:val="20"/>
                <w:szCs w:val="20"/>
                <w:lang w:val="es-ES"/>
              </w:rPr>
            </w:pPr>
            <w:r w:rsidRPr="007A3389">
              <w:rPr>
                <w:rFonts w:asciiTheme="majorHAnsi" w:hAnsiTheme="majorHAnsi"/>
                <w:bCs/>
                <w:sz w:val="20"/>
                <w:szCs w:val="20"/>
                <w:lang w:val="es-ES"/>
              </w:rPr>
              <w:t>Sí</w:t>
            </w:r>
          </w:p>
        </w:tc>
      </w:tr>
      <w:tr w:rsidR="00947B86" w:rsidRPr="007A3389" w14:paraId="404A259D" w14:textId="77777777">
        <w:trPr>
          <w:cantSplit/>
        </w:trPr>
        <w:tc>
          <w:tcPr>
            <w:tcW w:w="3600" w:type="dxa"/>
            <w:tcBorders>
              <w:top w:val="single" w:sz="6" w:space="0" w:color="auto"/>
              <w:bottom w:val="single" w:sz="6" w:space="0" w:color="auto"/>
            </w:tcBorders>
            <w:shd w:val="clear" w:color="auto" w:fill="386294"/>
            <w:vAlign w:val="center"/>
          </w:tcPr>
          <w:p w14:paraId="25064121" w14:textId="77777777" w:rsidR="00947B86" w:rsidRPr="007A3389" w:rsidRDefault="00947B86" w:rsidP="006A4287">
            <w:pPr>
              <w:keepNext/>
              <w:keepLines/>
              <w:jc w:val="center"/>
              <w:rPr>
                <w:rFonts w:asciiTheme="majorHAnsi" w:hAnsiTheme="majorHAnsi"/>
                <w:b/>
                <w:bCs/>
                <w:color w:val="FFFFFF" w:themeColor="background1"/>
                <w:sz w:val="20"/>
                <w:szCs w:val="20"/>
                <w:lang w:val="es-ES"/>
              </w:rPr>
            </w:pPr>
            <w:r w:rsidRPr="007A3389">
              <w:rPr>
                <w:rFonts w:asciiTheme="majorHAnsi" w:hAnsiTheme="majorHAnsi"/>
                <w:b/>
                <w:bCs/>
                <w:color w:val="FFFFFF" w:themeColor="background1"/>
                <w:sz w:val="20"/>
                <w:szCs w:val="20"/>
                <w:lang w:val="es-ES"/>
              </w:rPr>
              <w:t>Competenc</w:t>
            </w:r>
            <w:r w:rsidR="00631955" w:rsidRPr="007A3389">
              <w:rPr>
                <w:rFonts w:asciiTheme="majorHAnsi" w:hAnsiTheme="majorHAnsi"/>
                <w:b/>
                <w:bCs/>
                <w:color w:val="FFFFFF" w:themeColor="background1"/>
                <w:sz w:val="20"/>
                <w:szCs w:val="20"/>
                <w:lang w:val="es-ES"/>
              </w:rPr>
              <w:t>ia</w:t>
            </w:r>
            <w:r w:rsidR="00631955" w:rsidRPr="007A3389">
              <w:rPr>
                <w:rFonts w:asciiTheme="majorHAnsi" w:hAnsiTheme="majorHAnsi"/>
                <w:b/>
                <w:bCs/>
                <w:i/>
                <w:color w:val="FFFFFF" w:themeColor="background1"/>
                <w:sz w:val="20"/>
                <w:szCs w:val="20"/>
                <w:lang w:val="es-ES"/>
              </w:rPr>
              <w:t xml:space="preserve"> </w:t>
            </w:r>
            <w:proofErr w:type="spellStart"/>
            <w:r w:rsidR="00631955" w:rsidRPr="007A3389">
              <w:rPr>
                <w:rFonts w:asciiTheme="majorHAnsi" w:hAnsiTheme="majorHAnsi"/>
                <w:b/>
                <w:bCs/>
                <w:i/>
                <w:color w:val="FFFFFF" w:themeColor="background1"/>
                <w:sz w:val="20"/>
                <w:szCs w:val="20"/>
                <w:lang w:val="es-ES"/>
              </w:rPr>
              <w:t>r</w:t>
            </w:r>
            <w:r w:rsidRPr="007A3389">
              <w:rPr>
                <w:rFonts w:asciiTheme="majorHAnsi" w:hAnsiTheme="majorHAnsi"/>
                <w:b/>
                <w:bCs/>
                <w:i/>
                <w:color w:val="FFFFFF" w:themeColor="background1"/>
                <w:sz w:val="20"/>
                <w:szCs w:val="20"/>
                <w:lang w:val="es-ES"/>
              </w:rPr>
              <w:t>atione</w:t>
            </w:r>
            <w:proofErr w:type="spellEnd"/>
            <w:r w:rsidRPr="007A3389">
              <w:rPr>
                <w:rFonts w:asciiTheme="majorHAnsi" w:hAnsiTheme="majorHAnsi"/>
                <w:b/>
                <w:bCs/>
                <w:i/>
                <w:color w:val="FFFFFF" w:themeColor="background1"/>
                <w:sz w:val="20"/>
                <w:szCs w:val="20"/>
                <w:lang w:val="es-ES"/>
              </w:rPr>
              <w:t xml:space="preserve"> </w:t>
            </w:r>
            <w:proofErr w:type="spellStart"/>
            <w:r w:rsidRPr="007A3389">
              <w:rPr>
                <w:rFonts w:asciiTheme="majorHAnsi" w:hAnsiTheme="majorHAnsi"/>
                <w:b/>
                <w:bCs/>
                <w:i/>
                <w:color w:val="FFFFFF" w:themeColor="background1"/>
                <w:sz w:val="20"/>
                <w:szCs w:val="20"/>
                <w:lang w:val="es-ES"/>
              </w:rPr>
              <w:t>temporis</w:t>
            </w:r>
            <w:proofErr w:type="spellEnd"/>
            <w:r w:rsidRPr="007A3389">
              <w:rPr>
                <w:rFonts w:asciiTheme="majorHAnsi" w:hAnsiTheme="majorHAnsi"/>
                <w:b/>
                <w:bCs/>
                <w:color w:val="FFFFFF" w:themeColor="background1"/>
                <w:sz w:val="20"/>
                <w:szCs w:val="20"/>
                <w:lang w:val="es-ES"/>
              </w:rPr>
              <w:t>:</w:t>
            </w:r>
          </w:p>
        </w:tc>
        <w:tc>
          <w:tcPr>
            <w:tcW w:w="5760" w:type="dxa"/>
            <w:vAlign w:val="center"/>
          </w:tcPr>
          <w:p w14:paraId="7BFD5245" w14:textId="77777777" w:rsidR="00947B86" w:rsidRPr="007A3389" w:rsidRDefault="00631955" w:rsidP="006A4287">
            <w:pPr>
              <w:keepNext/>
              <w:keepLines/>
              <w:rPr>
                <w:rFonts w:asciiTheme="majorHAnsi" w:hAnsiTheme="majorHAnsi"/>
                <w:bCs/>
                <w:sz w:val="20"/>
                <w:szCs w:val="20"/>
                <w:lang w:val="es-ES"/>
              </w:rPr>
            </w:pPr>
            <w:r w:rsidRPr="007A3389">
              <w:rPr>
                <w:rFonts w:asciiTheme="majorHAnsi" w:hAnsiTheme="majorHAnsi"/>
                <w:bCs/>
                <w:sz w:val="20"/>
                <w:szCs w:val="20"/>
                <w:lang w:val="es-ES"/>
              </w:rPr>
              <w:t>Sí</w:t>
            </w:r>
          </w:p>
        </w:tc>
      </w:tr>
      <w:tr w:rsidR="00947B86" w:rsidRPr="006846BB" w14:paraId="570D5F99" w14:textId="77777777">
        <w:trPr>
          <w:cantSplit/>
        </w:trPr>
        <w:tc>
          <w:tcPr>
            <w:tcW w:w="3600" w:type="dxa"/>
            <w:tcBorders>
              <w:top w:val="single" w:sz="6" w:space="0" w:color="auto"/>
              <w:bottom w:val="single" w:sz="6" w:space="0" w:color="auto"/>
            </w:tcBorders>
            <w:shd w:val="clear" w:color="auto" w:fill="386294"/>
            <w:vAlign w:val="center"/>
          </w:tcPr>
          <w:p w14:paraId="7791DE4F" w14:textId="77777777" w:rsidR="00947B86" w:rsidRPr="007A3389" w:rsidRDefault="00947B86" w:rsidP="006A4287">
            <w:pPr>
              <w:keepNext/>
              <w:keepLines/>
              <w:jc w:val="center"/>
              <w:rPr>
                <w:rFonts w:asciiTheme="majorHAnsi" w:hAnsiTheme="majorHAnsi"/>
                <w:b/>
                <w:bCs/>
                <w:color w:val="FFFFFF" w:themeColor="background1"/>
                <w:sz w:val="20"/>
                <w:szCs w:val="20"/>
                <w:lang w:val="es-ES"/>
              </w:rPr>
            </w:pPr>
            <w:r w:rsidRPr="007A3389">
              <w:rPr>
                <w:rFonts w:asciiTheme="majorHAnsi" w:hAnsiTheme="majorHAnsi"/>
                <w:b/>
                <w:bCs/>
                <w:color w:val="FFFFFF" w:themeColor="background1"/>
                <w:sz w:val="20"/>
                <w:szCs w:val="20"/>
                <w:lang w:val="es-ES"/>
              </w:rPr>
              <w:t>Competenc</w:t>
            </w:r>
            <w:r w:rsidR="00631955" w:rsidRPr="007A3389">
              <w:rPr>
                <w:rFonts w:asciiTheme="majorHAnsi" w:hAnsiTheme="majorHAnsi"/>
                <w:b/>
                <w:bCs/>
                <w:color w:val="FFFFFF" w:themeColor="background1"/>
                <w:sz w:val="20"/>
                <w:szCs w:val="20"/>
                <w:lang w:val="es-ES"/>
              </w:rPr>
              <w:t>ia</w:t>
            </w:r>
            <w:r w:rsidR="00631955" w:rsidRPr="007A3389">
              <w:rPr>
                <w:rFonts w:asciiTheme="majorHAnsi" w:hAnsiTheme="majorHAnsi"/>
                <w:b/>
                <w:bCs/>
                <w:i/>
                <w:color w:val="FFFFFF" w:themeColor="background1"/>
                <w:sz w:val="20"/>
                <w:szCs w:val="20"/>
                <w:lang w:val="es-ES"/>
              </w:rPr>
              <w:t xml:space="preserve"> </w:t>
            </w:r>
            <w:proofErr w:type="spellStart"/>
            <w:r w:rsidR="00631955" w:rsidRPr="007A3389">
              <w:rPr>
                <w:rFonts w:asciiTheme="majorHAnsi" w:hAnsiTheme="majorHAnsi"/>
                <w:b/>
                <w:bCs/>
                <w:i/>
                <w:color w:val="FFFFFF" w:themeColor="background1"/>
                <w:sz w:val="20"/>
                <w:szCs w:val="20"/>
                <w:lang w:val="es-ES"/>
              </w:rPr>
              <w:t>r</w:t>
            </w:r>
            <w:r w:rsidRPr="007A3389">
              <w:rPr>
                <w:rFonts w:asciiTheme="majorHAnsi" w:hAnsiTheme="majorHAnsi"/>
                <w:b/>
                <w:bCs/>
                <w:i/>
                <w:color w:val="FFFFFF" w:themeColor="background1"/>
                <w:sz w:val="20"/>
                <w:szCs w:val="20"/>
                <w:lang w:val="es-ES"/>
              </w:rPr>
              <w:t>atione</w:t>
            </w:r>
            <w:proofErr w:type="spellEnd"/>
            <w:r w:rsidRPr="007A3389">
              <w:rPr>
                <w:rFonts w:asciiTheme="majorHAnsi" w:hAnsiTheme="majorHAnsi"/>
                <w:b/>
                <w:bCs/>
                <w:i/>
                <w:color w:val="FFFFFF" w:themeColor="background1"/>
                <w:sz w:val="20"/>
                <w:szCs w:val="20"/>
                <w:lang w:val="es-ES"/>
              </w:rPr>
              <w:t xml:space="preserve"> </w:t>
            </w:r>
            <w:proofErr w:type="spellStart"/>
            <w:r w:rsidRPr="007A3389">
              <w:rPr>
                <w:rFonts w:asciiTheme="majorHAnsi" w:hAnsiTheme="majorHAnsi"/>
                <w:b/>
                <w:bCs/>
                <w:i/>
                <w:color w:val="FFFFFF" w:themeColor="background1"/>
                <w:sz w:val="20"/>
                <w:szCs w:val="20"/>
                <w:lang w:val="es-ES"/>
              </w:rPr>
              <w:t>materiae</w:t>
            </w:r>
            <w:proofErr w:type="spellEnd"/>
            <w:r w:rsidRPr="007A3389">
              <w:rPr>
                <w:rFonts w:asciiTheme="majorHAnsi" w:hAnsiTheme="majorHAnsi"/>
                <w:b/>
                <w:bCs/>
                <w:color w:val="FFFFFF" w:themeColor="background1"/>
                <w:sz w:val="20"/>
                <w:szCs w:val="20"/>
                <w:lang w:val="es-ES"/>
              </w:rPr>
              <w:t>:</w:t>
            </w:r>
          </w:p>
        </w:tc>
        <w:tc>
          <w:tcPr>
            <w:tcW w:w="5760" w:type="dxa"/>
            <w:vAlign w:val="center"/>
          </w:tcPr>
          <w:p w14:paraId="320A7A94" w14:textId="77777777" w:rsidR="00947B86" w:rsidRPr="007A3389" w:rsidRDefault="00631955" w:rsidP="006A4287">
            <w:pPr>
              <w:keepNext/>
              <w:keepLines/>
              <w:jc w:val="both"/>
              <w:rPr>
                <w:rFonts w:asciiTheme="majorHAnsi" w:hAnsiTheme="majorHAnsi"/>
                <w:bCs/>
                <w:sz w:val="20"/>
                <w:szCs w:val="20"/>
                <w:lang w:val="es-ES"/>
              </w:rPr>
            </w:pPr>
            <w:r w:rsidRPr="007A3389">
              <w:rPr>
                <w:rFonts w:asciiTheme="majorHAnsi" w:hAnsiTheme="majorHAnsi"/>
                <w:bCs/>
                <w:sz w:val="20"/>
                <w:szCs w:val="20"/>
                <w:lang w:val="es-ES"/>
              </w:rPr>
              <w:t>Sí, Declaración Americana de los Derechos y Deberes del Hombre (como consecuencia de la ratificación de la Carta de la OEA el 19 de junio de 1951</w:t>
            </w:r>
            <w:r w:rsidR="00947B86" w:rsidRPr="007A3389">
              <w:rPr>
                <w:rFonts w:asciiTheme="majorHAnsi" w:hAnsiTheme="majorHAnsi"/>
                <w:bCs/>
                <w:sz w:val="20"/>
                <w:szCs w:val="20"/>
                <w:lang w:val="es-ES"/>
              </w:rPr>
              <w:t>)</w:t>
            </w:r>
          </w:p>
        </w:tc>
      </w:tr>
      <w:tr w:rsidR="00947B86" w:rsidRPr="007A3389" w14:paraId="2C6B20C3" w14:textId="77777777">
        <w:trPr>
          <w:cantSplit/>
        </w:trPr>
        <w:tc>
          <w:tcPr>
            <w:tcW w:w="3600" w:type="dxa"/>
            <w:tcBorders>
              <w:top w:val="single" w:sz="6" w:space="0" w:color="auto"/>
              <w:bottom w:val="single" w:sz="6" w:space="0" w:color="auto"/>
            </w:tcBorders>
            <w:shd w:val="clear" w:color="auto" w:fill="386294"/>
            <w:vAlign w:val="center"/>
          </w:tcPr>
          <w:p w14:paraId="371956A3" w14:textId="77777777" w:rsidR="00631955" w:rsidRPr="007A3389" w:rsidRDefault="00631955" w:rsidP="006A4287">
            <w:pPr>
              <w:keepNext/>
              <w:keepLines/>
              <w:jc w:val="center"/>
              <w:rPr>
                <w:rFonts w:asciiTheme="majorHAnsi" w:hAnsiTheme="majorHAnsi"/>
                <w:b/>
                <w:bCs/>
                <w:color w:val="FFFFFF" w:themeColor="background1"/>
                <w:sz w:val="20"/>
                <w:szCs w:val="20"/>
                <w:lang w:val="es-ES"/>
              </w:rPr>
            </w:pPr>
            <w:r w:rsidRPr="007A3389">
              <w:rPr>
                <w:rFonts w:asciiTheme="majorHAnsi" w:hAnsiTheme="majorHAnsi"/>
                <w:b/>
                <w:bCs/>
                <w:color w:val="FFFFFF" w:themeColor="background1"/>
                <w:sz w:val="20"/>
                <w:szCs w:val="20"/>
                <w:lang w:val="es-ES"/>
              </w:rPr>
              <w:t>Duplicación de procedimientos</w:t>
            </w:r>
          </w:p>
          <w:p w14:paraId="621D6DD3" w14:textId="77777777" w:rsidR="00947B86" w:rsidRPr="007A3389" w:rsidRDefault="00631955" w:rsidP="006A4287">
            <w:pPr>
              <w:keepNext/>
              <w:keepLines/>
              <w:jc w:val="center"/>
              <w:rPr>
                <w:rFonts w:asciiTheme="majorHAnsi" w:hAnsiTheme="majorHAnsi"/>
                <w:b/>
                <w:bCs/>
                <w:color w:val="FFFFFF" w:themeColor="background1"/>
                <w:sz w:val="20"/>
                <w:szCs w:val="20"/>
                <w:lang w:val="es-ES"/>
              </w:rPr>
            </w:pPr>
            <w:r w:rsidRPr="007A3389">
              <w:rPr>
                <w:rFonts w:asciiTheme="majorHAnsi" w:hAnsiTheme="majorHAnsi"/>
                <w:b/>
                <w:bCs/>
                <w:color w:val="FFFFFF" w:themeColor="background1"/>
                <w:sz w:val="20"/>
                <w:szCs w:val="20"/>
                <w:lang w:val="es-ES"/>
              </w:rPr>
              <w:t>y cosa juzgada internacional</w:t>
            </w:r>
            <w:r w:rsidR="00947B86" w:rsidRPr="007A3389">
              <w:rPr>
                <w:rFonts w:asciiTheme="majorHAnsi" w:hAnsiTheme="majorHAnsi"/>
                <w:b/>
                <w:bCs/>
                <w:color w:val="FFFFFF" w:themeColor="background1"/>
                <w:sz w:val="20"/>
                <w:szCs w:val="20"/>
                <w:lang w:val="es-ES"/>
              </w:rPr>
              <w:t>:</w:t>
            </w:r>
          </w:p>
        </w:tc>
        <w:tc>
          <w:tcPr>
            <w:tcW w:w="5760" w:type="dxa"/>
            <w:vAlign w:val="center"/>
          </w:tcPr>
          <w:p w14:paraId="1E0B23DA" w14:textId="77777777" w:rsidR="00947B86" w:rsidRPr="007A3389" w:rsidRDefault="00947B86" w:rsidP="006A4287">
            <w:pPr>
              <w:keepNext/>
              <w:keepLines/>
              <w:jc w:val="both"/>
              <w:rPr>
                <w:rFonts w:asciiTheme="majorHAnsi" w:hAnsiTheme="majorHAnsi"/>
                <w:bCs/>
                <w:sz w:val="20"/>
                <w:szCs w:val="20"/>
                <w:lang w:val="es-ES"/>
              </w:rPr>
            </w:pPr>
            <w:r w:rsidRPr="007A3389">
              <w:rPr>
                <w:rFonts w:asciiTheme="majorHAnsi" w:hAnsiTheme="majorHAnsi"/>
                <w:bCs/>
                <w:sz w:val="20"/>
                <w:szCs w:val="20"/>
                <w:lang w:val="es-ES"/>
              </w:rPr>
              <w:t>No</w:t>
            </w:r>
          </w:p>
        </w:tc>
      </w:tr>
    </w:tbl>
    <w:p w14:paraId="24D4A605" w14:textId="77777777" w:rsidR="0081365E" w:rsidRPr="007A3389" w:rsidRDefault="0081365E" w:rsidP="0081365E">
      <w:pPr>
        <w:rPr>
          <w:rFonts w:asciiTheme="majorHAnsi" w:hAnsiTheme="majorHAnsi"/>
          <w:sz w:val="20"/>
          <w:szCs w:val="20"/>
          <w:lang w:val="es-ES"/>
        </w:rPr>
      </w:pPr>
    </w:p>
    <w:p w14:paraId="0CF1C4BE" w14:textId="77777777" w:rsidR="009D0B9F" w:rsidRPr="007A3389" w:rsidRDefault="00631955" w:rsidP="00626F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lang w:val="es-ES"/>
        </w:rPr>
      </w:pPr>
      <w:r w:rsidRPr="007A3389">
        <w:rPr>
          <w:rFonts w:asciiTheme="majorHAnsi" w:hAnsiTheme="majorHAnsi"/>
          <w:sz w:val="20"/>
          <w:szCs w:val="20"/>
          <w:lang w:val="es-ES"/>
        </w:rPr>
        <w:t>La CIDH</w:t>
      </w:r>
      <w:r w:rsidR="009D0B9F" w:rsidRPr="007A3389">
        <w:rPr>
          <w:rFonts w:asciiTheme="majorHAnsi" w:hAnsiTheme="majorHAnsi"/>
          <w:sz w:val="20"/>
          <w:szCs w:val="20"/>
          <w:lang w:val="es-ES"/>
        </w:rPr>
        <w:t xml:space="preserve"> </w:t>
      </w:r>
      <w:r w:rsidR="00060350">
        <w:rPr>
          <w:rFonts w:asciiTheme="majorHAnsi" w:hAnsiTheme="majorHAnsi"/>
          <w:sz w:val="20"/>
          <w:szCs w:val="20"/>
          <w:lang w:val="es-ES"/>
        </w:rPr>
        <w:t xml:space="preserve">toma </w:t>
      </w:r>
      <w:r w:rsidR="009D0B9F" w:rsidRPr="007A3389">
        <w:rPr>
          <w:rFonts w:asciiTheme="majorHAnsi" w:hAnsiTheme="majorHAnsi"/>
          <w:sz w:val="20"/>
          <w:szCs w:val="20"/>
          <w:lang w:val="es-ES"/>
        </w:rPr>
        <w:t>not</w:t>
      </w:r>
      <w:r w:rsidR="00060350">
        <w:rPr>
          <w:rFonts w:asciiTheme="majorHAnsi" w:hAnsiTheme="majorHAnsi"/>
          <w:sz w:val="20"/>
          <w:szCs w:val="20"/>
          <w:lang w:val="es-ES"/>
        </w:rPr>
        <w:t>a de la posición d</w:t>
      </w:r>
      <w:r w:rsidR="00D87346" w:rsidRPr="007A3389">
        <w:rPr>
          <w:rFonts w:asciiTheme="majorHAnsi" w:hAnsiTheme="majorHAnsi"/>
          <w:sz w:val="20"/>
          <w:szCs w:val="20"/>
          <w:lang w:val="es-ES"/>
        </w:rPr>
        <w:t>el Estado</w:t>
      </w:r>
      <w:r w:rsidR="00060350">
        <w:rPr>
          <w:rFonts w:asciiTheme="majorHAnsi" w:hAnsiTheme="majorHAnsi"/>
          <w:sz w:val="20"/>
          <w:szCs w:val="20"/>
          <w:lang w:val="es-ES"/>
        </w:rPr>
        <w:t xml:space="preserve"> de que </w:t>
      </w:r>
      <w:r w:rsidR="008A10AB" w:rsidRPr="007A3389">
        <w:rPr>
          <w:rFonts w:asciiTheme="majorHAnsi" w:hAnsiTheme="majorHAnsi"/>
          <w:sz w:val="20"/>
          <w:szCs w:val="20"/>
          <w:lang w:val="es-ES"/>
        </w:rPr>
        <w:t>la Comisión</w:t>
      </w:r>
      <w:r w:rsidR="009D0B9F" w:rsidRPr="007A3389">
        <w:rPr>
          <w:rFonts w:asciiTheme="majorHAnsi" w:hAnsiTheme="majorHAnsi"/>
          <w:sz w:val="20"/>
          <w:szCs w:val="20"/>
          <w:lang w:val="es-ES"/>
        </w:rPr>
        <w:t xml:space="preserve"> </w:t>
      </w:r>
      <w:r w:rsidR="00060350">
        <w:rPr>
          <w:rFonts w:asciiTheme="majorHAnsi" w:hAnsiTheme="majorHAnsi"/>
          <w:sz w:val="20"/>
          <w:szCs w:val="20"/>
          <w:lang w:val="es-ES"/>
        </w:rPr>
        <w:t xml:space="preserve">no tiene competencia para entender en reclamos surgidos de </w:t>
      </w:r>
      <w:r w:rsidR="00EE0CB0" w:rsidRPr="007A3389">
        <w:rPr>
          <w:rFonts w:asciiTheme="majorHAnsi" w:hAnsiTheme="majorHAnsi"/>
          <w:sz w:val="20"/>
          <w:szCs w:val="20"/>
          <w:lang w:val="es-ES"/>
        </w:rPr>
        <w:t>la Convención de Viena</w:t>
      </w:r>
      <w:r w:rsidR="009D0B9F" w:rsidRPr="007A3389">
        <w:rPr>
          <w:rFonts w:asciiTheme="majorHAnsi" w:hAnsiTheme="majorHAnsi"/>
          <w:sz w:val="20"/>
          <w:szCs w:val="20"/>
          <w:lang w:val="es-ES"/>
        </w:rPr>
        <w:t xml:space="preserve">. </w:t>
      </w:r>
      <w:r w:rsidR="00060350">
        <w:rPr>
          <w:rFonts w:asciiTheme="majorHAnsi" w:hAnsiTheme="majorHAnsi"/>
          <w:sz w:val="20"/>
          <w:szCs w:val="20"/>
          <w:lang w:val="es-ES"/>
        </w:rPr>
        <w:t xml:space="preserve">Como se explica más adelante, aunque </w:t>
      </w:r>
      <w:r w:rsidR="008A10AB" w:rsidRPr="007A3389">
        <w:rPr>
          <w:rFonts w:asciiTheme="majorHAnsi" w:hAnsiTheme="majorHAnsi"/>
          <w:sz w:val="20"/>
          <w:szCs w:val="20"/>
          <w:lang w:val="es-ES"/>
        </w:rPr>
        <w:t>la Comisión</w:t>
      </w:r>
      <w:r w:rsidR="009D0B9F" w:rsidRPr="007A3389">
        <w:rPr>
          <w:rFonts w:asciiTheme="majorHAnsi" w:hAnsiTheme="majorHAnsi"/>
          <w:sz w:val="20"/>
          <w:szCs w:val="20"/>
          <w:lang w:val="es-ES"/>
        </w:rPr>
        <w:t xml:space="preserve"> </w:t>
      </w:r>
      <w:r w:rsidR="00060350">
        <w:rPr>
          <w:rFonts w:asciiTheme="majorHAnsi" w:hAnsiTheme="majorHAnsi"/>
          <w:sz w:val="20"/>
          <w:szCs w:val="20"/>
          <w:lang w:val="es-ES"/>
        </w:rPr>
        <w:t>no tiene competencia para decidir si se han infringido disposiciones</w:t>
      </w:r>
      <w:r w:rsidR="004418C0">
        <w:rPr>
          <w:rFonts w:asciiTheme="majorHAnsi" w:hAnsiTheme="majorHAnsi"/>
          <w:sz w:val="20"/>
          <w:szCs w:val="20"/>
          <w:lang w:val="es-ES"/>
        </w:rPr>
        <w:t xml:space="preserve"> de dicha Convención</w:t>
      </w:r>
      <w:r w:rsidR="00060350">
        <w:rPr>
          <w:rFonts w:asciiTheme="majorHAnsi" w:hAnsiTheme="majorHAnsi"/>
          <w:sz w:val="20"/>
          <w:szCs w:val="20"/>
          <w:lang w:val="es-ES"/>
        </w:rPr>
        <w:t xml:space="preserve">, </w:t>
      </w:r>
      <w:r w:rsidR="009D0B9F" w:rsidRPr="007A3389">
        <w:rPr>
          <w:rFonts w:asciiTheme="majorHAnsi" w:hAnsiTheme="majorHAnsi"/>
          <w:sz w:val="20"/>
          <w:szCs w:val="20"/>
          <w:lang w:val="es-ES"/>
        </w:rPr>
        <w:t>p</w:t>
      </w:r>
      <w:r w:rsidR="00060350">
        <w:rPr>
          <w:rFonts w:asciiTheme="majorHAnsi" w:hAnsiTheme="majorHAnsi"/>
          <w:sz w:val="20"/>
          <w:szCs w:val="20"/>
          <w:lang w:val="es-ES"/>
        </w:rPr>
        <w:t xml:space="preserve">uede tenerlas en cuenta a efectos de evaluar la observancia por </w:t>
      </w:r>
      <w:r w:rsidR="00D87346" w:rsidRPr="007A3389">
        <w:rPr>
          <w:rFonts w:asciiTheme="majorHAnsi" w:hAnsiTheme="majorHAnsi"/>
          <w:sz w:val="20"/>
          <w:szCs w:val="20"/>
          <w:lang w:val="es-ES"/>
        </w:rPr>
        <w:t>el Estado</w:t>
      </w:r>
      <w:r w:rsidR="00060350">
        <w:rPr>
          <w:rFonts w:asciiTheme="majorHAnsi" w:hAnsiTheme="majorHAnsi"/>
          <w:sz w:val="20"/>
          <w:szCs w:val="20"/>
          <w:lang w:val="es-ES"/>
        </w:rPr>
        <w:t xml:space="preserve"> del derecho de un ciudadano extranjero al debido proceso amparado por </w:t>
      </w:r>
      <w:r w:rsidRPr="007A3389">
        <w:rPr>
          <w:rFonts w:asciiTheme="majorHAnsi" w:hAnsiTheme="majorHAnsi"/>
          <w:sz w:val="20"/>
          <w:szCs w:val="20"/>
          <w:lang w:val="es-ES"/>
        </w:rPr>
        <w:t>la Declaración Americana</w:t>
      </w:r>
      <w:r w:rsidR="009D0B9F" w:rsidRPr="007A3389">
        <w:rPr>
          <w:rFonts w:asciiTheme="majorHAnsi" w:hAnsiTheme="majorHAnsi"/>
          <w:sz w:val="20"/>
          <w:szCs w:val="20"/>
          <w:lang w:val="es-ES"/>
        </w:rPr>
        <w:t>.</w:t>
      </w:r>
    </w:p>
    <w:p w14:paraId="321565F8" w14:textId="77777777" w:rsidR="009D0B9F" w:rsidRPr="007A3389" w:rsidRDefault="009D0B9F" w:rsidP="009D0B9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jc w:val="both"/>
        <w:rPr>
          <w:rFonts w:asciiTheme="majorHAnsi" w:hAnsiTheme="majorHAnsi"/>
          <w:sz w:val="20"/>
          <w:szCs w:val="20"/>
          <w:lang w:val="es-ES"/>
        </w:rPr>
      </w:pPr>
    </w:p>
    <w:p w14:paraId="79F5B6BA" w14:textId="77777777" w:rsidR="00F516D3" w:rsidRPr="007A3389" w:rsidRDefault="000D3EE0"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lang w:val="es-ES"/>
        </w:rPr>
      </w:pPr>
      <w:bookmarkStart w:id="7" w:name="_Toc90298916"/>
      <w:r w:rsidRPr="007A3389">
        <w:rPr>
          <w:rFonts w:cs="Tahoma"/>
          <w:color w:val="auto"/>
          <w:sz w:val="20"/>
          <w:szCs w:val="20"/>
          <w:shd w:val="clear" w:color="auto" w:fill="FFFFFF"/>
          <w:lang w:val="es-ES"/>
        </w:rPr>
        <w:t>Agotamiento de los recursos internos y plazo de presentación</w:t>
      </w:r>
      <w:bookmarkEnd w:id="7"/>
    </w:p>
    <w:p w14:paraId="62700364" w14:textId="77777777" w:rsidR="00D94F44" w:rsidRPr="007A3389" w:rsidRDefault="00D94F44" w:rsidP="00D94F44">
      <w:pPr>
        <w:rPr>
          <w:rFonts w:asciiTheme="majorHAnsi" w:hAnsiTheme="majorHAnsi"/>
          <w:color w:val="FF0000"/>
          <w:sz w:val="20"/>
          <w:szCs w:val="20"/>
          <w:lang w:val="es-ES"/>
        </w:rPr>
      </w:pPr>
    </w:p>
    <w:p w14:paraId="7E3EFD0C" w14:textId="77777777" w:rsidR="00F652F0" w:rsidRPr="00304BBE" w:rsidRDefault="00060350" w:rsidP="009649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BBE">
        <w:rPr>
          <w:rFonts w:asciiTheme="majorHAnsi" w:hAnsiTheme="majorHAnsi"/>
          <w:sz w:val="20"/>
          <w:szCs w:val="20"/>
          <w:lang w:val="es-ES"/>
        </w:rPr>
        <w:t>Según la información disponible y tal como demuestra</w:t>
      </w:r>
      <w:r w:rsidR="00304BBE">
        <w:rPr>
          <w:rFonts w:asciiTheme="majorHAnsi" w:hAnsiTheme="majorHAnsi"/>
          <w:sz w:val="20"/>
          <w:szCs w:val="20"/>
          <w:lang w:val="es-ES"/>
        </w:rPr>
        <w:t>n</w:t>
      </w:r>
      <w:r w:rsidRPr="00304BBE">
        <w:rPr>
          <w:rFonts w:asciiTheme="majorHAnsi" w:hAnsiTheme="majorHAnsi"/>
          <w:sz w:val="20"/>
          <w:szCs w:val="20"/>
          <w:lang w:val="es-ES"/>
        </w:rPr>
        <w:t xml:space="preserve"> los hechos que se describen </w:t>
      </w:r>
      <w:r w:rsidR="00470EE9" w:rsidRPr="00304BBE">
        <w:rPr>
          <w:rFonts w:asciiTheme="majorHAnsi" w:hAnsiTheme="majorHAnsi"/>
          <w:sz w:val="20"/>
          <w:szCs w:val="20"/>
          <w:lang w:val="es-ES"/>
        </w:rPr>
        <w:t>más adelante</w:t>
      </w:r>
      <w:r w:rsidRPr="00304BBE">
        <w:rPr>
          <w:rFonts w:asciiTheme="majorHAnsi" w:hAnsiTheme="majorHAnsi"/>
          <w:sz w:val="20"/>
          <w:szCs w:val="20"/>
          <w:lang w:val="es-ES"/>
        </w:rPr>
        <w:t>, el s</w:t>
      </w:r>
      <w:r w:rsidR="00D87346" w:rsidRPr="00304BBE">
        <w:rPr>
          <w:rFonts w:asciiTheme="majorHAnsi" w:hAnsiTheme="majorHAnsi"/>
          <w:sz w:val="20"/>
          <w:szCs w:val="20"/>
          <w:lang w:val="es-ES"/>
        </w:rPr>
        <w:t>eñor</w:t>
      </w:r>
      <w:r w:rsidR="00457974" w:rsidRPr="00304BBE">
        <w:rPr>
          <w:rFonts w:asciiTheme="majorHAnsi" w:hAnsiTheme="majorHAnsi"/>
          <w:sz w:val="20"/>
          <w:szCs w:val="20"/>
          <w:lang w:val="es-ES"/>
        </w:rPr>
        <w:t xml:space="preserve"> Loza </w:t>
      </w:r>
      <w:r w:rsidR="00470EE9" w:rsidRPr="00304BBE">
        <w:rPr>
          <w:rFonts w:asciiTheme="majorHAnsi" w:hAnsiTheme="majorHAnsi"/>
          <w:sz w:val="20"/>
          <w:szCs w:val="20"/>
          <w:lang w:val="es-ES"/>
        </w:rPr>
        <w:t>fue declarado culpable de cuatro cargos de homicidio con agravante</w:t>
      </w:r>
      <w:r w:rsidR="00FE5C4B" w:rsidRPr="00304BBE">
        <w:rPr>
          <w:rFonts w:asciiTheme="majorHAnsi" w:hAnsiTheme="majorHAnsi"/>
          <w:sz w:val="20"/>
          <w:szCs w:val="20"/>
          <w:lang w:val="es-ES"/>
        </w:rPr>
        <w:t xml:space="preserve"> </w:t>
      </w:r>
      <w:r w:rsidR="00470EE9" w:rsidRPr="00304BBE">
        <w:rPr>
          <w:rFonts w:asciiTheme="majorHAnsi" w:hAnsiTheme="majorHAnsi"/>
          <w:sz w:val="20"/>
          <w:szCs w:val="20"/>
          <w:lang w:val="es-ES"/>
        </w:rPr>
        <w:t xml:space="preserve">el </w:t>
      </w:r>
      <w:r w:rsidR="00FE5C4B" w:rsidRPr="00304BBE">
        <w:rPr>
          <w:rFonts w:asciiTheme="majorHAnsi" w:hAnsiTheme="majorHAnsi"/>
          <w:sz w:val="20"/>
          <w:szCs w:val="20"/>
          <w:lang w:val="es-ES"/>
        </w:rPr>
        <w:t>31</w:t>
      </w:r>
      <w:r w:rsidR="00470EE9" w:rsidRPr="00304BBE">
        <w:rPr>
          <w:rFonts w:asciiTheme="majorHAnsi" w:hAnsiTheme="majorHAnsi"/>
          <w:sz w:val="20"/>
          <w:szCs w:val="20"/>
          <w:lang w:val="es-ES"/>
        </w:rPr>
        <w:t xml:space="preserve"> de octubre de</w:t>
      </w:r>
      <w:r w:rsidR="00FE5C4B" w:rsidRPr="00304BBE">
        <w:rPr>
          <w:rFonts w:asciiTheme="majorHAnsi" w:hAnsiTheme="majorHAnsi"/>
          <w:sz w:val="20"/>
          <w:szCs w:val="20"/>
          <w:lang w:val="es-ES"/>
        </w:rPr>
        <w:t xml:space="preserve"> 1991</w:t>
      </w:r>
      <w:r w:rsidR="00964917" w:rsidRPr="00304BBE">
        <w:rPr>
          <w:rFonts w:asciiTheme="majorHAnsi" w:hAnsiTheme="majorHAnsi"/>
          <w:sz w:val="20"/>
          <w:szCs w:val="20"/>
          <w:lang w:val="es-ES"/>
        </w:rPr>
        <w:t xml:space="preserve"> </w:t>
      </w:r>
      <w:r w:rsidR="00470EE9" w:rsidRPr="00304BBE">
        <w:rPr>
          <w:rFonts w:asciiTheme="majorHAnsi" w:hAnsiTheme="majorHAnsi"/>
          <w:sz w:val="20"/>
          <w:szCs w:val="20"/>
          <w:lang w:val="es-ES"/>
        </w:rPr>
        <w:t>y fue condenado a muerte</w:t>
      </w:r>
      <w:r w:rsidR="00457974" w:rsidRPr="00304BBE">
        <w:rPr>
          <w:rStyle w:val="FootnoteReference"/>
          <w:rFonts w:asciiTheme="majorHAnsi" w:hAnsiTheme="majorHAnsi"/>
          <w:sz w:val="20"/>
          <w:szCs w:val="20"/>
          <w:lang w:val="es-ES"/>
        </w:rPr>
        <w:footnoteReference w:id="4"/>
      </w:r>
      <w:r w:rsidR="00470EE9" w:rsidRPr="00304BBE">
        <w:rPr>
          <w:rFonts w:asciiTheme="majorHAnsi" w:hAnsiTheme="majorHAnsi"/>
          <w:sz w:val="20"/>
          <w:szCs w:val="20"/>
          <w:lang w:val="es-ES"/>
        </w:rPr>
        <w:t>. El</w:t>
      </w:r>
      <w:r w:rsidR="00860797" w:rsidRPr="00304BBE">
        <w:rPr>
          <w:rFonts w:asciiTheme="majorHAnsi" w:hAnsiTheme="majorHAnsi"/>
          <w:sz w:val="20"/>
          <w:szCs w:val="20"/>
          <w:lang w:val="es-ES"/>
        </w:rPr>
        <w:t xml:space="preserve"> </w:t>
      </w:r>
      <w:r w:rsidR="00470EE9" w:rsidRPr="00304BBE">
        <w:rPr>
          <w:rFonts w:asciiTheme="majorHAnsi" w:hAnsiTheme="majorHAnsi"/>
          <w:sz w:val="20"/>
          <w:szCs w:val="20"/>
          <w:lang w:val="es-ES"/>
        </w:rPr>
        <w:t xml:space="preserve">Tribunal de Apelaciones de </w:t>
      </w:r>
      <w:r w:rsidR="00457974" w:rsidRPr="00304BBE">
        <w:rPr>
          <w:rFonts w:asciiTheme="majorHAnsi" w:hAnsiTheme="majorHAnsi"/>
          <w:sz w:val="20"/>
          <w:szCs w:val="20"/>
          <w:lang w:val="es-ES"/>
        </w:rPr>
        <w:t xml:space="preserve">Ohio </w:t>
      </w:r>
      <w:r w:rsidR="00470EE9" w:rsidRPr="00304BBE">
        <w:rPr>
          <w:rFonts w:asciiTheme="majorHAnsi" w:hAnsiTheme="majorHAnsi"/>
          <w:sz w:val="20"/>
          <w:szCs w:val="20"/>
          <w:lang w:val="es-ES"/>
        </w:rPr>
        <w:t>ratificó la condena y la sentencia</w:t>
      </w:r>
      <w:r w:rsidR="00457974" w:rsidRPr="00304BBE">
        <w:rPr>
          <w:rStyle w:val="FootnoteReference"/>
          <w:rFonts w:asciiTheme="majorHAnsi" w:hAnsiTheme="majorHAnsi"/>
          <w:sz w:val="20"/>
          <w:szCs w:val="20"/>
          <w:lang w:val="es-ES"/>
        </w:rPr>
        <w:footnoteReference w:id="5"/>
      </w:r>
      <w:r w:rsidR="00470EE9" w:rsidRPr="00304BBE">
        <w:rPr>
          <w:rFonts w:asciiTheme="majorHAnsi" w:hAnsiTheme="majorHAnsi"/>
          <w:sz w:val="20"/>
          <w:szCs w:val="20"/>
          <w:lang w:val="es-ES"/>
        </w:rPr>
        <w:t xml:space="preserve">. El </w:t>
      </w:r>
      <w:r w:rsidR="00457974" w:rsidRPr="00304BBE">
        <w:rPr>
          <w:rFonts w:asciiTheme="majorHAnsi" w:hAnsiTheme="majorHAnsi"/>
          <w:sz w:val="20"/>
          <w:szCs w:val="20"/>
          <w:lang w:val="es-ES"/>
        </w:rPr>
        <w:t>27</w:t>
      </w:r>
      <w:r w:rsidR="00470EE9" w:rsidRPr="00304BBE">
        <w:rPr>
          <w:rFonts w:asciiTheme="majorHAnsi" w:hAnsiTheme="majorHAnsi"/>
          <w:sz w:val="20"/>
          <w:szCs w:val="20"/>
          <w:lang w:val="es-ES"/>
        </w:rPr>
        <w:t xml:space="preserve"> de noviembre de</w:t>
      </w:r>
      <w:r w:rsidR="00457974" w:rsidRPr="00304BBE">
        <w:rPr>
          <w:rFonts w:asciiTheme="majorHAnsi" w:hAnsiTheme="majorHAnsi"/>
          <w:sz w:val="20"/>
          <w:szCs w:val="20"/>
          <w:lang w:val="es-ES"/>
        </w:rPr>
        <w:t xml:space="preserve"> 1995, </w:t>
      </w:r>
      <w:r w:rsidR="00D87346" w:rsidRPr="00304BBE">
        <w:rPr>
          <w:rFonts w:asciiTheme="majorHAnsi" w:hAnsiTheme="majorHAnsi"/>
          <w:sz w:val="20"/>
          <w:szCs w:val="20"/>
          <w:lang w:val="es-ES"/>
        </w:rPr>
        <w:t>el señor</w:t>
      </w:r>
      <w:r w:rsidR="00457974" w:rsidRPr="00304BBE">
        <w:rPr>
          <w:rFonts w:asciiTheme="majorHAnsi" w:hAnsiTheme="majorHAnsi"/>
          <w:sz w:val="20"/>
          <w:szCs w:val="20"/>
          <w:lang w:val="es-ES"/>
        </w:rPr>
        <w:t xml:space="preserve"> Loza </w:t>
      </w:r>
      <w:r w:rsidR="00470EE9" w:rsidRPr="00304BBE">
        <w:rPr>
          <w:rFonts w:asciiTheme="majorHAnsi" w:hAnsiTheme="majorHAnsi"/>
          <w:sz w:val="20"/>
          <w:szCs w:val="20"/>
          <w:lang w:val="es-ES"/>
        </w:rPr>
        <w:t xml:space="preserve">presentó un recurso de reparación </w:t>
      </w:r>
      <w:proofErr w:type="spellStart"/>
      <w:r w:rsidR="00470EE9" w:rsidRPr="00304BBE">
        <w:rPr>
          <w:rFonts w:asciiTheme="majorHAnsi" w:hAnsiTheme="majorHAnsi"/>
          <w:sz w:val="20"/>
          <w:szCs w:val="20"/>
          <w:lang w:val="es-ES"/>
        </w:rPr>
        <w:t>poscondenatoria</w:t>
      </w:r>
      <w:proofErr w:type="spellEnd"/>
      <w:r w:rsidR="00470EE9" w:rsidRPr="00304BBE">
        <w:rPr>
          <w:rFonts w:asciiTheme="majorHAnsi" w:hAnsiTheme="majorHAnsi"/>
          <w:sz w:val="20"/>
          <w:szCs w:val="20"/>
          <w:lang w:val="es-ES"/>
        </w:rPr>
        <w:t>, un</w:t>
      </w:r>
      <w:r w:rsidR="00C4237F" w:rsidRPr="00304BBE">
        <w:rPr>
          <w:rFonts w:asciiTheme="majorHAnsi" w:hAnsiTheme="majorHAnsi"/>
          <w:sz w:val="20"/>
          <w:szCs w:val="20"/>
          <w:lang w:val="es-ES"/>
        </w:rPr>
        <w:t xml:space="preserve">a petición de exhibición de pruebas y una </w:t>
      </w:r>
      <w:r w:rsidR="00175318" w:rsidRPr="00304BBE">
        <w:rPr>
          <w:rFonts w:asciiTheme="majorHAnsi" w:hAnsiTheme="majorHAnsi"/>
          <w:sz w:val="20"/>
          <w:szCs w:val="20"/>
          <w:lang w:val="es-ES"/>
        </w:rPr>
        <w:t>petición de examen de los expedientes policiales y de la fiscalía</w:t>
      </w:r>
      <w:r w:rsidR="00FE5C4B" w:rsidRPr="00304BBE">
        <w:rPr>
          <w:rFonts w:asciiTheme="majorHAnsi" w:hAnsiTheme="majorHAnsi"/>
          <w:sz w:val="20"/>
          <w:szCs w:val="20"/>
          <w:lang w:val="es-ES"/>
        </w:rPr>
        <w:t xml:space="preserve">. </w:t>
      </w:r>
      <w:r w:rsidR="00175318" w:rsidRPr="00304BBE">
        <w:rPr>
          <w:rFonts w:asciiTheme="majorHAnsi" w:hAnsiTheme="majorHAnsi"/>
          <w:sz w:val="20"/>
          <w:szCs w:val="20"/>
          <w:lang w:val="es-ES"/>
        </w:rPr>
        <w:t xml:space="preserve">El </w:t>
      </w:r>
      <w:r w:rsidR="00457974" w:rsidRPr="00304BBE">
        <w:rPr>
          <w:rFonts w:asciiTheme="majorHAnsi" w:hAnsiTheme="majorHAnsi"/>
          <w:sz w:val="20"/>
          <w:szCs w:val="20"/>
          <w:lang w:val="es-ES"/>
        </w:rPr>
        <w:t>7</w:t>
      </w:r>
      <w:r w:rsidR="00175318" w:rsidRPr="00304BBE">
        <w:rPr>
          <w:rFonts w:asciiTheme="majorHAnsi" w:hAnsiTheme="majorHAnsi"/>
          <w:sz w:val="20"/>
          <w:szCs w:val="20"/>
          <w:lang w:val="es-ES"/>
        </w:rPr>
        <w:t xml:space="preserve"> de diciembre de </w:t>
      </w:r>
      <w:r w:rsidR="00457974" w:rsidRPr="00304BBE">
        <w:rPr>
          <w:rFonts w:asciiTheme="majorHAnsi" w:hAnsiTheme="majorHAnsi"/>
          <w:sz w:val="20"/>
          <w:szCs w:val="20"/>
          <w:lang w:val="es-ES"/>
        </w:rPr>
        <w:t>1995</w:t>
      </w:r>
      <w:r w:rsidR="00175318" w:rsidRPr="00304BBE">
        <w:rPr>
          <w:rFonts w:asciiTheme="majorHAnsi" w:hAnsiTheme="majorHAnsi"/>
          <w:sz w:val="20"/>
          <w:szCs w:val="20"/>
          <w:lang w:val="es-ES"/>
        </w:rPr>
        <w:t xml:space="preserve"> presentó una</w:t>
      </w:r>
      <w:r w:rsidR="00457974" w:rsidRPr="00304BBE">
        <w:rPr>
          <w:rFonts w:asciiTheme="majorHAnsi" w:hAnsiTheme="majorHAnsi"/>
          <w:sz w:val="20"/>
          <w:szCs w:val="20"/>
          <w:lang w:val="es-ES"/>
        </w:rPr>
        <w:t xml:space="preserve"> </w:t>
      </w:r>
      <w:r w:rsidR="00C4237F" w:rsidRPr="00304BBE">
        <w:rPr>
          <w:rFonts w:asciiTheme="majorHAnsi" w:hAnsiTheme="majorHAnsi"/>
          <w:sz w:val="20"/>
          <w:szCs w:val="20"/>
          <w:lang w:val="es-ES"/>
        </w:rPr>
        <w:t>petición de exhibición de pruebas</w:t>
      </w:r>
      <w:r w:rsidR="00457974" w:rsidRPr="00304BBE">
        <w:rPr>
          <w:rFonts w:asciiTheme="majorHAnsi" w:hAnsiTheme="majorHAnsi"/>
          <w:sz w:val="20"/>
          <w:szCs w:val="20"/>
          <w:lang w:val="es-ES"/>
        </w:rPr>
        <w:t xml:space="preserve"> </w:t>
      </w:r>
      <w:r w:rsidR="00175318" w:rsidRPr="00304BBE">
        <w:rPr>
          <w:rFonts w:asciiTheme="majorHAnsi" w:hAnsiTheme="majorHAnsi"/>
          <w:sz w:val="20"/>
          <w:szCs w:val="20"/>
          <w:lang w:val="es-ES"/>
        </w:rPr>
        <w:t>sobre la aplicación discriminatoria de</w:t>
      </w:r>
      <w:r w:rsidR="00457974" w:rsidRPr="00304BBE">
        <w:rPr>
          <w:rFonts w:asciiTheme="majorHAnsi" w:hAnsiTheme="majorHAnsi"/>
          <w:sz w:val="20"/>
          <w:szCs w:val="20"/>
          <w:lang w:val="es-ES"/>
        </w:rPr>
        <w:t xml:space="preserve"> </w:t>
      </w:r>
      <w:r w:rsidR="00A06C83" w:rsidRPr="00304BBE">
        <w:rPr>
          <w:rFonts w:asciiTheme="majorHAnsi" w:hAnsiTheme="majorHAnsi"/>
          <w:sz w:val="20"/>
          <w:szCs w:val="20"/>
          <w:lang w:val="es-ES"/>
        </w:rPr>
        <w:t>la pena de muerte</w:t>
      </w:r>
      <w:r w:rsidR="00457974" w:rsidRPr="00304BBE">
        <w:rPr>
          <w:rFonts w:asciiTheme="majorHAnsi" w:hAnsiTheme="majorHAnsi"/>
          <w:sz w:val="20"/>
          <w:szCs w:val="20"/>
          <w:lang w:val="es-ES"/>
        </w:rPr>
        <w:t xml:space="preserve"> </w:t>
      </w:r>
      <w:r w:rsidR="00175318" w:rsidRPr="00304BBE">
        <w:rPr>
          <w:rFonts w:asciiTheme="majorHAnsi" w:hAnsiTheme="majorHAnsi"/>
          <w:sz w:val="20"/>
          <w:szCs w:val="20"/>
          <w:lang w:val="es-ES"/>
        </w:rPr>
        <w:t>e</w:t>
      </w:r>
      <w:r w:rsidR="00457974" w:rsidRPr="00304BBE">
        <w:rPr>
          <w:rFonts w:asciiTheme="majorHAnsi" w:hAnsiTheme="majorHAnsi"/>
          <w:sz w:val="20"/>
          <w:szCs w:val="20"/>
          <w:lang w:val="es-ES"/>
        </w:rPr>
        <w:t xml:space="preserve">n </w:t>
      </w:r>
      <w:r w:rsidR="00175318" w:rsidRPr="00304BBE">
        <w:rPr>
          <w:rFonts w:asciiTheme="majorHAnsi" w:hAnsiTheme="majorHAnsi"/>
          <w:sz w:val="20"/>
          <w:szCs w:val="20"/>
          <w:lang w:val="es-ES"/>
        </w:rPr>
        <w:t xml:space="preserve">el Condado de </w:t>
      </w:r>
      <w:r w:rsidR="00457974" w:rsidRPr="00304BBE">
        <w:rPr>
          <w:rFonts w:asciiTheme="majorHAnsi" w:hAnsiTheme="majorHAnsi"/>
          <w:sz w:val="20"/>
          <w:szCs w:val="20"/>
          <w:lang w:val="es-ES"/>
        </w:rPr>
        <w:t xml:space="preserve">Butler </w:t>
      </w:r>
      <w:r w:rsidR="00175318" w:rsidRPr="00304BBE">
        <w:rPr>
          <w:rFonts w:asciiTheme="majorHAnsi" w:hAnsiTheme="majorHAnsi"/>
          <w:sz w:val="20"/>
          <w:szCs w:val="20"/>
          <w:lang w:val="es-ES"/>
        </w:rPr>
        <w:t>(</w:t>
      </w:r>
      <w:r w:rsidR="00457974" w:rsidRPr="00304BBE">
        <w:rPr>
          <w:rFonts w:asciiTheme="majorHAnsi" w:hAnsiTheme="majorHAnsi"/>
          <w:sz w:val="20"/>
          <w:szCs w:val="20"/>
          <w:lang w:val="es-ES"/>
        </w:rPr>
        <w:t>Ohio</w:t>
      </w:r>
      <w:r w:rsidR="00175318" w:rsidRPr="00304BBE">
        <w:rPr>
          <w:rFonts w:asciiTheme="majorHAnsi" w:hAnsiTheme="majorHAnsi"/>
          <w:sz w:val="20"/>
          <w:szCs w:val="20"/>
          <w:lang w:val="es-ES"/>
        </w:rPr>
        <w:t>)</w:t>
      </w:r>
      <w:r w:rsidR="00457974" w:rsidRPr="00304BBE">
        <w:rPr>
          <w:rFonts w:asciiTheme="majorHAnsi" w:hAnsiTheme="majorHAnsi"/>
          <w:sz w:val="20"/>
          <w:szCs w:val="20"/>
          <w:lang w:val="es-ES"/>
        </w:rPr>
        <w:t xml:space="preserve">. </w:t>
      </w:r>
      <w:r w:rsidR="00175318" w:rsidRPr="00304BBE">
        <w:rPr>
          <w:rFonts w:asciiTheme="majorHAnsi" w:hAnsiTheme="majorHAnsi"/>
          <w:sz w:val="20"/>
          <w:szCs w:val="20"/>
          <w:lang w:val="es-ES"/>
        </w:rPr>
        <w:t xml:space="preserve">El </w:t>
      </w:r>
      <w:r w:rsidR="00457974" w:rsidRPr="00304BBE">
        <w:rPr>
          <w:rFonts w:asciiTheme="majorHAnsi" w:hAnsiTheme="majorHAnsi"/>
          <w:sz w:val="20"/>
          <w:szCs w:val="20"/>
          <w:lang w:val="es-ES"/>
        </w:rPr>
        <w:t>24</w:t>
      </w:r>
      <w:r w:rsidR="00175318" w:rsidRPr="00304BBE">
        <w:rPr>
          <w:rFonts w:asciiTheme="majorHAnsi" w:hAnsiTheme="majorHAnsi"/>
          <w:sz w:val="20"/>
          <w:szCs w:val="20"/>
          <w:lang w:val="es-ES"/>
        </w:rPr>
        <w:t xml:space="preserve"> de septiembre de</w:t>
      </w:r>
      <w:r w:rsidR="00457974" w:rsidRPr="00304BBE">
        <w:rPr>
          <w:rFonts w:asciiTheme="majorHAnsi" w:hAnsiTheme="majorHAnsi"/>
          <w:sz w:val="20"/>
          <w:szCs w:val="20"/>
          <w:lang w:val="es-ES"/>
        </w:rPr>
        <w:t xml:space="preserve"> 1996, </w:t>
      </w:r>
      <w:r w:rsidR="00175318" w:rsidRPr="00304BBE">
        <w:rPr>
          <w:rFonts w:asciiTheme="majorHAnsi" w:hAnsiTheme="majorHAnsi"/>
          <w:sz w:val="20"/>
          <w:szCs w:val="20"/>
          <w:lang w:val="es-ES"/>
        </w:rPr>
        <w:t>el</w:t>
      </w:r>
      <w:r w:rsidR="00457974" w:rsidRPr="00304BBE">
        <w:rPr>
          <w:rFonts w:asciiTheme="majorHAnsi" w:hAnsiTheme="majorHAnsi"/>
          <w:sz w:val="20"/>
          <w:szCs w:val="20"/>
          <w:lang w:val="es-ES"/>
        </w:rPr>
        <w:t xml:space="preserve"> </w:t>
      </w:r>
      <w:r w:rsidR="00175318" w:rsidRPr="00304BBE">
        <w:rPr>
          <w:rFonts w:asciiTheme="majorHAnsi" w:hAnsiTheme="majorHAnsi"/>
          <w:sz w:val="20"/>
          <w:szCs w:val="20"/>
          <w:lang w:val="es-ES"/>
        </w:rPr>
        <w:t xml:space="preserve">tribunal de primera instancia denegó todas estas peticiones y desestimó el </w:t>
      </w:r>
      <w:r w:rsidR="00470EE9" w:rsidRPr="00304BBE">
        <w:rPr>
          <w:rFonts w:asciiTheme="majorHAnsi" w:hAnsiTheme="majorHAnsi"/>
          <w:sz w:val="20"/>
          <w:szCs w:val="20"/>
          <w:lang w:val="es-ES"/>
        </w:rPr>
        <w:t xml:space="preserve">recurso de reparación </w:t>
      </w:r>
      <w:proofErr w:type="spellStart"/>
      <w:r w:rsidR="00470EE9" w:rsidRPr="00304BBE">
        <w:rPr>
          <w:rFonts w:asciiTheme="majorHAnsi" w:hAnsiTheme="majorHAnsi"/>
          <w:sz w:val="20"/>
          <w:szCs w:val="20"/>
          <w:lang w:val="es-ES"/>
        </w:rPr>
        <w:t>poscondenatoria</w:t>
      </w:r>
      <w:proofErr w:type="spellEnd"/>
      <w:r w:rsidR="00175318" w:rsidRPr="00304BBE">
        <w:rPr>
          <w:rFonts w:asciiTheme="majorHAnsi" w:hAnsiTheme="majorHAnsi"/>
          <w:sz w:val="20"/>
          <w:szCs w:val="20"/>
          <w:lang w:val="es-ES"/>
        </w:rPr>
        <w:t>, fallo que fue apelado</w:t>
      </w:r>
      <w:r w:rsidR="00457974" w:rsidRPr="00304BBE">
        <w:rPr>
          <w:rFonts w:asciiTheme="majorHAnsi" w:hAnsiTheme="majorHAnsi"/>
          <w:sz w:val="20"/>
          <w:szCs w:val="20"/>
          <w:lang w:val="es-ES"/>
        </w:rPr>
        <w:t xml:space="preserve">. </w:t>
      </w:r>
      <w:r w:rsidR="00175318" w:rsidRPr="00304BBE">
        <w:rPr>
          <w:rFonts w:asciiTheme="majorHAnsi" w:hAnsiTheme="majorHAnsi"/>
          <w:sz w:val="20"/>
          <w:szCs w:val="20"/>
          <w:lang w:val="es-ES"/>
        </w:rPr>
        <w:t xml:space="preserve">El </w:t>
      </w:r>
      <w:r w:rsidR="00457974" w:rsidRPr="00304BBE">
        <w:rPr>
          <w:rFonts w:asciiTheme="majorHAnsi" w:hAnsiTheme="majorHAnsi"/>
          <w:sz w:val="20"/>
          <w:szCs w:val="20"/>
          <w:lang w:val="es-ES"/>
        </w:rPr>
        <w:t>13</w:t>
      </w:r>
      <w:r w:rsidR="00175318" w:rsidRPr="00304BBE">
        <w:rPr>
          <w:rFonts w:asciiTheme="majorHAnsi" w:hAnsiTheme="majorHAnsi"/>
          <w:sz w:val="20"/>
          <w:szCs w:val="20"/>
          <w:lang w:val="es-ES"/>
        </w:rPr>
        <w:t xml:space="preserve"> de octubre de</w:t>
      </w:r>
      <w:r w:rsidR="00457974" w:rsidRPr="00304BBE">
        <w:rPr>
          <w:rFonts w:asciiTheme="majorHAnsi" w:hAnsiTheme="majorHAnsi"/>
          <w:sz w:val="20"/>
          <w:szCs w:val="20"/>
          <w:lang w:val="es-ES"/>
        </w:rPr>
        <w:t xml:space="preserve"> 1997</w:t>
      </w:r>
      <w:r w:rsidR="00175318" w:rsidRPr="00304BBE">
        <w:rPr>
          <w:rFonts w:asciiTheme="majorHAnsi" w:hAnsiTheme="majorHAnsi"/>
          <w:sz w:val="20"/>
          <w:szCs w:val="20"/>
          <w:lang w:val="es-ES"/>
        </w:rPr>
        <w:t>,</w:t>
      </w:r>
      <w:r w:rsidR="00457974" w:rsidRPr="00304BBE">
        <w:rPr>
          <w:rFonts w:asciiTheme="majorHAnsi" w:hAnsiTheme="majorHAnsi"/>
          <w:sz w:val="20"/>
          <w:szCs w:val="20"/>
          <w:lang w:val="es-ES"/>
        </w:rPr>
        <w:t xml:space="preserve"> </w:t>
      </w:r>
      <w:r w:rsidR="00C4237F" w:rsidRPr="00304BBE">
        <w:rPr>
          <w:rFonts w:asciiTheme="majorHAnsi" w:hAnsiTheme="majorHAnsi"/>
          <w:sz w:val="20"/>
          <w:szCs w:val="20"/>
          <w:lang w:val="es-ES"/>
        </w:rPr>
        <w:t>el Tribunal de Apelaciones de Ohio</w:t>
      </w:r>
      <w:r w:rsidR="00457974" w:rsidRPr="00304BBE">
        <w:rPr>
          <w:rFonts w:asciiTheme="majorHAnsi" w:hAnsiTheme="majorHAnsi"/>
          <w:sz w:val="20"/>
          <w:szCs w:val="20"/>
          <w:lang w:val="es-ES"/>
        </w:rPr>
        <w:t xml:space="preserve"> </w:t>
      </w:r>
      <w:r w:rsidR="00175318" w:rsidRPr="00304BBE">
        <w:rPr>
          <w:rFonts w:asciiTheme="majorHAnsi" w:hAnsiTheme="majorHAnsi"/>
          <w:sz w:val="20"/>
          <w:szCs w:val="20"/>
          <w:lang w:val="es-ES"/>
        </w:rPr>
        <w:t xml:space="preserve">ratificó la </w:t>
      </w:r>
      <w:r w:rsidR="00AD0F50" w:rsidRPr="00304BBE">
        <w:rPr>
          <w:rFonts w:asciiTheme="majorHAnsi" w:hAnsiTheme="majorHAnsi"/>
          <w:sz w:val="20"/>
          <w:szCs w:val="20"/>
          <w:lang w:val="es-ES"/>
        </w:rPr>
        <w:t xml:space="preserve">decisión del tribunal de condado de denegar el recurso de reparación </w:t>
      </w:r>
      <w:proofErr w:type="spellStart"/>
      <w:r w:rsidR="00AD0F50" w:rsidRPr="00304BBE">
        <w:rPr>
          <w:rFonts w:asciiTheme="majorHAnsi" w:hAnsiTheme="majorHAnsi"/>
          <w:sz w:val="20"/>
          <w:szCs w:val="20"/>
          <w:lang w:val="es-ES"/>
        </w:rPr>
        <w:t>poscondenatoria</w:t>
      </w:r>
      <w:proofErr w:type="spellEnd"/>
      <w:r w:rsidR="00AD0F50" w:rsidRPr="00304BBE">
        <w:rPr>
          <w:rFonts w:asciiTheme="majorHAnsi" w:hAnsiTheme="majorHAnsi"/>
          <w:sz w:val="20"/>
          <w:szCs w:val="20"/>
          <w:lang w:val="es-ES"/>
        </w:rPr>
        <w:t xml:space="preserve">, en tanto que </w:t>
      </w:r>
      <w:r w:rsidR="00C4237F" w:rsidRPr="00304BBE">
        <w:rPr>
          <w:rFonts w:asciiTheme="majorHAnsi" w:hAnsiTheme="majorHAnsi"/>
          <w:sz w:val="20"/>
          <w:szCs w:val="20"/>
          <w:lang w:val="es-ES"/>
        </w:rPr>
        <w:t>la Corte Suprema de Ohio</w:t>
      </w:r>
      <w:r w:rsidR="00457974" w:rsidRPr="00304BBE">
        <w:rPr>
          <w:rFonts w:asciiTheme="majorHAnsi" w:hAnsiTheme="majorHAnsi"/>
          <w:sz w:val="20"/>
          <w:szCs w:val="20"/>
          <w:lang w:val="es-ES"/>
        </w:rPr>
        <w:t xml:space="preserve"> de</w:t>
      </w:r>
      <w:r w:rsidR="00AD0F50" w:rsidRPr="00304BBE">
        <w:rPr>
          <w:rFonts w:asciiTheme="majorHAnsi" w:hAnsiTheme="majorHAnsi"/>
          <w:sz w:val="20"/>
          <w:szCs w:val="20"/>
          <w:lang w:val="es-ES"/>
        </w:rPr>
        <w:t>cidió no hacer una revisión discrecional</w:t>
      </w:r>
      <w:r w:rsidR="007E2CB3" w:rsidRPr="00304BBE">
        <w:rPr>
          <w:rFonts w:asciiTheme="majorHAnsi" w:hAnsiTheme="majorHAnsi"/>
          <w:sz w:val="20"/>
          <w:szCs w:val="20"/>
          <w:lang w:val="es-ES"/>
        </w:rPr>
        <w:t xml:space="preserve"> </w:t>
      </w:r>
      <w:r w:rsidR="00AD0F50" w:rsidRPr="00304BBE">
        <w:rPr>
          <w:rFonts w:asciiTheme="majorHAnsi" w:hAnsiTheme="majorHAnsi"/>
          <w:sz w:val="20"/>
          <w:szCs w:val="20"/>
          <w:lang w:val="es-ES"/>
        </w:rPr>
        <w:t>de la apelación d</w:t>
      </w:r>
      <w:r w:rsidR="00D87346" w:rsidRPr="00304BBE">
        <w:rPr>
          <w:rFonts w:asciiTheme="majorHAnsi" w:hAnsiTheme="majorHAnsi"/>
          <w:sz w:val="20"/>
          <w:szCs w:val="20"/>
          <w:lang w:val="es-ES"/>
        </w:rPr>
        <w:t>el señor</w:t>
      </w:r>
      <w:r w:rsidR="007E2CB3" w:rsidRPr="00304BBE">
        <w:rPr>
          <w:rFonts w:asciiTheme="majorHAnsi" w:hAnsiTheme="majorHAnsi"/>
          <w:sz w:val="20"/>
          <w:szCs w:val="20"/>
          <w:lang w:val="es-ES"/>
        </w:rPr>
        <w:t xml:space="preserve"> Loza</w:t>
      </w:r>
      <w:r w:rsidR="00457974" w:rsidRPr="00304BBE">
        <w:rPr>
          <w:rStyle w:val="FootnoteReference"/>
          <w:rFonts w:asciiTheme="majorHAnsi" w:hAnsiTheme="majorHAnsi"/>
          <w:sz w:val="20"/>
          <w:szCs w:val="20"/>
          <w:lang w:val="es-ES"/>
        </w:rPr>
        <w:footnoteReference w:id="6"/>
      </w:r>
      <w:r w:rsidR="00AD0F50" w:rsidRPr="00304BBE">
        <w:rPr>
          <w:rFonts w:asciiTheme="majorHAnsi" w:hAnsiTheme="majorHAnsi"/>
          <w:sz w:val="20"/>
          <w:szCs w:val="20"/>
          <w:lang w:val="es-ES"/>
        </w:rPr>
        <w:t>. Tras la ratificación de su condena y sentencia y la denegación del</w:t>
      </w:r>
      <w:r w:rsidR="00860797" w:rsidRPr="00304BBE">
        <w:rPr>
          <w:rFonts w:asciiTheme="majorHAnsi" w:hAnsiTheme="majorHAnsi"/>
          <w:sz w:val="20"/>
          <w:szCs w:val="20"/>
          <w:lang w:val="es-ES"/>
        </w:rPr>
        <w:t xml:space="preserve"> </w:t>
      </w:r>
      <w:r w:rsidR="00AD0F50" w:rsidRPr="00304BBE">
        <w:rPr>
          <w:rFonts w:asciiTheme="majorHAnsi" w:hAnsiTheme="majorHAnsi"/>
          <w:sz w:val="20"/>
          <w:szCs w:val="20"/>
          <w:lang w:val="es-ES"/>
        </w:rPr>
        <w:t xml:space="preserve">recurso de reparación </w:t>
      </w:r>
      <w:proofErr w:type="spellStart"/>
      <w:r w:rsidR="00AD0F50" w:rsidRPr="00304BBE">
        <w:rPr>
          <w:rFonts w:asciiTheme="majorHAnsi" w:hAnsiTheme="majorHAnsi"/>
          <w:sz w:val="20"/>
          <w:szCs w:val="20"/>
          <w:lang w:val="es-ES"/>
        </w:rPr>
        <w:t>poscondenatoria</w:t>
      </w:r>
      <w:proofErr w:type="spellEnd"/>
      <w:r w:rsidR="00457974" w:rsidRPr="00304BBE">
        <w:rPr>
          <w:rFonts w:asciiTheme="majorHAnsi" w:hAnsiTheme="majorHAnsi"/>
          <w:sz w:val="20"/>
          <w:szCs w:val="20"/>
          <w:lang w:val="es-ES"/>
        </w:rPr>
        <w:t xml:space="preserve">, </w:t>
      </w:r>
      <w:r w:rsidR="00D87346" w:rsidRPr="00304BBE">
        <w:rPr>
          <w:rFonts w:asciiTheme="majorHAnsi" w:hAnsiTheme="majorHAnsi"/>
          <w:sz w:val="20"/>
          <w:szCs w:val="20"/>
          <w:lang w:val="es-ES"/>
        </w:rPr>
        <w:t>el señor</w:t>
      </w:r>
      <w:r w:rsidR="00457974" w:rsidRPr="00304BBE">
        <w:rPr>
          <w:rFonts w:asciiTheme="majorHAnsi" w:hAnsiTheme="majorHAnsi"/>
          <w:sz w:val="20"/>
          <w:szCs w:val="20"/>
          <w:lang w:val="es-ES"/>
        </w:rPr>
        <w:t xml:space="preserve"> Loza </w:t>
      </w:r>
      <w:r w:rsidR="00AD0F50" w:rsidRPr="00304BBE">
        <w:rPr>
          <w:rFonts w:asciiTheme="majorHAnsi" w:hAnsiTheme="majorHAnsi"/>
          <w:sz w:val="20"/>
          <w:szCs w:val="20"/>
          <w:lang w:val="es-ES"/>
        </w:rPr>
        <w:t>interpuso un recurso de</w:t>
      </w:r>
      <w:r w:rsidR="00457974" w:rsidRPr="00304BBE">
        <w:rPr>
          <w:rFonts w:asciiTheme="majorHAnsi" w:hAnsiTheme="majorHAnsi"/>
          <w:sz w:val="20"/>
          <w:szCs w:val="20"/>
          <w:lang w:val="es-ES"/>
        </w:rPr>
        <w:t xml:space="preserve"> h</w:t>
      </w:r>
      <w:r w:rsidR="00AD0F50" w:rsidRPr="00304BBE">
        <w:rPr>
          <w:rFonts w:asciiTheme="majorHAnsi" w:hAnsiTheme="majorHAnsi"/>
          <w:sz w:val="20"/>
          <w:szCs w:val="20"/>
          <w:lang w:val="es-ES"/>
        </w:rPr>
        <w:t>á</w:t>
      </w:r>
      <w:r w:rsidR="00457974" w:rsidRPr="00304BBE">
        <w:rPr>
          <w:rFonts w:asciiTheme="majorHAnsi" w:hAnsiTheme="majorHAnsi"/>
          <w:sz w:val="20"/>
          <w:szCs w:val="20"/>
          <w:lang w:val="es-ES"/>
        </w:rPr>
        <w:t xml:space="preserve">beas corpus </w:t>
      </w:r>
      <w:r w:rsidR="00AD0F50" w:rsidRPr="00304BBE">
        <w:rPr>
          <w:rFonts w:asciiTheme="majorHAnsi" w:hAnsiTheme="majorHAnsi"/>
          <w:sz w:val="20"/>
          <w:szCs w:val="20"/>
          <w:lang w:val="es-ES"/>
        </w:rPr>
        <w:t>en el tribunal de distrito</w:t>
      </w:r>
      <w:r w:rsidR="00964917" w:rsidRPr="00304BBE">
        <w:rPr>
          <w:rFonts w:asciiTheme="majorHAnsi" w:hAnsiTheme="majorHAnsi"/>
          <w:sz w:val="20"/>
          <w:szCs w:val="20"/>
          <w:lang w:val="es-ES"/>
        </w:rPr>
        <w:t>.</w:t>
      </w:r>
      <w:r w:rsidR="00304BBE" w:rsidRPr="00304BBE">
        <w:rPr>
          <w:rFonts w:asciiTheme="majorHAnsi" w:hAnsiTheme="majorHAnsi"/>
          <w:sz w:val="20"/>
          <w:szCs w:val="20"/>
          <w:lang w:val="es-ES"/>
        </w:rPr>
        <w:t xml:space="preserve"> </w:t>
      </w:r>
      <w:r w:rsidR="00304BBE">
        <w:rPr>
          <w:rFonts w:asciiTheme="majorHAnsi" w:hAnsiTheme="majorHAnsi"/>
          <w:sz w:val="20"/>
          <w:szCs w:val="20"/>
          <w:lang w:val="es-ES"/>
        </w:rPr>
        <w:t>E</w:t>
      </w:r>
      <w:r w:rsidR="00304BBE" w:rsidRPr="00304BBE">
        <w:rPr>
          <w:rFonts w:asciiTheme="majorHAnsi" w:hAnsiTheme="majorHAnsi"/>
          <w:sz w:val="20"/>
          <w:szCs w:val="20"/>
          <w:lang w:val="es-ES"/>
        </w:rPr>
        <w:t>l 31 de marzo de 2010</w:t>
      </w:r>
      <w:r w:rsidR="00304BBE">
        <w:rPr>
          <w:rFonts w:asciiTheme="majorHAnsi" w:hAnsiTheme="majorHAnsi"/>
          <w:sz w:val="20"/>
          <w:szCs w:val="20"/>
          <w:lang w:val="es-ES"/>
        </w:rPr>
        <w:t>, e</w:t>
      </w:r>
      <w:r w:rsidR="00175318" w:rsidRPr="00304BBE">
        <w:rPr>
          <w:rFonts w:asciiTheme="majorHAnsi" w:hAnsiTheme="majorHAnsi"/>
          <w:sz w:val="20"/>
          <w:szCs w:val="20"/>
          <w:lang w:val="es-ES"/>
        </w:rPr>
        <w:t>l Tribunal Federal de Distrito para el Distrito del Sur de Ohio</w:t>
      </w:r>
      <w:r w:rsidR="00457974" w:rsidRPr="00304BBE">
        <w:rPr>
          <w:rFonts w:asciiTheme="majorHAnsi" w:hAnsiTheme="majorHAnsi"/>
          <w:sz w:val="20"/>
          <w:szCs w:val="20"/>
          <w:lang w:val="es-ES"/>
        </w:rPr>
        <w:t xml:space="preserve"> den</w:t>
      </w:r>
      <w:r w:rsidR="00AD0F50" w:rsidRPr="00304BBE">
        <w:rPr>
          <w:rFonts w:asciiTheme="majorHAnsi" w:hAnsiTheme="majorHAnsi"/>
          <w:sz w:val="20"/>
          <w:szCs w:val="20"/>
          <w:lang w:val="es-ES"/>
        </w:rPr>
        <w:t>egó el recurso de</w:t>
      </w:r>
      <w:r w:rsidR="00457974" w:rsidRPr="00304BBE">
        <w:rPr>
          <w:rFonts w:asciiTheme="majorHAnsi" w:hAnsiTheme="majorHAnsi"/>
          <w:sz w:val="20"/>
          <w:szCs w:val="20"/>
          <w:lang w:val="es-ES"/>
        </w:rPr>
        <w:t xml:space="preserve"> </w:t>
      </w:r>
      <w:r w:rsidR="00895C72" w:rsidRPr="00304BBE">
        <w:rPr>
          <w:rFonts w:asciiTheme="majorHAnsi" w:hAnsiTheme="majorHAnsi"/>
          <w:sz w:val="20"/>
          <w:szCs w:val="20"/>
          <w:lang w:val="es-ES"/>
        </w:rPr>
        <w:t>h</w:t>
      </w:r>
      <w:r w:rsidR="00AD0F50" w:rsidRPr="00304BBE">
        <w:rPr>
          <w:rFonts w:asciiTheme="majorHAnsi" w:hAnsiTheme="majorHAnsi"/>
          <w:sz w:val="20"/>
          <w:szCs w:val="20"/>
          <w:lang w:val="es-ES"/>
        </w:rPr>
        <w:t>á</w:t>
      </w:r>
      <w:r w:rsidR="00895C72" w:rsidRPr="00304BBE">
        <w:rPr>
          <w:rFonts w:asciiTheme="majorHAnsi" w:hAnsiTheme="majorHAnsi"/>
          <w:sz w:val="20"/>
          <w:szCs w:val="20"/>
          <w:lang w:val="es-ES"/>
        </w:rPr>
        <w:t xml:space="preserve">beas corpus </w:t>
      </w:r>
      <w:r w:rsidR="00AD0F50" w:rsidRPr="00304BBE">
        <w:rPr>
          <w:rFonts w:asciiTheme="majorHAnsi" w:hAnsiTheme="majorHAnsi"/>
          <w:sz w:val="20"/>
          <w:szCs w:val="20"/>
          <w:lang w:val="es-ES"/>
        </w:rPr>
        <w:t>y desestimó la acción</w:t>
      </w:r>
      <w:r w:rsidR="006A5570" w:rsidRPr="00304BBE">
        <w:rPr>
          <w:rFonts w:asciiTheme="majorHAnsi" w:hAnsiTheme="majorHAnsi"/>
          <w:sz w:val="20"/>
          <w:szCs w:val="20"/>
          <w:lang w:val="es-ES"/>
        </w:rPr>
        <w:t>.</w:t>
      </w:r>
      <w:r w:rsidR="00895C72" w:rsidRPr="00304BBE">
        <w:rPr>
          <w:rFonts w:asciiTheme="majorHAnsi" w:hAnsiTheme="majorHAnsi"/>
          <w:sz w:val="20"/>
          <w:szCs w:val="20"/>
          <w:lang w:val="es-ES"/>
        </w:rPr>
        <w:t xml:space="preserve"> </w:t>
      </w:r>
      <w:r w:rsidR="00AD0F50" w:rsidRPr="00304BBE">
        <w:rPr>
          <w:rFonts w:asciiTheme="majorHAnsi" w:hAnsiTheme="majorHAnsi"/>
          <w:sz w:val="20"/>
          <w:szCs w:val="20"/>
          <w:lang w:val="es-ES"/>
        </w:rPr>
        <w:t>E</w:t>
      </w:r>
      <w:r w:rsidR="00D87346" w:rsidRPr="00304BBE">
        <w:rPr>
          <w:rFonts w:asciiTheme="majorHAnsi" w:hAnsiTheme="majorHAnsi"/>
          <w:sz w:val="20"/>
          <w:szCs w:val="20"/>
          <w:lang w:val="es-ES"/>
        </w:rPr>
        <w:t>l señor</w:t>
      </w:r>
      <w:r w:rsidR="00895C72" w:rsidRPr="00304BBE">
        <w:rPr>
          <w:rFonts w:asciiTheme="majorHAnsi" w:hAnsiTheme="majorHAnsi"/>
          <w:sz w:val="20"/>
          <w:szCs w:val="20"/>
          <w:lang w:val="es-ES"/>
        </w:rPr>
        <w:t xml:space="preserve"> Loza </w:t>
      </w:r>
      <w:r w:rsidR="00AD0F50" w:rsidRPr="00304BBE">
        <w:rPr>
          <w:rFonts w:asciiTheme="majorHAnsi" w:hAnsiTheme="majorHAnsi"/>
          <w:sz w:val="20"/>
          <w:szCs w:val="20"/>
          <w:lang w:val="es-ES"/>
        </w:rPr>
        <w:t xml:space="preserve">apeló la denegación. El 24 de octubre de 2014, </w:t>
      </w:r>
      <w:r w:rsidR="00175318" w:rsidRPr="00304BBE">
        <w:rPr>
          <w:rFonts w:asciiTheme="majorHAnsi" w:hAnsiTheme="majorHAnsi"/>
          <w:sz w:val="20"/>
          <w:szCs w:val="20"/>
          <w:lang w:val="es-ES"/>
        </w:rPr>
        <w:t>el Tribunal Federal de Apelaciones</w:t>
      </w:r>
      <w:r w:rsidR="00AD0F50" w:rsidRPr="00304BBE">
        <w:rPr>
          <w:rFonts w:asciiTheme="majorHAnsi" w:hAnsiTheme="majorHAnsi"/>
          <w:sz w:val="20"/>
          <w:szCs w:val="20"/>
          <w:lang w:val="es-ES"/>
        </w:rPr>
        <w:t xml:space="preserve"> ratificó la decisión del tribunal de distrito de desestimar el recurso de hábeas corpus interpuesto por</w:t>
      </w:r>
      <w:r w:rsidR="00895C72" w:rsidRPr="00304BBE">
        <w:rPr>
          <w:rFonts w:asciiTheme="majorHAnsi" w:hAnsiTheme="majorHAnsi"/>
          <w:sz w:val="20"/>
          <w:szCs w:val="20"/>
          <w:lang w:val="es-ES"/>
        </w:rPr>
        <w:t xml:space="preserve"> </w:t>
      </w:r>
      <w:r w:rsidR="00D87346" w:rsidRPr="00304BBE">
        <w:rPr>
          <w:rFonts w:asciiTheme="majorHAnsi" w:hAnsiTheme="majorHAnsi"/>
          <w:sz w:val="20"/>
          <w:szCs w:val="20"/>
          <w:lang w:val="es-ES"/>
        </w:rPr>
        <w:t>el señor</w:t>
      </w:r>
      <w:r w:rsidR="009039DC" w:rsidRPr="00304BBE">
        <w:rPr>
          <w:rFonts w:asciiTheme="majorHAnsi" w:hAnsiTheme="majorHAnsi"/>
          <w:sz w:val="20"/>
          <w:szCs w:val="20"/>
          <w:lang w:val="es-ES"/>
        </w:rPr>
        <w:t xml:space="preserve"> </w:t>
      </w:r>
      <w:r w:rsidR="00895C72" w:rsidRPr="00304BBE">
        <w:rPr>
          <w:rFonts w:asciiTheme="majorHAnsi" w:hAnsiTheme="majorHAnsi"/>
          <w:sz w:val="20"/>
          <w:szCs w:val="20"/>
          <w:lang w:val="es-ES"/>
        </w:rPr>
        <w:t xml:space="preserve">Loza. </w:t>
      </w:r>
      <w:r w:rsidR="00AD0F50" w:rsidRPr="00304BBE">
        <w:rPr>
          <w:rFonts w:asciiTheme="majorHAnsi" w:hAnsiTheme="majorHAnsi"/>
          <w:sz w:val="20"/>
          <w:szCs w:val="20"/>
          <w:lang w:val="es-ES"/>
        </w:rPr>
        <w:t xml:space="preserve">El </w:t>
      </w:r>
      <w:r w:rsidR="005C566A" w:rsidRPr="00304BBE">
        <w:rPr>
          <w:rFonts w:asciiTheme="majorHAnsi" w:hAnsiTheme="majorHAnsi"/>
          <w:sz w:val="20"/>
          <w:szCs w:val="20"/>
          <w:lang w:val="es-ES"/>
        </w:rPr>
        <w:t>29</w:t>
      </w:r>
      <w:r w:rsidR="00AD0F50" w:rsidRPr="00304BBE">
        <w:rPr>
          <w:rFonts w:asciiTheme="majorHAnsi" w:hAnsiTheme="majorHAnsi"/>
          <w:sz w:val="20"/>
          <w:szCs w:val="20"/>
          <w:lang w:val="es-ES"/>
        </w:rPr>
        <w:t xml:space="preserve"> de junio de</w:t>
      </w:r>
      <w:r w:rsidR="005C566A" w:rsidRPr="00304BBE">
        <w:rPr>
          <w:rFonts w:asciiTheme="majorHAnsi" w:hAnsiTheme="majorHAnsi"/>
          <w:sz w:val="20"/>
          <w:szCs w:val="20"/>
          <w:lang w:val="es-ES"/>
        </w:rPr>
        <w:t xml:space="preserve"> 2015</w:t>
      </w:r>
      <w:r w:rsidR="00AD0F50" w:rsidRPr="00304BBE">
        <w:rPr>
          <w:rFonts w:asciiTheme="majorHAnsi" w:hAnsiTheme="majorHAnsi"/>
          <w:sz w:val="20"/>
          <w:szCs w:val="20"/>
          <w:lang w:val="es-ES"/>
        </w:rPr>
        <w:t>,</w:t>
      </w:r>
      <w:r w:rsidR="005C566A" w:rsidRPr="00304BBE">
        <w:rPr>
          <w:rFonts w:asciiTheme="majorHAnsi" w:hAnsiTheme="majorHAnsi"/>
          <w:sz w:val="20"/>
          <w:szCs w:val="20"/>
          <w:lang w:val="es-ES"/>
        </w:rPr>
        <w:t xml:space="preserve"> </w:t>
      </w:r>
      <w:r w:rsidR="00175318" w:rsidRPr="00304BBE">
        <w:rPr>
          <w:rFonts w:asciiTheme="majorHAnsi" w:hAnsiTheme="majorHAnsi"/>
          <w:sz w:val="20"/>
          <w:szCs w:val="20"/>
          <w:lang w:val="es-ES"/>
        </w:rPr>
        <w:t>la Corte Suprema de Estados Unidos</w:t>
      </w:r>
      <w:r w:rsidR="005C566A" w:rsidRPr="00304BBE">
        <w:rPr>
          <w:rFonts w:asciiTheme="majorHAnsi" w:hAnsiTheme="majorHAnsi"/>
          <w:sz w:val="20"/>
          <w:szCs w:val="20"/>
          <w:lang w:val="es-ES"/>
        </w:rPr>
        <w:t xml:space="preserve"> de</w:t>
      </w:r>
      <w:r w:rsidR="00AD0F50" w:rsidRPr="00304BBE">
        <w:rPr>
          <w:rFonts w:asciiTheme="majorHAnsi" w:hAnsiTheme="majorHAnsi"/>
          <w:sz w:val="20"/>
          <w:szCs w:val="20"/>
          <w:lang w:val="es-ES"/>
        </w:rPr>
        <w:t xml:space="preserve">negó la petición de </w:t>
      </w:r>
      <w:r w:rsidR="00175318" w:rsidRPr="00304BBE">
        <w:rPr>
          <w:rFonts w:asciiTheme="majorHAnsi" w:hAnsiTheme="majorHAnsi"/>
          <w:sz w:val="20"/>
          <w:szCs w:val="20"/>
          <w:lang w:val="es-ES"/>
        </w:rPr>
        <w:t>auto de avocación</w:t>
      </w:r>
      <w:r w:rsidR="00AD0F50" w:rsidRPr="00304BBE">
        <w:rPr>
          <w:rFonts w:asciiTheme="majorHAnsi" w:hAnsiTheme="majorHAnsi"/>
          <w:sz w:val="20"/>
          <w:szCs w:val="20"/>
          <w:lang w:val="es-ES"/>
        </w:rPr>
        <w:t xml:space="preserve"> presentada por el señor Loza</w:t>
      </w:r>
      <w:r w:rsidR="005C566A" w:rsidRPr="00304BBE">
        <w:rPr>
          <w:rFonts w:asciiTheme="majorHAnsi" w:hAnsiTheme="majorHAnsi"/>
          <w:sz w:val="20"/>
          <w:szCs w:val="20"/>
          <w:lang w:val="es-ES"/>
        </w:rPr>
        <w:t xml:space="preserve">. </w:t>
      </w:r>
    </w:p>
    <w:p w14:paraId="517EC0E0" w14:textId="77777777" w:rsidR="00837EDD" w:rsidRPr="007A3389" w:rsidRDefault="00837EDD" w:rsidP="00837EDD">
      <w:pPr>
        <w:pStyle w:val="ListParagraph"/>
        <w:rPr>
          <w:rFonts w:asciiTheme="majorHAnsi" w:hAnsiTheme="majorHAnsi"/>
          <w:sz w:val="20"/>
          <w:szCs w:val="20"/>
          <w:lang w:val="es-ES"/>
        </w:rPr>
      </w:pPr>
    </w:p>
    <w:p w14:paraId="06BA339C" w14:textId="77777777" w:rsidR="00C4237D" w:rsidRPr="007A3389" w:rsidRDefault="00AD0F50" w:rsidP="00812C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color w:val="FF0000"/>
          <w:sz w:val="20"/>
          <w:szCs w:val="20"/>
          <w:lang w:val="es-ES"/>
        </w:rPr>
      </w:pPr>
      <w:r>
        <w:rPr>
          <w:rFonts w:asciiTheme="majorHAnsi" w:hAnsiTheme="majorHAnsi"/>
          <w:sz w:val="20"/>
          <w:szCs w:val="20"/>
          <w:lang w:val="es-ES"/>
        </w:rPr>
        <w:t>Sobre la base de la información disponible</w:t>
      </w:r>
      <w:r w:rsidR="00FC5458" w:rsidRPr="007A3389">
        <w:rPr>
          <w:rFonts w:asciiTheme="majorHAnsi" w:hAnsiTheme="majorHAnsi"/>
          <w:sz w:val="20"/>
          <w:szCs w:val="20"/>
          <w:lang w:val="es-ES"/>
        </w:rPr>
        <w:t xml:space="preserve">, </w:t>
      </w:r>
      <w:r w:rsidR="00631955" w:rsidRPr="007A3389">
        <w:rPr>
          <w:rFonts w:asciiTheme="majorHAnsi" w:hAnsiTheme="majorHAnsi"/>
          <w:sz w:val="20"/>
          <w:szCs w:val="20"/>
          <w:lang w:val="es-ES"/>
        </w:rPr>
        <w:t>la CIDH</w:t>
      </w:r>
      <w:r w:rsidR="00FC5458" w:rsidRPr="007A3389">
        <w:rPr>
          <w:rFonts w:asciiTheme="majorHAnsi" w:hAnsiTheme="majorHAnsi"/>
          <w:sz w:val="20"/>
          <w:szCs w:val="20"/>
          <w:lang w:val="es-ES"/>
        </w:rPr>
        <w:t xml:space="preserve"> </w:t>
      </w:r>
      <w:r>
        <w:rPr>
          <w:rFonts w:asciiTheme="majorHAnsi" w:hAnsiTheme="majorHAnsi"/>
          <w:sz w:val="20"/>
          <w:szCs w:val="20"/>
          <w:lang w:val="es-ES"/>
        </w:rPr>
        <w:t>observa que</w:t>
      </w:r>
      <w:r w:rsidR="00FC5458" w:rsidRPr="007A3389">
        <w:rPr>
          <w:rFonts w:asciiTheme="majorHAnsi" w:hAnsiTheme="majorHAnsi"/>
          <w:sz w:val="20"/>
          <w:szCs w:val="20"/>
          <w:lang w:val="es-ES"/>
        </w:rPr>
        <w:t xml:space="preserve"> </w:t>
      </w:r>
      <w:r w:rsidR="005019B9" w:rsidRPr="007A3389">
        <w:rPr>
          <w:rFonts w:asciiTheme="majorHAnsi" w:hAnsiTheme="majorHAnsi"/>
          <w:sz w:val="20"/>
          <w:szCs w:val="20"/>
          <w:lang w:val="es-ES"/>
        </w:rPr>
        <w:t>la presunta víctima</w:t>
      </w:r>
      <w:r w:rsidR="00AF010B" w:rsidRPr="007A3389">
        <w:rPr>
          <w:rFonts w:asciiTheme="majorHAnsi" w:hAnsiTheme="majorHAnsi"/>
          <w:sz w:val="20"/>
          <w:szCs w:val="20"/>
          <w:lang w:val="es-ES"/>
        </w:rPr>
        <w:t xml:space="preserve"> ha</w:t>
      </w:r>
      <w:r>
        <w:rPr>
          <w:rFonts w:asciiTheme="majorHAnsi" w:hAnsiTheme="majorHAnsi"/>
          <w:sz w:val="20"/>
          <w:szCs w:val="20"/>
          <w:lang w:val="es-ES"/>
        </w:rPr>
        <w:t xml:space="preserve"> agotado no solo todos los procedimientos de revisión directa, sino también las </w:t>
      </w:r>
      <w:r w:rsidR="00175318">
        <w:rPr>
          <w:rFonts w:asciiTheme="majorHAnsi" w:hAnsiTheme="majorHAnsi"/>
          <w:sz w:val="20"/>
          <w:szCs w:val="20"/>
          <w:lang w:val="es-ES"/>
        </w:rPr>
        <w:t xml:space="preserve">actuaciones </w:t>
      </w:r>
      <w:proofErr w:type="spellStart"/>
      <w:r w:rsidR="00175318">
        <w:rPr>
          <w:rFonts w:asciiTheme="majorHAnsi" w:hAnsiTheme="majorHAnsi"/>
          <w:sz w:val="20"/>
          <w:szCs w:val="20"/>
          <w:lang w:val="es-ES"/>
        </w:rPr>
        <w:t>poscondenatorias</w:t>
      </w:r>
      <w:proofErr w:type="spellEnd"/>
      <w:r w:rsidR="00175318">
        <w:rPr>
          <w:rFonts w:asciiTheme="majorHAnsi" w:hAnsiTheme="majorHAnsi"/>
          <w:sz w:val="20"/>
          <w:szCs w:val="20"/>
          <w:lang w:val="es-ES"/>
        </w:rPr>
        <w:t xml:space="preserve"> en los ámbitos estatal y federal</w:t>
      </w:r>
      <w:r w:rsidR="00837EDD" w:rsidRPr="007A3389">
        <w:rPr>
          <w:rFonts w:asciiTheme="majorHAnsi" w:hAnsiTheme="majorHAnsi"/>
          <w:sz w:val="20"/>
          <w:szCs w:val="20"/>
          <w:lang w:val="es-ES"/>
        </w:rPr>
        <w:t xml:space="preserve">. </w:t>
      </w:r>
      <w:r w:rsidR="00631955" w:rsidRPr="007A3389">
        <w:rPr>
          <w:rFonts w:asciiTheme="majorHAnsi" w:hAnsiTheme="majorHAnsi"/>
          <w:sz w:val="20"/>
          <w:szCs w:val="20"/>
          <w:lang w:val="es-ES"/>
        </w:rPr>
        <w:t>La CIDH</w:t>
      </w:r>
      <w:r w:rsidR="00C02A78" w:rsidRPr="007A3389">
        <w:rPr>
          <w:rFonts w:asciiTheme="majorHAnsi" w:hAnsiTheme="majorHAnsi"/>
          <w:sz w:val="20"/>
          <w:szCs w:val="20"/>
          <w:lang w:val="es-ES"/>
        </w:rPr>
        <w:t xml:space="preserve"> </w:t>
      </w:r>
      <w:r>
        <w:rPr>
          <w:rFonts w:asciiTheme="majorHAnsi" w:hAnsiTheme="majorHAnsi"/>
          <w:sz w:val="20"/>
          <w:szCs w:val="20"/>
          <w:lang w:val="es-ES"/>
        </w:rPr>
        <w:t xml:space="preserve">observa asimismo que el </w:t>
      </w:r>
      <w:r w:rsidR="00631955" w:rsidRPr="007A3389">
        <w:rPr>
          <w:rFonts w:asciiTheme="majorHAnsi" w:hAnsiTheme="majorHAnsi"/>
          <w:sz w:val="20"/>
          <w:szCs w:val="20"/>
          <w:lang w:val="es-ES"/>
        </w:rPr>
        <w:t>petici</w:t>
      </w:r>
      <w:r>
        <w:rPr>
          <w:rFonts w:asciiTheme="majorHAnsi" w:hAnsiTheme="majorHAnsi"/>
          <w:sz w:val="20"/>
          <w:szCs w:val="20"/>
          <w:lang w:val="es-ES"/>
        </w:rPr>
        <w:t>onario interpuso un reclamo</w:t>
      </w:r>
      <w:r w:rsidRPr="00AD0F50">
        <w:rPr>
          <w:rFonts w:asciiTheme="majorHAnsi" w:hAnsiTheme="majorHAnsi"/>
          <w:sz w:val="20"/>
          <w:szCs w:val="20"/>
          <w:lang w:val="es-ES"/>
        </w:rPr>
        <w:t xml:space="preserve"> ante tribunales de jurisdicción interna</w:t>
      </w:r>
      <w:r>
        <w:rPr>
          <w:rFonts w:asciiTheme="majorHAnsi" w:hAnsiTheme="majorHAnsi"/>
          <w:sz w:val="20"/>
          <w:szCs w:val="20"/>
          <w:lang w:val="es-ES"/>
        </w:rPr>
        <w:t xml:space="preserve"> en relación con los fármacos utilizados para la</w:t>
      </w:r>
      <w:r w:rsidR="003070EA" w:rsidRPr="007A3389">
        <w:rPr>
          <w:rFonts w:asciiTheme="majorHAnsi" w:hAnsiTheme="majorHAnsi"/>
          <w:sz w:val="20"/>
          <w:szCs w:val="20"/>
          <w:lang w:val="es-ES"/>
        </w:rPr>
        <w:t xml:space="preserve"> </w:t>
      </w:r>
      <w:r w:rsidR="003A46FC">
        <w:rPr>
          <w:rFonts w:asciiTheme="majorHAnsi" w:hAnsiTheme="majorHAnsi"/>
          <w:sz w:val="20"/>
          <w:szCs w:val="20"/>
          <w:lang w:val="es-ES"/>
        </w:rPr>
        <w:t>inyección letal</w:t>
      </w:r>
      <w:r w:rsidR="003C4F69" w:rsidRPr="007A3389">
        <w:rPr>
          <w:rFonts w:asciiTheme="majorHAnsi" w:hAnsiTheme="majorHAnsi"/>
          <w:sz w:val="20"/>
          <w:szCs w:val="20"/>
          <w:lang w:val="es-ES"/>
        </w:rPr>
        <w:t>.</w:t>
      </w:r>
      <w:r w:rsidR="00C02A78" w:rsidRPr="007A3389">
        <w:rPr>
          <w:rFonts w:asciiTheme="majorHAnsi" w:hAnsiTheme="majorHAnsi"/>
          <w:sz w:val="20"/>
          <w:szCs w:val="20"/>
          <w:lang w:val="es-ES"/>
        </w:rPr>
        <w:t xml:space="preserve"> </w:t>
      </w:r>
    </w:p>
    <w:p w14:paraId="305AA02B" w14:textId="77777777" w:rsidR="00FB0135" w:rsidRPr="007A3389" w:rsidRDefault="00FB0135" w:rsidP="00FB0135">
      <w:pPr>
        <w:pStyle w:val="ListParagraph"/>
        <w:rPr>
          <w:rFonts w:asciiTheme="majorHAnsi" w:hAnsiTheme="majorHAnsi"/>
          <w:color w:val="FF0000"/>
          <w:sz w:val="20"/>
          <w:szCs w:val="20"/>
          <w:lang w:val="es-ES"/>
        </w:rPr>
      </w:pPr>
    </w:p>
    <w:p w14:paraId="1FBF69D0" w14:textId="77777777" w:rsidR="00FB0135" w:rsidRPr="007A3389" w:rsidRDefault="00AD0F50" w:rsidP="00FB0135">
      <w:pPr>
        <w:pStyle w:val="parrafos"/>
        <w:numPr>
          <w:ilvl w:val="0"/>
          <w:numId w:val="55"/>
        </w:numPr>
        <w:ind w:left="0" w:firstLine="0"/>
        <w:rPr>
          <w:lang w:val="es-ES"/>
        </w:rPr>
      </w:pPr>
      <w:r>
        <w:rPr>
          <w:lang w:val="es-ES"/>
        </w:rPr>
        <w:t>Por consiguiente</w:t>
      </w:r>
      <w:r w:rsidR="00FB0135" w:rsidRPr="007A3389">
        <w:rPr>
          <w:lang w:val="es-ES"/>
        </w:rPr>
        <w:t xml:space="preserve">, </w:t>
      </w:r>
      <w:r w:rsidR="008A10AB" w:rsidRPr="007A3389">
        <w:rPr>
          <w:lang w:val="es-ES"/>
        </w:rPr>
        <w:t>la Comisión Interamericana</w:t>
      </w:r>
      <w:r w:rsidR="00FB0135" w:rsidRPr="007A3389">
        <w:rPr>
          <w:lang w:val="es-ES"/>
        </w:rPr>
        <w:t xml:space="preserve"> conclu</w:t>
      </w:r>
      <w:r>
        <w:rPr>
          <w:lang w:val="es-ES"/>
        </w:rPr>
        <w:t xml:space="preserve">ye que </w:t>
      </w:r>
      <w:r w:rsidR="00C4237F">
        <w:rPr>
          <w:lang w:val="es-ES"/>
        </w:rPr>
        <w:t xml:space="preserve">el </w:t>
      </w:r>
      <w:r w:rsidR="00631955" w:rsidRPr="007A3389">
        <w:rPr>
          <w:lang w:val="es-ES"/>
        </w:rPr>
        <w:t>petici</w:t>
      </w:r>
      <w:r w:rsidR="00C4237F">
        <w:rPr>
          <w:lang w:val="es-ES"/>
        </w:rPr>
        <w:t xml:space="preserve">onario agotó debidamente los recursos que tenía a su alcance en el ordenamiento jurídico interno </w:t>
      </w:r>
      <w:r>
        <w:rPr>
          <w:lang w:val="es-ES"/>
        </w:rPr>
        <w:t xml:space="preserve">y que, por lo tanto, </w:t>
      </w:r>
      <w:r w:rsidR="00CD3E41">
        <w:rPr>
          <w:lang w:val="es-ES"/>
        </w:rPr>
        <w:t>el requisito de agotamiento de los recursos internos dispuesto en el</w:t>
      </w:r>
      <w:r w:rsidR="00CD3E41" w:rsidRPr="00CD3E41">
        <w:rPr>
          <w:lang w:val="es-ES"/>
        </w:rPr>
        <w:t xml:space="preserve"> artículo 31.1 de su Reglamento </w:t>
      </w:r>
      <w:r w:rsidR="00CD3E41">
        <w:rPr>
          <w:lang w:val="es-ES"/>
        </w:rPr>
        <w:t xml:space="preserve">no le impide conocer de </w:t>
      </w:r>
      <w:r>
        <w:rPr>
          <w:lang w:val="es-ES"/>
        </w:rPr>
        <w:t xml:space="preserve">los reclamos de </w:t>
      </w:r>
      <w:r w:rsidR="005019B9" w:rsidRPr="007A3389">
        <w:rPr>
          <w:lang w:val="es-ES"/>
        </w:rPr>
        <w:t>la presunta víctima</w:t>
      </w:r>
      <w:r w:rsidR="00FB0135" w:rsidRPr="007A3389">
        <w:rPr>
          <w:lang w:val="es-ES"/>
        </w:rPr>
        <w:t>.</w:t>
      </w:r>
      <w:r w:rsidR="00C43943" w:rsidRPr="007A3389">
        <w:rPr>
          <w:lang w:val="es-ES"/>
        </w:rPr>
        <w:t xml:space="preserve"> </w:t>
      </w:r>
      <w:r w:rsidR="00631955" w:rsidRPr="007A3389">
        <w:rPr>
          <w:lang w:val="es-ES"/>
        </w:rPr>
        <w:t>La petición</w:t>
      </w:r>
      <w:r w:rsidR="00C43943" w:rsidRPr="007A3389">
        <w:rPr>
          <w:lang w:val="es-ES"/>
        </w:rPr>
        <w:t xml:space="preserve"> </w:t>
      </w:r>
      <w:r w:rsidR="00CD3E41">
        <w:rPr>
          <w:lang w:val="es-ES"/>
        </w:rPr>
        <w:t xml:space="preserve">que obra ante </w:t>
      </w:r>
      <w:r w:rsidR="00631955" w:rsidRPr="007A3389">
        <w:rPr>
          <w:lang w:val="es-ES"/>
        </w:rPr>
        <w:t>la CIDH</w:t>
      </w:r>
      <w:r w:rsidR="00C43943" w:rsidRPr="007A3389">
        <w:rPr>
          <w:lang w:val="es-ES"/>
        </w:rPr>
        <w:t xml:space="preserve"> </w:t>
      </w:r>
      <w:r w:rsidR="00CD3E41">
        <w:rPr>
          <w:lang w:val="es-ES"/>
        </w:rPr>
        <w:t xml:space="preserve">fue presentada el </w:t>
      </w:r>
      <w:r w:rsidR="001913E1" w:rsidRPr="007A3389">
        <w:rPr>
          <w:lang w:val="es-ES"/>
        </w:rPr>
        <w:t>17</w:t>
      </w:r>
      <w:r w:rsidR="00CD3E41">
        <w:rPr>
          <w:lang w:val="es-ES"/>
        </w:rPr>
        <w:t xml:space="preserve"> de julio de</w:t>
      </w:r>
      <w:r w:rsidR="001913E1" w:rsidRPr="007A3389">
        <w:rPr>
          <w:lang w:val="es-ES"/>
        </w:rPr>
        <w:t xml:space="preserve"> 2015</w:t>
      </w:r>
      <w:r w:rsidR="00C43943" w:rsidRPr="007A3389">
        <w:rPr>
          <w:lang w:val="es-ES"/>
        </w:rPr>
        <w:t xml:space="preserve">, </w:t>
      </w:r>
      <w:r w:rsidR="00CD3E41">
        <w:rPr>
          <w:lang w:val="es-ES"/>
        </w:rPr>
        <w:t>y</w:t>
      </w:r>
      <w:r w:rsidR="00C43943" w:rsidRPr="007A3389">
        <w:rPr>
          <w:lang w:val="es-ES"/>
        </w:rPr>
        <w:t xml:space="preserve"> </w:t>
      </w:r>
      <w:r w:rsidR="00175318">
        <w:rPr>
          <w:lang w:val="es-ES"/>
        </w:rPr>
        <w:t>la Corte Suprema de Estados Unidos</w:t>
      </w:r>
      <w:r w:rsidR="005C566A" w:rsidRPr="007A3389">
        <w:rPr>
          <w:lang w:val="es-ES"/>
        </w:rPr>
        <w:t xml:space="preserve"> den</w:t>
      </w:r>
      <w:r w:rsidR="00CD3E41">
        <w:rPr>
          <w:lang w:val="es-ES"/>
        </w:rPr>
        <w:t xml:space="preserve">egó el </w:t>
      </w:r>
      <w:r w:rsidR="00175318">
        <w:rPr>
          <w:lang w:val="es-ES"/>
        </w:rPr>
        <w:t>auto de avocación</w:t>
      </w:r>
      <w:r w:rsidR="007E2CB3" w:rsidRPr="007A3389">
        <w:rPr>
          <w:lang w:val="es-ES"/>
        </w:rPr>
        <w:t xml:space="preserve"> </w:t>
      </w:r>
      <w:r w:rsidR="00CD3E41">
        <w:rPr>
          <w:lang w:val="es-ES"/>
        </w:rPr>
        <w:t xml:space="preserve">el </w:t>
      </w:r>
      <w:r w:rsidR="005C566A" w:rsidRPr="007A3389">
        <w:rPr>
          <w:lang w:val="es-ES"/>
        </w:rPr>
        <w:t>29</w:t>
      </w:r>
      <w:r w:rsidR="00CD3E41">
        <w:rPr>
          <w:lang w:val="es-ES"/>
        </w:rPr>
        <w:t xml:space="preserve"> de junio de</w:t>
      </w:r>
      <w:r w:rsidR="005C566A" w:rsidRPr="007A3389">
        <w:rPr>
          <w:lang w:val="es-ES"/>
        </w:rPr>
        <w:t xml:space="preserve"> 2015</w:t>
      </w:r>
      <w:r w:rsidR="00D31A84" w:rsidRPr="007A3389">
        <w:rPr>
          <w:lang w:val="es-ES"/>
        </w:rPr>
        <w:t xml:space="preserve">. </w:t>
      </w:r>
      <w:r w:rsidR="008A10AB" w:rsidRPr="007A3389">
        <w:rPr>
          <w:lang w:val="es-ES"/>
        </w:rPr>
        <w:t>La Comisión</w:t>
      </w:r>
      <w:r w:rsidR="00FB0135" w:rsidRPr="007A3389">
        <w:rPr>
          <w:lang w:val="es-ES"/>
        </w:rPr>
        <w:t xml:space="preserve"> conclu</w:t>
      </w:r>
      <w:r w:rsidR="00CD3E41">
        <w:rPr>
          <w:lang w:val="es-ES"/>
        </w:rPr>
        <w:t xml:space="preserve">ye que, en estas circunstancias, </w:t>
      </w:r>
      <w:r w:rsidR="00631955" w:rsidRPr="007A3389">
        <w:rPr>
          <w:lang w:val="es-ES"/>
        </w:rPr>
        <w:t>la petición</w:t>
      </w:r>
      <w:r w:rsidR="00D31A84" w:rsidRPr="007A3389">
        <w:rPr>
          <w:lang w:val="es-ES"/>
        </w:rPr>
        <w:t xml:space="preserve"> ha</w:t>
      </w:r>
      <w:r w:rsidR="00CD3E41">
        <w:rPr>
          <w:lang w:val="es-ES"/>
        </w:rPr>
        <w:t xml:space="preserve"> sido presentada dentro del plazo establecido en el </w:t>
      </w:r>
      <w:r w:rsidR="00175318">
        <w:rPr>
          <w:lang w:val="es-ES"/>
        </w:rPr>
        <w:t>artículo</w:t>
      </w:r>
      <w:r w:rsidR="00FB0135" w:rsidRPr="007A3389">
        <w:rPr>
          <w:lang w:val="es-ES"/>
        </w:rPr>
        <w:t xml:space="preserve"> 32</w:t>
      </w:r>
      <w:r w:rsidR="00175318">
        <w:rPr>
          <w:lang w:val="es-ES"/>
        </w:rPr>
        <w:t>.</w:t>
      </w:r>
      <w:r w:rsidR="00FB0135" w:rsidRPr="007A3389">
        <w:rPr>
          <w:lang w:val="es-ES"/>
        </w:rPr>
        <w:t>1</w:t>
      </w:r>
      <w:r w:rsidR="00175318">
        <w:rPr>
          <w:lang w:val="es-ES"/>
        </w:rPr>
        <w:t xml:space="preserve"> de su </w:t>
      </w:r>
      <w:r w:rsidR="00C4237F">
        <w:rPr>
          <w:lang w:val="es-ES"/>
        </w:rPr>
        <w:t>Reglamento</w:t>
      </w:r>
      <w:r w:rsidR="00FB0135" w:rsidRPr="007A3389">
        <w:rPr>
          <w:lang w:val="es-ES"/>
        </w:rPr>
        <w:t>.</w:t>
      </w:r>
    </w:p>
    <w:p w14:paraId="0D4B2263" w14:textId="77777777" w:rsidR="00D20BFA" w:rsidRPr="007A3389" w:rsidRDefault="00D20BFA" w:rsidP="00AD73A3">
      <w:pPr>
        <w:pStyle w:val="parrafos"/>
        <w:ind w:left="0" w:firstLine="0"/>
        <w:rPr>
          <w:lang w:val="es-ES"/>
        </w:rPr>
      </w:pPr>
    </w:p>
    <w:p w14:paraId="1672F0EE" w14:textId="77777777" w:rsidR="00F516D3" w:rsidRPr="007A3389" w:rsidRDefault="000D3EE0"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lang w:val="es-ES"/>
        </w:rPr>
      </w:pPr>
      <w:bookmarkStart w:id="8" w:name="_Toc90298917"/>
      <w:bookmarkStart w:id="9" w:name="_Toc6349144"/>
      <w:r w:rsidRPr="007A3389">
        <w:rPr>
          <w:rFonts w:cs="Times New Roman"/>
          <w:color w:val="auto"/>
          <w:sz w:val="20"/>
          <w:szCs w:val="20"/>
          <w:lang w:val="es-ES"/>
        </w:rPr>
        <w:lastRenderedPageBreak/>
        <w:t>Caracterización de los hechos alegados</w:t>
      </w:r>
      <w:bookmarkEnd w:id="8"/>
      <w:r w:rsidR="00F516D3" w:rsidRPr="007A3389">
        <w:rPr>
          <w:rFonts w:cs="Times New Roman"/>
          <w:color w:val="auto"/>
          <w:sz w:val="20"/>
          <w:szCs w:val="20"/>
          <w:lang w:val="es-ES"/>
        </w:rPr>
        <w:t xml:space="preserve"> </w:t>
      </w:r>
      <w:bookmarkEnd w:id="9"/>
    </w:p>
    <w:p w14:paraId="5291A071" w14:textId="77777777" w:rsidR="00764470" w:rsidRPr="007A3389" w:rsidRDefault="00764470" w:rsidP="00764470">
      <w:pPr>
        <w:rPr>
          <w:rFonts w:asciiTheme="majorHAnsi" w:hAnsiTheme="majorHAnsi"/>
          <w:sz w:val="20"/>
          <w:szCs w:val="20"/>
          <w:lang w:val="es-ES"/>
        </w:rPr>
      </w:pPr>
    </w:p>
    <w:p w14:paraId="37C501EB" w14:textId="77777777" w:rsidR="00F516D3" w:rsidRPr="007A3389" w:rsidRDefault="00060350" w:rsidP="00060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060350">
        <w:rPr>
          <w:rFonts w:asciiTheme="majorHAnsi" w:hAnsiTheme="majorHAnsi"/>
          <w:sz w:val="20"/>
          <w:szCs w:val="20"/>
          <w:lang w:val="es-ES"/>
        </w:rPr>
        <w:t>La Comisión considera que los hechos alegados por l</w:t>
      </w:r>
      <w:r>
        <w:rPr>
          <w:rFonts w:asciiTheme="majorHAnsi" w:hAnsiTheme="majorHAnsi"/>
          <w:sz w:val="20"/>
          <w:szCs w:val="20"/>
          <w:lang w:val="es-ES"/>
        </w:rPr>
        <w:t>os</w:t>
      </w:r>
      <w:r w:rsidRPr="00060350">
        <w:rPr>
          <w:rFonts w:asciiTheme="majorHAnsi" w:hAnsiTheme="majorHAnsi"/>
          <w:sz w:val="20"/>
          <w:szCs w:val="20"/>
          <w:lang w:val="es-ES"/>
        </w:rPr>
        <w:t xml:space="preserve"> peticionari</w:t>
      </w:r>
      <w:r>
        <w:rPr>
          <w:rFonts w:asciiTheme="majorHAnsi" w:hAnsiTheme="majorHAnsi"/>
          <w:sz w:val="20"/>
          <w:szCs w:val="20"/>
          <w:lang w:val="es-ES"/>
        </w:rPr>
        <w:t>os</w:t>
      </w:r>
      <w:r w:rsidRPr="00060350">
        <w:rPr>
          <w:rFonts w:asciiTheme="majorHAnsi" w:hAnsiTheme="majorHAnsi"/>
          <w:sz w:val="20"/>
          <w:szCs w:val="20"/>
          <w:lang w:val="es-ES"/>
        </w:rPr>
        <w:t>, de probarse, podrían constituir una violación de los derechos enunciados en los artículos</w:t>
      </w:r>
      <w:r w:rsidR="00550FAA" w:rsidRPr="007A3389">
        <w:rPr>
          <w:rFonts w:asciiTheme="majorHAnsi" w:hAnsiTheme="majorHAnsi"/>
          <w:sz w:val="20"/>
          <w:szCs w:val="20"/>
          <w:lang w:val="es-ES"/>
        </w:rPr>
        <w:t xml:space="preserve"> I,</w:t>
      </w:r>
      <w:r w:rsidR="00967987" w:rsidRPr="007A3389">
        <w:rPr>
          <w:rFonts w:asciiTheme="majorHAnsi" w:hAnsiTheme="majorHAnsi"/>
          <w:sz w:val="20"/>
          <w:szCs w:val="20"/>
          <w:lang w:val="es-ES"/>
        </w:rPr>
        <w:t xml:space="preserve"> </w:t>
      </w:r>
      <w:r w:rsidR="00C67622" w:rsidRPr="007A3389">
        <w:rPr>
          <w:rFonts w:asciiTheme="majorHAnsi" w:hAnsiTheme="majorHAnsi"/>
          <w:sz w:val="20"/>
          <w:szCs w:val="20"/>
          <w:lang w:val="es-ES"/>
        </w:rPr>
        <w:t xml:space="preserve">II, </w:t>
      </w:r>
      <w:r w:rsidR="00550FAA" w:rsidRPr="007A3389">
        <w:rPr>
          <w:rFonts w:asciiTheme="majorHAnsi" w:hAnsiTheme="majorHAnsi"/>
          <w:sz w:val="20"/>
          <w:szCs w:val="20"/>
          <w:lang w:val="es-ES"/>
        </w:rPr>
        <w:t>XVIII,</w:t>
      </w:r>
      <w:r w:rsidR="0080231F" w:rsidRPr="007A3389">
        <w:rPr>
          <w:rFonts w:asciiTheme="majorHAnsi" w:hAnsiTheme="majorHAnsi"/>
          <w:sz w:val="20"/>
          <w:szCs w:val="20"/>
          <w:lang w:val="es-ES"/>
        </w:rPr>
        <w:t xml:space="preserve"> </w:t>
      </w:r>
      <w:r w:rsidR="00550FAA" w:rsidRPr="007A3389">
        <w:rPr>
          <w:rFonts w:asciiTheme="majorHAnsi" w:hAnsiTheme="majorHAnsi"/>
          <w:sz w:val="20"/>
          <w:szCs w:val="20"/>
          <w:lang w:val="es-ES"/>
        </w:rPr>
        <w:t xml:space="preserve">XXV </w:t>
      </w:r>
      <w:r>
        <w:rPr>
          <w:rFonts w:asciiTheme="majorHAnsi" w:hAnsiTheme="majorHAnsi"/>
          <w:sz w:val="20"/>
          <w:szCs w:val="20"/>
          <w:lang w:val="es-ES"/>
        </w:rPr>
        <w:t>y</w:t>
      </w:r>
      <w:r w:rsidR="00550FAA" w:rsidRPr="007A3389">
        <w:rPr>
          <w:rFonts w:asciiTheme="majorHAnsi" w:hAnsiTheme="majorHAnsi"/>
          <w:sz w:val="20"/>
          <w:szCs w:val="20"/>
          <w:lang w:val="es-ES"/>
        </w:rPr>
        <w:t xml:space="preserve"> XXVI</w:t>
      </w:r>
      <w:r w:rsidR="00CF0A29" w:rsidRPr="007A3389">
        <w:rPr>
          <w:rFonts w:asciiTheme="majorHAnsi" w:hAnsiTheme="majorHAnsi"/>
          <w:sz w:val="20"/>
          <w:szCs w:val="20"/>
          <w:lang w:val="es-ES"/>
        </w:rPr>
        <w:t xml:space="preserve"> </w:t>
      </w:r>
      <w:r>
        <w:rPr>
          <w:rFonts w:asciiTheme="majorHAnsi" w:hAnsiTheme="majorHAnsi"/>
          <w:sz w:val="20"/>
          <w:szCs w:val="20"/>
          <w:lang w:val="es-ES"/>
        </w:rPr>
        <w:t>de</w:t>
      </w:r>
      <w:r w:rsidR="00764470" w:rsidRPr="007A3389">
        <w:rPr>
          <w:rFonts w:asciiTheme="majorHAnsi" w:hAnsiTheme="majorHAnsi"/>
          <w:sz w:val="20"/>
          <w:szCs w:val="20"/>
          <w:lang w:val="es-ES"/>
        </w:rPr>
        <w:t xml:space="preserve"> </w:t>
      </w:r>
      <w:r w:rsidR="00631955" w:rsidRPr="007A3389">
        <w:rPr>
          <w:rFonts w:asciiTheme="majorHAnsi" w:hAnsiTheme="majorHAnsi"/>
          <w:sz w:val="20"/>
          <w:szCs w:val="20"/>
          <w:lang w:val="es-ES"/>
        </w:rPr>
        <w:t>la Declaración Americana</w:t>
      </w:r>
      <w:r>
        <w:rPr>
          <w:rFonts w:asciiTheme="majorHAnsi" w:hAnsiTheme="majorHAnsi"/>
          <w:sz w:val="20"/>
          <w:szCs w:val="20"/>
          <w:lang w:val="es-ES"/>
        </w:rPr>
        <w:t xml:space="preserve"> en perjuicio del </w:t>
      </w:r>
      <w:r w:rsidR="00D87346" w:rsidRPr="007A3389">
        <w:rPr>
          <w:rFonts w:asciiTheme="majorHAnsi" w:hAnsiTheme="majorHAnsi"/>
          <w:sz w:val="20"/>
          <w:szCs w:val="20"/>
          <w:lang w:val="es-ES"/>
        </w:rPr>
        <w:t>señor</w:t>
      </w:r>
      <w:r w:rsidR="005B1DBA" w:rsidRPr="007A3389">
        <w:rPr>
          <w:rFonts w:asciiTheme="majorHAnsi" w:hAnsiTheme="majorHAnsi"/>
          <w:sz w:val="20"/>
          <w:szCs w:val="20"/>
          <w:lang w:val="es-ES"/>
        </w:rPr>
        <w:t xml:space="preserve"> </w:t>
      </w:r>
      <w:r w:rsidR="00F11EF1" w:rsidRPr="007A3389">
        <w:rPr>
          <w:rFonts w:asciiTheme="majorHAnsi" w:hAnsiTheme="majorHAnsi"/>
          <w:sz w:val="20"/>
          <w:szCs w:val="20"/>
          <w:lang w:val="es-ES"/>
        </w:rPr>
        <w:t>Loza</w:t>
      </w:r>
      <w:r w:rsidR="00764470" w:rsidRPr="007A3389">
        <w:rPr>
          <w:rFonts w:asciiTheme="majorHAnsi" w:hAnsiTheme="majorHAnsi"/>
          <w:sz w:val="20"/>
          <w:szCs w:val="20"/>
          <w:lang w:val="es-ES"/>
        </w:rPr>
        <w:t xml:space="preserve">. </w:t>
      </w:r>
    </w:p>
    <w:p w14:paraId="1BE7594F" w14:textId="77777777" w:rsidR="0080231F" w:rsidRPr="007A3389" w:rsidRDefault="0080231F" w:rsidP="0080231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1559E360" w14:textId="77777777" w:rsidR="0080231F" w:rsidRPr="007A3389" w:rsidRDefault="00470EE9" w:rsidP="007644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Con respecto a la presunta violación del artículo</w:t>
      </w:r>
      <w:r w:rsidR="0080231F" w:rsidRPr="007A3389">
        <w:rPr>
          <w:rFonts w:asciiTheme="majorHAnsi" w:hAnsiTheme="majorHAnsi"/>
          <w:sz w:val="20"/>
          <w:szCs w:val="20"/>
          <w:lang w:val="es-ES"/>
        </w:rPr>
        <w:t xml:space="preserve"> XXIV </w:t>
      </w:r>
      <w:r>
        <w:rPr>
          <w:rFonts w:asciiTheme="majorHAnsi" w:hAnsiTheme="majorHAnsi"/>
          <w:sz w:val="20"/>
          <w:szCs w:val="20"/>
          <w:lang w:val="es-ES"/>
        </w:rPr>
        <w:t>de</w:t>
      </w:r>
      <w:r w:rsidR="0080231F" w:rsidRPr="007A3389">
        <w:rPr>
          <w:rFonts w:asciiTheme="majorHAnsi" w:hAnsiTheme="majorHAnsi"/>
          <w:sz w:val="20"/>
          <w:szCs w:val="20"/>
          <w:lang w:val="es-ES"/>
        </w:rPr>
        <w:t xml:space="preserve"> </w:t>
      </w:r>
      <w:r w:rsidR="00631955" w:rsidRPr="007A3389">
        <w:rPr>
          <w:rFonts w:asciiTheme="majorHAnsi" w:hAnsiTheme="majorHAnsi"/>
          <w:sz w:val="20"/>
          <w:szCs w:val="20"/>
          <w:lang w:val="es-ES"/>
        </w:rPr>
        <w:t>la Declaración</w:t>
      </w:r>
      <w:r w:rsidR="0080231F" w:rsidRPr="007A3389">
        <w:rPr>
          <w:rFonts w:asciiTheme="majorHAnsi" w:hAnsiTheme="majorHAnsi"/>
          <w:sz w:val="20"/>
          <w:szCs w:val="20"/>
          <w:lang w:val="es-ES"/>
        </w:rPr>
        <w:t xml:space="preserve">, </w:t>
      </w:r>
      <w:r w:rsidR="008A10AB" w:rsidRPr="007A3389">
        <w:rPr>
          <w:rFonts w:asciiTheme="majorHAnsi" w:hAnsiTheme="majorHAnsi"/>
          <w:sz w:val="20"/>
          <w:szCs w:val="20"/>
          <w:lang w:val="es-ES"/>
        </w:rPr>
        <w:t>la C</w:t>
      </w:r>
      <w:r>
        <w:rPr>
          <w:rFonts w:asciiTheme="majorHAnsi" w:hAnsiTheme="majorHAnsi"/>
          <w:sz w:val="20"/>
          <w:szCs w:val="20"/>
          <w:lang w:val="es-ES"/>
        </w:rPr>
        <w:t xml:space="preserve">IDH concluye que la información proporcionada por </w:t>
      </w:r>
      <w:r w:rsidR="000D3EE0" w:rsidRPr="007A3389">
        <w:rPr>
          <w:rFonts w:asciiTheme="majorHAnsi" w:hAnsiTheme="majorHAnsi"/>
          <w:sz w:val="20"/>
          <w:szCs w:val="20"/>
          <w:lang w:val="es-ES"/>
        </w:rPr>
        <w:t>los peticionarios</w:t>
      </w:r>
      <w:r w:rsidR="00135217" w:rsidRPr="007A3389">
        <w:rPr>
          <w:rFonts w:asciiTheme="majorHAnsi" w:hAnsiTheme="majorHAnsi"/>
          <w:sz w:val="20"/>
          <w:szCs w:val="20"/>
          <w:lang w:val="es-ES"/>
        </w:rPr>
        <w:t xml:space="preserve"> </w:t>
      </w:r>
      <w:r>
        <w:rPr>
          <w:rFonts w:asciiTheme="majorHAnsi" w:hAnsiTheme="majorHAnsi"/>
          <w:sz w:val="20"/>
          <w:szCs w:val="20"/>
          <w:lang w:val="es-ES"/>
        </w:rPr>
        <w:t xml:space="preserve">no es suficiente para demostrar que </w:t>
      </w:r>
      <w:r w:rsidR="000D3EE0" w:rsidRPr="007A3389">
        <w:rPr>
          <w:rFonts w:asciiTheme="majorHAnsi" w:hAnsiTheme="majorHAnsi"/>
          <w:sz w:val="20"/>
          <w:szCs w:val="20"/>
          <w:lang w:val="es-ES"/>
        </w:rPr>
        <w:t>los hechos alegados</w:t>
      </w:r>
      <w:r>
        <w:rPr>
          <w:rFonts w:asciiTheme="majorHAnsi" w:hAnsiTheme="majorHAnsi"/>
          <w:sz w:val="20"/>
          <w:szCs w:val="20"/>
          <w:lang w:val="es-ES"/>
        </w:rPr>
        <w:t xml:space="preserve"> constituy</w:t>
      </w:r>
      <w:r w:rsidR="0074607D">
        <w:rPr>
          <w:rFonts w:asciiTheme="majorHAnsi" w:hAnsiTheme="majorHAnsi"/>
          <w:sz w:val="20"/>
          <w:szCs w:val="20"/>
          <w:lang w:val="es-ES"/>
        </w:rPr>
        <w:t>a</w:t>
      </w:r>
      <w:r>
        <w:rPr>
          <w:rFonts w:asciiTheme="majorHAnsi" w:hAnsiTheme="majorHAnsi"/>
          <w:sz w:val="20"/>
          <w:szCs w:val="20"/>
          <w:lang w:val="es-ES"/>
        </w:rPr>
        <w:t>n una violación.</w:t>
      </w:r>
    </w:p>
    <w:p w14:paraId="34748BC7" w14:textId="77777777" w:rsidR="00764470" w:rsidRPr="007A3389" w:rsidRDefault="00764470" w:rsidP="0076447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6232A14" w14:textId="77777777" w:rsidR="001C4006" w:rsidRPr="007A3389" w:rsidRDefault="000D3EE0" w:rsidP="003676F1">
      <w:pPr>
        <w:pStyle w:val="Heading1"/>
        <w:tabs>
          <w:tab w:val="left" w:pos="360"/>
        </w:tabs>
        <w:spacing w:before="0"/>
        <w:ind w:hanging="720"/>
        <w:rPr>
          <w:color w:val="auto"/>
          <w:sz w:val="20"/>
          <w:szCs w:val="20"/>
          <w:lang w:val="es-ES"/>
        </w:rPr>
      </w:pPr>
      <w:bookmarkStart w:id="10" w:name="_Toc90298918"/>
      <w:r w:rsidRPr="007A3389">
        <w:rPr>
          <w:color w:val="auto"/>
          <w:sz w:val="20"/>
          <w:szCs w:val="20"/>
          <w:lang w:val="es-ES"/>
        </w:rPr>
        <w:t>DETERMINACIONES DE HECHO</w:t>
      </w:r>
      <w:bookmarkEnd w:id="10"/>
    </w:p>
    <w:p w14:paraId="3E124AD6" w14:textId="77777777" w:rsidR="00853512" w:rsidRPr="007A3389" w:rsidRDefault="00853512" w:rsidP="00021557">
      <w:pPr>
        <w:rPr>
          <w:lang w:val="es-ES"/>
        </w:rPr>
      </w:pPr>
    </w:p>
    <w:p w14:paraId="5ECDBA19" w14:textId="77777777" w:rsidR="00021557" w:rsidRPr="007A3389" w:rsidRDefault="000D3EE0" w:rsidP="00021557">
      <w:pPr>
        <w:pStyle w:val="Heading2"/>
        <w:numPr>
          <w:ilvl w:val="0"/>
          <w:numId w:val="58"/>
        </w:numPr>
        <w:tabs>
          <w:tab w:val="left" w:pos="360"/>
        </w:tabs>
        <w:spacing w:before="0"/>
        <w:ind w:hanging="720"/>
        <w:rPr>
          <w:color w:val="auto"/>
          <w:sz w:val="20"/>
          <w:szCs w:val="20"/>
          <w:lang w:val="es-ES"/>
        </w:rPr>
      </w:pPr>
      <w:bookmarkStart w:id="11" w:name="_Toc90298919"/>
      <w:r w:rsidRPr="007A3389">
        <w:rPr>
          <w:color w:val="auto"/>
          <w:sz w:val="20"/>
          <w:szCs w:val="20"/>
          <w:lang w:val="es-ES"/>
        </w:rPr>
        <w:t>Hechos del caso</w:t>
      </w:r>
      <w:bookmarkEnd w:id="11"/>
    </w:p>
    <w:p w14:paraId="1569406E" w14:textId="77777777" w:rsidR="00021557" w:rsidRPr="007A3389" w:rsidRDefault="00021557" w:rsidP="00021557">
      <w:pPr>
        <w:rPr>
          <w:rFonts w:asciiTheme="majorHAnsi" w:hAnsiTheme="majorHAnsi"/>
          <w:sz w:val="20"/>
          <w:szCs w:val="20"/>
          <w:lang w:val="es-ES"/>
        </w:rPr>
      </w:pPr>
    </w:p>
    <w:p w14:paraId="01D96C4B" w14:textId="77777777" w:rsidR="00501CF1" w:rsidRPr="007A3389" w:rsidRDefault="00000B39" w:rsidP="00F112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Cambria" w:hAnsi="Cambria"/>
          <w:sz w:val="20"/>
          <w:szCs w:val="20"/>
          <w:lang w:val="es-ES"/>
        </w:rPr>
        <w:t>A</w:t>
      </w:r>
      <w:r w:rsidRPr="00000B39">
        <w:rPr>
          <w:rFonts w:ascii="Cambria" w:hAnsi="Cambria"/>
          <w:sz w:val="20"/>
          <w:szCs w:val="20"/>
          <w:lang w:val="es-ES"/>
        </w:rPr>
        <w:t xml:space="preserve"> continuación se presentan </w:t>
      </w:r>
      <w:r>
        <w:rPr>
          <w:rFonts w:ascii="Cambria" w:hAnsi="Cambria"/>
          <w:sz w:val="20"/>
          <w:szCs w:val="20"/>
          <w:lang w:val="es-ES"/>
        </w:rPr>
        <w:t>los hechos</w:t>
      </w:r>
      <w:r w:rsidR="00F1129E" w:rsidRPr="007A3389">
        <w:rPr>
          <w:rFonts w:ascii="Cambria" w:hAnsi="Cambria"/>
          <w:sz w:val="20"/>
          <w:szCs w:val="20"/>
          <w:lang w:val="es-ES"/>
        </w:rPr>
        <w:t xml:space="preserve"> </w:t>
      </w:r>
      <w:r>
        <w:rPr>
          <w:rFonts w:ascii="Cambria" w:hAnsi="Cambria"/>
          <w:sz w:val="20"/>
          <w:szCs w:val="20"/>
          <w:lang w:val="es-ES"/>
        </w:rPr>
        <w:t>relacionados con los</w:t>
      </w:r>
      <w:r w:rsidR="00416614" w:rsidRPr="007A3389">
        <w:rPr>
          <w:rFonts w:ascii="Cambria" w:hAnsi="Cambria"/>
          <w:sz w:val="20"/>
          <w:szCs w:val="20"/>
          <w:lang w:val="es-ES"/>
        </w:rPr>
        <w:t xml:space="preserve"> </w:t>
      </w:r>
      <w:r w:rsidR="00F1129E" w:rsidRPr="007A3389">
        <w:rPr>
          <w:rFonts w:ascii="Cambria" w:hAnsi="Cambria"/>
          <w:sz w:val="20"/>
          <w:szCs w:val="20"/>
          <w:lang w:val="es-ES"/>
        </w:rPr>
        <w:t>incident</w:t>
      </w:r>
      <w:r>
        <w:rPr>
          <w:rFonts w:ascii="Cambria" w:hAnsi="Cambria"/>
          <w:sz w:val="20"/>
          <w:szCs w:val="20"/>
          <w:lang w:val="es-ES"/>
        </w:rPr>
        <w:t>e</w:t>
      </w:r>
      <w:r w:rsidR="00F1129E" w:rsidRPr="007A3389">
        <w:rPr>
          <w:rFonts w:ascii="Cambria" w:hAnsi="Cambria"/>
          <w:sz w:val="20"/>
          <w:szCs w:val="20"/>
          <w:lang w:val="es-ES"/>
        </w:rPr>
        <w:t xml:space="preserve">s </w:t>
      </w:r>
      <w:r>
        <w:rPr>
          <w:rFonts w:ascii="Cambria" w:hAnsi="Cambria"/>
          <w:sz w:val="20"/>
          <w:szCs w:val="20"/>
          <w:lang w:val="es-ES"/>
        </w:rPr>
        <w:t xml:space="preserve">del </w:t>
      </w:r>
      <w:r w:rsidR="00C35423" w:rsidRPr="007A3389">
        <w:rPr>
          <w:rFonts w:asciiTheme="majorHAnsi" w:hAnsiTheme="majorHAnsi"/>
          <w:sz w:val="20"/>
          <w:szCs w:val="20"/>
          <w:lang w:val="es-ES"/>
        </w:rPr>
        <w:t>16</w:t>
      </w:r>
      <w:r>
        <w:rPr>
          <w:rFonts w:asciiTheme="majorHAnsi" w:hAnsiTheme="majorHAnsi"/>
          <w:sz w:val="20"/>
          <w:szCs w:val="20"/>
          <w:lang w:val="es-ES"/>
        </w:rPr>
        <w:t xml:space="preserve"> de enero de</w:t>
      </w:r>
      <w:r w:rsidR="00C35423" w:rsidRPr="007A3389">
        <w:rPr>
          <w:rFonts w:asciiTheme="majorHAnsi" w:hAnsiTheme="majorHAnsi"/>
          <w:sz w:val="20"/>
          <w:szCs w:val="20"/>
          <w:lang w:val="es-ES"/>
        </w:rPr>
        <w:t xml:space="preserve"> 1991, </w:t>
      </w:r>
      <w:r>
        <w:rPr>
          <w:rFonts w:asciiTheme="majorHAnsi" w:hAnsiTheme="majorHAnsi"/>
          <w:sz w:val="20"/>
          <w:szCs w:val="20"/>
          <w:lang w:val="es-ES"/>
        </w:rPr>
        <w:t xml:space="preserve">de acuerdo con </w:t>
      </w:r>
      <w:r>
        <w:rPr>
          <w:rFonts w:ascii="Cambria" w:hAnsi="Cambria"/>
          <w:sz w:val="20"/>
          <w:szCs w:val="20"/>
          <w:lang w:val="es-ES"/>
        </w:rPr>
        <w:t>la información disponible. Ese día</w:t>
      </w:r>
      <w:r w:rsidRPr="007A3389">
        <w:rPr>
          <w:rFonts w:ascii="Cambria" w:hAnsi="Cambria"/>
          <w:sz w:val="20"/>
          <w:szCs w:val="20"/>
          <w:lang w:val="es-ES"/>
        </w:rPr>
        <w:t xml:space="preserve">, </w:t>
      </w:r>
      <w:r w:rsidR="005019B9" w:rsidRPr="007A3389">
        <w:rPr>
          <w:rFonts w:asciiTheme="majorHAnsi" w:hAnsiTheme="majorHAnsi"/>
          <w:sz w:val="20"/>
          <w:szCs w:val="20"/>
          <w:lang w:val="es-ES"/>
        </w:rPr>
        <w:t>la presunta víctima</w:t>
      </w:r>
      <w:r w:rsidR="00C35423"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señor</w:t>
      </w:r>
      <w:r w:rsidR="00C35423" w:rsidRPr="007A3389">
        <w:rPr>
          <w:rFonts w:asciiTheme="majorHAnsi" w:hAnsiTheme="majorHAnsi"/>
          <w:sz w:val="20"/>
          <w:szCs w:val="20"/>
          <w:lang w:val="es-ES"/>
        </w:rPr>
        <w:t xml:space="preserve"> Loza, </w:t>
      </w:r>
      <w:r>
        <w:rPr>
          <w:rFonts w:asciiTheme="majorHAnsi" w:hAnsiTheme="majorHAnsi"/>
          <w:sz w:val="20"/>
          <w:szCs w:val="20"/>
          <w:lang w:val="es-ES"/>
        </w:rPr>
        <w:t>presuntamente mató a tiros a cuatro familiares de su novia</w:t>
      </w:r>
      <w:r w:rsidR="00C35423" w:rsidRPr="007A3389">
        <w:rPr>
          <w:rFonts w:asciiTheme="majorHAnsi" w:hAnsiTheme="majorHAnsi"/>
          <w:sz w:val="20"/>
          <w:szCs w:val="20"/>
          <w:lang w:val="es-ES"/>
        </w:rPr>
        <w:t xml:space="preserve">, </w:t>
      </w:r>
      <w:proofErr w:type="spellStart"/>
      <w:r w:rsidR="00C35423" w:rsidRPr="007A3389">
        <w:rPr>
          <w:rFonts w:asciiTheme="majorHAnsi" w:hAnsiTheme="majorHAnsi"/>
          <w:sz w:val="20"/>
          <w:szCs w:val="20"/>
          <w:lang w:val="es-ES"/>
        </w:rPr>
        <w:t>Dorothy</w:t>
      </w:r>
      <w:proofErr w:type="spellEnd"/>
      <w:r w:rsidR="00C35423" w:rsidRPr="007A3389">
        <w:rPr>
          <w:rFonts w:asciiTheme="majorHAnsi" w:hAnsiTheme="majorHAnsi"/>
          <w:sz w:val="20"/>
          <w:szCs w:val="20"/>
          <w:lang w:val="es-ES"/>
        </w:rPr>
        <w:t xml:space="preserve"> Jackson</w:t>
      </w:r>
      <w:r w:rsidR="0059234D" w:rsidRPr="007A3389">
        <w:rPr>
          <w:rFonts w:asciiTheme="majorHAnsi" w:hAnsiTheme="majorHAnsi"/>
          <w:sz w:val="20"/>
          <w:szCs w:val="20"/>
          <w:lang w:val="es-ES"/>
        </w:rPr>
        <w:t xml:space="preserve">, </w:t>
      </w:r>
      <w:r>
        <w:rPr>
          <w:rFonts w:asciiTheme="majorHAnsi" w:hAnsiTheme="majorHAnsi"/>
          <w:sz w:val="20"/>
          <w:szCs w:val="20"/>
          <w:lang w:val="es-ES"/>
        </w:rPr>
        <w:t>que estaba embarazada. Las víctimas fueron la madre, el hermano y dos hermanas de</w:t>
      </w:r>
      <w:r w:rsidR="00C35423"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la señorita</w:t>
      </w:r>
      <w:r w:rsidR="005E6203" w:rsidRPr="007A3389">
        <w:rPr>
          <w:rFonts w:asciiTheme="majorHAnsi" w:hAnsiTheme="majorHAnsi"/>
          <w:sz w:val="20"/>
          <w:szCs w:val="20"/>
          <w:lang w:val="es-ES"/>
        </w:rPr>
        <w:t xml:space="preserve"> Jackson</w:t>
      </w:r>
      <w:r w:rsidR="00C35423" w:rsidRPr="007A3389">
        <w:rPr>
          <w:rFonts w:asciiTheme="majorHAnsi" w:hAnsiTheme="majorHAnsi"/>
          <w:sz w:val="20"/>
          <w:szCs w:val="20"/>
          <w:lang w:val="es-ES"/>
        </w:rPr>
        <w:t xml:space="preserve">. </w:t>
      </w:r>
    </w:p>
    <w:p w14:paraId="0D1C32CB" w14:textId="77777777" w:rsidR="00501CF1" w:rsidRPr="007A3389" w:rsidRDefault="00501CF1" w:rsidP="00501CF1">
      <w:pPr>
        <w:pStyle w:val="ListParagraph"/>
        <w:rPr>
          <w:rFonts w:asciiTheme="majorHAnsi" w:hAnsiTheme="majorHAnsi"/>
          <w:sz w:val="20"/>
          <w:szCs w:val="20"/>
          <w:lang w:val="es-ES"/>
        </w:rPr>
      </w:pPr>
    </w:p>
    <w:p w14:paraId="0DD55C69" w14:textId="77777777" w:rsidR="0025755D" w:rsidRPr="007A3389" w:rsidRDefault="00000B39" w:rsidP="00C354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En la tarde del </w:t>
      </w:r>
      <w:r w:rsidR="00C35423" w:rsidRPr="007A3389">
        <w:rPr>
          <w:rFonts w:asciiTheme="majorHAnsi" w:hAnsiTheme="majorHAnsi"/>
          <w:sz w:val="20"/>
          <w:szCs w:val="20"/>
          <w:lang w:val="es-ES"/>
        </w:rPr>
        <w:t>16</w:t>
      </w:r>
      <w:r>
        <w:rPr>
          <w:rFonts w:asciiTheme="majorHAnsi" w:hAnsiTheme="majorHAnsi"/>
          <w:sz w:val="20"/>
          <w:szCs w:val="20"/>
          <w:lang w:val="es-ES"/>
        </w:rPr>
        <w:t xml:space="preserve"> de enero de</w:t>
      </w:r>
      <w:r w:rsidR="00C35423" w:rsidRPr="007A3389">
        <w:rPr>
          <w:rFonts w:asciiTheme="majorHAnsi" w:hAnsiTheme="majorHAnsi"/>
          <w:sz w:val="20"/>
          <w:szCs w:val="20"/>
          <w:lang w:val="es-ES"/>
        </w:rPr>
        <w:t xml:space="preserve"> 1991</w:t>
      </w:r>
      <w:r>
        <w:rPr>
          <w:rFonts w:asciiTheme="majorHAnsi" w:hAnsiTheme="majorHAnsi"/>
          <w:sz w:val="20"/>
          <w:szCs w:val="20"/>
          <w:lang w:val="es-ES"/>
        </w:rPr>
        <w:t xml:space="preserve">, </w:t>
      </w:r>
      <w:r w:rsidR="00C35423" w:rsidRPr="007A3389">
        <w:rPr>
          <w:rFonts w:asciiTheme="majorHAnsi" w:hAnsiTheme="majorHAnsi"/>
          <w:sz w:val="20"/>
          <w:szCs w:val="20"/>
          <w:lang w:val="es-ES"/>
        </w:rPr>
        <w:t xml:space="preserve">G. </w:t>
      </w:r>
      <w:proofErr w:type="spellStart"/>
      <w:r w:rsidR="00C35423" w:rsidRPr="007A3389">
        <w:rPr>
          <w:rFonts w:asciiTheme="majorHAnsi" w:hAnsiTheme="majorHAnsi"/>
          <w:sz w:val="20"/>
          <w:szCs w:val="20"/>
          <w:lang w:val="es-ES"/>
        </w:rPr>
        <w:t>Hoertt</w:t>
      </w:r>
      <w:proofErr w:type="spellEnd"/>
      <w:r w:rsidR="00C35423" w:rsidRPr="007A3389">
        <w:rPr>
          <w:rFonts w:asciiTheme="majorHAnsi" w:hAnsiTheme="majorHAnsi"/>
          <w:sz w:val="20"/>
          <w:szCs w:val="20"/>
          <w:lang w:val="es-ES"/>
        </w:rPr>
        <w:t xml:space="preserve"> </w:t>
      </w:r>
      <w:r>
        <w:rPr>
          <w:rFonts w:asciiTheme="majorHAnsi" w:hAnsiTheme="majorHAnsi"/>
          <w:sz w:val="20"/>
          <w:szCs w:val="20"/>
          <w:lang w:val="es-ES"/>
        </w:rPr>
        <w:t xml:space="preserve">vio a una persona en una camioneta </w:t>
      </w:r>
      <w:r w:rsidR="00C35423" w:rsidRPr="007A3389">
        <w:rPr>
          <w:rFonts w:asciiTheme="majorHAnsi" w:hAnsiTheme="majorHAnsi"/>
          <w:sz w:val="20"/>
          <w:szCs w:val="20"/>
          <w:lang w:val="es-ES"/>
        </w:rPr>
        <w:t xml:space="preserve">Mazda </w:t>
      </w:r>
      <w:r>
        <w:rPr>
          <w:rFonts w:asciiTheme="majorHAnsi" w:hAnsiTheme="majorHAnsi"/>
          <w:sz w:val="20"/>
          <w:szCs w:val="20"/>
          <w:lang w:val="es-ES"/>
        </w:rPr>
        <w:t xml:space="preserve">con </w:t>
      </w:r>
      <w:r w:rsidR="0074607D">
        <w:rPr>
          <w:rFonts w:asciiTheme="majorHAnsi" w:hAnsiTheme="majorHAnsi"/>
          <w:sz w:val="20"/>
          <w:szCs w:val="20"/>
          <w:lang w:val="es-ES"/>
        </w:rPr>
        <w:t>placas</w:t>
      </w:r>
      <w:r>
        <w:rPr>
          <w:rFonts w:asciiTheme="majorHAnsi" w:hAnsiTheme="majorHAnsi"/>
          <w:sz w:val="20"/>
          <w:szCs w:val="20"/>
          <w:lang w:val="es-ES"/>
        </w:rPr>
        <w:t xml:space="preserve"> de </w:t>
      </w:r>
      <w:r w:rsidR="00C35423" w:rsidRPr="007A3389">
        <w:rPr>
          <w:rFonts w:asciiTheme="majorHAnsi" w:hAnsiTheme="majorHAnsi"/>
          <w:sz w:val="20"/>
          <w:szCs w:val="20"/>
          <w:lang w:val="es-ES"/>
        </w:rPr>
        <w:t xml:space="preserve">California </w:t>
      </w:r>
      <w:r>
        <w:rPr>
          <w:rFonts w:asciiTheme="majorHAnsi" w:hAnsiTheme="majorHAnsi"/>
          <w:sz w:val="20"/>
          <w:szCs w:val="20"/>
          <w:lang w:val="es-ES"/>
        </w:rPr>
        <w:t xml:space="preserve">que estaba </w:t>
      </w:r>
      <w:r w:rsidR="001D6612">
        <w:rPr>
          <w:rFonts w:asciiTheme="majorHAnsi" w:hAnsiTheme="majorHAnsi"/>
          <w:sz w:val="20"/>
          <w:szCs w:val="20"/>
          <w:lang w:val="es-ES"/>
        </w:rPr>
        <w:t xml:space="preserve">arrojando </w:t>
      </w:r>
      <w:r>
        <w:rPr>
          <w:rFonts w:asciiTheme="majorHAnsi" w:hAnsiTheme="majorHAnsi"/>
          <w:sz w:val="20"/>
          <w:szCs w:val="20"/>
          <w:lang w:val="es-ES"/>
        </w:rPr>
        <w:t xml:space="preserve">basura en el contenedor de su comercio. Registró el contenedor para buscar algo que le permitiera identificar al </w:t>
      </w:r>
      <w:r w:rsidR="00C35423" w:rsidRPr="007A3389">
        <w:rPr>
          <w:rFonts w:asciiTheme="majorHAnsi" w:hAnsiTheme="majorHAnsi"/>
          <w:sz w:val="20"/>
          <w:szCs w:val="20"/>
          <w:lang w:val="es-ES"/>
        </w:rPr>
        <w:t>individu</w:t>
      </w:r>
      <w:r>
        <w:rPr>
          <w:rFonts w:asciiTheme="majorHAnsi" w:hAnsiTheme="majorHAnsi"/>
          <w:sz w:val="20"/>
          <w:szCs w:val="20"/>
          <w:lang w:val="es-ES"/>
        </w:rPr>
        <w:t xml:space="preserve">o y encontró una carta, firmada por </w:t>
      </w:r>
      <w:r w:rsidR="00D87346" w:rsidRPr="007A3389">
        <w:rPr>
          <w:rFonts w:asciiTheme="majorHAnsi" w:hAnsiTheme="majorHAnsi"/>
          <w:sz w:val="20"/>
          <w:szCs w:val="20"/>
          <w:lang w:val="es-ES"/>
        </w:rPr>
        <w:t>el señor</w:t>
      </w:r>
      <w:r w:rsidR="00C35423" w:rsidRPr="007A3389">
        <w:rPr>
          <w:rFonts w:asciiTheme="majorHAnsi" w:hAnsiTheme="majorHAnsi"/>
          <w:sz w:val="20"/>
          <w:szCs w:val="20"/>
          <w:lang w:val="es-ES"/>
        </w:rPr>
        <w:t xml:space="preserve"> Loza, </w:t>
      </w:r>
      <w:r>
        <w:rPr>
          <w:rFonts w:asciiTheme="majorHAnsi" w:hAnsiTheme="majorHAnsi"/>
          <w:sz w:val="20"/>
          <w:szCs w:val="20"/>
          <w:lang w:val="es-ES"/>
        </w:rPr>
        <w:t xml:space="preserve">en la cual se </w:t>
      </w:r>
      <w:r w:rsidR="00C35423" w:rsidRPr="007A3389">
        <w:rPr>
          <w:rFonts w:asciiTheme="majorHAnsi" w:hAnsiTheme="majorHAnsi"/>
          <w:sz w:val="20"/>
          <w:szCs w:val="20"/>
          <w:lang w:val="es-ES"/>
        </w:rPr>
        <w:t>indica</w:t>
      </w:r>
      <w:r>
        <w:rPr>
          <w:rFonts w:asciiTheme="majorHAnsi" w:hAnsiTheme="majorHAnsi"/>
          <w:sz w:val="20"/>
          <w:szCs w:val="20"/>
          <w:lang w:val="es-ES"/>
        </w:rPr>
        <w:t xml:space="preserve">ba que </w:t>
      </w:r>
      <w:r w:rsidR="00D87346" w:rsidRPr="007A3389">
        <w:rPr>
          <w:rFonts w:asciiTheme="majorHAnsi" w:hAnsiTheme="majorHAnsi"/>
          <w:sz w:val="20"/>
          <w:szCs w:val="20"/>
          <w:lang w:val="es-ES"/>
        </w:rPr>
        <w:t>el señor</w:t>
      </w:r>
      <w:r w:rsidR="00C35423" w:rsidRPr="007A3389">
        <w:rPr>
          <w:rFonts w:asciiTheme="majorHAnsi" w:hAnsiTheme="majorHAnsi"/>
          <w:sz w:val="20"/>
          <w:szCs w:val="20"/>
          <w:lang w:val="es-ES"/>
        </w:rPr>
        <w:t xml:space="preserve"> Loza </w:t>
      </w:r>
      <w:r>
        <w:rPr>
          <w:rFonts w:asciiTheme="majorHAnsi" w:hAnsiTheme="majorHAnsi"/>
          <w:sz w:val="20"/>
          <w:szCs w:val="20"/>
          <w:lang w:val="es-ES"/>
        </w:rPr>
        <w:t xml:space="preserve">había estado involucrado en un tiroteo desde un vehículo en movimiento en </w:t>
      </w:r>
      <w:r w:rsidR="00C35423" w:rsidRPr="007A3389">
        <w:rPr>
          <w:rFonts w:asciiTheme="majorHAnsi" w:hAnsiTheme="majorHAnsi"/>
          <w:sz w:val="20"/>
          <w:szCs w:val="20"/>
          <w:lang w:val="es-ES"/>
        </w:rPr>
        <w:t xml:space="preserve">Los </w:t>
      </w:r>
      <w:r w:rsidRPr="007A3389">
        <w:rPr>
          <w:rFonts w:asciiTheme="majorHAnsi" w:hAnsiTheme="majorHAnsi"/>
          <w:sz w:val="20"/>
          <w:szCs w:val="20"/>
          <w:lang w:val="es-ES"/>
        </w:rPr>
        <w:t>Ángeles</w:t>
      </w:r>
      <w:r w:rsidR="00C35423" w:rsidRPr="007A3389">
        <w:rPr>
          <w:rFonts w:asciiTheme="majorHAnsi" w:hAnsiTheme="majorHAnsi"/>
          <w:sz w:val="20"/>
          <w:szCs w:val="20"/>
          <w:lang w:val="es-ES"/>
        </w:rPr>
        <w:t xml:space="preserve"> </w:t>
      </w:r>
      <w:r>
        <w:rPr>
          <w:rFonts w:asciiTheme="majorHAnsi" w:hAnsiTheme="majorHAnsi"/>
          <w:sz w:val="20"/>
          <w:szCs w:val="20"/>
          <w:lang w:val="es-ES"/>
        </w:rPr>
        <w:t xml:space="preserve">y había ido a </w:t>
      </w:r>
      <w:r w:rsidR="00C35423" w:rsidRPr="007A3389">
        <w:rPr>
          <w:rFonts w:asciiTheme="majorHAnsi" w:hAnsiTheme="majorHAnsi"/>
          <w:sz w:val="20"/>
          <w:szCs w:val="20"/>
          <w:lang w:val="es-ES"/>
        </w:rPr>
        <w:t xml:space="preserve">Ohio </w:t>
      </w:r>
      <w:r>
        <w:rPr>
          <w:rFonts w:asciiTheme="majorHAnsi" w:hAnsiTheme="majorHAnsi"/>
          <w:sz w:val="20"/>
          <w:szCs w:val="20"/>
          <w:lang w:val="es-ES"/>
        </w:rPr>
        <w:t xml:space="preserve">para evitar que la policía de Los </w:t>
      </w:r>
      <w:r w:rsidRPr="007A3389">
        <w:rPr>
          <w:rFonts w:asciiTheme="majorHAnsi" w:hAnsiTheme="majorHAnsi"/>
          <w:sz w:val="20"/>
          <w:szCs w:val="20"/>
          <w:lang w:val="es-ES"/>
        </w:rPr>
        <w:t>Ángeles</w:t>
      </w:r>
      <w:r w:rsidR="00C35423" w:rsidRPr="007A3389">
        <w:rPr>
          <w:rFonts w:asciiTheme="majorHAnsi" w:hAnsiTheme="majorHAnsi"/>
          <w:sz w:val="20"/>
          <w:szCs w:val="20"/>
          <w:lang w:val="es-ES"/>
        </w:rPr>
        <w:t xml:space="preserve"> </w:t>
      </w:r>
      <w:r>
        <w:rPr>
          <w:rFonts w:asciiTheme="majorHAnsi" w:hAnsiTheme="majorHAnsi"/>
          <w:sz w:val="20"/>
          <w:szCs w:val="20"/>
          <w:lang w:val="es-ES"/>
        </w:rPr>
        <w:t>lo arrestara</w:t>
      </w:r>
      <w:r w:rsidR="00C35423" w:rsidRPr="007A3389">
        <w:rPr>
          <w:rFonts w:asciiTheme="majorHAnsi" w:hAnsiTheme="majorHAnsi"/>
          <w:sz w:val="20"/>
          <w:szCs w:val="20"/>
          <w:lang w:val="es-ES"/>
        </w:rPr>
        <w:t xml:space="preserve">. G. </w:t>
      </w:r>
      <w:proofErr w:type="spellStart"/>
      <w:r w:rsidR="00C35423" w:rsidRPr="007A3389">
        <w:rPr>
          <w:rFonts w:asciiTheme="majorHAnsi" w:hAnsiTheme="majorHAnsi"/>
          <w:sz w:val="20"/>
          <w:szCs w:val="20"/>
          <w:lang w:val="es-ES"/>
        </w:rPr>
        <w:t>Hoertt</w:t>
      </w:r>
      <w:proofErr w:type="spellEnd"/>
      <w:r w:rsidR="00C35423" w:rsidRPr="007A3389">
        <w:rPr>
          <w:rFonts w:asciiTheme="majorHAnsi" w:hAnsiTheme="majorHAnsi"/>
          <w:sz w:val="20"/>
          <w:szCs w:val="20"/>
          <w:lang w:val="es-ES"/>
        </w:rPr>
        <w:t xml:space="preserve"> </w:t>
      </w:r>
      <w:r>
        <w:rPr>
          <w:rFonts w:asciiTheme="majorHAnsi" w:hAnsiTheme="majorHAnsi"/>
          <w:sz w:val="20"/>
          <w:szCs w:val="20"/>
          <w:lang w:val="es-ES"/>
        </w:rPr>
        <w:t xml:space="preserve">llamó al Departamento del </w:t>
      </w:r>
      <w:r w:rsidR="002C1FD7" w:rsidRPr="002C1FD7">
        <w:rPr>
          <w:rFonts w:asciiTheme="majorHAnsi" w:hAnsiTheme="majorHAnsi"/>
          <w:i/>
          <w:sz w:val="20"/>
          <w:szCs w:val="20"/>
          <w:lang w:val="es-ES"/>
        </w:rPr>
        <w:t>Sheriff</w:t>
      </w:r>
      <w:r w:rsidR="004345CE">
        <w:rPr>
          <w:rFonts w:asciiTheme="majorHAnsi" w:hAnsiTheme="majorHAnsi"/>
          <w:sz w:val="20"/>
          <w:szCs w:val="20"/>
          <w:lang w:val="es-ES"/>
        </w:rPr>
        <w:t xml:space="preserve"> del Condado de </w:t>
      </w:r>
      <w:r w:rsidR="00C35423" w:rsidRPr="007A3389">
        <w:rPr>
          <w:rFonts w:asciiTheme="majorHAnsi" w:hAnsiTheme="majorHAnsi"/>
          <w:sz w:val="20"/>
          <w:szCs w:val="20"/>
          <w:lang w:val="es-ES"/>
        </w:rPr>
        <w:t xml:space="preserve">Warren </w:t>
      </w:r>
      <w:r w:rsidR="004345CE">
        <w:rPr>
          <w:rFonts w:asciiTheme="majorHAnsi" w:hAnsiTheme="majorHAnsi"/>
          <w:sz w:val="20"/>
          <w:szCs w:val="20"/>
          <w:lang w:val="es-ES"/>
        </w:rPr>
        <w:t xml:space="preserve">para </w:t>
      </w:r>
      <w:r w:rsidR="0074607D">
        <w:rPr>
          <w:rFonts w:asciiTheme="majorHAnsi" w:hAnsiTheme="majorHAnsi"/>
          <w:sz w:val="20"/>
          <w:szCs w:val="20"/>
          <w:lang w:val="es-ES"/>
        </w:rPr>
        <w:t xml:space="preserve">comunicar </w:t>
      </w:r>
      <w:r w:rsidR="004345CE">
        <w:rPr>
          <w:rFonts w:asciiTheme="majorHAnsi" w:hAnsiTheme="majorHAnsi"/>
          <w:sz w:val="20"/>
          <w:szCs w:val="20"/>
          <w:lang w:val="es-ES"/>
        </w:rPr>
        <w:t xml:space="preserve">lo que había descubierto y le informaron que el individuo había sido visto con una acompañante en las proximidades de la cercana estación de autobuses </w:t>
      </w:r>
      <w:r w:rsidR="006A6DB8" w:rsidRPr="007A3389">
        <w:rPr>
          <w:rFonts w:asciiTheme="majorHAnsi" w:hAnsiTheme="majorHAnsi"/>
          <w:sz w:val="20"/>
          <w:szCs w:val="20"/>
          <w:lang w:val="es-ES"/>
        </w:rPr>
        <w:t xml:space="preserve">Greyhound. </w:t>
      </w:r>
      <w:r w:rsidR="004345CE">
        <w:rPr>
          <w:rFonts w:asciiTheme="majorHAnsi" w:hAnsiTheme="majorHAnsi"/>
          <w:sz w:val="20"/>
          <w:szCs w:val="20"/>
          <w:lang w:val="es-ES"/>
        </w:rPr>
        <w:t xml:space="preserve">Entonces, </w:t>
      </w:r>
      <w:r w:rsidR="006A6DB8" w:rsidRPr="007A3389">
        <w:rPr>
          <w:rFonts w:asciiTheme="majorHAnsi" w:hAnsiTheme="majorHAnsi"/>
          <w:sz w:val="20"/>
          <w:szCs w:val="20"/>
          <w:lang w:val="es-ES"/>
        </w:rPr>
        <w:t xml:space="preserve">G. </w:t>
      </w:r>
      <w:proofErr w:type="spellStart"/>
      <w:r w:rsidR="006A6DB8" w:rsidRPr="007A3389">
        <w:rPr>
          <w:rFonts w:asciiTheme="majorHAnsi" w:hAnsiTheme="majorHAnsi"/>
          <w:sz w:val="20"/>
          <w:szCs w:val="20"/>
          <w:lang w:val="es-ES"/>
        </w:rPr>
        <w:t>Hoertt</w:t>
      </w:r>
      <w:proofErr w:type="spellEnd"/>
      <w:r w:rsidR="006A6DB8" w:rsidRPr="007A3389">
        <w:rPr>
          <w:rFonts w:asciiTheme="majorHAnsi" w:hAnsiTheme="majorHAnsi"/>
          <w:sz w:val="20"/>
          <w:szCs w:val="20"/>
          <w:lang w:val="es-ES"/>
        </w:rPr>
        <w:t xml:space="preserve"> </w:t>
      </w:r>
      <w:r w:rsidR="004345CE">
        <w:rPr>
          <w:rFonts w:asciiTheme="majorHAnsi" w:hAnsiTheme="majorHAnsi"/>
          <w:sz w:val="20"/>
          <w:szCs w:val="20"/>
          <w:lang w:val="es-ES"/>
        </w:rPr>
        <w:t xml:space="preserve">llamó al </w:t>
      </w:r>
      <w:r w:rsidR="006A6DB8" w:rsidRPr="007A3389">
        <w:rPr>
          <w:rFonts w:asciiTheme="majorHAnsi" w:hAnsiTheme="majorHAnsi"/>
          <w:sz w:val="20"/>
          <w:szCs w:val="20"/>
          <w:lang w:val="es-ES"/>
        </w:rPr>
        <w:t xml:space="preserve">detective Roger </w:t>
      </w:r>
      <w:proofErr w:type="spellStart"/>
      <w:r w:rsidR="006A6DB8" w:rsidRPr="007A3389">
        <w:rPr>
          <w:rFonts w:asciiTheme="majorHAnsi" w:hAnsiTheme="majorHAnsi"/>
          <w:sz w:val="20"/>
          <w:szCs w:val="20"/>
          <w:lang w:val="es-ES"/>
        </w:rPr>
        <w:t>Knable</w:t>
      </w:r>
      <w:proofErr w:type="spellEnd"/>
      <w:r w:rsidR="004345CE">
        <w:rPr>
          <w:rFonts w:asciiTheme="majorHAnsi" w:hAnsiTheme="majorHAnsi"/>
          <w:sz w:val="20"/>
          <w:szCs w:val="20"/>
          <w:lang w:val="es-ES"/>
        </w:rPr>
        <w:t xml:space="preserve"> de la policía de </w:t>
      </w:r>
      <w:proofErr w:type="spellStart"/>
      <w:r w:rsidR="004345CE">
        <w:rPr>
          <w:rFonts w:asciiTheme="majorHAnsi" w:hAnsiTheme="majorHAnsi"/>
          <w:sz w:val="20"/>
          <w:szCs w:val="20"/>
          <w:lang w:val="es-ES"/>
        </w:rPr>
        <w:t>Middletown</w:t>
      </w:r>
      <w:proofErr w:type="spellEnd"/>
      <w:r w:rsidR="006A6DB8" w:rsidRPr="007A3389">
        <w:rPr>
          <w:rFonts w:asciiTheme="majorHAnsi" w:hAnsiTheme="majorHAnsi"/>
          <w:sz w:val="20"/>
          <w:szCs w:val="20"/>
          <w:lang w:val="es-ES"/>
        </w:rPr>
        <w:t xml:space="preserve">. </w:t>
      </w:r>
    </w:p>
    <w:p w14:paraId="4D46D744" w14:textId="77777777" w:rsidR="0025755D" w:rsidRPr="007A3389" w:rsidRDefault="0025755D" w:rsidP="0025755D">
      <w:pPr>
        <w:pStyle w:val="ListParagraph"/>
        <w:rPr>
          <w:rFonts w:asciiTheme="majorHAnsi" w:hAnsiTheme="majorHAnsi"/>
          <w:sz w:val="20"/>
          <w:szCs w:val="20"/>
          <w:lang w:val="es-ES"/>
        </w:rPr>
      </w:pPr>
    </w:p>
    <w:p w14:paraId="31BD1FF6" w14:textId="77777777" w:rsidR="0025755D" w:rsidRPr="007A3389" w:rsidRDefault="004345CE" w:rsidP="00C354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Después de leer la carta</w:t>
      </w:r>
      <w:r w:rsidR="006A6DB8"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el detective</w:t>
      </w:r>
      <w:r w:rsidR="006A6DB8" w:rsidRPr="007A3389">
        <w:rPr>
          <w:rFonts w:asciiTheme="majorHAnsi" w:hAnsiTheme="majorHAnsi"/>
          <w:sz w:val="20"/>
          <w:szCs w:val="20"/>
          <w:lang w:val="es-ES"/>
        </w:rPr>
        <w:t xml:space="preserve"> </w:t>
      </w:r>
      <w:r>
        <w:rPr>
          <w:rFonts w:asciiTheme="majorHAnsi" w:hAnsiTheme="majorHAnsi"/>
          <w:sz w:val="20"/>
          <w:szCs w:val="20"/>
          <w:lang w:val="es-ES"/>
        </w:rPr>
        <w:t>y</w:t>
      </w:r>
      <w:r w:rsidR="006A6DB8" w:rsidRPr="007A3389">
        <w:rPr>
          <w:rFonts w:asciiTheme="majorHAnsi" w:hAnsiTheme="majorHAnsi"/>
          <w:sz w:val="20"/>
          <w:szCs w:val="20"/>
          <w:lang w:val="es-ES"/>
        </w:rPr>
        <w:t xml:space="preserve"> G. </w:t>
      </w:r>
      <w:proofErr w:type="spellStart"/>
      <w:r w:rsidR="006A6DB8" w:rsidRPr="007A3389">
        <w:rPr>
          <w:rFonts w:asciiTheme="majorHAnsi" w:hAnsiTheme="majorHAnsi"/>
          <w:sz w:val="20"/>
          <w:szCs w:val="20"/>
          <w:lang w:val="es-ES"/>
        </w:rPr>
        <w:t>Hoertt</w:t>
      </w:r>
      <w:proofErr w:type="spellEnd"/>
      <w:r w:rsidR="006A6DB8" w:rsidRPr="007A3389">
        <w:rPr>
          <w:rFonts w:asciiTheme="majorHAnsi" w:hAnsiTheme="majorHAnsi"/>
          <w:sz w:val="20"/>
          <w:szCs w:val="20"/>
          <w:lang w:val="es-ES"/>
        </w:rPr>
        <w:t xml:space="preserve"> </w:t>
      </w:r>
      <w:r>
        <w:rPr>
          <w:rFonts w:asciiTheme="majorHAnsi" w:hAnsiTheme="majorHAnsi"/>
          <w:sz w:val="20"/>
          <w:szCs w:val="20"/>
          <w:lang w:val="es-ES"/>
        </w:rPr>
        <w:t xml:space="preserve">inspeccionaron el contenedor y encontraron otros artículos: un cuchillo, </w:t>
      </w:r>
      <w:r w:rsidR="0080436A">
        <w:rPr>
          <w:rFonts w:asciiTheme="majorHAnsi" w:hAnsiTheme="majorHAnsi"/>
          <w:sz w:val="20"/>
          <w:szCs w:val="20"/>
          <w:lang w:val="es-ES"/>
        </w:rPr>
        <w:t>l</w:t>
      </w:r>
      <w:r>
        <w:rPr>
          <w:rFonts w:asciiTheme="majorHAnsi" w:hAnsiTheme="majorHAnsi"/>
          <w:sz w:val="20"/>
          <w:szCs w:val="20"/>
          <w:lang w:val="es-ES"/>
        </w:rPr>
        <w:t xml:space="preserve">a caja vacía de una pistola automática </w:t>
      </w:r>
      <w:r w:rsidR="006A6DB8" w:rsidRPr="007A3389">
        <w:rPr>
          <w:rFonts w:asciiTheme="majorHAnsi" w:hAnsiTheme="majorHAnsi"/>
          <w:sz w:val="20"/>
          <w:szCs w:val="20"/>
          <w:lang w:val="es-ES"/>
        </w:rPr>
        <w:t xml:space="preserve">Raven </w:t>
      </w:r>
      <w:r>
        <w:rPr>
          <w:rFonts w:asciiTheme="majorHAnsi" w:hAnsiTheme="majorHAnsi"/>
          <w:sz w:val="20"/>
          <w:szCs w:val="20"/>
          <w:lang w:val="es-ES"/>
        </w:rPr>
        <w:t xml:space="preserve">calibre 25, un recibo firmado por la compra de la pistola con fecha de 15 de enero de </w:t>
      </w:r>
      <w:r w:rsidR="006A6DB8" w:rsidRPr="007A3389">
        <w:rPr>
          <w:rFonts w:asciiTheme="majorHAnsi" w:hAnsiTheme="majorHAnsi"/>
          <w:sz w:val="20"/>
          <w:szCs w:val="20"/>
          <w:lang w:val="es-ES"/>
        </w:rPr>
        <w:t xml:space="preserve">1991, </w:t>
      </w:r>
      <w:r>
        <w:rPr>
          <w:rFonts w:asciiTheme="majorHAnsi" w:hAnsiTheme="majorHAnsi"/>
          <w:sz w:val="20"/>
          <w:szCs w:val="20"/>
          <w:lang w:val="es-ES"/>
        </w:rPr>
        <w:t xml:space="preserve">una cartera de mujer, un cheque en blanco de la cuenta de </w:t>
      </w:r>
      <w:r w:rsidR="006A6DB8" w:rsidRPr="007A3389">
        <w:rPr>
          <w:rFonts w:asciiTheme="majorHAnsi" w:hAnsiTheme="majorHAnsi"/>
          <w:sz w:val="20"/>
          <w:szCs w:val="20"/>
          <w:lang w:val="es-ES"/>
        </w:rPr>
        <w:t>Georgia L. Davis</w:t>
      </w:r>
      <w:r w:rsidR="005E6203"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 xml:space="preserve">la </w:t>
      </w:r>
      <w:r>
        <w:rPr>
          <w:rFonts w:asciiTheme="majorHAnsi" w:hAnsiTheme="majorHAnsi"/>
          <w:sz w:val="20"/>
          <w:szCs w:val="20"/>
          <w:lang w:val="es-ES"/>
        </w:rPr>
        <w:t xml:space="preserve">madre de la </w:t>
      </w:r>
      <w:r w:rsidR="00117FCC" w:rsidRPr="007A3389">
        <w:rPr>
          <w:rFonts w:asciiTheme="majorHAnsi" w:hAnsiTheme="majorHAnsi"/>
          <w:sz w:val="20"/>
          <w:szCs w:val="20"/>
          <w:lang w:val="es-ES"/>
        </w:rPr>
        <w:t>señorita</w:t>
      </w:r>
      <w:r w:rsidR="005E6203" w:rsidRPr="007A3389">
        <w:rPr>
          <w:rFonts w:asciiTheme="majorHAnsi" w:hAnsiTheme="majorHAnsi"/>
          <w:sz w:val="20"/>
          <w:szCs w:val="20"/>
          <w:lang w:val="es-ES"/>
        </w:rPr>
        <w:t xml:space="preserve"> Jackson)</w:t>
      </w:r>
      <w:r w:rsidR="006A6DB8" w:rsidRPr="007A3389">
        <w:rPr>
          <w:rFonts w:asciiTheme="majorHAnsi" w:hAnsiTheme="majorHAnsi"/>
          <w:sz w:val="20"/>
          <w:szCs w:val="20"/>
          <w:lang w:val="es-ES"/>
        </w:rPr>
        <w:t xml:space="preserve">, </w:t>
      </w:r>
      <w:r>
        <w:rPr>
          <w:rFonts w:asciiTheme="majorHAnsi" w:hAnsiTheme="majorHAnsi"/>
          <w:sz w:val="20"/>
          <w:szCs w:val="20"/>
          <w:lang w:val="es-ES"/>
        </w:rPr>
        <w:t>un giro postal a la orden d</w:t>
      </w:r>
      <w:r w:rsidR="00D87346" w:rsidRPr="007A3389">
        <w:rPr>
          <w:rFonts w:asciiTheme="majorHAnsi" w:hAnsiTheme="majorHAnsi"/>
          <w:sz w:val="20"/>
          <w:szCs w:val="20"/>
          <w:lang w:val="es-ES"/>
        </w:rPr>
        <w:t>el señor</w:t>
      </w:r>
      <w:r w:rsidR="006A6DB8" w:rsidRPr="007A3389">
        <w:rPr>
          <w:rFonts w:asciiTheme="majorHAnsi" w:hAnsiTheme="majorHAnsi"/>
          <w:sz w:val="20"/>
          <w:szCs w:val="20"/>
          <w:lang w:val="es-ES"/>
        </w:rPr>
        <w:t xml:space="preserve"> Loza, </w:t>
      </w:r>
      <w:r w:rsidR="002C1FD7">
        <w:rPr>
          <w:rFonts w:asciiTheme="majorHAnsi" w:hAnsiTheme="majorHAnsi"/>
          <w:sz w:val="20"/>
          <w:szCs w:val="20"/>
          <w:lang w:val="es-ES"/>
        </w:rPr>
        <w:t xml:space="preserve">ropa y otros efectos </w:t>
      </w:r>
      <w:r w:rsidR="006A6DB8" w:rsidRPr="007A3389">
        <w:rPr>
          <w:rFonts w:asciiTheme="majorHAnsi" w:hAnsiTheme="majorHAnsi"/>
          <w:sz w:val="20"/>
          <w:szCs w:val="20"/>
          <w:lang w:val="es-ES"/>
        </w:rPr>
        <w:t>personal</w:t>
      </w:r>
      <w:r w:rsidR="002C1FD7">
        <w:rPr>
          <w:rFonts w:asciiTheme="majorHAnsi" w:hAnsiTheme="majorHAnsi"/>
          <w:sz w:val="20"/>
          <w:szCs w:val="20"/>
          <w:lang w:val="es-ES"/>
        </w:rPr>
        <w:t>es. Cuando estaban examinando los artículos</w:t>
      </w:r>
      <w:r w:rsidR="006A288E" w:rsidRPr="007A3389">
        <w:rPr>
          <w:rFonts w:asciiTheme="majorHAnsi" w:hAnsiTheme="majorHAnsi"/>
          <w:sz w:val="20"/>
          <w:szCs w:val="20"/>
          <w:lang w:val="es-ES"/>
        </w:rPr>
        <w:t xml:space="preserve">, G. </w:t>
      </w:r>
      <w:proofErr w:type="spellStart"/>
      <w:r w:rsidR="006A288E" w:rsidRPr="007A3389">
        <w:rPr>
          <w:rFonts w:asciiTheme="majorHAnsi" w:hAnsiTheme="majorHAnsi"/>
          <w:sz w:val="20"/>
          <w:szCs w:val="20"/>
          <w:lang w:val="es-ES"/>
        </w:rPr>
        <w:t>Hoertt</w:t>
      </w:r>
      <w:proofErr w:type="spellEnd"/>
      <w:r w:rsidR="006A288E" w:rsidRPr="007A3389">
        <w:rPr>
          <w:rFonts w:asciiTheme="majorHAnsi" w:hAnsiTheme="majorHAnsi"/>
          <w:sz w:val="20"/>
          <w:szCs w:val="20"/>
          <w:lang w:val="es-ES"/>
        </w:rPr>
        <w:t xml:space="preserve"> </w:t>
      </w:r>
      <w:r w:rsidR="002C1FD7">
        <w:rPr>
          <w:rFonts w:asciiTheme="majorHAnsi" w:hAnsiTheme="majorHAnsi"/>
          <w:sz w:val="20"/>
          <w:szCs w:val="20"/>
          <w:lang w:val="es-ES"/>
        </w:rPr>
        <w:t>vio a</w:t>
      </w:r>
      <w:r w:rsidR="00D87346" w:rsidRPr="007A3389">
        <w:rPr>
          <w:rFonts w:asciiTheme="majorHAnsi" w:hAnsiTheme="majorHAnsi"/>
          <w:sz w:val="20"/>
          <w:szCs w:val="20"/>
          <w:lang w:val="es-ES"/>
        </w:rPr>
        <w:t>l señor</w:t>
      </w:r>
      <w:r w:rsidR="006A288E" w:rsidRPr="007A3389">
        <w:rPr>
          <w:rFonts w:asciiTheme="majorHAnsi" w:hAnsiTheme="majorHAnsi"/>
          <w:sz w:val="20"/>
          <w:szCs w:val="20"/>
          <w:lang w:val="es-ES"/>
        </w:rPr>
        <w:t xml:space="preserve"> Loza </w:t>
      </w:r>
      <w:r w:rsidR="002C1FD7">
        <w:rPr>
          <w:rFonts w:asciiTheme="majorHAnsi" w:hAnsiTheme="majorHAnsi"/>
          <w:sz w:val="20"/>
          <w:szCs w:val="20"/>
          <w:lang w:val="es-ES"/>
        </w:rPr>
        <w:t>acercarse al contenedor, y</w:t>
      </w:r>
      <w:r w:rsidR="006A288E"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el detective</w:t>
      </w:r>
      <w:r w:rsidR="006A288E" w:rsidRPr="007A3389">
        <w:rPr>
          <w:rFonts w:asciiTheme="majorHAnsi" w:hAnsiTheme="majorHAnsi"/>
          <w:sz w:val="20"/>
          <w:szCs w:val="20"/>
          <w:lang w:val="es-ES"/>
        </w:rPr>
        <w:t xml:space="preserve"> </w:t>
      </w:r>
      <w:r w:rsidR="002C1FD7">
        <w:rPr>
          <w:rFonts w:asciiTheme="majorHAnsi" w:hAnsiTheme="majorHAnsi"/>
          <w:sz w:val="20"/>
          <w:szCs w:val="20"/>
          <w:lang w:val="es-ES"/>
        </w:rPr>
        <w:t xml:space="preserve">le pidió al operador de la policía que avisara a los ayudantes del </w:t>
      </w:r>
      <w:r w:rsidR="002C1FD7" w:rsidRPr="0090409B">
        <w:rPr>
          <w:rFonts w:asciiTheme="majorHAnsi" w:hAnsiTheme="majorHAnsi"/>
          <w:i/>
          <w:sz w:val="20"/>
          <w:szCs w:val="20"/>
          <w:lang w:val="es-ES"/>
        </w:rPr>
        <w:t>sheriff</w:t>
      </w:r>
      <w:r w:rsidR="002C1FD7">
        <w:rPr>
          <w:rFonts w:asciiTheme="majorHAnsi" w:hAnsiTheme="majorHAnsi"/>
          <w:sz w:val="20"/>
          <w:szCs w:val="20"/>
          <w:lang w:val="es-ES"/>
        </w:rPr>
        <w:t xml:space="preserve"> del Condado de </w:t>
      </w:r>
      <w:r w:rsidR="006A288E" w:rsidRPr="007A3389">
        <w:rPr>
          <w:rFonts w:asciiTheme="majorHAnsi" w:hAnsiTheme="majorHAnsi"/>
          <w:sz w:val="20"/>
          <w:szCs w:val="20"/>
          <w:lang w:val="es-ES"/>
        </w:rPr>
        <w:t xml:space="preserve">Warren </w:t>
      </w:r>
      <w:r w:rsidR="0090409B">
        <w:rPr>
          <w:rFonts w:asciiTheme="majorHAnsi" w:hAnsiTheme="majorHAnsi"/>
          <w:sz w:val="20"/>
          <w:szCs w:val="20"/>
          <w:lang w:val="es-ES"/>
        </w:rPr>
        <w:t xml:space="preserve">que el </w:t>
      </w:r>
      <w:r w:rsidR="006A288E" w:rsidRPr="007A3389">
        <w:rPr>
          <w:rFonts w:asciiTheme="majorHAnsi" w:hAnsiTheme="majorHAnsi"/>
          <w:sz w:val="20"/>
          <w:szCs w:val="20"/>
          <w:lang w:val="es-ES"/>
        </w:rPr>
        <w:t>individu</w:t>
      </w:r>
      <w:r w:rsidR="0090409B">
        <w:rPr>
          <w:rFonts w:asciiTheme="majorHAnsi" w:hAnsiTheme="majorHAnsi"/>
          <w:sz w:val="20"/>
          <w:szCs w:val="20"/>
          <w:lang w:val="es-ES"/>
        </w:rPr>
        <w:t>o había regresado al contenedor y que él —</w:t>
      </w:r>
      <w:r w:rsidR="00117FCC" w:rsidRPr="007A3389">
        <w:rPr>
          <w:rFonts w:asciiTheme="majorHAnsi" w:hAnsiTheme="majorHAnsi"/>
          <w:sz w:val="20"/>
          <w:szCs w:val="20"/>
          <w:lang w:val="es-ES"/>
        </w:rPr>
        <w:t>el detective</w:t>
      </w:r>
      <w:r w:rsidR="0090409B">
        <w:rPr>
          <w:rFonts w:asciiTheme="majorHAnsi" w:hAnsiTheme="majorHAnsi"/>
          <w:sz w:val="20"/>
          <w:szCs w:val="20"/>
          <w:lang w:val="es-ES"/>
        </w:rPr>
        <w:t xml:space="preserve">— iba a hablar con el individuo. </w:t>
      </w:r>
      <w:r w:rsidR="006A288E" w:rsidRPr="007A3389">
        <w:rPr>
          <w:rFonts w:asciiTheme="majorHAnsi" w:hAnsiTheme="majorHAnsi"/>
          <w:sz w:val="20"/>
          <w:szCs w:val="20"/>
          <w:lang w:val="es-ES"/>
        </w:rPr>
        <w:t xml:space="preserve">R. </w:t>
      </w:r>
      <w:proofErr w:type="spellStart"/>
      <w:r w:rsidR="006A288E" w:rsidRPr="007A3389">
        <w:rPr>
          <w:rFonts w:asciiTheme="majorHAnsi" w:hAnsiTheme="majorHAnsi"/>
          <w:sz w:val="20"/>
          <w:szCs w:val="20"/>
          <w:lang w:val="es-ES"/>
        </w:rPr>
        <w:t>Knable</w:t>
      </w:r>
      <w:proofErr w:type="spellEnd"/>
      <w:r w:rsidR="006A288E" w:rsidRPr="007A3389">
        <w:rPr>
          <w:rFonts w:asciiTheme="majorHAnsi" w:hAnsiTheme="majorHAnsi"/>
          <w:sz w:val="20"/>
          <w:szCs w:val="20"/>
          <w:lang w:val="es-ES"/>
        </w:rPr>
        <w:t xml:space="preserve"> </w:t>
      </w:r>
      <w:r w:rsidR="0090409B">
        <w:rPr>
          <w:rFonts w:asciiTheme="majorHAnsi" w:hAnsiTheme="majorHAnsi"/>
          <w:sz w:val="20"/>
          <w:szCs w:val="20"/>
          <w:lang w:val="es-ES"/>
        </w:rPr>
        <w:t xml:space="preserve">se identificó como agente de policía, se acercó al </w:t>
      </w:r>
      <w:r w:rsidR="00D87346" w:rsidRPr="007A3389">
        <w:rPr>
          <w:rFonts w:asciiTheme="majorHAnsi" w:hAnsiTheme="majorHAnsi"/>
          <w:sz w:val="20"/>
          <w:szCs w:val="20"/>
          <w:lang w:val="es-ES"/>
        </w:rPr>
        <w:t>señor</w:t>
      </w:r>
      <w:r w:rsidR="006A288E" w:rsidRPr="007A3389">
        <w:rPr>
          <w:rFonts w:asciiTheme="majorHAnsi" w:hAnsiTheme="majorHAnsi"/>
          <w:sz w:val="20"/>
          <w:szCs w:val="20"/>
          <w:lang w:val="es-ES"/>
        </w:rPr>
        <w:t xml:space="preserve"> Loza </w:t>
      </w:r>
      <w:r w:rsidR="0090409B">
        <w:rPr>
          <w:rFonts w:asciiTheme="majorHAnsi" w:hAnsiTheme="majorHAnsi"/>
          <w:sz w:val="20"/>
          <w:szCs w:val="20"/>
          <w:lang w:val="es-ES"/>
        </w:rPr>
        <w:t xml:space="preserve">pistola en mano y </w:t>
      </w:r>
      <w:r w:rsidR="00E900EB">
        <w:rPr>
          <w:rFonts w:asciiTheme="majorHAnsi" w:hAnsiTheme="majorHAnsi"/>
          <w:sz w:val="20"/>
          <w:szCs w:val="20"/>
          <w:lang w:val="es-ES"/>
        </w:rPr>
        <w:t xml:space="preserve">lo cacheó. El </w:t>
      </w:r>
      <w:r w:rsidR="00D87346" w:rsidRPr="007A3389">
        <w:rPr>
          <w:rFonts w:asciiTheme="majorHAnsi" w:hAnsiTheme="majorHAnsi"/>
          <w:sz w:val="20"/>
          <w:szCs w:val="20"/>
          <w:lang w:val="es-ES"/>
        </w:rPr>
        <w:t>señor</w:t>
      </w:r>
      <w:r w:rsidR="006A288E" w:rsidRPr="007A3389">
        <w:rPr>
          <w:rFonts w:asciiTheme="majorHAnsi" w:hAnsiTheme="majorHAnsi"/>
          <w:sz w:val="20"/>
          <w:szCs w:val="20"/>
          <w:lang w:val="es-ES"/>
        </w:rPr>
        <w:t xml:space="preserve"> Loza </w:t>
      </w:r>
      <w:r w:rsidR="00E900EB">
        <w:rPr>
          <w:rFonts w:asciiTheme="majorHAnsi" w:hAnsiTheme="majorHAnsi"/>
          <w:sz w:val="20"/>
          <w:szCs w:val="20"/>
          <w:lang w:val="es-ES"/>
        </w:rPr>
        <w:t xml:space="preserve">dijo que se llamaba </w:t>
      </w:r>
      <w:r w:rsidR="006A288E" w:rsidRPr="007A3389">
        <w:rPr>
          <w:rFonts w:asciiTheme="majorHAnsi" w:hAnsiTheme="majorHAnsi"/>
          <w:sz w:val="20"/>
          <w:szCs w:val="20"/>
          <w:lang w:val="es-ES"/>
        </w:rPr>
        <w:t>“</w:t>
      </w:r>
      <w:r w:rsidR="00E900EB" w:rsidRPr="007A3389">
        <w:rPr>
          <w:rFonts w:asciiTheme="majorHAnsi" w:hAnsiTheme="majorHAnsi"/>
          <w:sz w:val="20"/>
          <w:szCs w:val="20"/>
          <w:lang w:val="es-ES"/>
        </w:rPr>
        <w:t>José</w:t>
      </w:r>
      <w:r w:rsidR="006A288E" w:rsidRPr="007A3389">
        <w:rPr>
          <w:rFonts w:asciiTheme="majorHAnsi" w:hAnsiTheme="majorHAnsi"/>
          <w:sz w:val="20"/>
          <w:szCs w:val="20"/>
          <w:lang w:val="es-ES"/>
        </w:rPr>
        <w:t xml:space="preserve"> </w:t>
      </w:r>
      <w:r w:rsidR="00E900EB" w:rsidRPr="007A3389">
        <w:rPr>
          <w:rFonts w:asciiTheme="majorHAnsi" w:hAnsiTheme="majorHAnsi"/>
          <w:sz w:val="20"/>
          <w:szCs w:val="20"/>
          <w:lang w:val="es-ES"/>
        </w:rPr>
        <w:t>Rodríguez</w:t>
      </w:r>
      <w:r w:rsidR="006A288E" w:rsidRPr="007A3389">
        <w:rPr>
          <w:rFonts w:asciiTheme="majorHAnsi" w:hAnsiTheme="majorHAnsi"/>
          <w:sz w:val="20"/>
          <w:szCs w:val="20"/>
          <w:lang w:val="es-ES"/>
        </w:rPr>
        <w:t>”</w:t>
      </w:r>
      <w:r w:rsidR="00E900EB">
        <w:rPr>
          <w:rFonts w:asciiTheme="majorHAnsi" w:hAnsiTheme="majorHAnsi"/>
          <w:sz w:val="20"/>
          <w:szCs w:val="20"/>
          <w:lang w:val="es-ES"/>
        </w:rPr>
        <w:t xml:space="preserve">, que la mujer que estaba con él era </w:t>
      </w:r>
      <w:r w:rsidR="006A288E" w:rsidRPr="007A3389">
        <w:rPr>
          <w:rFonts w:asciiTheme="majorHAnsi" w:hAnsiTheme="majorHAnsi"/>
          <w:sz w:val="20"/>
          <w:szCs w:val="20"/>
          <w:lang w:val="es-ES"/>
        </w:rPr>
        <w:t xml:space="preserve">“Cynthia </w:t>
      </w:r>
      <w:r w:rsidR="00E900EB" w:rsidRPr="007A3389">
        <w:rPr>
          <w:rFonts w:asciiTheme="majorHAnsi" w:hAnsiTheme="majorHAnsi"/>
          <w:sz w:val="20"/>
          <w:szCs w:val="20"/>
          <w:lang w:val="es-ES"/>
        </w:rPr>
        <w:t>Rodríguez</w:t>
      </w:r>
      <w:r w:rsidR="006A288E" w:rsidRPr="007A3389">
        <w:rPr>
          <w:rFonts w:asciiTheme="majorHAnsi" w:hAnsiTheme="majorHAnsi"/>
          <w:sz w:val="20"/>
          <w:szCs w:val="20"/>
          <w:lang w:val="es-ES"/>
        </w:rPr>
        <w:t>”</w:t>
      </w:r>
      <w:r w:rsidR="00E900EB">
        <w:rPr>
          <w:rFonts w:asciiTheme="majorHAnsi" w:hAnsiTheme="majorHAnsi"/>
          <w:sz w:val="20"/>
          <w:szCs w:val="20"/>
          <w:lang w:val="es-ES"/>
        </w:rPr>
        <w:t xml:space="preserve">, su esposa, y que se dirigían a </w:t>
      </w:r>
      <w:r w:rsidR="006A288E" w:rsidRPr="007A3389">
        <w:rPr>
          <w:rFonts w:asciiTheme="majorHAnsi" w:hAnsiTheme="majorHAnsi"/>
          <w:sz w:val="20"/>
          <w:szCs w:val="20"/>
          <w:lang w:val="es-ES"/>
        </w:rPr>
        <w:t xml:space="preserve">California. </w:t>
      </w:r>
      <w:r w:rsidR="00E900EB">
        <w:rPr>
          <w:rFonts w:asciiTheme="majorHAnsi" w:hAnsiTheme="majorHAnsi"/>
          <w:sz w:val="20"/>
          <w:szCs w:val="20"/>
          <w:lang w:val="es-ES"/>
        </w:rPr>
        <w:t>E</w:t>
      </w:r>
      <w:r w:rsidR="00D87346" w:rsidRPr="007A3389">
        <w:rPr>
          <w:rFonts w:asciiTheme="majorHAnsi" w:hAnsiTheme="majorHAnsi"/>
          <w:sz w:val="20"/>
          <w:szCs w:val="20"/>
          <w:lang w:val="es-ES"/>
        </w:rPr>
        <w:t>l señor</w:t>
      </w:r>
      <w:r w:rsidR="006A288E" w:rsidRPr="007A3389">
        <w:rPr>
          <w:rFonts w:asciiTheme="majorHAnsi" w:hAnsiTheme="majorHAnsi"/>
          <w:sz w:val="20"/>
          <w:szCs w:val="20"/>
          <w:lang w:val="es-ES"/>
        </w:rPr>
        <w:t xml:space="preserve"> </w:t>
      </w:r>
      <w:proofErr w:type="spellStart"/>
      <w:r w:rsidR="006A288E" w:rsidRPr="007A3389">
        <w:rPr>
          <w:rFonts w:asciiTheme="majorHAnsi" w:hAnsiTheme="majorHAnsi"/>
          <w:sz w:val="20"/>
          <w:szCs w:val="20"/>
          <w:lang w:val="es-ES"/>
        </w:rPr>
        <w:t>Knable</w:t>
      </w:r>
      <w:proofErr w:type="spellEnd"/>
      <w:r w:rsidR="006A288E" w:rsidRPr="007A3389">
        <w:rPr>
          <w:rFonts w:asciiTheme="majorHAnsi" w:hAnsiTheme="majorHAnsi"/>
          <w:sz w:val="20"/>
          <w:szCs w:val="20"/>
          <w:lang w:val="es-ES"/>
        </w:rPr>
        <w:t xml:space="preserve"> </w:t>
      </w:r>
      <w:r w:rsidR="00E900EB">
        <w:rPr>
          <w:rFonts w:asciiTheme="majorHAnsi" w:hAnsiTheme="majorHAnsi"/>
          <w:sz w:val="20"/>
          <w:szCs w:val="20"/>
          <w:lang w:val="es-ES"/>
        </w:rPr>
        <w:t xml:space="preserve">le </w:t>
      </w:r>
      <w:r w:rsidR="006A288E" w:rsidRPr="007A3389">
        <w:rPr>
          <w:rFonts w:asciiTheme="majorHAnsi" w:hAnsiTheme="majorHAnsi"/>
          <w:sz w:val="20"/>
          <w:szCs w:val="20"/>
          <w:lang w:val="es-ES"/>
        </w:rPr>
        <w:t>inform</w:t>
      </w:r>
      <w:r w:rsidR="00E900EB">
        <w:rPr>
          <w:rFonts w:asciiTheme="majorHAnsi" w:hAnsiTheme="majorHAnsi"/>
          <w:sz w:val="20"/>
          <w:szCs w:val="20"/>
          <w:lang w:val="es-ES"/>
        </w:rPr>
        <w:t>ó a</w:t>
      </w:r>
      <w:r w:rsidR="00D87346" w:rsidRPr="007A3389">
        <w:rPr>
          <w:rFonts w:asciiTheme="majorHAnsi" w:hAnsiTheme="majorHAnsi"/>
          <w:sz w:val="20"/>
          <w:szCs w:val="20"/>
          <w:lang w:val="es-ES"/>
        </w:rPr>
        <w:t>l señor</w:t>
      </w:r>
      <w:r w:rsidR="006A288E" w:rsidRPr="007A3389">
        <w:rPr>
          <w:rFonts w:asciiTheme="majorHAnsi" w:hAnsiTheme="majorHAnsi"/>
          <w:sz w:val="20"/>
          <w:szCs w:val="20"/>
          <w:lang w:val="es-ES"/>
        </w:rPr>
        <w:t xml:space="preserve"> Loza </w:t>
      </w:r>
      <w:r w:rsidR="00E900EB">
        <w:rPr>
          <w:rFonts w:asciiTheme="majorHAnsi" w:hAnsiTheme="majorHAnsi"/>
          <w:sz w:val="20"/>
          <w:szCs w:val="20"/>
          <w:lang w:val="es-ES"/>
        </w:rPr>
        <w:t xml:space="preserve">que lo había parado debido a lo que había puesto en el contenedor, que la carta decía que </w:t>
      </w:r>
      <w:r w:rsidR="00D87346" w:rsidRPr="007A3389">
        <w:rPr>
          <w:rFonts w:asciiTheme="majorHAnsi" w:hAnsiTheme="majorHAnsi"/>
          <w:sz w:val="20"/>
          <w:szCs w:val="20"/>
          <w:lang w:val="es-ES"/>
        </w:rPr>
        <w:t>el señor</w:t>
      </w:r>
      <w:r w:rsidR="006A288E" w:rsidRPr="007A3389">
        <w:rPr>
          <w:rFonts w:asciiTheme="majorHAnsi" w:hAnsiTheme="majorHAnsi"/>
          <w:sz w:val="20"/>
          <w:szCs w:val="20"/>
          <w:lang w:val="es-ES"/>
        </w:rPr>
        <w:t xml:space="preserve"> Loza </w:t>
      </w:r>
      <w:r w:rsidR="00E900EB">
        <w:rPr>
          <w:rFonts w:asciiTheme="majorHAnsi" w:hAnsiTheme="majorHAnsi"/>
          <w:sz w:val="20"/>
          <w:szCs w:val="20"/>
          <w:lang w:val="es-ES"/>
        </w:rPr>
        <w:t xml:space="preserve">posiblemente había estado implicado en un tiroteo desde un vehículo en movimiento y </w:t>
      </w:r>
      <w:r w:rsidR="0080436A">
        <w:rPr>
          <w:rFonts w:asciiTheme="majorHAnsi" w:hAnsiTheme="majorHAnsi"/>
          <w:sz w:val="20"/>
          <w:szCs w:val="20"/>
          <w:lang w:val="es-ES"/>
        </w:rPr>
        <w:t xml:space="preserve">que </w:t>
      </w:r>
      <w:r w:rsidR="00E900EB">
        <w:rPr>
          <w:rFonts w:asciiTheme="majorHAnsi" w:hAnsiTheme="majorHAnsi"/>
          <w:sz w:val="20"/>
          <w:szCs w:val="20"/>
          <w:lang w:val="es-ES"/>
        </w:rPr>
        <w:t>iba a detener</w:t>
      </w:r>
      <w:r w:rsidR="0080436A">
        <w:rPr>
          <w:rFonts w:asciiTheme="majorHAnsi" w:hAnsiTheme="majorHAnsi"/>
          <w:sz w:val="20"/>
          <w:szCs w:val="20"/>
          <w:lang w:val="es-ES"/>
        </w:rPr>
        <w:t>lo</w:t>
      </w:r>
      <w:r w:rsidR="00E900EB">
        <w:rPr>
          <w:rFonts w:asciiTheme="majorHAnsi" w:hAnsiTheme="majorHAnsi"/>
          <w:sz w:val="20"/>
          <w:szCs w:val="20"/>
          <w:lang w:val="es-ES"/>
        </w:rPr>
        <w:t xml:space="preserve"> y a esposar</w:t>
      </w:r>
      <w:r w:rsidR="0080436A">
        <w:rPr>
          <w:rFonts w:asciiTheme="majorHAnsi" w:hAnsiTheme="majorHAnsi"/>
          <w:sz w:val="20"/>
          <w:szCs w:val="20"/>
          <w:lang w:val="es-ES"/>
        </w:rPr>
        <w:t>lo</w:t>
      </w:r>
      <w:r w:rsidR="00E900EB">
        <w:rPr>
          <w:rFonts w:asciiTheme="majorHAnsi" w:hAnsiTheme="majorHAnsi"/>
          <w:sz w:val="20"/>
          <w:szCs w:val="20"/>
          <w:lang w:val="es-ES"/>
        </w:rPr>
        <w:t xml:space="preserve"> hasta que llegaran los ayudantes del </w:t>
      </w:r>
      <w:r w:rsidR="00E900EB" w:rsidRPr="00E900EB">
        <w:rPr>
          <w:rFonts w:asciiTheme="majorHAnsi" w:hAnsiTheme="majorHAnsi"/>
          <w:i/>
          <w:sz w:val="20"/>
          <w:szCs w:val="20"/>
          <w:lang w:val="es-ES"/>
        </w:rPr>
        <w:t>sheriff</w:t>
      </w:r>
      <w:r w:rsidR="00E900EB">
        <w:rPr>
          <w:rFonts w:asciiTheme="majorHAnsi" w:hAnsiTheme="majorHAnsi"/>
          <w:sz w:val="20"/>
          <w:szCs w:val="20"/>
          <w:lang w:val="es-ES"/>
        </w:rPr>
        <w:t xml:space="preserve"> del Condado de </w:t>
      </w:r>
      <w:r w:rsidR="006A288E" w:rsidRPr="007A3389">
        <w:rPr>
          <w:rFonts w:asciiTheme="majorHAnsi" w:hAnsiTheme="majorHAnsi"/>
          <w:sz w:val="20"/>
          <w:szCs w:val="20"/>
          <w:lang w:val="es-ES"/>
        </w:rPr>
        <w:t>Warren</w:t>
      </w:r>
      <w:r w:rsidR="00E900EB">
        <w:rPr>
          <w:rFonts w:asciiTheme="majorHAnsi" w:hAnsiTheme="majorHAnsi"/>
          <w:sz w:val="20"/>
          <w:szCs w:val="20"/>
          <w:lang w:val="es-ES"/>
        </w:rPr>
        <w:t>. Acto seguido, e</w:t>
      </w:r>
      <w:r w:rsidR="00D87346" w:rsidRPr="007A3389">
        <w:rPr>
          <w:rFonts w:asciiTheme="majorHAnsi" w:hAnsiTheme="majorHAnsi"/>
          <w:sz w:val="20"/>
          <w:szCs w:val="20"/>
          <w:lang w:val="es-ES"/>
        </w:rPr>
        <w:t>l señor</w:t>
      </w:r>
      <w:r w:rsidR="006A288E" w:rsidRPr="007A3389">
        <w:rPr>
          <w:rFonts w:asciiTheme="majorHAnsi" w:hAnsiTheme="majorHAnsi"/>
          <w:sz w:val="20"/>
          <w:szCs w:val="20"/>
          <w:lang w:val="es-ES"/>
        </w:rPr>
        <w:t xml:space="preserve"> </w:t>
      </w:r>
      <w:proofErr w:type="spellStart"/>
      <w:r w:rsidR="006A288E" w:rsidRPr="007A3389">
        <w:rPr>
          <w:rFonts w:asciiTheme="majorHAnsi" w:hAnsiTheme="majorHAnsi"/>
          <w:sz w:val="20"/>
          <w:szCs w:val="20"/>
          <w:lang w:val="es-ES"/>
        </w:rPr>
        <w:t>Knable</w:t>
      </w:r>
      <w:proofErr w:type="spellEnd"/>
      <w:r w:rsidR="006A288E" w:rsidRPr="007A3389">
        <w:rPr>
          <w:rFonts w:asciiTheme="majorHAnsi" w:hAnsiTheme="majorHAnsi"/>
          <w:sz w:val="20"/>
          <w:szCs w:val="20"/>
          <w:lang w:val="es-ES"/>
        </w:rPr>
        <w:t xml:space="preserve"> </w:t>
      </w:r>
      <w:r w:rsidR="00E900EB">
        <w:rPr>
          <w:rFonts w:asciiTheme="majorHAnsi" w:hAnsiTheme="majorHAnsi"/>
          <w:sz w:val="20"/>
          <w:szCs w:val="20"/>
          <w:lang w:val="es-ES"/>
        </w:rPr>
        <w:t xml:space="preserve">fue a buscar a la mujer que había sido vista con </w:t>
      </w:r>
      <w:r w:rsidR="00D87346" w:rsidRPr="007A3389">
        <w:rPr>
          <w:rFonts w:asciiTheme="majorHAnsi" w:hAnsiTheme="majorHAnsi"/>
          <w:sz w:val="20"/>
          <w:szCs w:val="20"/>
          <w:lang w:val="es-ES"/>
        </w:rPr>
        <w:t>el señor</w:t>
      </w:r>
      <w:r w:rsidR="006A288E" w:rsidRPr="007A3389">
        <w:rPr>
          <w:rFonts w:asciiTheme="majorHAnsi" w:hAnsiTheme="majorHAnsi"/>
          <w:sz w:val="20"/>
          <w:szCs w:val="20"/>
          <w:lang w:val="es-ES"/>
        </w:rPr>
        <w:t xml:space="preserve"> Loza</w:t>
      </w:r>
      <w:r w:rsidR="00416614" w:rsidRPr="007A3389">
        <w:rPr>
          <w:rFonts w:asciiTheme="majorHAnsi" w:hAnsiTheme="majorHAnsi"/>
          <w:sz w:val="20"/>
          <w:szCs w:val="20"/>
          <w:lang w:val="es-ES"/>
        </w:rPr>
        <w:t>.</w:t>
      </w:r>
    </w:p>
    <w:p w14:paraId="3F7FF0D7" w14:textId="77777777" w:rsidR="0025755D" w:rsidRPr="007A3389" w:rsidRDefault="0025755D" w:rsidP="002575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2A474518" w14:textId="77777777" w:rsidR="0025755D" w:rsidRPr="007A3389" w:rsidRDefault="00416614" w:rsidP="00C354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7A3389">
        <w:rPr>
          <w:rFonts w:asciiTheme="majorHAnsi" w:hAnsiTheme="majorHAnsi"/>
          <w:sz w:val="20"/>
          <w:szCs w:val="20"/>
          <w:lang w:val="es-ES"/>
        </w:rPr>
        <w:t xml:space="preserve"> </w:t>
      </w:r>
      <w:proofErr w:type="spellStart"/>
      <w:r w:rsidRPr="007A3389">
        <w:rPr>
          <w:rFonts w:asciiTheme="majorHAnsi" w:hAnsiTheme="majorHAnsi"/>
          <w:sz w:val="20"/>
          <w:szCs w:val="20"/>
          <w:lang w:val="es-ES"/>
        </w:rPr>
        <w:t>Dorothy</w:t>
      </w:r>
      <w:proofErr w:type="spellEnd"/>
      <w:r w:rsidRPr="007A3389">
        <w:rPr>
          <w:rFonts w:asciiTheme="majorHAnsi" w:hAnsiTheme="majorHAnsi"/>
          <w:sz w:val="20"/>
          <w:szCs w:val="20"/>
          <w:lang w:val="es-ES"/>
        </w:rPr>
        <w:t xml:space="preserve"> Jackson </w:t>
      </w:r>
      <w:r w:rsidR="00E900EB">
        <w:rPr>
          <w:rFonts w:asciiTheme="majorHAnsi" w:hAnsiTheme="majorHAnsi"/>
          <w:sz w:val="20"/>
          <w:szCs w:val="20"/>
          <w:lang w:val="es-ES"/>
        </w:rPr>
        <w:t xml:space="preserve">dijo que se llamaba </w:t>
      </w:r>
      <w:r w:rsidRPr="007A3389">
        <w:rPr>
          <w:rFonts w:asciiTheme="majorHAnsi" w:hAnsiTheme="majorHAnsi"/>
          <w:sz w:val="20"/>
          <w:szCs w:val="20"/>
          <w:lang w:val="es-ES"/>
        </w:rPr>
        <w:t>“</w:t>
      </w:r>
      <w:proofErr w:type="spellStart"/>
      <w:r w:rsidRPr="007A3389">
        <w:rPr>
          <w:rFonts w:asciiTheme="majorHAnsi" w:hAnsiTheme="majorHAnsi"/>
          <w:sz w:val="20"/>
          <w:szCs w:val="20"/>
          <w:lang w:val="es-ES"/>
        </w:rPr>
        <w:t>Dorothy</w:t>
      </w:r>
      <w:proofErr w:type="spellEnd"/>
      <w:r w:rsidRPr="007A3389">
        <w:rPr>
          <w:rFonts w:asciiTheme="majorHAnsi" w:hAnsiTheme="majorHAnsi"/>
          <w:sz w:val="20"/>
          <w:szCs w:val="20"/>
          <w:lang w:val="es-ES"/>
        </w:rPr>
        <w:t xml:space="preserve"> Jackson”, </w:t>
      </w:r>
      <w:r w:rsidR="000D7084">
        <w:rPr>
          <w:rFonts w:asciiTheme="majorHAnsi" w:hAnsiTheme="majorHAnsi"/>
          <w:sz w:val="20"/>
          <w:szCs w:val="20"/>
          <w:lang w:val="es-ES"/>
        </w:rPr>
        <w:t xml:space="preserve">que </w:t>
      </w:r>
      <w:r w:rsidR="00D87346" w:rsidRPr="007A3389">
        <w:rPr>
          <w:rFonts w:asciiTheme="majorHAnsi" w:hAnsiTheme="majorHAnsi"/>
          <w:sz w:val="20"/>
          <w:szCs w:val="20"/>
          <w:lang w:val="es-ES"/>
        </w:rPr>
        <w:t>el señor</w:t>
      </w:r>
      <w:r w:rsidRPr="007A3389">
        <w:rPr>
          <w:rFonts w:asciiTheme="majorHAnsi" w:hAnsiTheme="majorHAnsi"/>
          <w:sz w:val="20"/>
          <w:szCs w:val="20"/>
          <w:lang w:val="es-ES"/>
        </w:rPr>
        <w:t xml:space="preserve"> Loza </w:t>
      </w:r>
      <w:r w:rsidR="000D7084">
        <w:rPr>
          <w:rFonts w:asciiTheme="majorHAnsi" w:hAnsiTheme="majorHAnsi"/>
          <w:sz w:val="20"/>
          <w:szCs w:val="20"/>
          <w:lang w:val="es-ES"/>
        </w:rPr>
        <w:t xml:space="preserve">era </w:t>
      </w:r>
      <w:r w:rsidRPr="007A3389">
        <w:rPr>
          <w:rFonts w:asciiTheme="majorHAnsi" w:hAnsiTheme="majorHAnsi"/>
          <w:sz w:val="20"/>
          <w:szCs w:val="20"/>
          <w:lang w:val="es-ES"/>
        </w:rPr>
        <w:t>“</w:t>
      </w:r>
      <w:r w:rsidR="000D7084" w:rsidRPr="007A3389">
        <w:rPr>
          <w:rFonts w:asciiTheme="majorHAnsi" w:hAnsiTheme="majorHAnsi"/>
          <w:sz w:val="20"/>
          <w:szCs w:val="20"/>
          <w:lang w:val="es-ES"/>
        </w:rPr>
        <w:t>José</w:t>
      </w:r>
      <w:r w:rsidRPr="007A3389">
        <w:rPr>
          <w:rFonts w:asciiTheme="majorHAnsi" w:hAnsiTheme="majorHAnsi"/>
          <w:sz w:val="20"/>
          <w:szCs w:val="20"/>
          <w:lang w:val="es-ES"/>
        </w:rPr>
        <w:t xml:space="preserve"> </w:t>
      </w:r>
      <w:r w:rsidR="000D7084" w:rsidRPr="007A3389">
        <w:rPr>
          <w:rFonts w:asciiTheme="majorHAnsi" w:hAnsiTheme="majorHAnsi"/>
          <w:sz w:val="20"/>
          <w:szCs w:val="20"/>
          <w:lang w:val="es-ES"/>
        </w:rPr>
        <w:t>Rodríguez</w:t>
      </w:r>
      <w:r w:rsidRPr="007A3389">
        <w:rPr>
          <w:rFonts w:asciiTheme="majorHAnsi" w:hAnsiTheme="majorHAnsi"/>
          <w:sz w:val="20"/>
          <w:szCs w:val="20"/>
          <w:lang w:val="es-ES"/>
        </w:rPr>
        <w:t xml:space="preserve">” </w:t>
      </w:r>
      <w:r w:rsidR="000D7084">
        <w:rPr>
          <w:rFonts w:asciiTheme="majorHAnsi" w:hAnsiTheme="majorHAnsi"/>
          <w:sz w:val="20"/>
          <w:szCs w:val="20"/>
          <w:lang w:val="es-ES"/>
        </w:rPr>
        <w:t xml:space="preserve">y que no estaban casados. Cuando llegaron los </w:t>
      </w:r>
      <w:r w:rsidR="000D7084" w:rsidRPr="000D7084">
        <w:rPr>
          <w:rFonts w:asciiTheme="majorHAnsi" w:hAnsiTheme="majorHAnsi"/>
          <w:sz w:val="20"/>
          <w:szCs w:val="20"/>
          <w:lang w:val="es-ES"/>
        </w:rPr>
        <w:t xml:space="preserve">ayudantes del </w:t>
      </w:r>
      <w:r w:rsidR="000D7084" w:rsidRPr="000D7084">
        <w:rPr>
          <w:rFonts w:asciiTheme="majorHAnsi" w:hAnsiTheme="majorHAnsi"/>
          <w:i/>
          <w:sz w:val="20"/>
          <w:szCs w:val="20"/>
          <w:lang w:val="es-ES"/>
        </w:rPr>
        <w:t>sheriff</w:t>
      </w:r>
      <w:r w:rsidR="000D7084" w:rsidRPr="000D7084">
        <w:rPr>
          <w:rFonts w:asciiTheme="majorHAnsi" w:hAnsiTheme="majorHAnsi"/>
          <w:sz w:val="20"/>
          <w:szCs w:val="20"/>
          <w:lang w:val="es-ES"/>
        </w:rPr>
        <w:t xml:space="preserve"> del Condado de Warren</w:t>
      </w:r>
      <w:r w:rsidR="000D7084">
        <w:rPr>
          <w:rFonts w:asciiTheme="majorHAnsi" w:hAnsiTheme="majorHAnsi"/>
          <w:sz w:val="20"/>
          <w:szCs w:val="20"/>
          <w:lang w:val="es-ES"/>
        </w:rPr>
        <w:t xml:space="preserve">, determinaron que </w:t>
      </w:r>
      <w:r w:rsidR="00117FCC" w:rsidRPr="007A3389">
        <w:rPr>
          <w:rFonts w:asciiTheme="majorHAnsi" w:hAnsiTheme="majorHAnsi"/>
          <w:sz w:val="20"/>
          <w:szCs w:val="20"/>
          <w:lang w:val="es-ES"/>
        </w:rPr>
        <w:t>la señorita</w:t>
      </w:r>
      <w:r w:rsidRPr="007A3389">
        <w:rPr>
          <w:rFonts w:asciiTheme="majorHAnsi" w:hAnsiTheme="majorHAnsi"/>
          <w:sz w:val="20"/>
          <w:szCs w:val="20"/>
          <w:lang w:val="es-ES"/>
        </w:rPr>
        <w:t xml:space="preserve"> Jackson </w:t>
      </w:r>
      <w:r w:rsidR="000D7084">
        <w:rPr>
          <w:rFonts w:asciiTheme="majorHAnsi" w:hAnsiTheme="majorHAnsi"/>
          <w:sz w:val="20"/>
          <w:szCs w:val="20"/>
          <w:lang w:val="es-ES"/>
        </w:rPr>
        <w:t xml:space="preserve">era menor de edad y planeaba viajar a </w:t>
      </w:r>
      <w:r w:rsidRPr="007A3389">
        <w:rPr>
          <w:rFonts w:asciiTheme="majorHAnsi" w:hAnsiTheme="majorHAnsi"/>
          <w:sz w:val="20"/>
          <w:szCs w:val="20"/>
          <w:lang w:val="es-ES"/>
        </w:rPr>
        <w:t xml:space="preserve">California </w:t>
      </w:r>
      <w:r w:rsidR="000D7084">
        <w:rPr>
          <w:rFonts w:asciiTheme="majorHAnsi" w:hAnsiTheme="majorHAnsi"/>
          <w:sz w:val="20"/>
          <w:szCs w:val="20"/>
          <w:lang w:val="es-ES"/>
        </w:rPr>
        <w:t xml:space="preserve">con </w:t>
      </w:r>
      <w:r w:rsidR="00D87346" w:rsidRPr="007A3389">
        <w:rPr>
          <w:rFonts w:asciiTheme="majorHAnsi" w:hAnsiTheme="majorHAnsi"/>
          <w:sz w:val="20"/>
          <w:szCs w:val="20"/>
          <w:lang w:val="es-ES"/>
        </w:rPr>
        <w:t>el señor</w:t>
      </w:r>
      <w:r w:rsidRPr="007A3389">
        <w:rPr>
          <w:rFonts w:asciiTheme="majorHAnsi" w:hAnsiTheme="majorHAnsi"/>
          <w:sz w:val="20"/>
          <w:szCs w:val="20"/>
          <w:lang w:val="es-ES"/>
        </w:rPr>
        <w:t xml:space="preserve"> Loza. </w:t>
      </w:r>
      <w:r w:rsidR="000D7084">
        <w:rPr>
          <w:rFonts w:asciiTheme="majorHAnsi" w:hAnsiTheme="majorHAnsi"/>
          <w:sz w:val="20"/>
          <w:szCs w:val="20"/>
          <w:lang w:val="es-ES"/>
        </w:rPr>
        <w:t>E</w:t>
      </w:r>
      <w:r w:rsidR="00D87346" w:rsidRPr="007A3389">
        <w:rPr>
          <w:rFonts w:asciiTheme="majorHAnsi" w:hAnsiTheme="majorHAnsi"/>
          <w:sz w:val="20"/>
          <w:szCs w:val="20"/>
          <w:lang w:val="es-ES"/>
        </w:rPr>
        <w:t>l señor</w:t>
      </w:r>
      <w:r w:rsidRPr="007A3389">
        <w:rPr>
          <w:rFonts w:asciiTheme="majorHAnsi" w:hAnsiTheme="majorHAnsi"/>
          <w:sz w:val="20"/>
          <w:szCs w:val="20"/>
          <w:lang w:val="es-ES"/>
        </w:rPr>
        <w:t xml:space="preserve"> </w:t>
      </w:r>
      <w:proofErr w:type="spellStart"/>
      <w:r w:rsidRPr="007A3389">
        <w:rPr>
          <w:rFonts w:asciiTheme="majorHAnsi" w:hAnsiTheme="majorHAnsi"/>
          <w:sz w:val="20"/>
          <w:szCs w:val="20"/>
          <w:lang w:val="es-ES"/>
        </w:rPr>
        <w:t>Knable</w:t>
      </w:r>
      <w:proofErr w:type="spellEnd"/>
      <w:r w:rsidRPr="007A3389">
        <w:rPr>
          <w:rFonts w:asciiTheme="majorHAnsi" w:hAnsiTheme="majorHAnsi"/>
          <w:sz w:val="20"/>
          <w:szCs w:val="20"/>
          <w:lang w:val="es-ES"/>
        </w:rPr>
        <w:t xml:space="preserve"> </w:t>
      </w:r>
      <w:r w:rsidR="000D7084">
        <w:rPr>
          <w:rFonts w:asciiTheme="majorHAnsi" w:hAnsiTheme="majorHAnsi"/>
          <w:sz w:val="20"/>
          <w:szCs w:val="20"/>
          <w:lang w:val="es-ES"/>
        </w:rPr>
        <w:t>no logró contactarse con la madre de</w:t>
      </w:r>
      <w:r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la señorita</w:t>
      </w:r>
      <w:r w:rsidRPr="007A3389">
        <w:rPr>
          <w:rFonts w:asciiTheme="majorHAnsi" w:hAnsiTheme="majorHAnsi"/>
          <w:sz w:val="20"/>
          <w:szCs w:val="20"/>
          <w:lang w:val="es-ES"/>
        </w:rPr>
        <w:t xml:space="preserve"> Jackson</w:t>
      </w:r>
      <w:r w:rsidR="000D7084">
        <w:rPr>
          <w:rFonts w:asciiTheme="majorHAnsi" w:hAnsiTheme="majorHAnsi"/>
          <w:sz w:val="20"/>
          <w:szCs w:val="20"/>
          <w:lang w:val="es-ES"/>
        </w:rPr>
        <w:t xml:space="preserve"> por teléfono, y </w:t>
      </w:r>
      <w:r w:rsidR="003729BF" w:rsidRPr="007A3389">
        <w:rPr>
          <w:rFonts w:asciiTheme="majorHAnsi" w:hAnsiTheme="majorHAnsi"/>
          <w:sz w:val="20"/>
          <w:szCs w:val="20"/>
          <w:lang w:val="es-ES"/>
        </w:rPr>
        <w:t>George Jeffrey</w:t>
      </w:r>
      <w:r w:rsidR="00233CCA" w:rsidRPr="007A3389">
        <w:rPr>
          <w:rFonts w:asciiTheme="majorHAnsi" w:hAnsiTheme="majorHAnsi"/>
          <w:sz w:val="20"/>
          <w:szCs w:val="20"/>
          <w:lang w:val="es-ES"/>
        </w:rPr>
        <w:t xml:space="preserve">, </w:t>
      </w:r>
      <w:r w:rsidR="000D7084">
        <w:rPr>
          <w:rFonts w:asciiTheme="majorHAnsi" w:hAnsiTheme="majorHAnsi"/>
          <w:sz w:val="20"/>
          <w:szCs w:val="20"/>
          <w:lang w:val="es-ES"/>
        </w:rPr>
        <w:t>otro</w:t>
      </w:r>
      <w:r w:rsidR="00233CCA" w:rsidRPr="007A3389">
        <w:rPr>
          <w:rFonts w:asciiTheme="majorHAnsi" w:hAnsiTheme="majorHAnsi"/>
          <w:sz w:val="20"/>
          <w:szCs w:val="20"/>
          <w:lang w:val="es-ES"/>
        </w:rPr>
        <w:t xml:space="preserve"> detective,</w:t>
      </w:r>
      <w:r w:rsidR="003729BF" w:rsidRPr="007A3389">
        <w:rPr>
          <w:rFonts w:asciiTheme="majorHAnsi" w:hAnsiTheme="majorHAnsi"/>
          <w:sz w:val="20"/>
          <w:szCs w:val="20"/>
          <w:lang w:val="es-ES"/>
        </w:rPr>
        <w:t xml:space="preserve"> </w:t>
      </w:r>
      <w:r w:rsidR="000D7084">
        <w:rPr>
          <w:rFonts w:asciiTheme="majorHAnsi" w:hAnsiTheme="majorHAnsi"/>
          <w:sz w:val="20"/>
          <w:szCs w:val="20"/>
          <w:lang w:val="es-ES"/>
        </w:rPr>
        <w:t xml:space="preserve">no recibió respuesta cuando fue a la casa de </w:t>
      </w:r>
      <w:r w:rsidR="003729BF" w:rsidRPr="007A3389">
        <w:rPr>
          <w:rFonts w:asciiTheme="majorHAnsi" w:hAnsiTheme="majorHAnsi"/>
          <w:sz w:val="20"/>
          <w:szCs w:val="20"/>
          <w:lang w:val="es-ES"/>
        </w:rPr>
        <w:t>Georgia L. Davis</w:t>
      </w:r>
      <w:r w:rsidR="000D7084">
        <w:rPr>
          <w:rFonts w:asciiTheme="majorHAnsi" w:hAnsiTheme="majorHAnsi"/>
          <w:sz w:val="20"/>
          <w:szCs w:val="20"/>
          <w:lang w:val="es-ES"/>
        </w:rPr>
        <w:t xml:space="preserve">. Como no pudieron determinar si </w:t>
      </w:r>
      <w:r w:rsidR="00117FCC" w:rsidRPr="007A3389">
        <w:rPr>
          <w:rFonts w:asciiTheme="majorHAnsi" w:hAnsiTheme="majorHAnsi"/>
          <w:sz w:val="20"/>
          <w:szCs w:val="20"/>
          <w:lang w:val="es-ES"/>
        </w:rPr>
        <w:t>la señorita</w:t>
      </w:r>
      <w:r w:rsidR="00E75F13" w:rsidRPr="007A3389">
        <w:rPr>
          <w:rFonts w:asciiTheme="majorHAnsi" w:hAnsiTheme="majorHAnsi"/>
          <w:sz w:val="20"/>
          <w:szCs w:val="20"/>
          <w:lang w:val="es-ES"/>
        </w:rPr>
        <w:t xml:space="preserve"> Jackson </w:t>
      </w:r>
      <w:r w:rsidR="000D7084">
        <w:rPr>
          <w:rFonts w:asciiTheme="majorHAnsi" w:hAnsiTheme="majorHAnsi"/>
          <w:sz w:val="20"/>
          <w:szCs w:val="20"/>
          <w:lang w:val="es-ES"/>
        </w:rPr>
        <w:t xml:space="preserve">tenía permiso para viajar a otro estado, la arrestaron por insubordinación y la llevaron al Centro de Detención de Menores del Condado de </w:t>
      </w:r>
      <w:r w:rsidR="00E75F13" w:rsidRPr="007A3389">
        <w:rPr>
          <w:rFonts w:asciiTheme="majorHAnsi" w:hAnsiTheme="majorHAnsi"/>
          <w:sz w:val="20"/>
          <w:szCs w:val="20"/>
          <w:lang w:val="es-ES"/>
        </w:rPr>
        <w:t>Warren County</w:t>
      </w:r>
      <w:r w:rsidR="000D7084">
        <w:rPr>
          <w:rFonts w:asciiTheme="majorHAnsi" w:hAnsiTheme="majorHAnsi"/>
          <w:sz w:val="20"/>
          <w:szCs w:val="20"/>
          <w:lang w:val="es-ES"/>
        </w:rPr>
        <w:t>, y arrestaron a</w:t>
      </w:r>
      <w:r w:rsidR="00D87346" w:rsidRPr="007A3389">
        <w:rPr>
          <w:rFonts w:asciiTheme="majorHAnsi" w:hAnsiTheme="majorHAnsi"/>
          <w:sz w:val="20"/>
          <w:szCs w:val="20"/>
          <w:lang w:val="es-ES"/>
        </w:rPr>
        <w:t>l señor</w:t>
      </w:r>
      <w:r w:rsidR="00E75F13" w:rsidRPr="007A3389">
        <w:rPr>
          <w:rFonts w:asciiTheme="majorHAnsi" w:hAnsiTheme="majorHAnsi"/>
          <w:sz w:val="20"/>
          <w:szCs w:val="20"/>
          <w:lang w:val="es-ES"/>
        </w:rPr>
        <w:t xml:space="preserve"> Loza </w:t>
      </w:r>
      <w:r w:rsidR="000D7084">
        <w:rPr>
          <w:rFonts w:asciiTheme="majorHAnsi" w:hAnsiTheme="majorHAnsi"/>
          <w:sz w:val="20"/>
          <w:szCs w:val="20"/>
          <w:lang w:val="es-ES"/>
        </w:rPr>
        <w:t xml:space="preserve">por contribuir a la delincuencia o la insubordinación de un menor y lo llevaron al Centro de Justicia del Condado de </w:t>
      </w:r>
      <w:r w:rsidR="00E75F13" w:rsidRPr="007A3389">
        <w:rPr>
          <w:rFonts w:asciiTheme="majorHAnsi" w:hAnsiTheme="majorHAnsi"/>
          <w:sz w:val="20"/>
          <w:szCs w:val="20"/>
          <w:lang w:val="es-ES"/>
        </w:rPr>
        <w:t xml:space="preserve">Warren. </w:t>
      </w:r>
    </w:p>
    <w:p w14:paraId="0B326D28" w14:textId="77777777" w:rsidR="0025755D" w:rsidRPr="007A3389" w:rsidRDefault="0025755D" w:rsidP="0025755D">
      <w:pPr>
        <w:pStyle w:val="ListParagraph"/>
        <w:rPr>
          <w:rFonts w:asciiTheme="majorHAnsi" w:hAnsiTheme="majorHAnsi"/>
          <w:sz w:val="20"/>
          <w:szCs w:val="20"/>
          <w:lang w:val="es-ES"/>
        </w:rPr>
      </w:pPr>
    </w:p>
    <w:p w14:paraId="28925D4B" w14:textId="77777777" w:rsidR="002B7448" w:rsidRPr="007A3389" w:rsidRDefault="000D7084" w:rsidP="001913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Cuando </w:t>
      </w:r>
      <w:r w:rsidR="00117FCC" w:rsidRPr="007A3389">
        <w:rPr>
          <w:rFonts w:asciiTheme="majorHAnsi" w:hAnsiTheme="majorHAnsi"/>
          <w:sz w:val="20"/>
          <w:szCs w:val="20"/>
          <w:lang w:val="es-ES"/>
        </w:rPr>
        <w:t>los detectives</w:t>
      </w:r>
      <w:r w:rsidR="008D07D4" w:rsidRPr="007A3389">
        <w:rPr>
          <w:rFonts w:asciiTheme="majorHAnsi" w:hAnsiTheme="majorHAnsi"/>
          <w:sz w:val="20"/>
          <w:szCs w:val="20"/>
          <w:lang w:val="es-ES"/>
        </w:rPr>
        <w:t xml:space="preserve"> </w:t>
      </w:r>
      <w:r>
        <w:rPr>
          <w:rFonts w:asciiTheme="majorHAnsi" w:hAnsiTheme="majorHAnsi"/>
          <w:sz w:val="20"/>
          <w:szCs w:val="20"/>
          <w:lang w:val="es-ES"/>
        </w:rPr>
        <w:t xml:space="preserve">la interrogaron, </w:t>
      </w:r>
      <w:r w:rsidR="00117FCC" w:rsidRPr="007A3389">
        <w:rPr>
          <w:rFonts w:asciiTheme="majorHAnsi" w:hAnsiTheme="majorHAnsi"/>
          <w:sz w:val="20"/>
          <w:szCs w:val="20"/>
          <w:lang w:val="es-ES"/>
        </w:rPr>
        <w:t>la señorita</w:t>
      </w:r>
      <w:r w:rsidR="008D07D4" w:rsidRPr="007A3389">
        <w:rPr>
          <w:rFonts w:asciiTheme="majorHAnsi" w:hAnsiTheme="majorHAnsi"/>
          <w:sz w:val="20"/>
          <w:szCs w:val="20"/>
          <w:lang w:val="es-ES"/>
        </w:rPr>
        <w:t xml:space="preserve"> Jackson </w:t>
      </w:r>
      <w:r>
        <w:rPr>
          <w:rFonts w:asciiTheme="majorHAnsi" w:hAnsiTheme="majorHAnsi"/>
          <w:sz w:val="20"/>
          <w:szCs w:val="20"/>
          <w:lang w:val="es-ES"/>
        </w:rPr>
        <w:t xml:space="preserve">dijo que </w:t>
      </w:r>
      <w:r w:rsidR="00D87346" w:rsidRPr="007A3389">
        <w:rPr>
          <w:rFonts w:asciiTheme="majorHAnsi" w:hAnsiTheme="majorHAnsi"/>
          <w:sz w:val="20"/>
          <w:szCs w:val="20"/>
          <w:lang w:val="es-ES"/>
        </w:rPr>
        <w:t>el señor</w:t>
      </w:r>
      <w:r w:rsidR="008D07D4" w:rsidRPr="007A3389">
        <w:rPr>
          <w:rFonts w:asciiTheme="majorHAnsi" w:hAnsiTheme="majorHAnsi"/>
          <w:sz w:val="20"/>
          <w:szCs w:val="20"/>
          <w:lang w:val="es-ES"/>
        </w:rPr>
        <w:t xml:space="preserve"> Loza </w:t>
      </w:r>
      <w:r>
        <w:rPr>
          <w:rFonts w:asciiTheme="majorHAnsi" w:hAnsiTheme="majorHAnsi"/>
          <w:sz w:val="20"/>
          <w:szCs w:val="20"/>
          <w:lang w:val="es-ES"/>
        </w:rPr>
        <w:t xml:space="preserve">había matado a su familia y que ella sabía de los homicidios. Basándose en esa declaración, </w:t>
      </w:r>
      <w:r w:rsidR="00D87346" w:rsidRPr="007A3389">
        <w:rPr>
          <w:rFonts w:asciiTheme="majorHAnsi" w:hAnsiTheme="majorHAnsi"/>
          <w:sz w:val="20"/>
          <w:szCs w:val="20"/>
          <w:lang w:val="es-ES"/>
        </w:rPr>
        <w:t>el señor</w:t>
      </w:r>
      <w:r w:rsidR="008D07D4" w:rsidRPr="007A3389">
        <w:rPr>
          <w:rFonts w:asciiTheme="majorHAnsi" w:hAnsiTheme="majorHAnsi"/>
          <w:sz w:val="20"/>
          <w:szCs w:val="20"/>
          <w:lang w:val="es-ES"/>
        </w:rPr>
        <w:t xml:space="preserve"> </w:t>
      </w:r>
      <w:proofErr w:type="spellStart"/>
      <w:r w:rsidR="008D07D4" w:rsidRPr="007A3389">
        <w:rPr>
          <w:rFonts w:asciiTheme="majorHAnsi" w:hAnsiTheme="majorHAnsi"/>
          <w:sz w:val="20"/>
          <w:szCs w:val="20"/>
          <w:lang w:val="es-ES"/>
        </w:rPr>
        <w:t>Knable</w:t>
      </w:r>
      <w:proofErr w:type="spellEnd"/>
      <w:r w:rsidR="008D07D4" w:rsidRPr="007A3389">
        <w:rPr>
          <w:rFonts w:asciiTheme="majorHAnsi" w:hAnsiTheme="majorHAnsi"/>
          <w:sz w:val="20"/>
          <w:szCs w:val="20"/>
          <w:lang w:val="es-ES"/>
        </w:rPr>
        <w:t xml:space="preserve"> </w:t>
      </w:r>
      <w:r>
        <w:rPr>
          <w:rFonts w:asciiTheme="majorHAnsi" w:hAnsiTheme="majorHAnsi"/>
          <w:sz w:val="20"/>
          <w:szCs w:val="20"/>
          <w:lang w:val="es-ES"/>
        </w:rPr>
        <w:t>consiguió una orden de allanamiento de la casa, y la policía descubrió los cuerpos de las víctimas</w:t>
      </w:r>
      <w:r w:rsidR="008D07D4" w:rsidRPr="007A3389">
        <w:rPr>
          <w:rFonts w:asciiTheme="majorHAnsi" w:hAnsiTheme="majorHAnsi"/>
          <w:sz w:val="20"/>
          <w:szCs w:val="20"/>
          <w:lang w:val="es-ES"/>
        </w:rPr>
        <w:t xml:space="preserve">. </w:t>
      </w:r>
      <w:r>
        <w:rPr>
          <w:rFonts w:asciiTheme="majorHAnsi" w:hAnsiTheme="majorHAnsi"/>
          <w:sz w:val="20"/>
          <w:szCs w:val="20"/>
          <w:lang w:val="es-ES"/>
        </w:rPr>
        <w:t>Los</w:t>
      </w:r>
      <w:r w:rsidR="00D87346" w:rsidRPr="007A3389">
        <w:rPr>
          <w:rFonts w:asciiTheme="majorHAnsi" w:hAnsiTheme="majorHAnsi"/>
          <w:sz w:val="20"/>
          <w:szCs w:val="20"/>
          <w:lang w:val="es-ES"/>
        </w:rPr>
        <w:t xml:space="preserve"> señor</w:t>
      </w:r>
      <w:r>
        <w:rPr>
          <w:rFonts w:asciiTheme="majorHAnsi" w:hAnsiTheme="majorHAnsi"/>
          <w:sz w:val="20"/>
          <w:szCs w:val="20"/>
          <w:lang w:val="es-ES"/>
        </w:rPr>
        <w:t>es</w:t>
      </w:r>
      <w:r w:rsidR="008D07D4" w:rsidRPr="007A3389">
        <w:rPr>
          <w:rFonts w:asciiTheme="majorHAnsi" w:hAnsiTheme="majorHAnsi"/>
          <w:sz w:val="20"/>
          <w:szCs w:val="20"/>
          <w:lang w:val="es-ES"/>
        </w:rPr>
        <w:t xml:space="preserve"> </w:t>
      </w:r>
      <w:proofErr w:type="spellStart"/>
      <w:r w:rsidR="008D07D4" w:rsidRPr="007A3389">
        <w:rPr>
          <w:rFonts w:asciiTheme="majorHAnsi" w:hAnsiTheme="majorHAnsi"/>
          <w:sz w:val="20"/>
          <w:szCs w:val="20"/>
          <w:lang w:val="es-ES"/>
        </w:rPr>
        <w:t>Knable</w:t>
      </w:r>
      <w:proofErr w:type="spellEnd"/>
      <w:r w:rsidR="008D07D4" w:rsidRPr="007A3389">
        <w:rPr>
          <w:rFonts w:asciiTheme="majorHAnsi" w:hAnsiTheme="majorHAnsi"/>
          <w:sz w:val="20"/>
          <w:szCs w:val="20"/>
          <w:lang w:val="es-ES"/>
        </w:rPr>
        <w:t xml:space="preserve"> </w:t>
      </w:r>
      <w:r>
        <w:rPr>
          <w:rFonts w:asciiTheme="majorHAnsi" w:hAnsiTheme="majorHAnsi"/>
          <w:sz w:val="20"/>
          <w:szCs w:val="20"/>
          <w:lang w:val="es-ES"/>
        </w:rPr>
        <w:t>y</w:t>
      </w:r>
      <w:r w:rsidR="008D07D4" w:rsidRPr="007A3389">
        <w:rPr>
          <w:rFonts w:asciiTheme="majorHAnsi" w:hAnsiTheme="majorHAnsi"/>
          <w:sz w:val="20"/>
          <w:szCs w:val="20"/>
          <w:lang w:val="es-ES"/>
        </w:rPr>
        <w:t xml:space="preserve"> Jeffrey </w:t>
      </w:r>
      <w:r w:rsidR="008D07D4" w:rsidRPr="007A3389">
        <w:rPr>
          <w:rFonts w:asciiTheme="majorHAnsi" w:hAnsiTheme="majorHAnsi"/>
          <w:sz w:val="20"/>
          <w:szCs w:val="20"/>
          <w:lang w:val="es-ES"/>
        </w:rPr>
        <w:lastRenderedPageBreak/>
        <w:t>re</w:t>
      </w:r>
      <w:r>
        <w:rPr>
          <w:rFonts w:asciiTheme="majorHAnsi" w:hAnsiTheme="majorHAnsi"/>
          <w:sz w:val="20"/>
          <w:szCs w:val="20"/>
          <w:lang w:val="es-ES"/>
        </w:rPr>
        <w:t xml:space="preserve">gresaron al </w:t>
      </w:r>
      <w:r w:rsidRPr="000D7084">
        <w:rPr>
          <w:rFonts w:asciiTheme="majorHAnsi" w:hAnsiTheme="majorHAnsi"/>
          <w:sz w:val="20"/>
          <w:szCs w:val="20"/>
          <w:lang w:val="es-ES"/>
        </w:rPr>
        <w:t>Centro de Justicia del Condado de Warren</w:t>
      </w:r>
      <w:r>
        <w:rPr>
          <w:rFonts w:asciiTheme="majorHAnsi" w:hAnsiTheme="majorHAnsi"/>
          <w:sz w:val="20"/>
          <w:szCs w:val="20"/>
          <w:lang w:val="es-ES"/>
        </w:rPr>
        <w:t xml:space="preserve">, comenzaron a interrogar al </w:t>
      </w:r>
      <w:r w:rsidR="00D87346" w:rsidRPr="007A3389">
        <w:rPr>
          <w:rFonts w:asciiTheme="majorHAnsi" w:hAnsiTheme="majorHAnsi"/>
          <w:sz w:val="20"/>
          <w:szCs w:val="20"/>
          <w:lang w:val="es-ES"/>
        </w:rPr>
        <w:t>señor</w:t>
      </w:r>
      <w:r w:rsidR="008D07D4" w:rsidRPr="007A3389">
        <w:rPr>
          <w:rFonts w:asciiTheme="majorHAnsi" w:hAnsiTheme="majorHAnsi"/>
          <w:sz w:val="20"/>
          <w:szCs w:val="20"/>
          <w:lang w:val="es-ES"/>
        </w:rPr>
        <w:t xml:space="preserve"> Loza</w:t>
      </w:r>
      <w:r>
        <w:rPr>
          <w:rFonts w:asciiTheme="majorHAnsi" w:hAnsiTheme="majorHAnsi"/>
          <w:sz w:val="20"/>
          <w:szCs w:val="20"/>
          <w:lang w:val="es-ES"/>
        </w:rPr>
        <w:t xml:space="preserve"> e hicieron un video del interrogatorio. Al comienzo, </w:t>
      </w:r>
      <w:r w:rsidR="00D87346" w:rsidRPr="007A3389">
        <w:rPr>
          <w:rFonts w:asciiTheme="majorHAnsi" w:hAnsiTheme="majorHAnsi"/>
          <w:sz w:val="20"/>
          <w:szCs w:val="20"/>
          <w:lang w:val="es-ES"/>
        </w:rPr>
        <w:t>el señor</w:t>
      </w:r>
      <w:r w:rsidR="008D07D4" w:rsidRPr="007A3389">
        <w:rPr>
          <w:rFonts w:asciiTheme="majorHAnsi" w:hAnsiTheme="majorHAnsi"/>
          <w:sz w:val="20"/>
          <w:szCs w:val="20"/>
          <w:lang w:val="es-ES"/>
        </w:rPr>
        <w:t xml:space="preserve"> Loza </w:t>
      </w:r>
      <w:r>
        <w:rPr>
          <w:rFonts w:asciiTheme="majorHAnsi" w:hAnsiTheme="majorHAnsi"/>
          <w:sz w:val="20"/>
          <w:szCs w:val="20"/>
          <w:lang w:val="es-ES"/>
        </w:rPr>
        <w:t xml:space="preserve">renunció a sus derechos según el fallo de </w:t>
      </w:r>
      <w:r w:rsidR="008D07D4" w:rsidRPr="007A3389">
        <w:rPr>
          <w:rFonts w:asciiTheme="majorHAnsi" w:hAnsiTheme="majorHAnsi"/>
          <w:sz w:val="20"/>
          <w:szCs w:val="20"/>
          <w:lang w:val="es-ES"/>
        </w:rPr>
        <w:t>Miranda</w:t>
      </w:r>
      <w:r w:rsidR="00994CAC">
        <w:rPr>
          <w:rFonts w:asciiTheme="majorHAnsi" w:hAnsiTheme="majorHAnsi"/>
          <w:sz w:val="20"/>
          <w:szCs w:val="20"/>
          <w:lang w:val="es-ES"/>
        </w:rPr>
        <w:t xml:space="preserve"> y dijo que se dirigía a </w:t>
      </w:r>
      <w:r w:rsidR="008D07D4" w:rsidRPr="007A3389">
        <w:rPr>
          <w:rFonts w:asciiTheme="majorHAnsi" w:hAnsiTheme="majorHAnsi"/>
          <w:sz w:val="20"/>
          <w:szCs w:val="20"/>
          <w:lang w:val="es-ES"/>
        </w:rPr>
        <w:t>California</w:t>
      </w:r>
      <w:r w:rsidR="00994CAC" w:rsidRPr="00994CAC">
        <w:rPr>
          <w:rFonts w:asciiTheme="majorHAnsi" w:hAnsiTheme="majorHAnsi"/>
          <w:sz w:val="20"/>
          <w:szCs w:val="20"/>
          <w:lang w:val="es-ES"/>
        </w:rPr>
        <w:t xml:space="preserve"> </w:t>
      </w:r>
      <w:r w:rsidR="00994CAC">
        <w:rPr>
          <w:rFonts w:asciiTheme="majorHAnsi" w:hAnsiTheme="majorHAnsi"/>
          <w:sz w:val="20"/>
          <w:szCs w:val="20"/>
          <w:lang w:val="es-ES"/>
        </w:rPr>
        <w:t xml:space="preserve">con </w:t>
      </w:r>
      <w:r w:rsidR="00994CAC" w:rsidRPr="00994CAC">
        <w:rPr>
          <w:rFonts w:asciiTheme="majorHAnsi" w:hAnsiTheme="majorHAnsi"/>
          <w:sz w:val="20"/>
          <w:szCs w:val="20"/>
          <w:lang w:val="es-ES"/>
        </w:rPr>
        <w:t>la señorita Jackson</w:t>
      </w:r>
      <w:r w:rsidR="00994CAC">
        <w:rPr>
          <w:rFonts w:asciiTheme="majorHAnsi" w:hAnsiTheme="majorHAnsi"/>
          <w:sz w:val="20"/>
          <w:szCs w:val="20"/>
          <w:lang w:val="es-ES"/>
        </w:rPr>
        <w:t xml:space="preserve">, que tenía permiso de la madre para viajar. Entonces, </w:t>
      </w:r>
      <w:r w:rsidR="00117FCC" w:rsidRPr="007A3389">
        <w:rPr>
          <w:rFonts w:asciiTheme="majorHAnsi" w:hAnsiTheme="majorHAnsi"/>
          <w:sz w:val="20"/>
          <w:szCs w:val="20"/>
          <w:lang w:val="es-ES"/>
        </w:rPr>
        <w:t>los detectives</w:t>
      </w:r>
      <w:r w:rsidR="00994CAC">
        <w:rPr>
          <w:rFonts w:asciiTheme="majorHAnsi" w:hAnsiTheme="majorHAnsi"/>
          <w:sz w:val="20"/>
          <w:szCs w:val="20"/>
          <w:lang w:val="es-ES"/>
        </w:rPr>
        <w:t xml:space="preserve"> le informaron que tenían conocimiento de las muertes y le dijeron que era mejor para él, para </w:t>
      </w:r>
      <w:r w:rsidR="00117FCC" w:rsidRPr="007A3389">
        <w:rPr>
          <w:rFonts w:asciiTheme="majorHAnsi" w:hAnsiTheme="majorHAnsi"/>
          <w:sz w:val="20"/>
          <w:szCs w:val="20"/>
          <w:lang w:val="es-ES"/>
        </w:rPr>
        <w:t>la señorita</w:t>
      </w:r>
      <w:r w:rsidR="008D07D4" w:rsidRPr="007A3389">
        <w:rPr>
          <w:rFonts w:asciiTheme="majorHAnsi" w:hAnsiTheme="majorHAnsi"/>
          <w:sz w:val="20"/>
          <w:szCs w:val="20"/>
          <w:lang w:val="es-ES"/>
        </w:rPr>
        <w:t xml:space="preserve"> Jackson </w:t>
      </w:r>
      <w:r w:rsidR="00994CAC">
        <w:rPr>
          <w:rFonts w:asciiTheme="majorHAnsi" w:hAnsiTheme="majorHAnsi"/>
          <w:sz w:val="20"/>
          <w:szCs w:val="20"/>
          <w:lang w:val="es-ES"/>
        </w:rPr>
        <w:t xml:space="preserve">y para </w:t>
      </w:r>
      <w:r w:rsidR="0080436A">
        <w:rPr>
          <w:rFonts w:asciiTheme="majorHAnsi" w:hAnsiTheme="majorHAnsi"/>
          <w:sz w:val="20"/>
          <w:szCs w:val="20"/>
          <w:lang w:val="es-ES"/>
        </w:rPr>
        <w:t>su hijo</w:t>
      </w:r>
      <w:r w:rsidR="00994CAC">
        <w:rPr>
          <w:rFonts w:asciiTheme="majorHAnsi" w:hAnsiTheme="majorHAnsi"/>
          <w:sz w:val="20"/>
          <w:szCs w:val="20"/>
          <w:lang w:val="es-ES"/>
        </w:rPr>
        <w:t xml:space="preserve"> que dijera la verdad. A una hora de iniciado el interrogatorio,</w:t>
      </w:r>
      <w:r w:rsidR="008D07D4"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señor</w:t>
      </w:r>
      <w:r w:rsidR="008D07D4" w:rsidRPr="007A3389">
        <w:rPr>
          <w:rFonts w:asciiTheme="majorHAnsi" w:hAnsiTheme="majorHAnsi"/>
          <w:sz w:val="20"/>
          <w:szCs w:val="20"/>
          <w:lang w:val="es-ES"/>
        </w:rPr>
        <w:t xml:space="preserve"> Loza confes</w:t>
      </w:r>
      <w:r w:rsidR="00994CAC">
        <w:rPr>
          <w:rFonts w:asciiTheme="majorHAnsi" w:hAnsiTheme="majorHAnsi"/>
          <w:sz w:val="20"/>
          <w:szCs w:val="20"/>
          <w:lang w:val="es-ES"/>
        </w:rPr>
        <w:t xml:space="preserve">ó y dijo que </w:t>
      </w:r>
      <w:r w:rsidR="00117FCC" w:rsidRPr="007A3389">
        <w:rPr>
          <w:rFonts w:asciiTheme="majorHAnsi" w:hAnsiTheme="majorHAnsi"/>
          <w:sz w:val="20"/>
          <w:szCs w:val="20"/>
          <w:lang w:val="es-ES"/>
        </w:rPr>
        <w:t>la señorita</w:t>
      </w:r>
      <w:r w:rsidR="008D07D4" w:rsidRPr="007A3389">
        <w:rPr>
          <w:rFonts w:asciiTheme="majorHAnsi" w:hAnsiTheme="majorHAnsi"/>
          <w:sz w:val="20"/>
          <w:szCs w:val="20"/>
          <w:lang w:val="es-ES"/>
        </w:rPr>
        <w:t xml:space="preserve"> Jackson </w:t>
      </w:r>
      <w:r w:rsidR="00994CAC">
        <w:rPr>
          <w:rFonts w:asciiTheme="majorHAnsi" w:hAnsiTheme="majorHAnsi"/>
          <w:sz w:val="20"/>
          <w:szCs w:val="20"/>
          <w:lang w:val="es-ES"/>
        </w:rPr>
        <w:t xml:space="preserve">no estaba en la casa en el momento </w:t>
      </w:r>
      <w:r w:rsidR="0080436A">
        <w:rPr>
          <w:rFonts w:asciiTheme="majorHAnsi" w:hAnsiTheme="majorHAnsi"/>
          <w:sz w:val="20"/>
          <w:szCs w:val="20"/>
          <w:lang w:val="es-ES"/>
        </w:rPr>
        <w:t>de</w:t>
      </w:r>
      <w:r w:rsidR="00994CAC">
        <w:rPr>
          <w:rFonts w:asciiTheme="majorHAnsi" w:hAnsiTheme="majorHAnsi"/>
          <w:sz w:val="20"/>
          <w:szCs w:val="20"/>
          <w:lang w:val="es-ES"/>
        </w:rPr>
        <w:t xml:space="preserve"> los homicidios y no sabía que él iba a matar a su familia. E</w:t>
      </w:r>
      <w:r w:rsidR="00D87346" w:rsidRPr="007A3389">
        <w:rPr>
          <w:rFonts w:asciiTheme="majorHAnsi" w:hAnsiTheme="majorHAnsi"/>
          <w:sz w:val="20"/>
          <w:szCs w:val="20"/>
          <w:lang w:val="es-ES"/>
        </w:rPr>
        <w:t>l señor</w:t>
      </w:r>
      <w:r w:rsidR="008D07D4" w:rsidRPr="007A3389">
        <w:rPr>
          <w:rFonts w:asciiTheme="majorHAnsi" w:hAnsiTheme="majorHAnsi"/>
          <w:sz w:val="20"/>
          <w:szCs w:val="20"/>
          <w:lang w:val="es-ES"/>
        </w:rPr>
        <w:t xml:space="preserve"> Loza expl</w:t>
      </w:r>
      <w:r w:rsidR="00994CAC">
        <w:rPr>
          <w:rFonts w:asciiTheme="majorHAnsi" w:hAnsiTheme="majorHAnsi"/>
          <w:sz w:val="20"/>
          <w:szCs w:val="20"/>
          <w:lang w:val="es-ES"/>
        </w:rPr>
        <w:t xml:space="preserve">icó que mató a </w:t>
      </w:r>
      <w:r w:rsidR="008D07D4" w:rsidRPr="007A3389">
        <w:rPr>
          <w:rFonts w:asciiTheme="majorHAnsi" w:hAnsiTheme="majorHAnsi"/>
          <w:sz w:val="20"/>
          <w:szCs w:val="20"/>
          <w:lang w:val="es-ES"/>
        </w:rPr>
        <w:t xml:space="preserve">Georgia Davis </w:t>
      </w:r>
      <w:r w:rsidR="00994CAC">
        <w:rPr>
          <w:rFonts w:asciiTheme="majorHAnsi" w:hAnsiTheme="majorHAnsi"/>
          <w:sz w:val="20"/>
          <w:szCs w:val="20"/>
          <w:lang w:val="es-ES"/>
        </w:rPr>
        <w:t>porque ella lo amenazó con hacer que lo arrestaran si trataba de irse del e</w:t>
      </w:r>
      <w:r w:rsidR="00D87346" w:rsidRPr="007A3389">
        <w:rPr>
          <w:rFonts w:asciiTheme="majorHAnsi" w:hAnsiTheme="majorHAnsi"/>
          <w:sz w:val="20"/>
          <w:szCs w:val="20"/>
          <w:lang w:val="es-ES"/>
        </w:rPr>
        <w:t>stado</w:t>
      </w:r>
      <w:r w:rsidR="008D07D4" w:rsidRPr="007A3389">
        <w:rPr>
          <w:rFonts w:asciiTheme="majorHAnsi" w:hAnsiTheme="majorHAnsi"/>
          <w:sz w:val="20"/>
          <w:szCs w:val="20"/>
          <w:lang w:val="es-ES"/>
        </w:rPr>
        <w:t xml:space="preserve"> </w:t>
      </w:r>
      <w:r w:rsidR="00994CAC">
        <w:rPr>
          <w:rFonts w:asciiTheme="majorHAnsi" w:hAnsiTheme="majorHAnsi"/>
          <w:sz w:val="20"/>
          <w:szCs w:val="20"/>
          <w:lang w:val="es-ES"/>
        </w:rPr>
        <w:t xml:space="preserve">con </w:t>
      </w:r>
      <w:r w:rsidR="00117FCC" w:rsidRPr="007A3389">
        <w:rPr>
          <w:rFonts w:asciiTheme="majorHAnsi" w:hAnsiTheme="majorHAnsi"/>
          <w:sz w:val="20"/>
          <w:szCs w:val="20"/>
          <w:lang w:val="es-ES"/>
        </w:rPr>
        <w:t>la señorita</w:t>
      </w:r>
      <w:r w:rsidR="008D07D4" w:rsidRPr="007A3389">
        <w:rPr>
          <w:rFonts w:asciiTheme="majorHAnsi" w:hAnsiTheme="majorHAnsi"/>
          <w:sz w:val="20"/>
          <w:szCs w:val="20"/>
          <w:lang w:val="es-ES"/>
        </w:rPr>
        <w:t xml:space="preserve"> Jackson. </w:t>
      </w:r>
    </w:p>
    <w:p w14:paraId="1211BDD9" w14:textId="77777777" w:rsidR="00146E18" w:rsidRPr="007A3389" w:rsidRDefault="00146E18" w:rsidP="00146E18">
      <w:pPr>
        <w:rPr>
          <w:sz w:val="20"/>
          <w:szCs w:val="20"/>
          <w:lang w:val="es-ES"/>
        </w:rPr>
      </w:pPr>
    </w:p>
    <w:p w14:paraId="4DACD8C4" w14:textId="77777777" w:rsidR="00021557" w:rsidRPr="007A3389" w:rsidRDefault="008A10AB" w:rsidP="00146E18">
      <w:pPr>
        <w:pStyle w:val="Heading2"/>
        <w:numPr>
          <w:ilvl w:val="0"/>
          <w:numId w:val="58"/>
        </w:numPr>
        <w:tabs>
          <w:tab w:val="left" w:pos="360"/>
        </w:tabs>
        <w:spacing w:before="0"/>
        <w:ind w:hanging="720"/>
        <w:rPr>
          <w:color w:val="auto"/>
          <w:sz w:val="20"/>
          <w:szCs w:val="20"/>
          <w:lang w:val="es-ES"/>
        </w:rPr>
      </w:pPr>
      <w:bookmarkStart w:id="12" w:name="_Toc90298920"/>
      <w:r w:rsidRPr="007A3389">
        <w:rPr>
          <w:color w:val="auto"/>
          <w:sz w:val="20"/>
          <w:szCs w:val="20"/>
          <w:lang w:val="es-ES"/>
        </w:rPr>
        <w:t>El juicio y la pena de muerte</w:t>
      </w:r>
      <w:bookmarkEnd w:id="12"/>
    </w:p>
    <w:p w14:paraId="7B04B41C" w14:textId="77777777" w:rsidR="00021557" w:rsidRPr="007A3389"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E7E9F5D" w14:textId="77777777" w:rsidR="0066333A" w:rsidRPr="007A3389" w:rsidRDefault="00994CAC" w:rsidP="008D07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Se formularon cuatro cargos de </w:t>
      </w:r>
      <w:r w:rsidR="00470EE9">
        <w:rPr>
          <w:rFonts w:asciiTheme="majorHAnsi" w:hAnsiTheme="majorHAnsi"/>
          <w:sz w:val="20"/>
          <w:szCs w:val="20"/>
          <w:lang w:val="es-ES"/>
        </w:rPr>
        <w:t>homicidio con agravante</w:t>
      </w:r>
      <w:r w:rsidRPr="00994CAC">
        <w:rPr>
          <w:rFonts w:asciiTheme="majorHAnsi" w:hAnsiTheme="majorHAnsi"/>
          <w:sz w:val="20"/>
          <w:szCs w:val="20"/>
          <w:lang w:val="es-ES"/>
        </w:rPr>
        <w:t xml:space="preserve"> </w:t>
      </w:r>
      <w:r>
        <w:rPr>
          <w:rFonts w:asciiTheme="majorHAnsi" w:hAnsiTheme="majorHAnsi"/>
          <w:sz w:val="20"/>
          <w:szCs w:val="20"/>
          <w:lang w:val="es-ES"/>
        </w:rPr>
        <w:t xml:space="preserve">contra el </w:t>
      </w:r>
      <w:r w:rsidRPr="00994CAC">
        <w:rPr>
          <w:rFonts w:asciiTheme="majorHAnsi" w:hAnsiTheme="majorHAnsi"/>
          <w:sz w:val="20"/>
          <w:szCs w:val="20"/>
          <w:lang w:val="es-ES"/>
        </w:rPr>
        <w:t>señor Loza</w:t>
      </w:r>
      <w:r>
        <w:rPr>
          <w:rFonts w:asciiTheme="majorHAnsi" w:hAnsiTheme="majorHAnsi"/>
          <w:sz w:val="20"/>
          <w:szCs w:val="20"/>
          <w:lang w:val="es-ES"/>
        </w:rPr>
        <w:t>, quien renunció al derecho a un juicio por jurado y pasó a un juicio ante un panel de tres jueces</w:t>
      </w:r>
      <w:r w:rsidR="00DE3B4F" w:rsidRPr="007A3389">
        <w:rPr>
          <w:rFonts w:asciiTheme="majorHAnsi" w:hAnsiTheme="majorHAnsi"/>
          <w:sz w:val="20"/>
          <w:szCs w:val="20"/>
          <w:lang w:val="es-ES"/>
        </w:rPr>
        <w:t xml:space="preserve">. </w:t>
      </w:r>
      <w:r>
        <w:rPr>
          <w:rFonts w:asciiTheme="majorHAnsi" w:hAnsiTheme="majorHAnsi"/>
          <w:sz w:val="20"/>
          <w:szCs w:val="20"/>
          <w:lang w:val="es-ES"/>
        </w:rPr>
        <w:t>La defensa pidió que se anulara el juicio porque la fiscalía</w:t>
      </w:r>
      <w:r w:rsidR="00DE3B4F" w:rsidRPr="007A3389">
        <w:rPr>
          <w:rFonts w:asciiTheme="majorHAnsi" w:hAnsiTheme="majorHAnsi"/>
          <w:sz w:val="20"/>
          <w:szCs w:val="20"/>
          <w:lang w:val="es-ES"/>
        </w:rPr>
        <w:t xml:space="preserve"> </w:t>
      </w:r>
      <w:r>
        <w:rPr>
          <w:rFonts w:asciiTheme="majorHAnsi" w:hAnsiTheme="majorHAnsi"/>
          <w:sz w:val="20"/>
          <w:szCs w:val="20"/>
          <w:lang w:val="es-ES"/>
        </w:rPr>
        <w:t>no había presentado cierta prueba exculpatoria durante la etapa de presentación de prueba</w:t>
      </w:r>
      <w:r w:rsidR="00DE3B4F" w:rsidRPr="007A3389">
        <w:rPr>
          <w:rFonts w:asciiTheme="majorHAnsi" w:hAnsiTheme="majorHAnsi"/>
          <w:sz w:val="20"/>
          <w:szCs w:val="20"/>
          <w:lang w:val="es-ES"/>
        </w:rPr>
        <w:t xml:space="preserve">. </w:t>
      </w:r>
      <w:r>
        <w:rPr>
          <w:rFonts w:asciiTheme="majorHAnsi" w:hAnsiTheme="majorHAnsi"/>
          <w:sz w:val="20"/>
          <w:szCs w:val="20"/>
          <w:lang w:val="es-ES"/>
        </w:rPr>
        <w:t>La prueba exculpatoria era que no se habían encontrado restos de pólvora ni salpicaduras de sangre en la ropa d</w:t>
      </w:r>
      <w:r w:rsidR="00D87346" w:rsidRPr="007A3389">
        <w:rPr>
          <w:rFonts w:asciiTheme="majorHAnsi" w:hAnsiTheme="majorHAnsi"/>
          <w:sz w:val="20"/>
          <w:szCs w:val="20"/>
          <w:lang w:val="es-ES"/>
        </w:rPr>
        <w:t>el señor</w:t>
      </w:r>
      <w:r w:rsidR="004A6629" w:rsidRPr="007A3389">
        <w:rPr>
          <w:rFonts w:asciiTheme="majorHAnsi" w:hAnsiTheme="majorHAnsi"/>
          <w:sz w:val="20"/>
          <w:szCs w:val="20"/>
          <w:lang w:val="es-ES"/>
        </w:rPr>
        <w:t xml:space="preserve"> Loza</w:t>
      </w:r>
      <w:r>
        <w:rPr>
          <w:rFonts w:asciiTheme="majorHAnsi" w:hAnsiTheme="majorHAnsi"/>
          <w:sz w:val="20"/>
          <w:szCs w:val="20"/>
          <w:lang w:val="es-ES"/>
        </w:rPr>
        <w:t xml:space="preserve"> como prueba científica auxiliar del delito. El tribunal anuló el juicio </w:t>
      </w:r>
      <w:r w:rsidR="0079766A">
        <w:rPr>
          <w:rFonts w:asciiTheme="majorHAnsi" w:hAnsiTheme="majorHAnsi"/>
          <w:sz w:val="20"/>
          <w:szCs w:val="20"/>
          <w:lang w:val="es-ES"/>
        </w:rPr>
        <w:t>sin hacer cosa juzgada, denegó la petición subsiguiente de</w:t>
      </w:r>
      <w:r w:rsidR="0080436A">
        <w:rPr>
          <w:rFonts w:asciiTheme="majorHAnsi" w:hAnsiTheme="majorHAnsi"/>
          <w:sz w:val="20"/>
          <w:szCs w:val="20"/>
          <w:lang w:val="es-ES"/>
        </w:rPr>
        <w:t xml:space="preserve"> que el caso se</w:t>
      </w:r>
      <w:r w:rsidR="0079766A">
        <w:rPr>
          <w:rFonts w:asciiTheme="majorHAnsi" w:hAnsiTheme="majorHAnsi"/>
          <w:sz w:val="20"/>
          <w:szCs w:val="20"/>
          <w:lang w:val="es-ES"/>
        </w:rPr>
        <w:t xml:space="preserve"> </w:t>
      </w:r>
      <w:r w:rsidR="0080436A">
        <w:rPr>
          <w:rFonts w:asciiTheme="majorHAnsi" w:hAnsiTheme="majorHAnsi"/>
          <w:sz w:val="20"/>
          <w:szCs w:val="20"/>
          <w:lang w:val="es-ES"/>
        </w:rPr>
        <w:t xml:space="preserve">considerara cosa juzgada y no se permitiera </w:t>
      </w:r>
      <w:r w:rsidR="0079766A">
        <w:rPr>
          <w:rFonts w:asciiTheme="majorHAnsi" w:hAnsiTheme="majorHAnsi"/>
          <w:sz w:val="20"/>
          <w:szCs w:val="20"/>
          <w:lang w:val="es-ES"/>
        </w:rPr>
        <w:t>otro juicio y denegó la petición presentada antes del juicio de que se suprimieran todas las declaraciones y las pruebas obtenidas en el caso</w:t>
      </w:r>
      <w:r w:rsidR="00DE3B4F" w:rsidRPr="007A3389">
        <w:rPr>
          <w:rFonts w:asciiTheme="majorHAnsi" w:hAnsiTheme="majorHAnsi"/>
          <w:sz w:val="20"/>
          <w:szCs w:val="20"/>
          <w:lang w:val="es-ES"/>
        </w:rPr>
        <w:t xml:space="preserve">. </w:t>
      </w:r>
    </w:p>
    <w:p w14:paraId="5AB4A31A" w14:textId="77777777" w:rsidR="0066333A" w:rsidRPr="007A3389" w:rsidRDefault="0066333A" w:rsidP="006633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5EE20113" w14:textId="77777777" w:rsidR="00DE3B4F" w:rsidRPr="007A3389" w:rsidRDefault="0079766A" w:rsidP="008D07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El </w:t>
      </w:r>
      <w:r w:rsidR="00DE3B4F" w:rsidRPr="007A3389">
        <w:rPr>
          <w:rFonts w:asciiTheme="majorHAnsi" w:hAnsiTheme="majorHAnsi"/>
          <w:sz w:val="20"/>
          <w:szCs w:val="20"/>
          <w:lang w:val="es-ES"/>
        </w:rPr>
        <w:t>21</w:t>
      </w:r>
      <w:r>
        <w:rPr>
          <w:rFonts w:asciiTheme="majorHAnsi" w:hAnsiTheme="majorHAnsi"/>
          <w:sz w:val="20"/>
          <w:szCs w:val="20"/>
          <w:lang w:val="es-ES"/>
        </w:rPr>
        <w:t xml:space="preserve"> de octubre de</w:t>
      </w:r>
      <w:r w:rsidR="00DE3B4F" w:rsidRPr="007A3389">
        <w:rPr>
          <w:rFonts w:asciiTheme="majorHAnsi" w:hAnsiTheme="majorHAnsi"/>
          <w:sz w:val="20"/>
          <w:szCs w:val="20"/>
          <w:lang w:val="es-ES"/>
        </w:rPr>
        <w:t xml:space="preserve"> 1991</w:t>
      </w:r>
      <w:r>
        <w:rPr>
          <w:rFonts w:asciiTheme="majorHAnsi" w:hAnsiTheme="majorHAnsi"/>
          <w:sz w:val="20"/>
          <w:szCs w:val="20"/>
          <w:lang w:val="es-ES"/>
        </w:rPr>
        <w:t xml:space="preserve"> se inició un juicio por jurado. El </w:t>
      </w:r>
      <w:r w:rsidR="00D7514B" w:rsidRPr="007A3389">
        <w:rPr>
          <w:rFonts w:asciiTheme="majorHAnsi" w:hAnsiTheme="majorHAnsi"/>
          <w:sz w:val="20"/>
          <w:szCs w:val="20"/>
          <w:lang w:val="es-ES"/>
        </w:rPr>
        <w:t>31</w:t>
      </w:r>
      <w:r>
        <w:rPr>
          <w:rFonts w:asciiTheme="majorHAnsi" w:hAnsiTheme="majorHAnsi"/>
          <w:sz w:val="20"/>
          <w:szCs w:val="20"/>
          <w:lang w:val="es-ES"/>
        </w:rPr>
        <w:t xml:space="preserve"> de octubre de</w:t>
      </w:r>
      <w:r w:rsidR="00D7514B" w:rsidRPr="007A3389">
        <w:rPr>
          <w:rFonts w:asciiTheme="majorHAnsi" w:hAnsiTheme="majorHAnsi"/>
          <w:sz w:val="20"/>
          <w:szCs w:val="20"/>
          <w:lang w:val="es-ES"/>
        </w:rPr>
        <w:t xml:space="preserve"> 1991, </w:t>
      </w:r>
      <w:r>
        <w:rPr>
          <w:rFonts w:asciiTheme="majorHAnsi" w:hAnsiTheme="majorHAnsi"/>
          <w:sz w:val="20"/>
          <w:szCs w:val="20"/>
          <w:lang w:val="es-ES"/>
        </w:rPr>
        <w:t xml:space="preserve">el jurado declaró al </w:t>
      </w:r>
      <w:r w:rsidR="00D87346" w:rsidRPr="007A3389">
        <w:rPr>
          <w:rFonts w:asciiTheme="majorHAnsi" w:hAnsiTheme="majorHAnsi"/>
          <w:sz w:val="20"/>
          <w:szCs w:val="20"/>
          <w:lang w:val="es-ES"/>
        </w:rPr>
        <w:t>señor</w:t>
      </w:r>
      <w:r w:rsidR="00831D65" w:rsidRPr="007A3389">
        <w:rPr>
          <w:rFonts w:asciiTheme="majorHAnsi" w:hAnsiTheme="majorHAnsi"/>
          <w:sz w:val="20"/>
          <w:szCs w:val="20"/>
          <w:lang w:val="es-ES"/>
        </w:rPr>
        <w:t xml:space="preserve"> Loza </w:t>
      </w:r>
      <w:r>
        <w:rPr>
          <w:rFonts w:asciiTheme="majorHAnsi" w:hAnsiTheme="majorHAnsi"/>
          <w:sz w:val="20"/>
          <w:szCs w:val="20"/>
          <w:lang w:val="es-ES"/>
        </w:rPr>
        <w:t xml:space="preserve">culpable de los cuatro cargos de </w:t>
      </w:r>
      <w:r w:rsidR="00470EE9">
        <w:rPr>
          <w:rFonts w:asciiTheme="majorHAnsi" w:hAnsiTheme="majorHAnsi"/>
          <w:sz w:val="20"/>
          <w:szCs w:val="20"/>
          <w:lang w:val="es-ES"/>
        </w:rPr>
        <w:t>homicidio con agravante</w:t>
      </w:r>
      <w:r w:rsidR="00D7514B" w:rsidRPr="007A3389">
        <w:rPr>
          <w:rStyle w:val="FootnoteReference"/>
          <w:rFonts w:asciiTheme="majorHAnsi" w:hAnsiTheme="majorHAnsi"/>
          <w:sz w:val="20"/>
          <w:szCs w:val="20"/>
          <w:lang w:val="es-ES"/>
        </w:rPr>
        <w:footnoteReference w:id="7"/>
      </w:r>
      <w:r w:rsidR="007611A5" w:rsidRPr="007A3389">
        <w:rPr>
          <w:rFonts w:asciiTheme="majorHAnsi" w:hAnsiTheme="majorHAnsi"/>
          <w:sz w:val="20"/>
          <w:szCs w:val="20"/>
          <w:lang w:val="es-ES"/>
        </w:rPr>
        <w:t xml:space="preserve"> </w:t>
      </w:r>
      <w:r>
        <w:rPr>
          <w:rFonts w:asciiTheme="majorHAnsi" w:hAnsiTheme="majorHAnsi"/>
          <w:sz w:val="20"/>
          <w:szCs w:val="20"/>
          <w:lang w:val="es-ES"/>
        </w:rPr>
        <w:t xml:space="preserve">y recomendó la pena de muerte para los </w:t>
      </w:r>
      <w:r w:rsidR="00470EE9">
        <w:rPr>
          <w:rFonts w:asciiTheme="majorHAnsi" w:hAnsiTheme="majorHAnsi"/>
          <w:sz w:val="20"/>
          <w:szCs w:val="20"/>
          <w:lang w:val="es-ES"/>
        </w:rPr>
        <w:t>homicidio</w:t>
      </w:r>
      <w:r>
        <w:rPr>
          <w:rFonts w:asciiTheme="majorHAnsi" w:hAnsiTheme="majorHAnsi"/>
          <w:sz w:val="20"/>
          <w:szCs w:val="20"/>
          <w:lang w:val="es-ES"/>
        </w:rPr>
        <w:t>s</w:t>
      </w:r>
      <w:r w:rsidR="00470EE9">
        <w:rPr>
          <w:rFonts w:asciiTheme="majorHAnsi" w:hAnsiTheme="majorHAnsi"/>
          <w:sz w:val="20"/>
          <w:szCs w:val="20"/>
          <w:lang w:val="es-ES"/>
        </w:rPr>
        <w:t xml:space="preserve"> con agravante</w:t>
      </w:r>
      <w:r>
        <w:rPr>
          <w:rFonts w:asciiTheme="majorHAnsi" w:hAnsiTheme="majorHAnsi"/>
          <w:sz w:val="20"/>
          <w:szCs w:val="20"/>
          <w:lang w:val="es-ES"/>
        </w:rPr>
        <w:t xml:space="preserve"> de </w:t>
      </w:r>
      <w:r w:rsidR="007611A5" w:rsidRPr="007A3389">
        <w:rPr>
          <w:rFonts w:asciiTheme="majorHAnsi" w:hAnsiTheme="majorHAnsi"/>
          <w:sz w:val="20"/>
          <w:szCs w:val="20"/>
          <w:lang w:val="es-ES"/>
        </w:rPr>
        <w:t xml:space="preserve">Mullins, Senteno </w:t>
      </w:r>
      <w:r>
        <w:rPr>
          <w:rFonts w:asciiTheme="majorHAnsi" w:hAnsiTheme="majorHAnsi"/>
          <w:sz w:val="20"/>
          <w:szCs w:val="20"/>
          <w:lang w:val="es-ES"/>
        </w:rPr>
        <w:t>y</w:t>
      </w:r>
      <w:r w:rsidR="007611A5" w:rsidRPr="007A3389">
        <w:rPr>
          <w:rFonts w:asciiTheme="majorHAnsi" w:hAnsiTheme="majorHAnsi"/>
          <w:sz w:val="20"/>
          <w:szCs w:val="20"/>
          <w:lang w:val="es-ES"/>
        </w:rPr>
        <w:t xml:space="preserve"> </w:t>
      </w:r>
      <w:proofErr w:type="spellStart"/>
      <w:r w:rsidR="007611A5" w:rsidRPr="007A3389">
        <w:rPr>
          <w:rFonts w:asciiTheme="majorHAnsi" w:hAnsiTheme="majorHAnsi"/>
          <w:sz w:val="20"/>
          <w:szCs w:val="20"/>
          <w:lang w:val="es-ES"/>
        </w:rPr>
        <w:t>Jerri</w:t>
      </w:r>
      <w:proofErr w:type="spellEnd"/>
      <w:r w:rsidR="007611A5" w:rsidRPr="007A3389">
        <w:rPr>
          <w:rFonts w:asciiTheme="majorHAnsi" w:hAnsiTheme="majorHAnsi"/>
          <w:sz w:val="20"/>
          <w:szCs w:val="20"/>
          <w:lang w:val="es-ES"/>
        </w:rPr>
        <w:t xml:space="preserve"> Jackson</w:t>
      </w:r>
      <w:r>
        <w:rPr>
          <w:rFonts w:asciiTheme="majorHAnsi" w:hAnsiTheme="majorHAnsi"/>
          <w:sz w:val="20"/>
          <w:szCs w:val="20"/>
          <w:lang w:val="es-ES"/>
        </w:rPr>
        <w:t xml:space="preserve"> y una pena de treinta años de cárcel o cadena perpetua por el </w:t>
      </w:r>
      <w:r w:rsidR="00470EE9">
        <w:rPr>
          <w:rFonts w:asciiTheme="majorHAnsi" w:hAnsiTheme="majorHAnsi"/>
          <w:sz w:val="20"/>
          <w:szCs w:val="20"/>
          <w:lang w:val="es-ES"/>
        </w:rPr>
        <w:t>homicidio con agravante</w:t>
      </w:r>
      <w:r w:rsidR="007611A5" w:rsidRPr="007A3389">
        <w:rPr>
          <w:rFonts w:asciiTheme="majorHAnsi" w:hAnsiTheme="majorHAnsi"/>
          <w:sz w:val="20"/>
          <w:szCs w:val="20"/>
          <w:lang w:val="es-ES"/>
        </w:rPr>
        <w:t xml:space="preserve"> </w:t>
      </w:r>
      <w:r>
        <w:rPr>
          <w:rFonts w:asciiTheme="majorHAnsi" w:hAnsiTheme="majorHAnsi"/>
          <w:sz w:val="20"/>
          <w:szCs w:val="20"/>
          <w:lang w:val="es-ES"/>
        </w:rPr>
        <w:t>de</w:t>
      </w:r>
      <w:r w:rsidR="007611A5" w:rsidRPr="007A3389">
        <w:rPr>
          <w:rFonts w:asciiTheme="majorHAnsi" w:hAnsiTheme="majorHAnsi"/>
          <w:sz w:val="20"/>
          <w:szCs w:val="20"/>
          <w:lang w:val="es-ES"/>
        </w:rPr>
        <w:t xml:space="preserve"> Georgia Davis. </w:t>
      </w:r>
      <w:r>
        <w:rPr>
          <w:rFonts w:asciiTheme="majorHAnsi" w:hAnsiTheme="majorHAnsi"/>
          <w:sz w:val="20"/>
          <w:szCs w:val="20"/>
          <w:lang w:val="es-ES"/>
        </w:rPr>
        <w:t>El Tribunal en lo Civil del Condado de Butler (</w:t>
      </w:r>
      <w:r w:rsidR="008E1322" w:rsidRPr="007A3389">
        <w:rPr>
          <w:rFonts w:asciiTheme="majorHAnsi" w:hAnsiTheme="majorHAnsi"/>
          <w:sz w:val="20"/>
          <w:szCs w:val="20"/>
          <w:lang w:val="es-ES"/>
        </w:rPr>
        <w:t>Ohio</w:t>
      </w:r>
      <w:r>
        <w:rPr>
          <w:rFonts w:asciiTheme="majorHAnsi" w:hAnsiTheme="majorHAnsi"/>
          <w:sz w:val="20"/>
          <w:szCs w:val="20"/>
          <w:lang w:val="es-ES"/>
        </w:rPr>
        <w:t>) aceptó las recomendaciones e impuso las sentencias correspondientes</w:t>
      </w:r>
      <w:r w:rsidR="00DE3B4F" w:rsidRPr="007A3389">
        <w:rPr>
          <w:rStyle w:val="FootnoteReference"/>
          <w:rFonts w:asciiTheme="majorHAnsi" w:hAnsiTheme="majorHAnsi"/>
          <w:sz w:val="20"/>
          <w:szCs w:val="20"/>
          <w:lang w:val="es-ES"/>
        </w:rPr>
        <w:footnoteReference w:id="8"/>
      </w:r>
      <w:r w:rsidR="00AE78CD">
        <w:rPr>
          <w:rFonts w:asciiTheme="majorHAnsi" w:hAnsiTheme="majorHAnsi"/>
          <w:sz w:val="20"/>
          <w:szCs w:val="20"/>
          <w:lang w:val="es-ES"/>
        </w:rPr>
        <w:t>.</w:t>
      </w:r>
      <w:r w:rsidR="00DE3B4F" w:rsidRPr="007A3389">
        <w:rPr>
          <w:rFonts w:asciiTheme="majorHAnsi" w:hAnsiTheme="majorHAnsi"/>
          <w:sz w:val="20"/>
          <w:szCs w:val="20"/>
          <w:lang w:val="es-ES"/>
        </w:rPr>
        <w:t xml:space="preserve"> </w:t>
      </w:r>
      <w:r w:rsidR="00C4237F">
        <w:rPr>
          <w:rFonts w:asciiTheme="majorHAnsi" w:hAnsiTheme="majorHAnsi"/>
          <w:sz w:val="20"/>
          <w:szCs w:val="20"/>
          <w:lang w:val="es-ES"/>
        </w:rPr>
        <w:t>El Tribunal de Apelaciones de Ohio</w:t>
      </w:r>
      <w:r w:rsidR="00A91578" w:rsidRPr="007A3389">
        <w:rPr>
          <w:rFonts w:asciiTheme="majorHAnsi" w:hAnsiTheme="majorHAnsi"/>
          <w:sz w:val="20"/>
          <w:szCs w:val="20"/>
          <w:lang w:val="es-ES"/>
        </w:rPr>
        <w:t xml:space="preserve"> </w:t>
      </w:r>
      <w:r w:rsidR="00AE78CD">
        <w:rPr>
          <w:rFonts w:asciiTheme="majorHAnsi" w:hAnsiTheme="majorHAnsi"/>
          <w:sz w:val="20"/>
          <w:szCs w:val="20"/>
          <w:lang w:val="es-ES"/>
        </w:rPr>
        <w:t xml:space="preserve">ratificó las condenas y las sentencias el </w:t>
      </w:r>
      <w:r w:rsidR="00E47E00" w:rsidRPr="007A3389">
        <w:rPr>
          <w:rFonts w:asciiTheme="majorHAnsi" w:hAnsiTheme="majorHAnsi"/>
          <w:sz w:val="20"/>
          <w:szCs w:val="20"/>
          <w:lang w:val="es-ES"/>
        </w:rPr>
        <w:t>19</w:t>
      </w:r>
      <w:r w:rsidR="00AE78CD">
        <w:rPr>
          <w:rFonts w:asciiTheme="majorHAnsi" w:hAnsiTheme="majorHAnsi"/>
          <w:sz w:val="20"/>
          <w:szCs w:val="20"/>
          <w:lang w:val="es-ES"/>
        </w:rPr>
        <w:t xml:space="preserve"> de abril de</w:t>
      </w:r>
      <w:r w:rsidR="00E47E00" w:rsidRPr="007A3389">
        <w:rPr>
          <w:rFonts w:asciiTheme="majorHAnsi" w:hAnsiTheme="majorHAnsi"/>
          <w:sz w:val="20"/>
          <w:szCs w:val="20"/>
          <w:lang w:val="es-ES"/>
        </w:rPr>
        <w:t xml:space="preserve"> 1993</w:t>
      </w:r>
      <w:r w:rsidR="00A91578" w:rsidRPr="007A3389">
        <w:rPr>
          <w:rStyle w:val="FootnoteReference"/>
          <w:rFonts w:asciiTheme="majorHAnsi" w:hAnsiTheme="majorHAnsi"/>
          <w:sz w:val="20"/>
          <w:szCs w:val="20"/>
          <w:lang w:val="es-ES"/>
        </w:rPr>
        <w:footnoteReference w:id="9"/>
      </w:r>
      <w:r w:rsidR="00AE78CD">
        <w:rPr>
          <w:rFonts w:asciiTheme="majorHAnsi" w:hAnsiTheme="majorHAnsi"/>
          <w:sz w:val="20"/>
          <w:szCs w:val="20"/>
          <w:lang w:val="es-ES"/>
        </w:rPr>
        <w:t>.</w:t>
      </w:r>
    </w:p>
    <w:p w14:paraId="1F500D92" w14:textId="77777777" w:rsidR="00051DB2" w:rsidRPr="007A3389" w:rsidRDefault="00051DB2" w:rsidP="00D7514B">
      <w:pPr>
        <w:rPr>
          <w:rFonts w:asciiTheme="majorHAnsi" w:hAnsiTheme="majorHAnsi"/>
          <w:sz w:val="20"/>
          <w:szCs w:val="20"/>
          <w:lang w:val="es-ES"/>
        </w:rPr>
      </w:pPr>
    </w:p>
    <w:p w14:paraId="5D256172" w14:textId="77777777" w:rsidR="008E1322" w:rsidRPr="007A3389" w:rsidRDefault="00AE78CD" w:rsidP="008E13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En la apelación</w:t>
      </w:r>
      <w:r w:rsidR="00051DB2" w:rsidRPr="007A3389">
        <w:rPr>
          <w:rFonts w:asciiTheme="majorHAnsi" w:hAnsiTheme="majorHAnsi"/>
          <w:sz w:val="20"/>
          <w:szCs w:val="20"/>
          <w:lang w:val="es-ES"/>
        </w:rPr>
        <w:t xml:space="preserve">, </w:t>
      </w:r>
      <w:r>
        <w:rPr>
          <w:rFonts w:asciiTheme="majorHAnsi" w:hAnsiTheme="majorHAnsi"/>
          <w:sz w:val="20"/>
          <w:szCs w:val="20"/>
          <w:lang w:val="es-ES"/>
        </w:rPr>
        <w:t>la Corte Suprema de Ohio</w:t>
      </w:r>
      <w:r w:rsidR="00051DB2" w:rsidRPr="007A3389">
        <w:rPr>
          <w:rFonts w:asciiTheme="majorHAnsi" w:hAnsiTheme="majorHAnsi"/>
          <w:sz w:val="20"/>
          <w:szCs w:val="20"/>
          <w:lang w:val="es-ES"/>
        </w:rPr>
        <w:t xml:space="preserve"> </w:t>
      </w:r>
      <w:r>
        <w:rPr>
          <w:rFonts w:asciiTheme="majorHAnsi" w:hAnsiTheme="majorHAnsi"/>
          <w:sz w:val="20"/>
          <w:szCs w:val="20"/>
          <w:lang w:val="es-ES"/>
        </w:rPr>
        <w:t xml:space="preserve">ratificó las condenas y las sentencias el </w:t>
      </w:r>
      <w:r w:rsidR="00E47E00" w:rsidRPr="007A3389">
        <w:rPr>
          <w:rFonts w:asciiTheme="majorHAnsi" w:hAnsiTheme="majorHAnsi"/>
          <w:sz w:val="20"/>
          <w:szCs w:val="20"/>
          <w:lang w:val="es-ES"/>
        </w:rPr>
        <w:t>30</w:t>
      </w:r>
      <w:r>
        <w:rPr>
          <w:rFonts w:asciiTheme="majorHAnsi" w:hAnsiTheme="majorHAnsi"/>
          <w:sz w:val="20"/>
          <w:szCs w:val="20"/>
          <w:lang w:val="es-ES"/>
        </w:rPr>
        <w:t xml:space="preserve"> de noviembre de</w:t>
      </w:r>
      <w:r w:rsidR="00E47E00" w:rsidRPr="007A3389">
        <w:rPr>
          <w:rFonts w:asciiTheme="majorHAnsi" w:hAnsiTheme="majorHAnsi"/>
          <w:sz w:val="20"/>
          <w:szCs w:val="20"/>
          <w:lang w:val="es-ES"/>
        </w:rPr>
        <w:t xml:space="preserve"> 1994</w:t>
      </w:r>
      <w:r w:rsidR="00051DB2" w:rsidRPr="007A3389">
        <w:rPr>
          <w:rStyle w:val="FootnoteReference"/>
          <w:rFonts w:asciiTheme="majorHAnsi" w:hAnsiTheme="majorHAnsi"/>
          <w:sz w:val="20"/>
          <w:szCs w:val="20"/>
          <w:lang w:val="es-ES"/>
        </w:rPr>
        <w:footnoteReference w:id="10"/>
      </w:r>
      <w:r w:rsidR="00D620D2" w:rsidRPr="007A3389">
        <w:rPr>
          <w:rFonts w:asciiTheme="majorHAnsi" w:hAnsiTheme="majorHAnsi"/>
          <w:sz w:val="20"/>
          <w:szCs w:val="20"/>
          <w:lang w:val="es-ES"/>
        </w:rPr>
        <w:t xml:space="preserve"> </w:t>
      </w:r>
      <w:r>
        <w:rPr>
          <w:rFonts w:asciiTheme="majorHAnsi" w:hAnsiTheme="majorHAnsi"/>
          <w:sz w:val="20"/>
          <w:szCs w:val="20"/>
          <w:lang w:val="es-ES"/>
        </w:rPr>
        <w:t>y denegó el recurso de reconsideración</w:t>
      </w:r>
      <w:r w:rsidR="00D620D2" w:rsidRPr="007A3389">
        <w:rPr>
          <w:rStyle w:val="FootnoteReference"/>
          <w:rFonts w:asciiTheme="majorHAnsi" w:hAnsiTheme="majorHAnsi"/>
          <w:sz w:val="20"/>
          <w:szCs w:val="20"/>
          <w:lang w:val="es-ES"/>
        </w:rPr>
        <w:footnoteReference w:id="11"/>
      </w:r>
      <w:r>
        <w:rPr>
          <w:rFonts w:asciiTheme="majorHAnsi" w:hAnsiTheme="majorHAnsi"/>
          <w:sz w:val="20"/>
          <w:szCs w:val="20"/>
          <w:lang w:val="es-ES"/>
        </w:rPr>
        <w:t>. L</w:t>
      </w:r>
      <w:r w:rsidR="00175318">
        <w:rPr>
          <w:rFonts w:asciiTheme="majorHAnsi" w:hAnsiTheme="majorHAnsi"/>
          <w:sz w:val="20"/>
          <w:szCs w:val="20"/>
          <w:lang w:val="es-ES"/>
        </w:rPr>
        <w:t>a Corte Suprema de Estados Unidos</w:t>
      </w:r>
      <w:r>
        <w:rPr>
          <w:rFonts w:asciiTheme="majorHAnsi" w:hAnsiTheme="majorHAnsi"/>
          <w:sz w:val="20"/>
          <w:szCs w:val="20"/>
          <w:lang w:val="es-ES"/>
        </w:rPr>
        <w:t>, a su vez,</w:t>
      </w:r>
      <w:r w:rsidR="00006693" w:rsidRPr="007A3389">
        <w:rPr>
          <w:rFonts w:asciiTheme="majorHAnsi" w:hAnsiTheme="majorHAnsi"/>
          <w:sz w:val="20"/>
          <w:szCs w:val="20"/>
          <w:lang w:val="es-ES"/>
        </w:rPr>
        <w:t xml:space="preserve"> den</w:t>
      </w:r>
      <w:r>
        <w:rPr>
          <w:rFonts w:asciiTheme="majorHAnsi" w:hAnsiTheme="majorHAnsi"/>
          <w:sz w:val="20"/>
          <w:szCs w:val="20"/>
          <w:lang w:val="es-ES"/>
        </w:rPr>
        <w:t xml:space="preserve">egó el </w:t>
      </w:r>
      <w:r w:rsidR="00175318">
        <w:rPr>
          <w:rFonts w:asciiTheme="majorHAnsi" w:hAnsiTheme="majorHAnsi"/>
          <w:sz w:val="20"/>
          <w:szCs w:val="20"/>
          <w:lang w:val="es-ES"/>
        </w:rPr>
        <w:t>auto de avocación</w:t>
      </w:r>
      <w:r w:rsidRPr="00AE78CD">
        <w:rPr>
          <w:rFonts w:asciiTheme="majorHAnsi" w:hAnsiTheme="majorHAnsi"/>
          <w:sz w:val="20"/>
          <w:szCs w:val="20"/>
          <w:lang w:val="es-ES"/>
        </w:rPr>
        <w:t xml:space="preserve"> </w:t>
      </w:r>
      <w:r>
        <w:rPr>
          <w:rFonts w:asciiTheme="majorHAnsi" w:hAnsiTheme="majorHAnsi"/>
          <w:sz w:val="20"/>
          <w:szCs w:val="20"/>
          <w:lang w:val="es-ES"/>
        </w:rPr>
        <w:t>d</w:t>
      </w:r>
      <w:r w:rsidRPr="00AE78CD">
        <w:rPr>
          <w:rFonts w:asciiTheme="majorHAnsi" w:hAnsiTheme="majorHAnsi"/>
          <w:sz w:val="20"/>
          <w:szCs w:val="20"/>
          <w:lang w:val="es-ES"/>
        </w:rPr>
        <w:t>el señor Loza</w:t>
      </w:r>
      <w:r w:rsidR="00006693" w:rsidRPr="007A3389">
        <w:rPr>
          <w:rStyle w:val="FootnoteReference"/>
          <w:rFonts w:asciiTheme="majorHAnsi" w:hAnsiTheme="majorHAnsi"/>
          <w:sz w:val="20"/>
          <w:szCs w:val="20"/>
          <w:lang w:val="es-ES"/>
        </w:rPr>
        <w:footnoteReference w:id="12"/>
      </w:r>
      <w:r>
        <w:rPr>
          <w:rFonts w:asciiTheme="majorHAnsi" w:hAnsiTheme="majorHAnsi"/>
          <w:sz w:val="20"/>
          <w:szCs w:val="20"/>
          <w:lang w:val="es-ES"/>
        </w:rPr>
        <w:t>.</w:t>
      </w:r>
      <w:r w:rsidR="00006693" w:rsidRPr="007A3389">
        <w:rPr>
          <w:rFonts w:asciiTheme="majorHAnsi" w:hAnsiTheme="majorHAnsi"/>
          <w:sz w:val="20"/>
          <w:szCs w:val="20"/>
          <w:lang w:val="es-ES"/>
        </w:rPr>
        <w:t xml:space="preserve"> </w:t>
      </w:r>
    </w:p>
    <w:p w14:paraId="7E183039" w14:textId="77777777" w:rsidR="002179AD" w:rsidRPr="007A3389" w:rsidRDefault="002179AD" w:rsidP="008E13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00FEE46F" w14:textId="77777777" w:rsidR="0066333A" w:rsidRPr="007A3389" w:rsidRDefault="000D3EE0" w:rsidP="00146E18">
      <w:pPr>
        <w:pStyle w:val="Heading2"/>
        <w:numPr>
          <w:ilvl w:val="0"/>
          <w:numId w:val="58"/>
        </w:numPr>
        <w:tabs>
          <w:tab w:val="left" w:pos="360"/>
        </w:tabs>
        <w:spacing w:before="0"/>
        <w:ind w:hanging="720"/>
        <w:rPr>
          <w:color w:val="auto"/>
          <w:sz w:val="20"/>
          <w:szCs w:val="20"/>
          <w:lang w:val="es-ES"/>
        </w:rPr>
      </w:pPr>
      <w:bookmarkStart w:id="13" w:name="_Toc90298921"/>
      <w:r w:rsidRPr="007A3389">
        <w:rPr>
          <w:color w:val="auto"/>
          <w:sz w:val="20"/>
          <w:szCs w:val="20"/>
          <w:lang w:val="es-ES"/>
        </w:rPr>
        <w:t xml:space="preserve">Actuaciones </w:t>
      </w:r>
      <w:proofErr w:type="spellStart"/>
      <w:r w:rsidRPr="007A3389">
        <w:rPr>
          <w:color w:val="auto"/>
          <w:sz w:val="20"/>
          <w:szCs w:val="20"/>
          <w:lang w:val="es-ES"/>
        </w:rPr>
        <w:t>poscondenatorias</w:t>
      </w:r>
      <w:bookmarkEnd w:id="13"/>
      <w:proofErr w:type="spellEnd"/>
    </w:p>
    <w:p w14:paraId="4D8E3530" w14:textId="77777777" w:rsidR="0066333A" w:rsidRPr="007A3389" w:rsidRDefault="0066333A" w:rsidP="00A265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639B5B7C" w14:textId="77777777" w:rsidR="00F86ACE" w:rsidRPr="007A3389" w:rsidRDefault="00AE78CD" w:rsidP="001B65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El </w:t>
      </w:r>
      <w:r w:rsidR="00003AC1" w:rsidRPr="007A3389">
        <w:rPr>
          <w:rFonts w:asciiTheme="majorHAnsi" w:hAnsiTheme="majorHAnsi"/>
          <w:sz w:val="20"/>
          <w:szCs w:val="20"/>
          <w:lang w:val="es-ES"/>
        </w:rPr>
        <w:t>27</w:t>
      </w:r>
      <w:r>
        <w:rPr>
          <w:rFonts w:asciiTheme="majorHAnsi" w:hAnsiTheme="majorHAnsi"/>
          <w:sz w:val="20"/>
          <w:szCs w:val="20"/>
          <w:lang w:val="es-ES"/>
        </w:rPr>
        <w:t xml:space="preserve"> de noviembre de</w:t>
      </w:r>
      <w:r w:rsidR="00003AC1" w:rsidRPr="007A3389">
        <w:rPr>
          <w:rFonts w:asciiTheme="majorHAnsi" w:hAnsiTheme="majorHAnsi"/>
          <w:sz w:val="20"/>
          <w:szCs w:val="20"/>
          <w:lang w:val="es-ES"/>
        </w:rPr>
        <w:t xml:space="preserve"> 1995, </w:t>
      </w:r>
      <w:r w:rsidR="00D87346" w:rsidRPr="007A3389">
        <w:rPr>
          <w:rFonts w:asciiTheme="majorHAnsi" w:hAnsiTheme="majorHAnsi"/>
          <w:sz w:val="20"/>
          <w:szCs w:val="20"/>
          <w:lang w:val="es-ES"/>
        </w:rPr>
        <w:t>el señor</w:t>
      </w:r>
      <w:r w:rsidR="00003AC1" w:rsidRPr="007A3389">
        <w:rPr>
          <w:rFonts w:asciiTheme="majorHAnsi" w:hAnsiTheme="majorHAnsi"/>
          <w:sz w:val="20"/>
          <w:szCs w:val="20"/>
          <w:lang w:val="es-ES"/>
        </w:rPr>
        <w:t xml:space="preserve"> Loza </w:t>
      </w:r>
      <w:r>
        <w:rPr>
          <w:rFonts w:asciiTheme="majorHAnsi" w:hAnsiTheme="majorHAnsi"/>
          <w:sz w:val="20"/>
          <w:szCs w:val="20"/>
          <w:lang w:val="es-ES"/>
        </w:rPr>
        <w:t xml:space="preserve">interpuso un </w:t>
      </w:r>
      <w:r w:rsidR="00470EE9">
        <w:rPr>
          <w:rFonts w:asciiTheme="majorHAnsi" w:hAnsiTheme="majorHAnsi"/>
          <w:sz w:val="20"/>
          <w:szCs w:val="20"/>
          <w:lang w:val="es-ES"/>
        </w:rPr>
        <w:t xml:space="preserve">recurso de reparación </w:t>
      </w:r>
      <w:proofErr w:type="spellStart"/>
      <w:r w:rsidR="00470EE9">
        <w:rPr>
          <w:rFonts w:asciiTheme="majorHAnsi" w:hAnsiTheme="majorHAnsi"/>
          <w:sz w:val="20"/>
          <w:szCs w:val="20"/>
          <w:lang w:val="es-ES"/>
        </w:rPr>
        <w:t>poscondenatoria</w:t>
      </w:r>
      <w:proofErr w:type="spellEnd"/>
      <w:r w:rsidR="00003AC1" w:rsidRPr="007A3389">
        <w:rPr>
          <w:rFonts w:asciiTheme="majorHAnsi" w:hAnsiTheme="majorHAnsi"/>
          <w:sz w:val="20"/>
          <w:szCs w:val="20"/>
          <w:lang w:val="es-ES"/>
        </w:rPr>
        <w:t xml:space="preserve">, </w:t>
      </w:r>
      <w:r>
        <w:rPr>
          <w:rFonts w:asciiTheme="majorHAnsi" w:hAnsiTheme="majorHAnsi"/>
          <w:sz w:val="20"/>
          <w:szCs w:val="20"/>
          <w:lang w:val="es-ES"/>
        </w:rPr>
        <w:t>un</w:t>
      </w:r>
      <w:r w:rsidR="00003AC1" w:rsidRPr="007A3389">
        <w:rPr>
          <w:rFonts w:asciiTheme="majorHAnsi" w:hAnsiTheme="majorHAnsi"/>
          <w:sz w:val="20"/>
          <w:szCs w:val="20"/>
          <w:lang w:val="es-ES"/>
        </w:rPr>
        <w:t xml:space="preserve">a </w:t>
      </w:r>
      <w:r w:rsidR="00C4237F">
        <w:rPr>
          <w:rFonts w:asciiTheme="majorHAnsi" w:hAnsiTheme="majorHAnsi"/>
          <w:sz w:val="20"/>
          <w:szCs w:val="20"/>
          <w:lang w:val="es-ES"/>
        </w:rPr>
        <w:t>petición de exhibición de pruebas</w:t>
      </w:r>
      <w:r>
        <w:rPr>
          <w:rFonts w:asciiTheme="majorHAnsi" w:hAnsiTheme="majorHAnsi"/>
          <w:sz w:val="20"/>
          <w:szCs w:val="20"/>
          <w:lang w:val="es-ES"/>
        </w:rPr>
        <w:t xml:space="preserve"> y una petición de examen de expedientes policiales y de la fiscalía. El</w:t>
      </w:r>
      <w:r w:rsidR="00860797">
        <w:rPr>
          <w:rFonts w:asciiTheme="majorHAnsi" w:hAnsiTheme="majorHAnsi"/>
          <w:sz w:val="20"/>
          <w:szCs w:val="20"/>
          <w:lang w:val="es-ES"/>
        </w:rPr>
        <w:t xml:space="preserve"> </w:t>
      </w:r>
      <w:r w:rsidR="00003AC1" w:rsidRPr="007A3389">
        <w:rPr>
          <w:rFonts w:asciiTheme="majorHAnsi" w:hAnsiTheme="majorHAnsi"/>
          <w:sz w:val="20"/>
          <w:szCs w:val="20"/>
          <w:lang w:val="es-ES"/>
        </w:rPr>
        <w:t>7</w:t>
      </w:r>
      <w:r>
        <w:rPr>
          <w:rFonts w:asciiTheme="majorHAnsi" w:hAnsiTheme="majorHAnsi"/>
          <w:sz w:val="20"/>
          <w:szCs w:val="20"/>
          <w:lang w:val="es-ES"/>
        </w:rPr>
        <w:t xml:space="preserve"> de diciembre de</w:t>
      </w:r>
      <w:r w:rsidR="00003AC1" w:rsidRPr="007A3389">
        <w:rPr>
          <w:rFonts w:asciiTheme="majorHAnsi" w:hAnsiTheme="majorHAnsi"/>
          <w:sz w:val="20"/>
          <w:szCs w:val="20"/>
          <w:lang w:val="es-ES"/>
        </w:rPr>
        <w:t xml:space="preserve"> 1995</w:t>
      </w:r>
      <w:r>
        <w:rPr>
          <w:rFonts w:asciiTheme="majorHAnsi" w:hAnsiTheme="majorHAnsi"/>
          <w:sz w:val="20"/>
          <w:szCs w:val="20"/>
          <w:lang w:val="es-ES"/>
        </w:rPr>
        <w:t xml:space="preserve"> presentó una </w:t>
      </w:r>
      <w:r w:rsidR="00C4237F">
        <w:rPr>
          <w:rFonts w:asciiTheme="majorHAnsi" w:hAnsiTheme="majorHAnsi"/>
          <w:sz w:val="20"/>
          <w:szCs w:val="20"/>
          <w:lang w:val="es-ES"/>
        </w:rPr>
        <w:t>petición de exhibición de pruebas</w:t>
      </w:r>
      <w:r w:rsidR="00003AC1" w:rsidRPr="007A3389">
        <w:rPr>
          <w:rFonts w:asciiTheme="majorHAnsi" w:hAnsiTheme="majorHAnsi"/>
          <w:sz w:val="20"/>
          <w:szCs w:val="20"/>
          <w:lang w:val="es-ES"/>
        </w:rPr>
        <w:t xml:space="preserve"> </w:t>
      </w:r>
      <w:r>
        <w:rPr>
          <w:rFonts w:asciiTheme="majorHAnsi" w:hAnsiTheme="majorHAnsi"/>
          <w:sz w:val="20"/>
          <w:szCs w:val="20"/>
          <w:lang w:val="es-ES"/>
        </w:rPr>
        <w:t xml:space="preserve">sobre la aplicación discriminatoria de </w:t>
      </w:r>
      <w:r w:rsidR="00A06C83" w:rsidRPr="007A3389">
        <w:rPr>
          <w:rFonts w:asciiTheme="majorHAnsi" w:hAnsiTheme="majorHAnsi"/>
          <w:sz w:val="20"/>
          <w:szCs w:val="20"/>
          <w:lang w:val="es-ES"/>
        </w:rPr>
        <w:t>la pena de muerte</w:t>
      </w:r>
      <w:r w:rsidR="00003AC1" w:rsidRPr="007A3389">
        <w:rPr>
          <w:rFonts w:asciiTheme="majorHAnsi" w:hAnsiTheme="majorHAnsi"/>
          <w:sz w:val="20"/>
          <w:szCs w:val="20"/>
          <w:lang w:val="es-ES"/>
        </w:rPr>
        <w:t xml:space="preserve"> </w:t>
      </w:r>
      <w:r>
        <w:rPr>
          <w:rFonts w:asciiTheme="majorHAnsi" w:hAnsiTheme="majorHAnsi"/>
          <w:sz w:val="20"/>
          <w:szCs w:val="20"/>
          <w:lang w:val="es-ES"/>
        </w:rPr>
        <w:t xml:space="preserve">en el Condado de </w:t>
      </w:r>
      <w:r w:rsidR="00003AC1" w:rsidRPr="007A3389">
        <w:rPr>
          <w:rFonts w:asciiTheme="majorHAnsi" w:hAnsiTheme="majorHAnsi"/>
          <w:sz w:val="20"/>
          <w:szCs w:val="20"/>
          <w:lang w:val="es-ES"/>
        </w:rPr>
        <w:t xml:space="preserve">Butler </w:t>
      </w:r>
      <w:r>
        <w:rPr>
          <w:rFonts w:asciiTheme="majorHAnsi" w:hAnsiTheme="majorHAnsi"/>
          <w:sz w:val="20"/>
          <w:szCs w:val="20"/>
          <w:lang w:val="es-ES"/>
        </w:rPr>
        <w:t>(</w:t>
      </w:r>
      <w:r w:rsidR="00003AC1" w:rsidRPr="007A3389">
        <w:rPr>
          <w:rFonts w:asciiTheme="majorHAnsi" w:hAnsiTheme="majorHAnsi"/>
          <w:sz w:val="20"/>
          <w:szCs w:val="20"/>
          <w:lang w:val="es-ES"/>
        </w:rPr>
        <w:t>Ohio</w:t>
      </w:r>
      <w:r>
        <w:rPr>
          <w:rFonts w:asciiTheme="majorHAnsi" w:hAnsiTheme="majorHAnsi"/>
          <w:sz w:val="20"/>
          <w:szCs w:val="20"/>
          <w:lang w:val="es-ES"/>
        </w:rPr>
        <w:t>)</w:t>
      </w:r>
      <w:r w:rsidR="00003AC1" w:rsidRPr="007A3389">
        <w:rPr>
          <w:rFonts w:asciiTheme="majorHAnsi" w:hAnsiTheme="majorHAnsi"/>
          <w:sz w:val="20"/>
          <w:szCs w:val="20"/>
          <w:lang w:val="es-ES"/>
        </w:rPr>
        <w:t xml:space="preserve">. </w:t>
      </w:r>
      <w:r>
        <w:rPr>
          <w:rFonts w:asciiTheme="majorHAnsi" w:hAnsiTheme="majorHAnsi"/>
          <w:sz w:val="20"/>
          <w:szCs w:val="20"/>
          <w:lang w:val="es-ES"/>
        </w:rPr>
        <w:t xml:space="preserve">El </w:t>
      </w:r>
      <w:r w:rsidR="00003AC1" w:rsidRPr="007A3389">
        <w:rPr>
          <w:rFonts w:asciiTheme="majorHAnsi" w:hAnsiTheme="majorHAnsi"/>
          <w:sz w:val="20"/>
          <w:szCs w:val="20"/>
          <w:lang w:val="es-ES"/>
        </w:rPr>
        <w:t>24</w:t>
      </w:r>
      <w:r>
        <w:rPr>
          <w:rFonts w:asciiTheme="majorHAnsi" w:hAnsiTheme="majorHAnsi"/>
          <w:sz w:val="20"/>
          <w:szCs w:val="20"/>
          <w:lang w:val="es-ES"/>
        </w:rPr>
        <w:t xml:space="preserve"> de septiembre de</w:t>
      </w:r>
      <w:r w:rsidR="00003AC1" w:rsidRPr="007A3389">
        <w:rPr>
          <w:rFonts w:asciiTheme="majorHAnsi" w:hAnsiTheme="majorHAnsi"/>
          <w:sz w:val="20"/>
          <w:szCs w:val="20"/>
          <w:lang w:val="es-ES"/>
        </w:rPr>
        <w:t xml:space="preserve"> 1996, </w:t>
      </w:r>
      <w:r>
        <w:rPr>
          <w:rFonts w:asciiTheme="majorHAnsi" w:hAnsiTheme="majorHAnsi"/>
          <w:sz w:val="20"/>
          <w:szCs w:val="20"/>
          <w:lang w:val="es-ES"/>
        </w:rPr>
        <w:t xml:space="preserve">el </w:t>
      </w:r>
      <w:r w:rsidR="00175318">
        <w:rPr>
          <w:rFonts w:asciiTheme="majorHAnsi" w:hAnsiTheme="majorHAnsi"/>
          <w:sz w:val="20"/>
          <w:szCs w:val="20"/>
          <w:lang w:val="es-ES"/>
        </w:rPr>
        <w:t>tribunal de primera instancia</w:t>
      </w:r>
      <w:r w:rsidR="00B31391" w:rsidRPr="007A3389">
        <w:rPr>
          <w:rFonts w:asciiTheme="majorHAnsi" w:hAnsiTheme="majorHAnsi"/>
          <w:sz w:val="20"/>
          <w:szCs w:val="20"/>
          <w:lang w:val="es-ES"/>
        </w:rPr>
        <w:t xml:space="preserve"> </w:t>
      </w:r>
      <w:r>
        <w:rPr>
          <w:rFonts w:asciiTheme="majorHAnsi" w:hAnsiTheme="majorHAnsi"/>
          <w:sz w:val="20"/>
          <w:szCs w:val="20"/>
          <w:lang w:val="es-ES"/>
        </w:rPr>
        <w:t xml:space="preserve">denegó todas estas peticiones y desestimó el </w:t>
      </w:r>
      <w:r w:rsidR="00470EE9">
        <w:rPr>
          <w:rFonts w:asciiTheme="majorHAnsi" w:hAnsiTheme="majorHAnsi"/>
          <w:sz w:val="20"/>
          <w:szCs w:val="20"/>
          <w:lang w:val="es-ES"/>
        </w:rPr>
        <w:t xml:space="preserve">recurso de reparación </w:t>
      </w:r>
      <w:proofErr w:type="spellStart"/>
      <w:r w:rsidR="00470EE9">
        <w:rPr>
          <w:rFonts w:asciiTheme="majorHAnsi" w:hAnsiTheme="majorHAnsi"/>
          <w:sz w:val="20"/>
          <w:szCs w:val="20"/>
          <w:lang w:val="es-ES"/>
        </w:rPr>
        <w:t>poscondenatoria</w:t>
      </w:r>
      <w:proofErr w:type="spellEnd"/>
      <w:r w:rsidR="00003AC1" w:rsidRPr="007A3389">
        <w:rPr>
          <w:rFonts w:asciiTheme="majorHAnsi" w:hAnsiTheme="majorHAnsi"/>
          <w:sz w:val="20"/>
          <w:szCs w:val="20"/>
          <w:lang w:val="es-ES"/>
        </w:rPr>
        <w:t xml:space="preserve">. </w:t>
      </w:r>
    </w:p>
    <w:p w14:paraId="5A11A2AD" w14:textId="77777777" w:rsidR="00F86ACE" w:rsidRPr="007A3389" w:rsidRDefault="00F86ACE" w:rsidP="00F86A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719A9FA3" w14:textId="77777777" w:rsidR="001B658D" w:rsidRPr="007A3389" w:rsidRDefault="00B06A65" w:rsidP="001B65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La decisión fue apelada ante el </w:t>
      </w:r>
      <w:r w:rsidR="00C4237F">
        <w:rPr>
          <w:rFonts w:asciiTheme="majorHAnsi" w:hAnsiTheme="majorHAnsi"/>
          <w:sz w:val="20"/>
          <w:szCs w:val="20"/>
          <w:lang w:val="es-ES"/>
        </w:rPr>
        <w:t>Tribunal de Apelaciones de Ohio</w:t>
      </w:r>
      <w:r>
        <w:rPr>
          <w:rFonts w:asciiTheme="majorHAnsi" w:hAnsiTheme="majorHAnsi"/>
          <w:sz w:val="20"/>
          <w:szCs w:val="20"/>
          <w:lang w:val="es-ES"/>
        </w:rPr>
        <w:t xml:space="preserve"> y se presentaron reclamos relativos a una infracción de</w:t>
      </w:r>
      <w:r w:rsidR="00E833E9" w:rsidRPr="007A3389">
        <w:rPr>
          <w:rFonts w:asciiTheme="majorHAnsi" w:hAnsiTheme="majorHAnsi"/>
          <w:sz w:val="20"/>
          <w:szCs w:val="20"/>
          <w:lang w:val="es-ES"/>
        </w:rPr>
        <w:t xml:space="preserve"> </w:t>
      </w:r>
      <w:r w:rsidR="00EE0CB0" w:rsidRPr="007A3389">
        <w:rPr>
          <w:rFonts w:asciiTheme="majorHAnsi" w:hAnsiTheme="majorHAnsi"/>
          <w:sz w:val="20"/>
          <w:szCs w:val="20"/>
          <w:lang w:val="es-ES"/>
        </w:rPr>
        <w:t xml:space="preserve">la </w:t>
      </w:r>
      <w:r w:rsidRPr="00B06A65">
        <w:rPr>
          <w:rFonts w:asciiTheme="majorHAnsi" w:hAnsiTheme="majorHAnsi"/>
          <w:sz w:val="20"/>
          <w:szCs w:val="20"/>
          <w:lang w:val="es-ES"/>
        </w:rPr>
        <w:t>Convención de Viena sobre Relaciones Consulares</w:t>
      </w:r>
      <w:r w:rsidR="00B31391" w:rsidRPr="007A3389">
        <w:rPr>
          <w:rFonts w:asciiTheme="majorHAnsi" w:hAnsiTheme="majorHAnsi"/>
          <w:sz w:val="20"/>
          <w:szCs w:val="20"/>
          <w:lang w:val="es-ES"/>
        </w:rPr>
        <w:t xml:space="preserve">, </w:t>
      </w:r>
      <w:r>
        <w:rPr>
          <w:rFonts w:asciiTheme="majorHAnsi" w:hAnsiTheme="majorHAnsi"/>
          <w:sz w:val="20"/>
          <w:szCs w:val="20"/>
          <w:lang w:val="es-ES"/>
        </w:rPr>
        <w:t>patrocinio letrado ineficaz</w:t>
      </w:r>
      <w:r w:rsidR="00B31391" w:rsidRPr="007A3389">
        <w:rPr>
          <w:rFonts w:asciiTheme="majorHAnsi" w:hAnsiTheme="majorHAnsi"/>
          <w:sz w:val="20"/>
          <w:szCs w:val="20"/>
          <w:lang w:val="es-ES"/>
        </w:rPr>
        <w:t xml:space="preserve">, </w:t>
      </w:r>
      <w:r>
        <w:rPr>
          <w:rFonts w:asciiTheme="majorHAnsi" w:hAnsiTheme="majorHAnsi"/>
          <w:sz w:val="20"/>
          <w:szCs w:val="20"/>
          <w:lang w:val="es-ES"/>
        </w:rPr>
        <w:t xml:space="preserve">juzgamiento </w:t>
      </w:r>
      <w:r w:rsidR="00B31391" w:rsidRPr="007A3389">
        <w:rPr>
          <w:rFonts w:asciiTheme="majorHAnsi" w:hAnsiTheme="majorHAnsi"/>
          <w:sz w:val="20"/>
          <w:szCs w:val="20"/>
          <w:lang w:val="es-ES"/>
        </w:rPr>
        <w:t>selectiv</w:t>
      </w:r>
      <w:r>
        <w:rPr>
          <w:rFonts w:asciiTheme="majorHAnsi" w:hAnsiTheme="majorHAnsi"/>
          <w:sz w:val="20"/>
          <w:szCs w:val="20"/>
          <w:lang w:val="es-ES"/>
        </w:rPr>
        <w:t>o por razones de raza y el derecho d</w:t>
      </w:r>
      <w:r w:rsidR="00D87346" w:rsidRPr="007A3389">
        <w:rPr>
          <w:rFonts w:asciiTheme="majorHAnsi" w:hAnsiTheme="majorHAnsi"/>
          <w:sz w:val="20"/>
          <w:szCs w:val="20"/>
          <w:lang w:val="es-ES"/>
        </w:rPr>
        <w:t>el señor</w:t>
      </w:r>
      <w:r w:rsidR="008E1322" w:rsidRPr="007A3389">
        <w:rPr>
          <w:rFonts w:asciiTheme="majorHAnsi" w:hAnsiTheme="majorHAnsi"/>
          <w:sz w:val="20"/>
          <w:szCs w:val="20"/>
          <w:lang w:val="es-ES"/>
        </w:rPr>
        <w:t xml:space="preserve"> Loza</w:t>
      </w:r>
      <w:r>
        <w:rPr>
          <w:rFonts w:asciiTheme="majorHAnsi" w:hAnsiTheme="majorHAnsi"/>
          <w:sz w:val="20"/>
          <w:szCs w:val="20"/>
          <w:lang w:val="es-ES"/>
        </w:rPr>
        <w:t xml:space="preserve"> a ser juzgado por un jurado representativo, entre otros. El </w:t>
      </w:r>
      <w:r w:rsidR="00BB4212" w:rsidRPr="007A3389">
        <w:rPr>
          <w:rFonts w:asciiTheme="majorHAnsi" w:hAnsiTheme="majorHAnsi"/>
          <w:sz w:val="20"/>
          <w:szCs w:val="20"/>
          <w:lang w:val="es-ES"/>
        </w:rPr>
        <w:t>13</w:t>
      </w:r>
      <w:r>
        <w:rPr>
          <w:rFonts w:asciiTheme="majorHAnsi" w:hAnsiTheme="majorHAnsi"/>
          <w:sz w:val="20"/>
          <w:szCs w:val="20"/>
          <w:lang w:val="es-ES"/>
        </w:rPr>
        <w:t xml:space="preserve"> de octubre de</w:t>
      </w:r>
      <w:r w:rsidR="00BB4212" w:rsidRPr="007A3389">
        <w:rPr>
          <w:rFonts w:asciiTheme="majorHAnsi" w:hAnsiTheme="majorHAnsi"/>
          <w:sz w:val="20"/>
          <w:szCs w:val="20"/>
          <w:lang w:val="es-ES"/>
        </w:rPr>
        <w:t xml:space="preserve"> 1997</w:t>
      </w:r>
      <w:r>
        <w:rPr>
          <w:rFonts w:asciiTheme="majorHAnsi" w:hAnsiTheme="majorHAnsi"/>
          <w:sz w:val="20"/>
          <w:szCs w:val="20"/>
          <w:lang w:val="es-ES"/>
        </w:rPr>
        <w:t>,</w:t>
      </w:r>
      <w:r w:rsidR="00BB4212" w:rsidRPr="007A3389">
        <w:rPr>
          <w:rFonts w:asciiTheme="majorHAnsi" w:hAnsiTheme="majorHAnsi"/>
          <w:sz w:val="20"/>
          <w:szCs w:val="20"/>
          <w:lang w:val="es-ES"/>
        </w:rPr>
        <w:t xml:space="preserve"> </w:t>
      </w:r>
      <w:r w:rsidR="00C4237F">
        <w:rPr>
          <w:rFonts w:asciiTheme="majorHAnsi" w:hAnsiTheme="majorHAnsi"/>
          <w:sz w:val="20"/>
          <w:szCs w:val="20"/>
          <w:lang w:val="es-ES"/>
        </w:rPr>
        <w:t>el Tribunal de Apelaciones de Ohio</w:t>
      </w:r>
      <w:r w:rsidR="00BB4212" w:rsidRPr="007A3389">
        <w:rPr>
          <w:rFonts w:asciiTheme="majorHAnsi" w:hAnsiTheme="majorHAnsi"/>
          <w:sz w:val="20"/>
          <w:szCs w:val="20"/>
          <w:lang w:val="es-ES"/>
        </w:rPr>
        <w:t xml:space="preserve"> </w:t>
      </w:r>
      <w:r>
        <w:rPr>
          <w:rFonts w:asciiTheme="majorHAnsi" w:hAnsiTheme="majorHAnsi"/>
          <w:sz w:val="20"/>
          <w:szCs w:val="20"/>
          <w:lang w:val="es-ES"/>
        </w:rPr>
        <w:t>r</w:t>
      </w:r>
      <w:r w:rsidRPr="00B06A65">
        <w:rPr>
          <w:rFonts w:asciiTheme="majorHAnsi" w:hAnsiTheme="majorHAnsi"/>
          <w:sz w:val="20"/>
          <w:szCs w:val="20"/>
          <w:lang w:val="es-ES"/>
        </w:rPr>
        <w:t xml:space="preserve">atificó la decisión del tribunal de condado de denegar el recurso de reparación </w:t>
      </w:r>
      <w:proofErr w:type="spellStart"/>
      <w:r w:rsidRPr="00B06A65">
        <w:rPr>
          <w:rFonts w:asciiTheme="majorHAnsi" w:hAnsiTheme="majorHAnsi"/>
          <w:sz w:val="20"/>
          <w:szCs w:val="20"/>
          <w:lang w:val="es-ES"/>
        </w:rPr>
        <w:t>poscondenatoria</w:t>
      </w:r>
      <w:proofErr w:type="spellEnd"/>
      <w:r>
        <w:rPr>
          <w:rFonts w:asciiTheme="majorHAnsi" w:hAnsiTheme="majorHAnsi"/>
          <w:sz w:val="20"/>
          <w:szCs w:val="20"/>
          <w:lang w:val="es-ES"/>
        </w:rPr>
        <w:t>,</w:t>
      </w:r>
      <w:r w:rsidRPr="00B06A65">
        <w:rPr>
          <w:rFonts w:asciiTheme="majorHAnsi" w:hAnsiTheme="majorHAnsi"/>
          <w:sz w:val="20"/>
          <w:szCs w:val="20"/>
          <w:lang w:val="es-ES"/>
        </w:rPr>
        <w:t xml:space="preserve"> en tanto que la Corte Suprema de Ohio decidió no hacer una revisión discrecional de la apelación del señor Loza</w:t>
      </w:r>
      <w:r>
        <w:rPr>
          <w:rFonts w:asciiTheme="majorHAnsi" w:hAnsiTheme="majorHAnsi"/>
          <w:sz w:val="20"/>
          <w:szCs w:val="20"/>
          <w:lang w:val="es-ES"/>
        </w:rPr>
        <w:t xml:space="preserve"> porque no planteaba ninguna cuestión </w:t>
      </w:r>
      <w:r w:rsidR="004128E9">
        <w:rPr>
          <w:rFonts w:asciiTheme="majorHAnsi" w:hAnsiTheme="majorHAnsi"/>
          <w:sz w:val="20"/>
          <w:szCs w:val="20"/>
          <w:lang w:val="es-ES"/>
        </w:rPr>
        <w:t>constitucional</w:t>
      </w:r>
      <w:r w:rsidR="00BB4212" w:rsidRPr="007A3389">
        <w:rPr>
          <w:rFonts w:asciiTheme="majorHAnsi" w:hAnsiTheme="majorHAnsi"/>
          <w:sz w:val="20"/>
          <w:szCs w:val="20"/>
          <w:lang w:val="es-ES"/>
        </w:rPr>
        <w:t xml:space="preserve"> </w:t>
      </w:r>
      <w:r>
        <w:rPr>
          <w:rFonts w:asciiTheme="majorHAnsi" w:hAnsiTheme="majorHAnsi"/>
          <w:sz w:val="20"/>
          <w:szCs w:val="20"/>
          <w:lang w:val="es-ES"/>
        </w:rPr>
        <w:t>sustancial</w:t>
      </w:r>
      <w:r w:rsidR="00BB4212" w:rsidRPr="007A3389">
        <w:rPr>
          <w:rStyle w:val="FootnoteReference"/>
          <w:rFonts w:asciiTheme="majorHAnsi" w:hAnsiTheme="majorHAnsi"/>
          <w:sz w:val="20"/>
          <w:szCs w:val="20"/>
          <w:lang w:val="es-ES"/>
        </w:rPr>
        <w:footnoteReference w:id="13"/>
      </w:r>
      <w:r>
        <w:rPr>
          <w:rFonts w:asciiTheme="majorHAnsi" w:hAnsiTheme="majorHAnsi"/>
          <w:sz w:val="20"/>
          <w:szCs w:val="20"/>
          <w:lang w:val="es-ES"/>
        </w:rPr>
        <w:t>.</w:t>
      </w:r>
    </w:p>
    <w:p w14:paraId="53EB136B" w14:textId="77777777" w:rsidR="00146E18" w:rsidRPr="007A3389" w:rsidRDefault="00146E18" w:rsidP="00146E18">
      <w:pPr>
        <w:rPr>
          <w:lang w:val="es-ES"/>
        </w:rPr>
      </w:pPr>
    </w:p>
    <w:p w14:paraId="7C54DC97" w14:textId="77777777" w:rsidR="00021557" w:rsidRPr="007A3389" w:rsidRDefault="00060B7E" w:rsidP="00146E18">
      <w:pPr>
        <w:pStyle w:val="Heading2"/>
        <w:numPr>
          <w:ilvl w:val="0"/>
          <w:numId w:val="58"/>
        </w:numPr>
        <w:tabs>
          <w:tab w:val="left" w:pos="360"/>
        </w:tabs>
        <w:spacing w:before="0"/>
        <w:ind w:hanging="720"/>
        <w:rPr>
          <w:color w:val="auto"/>
          <w:sz w:val="20"/>
          <w:szCs w:val="20"/>
          <w:lang w:val="es-ES"/>
        </w:rPr>
      </w:pPr>
      <w:bookmarkStart w:id="14" w:name="_Toc90298922"/>
      <w:r w:rsidRPr="007A3389">
        <w:rPr>
          <w:color w:val="auto"/>
          <w:sz w:val="20"/>
          <w:szCs w:val="20"/>
          <w:lang w:val="es-ES"/>
        </w:rPr>
        <w:lastRenderedPageBreak/>
        <w:t>Actuaciones de hábeas corpus en instancias federales</w:t>
      </w:r>
      <w:bookmarkEnd w:id="14"/>
    </w:p>
    <w:p w14:paraId="5E9F7C33" w14:textId="77777777" w:rsidR="00021557" w:rsidRPr="007A3389" w:rsidRDefault="00021557" w:rsidP="00021557">
      <w:pPr>
        <w:pStyle w:val="ListParagraph"/>
        <w:rPr>
          <w:rFonts w:asciiTheme="majorHAnsi" w:hAnsiTheme="majorHAnsi"/>
          <w:sz w:val="20"/>
          <w:szCs w:val="20"/>
          <w:lang w:val="es-ES"/>
        </w:rPr>
      </w:pPr>
    </w:p>
    <w:p w14:paraId="276C875F" w14:textId="77777777" w:rsidR="00C25B0D" w:rsidRPr="007A3389" w:rsidRDefault="00B06A65" w:rsidP="002F4F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E</w:t>
      </w:r>
      <w:r w:rsidR="00D87346" w:rsidRPr="007A3389">
        <w:rPr>
          <w:rFonts w:asciiTheme="majorHAnsi" w:hAnsiTheme="majorHAnsi"/>
          <w:sz w:val="20"/>
          <w:szCs w:val="20"/>
          <w:lang w:val="es-ES"/>
        </w:rPr>
        <w:t>l señor</w:t>
      </w:r>
      <w:r w:rsidR="00E7193A" w:rsidRPr="007A3389">
        <w:rPr>
          <w:rFonts w:asciiTheme="majorHAnsi" w:hAnsiTheme="majorHAnsi"/>
          <w:sz w:val="20"/>
          <w:szCs w:val="20"/>
          <w:lang w:val="es-ES"/>
        </w:rPr>
        <w:t xml:space="preserve"> Loza </w:t>
      </w:r>
      <w:r>
        <w:rPr>
          <w:rFonts w:asciiTheme="majorHAnsi" w:hAnsiTheme="majorHAnsi"/>
          <w:sz w:val="20"/>
          <w:szCs w:val="20"/>
          <w:lang w:val="es-ES"/>
        </w:rPr>
        <w:t xml:space="preserve">interpuso un recurso de </w:t>
      </w:r>
      <w:r w:rsidR="00E7193A" w:rsidRPr="007A3389">
        <w:rPr>
          <w:rFonts w:asciiTheme="majorHAnsi" w:hAnsiTheme="majorHAnsi"/>
          <w:sz w:val="20"/>
          <w:szCs w:val="20"/>
          <w:lang w:val="es-ES"/>
        </w:rPr>
        <w:t>h</w:t>
      </w:r>
      <w:r>
        <w:rPr>
          <w:rFonts w:asciiTheme="majorHAnsi" w:hAnsiTheme="majorHAnsi"/>
          <w:sz w:val="20"/>
          <w:szCs w:val="20"/>
          <w:lang w:val="es-ES"/>
        </w:rPr>
        <w:t>á</w:t>
      </w:r>
      <w:r w:rsidR="00E7193A" w:rsidRPr="007A3389">
        <w:rPr>
          <w:rFonts w:asciiTheme="majorHAnsi" w:hAnsiTheme="majorHAnsi"/>
          <w:sz w:val="20"/>
          <w:szCs w:val="20"/>
          <w:lang w:val="es-ES"/>
        </w:rPr>
        <w:t xml:space="preserve">beas corpus </w:t>
      </w:r>
      <w:r w:rsidR="00775DE4">
        <w:rPr>
          <w:rFonts w:asciiTheme="majorHAnsi" w:hAnsiTheme="majorHAnsi"/>
          <w:sz w:val="20"/>
          <w:szCs w:val="20"/>
          <w:lang w:val="es-ES"/>
        </w:rPr>
        <w:t>ante el tribunal de distrito</w:t>
      </w:r>
      <w:r w:rsidR="007C0F3E" w:rsidRPr="007A3389">
        <w:rPr>
          <w:rFonts w:asciiTheme="majorHAnsi" w:hAnsiTheme="majorHAnsi"/>
          <w:sz w:val="20"/>
          <w:szCs w:val="20"/>
          <w:lang w:val="es-ES"/>
        </w:rPr>
        <w:t xml:space="preserve"> </w:t>
      </w:r>
      <w:r w:rsidR="00775DE4">
        <w:rPr>
          <w:rFonts w:asciiTheme="majorHAnsi" w:hAnsiTheme="majorHAnsi"/>
          <w:sz w:val="20"/>
          <w:szCs w:val="20"/>
          <w:lang w:val="es-ES"/>
        </w:rPr>
        <w:t xml:space="preserve">el </w:t>
      </w:r>
      <w:r w:rsidR="007C0F3E" w:rsidRPr="007A3389">
        <w:rPr>
          <w:rFonts w:asciiTheme="majorHAnsi" w:hAnsiTheme="majorHAnsi"/>
          <w:sz w:val="20"/>
          <w:szCs w:val="20"/>
          <w:lang w:val="es-ES"/>
        </w:rPr>
        <w:t>17</w:t>
      </w:r>
      <w:r w:rsidR="00775DE4">
        <w:rPr>
          <w:rFonts w:asciiTheme="majorHAnsi" w:hAnsiTheme="majorHAnsi"/>
          <w:sz w:val="20"/>
          <w:szCs w:val="20"/>
          <w:lang w:val="es-ES"/>
        </w:rPr>
        <w:t xml:space="preserve"> de abril de</w:t>
      </w:r>
      <w:r w:rsidR="007C0F3E" w:rsidRPr="007A3389">
        <w:rPr>
          <w:rFonts w:asciiTheme="majorHAnsi" w:hAnsiTheme="majorHAnsi"/>
          <w:sz w:val="20"/>
          <w:szCs w:val="20"/>
          <w:lang w:val="es-ES"/>
        </w:rPr>
        <w:t xml:space="preserve"> 1998</w:t>
      </w:r>
      <w:r w:rsidR="007C0F3E" w:rsidRPr="007A3389">
        <w:rPr>
          <w:rStyle w:val="FootnoteReference"/>
          <w:rFonts w:asciiTheme="majorHAnsi" w:hAnsiTheme="majorHAnsi"/>
          <w:sz w:val="20"/>
          <w:szCs w:val="20"/>
          <w:lang w:val="es-ES"/>
        </w:rPr>
        <w:footnoteReference w:id="14"/>
      </w:r>
      <w:r w:rsidR="00775DE4">
        <w:rPr>
          <w:rFonts w:asciiTheme="majorHAnsi" w:hAnsiTheme="majorHAnsi"/>
          <w:sz w:val="20"/>
          <w:szCs w:val="20"/>
          <w:lang w:val="es-ES"/>
        </w:rPr>
        <w:t xml:space="preserve">, en el cual pidió una revisión de los fallos sobre los reclamos planteados al </w:t>
      </w:r>
      <w:r>
        <w:rPr>
          <w:rFonts w:asciiTheme="majorHAnsi" w:hAnsiTheme="majorHAnsi"/>
          <w:sz w:val="20"/>
          <w:szCs w:val="20"/>
          <w:lang w:val="es-ES"/>
        </w:rPr>
        <w:t>Tribunal de Apelaciones de Ohio</w:t>
      </w:r>
      <w:r w:rsidR="00CA0428" w:rsidRPr="007A3389">
        <w:rPr>
          <w:rFonts w:asciiTheme="majorHAnsi" w:hAnsiTheme="majorHAnsi"/>
          <w:sz w:val="20"/>
          <w:szCs w:val="20"/>
          <w:lang w:val="es-ES"/>
        </w:rPr>
        <w:t xml:space="preserve">. </w:t>
      </w:r>
      <w:r w:rsidR="00175318">
        <w:rPr>
          <w:rFonts w:asciiTheme="majorHAnsi" w:hAnsiTheme="majorHAnsi"/>
          <w:sz w:val="20"/>
          <w:szCs w:val="20"/>
          <w:lang w:val="es-ES"/>
        </w:rPr>
        <w:t>El Tribunal Federal de Distrito para el Distrito del Sur de Ohio</w:t>
      </w:r>
      <w:r w:rsidR="00E31AAE" w:rsidRPr="007A3389">
        <w:rPr>
          <w:rFonts w:asciiTheme="majorHAnsi" w:hAnsiTheme="majorHAnsi"/>
          <w:sz w:val="20"/>
          <w:szCs w:val="20"/>
          <w:lang w:val="es-ES"/>
        </w:rPr>
        <w:t xml:space="preserve"> </w:t>
      </w:r>
      <w:r w:rsidR="00CA0428" w:rsidRPr="007A3389">
        <w:rPr>
          <w:rFonts w:asciiTheme="majorHAnsi" w:hAnsiTheme="majorHAnsi"/>
          <w:sz w:val="20"/>
          <w:szCs w:val="20"/>
          <w:lang w:val="es-ES"/>
        </w:rPr>
        <w:t>den</w:t>
      </w:r>
      <w:r w:rsidR="00775DE4">
        <w:rPr>
          <w:rFonts w:asciiTheme="majorHAnsi" w:hAnsiTheme="majorHAnsi"/>
          <w:sz w:val="20"/>
          <w:szCs w:val="20"/>
          <w:lang w:val="es-ES"/>
        </w:rPr>
        <w:t>egó el recurso de</w:t>
      </w:r>
      <w:r w:rsidR="00CA0428" w:rsidRPr="007A3389">
        <w:rPr>
          <w:rFonts w:asciiTheme="majorHAnsi" w:hAnsiTheme="majorHAnsi"/>
          <w:sz w:val="20"/>
          <w:szCs w:val="20"/>
          <w:lang w:val="es-ES"/>
        </w:rPr>
        <w:t xml:space="preserve"> h</w:t>
      </w:r>
      <w:r w:rsidR="00775DE4">
        <w:rPr>
          <w:rFonts w:asciiTheme="majorHAnsi" w:hAnsiTheme="majorHAnsi"/>
          <w:sz w:val="20"/>
          <w:szCs w:val="20"/>
          <w:lang w:val="es-ES"/>
        </w:rPr>
        <w:t>á</w:t>
      </w:r>
      <w:r w:rsidR="00CA0428" w:rsidRPr="007A3389">
        <w:rPr>
          <w:rFonts w:asciiTheme="majorHAnsi" w:hAnsiTheme="majorHAnsi"/>
          <w:sz w:val="20"/>
          <w:szCs w:val="20"/>
          <w:lang w:val="es-ES"/>
        </w:rPr>
        <w:t xml:space="preserve">beas corpus </w:t>
      </w:r>
      <w:r w:rsidR="00775DE4">
        <w:rPr>
          <w:rFonts w:asciiTheme="majorHAnsi" w:hAnsiTheme="majorHAnsi"/>
          <w:sz w:val="20"/>
          <w:szCs w:val="20"/>
          <w:lang w:val="es-ES"/>
        </w:rPr>
        <w:t xml:space="preserve">y desestimó la acción el </w:t>
      </w:r>
      <w:r w:rsidR="00CA0428" w:rsidRPr="007A3389">
        <w:rPr>
          <w:rFonts w:asciiTheme="majorHAnsi" w:hAnsiTheme="majorHAnsi"/>
          <w:sz w:val="20"/>
          <w:szCs w:val="20"/>
          <w:lang w:val="es-ES"/>
        </w:rPr>
        <w:t xml:space="preserve">31 </w:t>
      </w:r>
      <w:r w:rsidR="00775DE4">
        <w:rPr>
          <w:rFonts w:asciiTheme="majorHAnsi" w:hAnsiTheme="majorHAnsi"/>
          <w:sz w:val="20"/>
          <w:szCs w:val="20"/>
          <w:lang w:val="es-ES"/>
        </w:rPr>
        <w:t xml:space="preserve">de marzo de </w:t>
      </w:r>
      <w:r w:rsidR="00CA0428" w:rsidRPr="007A3389">
        <w:rPr>
          <w:rFonts w:asciiTheme="majorHAnsi" w:hAnsiTheme="majorHAnsi"/>
          <w:sz w:val="20"/>
          <w:szCs w:val="20"/>
          <w:lang w:val="es-ES"/>
        </w:rPr>
        <w:t xml:space="preserve">2010. </w:t>
      </w:r>
      <w:r w:rsidR="00775DE4">
        <w:rPr>
          <w:rFonts w:asciiTheme="majorHAnsi" w:hAnsiTheme="majorHAnsi"/>
          <w:sz w:val="20"/>
          <w:szCs w:val="20"/>
          <w:lang w:val="es-ES"/>
        </w:rPr>
        <w:t>E</w:t>
      </w:r>
      <w:r w:rsidR="00D87346" w:rsidRPr="007A3389">
        <w:rPr>
          <w:rFonts w:asciiTheme="majorHAnsi" w:hAnsiTheme="majorHAnsi"/>
          <w:sz w:val="20"/>
          <w:szCs w:val="20"/>
          <w:lang w:val="es-ES"/>
        </w:rPr>
        <w:t>l señor</w:t>
      </w:r>
      <w:r w:rsidR="00CA0428" w:rsidRPr="007A3389">
        <w:rPr>
          <w:rFonts w:asciiTheme="majorHAnsi" w:hAnsiTheme="majorHAnsi"/>
          <w:sz w:val="20"/>
          <w:szCs w:val="20"/>
          <w:lang w:val="es-ES"/>
        </w:rPr>
        <w:t xml:space="preserve"> Loza </w:t>
      </w:r>
      <w:r w:rsidR="00775DE4">
        <w:rPr>
          <w:rFonts w:asciiTheme="majorHAnsi" w:hAnsiTheme="majorHAnsi"/>
          <w:sz w:val="20"/>
          <w:szCs w:val="20"/>
          <w:lang w:val="es-ES"/>
        </w:rPr>
        <w:t>apeló la denegación. E</w:t>
      </w:r>
      <w:r w:rsidR="00775DE4" w:rsidRPr="00775DE4">
        <w:rPr>
          <w:rFonts w:asciiTheme="majorHAnsi" w:hAnsiTheme="majorHAnsi"/>
          <w:sz w:val="20"/>
          <w:szCs w:val="20"/>
          <w:lang w:val="es-ES"/>
        </w:rPr>
        <w:t>l 24 de octubre de 2014</w:t>
      </w:r>
      <w:r w:rsidR="00775DE4">
        <w:rPr>
          <w:rFonts w:asciiTheme="majorHAnsi" w:hAnsiTheme="majorHAnsi"/>
          <w:sz w:val="20"/>
          <w:szCs w:val="20"/>
          <w:lang w:val="es-ES"/>
        </w:rPr>
        <w:t xml:space="preserve">, el </w:t>
      </w:r>
      <w:r w:rsidR="00175318">
        <w:rPr>
          <w:rFonts w:asciiTheme="majorHAnsi" w:hAnsiTheme="majorHAnsi"/>
          <w:sz w:val="20"/>
          <w:szCs w:val="20"/>
          <w:lang w:val="es-ES"/>
        </w:rPr>
        <w:t>Tribunal Federal de Apelaciones</w:t>
      </w:r>
      <w:r w:rsidR="00775DE4">
        <w:rPr>
          <w:rFonts w:asciiTheme="majorHAnsi" w:hAnsiTheme="majorHAnsi"/>
          <w:sz w:val="20"/>
          <w:szCs w:val="20"/>
          <w:lang w:val="es-ES"/>
        </w:rPr>
        <w:t xml:space="preserve"> ratificó la decisión del tribunal de distrito de desestimar la acción. A continuación se presentan las conclusiones del tribunal</w:t>
      </w:r>
      <w:r w:rsidR="00C63585" w:rsidRPr="007A3389">
        <w:rPr>
          <w:rFonts w:asciiTheme="majorHAnsi" w:hAnsiTheme="majorHAnsi"/>
          <w:sz w:val="20"/>
          <w:szCs w:val="20"/>
          <w:lang w:val="es-ES"/>
        </w:rPr>
        <w:t>.</w:t>
      </w:r>
    </w:p>
    <w:p w14:paraId="09920EFF" w14:textId="77777777" w:rsidR="007A51E3" w:rsidRPr="007A3389" w:rsidRDefault="007A51E3" w:rsidP="00C25B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3560B0D" w14:textId="77777777" w:rsidR="00E7193A" w:rsidRPr="007A3389" w:rsidRDefault="00775DE4" w:rsidP="00E719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En la apelación, </w:t>
      </w:r>
      <w:r w:rsidR="00D87346" w:rsidRPr="007A3389">
        <w:rPr>
          <w:rFonts w:asciiTheme="majorHAnsi" w:hAnsiTheme="majorHAnsi"/>
          <w:sz w:val="20"/>
          <w:szCs w:val="20"/>
          <w:lang w:val="es-ES"/>
        </w:rPr>
        <w:t>el señor</w:t>
      </w:r>
      <w:r w:rsidR="00E7193A" w:rsidRPr="007A3389">
        <w:rPr>
          <w:rFonts w:asciiTheme="majorHAnsi" w:hAnsiTheme="majorHAnsi"/>
          <w:sz w:val="20"/>
          <w:szCs w:val="20"/>
          <w:lang w:val="es-ES"/>
        </w:rPr>
        <w:t xml:space="preserve"> Loza </w:t>
      </w:r>
      <w:r w:rsidR="00E27DC6" w:rsidRPr="007A3389">
        <w:rPr>
          <w:rFonts w:asciiTheme="majorHAnsi" w:hAnsiTheme="majorHAnsi"/>
          <w:sz w:val="20"/>
          <w:szCs w:val="20"/>
          <w:lang w:val="es-ES"/>
        </w:rPr>
        <w:t>argu</w:t>
      </w:r>
      <w:r w:rsidR="00E27DC6">
        <w:rPr>
          <w:rFonts w:asciiTheme="majorHAnsi" w:hAnsiTheme="majorHAnsi"/>
          <w:sz w:val="20"/>
          <w:szCs w:val="20"/>
          <w:lang w:val="es-ES"/>
        </w:rPr>
        <w:t>mentó que tenía derecho al hábeas corpus</w:t>
      </w:r>
      <w:r w:rsidR="008E1322" w:rsidRPr="007A3389">
        <w:rPr>
          <w:rFonts w:asciiTheme="majorHAnsi" w:hAnsiTheme="majorHAnsi"/>
          <w:sz w:val="20"/>
          <w:szCs w:val="20"/>
          <w:lang w:val="es-ES"/>
        </w:rPr>
        <w:t xml:space="preserve">. </w:t>
      </w:r>
      <w:r>
        <w:rPr>
          <w:rFonts w:asciiTheme="majorHAnsi" w:hAnsiTheme="majorHAnsi"/>
          <w:sz w:val="20"/>
          <w:szCs w:val="20"/>
          <w:lang w:val="es-ES"/>
        </w:rPr>
        <w:t>El tribunal</w:t>
      </w:r>
      <w:r w:rsidR="00E7193A" w:rsidRPr="007A3389">
        <w:rPr>
          <w:rFonts w:asciiTheme="majorHAnsi" w:hAnsiTheme="majorHAnsi"/>
          <w:sz w:val="20"/>
          <w:szCs w:val="20"/>
          <w:lang w:val="es-ES"/>
        </w:rPr>
        <w:t xml:space="preserve"> </w:t>
      </w:r>
      <w:r w:rsidR="00E27DC6">
        <w:rPr>
          <w:rFonts w:asciiTheme="majorHAnsi" w:hAnsiTheme="majorHAnsi"/>
          <w:sz w:val="20"/>
          <w:szCs w:val="20"/>
          <w:lang w:val="es-ES"/>
        </w:rPr>
        <w:t>examinó las conclusiones jurídicas de</w:t>
      </w:r>
      <w:r>
        <w:rPr>
          <w:rFonts w:asciiTheme="majorHAnsi" w:hAnsiTheme="majorHAnsi"/>
          <w:sz w:val="20"/>
          <w:szCs w:val="20"/>
          <w:lang w:val="es-ES"/>
        </w:rPr>
        <w:t>l tribunal de distrito</w:t>
      </w:r>
      <w:r w:rsidR="00E27DC6">
        <w:rPr>
          <w:rFonts w:asciiTheme="majorHAnsi" w:hAnsiTheme="majorHAnsi"/>
          <w:sz w:val="20"/>
          <w:szCs w:val="20"/>
          <w:lang w:val="es-ES"/>
        </w:rPr>
        <w:t xml:space="preserve"> </w:t>
      </w:r>
      <w:r w:rsidR="00E7193A" w:rsidRPr="007A3389">
        <w:rPr>
          <w:rFonts w:asciiTheme="majorHAnsi" w:hAnsiTheme="majorHAnsi"/>
          <w:i/>
          <w:sz w:val="20"/>
          <w:szCs w:val="20"/>
          <w:lang w:val="es-ES"/>
        </w:rPr>
        <w:t xml:space="preserve">de </w:t>
      </w:r>
      <w:proofErr w:type="spellStart"/>
      <w:r w:rsidR="00E7193A" w:rsidRPr="007A3389">
        <w:rPr>
          <w:rFonts w:asciiTheme="majorHAnsi" w:hAnsiTheme="majorHAnsi"/>
          <w:i/>
          <w:sz w:val="20"/>
          <w:szCs w:val="20"/>
          <w:lang w:val="es-ES"/>
        </w:rPr>
        <w:t>novo</w:t>
      </w:r>
      <w:proofErr w:type="spellEnd"/>
      <w:r w:rsidR="00E7193A" w:rsidRPr="007A3389">
        <w:rPr>
          <w:rStyle w:val="FootnoteReference"/>
          <w:rFonts w:asciiTheme="majorHAnsi" w:hAnsiTheme="majorHAnsi"/>
          <w:sz w:val="20"/>
          <w:szCs w:val="20"/>
          <w:lang w:val="es-ES"/>
        </w:rPr>
        <w:footnoteReference w:id="15"/>
      </w:r>
      <w:r w:rsidR="00E7193A" w:rsidRPr="007A3389">
        <w:rPr>
          <w:rFonts w:asciiTheme="majorHAnsi" w:hAnsiTheme="majorHAnsi"/>
          <w:sz w:val="20"/>
          <w:szCs w:val="20"/>
          <w:lang w:val="es-ES"/>
        </w:rPr>
        <w:t xml:space="preserve"> </w:t>
      </w:r>
      <w:r w:rsidR="00E27DC6">
        <w:rPr>
          <w:rFonts w:asciiTheme="majorHAnsi" w:hAnsiTheme="majorHAnsi"/>
          <w:sz w:val="20"/>
          <w:szCs w:val="20"/>
          <w:lang w:val="es-ES"/>
        </w:rPr>
        <w:t>y determinó que el agente de policía interrogó al peticionario en el contexto de una detención lícita por sospecha razonable</w:t>
      </w:r>
      <w:r w:rsidR="00E31AAE" w:rsidRPr="007A3389">
        <w:rPr>
          <w:rFonts w:asciiTheme="majorHAnsi" w:hAnsiTheme="majorHAnsi"/>
          <w:sz w:val="20"/>
          <w:szCs w:val="20"/>
          <w:lang w:val="es-ES"/>
        </w:rPr>
        <w:t xml:space="preserve">, </w:t>
      </w:r>
      <w:r w:rsidR="00E27DC6">
        <w:rPr>
          <w:rFonts w:asciiTheme="majorHAnsi" w:hAnsiTheme="majorHAnsi"/>
          <w:sz w:val="20"/>
          <w:szCs w:val="20"/>
          <w:lang w:val="es-ES"/>
        </w:rPr>
        <w:t xml:space="preserve">que los </w:t>
      </w:r>
      <w:r w:rsidR="00E31AAE" w:rsidRPr="007A3389">
        <w:rPr>
          <w:rFonts w:asciiTheme="majorHAnsi" w:hAnsiTheme="majorHAnsi"/>
          <w:sz w:val="20"/>
          <w:szCs w:val="20"/>
          <w:lang w:val="es-ES"/>
        </w:rPr>
        <w:t xml:space="preserve">detectives </w:t>
      </w:r>
      <w:r w:rsidR="00E27DC6">
        <w:rPr>
          <w:rFonts w:asciiTheme="majorHAnsi" w:hAnsiTheme="majorHAnsi"/>
          <w:sz w:val="20"/>
          <w:szCs w:val="20"/>
          <w:lang w:val="es-ES"/>
        </w:rPr>
        <w:t>no amenazaron a la novia del peticionario ni a su hijo para obligarlo a que confesara, que la confesión del peticionario fue voluntaria</w:t>
      </w:r>
      <w:r w:rsidR="00E31AAE" w:rsidRPr="007A3389">
        <w:rPr>
          <w:rFonts w:asciiTheme="majorHAnsi" w:hAnsiTheme="majorHAnsi"/>
          <w:sz w:val="20"/>
          <w:szCs w:val="20"/>
          <w:lang w:val="es-ES"/>
        </w:rPr>
        <w:t xml:space="preserve">, </w:t>
      </w:r>
      <w:r w:rsidR="00E27DC6">
        <w:rPr>
          <w:rFonts w:asciiTheme="majorHAnsi" w:hAnsiTheme="majorHAnsi"/>
          <w:sz w:val="20"/>
          <w:szCs w:val="20"/>
          <w:lang w:val="es-ES"/>
        </w:rPr>
        <w:t xml:space="preserve">que la exclusión de la declaración del psicólogo sobre la </w:t>
      </w:r>
      <w:r>
        <w:rPr>
          <w:rFonts w:asciiTheme="majorHAnsi" w:hAnsiTheme="majorHAnsi"/>
          <w:sz w:val="20"/>
          <w:szCs w:val="20"/>
          <w:lang w:val="es-ES"/>
        </w:rPr>
        <w:t>credibilidad</w:t>
      </w:r>
      <w:r w:rsidR="00E31AAE" w:rsidRPr="007A3389">
        <w:rPr>
          <w:rFonts w:asciiTheme="majorHAnsi" w:hAnsiTheme="majorHAnsi"/>
          <w:sz w:val="20"/>
          <w:szCs w:val="20"/>
          <w:lang w:val="es-ES"/>
        </w:rPr>
        <w:t xml:space="preserve"> </w:t>
      </w:r>
      <w:r w:rsidR="00E27DC6">
        <w:rPr>
          <w:rFonts w:asciiTheme="majorHAnsi" w:hAnsiTheme="majorHAnsi"/>
          <w:sz w:val="20"/>
          <w:szCs w:val="20"/>
          <w:lang w:val="es-ES"/>
        </w:rPr>
        <w:t xml:space="preserve">de la confesión del peticionario en la etapa de culpabilidad o inocencia no violó el derecho del peticionario a presentar pruebas pertinentes, que </w:t>
      </w:r>
      <w:r w:rsidR="007B092C">
        <w:rPr>
          <w:rFonts w:asciiTheme="majorHAnsi" w:hAnsiTheme="majorHAnsi"/>
          <w:sz w:val="20"/>
          <w:szCs w:val="20"/>
          <w:lang w:val="es-ES"/>
        </w:rPr>
        <w:t xml:space="preserve">el hecho de que el abogado no hubiera presentado </w:t>
      </w:r>
      <w:r w:rsidR="00C120CA">
        <w:rPr>
          <w:rFonts w:asciiTheme="majorHAnsi" w:hAnsiTheme="majorHAnsi"/>
          <w:sz w:val="20"/>
          <w:szCs w:val="20"/>
          <w:lang w:val="es-ES"/>
        </w:rPr>
        <w:t xml:space="preserve">declaraciones testimoniales </w:t>
      </w:r>
      <w:r w:rsidR="00C120CA" w:rsidRPr="00C120CA">
        <w:rPr>
          <w:rFonts w:asciiTheme="majorHAnsi" w:hAnsiTheme="majorHAnsi"/>
          <w:sz w:val="20"/>
          <w:szCs w:val="20"/>
          <w:lang w:val="es-ES"/>
        </w:rPr>
        <w:t>de familiares del peticionario</w:t>
      </w:r>
      <w:r w:rsidR="00C120CA">
        <w:rPr>
          <w:rFonts w:asciiTheme="majorHAnsi" w:hAnsiTheme="majorHAnsi"/>
          <w:sz w:val="20"/>
          <w:szCs w:val="20"/>
          <w:lang w:val="es-ES"/>
        </w:rPr>
        <w:t xml:space="preserve"> y d</w:t>
      </w:r>
      <w:r w:rsidR="007B092C">
        <w:rPr>
          <w:rFonts w:asciiTheme="majorHAnsi" w:hAnsiTheme="majorHAnsi"/>
          <w:sz w:val="20"/>
          <w:szCs w:val="20"/>
          <w:lang w:val="es-ES"/>
        </w:rPr>
        <w:t xml:space="preserve">e un perito en asuntos culturales en la etapa de presentación de atenuantes no equivale a una denegación de patrocinio letrado eficaz al peticionario y que no se lo juzgó selectivamente por un delito punible con la pena de muerte por razones odiosas de </w:t>
      </w:r>
      <w:r w:rsidR="00EE0CB0" w:rsidRPr="007A3389">
        <w:rPr>
          <w:rFonts w:asciiTheme="majorHAnsi" w:hAnsiTheme="majorHAnsi"/>
          <w:sz w:val="20"/>
          <w:szCs w:val="20"/>
          <w:lang w:val="es-ES"/>
        </w:rPr>
        <w:t>discriminación racial</w:t>
      </w:r>
      <w:r w:rsidR="00E31AAE" w:rsidRPr="007A3389">
        <w:rPr>
          <w:rFonts w:asciiTheme="majorHAnsi" w:hAnsiTheme="majorHAnsi"/>
          <w:sz w:val="20"/>
          <w:szCs w:val="20"/>
          <w:lang w:val="es-ES"/>
        </w:rPr>
        <w:t xml:space="preserve">. </w:t>
      </w:r>
    </w:p>
    <w:p w14:paraId="56F2D753" w14:textId="77777777" w:rsidR="00416AD8" w:rsidRPr="007A3389" w:rsidRDefault="00416AD8" w:rsidP="00553A04">
      <w:pPr>
        <w:rPr>
          <w:rFonts w:asciiTheme="majorHAnsi" w:hAnsiTheme="majorHAnsi"/>
          <w:sz w:val="20"/>
          <w:szCs w:val="20"/>
          <w:lang w:val="es-ES"/>
        </w:rPr>
      </w:pPr>
    </w:p>
    <w:p w14:paraId="3D3B70AE" w14:textId="77777777" w:rsidR="0065723A" w:rsidRPr="007A3389" w:rsidRDefault="00197B58" w:rsidP="004A56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E</w:t>
      </w:r>
      <w:r w:rsidR="00D87346" w:rsidRPr="007A3389">
        <w:rPr>
          <w:rFonts w:asciiTheme="majorHAnsi" w:hAnsiTheme="majorHAnsi"/>
          <w:sz w:val="20"/>
          <w:szCs w:val="20"/>
          <w:lang w:val="es-ES"/>
        </w:rPr>
        <w:t>l señor</w:t>
      </w:r>
      <w:r w:rsidR="00416AD8" w:rsidRPr="007A3389">
        <w:rPr>
          <w:rFonts w:asciiTheme="majorHAnsi" w:hAnsiTheme="majorHAnsi"/>
          <w:sz w:val="20"/>
          <w:szCs w:val="20"/>
          <w:lang w:val="es-ES"/>
        </w:rPr>
        <w:t xml:space="preserve"> Loza</w:t>
      </w:r>
      <w:r>
        <w:rPr>
          <w:rFonts w:asciiTheme="majorHAnsi" w:hAnsiTheme="majorHAnsi"/>
          <w:sz w:val="20"/>
          <w:szCs w:val="20"/>
          <w:lang w:val="es-ES"/>
        </w:rPr>
        <w:t xml:space="preserve"> argumentó que </w:t>
      </w:r>
      <w:r w:rsidR="00C4237F">
        <w:rPr>
          <w:rFonts w:asciiTheme="majorHAnsi" w:hAnsiTheme="majorHAnsi"/>
          <w:sz w:val="20"/>
          <w:szCs w:val="20"/>
          <w:lang w:val="es-ES"/>
        </w:rPr>
        <w:t>la Corte Suprema de Ohio</w:t>
      </w:r>
      <w:r w:rsidR="00416AD8" w:rsidRPr="007A3389">
        <w:rPr>
          <w:rFonts w:asciiTheme="majorHAnsi" w:hAnsiTheme="majorHAnsi"/>
          <w:sz w:val="20"/>
          <w:szCs w:val="20"/>
          <w:lang w:val="es-ES"/>
        </w:rPr>
        <w:t xml:space="preserve"> </w:t>
      </w:r>
      <w:r>
        <w:rPr>
          <w:rFonts w:asciiTheme="majorHAnsi" w:hAnsiTheme="majorHAnsi"/>
          <w:sz w:val="20"/>
          <w:szCs w:val="20"/>
          <w:lang w:val="es-ES"/>
        </w:rPr>
        <w:t xml:space="preserve">aplicó de manera irrazonable leyes </w:t>
      </w:r>
      <w:r w:rsidR="00416AD8" w:rsidRPr="007A3389">
        <w:rPr>
          <w:rFonts w:asciiTheme="majorHAnsi" w:hAnsiTheme="majorHAnsi"/>
          <w:sz w:val="20"/>
          <w:szCs w:val="20"/>
          <w:lang w:val="es-ES"/>
        </w:rPr>
        <w:t>federal</w:t>
      </w:r>
      <w:r>
        <w:rPr>
          <w:rFonts w:asciiTheme="majorHAnsi" w:hAnsiTheme="majorHAnsi"/>
          <w:sz w:val="20"/>
          <w:szCs w:val="20"/>
          <w:lang w:val="es-ES"/>
        </w:rPr>
        <w:t>es claras cuando sostuvo que el</w:t>
      </w:r>
      <w:r w:rsidR="00416AD8" w:rsidRPr="007A3389">
        <w:rPr>
          <w:rFonts w:asciiTheme="majorHAnsi" w:hAnsiTheme="majorHAnsi"/>
          <w:sz w:val="20"/>
          <w:szCs w:val="20"/>
          <w:lang w:val="es-ES"/>
        </w:rPr>
        <w:t xml:space="preserve"> </w:t>
      </w:r>
      <w:r w:rsidR="00175318">
        <w:rPr>
          <w:rFonts w:asciiTheme="majorHAnsi" w:hAnsiTheme="majorHAnsi"/>
          <w:sz w:val="20"/>
          <w:szCs w:val="20"/>
          <w:lang w:val="es-ES"/>
        </w:rPr>
        <w:t>tribunal de primera instancia</w:t>
      </w:r>
      <w:r w:rsidR="00416AD8" w:rsidRPr="007A3389">
        <w:rPr>
          <w:rFonts w:asciiTheme="majorHAnsi" w:hAnsiTheme="majorHAnsi"/>
          <w:sz w:val="20"/>
          <w:szCs w:val="20"/>
          <w:lang w:val="es-ES"/>
        </w:rPr>
        <w:t xml:space="preserve"> </w:t>
      </w:r>
      <w:r>
        <w:rPr>
          <w:rFonts w:asciiTheme="majorHAnsi" w:hAnsiTheme="majorHAnsi"/>
          <w:sz w:val="20"/>
          <w:szCs w:val="20"/>
          <w:lang w:val="es-ES"/>
        </w:rPr>
        <w:t xml:space="preserve">se había negado correctamente a suprimir declaraciones hechas por </w:t>
      </w:r>
      <w:r w:rsidR="00D87346" w:rsidRPr="007A3389">
        <w:rPr>
          <w:rFonts w:asciiTheme="majorHAnsi" w:hAnsiTheme="majorHAnsi"/>
          <w:sz w:val="20"/>
          <w:szCs w:val="20"/>
          <w:lang w:val="es-ES"/>
        </w:rPr>
        <w:t>el señor</w:t>
      </w:r>
      <w:r w:rsidR="00416AD8" w:rsidRPr="007A3389">
        <w:rPr>
          <w:rFonts w:asciiTheme="majorHAnsi" w:hAnsiTheme="majorHAnsi"/>
          <w:sz w:val="20"/>
          <w:szCs w:val="20"/>
          <w:lang w:val="es-ES"/>
        </w:rPr>
        <w:t xml:space="preserve"> Loza </w:t>
      </w:r>
      <w:r>
        <w:rPr>
          <w:rFonts w:asciiTheme="majorHAnsi" w:hAnsiTheme="majorHAnsi"/>
          <w:sz w:val="20"/>
          <w:szCs w:val="20"/>
          <w:lang w:val="es-ES"/>
        </w:rPr>
        <w:t>a</w:t>
      </w:r>
      <w:r w:rsidR="00D87346" w:rsidRPr="007A3389">
        <w:rPr>
          <w:rFonts w:asciiTheme="majorHAnsi" w:hAnsiTheme="majorHAnsi"/>
          <w:sz w:val="20"/>
          <w:szCs w:val="20"/>
          <w:lang w:val="es-ES"/>
        </w:rPr>
        <w:t>l señor</w:t>
      </w:r>
      <w:r w:rsidR="00416AD8" w:rsidRPr="007A3389">
        <w:rPr>
          <w:rFonts w:asciiTheme="majorHAnsi" w:hAnsiTheme="majorHAnsi"/>
          <w:sz w:val="20"/>
          <w:szCs w:val="20"/>
          <w:lang w:val="es-ES"/>
        </w:rPr>
        <w:t xml:space="preserve"> </w:t>
      </w:r>
      <w:proofErr w:type="spellStart"/>
      <w:r w:rsidR="00416AD8" w:rsidRPr="007A3389">
        <w:rPr>
          <w:rFonts w:asciiTheme="majorHAnsi" w:hAnsiTheme="majorHAnsi"/>
          <w:sz w:val="20"/>
          <w:szCs w:val="20"/>
          <w:lang w:val="es-ES"/>
        </w:rPr>
        <w:t>Knable</w:t>
      </w:r>
      <w:proofErr w:type="spellEnd"/>
      <w:r w:rsidR="00416AD8" w:rsidRPr="007A3389">
        <w:rPr>
          <w:rFonts w:asciiTheme="majorHAnsi" w:hAnsiTheme="majorHAnsi"/>
          <w:sz w:val="20"/>
          <w:szCs w:val="20"/>
          <w:lang w:val="es-ES"/>
        </w:rPr>
        <w:t xml:space="preserve"> </w:t>
      </w:r>
      <w:r>
        <w:rPr>
          <w:rFonts w:asciiTheme="majorHAnsi" w:hAnsiTheme="majorHAnsi"/>
          <w:sz w:val="20"/>
          <w:szCs w:val="20"/>
          <w:lang w:val="es-ES"/>
        </w:rPr>
        <w:t xml:space="preserve">poco después del encuentro junto al contenedor de basura el día de su arresto en lo que se refiere a los nombres falsos que dio de sí mismo y de </w:t>
      </w:r>
      <w:proofErr w:type="spellStart"/>
      <w:r w:rsidR="00A23E45" w:rsidRPr="007A3389">
        <w:rPr>
          <w:rFonts w:asciiTheme="majorHAnsi" w:hAnsiTheme="majorHAnsi"/>
          <w:sz w:val="20"/>
          <w:szCs w:val="20"/>
          <w:lang w:val="es-ES"/>
        </w:rPr>
        <w:t>Dorothy</w:t>
      </w:r>
      <w:proofErr w:type="spellEnd"/>
      <w:r w:rsidR="00A23E45" w:rsidRPr="007A3389">
        <w:rPr>
          <w:rFonts w:asciiTheme="majorHAnsi" w:hAnsiTheme="majorHAnsi"/>
          <w:sz w:val="20"/>
          <w:szCs w:val="20"/>
          <w:lang w:val="es-ES"/>
        </w:rPr>
        <w:t xml:space="preserve"> Jackson. </w:t>
      </w:r>
      <w:r>
        <w:rPr>
          <w:rFonts w:asciiTheme="majorHAnsi" w:hAnsiTheme="majorHAnsi"/>
          <w:sz w:val="20"/>
          <w:szCs w:val="20"/>
          <w:lang w:val="es-ES"/>
        </w:rPr>
        <w:t>E</w:t>
      </w:r>
      <w:r w:rsidR="00D87346" w:rsidRPr="007A3389">
        <w:rPr>
          <w:rFonts w:asciiTheme="majorHAnsi" w:hAnsiTheme="majorHAnsi"/>
          <w:sz w:val="20"/>
          <w:szCs w:val="20"/>
          <w:lang w:val="es-ES"/>
        </w:rPr>
        <w:t>l señor</w:t>
      </w:r>
      <w:r w:rsidR="00D81F73" w:rsidRPr="007A3389">
        <w:rPr>
          <w:rFonts w:asciiTheme="majorHAnsi" w:hAnsiTheme="majorHAnsi"/>
          <w:sz w:val="20"/>
          <w:szCs w:val="20"/>
          <w:lang w:val="es-ES"/>
        </w:rPr>
        <w:t xml:space="preserve"> Loza a</w:t>
      </w:r>
      <w:r w:rsidR="00C120CA">
        <w:rPr>
          <w:rFonts w:asciiTheme="majorHAnsi" w:hAnsiTheme="majorHAnsi"/>
          <w:sz w:val="20"/>
          <w:szCs w:val="20"/>
          <w:lang w:val="es-ES"/>
        </w:rPr>
        <w:t xml:space="preserve">gregó </w:t>
      </w:r>
      <w:r>
        <w:rPr>
          <w:rFonts w:asciiTheme="majorHAnsi" w:hAnsiTheme="majorHAnsi"/>
          <w:sz w:val="20"/>
          <w:szCs w:val="20"/>
          <w:lang w:val="es-ES"/>
        </w:rPr>
        <w:t xml:space="preserve">que </w:t>
      </w:r>
      <w:r w:rsidR="003E6671">
        <w:rPr>
          <w:rFonts w:asciiTheme="majorHAnsi" w:hAnsiTheme="majorHAnsi"/>
          <w:sz w:val="20"/>
          <w:szCs w:val="20"/>
          <w:lang w:val="es-ES"/>
        </w:rPr>
        <w:t xml:space="preserve">las incautaciones efectuadas por </w:t>
      </w:r>
      <w:proofErr w:type="spellStart"/>
      <w:r w:rsidR="00D81F73" w:rsidRPr="007A3389">
        <w:rPr>
          <w:rFonts w:asciiTheme="majorHAnsi" w:hAnsiTheme="majorHAnsi"/>
          <w:sz w:val="20"/>
          <w:szCs w:val="20"/>
          <w:lang w:val="es-ES"/>
        </w:rPr>
        <w:t>Knable</w:t>
      </w:r>
      <w:proofErr w:type="spellEnd"/>
      <w:r w:rsidR="003E6671">
        <w:rPr>
          <w:rFonts w:asciiTheme="majorHAnsi" w:hAnsiTheme="majorHAnsi"/>
          <w:sz w:val="20"/>
          <w:szCs w:val="20"/>
          <w:lang w:val="es-ES"/>
        </w:rPr>
        <w:t xml:space="preserve"> fueron violatorias de la Cuarta Enmienda y que </w:t>
      </w:r>
      <w:proofErr w:type="spellStart"/>
      <w:r w:rsidR="00D81F73" w:rsidRPr="007A3389">
        <w:rPr>
          <w:rFonts w:asciiTheme="majorHAnsi" w:hAnsiTheme="majorHAnsi"/>
          <w:sz w:val="20"/>
          <w:szCs w:val="20"/>
          <w:lang w:val="es-ES"/>
        </w:rPr>
        <w:t>Knable</w:t>
      </w:r>
      <w:proofErr w:type="spellEnd"/>
      <w:r w:rsidR="00D81F73" w:rsidRPr="007A3389">
        <w:rPr>
          <w:rFonts w:asciiTheme="majorHAnsi" w:hAnsiTheme="majorHAnsi"/>
          <w:sz w:val="20"/>
          <w:szCs w:val="20"/>
          <w:lang w:val="es-ES"/>
        </w:rPr>
        <w:t xml:space="preserve"> </w:t>
      </w:r>
      <w:r>
        <w:rPr>
          <w:rFonts w:asciiTheme="majorHAnsi" w:hAnsiTheme="majorHAnsi"/>
          <w:sz w:val="20"/>
          <w:szCs w:val="20"/>
          <w:lang w:val="es-ES"/>
        </w:rPr>
        <w:t>no le notificó sus derechos</w:t>
      </w:r>
      <w:r w:rsidR="00D81F73" w:rsidRPr="007A3389">
        <w:rPr>
          <w:rFonts w:asciiTheme="majorHAnsi" w:hAnsiTheme="majorHAnsi"/>
          <w:sz w:val="20"/>
          <w:szCs w:val="20"/>
          <w:lang w:val="es-ES"/>
        </w:rPr>
        <w:t xml:space="preserve"> </w:t>
      </w:r>
      <w:r>
        <w:rPr>
          <w:rFonts w:asciiTheme="majorHAnsi" w:hAnsiTheme="majorHAnsi"/>
          <w:sz w:val="20"/>
          <w:szCs w:val="20"/>
          <w:lang w:val="es-ES"/>
        </w:rPr>
        <w:t xml:space="preserve">según el fallo </w:t>
      </w:r>
      <w:r w:rsidR="00D81F73" w:rsidRPr="007A3389">
        <w:rPr>
          <w:rFonts w:asciiTheme="majorHAnsi" w:hAnsiTheme="majorHAnsi"/>
          <w:sz w:val="20"/>
          <w:szCs w:val="20"/>
          <w:lang w:val="es-ES"/>
        </w:rPr>
        <w:t xml:space="preserve">Miranda </w:t>
      </w:r>
      <w:r>
        <w:rPr>
          <w:rFonts w:asciiTheme="majorHAnsi" w:hAnsiTheme="majorHAnsi"/>
          <w:sz w:val="20"/>
          <w:szCs w:val="20"/>
          <w:lang w:val="es-ES"/>
        </w:rPr>
        <w:t xml:space="preserve">antes de interrogarlo, en violación del privilegio de no </w:t>
      </w:r>
      <w:proofErr w:type="spellStart"/>
      <w:r>
        <w:rPr>
          <w:rFonts w:asciiTheme="majorHAnsi" w:hAnsiTheme="majorHAnsi"/>
          <w:sz w:val="20"/>
          <w:szCs w:val="20"/>
          <w:lang w:val="es-ES"/>
        </w:rPr>
        <w:t>autoincriminarse</w:t>
      </w:r>
      <w:proofErr w:type="spellEnd"/>
      <w:r>
        <w:rPr>
          <w:rFonts w:asciiTheme="majorHAnsi" w:hAnsiTheme="majorHAnsi"/>
          <w:sz w:val="20"/>
          <w:szCs w:val="20"/>
          <w:lang w:val="es-ES"/>
        </w:rPr>
        <w:t xml:space="preserve"> amparado en la Quinta Enmienda</w:t>
      </w:r>
      <w:r w:rsidR="00D81F73" w:rsidRPr="007A3389">
        <w:rPr>
          <w:rFonts w:asciiTheme="majorHAnsi" w:hAnsiTheme="majorHAnsi"/>
          <w:sz w:val="20"/>
          <w:szCs w:val="20"/>
          <w:lang w:val="es-ES"/>
        </w:rPr>
        <w:t xml:space="preserve">. </w:t>
      </w:r>
      <w:r w:rsidR="00775DE4">
        <w:rPr>
          <w:rFonts w:asciiTheme="majorHAnsi" w:hAnsiTheme="majorHAnsi"/>
          <w:sz w:val="20"/>
          <w:szCs w:val="20"/>
          <w:lang w:val="es-ES"/>
        </w:rPr>
        <w:t>El Tribunal Federal de Apelaciones</w:t>
      </w:r>
      <w:r w:rsidR="00015472" w:rsidRPr="007A3389">
        <w:rPr>
          <w:rFonts w:asciiTheme="majorHAnsi" w:hAnsiTheme="majorHAnsi"/>
          <w:sz w:val="20"/>
          <w:szCs w:val="20"/>
          <w:lang w:val="es-ES"/>
        </w:rPr>
        <w:t xml:space="preserve"> </w:t>
      </w:r>
      <w:r w:rsidR="00E3405C">
        <w:rPr>
          <w:rFonts w:asciiTheme="majorHAnsi" w:hAnsiTheme="majorHAnsi"/>
          <w:sz w:val="20"/>
          <w:szCs w:val="20"/>
          <w:lang w:val="es-ES"/>
        </w:rPr>
        <w:t xml:space="preserve">entendió que la determinación de la </w:t>
      </w:r>
      <w:r w:rsidR="00C4237F">
        <w:rPr>
          <w:rFonts w:asciiTheme="majorHAnsi" w:hAnsiTheme="majorHAnsi"/>
          <w:sz w:val="20"/>
          <w:szCs w:val="20"/>
          <w:lang w:val="es-ES"/>
        </w:rPr>
        <w:t>Corte Suprema de Ohio</w:t>
      </w:r>
      <w:r w:rsidR="00E3405C">
        <w:rPr>
          <w:rFonts w:asciiTheme="majorHAnsi" w:hAnsiTheme="majorHAnsi"/>
          <w:sz w:val="20"/>
          <w:szCs w:val="20"/>
          <w:lang w:val="es-ES"/>
        </w:rPr>
        <w:t xml:space="preserve"> no había sido irrazonable. Indicó que </w:t>
      </w:r>
      <w:r w:rsidR="00D87346" w:rsidRPr="007A3389">
        <w:rPr>
          <w:rFonts w:asciiTheme="majorHAnsi" w:hAnsiTheme="majorHAnsi"/>
          <w:sz w:val="20"/>
          <w:szCs w:val="20"/>
          <w:lang w:val="es-ES"/>
        </w:rPr>
        <w:t>el señor</w:t>
      </w:r>
      <w:r w:rsidR="00015472" w:rsidRPr="007A3389">
        <w:rPr>
          <w:rFonts w:asciiTheme="majorHAnsi" w:hAnsiTheme="majorHAnsi"/>
          <w:sz w:val="20"/>
          <w:szCs w:val="20"/>
          <w:lang w:val="es-ES"/>
        </w:rPr>
        <w:t xml:space="preserve"> </w:t>
      </w:r>
      <w:proofErr w:type="spellStart"/>
      <w:r w:rsidR="00015472" w:rsidRPr="007A3389">
        <w:rPr>
          <w:rFonts w:asciiTheme="majorHAnsi" w:hAnsiTheme="majorHAnsi"/>
          <w:sz w:val="20"/>
          <w:szCs w:val="20"/>
          <w:lang w:val="es-ES"/>
        </w:rPr>
        <w:t>Knable</w:t>
      </w:r>
      <w:proofErr w:type="spellEnd"/>
      <w:r w:rsidR="00015472" w:rsidRPr="007A3389">
        <w:rPr>
          <w:rFonts w:asciiTheme="majorHAnsi" w:hAnsiTheme="majorHAnsi"/>
          <w:sz w:val="20"/>
          <w:szCs w:val="20"/>
          <w:lang w:val="es-ES"/>
        </w:rPr>
        <w:t xml:space="preserve"> </w:t>
      </w:r>
      <w:r w:rsidR="00E3405C">
        <w:rPr>
          <w:rFonts w:asciiTheme="majorHAnsi" w:hAnsiTheme="majorHAnsi"/>
          <w:sz w:val="20"/>
          <w:szCs w:val="20"/>
          <w:lang w:val="es-ES"/>
        </w:rPr>
        <w:t xml:space="preserve">tenía una sospecha razonable y clara de que se estaban tramando actos delictivos y tenía motivos para sospechar que </w:t>
      </w:r>
      <w:r w:rsidR="00015472" w:rsidRPr="007A3389">
        <w:rPr>
          <w:rFonts w:asciiTheme="majorHAnsi" w:hAnsiTheme="majorHAnsi"/>
          <w:sz w:val="20"/>
          <w:szCs w:val="20"/>
          <w:lang w:val="es-ES"/>
        </w:rPr>
        <w:t xml:space="preserve">Loza </w:t>
      </w:r>
      <w:r w:rsidR="000F53F9">
        <w:rPr>
          <w:rFonts w:asciiTheme="majorHAnsi" w:hAnsiTheme="majorHAnsi"/>
          <w:sz w:val="20"/>
          <w:szCs w:val="20"/>
          <w:lang w:val="es-ES"/>
        </w:rPr>
        <w:t xml:space="preserve">estuviera </w:t>
      </w:r>
      <w:r w:rsidR="00E3405C">
        <w:rPr>
          <w:rFonts w:asciiTheme="majorHAnsi" w:hAnsiTheme="majorHAnsi"/>
          <w:sz w:val="20"/>
          <w:szCs w:val="20"/>
          <w:lang w:val="es-ES"/>
        </w:rPr>
        <w:t>involucrado</w:t>
      </w:r>
      <w:r w:rsidR="00015472" w:rsidRPr="007A3389">
        <w:rPr>
          <w:rFonts w:asciiTheme="majorHAnsi" w:hAnsiTheme="majorHAnsi"/>
          <w:sz w:val="20"/>
          <w:szCs w:val="20"/>
          <w:lang w:val="es-ES"/>
        </w:rPr>
        <w:t xml:space="preserve">; </w:t>
      </w:r>
      <w:r w:rsidR="003E6671">
        <w:rPr>
          <w:rFonts w:asciiTheme="majorHAnsi" w:hAnsiTheme="majorHAnsi"/>
          <w:sz w:val="20"/>
          <w:szCs w:val="20"/>
          <w:lang w:val="es-ES"/>
        </w:rPr>
        <w:t xml:space="preserve">por lo tanto, no era irrazonable que </w:t>
      </w:r>
      <w:r w:rsidR="00775DE4">
        <w:rPr>
          <w:rFonts w:asciiTheme="majorHAnsi" w:hAnsiTheme="majorHAnsi"/>
          <w:sz w:val="20"/>
          <w:szCs w:val="20"/>
          <w:lang w:val="es-ES"/>
        </w:rPr>
        <w:t>el tribunal</w:t>
      </w:r>
      <w:r w:rsidR="00015472" w:rsidRPr="007A3389">
        <w:rPr>
          <w:rFonts w:asciiTheme="majorHAnsi" w:hAnsiTheme="majorHAnsi"/>
          <w:sz w:val="20"/>
          <w:szCs w:val="20"/>
          <w:lang w:val="es-ES"/>
        </w:rPr>
        <w:t xml:space="preserve"> </w:t>
      </w:r>
      <w:r w:rsidR="003E6671">
        <w:rPr>
          <w:rFonts w:asciiTheme="majorHAnsi" w:hAnsiTheme="majorHAnsi"/>
          <w:sz w:val="20"/>
          <w:szCs w:val="20"/>
          <w:lang w:val="es-ES"/>
        </w:rPr>
        <w:t xml:space="preserve">concluyera que </w:t>
      </w:r>
      <w:proofErr w:type="spellStart"/>
      <w:r w:rsidR="00015472" w:rsidRPr="007A3389">
        <w:rPr>
          <w:rFonts w:asciiTheme="majorHAnsi" w:hAnsiTheme="majorHAnsi"/>
          <w:sz w:val="20"/>
          <w:szCs w:val="20"/>
          <w:lang w:val="es-ES"/>
        </w:rPr>
        <w:t>Knable</w:t>
      </w:r>
      <w:proofErr w:type="spellEnd"/>
      <w:r w:rsidR="00015472" w:rsidRPr="007A3389">
        <w:rPr>
          <w:rFonts w:asciiTheme="majorHAnsi" w:hAnsiTheme="majorHAnsi"/>
          <w:sz w:val="20"/>
          <w:szCs w:val="20"/>
          <w:lang w:val="es-ES"/>
        </w:rPr>
        <w:t xml:space="preserve"> </w:t>
      </w:r>
      <w:r w:rsidR="003E6671">
        <w:rPr>
          <w:rFonts w:asciiTheme="majorHAnsi" w:hAnsiTheme="majorHAnsi"/>
          <w:sz w:val="20"/>
          <w:szCs w:val="20"/>
          <w:lang w:val="es-ES"/>
        </w:rPr>
        <w:t>actuó de manera permisible cuando se acercó a</w:t>
      </w:r>
      <w:r w:rsidR="00D87346" w:rsidRPr="007A3389">
        <w:rPr>
          <w:rFonts w:asciiTheme="majorHAnsi" w:hAnsiTheme="majorHAnsi"/>
          <w:sz w:val="20"/>
          <w:szCs w:val="20"/>
          <w:lang w:val="es-ES"/>
        </w:rPr>
        <w:t>l señor</w:t>
      </w:r>
      <w:r w:rsidR="00015472" w:rsidRPr="007A3389">
        <w:rPr>
          <w:rFonts w:asciiTheme="majorHAnsi" w:hAnsiTheme="majorHAnsi"/>
          <w:sz w:val="20"/>
          <w:szCs w:val="20"/>
          <w:lang w:val="es-ES"/>
        </w:rPr>
        <w:t xml:space="preserve"> Loza, </w:t>
      </w:r>
      <w:r w:rsidR="003E6671">
        <w:rPr>
          <w:rFonts w:asciiTheme="majorHAnsi" w:hAnsiTheme="majorHAnsi"/>
          <w:sz w:val="20"/>
          <w:szCs w:val="20"/>
          <w:lang w:val="es-ES"/>
        </w:rPr>
        <w:t>lo palpó de armas y le preguntó su nombre y el de su acompañante. E</w:t>
      </w:r>
      <w:r w:rsidR="00D87346" w:rsidRPr="007A3389">
        <w:rPr>
          <w:rFonts w:asciiTheme="majorHAnsi" w:hAnsiTheme="majorHAnsi"/>
          <w:sz w:val="20"/>
          <w:szCs w:val="20"/>
          <w:lang w:val="es-ES"/>
        </w:rPr>
        <w:t>l señor</w:t>
      </w:r>
      <w:r w:rsidR="00015472" w:rsidRPr="007A3389">
        <w:rPr>
          <w:rFonts w:asciiTheme="majorHAnsi" w:hAnsiTheme="majorHAnsi"/>
          <w:sz w:val="20"/>
          <w:szCs w:val="20"/>
          <w:lang w:val="es-ES"/>
        </w:rPr>
        <w:t xml:space="preserve"> Loza a</w:t>
      </w:r>
      <w:r w:rsidR="00970CD0">
        <w:rPr>
          <w:rFonts w:asciiTheme="majorHAnsi" w:hAnsiTheme="majorHAnsi"/>
          <w:sz w:val="20"/>
          <w:szCs w:val="20"/>
          <w:lang w:val="es-ES"/>
        </w:rPr>
        <w:t xml:space="preserve">dujo </w:t>
      </w:r>
      <w:r w:rsidR="003E6671">
        <w:rPr>
          <w:rFonts w:asciiTheme="majorHAnsi" w:hAnsiTheme="majorHAnsi"/>
          <w:sz w:val="20"/>
          <w:szCs w:val="20"/>
          <w:lang w:val="es-ES"/>
        </w:rPr>
        <w:t xml:space="preserve">que el encuentro fue más coercitivo que una típica detención por sospecha razonable y dijo que </w:t>
      </w:r>
      <w:proofErr w:type="spellStart"/>
      <w:r w:rsidR="00015472" w:rsidRPr="007A3389">
        <w:rPr>
          <w:rFonts w:asciiTheme="majorHAnsi" w:hAnsiTheme="majorHAnsi"/>
          <w:sz w:val="20"/>
          <w:szCs w:val="20"/>
          <w:lang w:val="es-ES"/>
        </w:rPr>
        <w:t>Knable</w:t>
      </w:r>
      <w:proofErr w:type="spellEnd"/>
      <w:r w:rsidR="00015472" w:rsidRPr="007A3389">
        <w:rPr>
          <w:rFonts w:asciiTheme="majorHAnsi" w:hAnsiTheme="majorHAnsi"/>
          <w:sz w:val="20"/>
          <w:szCs w:val="20"/>
          <w:lang w:val="es-ES"/>
        </w:rPr>
        <w:t xml:space="preserve"> </w:t>
      </w:r>
      <w:r w:rsidR="003E6671">
        <w:rPr>
          <w:rFonts w:asciiTheme="majorHAnsi" w:hAnsiTheme="majorHAnsi"/>
          <w:sz w:val="20"/>
          <w:szCs w:val="20"/>
          <w:lang w:val="es-ES"/>
        </w:rPr>
        <w:t xml:space="preserve">se </w:t>
      </w:r>
      <w:r w:rsidR="00C120CA">
        <w:rPr>
          <w:rFonts w:asciiTheme="majorHAnsi" w:hAnsiTheme="majorHAnsi"/>
          <w:sz w:val="20"/>
          <w:szCs w:val="20"/>
          <w:lang w:val="es-ES"/>
        </w:rPr>
        <w:t xml:space="preserve">le </w:t>
      </w:r>
      <w:r w:rsidR="003E6671">
        <w:rPr>
          <w:rFonts w:asciiTheme="majorHAnsi" w:hAnsiTheme="majorHAnsi"/>
          <w:sz w:val="20"/>
          <w:szCs w:val="20"/>
          <w:lang w:val="es-ES"/>
        </w:rPr>
        <w:t xml:space="preserve">acercó arma en mano, lo esposó y lo colocó en el asiento trasero del patrullero. </w:t>
      </w:r>
      <w:r w:rsidR="00775DE4">
        <w:rPr>
          <w:rFonts w:asciiTheme="majorHAnsi" w:hAnsiTheme="majorHAnsi"/>
          <w:sz w:val="20"/>
          <w:szCs w:val="20"/>
          <w:lang w:val="es-ES"/>
        </w:rPr>
        <w:t>El Tribunal Federal de Apelaciones</w:t>
      </w:r>
      <w:r w:rsidR="00015472" w:rsidRPr="007A3389">
        <w:rPr>
          <w:rFonts w:asciiTheme="majorHAnsi" w:hAnsiTheme="majorHAnsi"/>
          <w:sz w:val="20"/>
          <w:szCs w:val="20"/>
          <w:lang w:val="es-ES"/>
        </w:rPr>
        <w:t xml:space="preserve"> </w:t>
      </w:r>
      <w:r w:rsidR="000745C0">
        <w:rPr>
          <w:rFonts w:asciiTheme="majorHAnsi" w:hAnsiTheme="majorHAnsi"/>
          <w:sz w:val="20"/>
          <w:szCs w:val="20"/>
          <w:lang w:val="es-ES"/>
        </w:rPr>
        <w:t xml:space="preserve">entendió </w:t>
      </w:r>
      <w:r w:rsidR="003E6671">
        <w:rPr>
          <w:rFonts w:asciiTheme="majorHAnsi" w:hAnsiTheme="majorHAnsi"/>
          <w:sz w:val="20"/>
          <w:szCs w:val="20"/>
          <w:lang w:val="es-ES"/>
        </w:rPr>
        <w:t xml:space="preserve">que, en la medida en que no había disposiciones claras con respecto a la </w:t>
      </w:r>
      <w:r w:rsidRPr="00197B58">
        <w:rPr>
          <w:rFonts w:asciiTheme="majorHAnsi" w:hAnsiTheme="majorHAnsi"/>
          <w:sz w:val="20"/>
          <w:szCs w:val="20"/>
          <w:lang w:val="es-ES"/>
        </w:rPr>
        <w:t>detención por sospecha razonable</w:t>
      </w:r>
      <w:r w:rsidR="00015472" w:rsidRPr="007A3389">
        <w:rPr>
          <w:rFonts w:asciiTheme="majorHAnsi" w:hAnsiTheme="majorHAnsi"/>
          <w:sz w:val="20"/>
          <w:szCs w:val="20"/>
          <w:lang w:val="es-ES"/>
        </w:rPr>
        <w:t xml:space="preserve"> </w:t>
      </w:r>
      <w:r w:rsidR="003E6671">
        <w:rPr>
          <w:rFonts w:asciiTheme="majorHAnsi" w:hAnsiTheme="majorHAnsi"/>
          <w:sz w:val="20"/>
          <w:szCs w:val="20"/>
          <w:lang w:val="es-ES"/>
        </w:rPr>
        <w:t xml:space="preserve">y al interrogatorio bajo custodia supeditado a la notificación de los derechos procesales según el fallo de Miranda, la decisión de </w:t>
      </w:r>
      <w:r w:rsidR="00C4237F">
        <w:rPr>
          <w:rFonts w:asciiTheme="majorHAnsi" w:hAnsiTheme="majorHAnsi"/>
          <w:sz w:val="20"/>
          <w:szCs w:val="20"/>
          <w:lang w:val="es-ES"/>
        </w:rPr>
        <w:t>la Corte Suprema de Ohio</w:t>
      </w:r>
      <w:r w:rsidR="003E6671">
        <w:rPr>
          <w:rFonts w:asciiTheme="majorHAnsi" w:hAnsiTheme="majorHAnsi"/>
          <w:sz w:val="20"/>
          <w:szCs w:val="20"/>
          <w:lang w:val="es-ES"/>
        </w:rPr>
        <w:t xml:space="preserve"> no era irrazonable</w:t>
      </w:r>
      <w:r w:rsidR="00015472" w:rsidRPr="007A3389">
        <w:rPr>
          <w:rFonts w:asciiTheme="majorHAnsi" w:hAnsiTheme="majorHAnsi"/>
          <w:sz w:val="20"/>
          <w:szCs w:val="20"/>
          <w:lang w:val="es-ES"/>
        </w:rPr>
        <w:t xml:space="preserve">. </w:t>
      </w:r>
    </w:p>
    <w:p w14:paraId="2C5EA1C6" w14:textId="77777777" w:rsidR="0065723A" w:rsidRPr="007A3389" w:rsidRDefault="0065723A" w:rsidP="0065723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4570E53F" w14:textId="77777777" w:rsidR="0065723A" w:rsidRPr="007A3389" w:rsidRDefault="000745C0" w:rsidP="004A56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E</w:t>
      </w:r>
      <w:r w:rsidR="00D87346" w:rsidRPr="007A3389">
        <w:rPr>
          <w:rFonts w:asciiTheme="majorHAnsi" w:hAnsiTheme="majorHAnsi"/>
          <w:sz w:val="20"/>
          <w:szCs w:val="20"/>
          <w:lang w:val="es-ES"/>
        </w:rPr>
        <w:t>l señor</w:t>
      </w:r>
      <w:r w:rsidR="0065723A" w:rsidRPr="007A3389">
        <w:rPr>
          <w:rFonts w:asciiTheme="majorHAnsi" w:hAnsiTheme="majorHAnsi"/>
          <w:sz w:val="20"/>
          <w:szCs w:val="20"/>
          <w:lang w:val="es-ES"/>
        </w:rPr>
        <w:t xml:space="preserve"> Loza a</w:t>
      </w:r>
      <w:r w:rsidR="000F51DA" w:rsidRPr="007A3389">
        <w:rPr>
          <w:rFonts w:asciiTheme="majorHAnsi" w:hAnsiTheme="majorHAnsi"/>
          <w:sz w:val="20"/>
          <w:szCs w:val="20"/>
          <w:lang w:val="es-ES"/>
        </w:rPr>
        <w:t>rgu</w:t>
      </w:r>
      <w:r>
        <w:rPr>
          <w:rFonts w:asciiTheme="majorHAnsi" w:hAnsiTheme="majorHAnsi"/>
          <w:sz w:val="20"/>
          <w:szCs w:val="20"/>
          <w:lang w:val="es-ES"/>
        </w:rPr>
        <w:t xml:space="preserve">mentó que la decisión de </w:t>
      </w:r>
      <w:r w:rsidR="00C4237F">
        <w:rPr>
          <w:rFonts w:asciiTheme="majorHAnsi" w:hAnsiTheme="majorHAnsi"/>
          <w:sz w:val="20"/>
          <w:szCs w:val="20"/>
          <w:lang w:val="es-ES"/>
        </w:rPr>
        <w:t>la Corte Suprema de Ohio</w:t>
      </w:r>
      <w:r>
        <w:rPr>
          <w:rFonts w:asciiTheme="majorHAnsi" w:hAnsiTheme="majorHAnsi"/>
          <w:sz w:val="20"/>
          <w:szCs w:val="20"/>
          <w:lang w:val="es-ES"/>
        </w:rPr>
        <w:t xml:space="preserve"> de confirmar el carácter voluntario y la </w:t>
      </w:r>
      <w:r w:rsidR="000D3EE0" w:rsidRPr="007A3389">
        <w:rPr>
          <w:rFonts w:asciiTheme="majorHAnsi" w:hAnsiTheme="majorHAnsi"/>
          <w:sz w:val="20"/>
          <w:szCs w:val="20"/>
          <w:lang w:val="es-ES"/>
        </w:rPr>
        <w:t>admisibilidad</w:t>
      </w:r>
      <w:r w:rsidR="000F51DA" w:rsidRPr="007A3389">
        <w:rPr>
          <w:rFonts w:asciiTheme="majorHAnsi" w:hAnsiTheme="majorHAnsi"/>
          <w:sz w:val="20"/>
          <w:szCs w:val="20"/>
          <w:lang w:val="es-ES"/>
        </w:rPr>
        <w:t xml:space="preserve"> </w:t>
      </w:r>
      <w:r>
        <w:rPr>
          <w:rFonts w:asciiTheme="majorHAnsi" w:hAnsiTheme="majorHAnsi"/>
          <w:sz w:val="20"/>
          <w:szCs w:val="20"/>
          <w:lang w:val="es-ES"/>
        </w:rPr>
        <w:t>de su confesión se basó en una determinación irrazonable de los hechos y se oponía a</w:t>
      </w:r>
      <w:r w:rsidR="00D84B2F">
        <w:rPr>
          <w:rFonts w:asciiTheme="majorHAnsi" w:hAnsiTheme="majorHAnsi"/>
          <w:sz w:val="20"/>
          <w:szCs w:val="20"/>
          <w:lang w:val="es-ES"/>
        </w:rPr>
        <w:t xml:space="preserve">l derecho </w:t>
      </w:r>
      <w:r>
        <w:rPr>
          <w:rFonts w:asciiTheme="majorHAnsi" w:hAnsiTheme="majorHAnsi"/>
          <w:sz w:val="20"/>
          <w:szCs w:val="20"/>
          <w:lang w:val="es-ES"/>
        </w:rPr>
        <w:t>federal claramente establecid</w:t>
      </w:r>
      <w:r w:rsidR="00D84B2F">
        <w:rPr>
          <w:rFonts w:asciiTheme="majorHAnsi" w:hAnsiTheme="majorHAnsi"/>
          <w:sz w:val="20"/>
          <w:szCs w:val="20"/>
          <w:lang w:val="es-ES"/>
        </w:rPr>
        <w:t>o</w:t>
      </w:r>
      <w:r>
        <w:rPr>
          <w:rFonts w:asciiTheme="majorHAnsi" w:hAnsiTheme="majorHAnsi"/>
          <w:sz w:val="20"/>
          <w:szCs w:val="20"/>
          <w:lang w:val="es-ES"/>
        </w:rPr>
        <w:t xml:space="preserve"> o consistía </w:t>
      </w:r>
      <w:r w:rsidR="00D84B2F">
        <w:rPr>
          <w:rFonts w:asciiTheme="majorHAnsi" w:hAnsiTheme="majorHAnsi"/>
          <w:sz w:val="20"/>
          <w:szCs w:val="20"/>
          <w:lang w:val="es-ES"/>
        </w:rPr>
        <w:t xml:space="preserve">en </w:t>
      </w:r>
      <w:r>
        <w:rPr>
          <w:rFonts w:asciiTheme="majorHAnsi" w:hAnsiTheme="majorHAnsi"/>
          <w:sz w:val="20"/>
          <w:szCs w:val="20"/>
          <w:lang w:val="es-ES"/>
        </w:rPr>
        <w:t>una aplicación irrazonable del mism</w:t>
      </w:r>
      <w:r w:rsidR="00D84B2F">
        <w:rPr>
          <w:rFonts w:asciiTheme="majorHAnsi" w:hAnsiTheme="majorHAnsi"/>
          <w:sz w:val="20"/>
          <w:szCs w:val="20"/>
          <w:lang w:val="es-ES"/>
        </w:rPr>
        <w:t>o</w:t>
      </w:r>
      <w:r>
        <w:rPr>
          <w:rFonts w:asciiTheme="majorHAnsi" w:hAnsiTheme="majorHAnsi"/>
          <w:sz w:val="20"/>
          <w:szCs w:val="20"/>
          <w:lang w:val="es-ES"/>
        </w:rPr>
        <w:t>. E</w:t>
      </w:r>
      <w:r w:rsidR="00D87346" w:rsidRPr="007A3389">
        <w:rPr>
          <w:rFonts w:asciiTheme="majorHAnsi" w:hAnsiTheme="majorHAnsi"/>
          <w:sz w:val="20"/>
          <w:szCs w:val="20"/>
          <w:lang w:val="es-ES"/>
        </w:rPr>
        <w:t>l señor</w:t>
      </w:r>
      <w:r w:rsidR="000F51DA" w:rsidRPr="007A3389">
        <w:rPr>
          <w:rFonts w:asciiTheme="majorHAnsi" w:hAnsiTheme="majorHAnsi"/>
          <w:sz w:val="20"/>
          <w:szCs w:val="20"/>
          <w:lang w:val="es-ES"/>
        </w:rPr>
        <w:t xml:space="preserve"> Loza </w:t>
      </w:r>
      <w:r>
        <w:rPr>
          <w:rFonts w:asciiTheme="majorHAnsi" w:hAnsiTheme="majorHAnsi"/>
          <w:sz w:val="20"/>
          <w:szCs w:val="20"/>
          <w:lang w:val="es-ES"/>
        </w:rPr>
        <w:t>dijo que la conclusión del</w:t>
      </w:r>
      <w:r w:rsidR="00775DE4">
        <w:rPr>
          <w:rFonts w:asciiTheme="majorHAnsi" w:hAnsiTheme="majorHAnsi"/>
          <w:sz w:val="20"/>
          <w:szCs w:val="20"/>
          <w:lang w:val="es-ES"/>
        </w:rPr>
        <w:t xml:space="preserve"> tribunal</w:t>
      </w:r>
      <w:r>
        <w:rPr>
          <w:rFonts w:asciiTheme="majorHAnsi" w:hAnsiTheme="majorHAnsi"/>
          <w:sz w:val="20"/>
          <w:szCs w:val="20"/>
          <w:lang w:val="es-ES"/>
        </w:rPr>
        <w:t xml:space="preserve"> de que no se había proferido ninguna amenaza contra </w:t>
      </w:r>
      <w:r w:rsidR="00117FCC" w:rsidRPr="007A3389">
        <w:rPr>
          <w:rFonts w:asciiTheme="majorHAnsi" w:hAnsiTheme="majorHAnsi"/>
          <w:sz w:val="20"/>
          <w:szCs w:val="20"/>
          <w:lang w:val="es-ES"/>
        </w:rPr>
        <w:t>la señorita</w:t>
      </w:r>
      <w:r w:rsidR="000F51DA" w:rsidRPr="007A3389">
        <w:rPr>
          <w:rFonts w:asciiTheme="majorHAnsi" w:hAnsiTheme="majorHAnsi"/>
          <w:sz w:val="20"/>
          <w:szCs w:val="20"/>
          <w:lang w:val="es-ES"/>
        </w:rPr>
        <w:t xml:space="preserve"> Jackson</w:t>
      </w:r>
      <w:r>
        <w:rPr>
          <w:rFonts w:asciiTheme="majorHAnsi" w:hAnsiTheme="majorHAnsi"/>
          <w:sz w:val="20"/>
          <w:szCs w:val="20"/>
          <w:lang w:val="es-ES"/>
        </w:rPr>
        <w:t xml:space="preserve"> durante el interrogatorio se oponía a lo que constaba en el expediente. Las declaraciones referidas eran preguntas en el sentido de si </w:t>
      </w:r>
      <w:r w:rsidR="00D87346" w:rsidRPr="007A3389">
        <w:rPr>
          <w:rFonts w:asciiTheme="majorHAnsi" w:hAnsiTheme="majorHAnsi"/>
          <w:sz w:val="20"/>
          <w:szCs w:val="20"/>
          <w:lang w:val="es-ES"/>
        </w:rPr>
        <w:t>el señor</w:t>
      </w:r>
      <w:r w:rsidR="001C3FE4" w:rsidRPr="007A3389">
        <w:rPr>
          <w:rFonts w:asciiTheme="majorHAnsi" w:hAnsiTheme="majorHAnsi"/>
          <w:sz w:val="20"/>
          <w:szCs w:val="20"/>
          <w:lang w:val="es-ES"/>
        </w:rPr>
        <w:t xml:space="preserve"> Loza </w:t>
      </w:r>
      <w:r>
        <w:rPr>
          <w:rFonts w:asciiTheme="majorHAnsi" w:hAnsiTheme="majorHAnsi"/>
          <w:sz w:val="20"/>
          <w:szCs w:val="20"/>
          <w:lang w:val="es-ES"/>
        </w:rPr>
        <w:t xml:space="preserve">quería que </w:t>
      </w:r>
      <w:proofErr w:type="spellStart"/>
      <w:r>
        <w:rPr>
          <w:rFonts w:asciiTheme="majorHAnsi" w:hAnsiTheme="majorHAnsi"/>
          <w:sz w:val="20"/>
          <w:szCs w:val="20"/>
          <w:lang w:val="es-ES"/>
        </w:rPr>
        <w:t>D</w:t>
      </w:r>
      <w:r w:rsidR="001C3FE4" w:rsidRPr="007A3389">
        <w:rPr>
          <w:rFonts w:asciiTheme="majorHAnsi" w:hAnsiTheme="majorHAnsi"/>
          <w:sz w:val="20"/>
          <w:szCs w:val="20"/>
          <w:lang w:val="es-ES"/>
        </w:rPr>
        <w:t>orothy</w:t>
      </w:r>
      <w:proofErr w:type="spellEnd"/>
      <w:r w:rsidR="001C3FE4" w:rsidRPr="007A3389">
        <w:rPr>
          <w:rFonts w:asciiTheme="majorHAnsi" w:hAnsiTheme="majorHAnsi"/>
          <w:sz w:val="20"/>
          <w:szCs w:val="20"/>
          <w:lang w:val="es-ES"/>
        </w:rPr>
        <w:t xml:space="preserve"> </w:t>
      </w:r>
      <w:r>
        <w:rPr>
          <w:rFonts w:asciiTheme="majorHAnsi" w:hAnsiTheme="majorHAnsi"/>
          <w:sz w:val="20"/>
          <w:szCs w:val="20"/>
          <w:lang w:val="es-ES"/>
        </w:rPr>
        <w:t xml:space="preserve">diera a luz en una cárcel y que el bebé fuera adoptado por desconocidos, así como la declaración de que </w:t>
      </w:r>
      <w:r w:rsidR="001C3FE4" w:rsidRPr="007A3389">
        <w:rPr>
          <w:rFonts w:asciiTheme="majorHAnsi" w:hAnsiTheme="majorHAnsi"/>
          <w:sz w:val="20"/>
          <w:szCs w:val="20"/>
          <w:lang w:val="es-ES"/>
        </w:rPr>
        <w:t>“[</w:t>
      </w:r>
      <w:r>
        <w:rPr>
          <w:rFonts w:asciiTheme="majorHAnsi" w:hAnsiTheme="majorHAnsi"/>
          <w:sz w:val="20"/>
          <w:szCs w:val="20"/>
          <w:lang w:val="es-ES"/>
        </w:rPr>
        <w:t>l</w:t>
      </w:r>
      <w:r w:rsidR="001C3FE4" w:rsidRPr="007A3389">
        <w:rPr>
          <w:rFonts w:asciiTheme="majorHAnsi" w:hAnsiTheme="majorHAnsi"/>
          <w:sz w:val="20"/>
          <w:szCs w:val="20"/>
          <w:lang w:val="es-ES"/>
        </w:rPr>
        <w:t>]</w:t>
      </w:r>
      <w:r>
        <w:rPr>
          <w:rFonts w:asciiTheme="majorHAnsi" w:hAnsiTheme="majorHAnsi"/>
          <w:sz w:val="20"/>
          <w:szCs w:val="20"/>
          <w:lang w:val="es-ES"/>
        </w:rPr>
        <w:t xml:space="preserve">o que usted está tratando de hacer es ponerse en una silla eléctrica o en una cámara de </w:t>
      </w:r>
      <w:r w:rsidR="001C3FE4" w:rsidRPr="007A3389">
        <w:rPr>
          <w:rFonts w:asciiTheme="majorHAnsi" w:hAnsiTheme="majorHAnsi"/>
          <w:sz w:val="20"/>
          <w:szCs w:val="20"/>
          <w:lang w:val="es-ES"/>
        </w:rPr>
        <w:t xml:space="preserve">gas </w:t>
      </w:r>
      <w:r>
        <w:rPr>
          <w:rFonts w:asciiTheme="majorHAnsi" w:hAnsiTheme="majorHAnsi"/>
          <w:sz w:val="20"/>
          <w:szCs w:val="20"/>
          <w:lang w:val="es-ES"/>
        </w:rPr>
        <w:t xml:space="preserve">junto con </w:t>
      </w:r>
      <w:proofErr w:type="spellStart"/>
      <w:r w:rsidR="001C3FE4" w:rsidRPr="007A3389">
        <w:rPr>
          <w:rFonts w:asciiTheme="majorHAnsi" w:hAnsiTheme="majorHAnsi"/>
          <w:sz w:val="20"/>
          <w:szCs w:val="20"/>
          <w:lang w:val="es-ES"/>
        </w:rPr>
        <w:t>Dorothy</w:t>
      </w:r>
      <w:proofErr w:type="spellEnd"/>
      <w:r w:rsidR="001C3FE4" w:rsidRPr="007A3389">
        <w:rPr>
          <w:rFonts w:asciiTheme="majorHAnsi" w:hAnsiTheme="majorHAnsi"/>
          <w:sz w:val="20"/>
          <w:szCs w:val="20"/>
          <w:lang w:val="es-ES"/>
        </w:rPr>
        <w:t xml:space="preserve">, </w:t>
      </w:r>
      <w:r>
        <w:rPr>
          <w:rFonts w:asciiTheme="majorHAnsi" w:hAnsiTheme="majorHAnsi"/>
          <w:sz w:val="20"/>
          <w:szCs w:val="20"/>
          <w:lang w:val="es-ES"/>
        </w:rPr>
        <w:t>y este niño va a desaparecer en la tierra de nunca jamás y no volverán a verlo nunca más</w:t>
      </w:r>
      <w:r w:rsidR="001C3FE4" w:rsidRPr="007A3389">
        <w:rPr>
          <w:rFonts w:asciiTheme="majorHAnsi" w:hAnsiTheme="majorHAnsi"/>
          <w:sz w:val="20"/>
          <w:szCs w:val="20"/>
          <w:lang w:val="es-ES"/>
        </w:rPr>
        <w:t>”</w:t>
      </w:r>
      <w:r w:rsidR="001C3FE4" w:rsidRPr="007A3389">
        <w:rPr>
          <w:rStyle w:val="FootnoteReference"/>
          <w:rFonts w:asciiTheme="majorHAnsi" w:hAnsiTheme="majorHAnsi"/>
          <w:sz w:val="20"/>
          <w:szCs w:val="20"/>
          <w:lang w:val="es-ES"/>
        </w:rPr>
        <w:footnoteReference w:id="16"/>
      </w:r>
      <w:r>
        <w:rPr>
          <w:rFonts w:asciiTheme="majorHAnsi" w:hAnsiTheme="majorHAnsi"/>
          <w:sz w:val="20"/>
          <w:szCs w:val="20"/>
          <w:lang w:val="es-ES"/>
        </w:rPr>
        <w:t xml:space="preserve">. </w:t>
      </w:r>
      <w:r w:rsidR="00775DE4">
        <w:rPr>
          <w:rFonts w:asciiTheme="majorHAnsi" w:hAnsiTheme="majorHAnsi"/>
          <w:sz w:val="20"/>
          <w:szCs w:val="20"/>
          <w:lang w:val="es-ES"/>
        </w:rPr>
        <w:t>El tribunal</w:t>
      </w:r>
      <w:r w:rsidR="000F51DA" w:rsidRPr="007A3389">
        <w:rPr>
          <w:rFonts w:asciiTheme="majorHAnsi" w:hAnsiTheme="majorHAnsi"/>
          <w:sz w:val="20"/>
          <w:szCs w:val="20"/>
          <w:lang w:val="es-ES"/>
        </w:rPr>
        <w:t xml:space="preserve"> </w:t>
      </w:r>
      <w:r>
        <w:rPr>
          <w:rFonts w:asciiTheme="majorHAnsi" w:hAnsiTheme="majorHAnsi"/>
          <w:sz w:val="20"/>
          <w:szCs w:val="20"/>
          <w:lang w:val="es-ES"/>
        </w:rPr>
        <w:t xml:space="preserve">entendió que las declaraciones de </w:t>
      </w:r>
      <w:r w:rsidR="00117FCC" w:rsidRPr="007A3389">
        <w:rPr>
          <w:rFonts w:asciiTheme="majorHAnsi" w:hAnsiTheme="majorHAnsi"/>
          <w:sz w:val="20"/>
          <w:szCs w:val="20"/>
          <w:lang w:val="es-ES"/>
        </w:rPr>
        <w:t>los detectives</w:t>
      </w:r>
      <w:r w:rsidR="000F51DA" w:rsidRPr="007A3389">
        <w:rPr>
          <w:rFonts w:asciiTheme="majorHAnsi" w:hAnsiTheme="majorHAnsi"/>
          <w:sz w:val="20"/>
          <w:szCs w:val="20"/>
          <w:lang w:val="es-ES"/>
        </w:rPr>
        <w:t xml:space="preserve"> </w:t>
      </w:r>
      <w:r>
        <w:rPr>
          <w:rFonts w:asciiTheme="majorHAnsi" w:hAnsiTheme="majorHAnsi"/>
          <w:sz w:val="20"/>
          <w:szCs w:val="20"/>
          <w:lang w:val="es-ES"/>
        </w:rPr>
        <w:t xml:space="preserve">no constituyeron amenazas y que </w:t>
      </w:r>
      <w:r w:rsidR="00970CD0">
        <w:rPr>
          <w:rFonts w:asciiTheme="majorHAnsi" w:hAnsiTheme="majorHAnsi"/>
          <w:sz w:val="20"/>
          <w:szCs w:val="20"/>
          <w:lang w:val="es-ES"/>
        </w:rPr>
        <w:t xml:space="preserve">esa conclusión no era irrazonable en vista de que el expediente respaldaba la conclusión del </w:t>
      </w:r>
      <w:r w:rsidR="00775DE4">
        <w:rPr>
          <w:rFonts w:asciiTheme="majorHAnsi" w:hAnsiTheme="majorHAnsi"/>
          <w:sz w:val="20"/>
          <w:szCs w:val="20"/>
          <w:lang w:val="es-ES"/>
        </w:rPr>
        <w:t>tribunal</w:t>
      </w:r>
      <w:r w:rsidR="00970CD0">
        <w:rPr>
          <w:rFonts w:asciiTheme="majorHAnsi" w:hAnsiTheme="majorHAnsi"/>
          <w:sz w:val="20"/>
          <w:szCs w:val="20"/>
          <w:lang w:val="es-ES"/>
        </w:rPr>
        <w:t xml:space="preserve"> de que </w:t>
      </w:r>
      <w:r w:rsidR="000F51DA" w:rsidRPr="007A3389">
        <w:rPr>
          <w:rFonts w:asciiTheme="majorHAnsi" w:hAnsiTheme="majorHAnsi"/>
          <w:sz w:val="20"/>
          <w:szCs w:val="20"/>
          <w:lang w:val="es-ES"/>
        </w:rPr>
        <w:t>“</w:t>
      </w:r>
      <w:r w:rsidR="00970CD0">
        <w:rPr>
          <w:rFonts w:asciiTheme="majorHAnsi" w:hAnsiTheme="majorHAnsi"/>
          <w:sz w:val="20"/>
          <w:szCs w:val="20"/>
          <w:lang w:val="es-ES"/>
        </w:rPr>
        <w:t xml:space="preserve">los </w:t>
      </w:r>
      <w:r w:rsidR="000F51DA" w:rsidRPr="007A3389">
        <w:rPr>
          <w:rFonts w:asciiTheme="majorHAnsi" w:hAnsiTheme="majorHAnsi"/>
          <w:sz w:val="20"/>
          <w:szCs w:val="20"/>
          <w:lang w:val="es-ES"/>
        </w:rPr>
        <w:t xml:space="preserve">detectives </w:t>
      </w:r>
      <w:r w:rsidR="00970CD0">
        <w:rPr>
          <w:rFonts w:asciiTheme="majorHAnsi" w:hAnsiTheme="majorHAnsi"/>
          <w:sz w:val="20"/>
          <w:szCs w:val="20"/>
          <w:lang w:val="es-ES"/>
        </w:rPr>
        <w:t>simplemente le informaron al apelante sobre las posibles consecuencias de sus actos</w:t>
      </w:r>
      <w:r w:rsidR="000F51DA" w:rsidRPr="007A3389">
        <w:rPr>
          <w:rFonts w:asciiTheme="majorHAnsi" w:hAnsiTheme="majorHAnsi"/>
          <w:sz w:val="20"/>
          <w:szCs w:val="20"/>
          <w:lang w:val="es-ES"/>
        </w:rPr>
        <w:t>”</w:t>
      </w:r>
      <w:r w:rsidR="000F51DA" w:rsidRPr="007A3389">
        <w:rPr>
          <w:rStyle w:val="FootnoteReference"/>
          <w:rFonts w:asciiTheme="majorHAnsi" w:hAnsiTheme="majorHAnsi"/>
          <w:sz w:val="20"/>
          <w:szCs w:val="20"/>
          <w:lang w:val="es-ES"/>
        </w:rPr>
        <w:footnoteReference w:id="17"/>
      </w:r>
      <w:r w:rsidR="00970CD0">
        <w:rPr>
          <w:rFonts w:asciiTheme="majorHAnsi" w:hAnsiTheme="majorHAnsi"/>
          <w:sz w:val="20"/>
          <w:szCs w:val="20"/>
          <w:lang w:val="es-ES"/>
        </w:rPr>
        <w:t>. E</w:t>
      </w:r>
      <w:r w:rsidR="00D87346" w:rsidRPr="007A3389">
        <w:rPr>
          <w:rFonts w:asciiTheme="majorHAnsi" w:hAnsiTheme="majorHAnsi"/>
          <w:sz w:val="20"/>
          <w:szCs w:val="20"/>
          <w:lang w:val="es-ES"/>
        </w:rPr>
        <w:t>l señor</w:t>
      </w:r>
      <w:r w:rsidR="0038262B" w:rsidRPr="007A3389">
        <w:rPr>
          <w:rFonts w:asciiTheme="majorHAnsi" w:hAnsiTheme="majorHAnsi"/>
          <w:sz w:val="20"/>
          <w:szCs w:val="20"/>
          <w:lang w:val="es-ES"/>
        </w:rPr>
        <w:t xml:space="preserve"> Loza a</w:t>
      </w:r>
      <w:r w:rsidR="00970CD0">
        <w:rPr>
          <w:rFonts w:asciiTheme="majorHAnsi" w:hAnsiTheme="majorHAnsi"/>
          <w:sz w:val="20"/>
          <w:szCs w:val="20"/>
          <w:lang w:val="es-ES"/>
        </w:rPr>
        <w:t xml:space="preserve">dujo que </w:t>
      </w:r>
      <w:r w:rsidR="00117FCC" w:rsidRPr="007A3389">
        <w:rPr>
          <w:rFonts w:asciiTheme="majorHAnsi" w:hAnsiTheme="majorHAnsi"/>
          <w:sz w:val="20"/>
          <w:szCs w:val="20"/>
          <w:lang w:val="es-ES"/>
        </w:rPr>
        <w:t>los detectives</w:t>
      </w:r>
      <w:r w:rsidR="0038262B" w:rsidRPr="007A3389">
        <w:rPr>
          <w:rFonts w:asciiTheme="majorHAnsi" w:hAnsiTheme="majorHAnsi"/>
          <w:sz w:val="20"/>
          <w:szCs w:val="20"/>
          <w:lang w:val="es-ES"/>
        </w:rPr>
        <w:t xml:space="preserve"> l</w:t>
      </w:r>
      <w:r w:rsidR="00970CD0">
        <w:rPr>
          <w:rFonts w:asciiTheme="majorHAnsi" w:hAnsiTheme="majorHAnsi"/>
          <w:sz w:val="20"/>
          <w:szCs w:val="20"/>
          <w:lang w:val="es-ES"/>
        </w:rPr>
        <w:t xml:space="preserve">e mintieron cuando le dijeron que habían hablado con </w:t>
      </w:r>
      <w:proofErr w:type="spellStart"/>
      <w:r w:rsidR="0038262B" w:rsidRPr="007A3389">
        <w:rPr>
          <w:rFonts w:asciiTheme="majorHAnsi" w:hAnsiTheme="majorHAnsi"/>
          <w:sz w:val="20"/>
          <w:szCs w:val="20"/>
          <w:lang w:val="es-ES"/>
        </w:rPr>
        <w:t>Jerri</w:t>
      </w:r>
      <w:proofErr w:type="spellEnd"/>
      <w:r w:rsidR="0038262B" w:rsidRPr="007A3389">
        <w:rPr>
          <w:rFonts w:asciiTheme="majorHAnsi" w:hAnsiTheme="majorHAnsi"/>
          <w:sz w:val="20"/>
          <w:szCs w:val="20"/>
          <w:lang w:val="es-ES"/>
        </w:rPr>
        <w:t xml:space="preserve"> </w:t>
      </w:r>
      <w:r w:rsidR="0065723A" w:rsidRPr="007A3389">
        <w:rPr>
          <w:rFonts w:asciiTheme="majorHAnsi" w:hAnsiTheme="majorHAnsi"/>
          <w:sz w:val="20"/>
          <w:szCs w:val="20"/>
          <w:lang w:val="es-ES"/>
        </w:rPr>
        <w:t>Jackson</w:t>
      </w:r>
      <w:r w:rsidR="0038262B" w:rsidRPr="007A3389">
        <w:rPr>
          <w:rFonts w:asciiTheme="majorHAnsi" w:hAnsiTheme="majorHAnsi"/>
          <w:sz w:val="20"/>
          <w:szCs w:val="20"/>
          <w:lang w:val="es-ES"/>
        </w:rPr>
        <w:t xml:space="preserve">, </w:t>
      </w:r>
      <w:r w:rsidR="00970CD0">
        <w:rPr>
          <w:rFonts w:asciiTheme="majorHAnsi" w:hAnsiTheme="majorHAnsi"/>
          <w:sz w:val="20"/>
          <w:szCs w:val="20"/>
          <w:lang w:val="es-ES"/>
        </w:rPr>
        <w:t xml:space="preserve">que estaba vivo, pero sin conocimiento, cuando llegó la policía. Sin embargo, </w:t>
      </w:r>
      <w:r w:rsidR="00775DE4">
        <w:rPr>
          <w:rFonts w:asciiTheme="majorHAnsi" w:hAnsiTheme="majorHAnsi"/>
          <w:sz w:val="20"/>
          <w:szCs w:val="20"/>
          <w:lang w:val="es-ES"/>
        </w:rPr>
        <w:t>el tribunal</w:t>
      </w:r>
      <w:r w:rsidR="00692F79" w:rsidRPr="007A3389">
        <w:rPr>
          <w:rFonts w:asciiTheme="majorHAnsi" w:hAnsiTheme="majorHAnsi"/>
          <w:sz w:val="20"/>
          <w:szCs w:val="20"/>
          <w:lang w:val="es-ES"/>
        </w:rPr>
        <w:t xml:space="preserve"> </w:t>
      </w:r>
      <w:r w:rsidR="00970CD0">
        <w:rPr>
          <w:rFonts w:asciiTheme="majorHAnsi" w:hAnsiTheme="majorHAnsi"/>
          <w:sz w:val="20"/>
          <w:szCs w:val="20"/>
          <w:lang w:val="es-ES"/>
        </w:rPr>
        <w:t xml:space="preserve">entendió que </w:t>
      </w:r>
      <w:r w:rsidR="00970CD0">
        <w:rPr>
          <w:rFonts w:asciiTheme="majorHAnsi" w:hAnsiTheme="majorHAnsi"/>
          <w:sz w:val="20"/>
          <w:szCs w:val="20"/>
          <w:lang w:val="es-ES"/>
        </w:rPr>
        <w:lastRenderedPageBreak/>
        <w:t xml:space="preserve">eso no llevaba necesariamente a la conclusión de que la confesión había sido involuntaria y que el antecedente del caso </w:t>
      </w:r>
      <w:r w:rsidR="00692F79" w:rsidRPr="007A3389">
        <w:rPr>
          <w:rFonts w:asciiTheme="majorHAnsi" w:hAnsiTheme="majorHAnsi"/>
          <w:sz w:val="20"/>
          <w:szCs w:val="20"/>
          <w:lang w:val="es-ES"/>
        </w:rPr>
        <w:t xml:space="preserve">Miranda </w:t>
      </w:r>
      <w:r w:rsidR="00970CD0">
        <w:rPr>
          <w:rFonts w:asciiTheme="majorHAnsi" w:hAnsiTheme="majorHAnsi"/>
          <w:sz w:val="20"/>
          <w:szCs w:val="20"/>
          <w:lang w:val="es-ES"/>
        </w:rPr>
        <w:t xml:space="preserve">no prohibía un </w:t>
      </w:r>
      <w:r w:rsidR="00692F79" w:rsidRPr="007A3389">
        <w:rPr>
          <w:rFonts w:asciiTheme="majorHAnsi" w:hAnsiTheme="majorHAnsi"/>
          <w:sz w:val="20"/>
          <w:szCs w:val="20"/>
          <w:lang w:val="es-ES"/>
        </w:rPr>
        <w:t>mer</w:t>
      </w:r>
      <w:r w:rsidR="00970CD0">
        <w:rPr>
          <w:rFonts w:asciiTheme="majorHAnsi" w:hAnsiTheme="majorHAnsi"/>
          <w:sz w:val="20"/>
          <w:szCs w:val="20"/>
          <w:lang w:val="es-ES"/>
        </w:rPr>
        <w:t>o engaño estratégico</w:t>
      </w:r>
      <w:r w:rsidR="00692F79" w:rsidRPr="007A3389">
        <w:rPr>
          <w:rStyle w:val="FootnoteReference"/>
          <w:rFonts w:asciiTheme="majorHAnsi" w:hAnsiTheme="majorHAnsi"/>
          <w:sz w:val="20"/>
          <w:szCs w:val="20"/>
          <w:lang w:val="es-ES"/>
        </w:rPr>
        <w:footnoteReference w:id="18"/>
      </w:r>
      <w:r w:rsidR="00970CD0">
        <w:rPr>
          <w:rFonts w:asciiTheme="majorHAnsi" w:hAnsiTheme="majorHAnsi"/>
          <w:sz w:val="20"/>
          <w:szCs w:val="20"/>
          <w:lang w:val="es-ES"/>
        </w:rPr>
        <w:t>.</w:t>
      </w:r>
    </w:p>
    <w:p w14:paraId="17178432" w14:textId="77777777" w:rsidR="0065723A" w:rsidRPr="007A3389" w:rsidRDefault="0065723A" w:rsidP="0065723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C3731A0" w14:textId="77777777" w:rsidR="0065723A" w:rsidRPr="007A3389" w:rsidRDefault="00970CD0" w:rsidP="006572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E</w:t>
      </w:r>
      <w:r w:rsidR="00D87346" w:rsidRPr="007A3389">
        <w:rPr>
          <w:rFonts w:asciiTheme="majorHAnsi" w:hAnsiTheme="majorHAnsi"/>
          <w:sz w:val="20"/>
          <w:szCs w:val="20"/>
          <w:lang w:val="es-ES"/>
        </w:rPr>
        <w:t>l señor</w:t>
      </w:r>
      <w:r w:rsidR="00AE653F" w:rsidRPr="007A3389">
        <w:rPr>
          <w:rFonts w:asciiTheme="majorHAnsi" w:hAnsiTheme="majorHAnsi"/>
          <w:sz w:val="20"/>
          <w:szCs w:val="20"/>
          <w:lang w:val="es-ES"/>
        </w:rPr>
        <w:t xml:space="preserve"> Loza </w:t>
      </w:r>
      <w:r w:rsidR="00C120CA" w:rsidRPr="007A3389">
        <w:rPr>
          <w:rFonts w:asciiTheme="majorHAnsi" w:hAnsiTheme="majorHAnsi"/>
          <w:sz w:val="20"/>
          <w:szCs w:val="20"/>
          <w:lang w:val="es-ES"/>
        </w:rPr>
        <w:t>a</w:t>
      </w:r>
      <w:r w:rsidR="00C120CA">
        <w:rPr>
          <w:rFonts w:asciiTheme="majorHAnsi" w:hAnsiTheme="majorHAnsi"/>
          <w:sz w:val="20"/>
          <w:szCs w:val="20"/>
          <w:lang w:val="es-ES"/>
        </w:rPr>
        <w:t xml:space="preserve">dujo </w:t>
      </w:r>
      <w:r>
        <w:rPr>
          <w:rFonts w:asciiTheme="majorHAnsi" w:hAnsiTheme="majorHAnsi"/>
          <w:sz w:val="20"/>
          <w:szCs w:val="20"/>
          <w:lang w:val="es-ES"/>
        </w:rPr>
        <w:t xml:space="preserve">que la confirmación de </w:t>
      </w:r>
      <w:r w:rsidR="00C120CA">
        <w:rPr>
          <w:rFonts w:asciiTheme="majorHAnsi" w:hAnsiTheme="majorHAnsi"/>
          <w:sz w:val="20"/>
          <w:szCs w:val="20"/>
          <w:lang w:val="es-ES"/>
        </w:rPr>
        <w:t xml:space="preserve">la decisión de excluir </w:t>
      </w:r>
      <w:r>
        <w:rPr>
          <w:rFonts w:asciiTheme="majorHAnsi" w:hAnsiTheme="majorHAnsi"/>
          <w:sz w:val="20"/>
          <w:szCs w:val="20"/>
          <w:lang w:val="es-ES"/>
        </w:rPr>
        <w:t xml:space="preserve">la declaración del doctor </w:t>
      </w:r>
      <w:r w:rsidR="00AE653F" w:rsidRPr="007A3389">
        <w:rPr>
          <w:rFonts w:asciiTheme="majorHAnsi" w:hAnsiTheme="majorHAnsi"/>
          <w:sz w:val="20"/>
          <w:szCs w:val="20"/>
          <w:lang w:val="es-ES"/>
        </w:rPr>
        <w:t xml:space="preserve">Roger Fisher </w:t>
      </w:r>
      <w:r>
        <w:rPr>
          <w:rFonts w:asciiTheme="majorHAnsi" w:hAnsiTheme="majorHAnsi"/>
          <w:sz w:val="20"/>
          <w:szCs w:val="20"/>
          <w:lang w:val="es-ES"/>
        </w:rPr>
        <w:t>en la etapa de culpabilidad o inocencia</w:t>
      </w:r>
      <w:r w:rsidR="00AE653F" w:rsidRPr="007A3389">
        <w:rPr>
          <w:rFonts w:asciiTheme="majorHAnsi" w:hAnsiTheme="majorHAnsi"/>
          <w:sz w:val="20"/>
          <w:szCs w:val="20"/>
          <w:lang w:val="es-ES"/>
        </w:rPr>
        <w:t xml:space="preserve"> </w:t>
      </w:r>
      <w:r>
        <w:rPr>
          <w:rFonts w:asciiTheme="majorHAnsi" w:hAnsiTheme="majorHAnsi"/>
          <w:sz w:val="20"/>
          <w:szCs w:val="20"/>
          <w:lang w:val="es-ES"/>
        </w:rPr>
        <w:t>del juicio se oponía a</w:t>
      </w:r>
      <w:r w:rsidR="00D84B2F">
        <w:rPr>
          <w:rFonts w:asciiTheme="majorHAnsi" w:hAnsiTheme="majorHAnsi"/>
          <w:sz w:val="20"/>
          <w:szCs w:val="20"/>
          <w:lang w:val="es-ES"/>
        </w:rPr>
        <w:t>l derecho establecido y consistía en una aplicación irrazonable del mismo</w:t>
      </w:r>
      <w:r w:rsidR="00AE653F" w:rsidRPr="007A3389">
        <w:rPr>
          <w:rFonts w:asciiTheme="majorHAnsi" w:hAnsiTheme="majorHAnsi"/>
          <w:sz w:val="20"/>
          <w:szCs w:val="20"/>
          <w:lang w:val="es-ES"/>
        </w:rPr>
        <w:t>.</w:t>
      </w:r>
      <w:r w:rsidR="00D46FBE" w:rsidRPr="007A3389">
        <w:rPr>
          <w:rFonts w:asciiTheme="majorHAnsi" w:hAnsiTheme="majorHAnsi"/>
          <w:sz w:val="20"/>
          <w:szCs w:val="20"/>
          <w:lang w:val="es-ES"/>
        </w:rPr>
        <w:t xml:space="preserve"> </w:t>
      </w:r>
      <w:r w:rsidR="00775DE4">
        <w:rPr>
          <w:rFonts w:asciiTheme="majorHAnsi" w:hAnsiTheme="majorHAnsi"/>
          <w:sz w:val="20"/>
          <w:szCs w:val="20"/>
          <w:lang w:val="es-ES"/>
        </w:rPr>
        <w:t>El Tribunal de Apelaciones</w:t>
      </w:r>
      <w:r w:rsidR="00D46FBE" w:rsidRPr="007A3389">
        <w:rPr>
          <w:rFonts w:asciiTheme="majorHAnsi" w:hAnsiTheme="majorHAnsi"/>
          <w:sz w:val="20"/>
          <w:szCs w:val="20"/>
          <w:lang w:val="es-ES"/>
        </w:rPr>
        <w:t xml:space="preserve"> </w:t>
      </w:r>
      <w:r w:rsidR="00602D26">
        <w:rPr>
          <w:rFonts w:asciiTheme="majorHAnsi" w:hAnsiTheme="majorHAnsi"/>
          <w:sz w:val="20"/>
          <w:szCs w:val="20"/>
          <w:lang w:val="es-ES"/>
        </w:rPr>
        <w:t xml:space="preserve">consideró que el razonamiento de </w:t>
      </w:r>
      <w:r w:rsidR="00775DE4" w:rsidRPr="00775DE4">
        <w:rPr>
          <w:rFonts w:asciiTheme="majorHAnsi" w:hAnsiTheme="majorHAnsi"/>
          <w:sz w:val="20"/>
          <w:szCs w:val="20"/>
          <w:lang w:val="es-ES"/>
        </w:rPr>
        <w:t>la Corte Suprema de Ohio</w:t>
      </w:r>
      <w:r w:rsidR="00602D26">
        <w:rPr>
          <w:rFonts w:asciiTheme="majorHAnsi" w:hAnsiTheme="majorHAnsi"/>
          <w:sz w:val="20"/>
          <w:szCs w:val="20"/>
          <w:lang w:val="es-ES"/>
        </w:rPr>
        <w:t xml:space="preserve"> era erróneo en el sentido de que no era correcto que la prueba del estado mental de un acusado no fuera pertinente para la </w:t>
      </w:r>
      <w:r w:rsidR="00775DE4">
        <w:rPr>
          <w:rFonts w:asciiTheme="majorHAnsi" w:hAnsiTheme="majorHAnsi"/>
          <w:sz w:val="20"/>
          <w:szCs w:val="20"/>
          <w:lang w:val="es-ES"/>
        </w:rPr>
        <w:t>credibilidad</w:t>
      </w:r>
      <w:r w:rsidR="00271104" w:rsidRPr="007A3389">
        <w:rPr>
          <w:rFonts w:asciiTheme="majorHAnsi" w:hAnsiTheme="majorHAnsi"/>
          <w:sz w:val="20"/>
          <w:szCs w:val="20"/>
          <w:lang w:val="es-ES"/>
        </w:rPr>
        <w:t xml:space="preserve"> </w:t>
      </w:r>
      <w:r w:rsidR="00602D26">
        <w:rPr>
          <w:rFonts w:asciiTheme="majorHAnsi" w:hAnsiTheme="majorHAnsi"/>
          <w:sz w:val="20"/>
          <w:szCs w:val="20"/>
          <w:lang w:val="es-ES"/>
        </w:rPr>
        <w:t xml:space="preserve">de su confesión. Asimismo, </w:t>
      </w:r>
      <w:r w:rsidR="00775DE4">
        <w:rPr>
          <w:rFonts w:asciiTheme="majorHAnsi" w:hAnsiTheme="majorHAnsi"/>
          <w:sz w:val="20"/>
          <w:szCs w:val="20"/>
          <w:lang w:val="es-ES"/>
        </w:rPr>
        <w:t>el tribunal</w:t>
      </w:r>
      <w:r w:rsidR="00271104" w:rsidRPr="007A3389">
        <w:rPr>
          <w:rFonts w:asciiTheme="majorHAnsi" w:hAnsiTheme="majorHAnsi"/>
          <w:sz w:val="20"/>
          <w:szCs w:val="20"/>
          <w:lang w:val="es-ES"/>
        </w:rPr>
        <w:t xml:space="preserve"> </w:t>
      </w:r>
      <w:r w:rsidR="00602D26">
        <w:rPr>
          <w:rFonts w:asciiTheme="majorHAnsi" w:hAnsiTheme="majorHAnsi"/>
          <w:sz w:val="20"/>
          <w:szCs w:val="20"/>
          <w:lang w:val="es-ES"/>
        </w:rPr>
        <w:t xml:space="preserve">entendió que el hecho de que el </w:t>
      </w:r>
      <w:r w:rsidR="00175318">
        <w:rPr>
          <w:rFonts w:asciiTheme="majorHAnsi" w:hAnsiTheme="majorHAnsi"/>
          <w:sz w:val="20"/>
          <w:szCs w:val="20"/>
          <w:lang w:val="es-ES"/>
        </w:rPr>
        <w:t>tribunal de primera instancia</w:t>
      </w:r>
      <w:r w:rsidR="00271104" w:rsidRPr="007A3389">
        <w:rPr>
          <w:rFonts w:asciiTheme="majorHAnsi" w:hAnsiTheme="majorHAnsi"/>
          <w:sz w:val="20"/>
          <w:szCs w:val="20"/>
          <w:lang w:val="es-ES"/>
        </w:rPr>
        <w:t xml:space="preserve"> </w:t>
      </w:r>
      <w:r w:rsidR="00602D26">
        <w:rPr>
          <w:rFonts w:asciiTheme="majorHAnsi" w:hAnsiTheme="majorHAnsi"/>
          <w:sz w:val="20"/>
          <w:szCs w:val="20"/>
          <w:lang w:val="es-ES"/>
        </w:rPr>
        <w:t xml:space="preserve">se hubiera pronunciado sobre el carácter </w:t>
      </w:r>
      <w:r w:rsidR="00271104" w:rsidRPr="007A3389">
        <w:rPr>
          <w:rFonts w:asciiTheme="majorHAnsi" w:hAnsiTheme="majorHAnsi"/>
          <w:sz w:val="20"/>
          <w:szCs w:val="20"/>
          <w:lang w:val="es-ES"/>
        </w:rPr>
        <w:t>voluntari</w:t>
      </w:r>
      <w:r w:rsidR="00602D26">
        <w:rPr>
          <w:rFonts w:asciiTheme="majorHAnsi" w:hAnsiTheme="majorHAnsi"/>
          <w:sz w:val="20"/>
          <w:szCs w:val="20"/>
          <w:lang w:val="es-ES"/>
        </w:rPr>
        <w:t xml:space="preserve">o de la confesión de </w:t>
      </w:r>
      <w:r w:rsidR="00271104" w:rsidRPr="007A3389">
        <w:rPr>
          <w:rFonts w:asciiTheme="majorHAnsi" w:hAnsiTheme="majorHAnsi"/>
          <w:sz w:val="20"/>
          <w:szCs w:val="20"/>
          <w:lang w:val="es-ES"/>
        </w:rPr>
        <w:t>Loza</w:t>
      </w:r>
      <w:r w:rsidR="00602D26">
        <w:rPr>
          <w:rFonts w:asciiTheme="majorHAnsi" w:hAnsiTheme="majorHAnsi"/>
          <w:sz w:val="20"/>
          <w:szCs w:val="20"/>
          <w:lang w:val="es-ES"/>
        </w:rPr>
        <w:t xml:space="preserve"> no constituía una base para excluir el testimonio de </w:t>
      </w:r>
      <w:r w:rsidR="00271104" w:rsidRPr="007A3389">
        <w:rPr>
          <w:rFonts w:asciiTheme="majorHAnsi" w:hAnsiTheme="majorHAnsi"/>
          <w:sz w:val="20"/>
          <w:szCs w:val="20"/>
          <w:lang w:val="es-ES"/>
        </w:rPr>
        <w:t>Fisher</w:t>
      </w:r>
      <w:r w:rsidR="00602D26">
        <w:rPr>
          <w:rFonts w:asciiTheme="majorHAnsi" w:hAnsiTheme="majorHAnsi"/>
          <w:sz w:val="20"/>
          <w:szCs w:val="20"/>
          <w:lang w:val="es-ES"/>
        </w:rPr>
        <w:t xml:space="preserve"> en la medida en que fuera pertinente para la </w:t>
      </w:r>
      <w:r w:rsidR="00775DE4">
        <w:rPr>
          <w:rFonts w:asciiTheme="majorHAnsi" w:hAnsiTheme="majorHAnsi"/>
          <w:sz w:val="20"/>
          <w:szCs w:val="20"/>
          <w:lang w:val="es-ES"/>
        </w:rPr>
        <w:t>credibilidad</w:t>
      </w:r>
      <w:r w:rsidR="00271104" w:rsidRPr="007A3389">
        <w:rPr>
          <w:rFonts w:asciiTheme="majorHAnsi" w:hAnsiTheme="majorHAnsi"/>
          <w:sz w:val="20"/>
          <w:szCs w:val="20"/>
          <w:lang w:val="es-ES"/>
        </w:rPr>
        <w:t xml:space="preserve">. </w:t>
      </w:r>
      <w:r w:rsidR="00602D26">
        <w:rPr>
          <w:rFonts w:asciiTheme="majorHAnsi" w:hAnsiTheme="majorHAnsi"/>
          <w:sz w:val="20"/>
          <w:szCs w:val="20"/>
          <w:lang w:val="es-ES"/>
        </w:rPr>
        <w:t>Sin embargo,</w:t>
      </w:r>
      <w:r w:rsidR="00271104"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271104" w:rsidRPr="007A3389">
        <w:rPr>
          <w:rFonts w:asciiTheme="majorHAnsi" w:hAnsiTheme="majorHAnsi"/>
          <w:sz w:val="20"/>
          <w:szCs w:val="20"/>
          <w:lang w:val="es-ES"/>
        </w:rPr>
        <w:t xml:space="preserve"> determin</w:t>
      </w:r>
      <w:r w:rsidR="00602D26">
        <w:rPr>
          <w:rFonts w:asciiTheme="majorHAnsi" w:hAnsiTheme="majorHAnsi"/>
          <w:sz w:val="20"/>
          <w:szCs w:val="20"/>
          <w:lang w:val="es-ES"/>
        </w:rPr>
        <w:t xml:space="preserve">ó que </w:t>
      </w:r>
      <w:r w:rsidR="00C4237F">
        <w:rPr>
          <w:rFonts w:asciiTheme="majorHAnsi" w:hAnsiTheme="majorHAnsi"/>
          <w:sz w:val="20"/>
          <w:szCs w:val="20"/>
          <w:lang w:val="es-ES"/>
        </w:rPr>
        <w:t>la Corte Suprema de Ohio</w:t>
      </w:r>
      <w:r w:rsidR="00271104" w:rsidRPr="007A3389">
        <w:rPr>
          <w:rFonts w:asciiTheme="majorHAnsi" w:hAnsiTheme="majorHAnsi"/>
          <w:sz w:val="20"/>
          <w:szCs w:val="20"/>
          <w:lang w:val="es-ES"/>
        </w:rPr>
        <w:t xml:space="preserve"> </w:t>
      </w:r>
      <w:r w:rsidR="00602D26">
        <w:rPr>
          <w:rFonts w:asciiTheme="majorHAnsi" w:hAnsiTheme="majorHAnsi"/>
          <w:sz w:val="20"/>
          <w:szCs w:val="20"/>
          <w:lang w:val="es-ES"/>
        </w:rPr>
        <w:t xml:space="preserve">había tomado nota de manera clara y detallada de la prueba que obraba en el expediente, además del testimonio del doctor </w:t>
      </w:r>
      <w:r w:rsidR="00271104" w:rsidRPr="007A3389">
        <w:rPr>
          <w:rFonts w:asciiTheme="majorHAnsi" w:hAnsiTheme="majorHAnsi"/>
          <w:sz w:val="20"/>
          <w:szCs w:val="20"/>
          <w:lang w:val="es-ES"/>
        </w:rPr>
        <w:t>Fisher</w:t>
      </w:r>
      <w:r w:rsidR="00602D26">
        <w:rPr>
          <w:rFonts w:asciiTheme="majorHAnsi" w:hAnsiTheme="majorHAnsi"/>
          <w:sz w:val="20"/>
          <w:szCs w:val="20"/>
          <w:lang w:val="es-ES"/>
        </w:rPr>
        <w:t xml:space="preserve"> sobre la </w:t>
      </w:r>
      <w:r w:rsidR="00775DE4">
        <w:rPr>
          <w:rFonts w:asciiTheme="majorHAnsi" w:hAnsiTheme="majorHAnsi"/>
          <w:sz w:val="20"/>
          <w:szCs w:val="20"/>
          <w:lang w:val="es-ES"/>
        </w:rPr>
        <w:t>credibilidad</w:t>
      </w:r>
      <w:r w:rsidR="00602D26">
        <w:rPr>
          <w:rFonts w:asciiTheme="majorHAnsi" w:hAnsiTheme="majorHAnsi"/>
          <w:sz w:val="20"/>
          <w:szCs w:val="20"/>
          <w:lang w:val="es-ES"/>
        </w:rPr>
        <w:t xml:space="preserve">, y había concluido de manera razonable que no se exigía por ley que se admitiera esa prueba. La decisión se describe correctamente como una determinación de que, en vista de las amplias pruebas sobre la </w:t>
      </w:r>
      <w:r w:rsidR="00775DE4">
        <w:rPr>
          <w:rFonts w:asciiTheme="majorHAnsi" w:hAnsiTheme="majorHAnsi"/>
          <w:sz w:val="20"/>
          <w:szCs w:val="20"/>
          <w:lang w:val="es-ES"/>
        </w:rPr>
        <w:t>credibilidad</w:t>
      </w:r>
      <w:r w:rsidR="00342FA8" w:rsidRPr="007A3389">
        <w:rPr>
          <w:rFonts w:asciiTheme="majorHAnsi" w:hAnsiTheme="majorHAnsi"/>
          <w:sz w:val="20"/>
          <w:szCs w:val="20"/>
          <w:lang w:val="es-ES"/>
        </w:rPr>
        <w:t xml:space="preserve">, </w:t>
      </w:r>
      <w:r w:rsidR="007267C2">
        <w:rPr>
          <w:rFonts w:asciiTheme="majorHAnsi" w:hAnsiTheme="majorHAnsi"/>
          <w:sz w:val="20"/>
          <w:szCs w:val="20"/>
          <w:lang w:val="es-ES"/>
        </w:rPr>
        <w:t xml:space="preserve">no se </w:t>
      </w:r>
      <w:r w:rsidR="00602D26">
        <w:rPr>
          <w:rFonts w:asciiTheme="majorHAnsi" w:hAnsiTheme="majorHAnsi"/>
          <w:sz w:val="20"/>
          <w:szCs w:val="20"/>
          <w:lang w:val="es-ES"/>
        </w:rPr>
        <w:t xml:space="preserve">requería el testimonio, </w:t>
      </w:r>
      <w:r w:rsidR="007267C2">
        <w:rPr>
          <w:rFonts w:asciiTheme="majorHAnsi" w:hAnsiTheme="majorHAnsi"/>
          <w:sz w:val="20"/>
          <w:szCs w:val="20"/>
          <w:lang w:val="es-ES"/>
        </w:rPr>
        <w:t>lo cual refleja la norma de que la fiscalía puede limitar la presentación de pruebas pertinentes por una razón válida</w:t>
      </w:r>
      <w:r w:rsidR="00342FA8" w:rsidRPr="007A3389">
        <w:rPr>
          <w:rStyle w:val="FootnoteReference"/>
          <w:rFonts w:asciiTheme="majorHAnsi" w:hAnsiTheme="majorHAnsi"/>
          <w:sz w:val="20"/>
          <w:szCs w:val="20"/>
          <w:lang w:val="es-ES"/>
        </w:rPr>
        <w:footnoteReference w:id="19"/>
      </w:r>
      <w:r w:rsidR="00426EAA">
        <w:rPr>
          <w:rFonts w:asciiTheme="majorHAnsi" w:hAnsiTheme="majorHAnsi"/>
          <w:sz w:val="20"/>
          <w:szCs w:val="20"/>
          <w:lang w:val="es-ES"/>
        </w:rPr>
        <w:t>.</w:t>
      </w:r>
      <w:r w:rsidR="0065723A" w:rsidRPr="007A3389">
        <w:rPr>
          <w:rFonts w:asciiTheme="majorHAnsi" w:hAnsiTheme="majorHAnsi"/>
          <w:sz w:val="20"/>
          <w:szCs w:val="20"/>
          <w:lang w:val="es-ES"/>
        </w:rPr>
        <w:t xml:space="preserve"> </w:t>
      </w:r>
      <w:r w:rsidR="007267C2">
        <w:rPr>
          <w:rFonts w:asciiTheme="majorHAnsi" w:hAnsiTheme="majorHAnsi"/>
          <w:sz w:val="20"/>
          <w:szCs w:val="20"/>
          <w:lang w:val="es-ES"/>
        </w:rPr>
        <w:t>Se llegó a la conclusión de que la Corte Suprema de Ohio no había excluido el testimonio de manera arbitraria</w:t>
      </w:r>
      <w:r w:rsidR="00342FA8" w:rsidRPr="007A3389">
        <w:rPr>
          <w:rFonts w:asciiTheme="majorHAnsi" w:hAnsiTheme="majorHAnsi"/>
          <w:sz w:val="20"/>
          <w:szCs w:val="20"/>
          <w:lang w:val="es-ES"/>
        </w:rPr>
        <w:t xml:space="preserve">. </w:t>
      </w:r>
    </w:p>
    <w:p w14:paraId="6C77C18E" w14:textId="77777777" w:rsidR="0065723A" w:rsidRPr="007A3389" w:rsidRDefault="0065723A" w:rsidP="0065723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49495D4C" w14:textId="77777777" w:rsidR="002F4FE5" w:rsidRPr="007A3389" w:rsidRDefault="00C7097B" w:rsidP="002571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C7097B">
        <w:rPr>
          <w:rFonts w:asciiTheme="majorHAnsi" w:hAnsiTheme="majorHAnsi"/>
          <w:sz w:val="20"/>
          <w:szCs w:val="20"/>
          <w:lang w:val="es-ES"/>
        </w:rPr>
        <w:t>El señor Loza adujo</w:t>
      </w:r>
      <w:r w:rsidR="00950C1A">
        <w:rPr>
          <w:rFonts w:asciiTheme="majorHAnsi" w:hAnsiTheme="majorHAnsi"/>
          <w:sz w:val="20"/>
          <w:szCs w:val="20"/>
          <w:lang w:val="es-ES"/>
        </w:rPr>
        <w:t xml:space="preserve"> que la decisión d</w:t>
      </w:r>
      <w:r w:rsidR="00C4237F">
        <w:rPr>
          <w:rFonts w:asciiTheme="majorHAnsi" w:hAnsiTheme="majorHAnsi"/>
          <w:sz w:val="20"/>
          <w:szCs w:val="20"/>
          <w:lang w:val="es-ES"/>
        </w:rPr>
        <w:t>el Tribunal de Apelaciones de Ohio</w:t>
      </w:r>
      <w:r w:rsidR="0041384F" w:rsidRPr="007A3389">
        <w:rPr>
          <w:rFonts w:asciiTheme="majorHAnsi" w:hAnsiTheme="majorHAnsi"/>
          <w:sz w:val="20"/>
          <w:szCs w:val="20"/>
          <w:lang w:val="es-ES"/>
        </w:rPr>
        <w:t xml:space="preserve"> </w:t>
      </w:r>
      <w:r w:rsidR="00950C1A">
        <w:rPr>
          <w:rFonts w:asciiTheme="majorHAnsi" w:hAnsiTheme="majorHAnsi"/>
          <w:sz w:val="20"/>
          <w:szCs w:val="20"/>
          <w:lang w:val="es-ES"/>
        </w:rPr>
        <w:t>de que el abogado litigante</w:t>
      </w:r>
      <w:r w:rsidR="0041384F" w:rsidRPr="007A3389">
        <w:rPr>
          <w:rFonts w:asciiTheme="majorHAnsi" w:hAnsiTheme="majorHAnsi"/>
          <w:sz w:val="20"/>
          <w:szCs w:val="20"/>
          <w:lang w:val="es-ES"/>
        </w:rPr>
        <w:t xml:space="preserve"> </w:t>
      </w:r>
      <w:r w:rsidR="00950C1A">
        <w:rPr>
          <w:rFonts w:asciiTheme="majorHAnsi" w:hAnsiTheme="majorHAnsi"/>
          <w:sz w:val="20"/>
          <w:szCs w:val="20"/>
          <w:lang w:val="es-ES"/>
        </w:rPr>
        <w:t>no había sido ineficaz por el hecho de que no hubiera investigado de manera adecuada los antecedentes culturales y familiares de</w:t>
      </w:r>
      <w:r w:rsidR="00D87346" w:rsidRPr="007A3389">
        <w:rPr>
          <w:rFonts w:asciiTheme="majorHAnsi" w:hAnsiTheme="majorHAnsi"/>
          <w:sz w:val="20"/>
          <w:szCs w:val="20"/>
          <w:lang w:val="es-ES"/>
        </w:rPr>
        <w:t>l señor</w:t>
      </w:r>
      <w:r w:rsidR="0041384F" w:rsidRPr="007A3389">
        <w:rPr>
          <w:rFonts w:asciiTheme="majorHAnsi" w:hAnsiTheme="majorHAnsi"/>
          <w:sz w:val="20"/>
          <w:szCs w:val="20"/>
          <w:lang w:val="es-ES"/>
        </w:rPr>
        <w:t xml:space="preserve"> Loza</w:t>
      </w:r>
      <w:r w:rsidR="00950C1A">
        <w:rPr>
          <w:rFonts w:asciiTheme="majorHAnsi" w:hAnsiTheme="majorHAnsi"/>
          <w:sz w:val="20"/>
          <w:szCs w:val="20"/>
          <w:lang w:val="es-ES"/>
        </w:rPr>
        <w:t xml:space="preserve"> ni presentado pruebas al respecto se basó en una determinación irrazonable de los hechos y consistió en una aplicación irrazonable del derecho para resolver reclamos de patrocinio ineficaz. Argumentó que, en </w:t>
      </w:r>
      <w:r w:rsidR="00631955" w:rsidRPr="007A3389">
        <w:rPr>
          <w:rFonts w:asciiTheme="majorHAnsi" w:hAnsiTheme="majorHAnsi"/>
          <w:sz w:val="20"/>
          <w:szCs w:val="20"/>
          <w:lang w:val="es-ES"/>
        </w:rPr>
        <w:t>la petición</w:t>
      </w:r>
      <w:r w:rsidR="008E62A4" w:rsidRPr="007A3389">
        <w:rPr>
          <w:rFonts w:asciiTheme="majorHAnsi" w:hAnsiTheme="majorHAnsi"/>
          <w:sz w:val="20"/>
          <w:szCs w:val="20"/>
          <w:lang w:val="es-ES"/>
        </w:rPr>
        <w:t xml:space="preserve"> </w:t>
      </w:r>
      <w:r w:rsidR="00950C1A">
        <w:rPr>
          <w:rFonts w:asciiTheme="majorHAnsi" w:hAnsiTheme="majorHAnsi"/>
          <w:sz w:val="20"/>
          <w:szCs w:val="20"/>
          <w:lang w:val="es-ES"/>
        </w:rPr>
        <w:t xml:space="preserve">de </w:t>
      </w:r>
      <w:r w:rsidR="00B06A65">
        <w:rPr>
          <w:rFonts w:asciiTheme="majorHAnsi" w:hAnsiTheme="majorHAnsi"/>
          <w:sz w:val="20"/>
          <w:szCs w:val="20"/>
          <w:lang w:val="es-ES"/>
        </w:rPr>
        <w:t xml:space="preserve">reparación </w:t>
      </w:r>
      <w:proofErr w:type="spellStart"/>
      <w:r w:rsidR="00B06A65">
        <w:rPr>
          <w:rFonts w:asciiTheme="majorHAnsi" w:hAnsiTheme="majorHAnsi"/>
          <w:sz w:val="20"/>
          <w:szCs w:val="20"/>
          <w:lang w:val="es-ES"/>
        </w:rPr>
        <w:t>poscondenatoria</w:t>
      </w:r>
      <w:proofErr w:type="spellEnd"/>
      <w:r w:rsidR="008E62A4" w:rsidRPr="007A3389">
        <w:rPr>
          <w:rFonts w:asciiTheme="majorHAnsi" w:hAnsiTheme="majorHAnsi"/>
          <w:sz w:val="20"/>
          <w:szCs w:val="20"/>
          <w:lang w:val="es-ES"/>
        </w:rPr>
        <w:t xml:space="preserve"> </w:t>
      </w:r>
      <w:r w:rsidR="00950C1A">
        <w:rPr>
          <w:rFonts w:asciiTheme="majorHAnsi" w:hAnsiTheme="majorHAnsi"/>
          <w:sz w:val="20"/>
          <w:szCs w:val="20"/>
          <w:lang w:val="es-ES"/>
        </w:rPr>
        <w:t>presentada ante un tribunal estatal, su abogado litigante</w:t>
      </w:r>
      <w:r w:rsidR="008E62A4" w:rsidRPr="007A3389">
        <w:rPr>
          <w:rFonts w:asciiTheme="majorHAnsi" w:hAnsiTheme="majorHAnsi"/>
          <w:sz w:val="20"/>
          <w:szCs w:val="20"/>
          <w:lang w:val="es-ES"/>
        </w:rPr>
        <w:t xml:space="preserve"> </w:t>
      </w:r>
      <w:r w:rsidR="00950C1A">
        <w:rPr>
          <w:rFonts w:asciiTheme="majorHAnsi" w:hAnsiTheme="majorHAnsi"/>
          <w:sz w:val="20"/>
          <w:szCs w:val="20"/>
          <w:lang w:val="es-ES"/>
        </w:rPr>
        <w:t xml:space="preserve">no consultó a un experto en asuntos </w:t>
      </w:r>
      <w:r w:rsidR="008E62A4" w:rsidRPr="007A3389">
        <w:rPr>
          <w:rFonts w:asciiTheme="majorHAnsi" w:hAnsiTheme="majorHAnsi"/>
          <w:sz w:val="20"/>
          <w:szCs w:val="20"/>
          <w:lang w:val="es-ES"/>
        </w:rPr>
        <w:t>cultural</w:t>
      </w:r>
      <w:r w:rsidR="00950C1A">
        <w:rPr>
          <w:rFonts w:asciiTheme="majorHAnsi" w:hAnsiTheme="majorHAnsi"/>
          <w:sz w:val="20"/>
          <w:szCs w:val="20"/>
          <w:lang w:val="es-ES"/>
        </w:rPr>
        <w:t>es que pudiera haber declarado sobre los factores culturales que influyeron en la confesión d</w:t>
      </w:r>
      <w:r w:rsidR="00D87346" w:rsidRPr="007A3389">
        <w:rPr>
          <w:rFonts w:asciiTheme="majorHAnsi" w:hAnsiTheme="majorHAnsi"/>
          <w:sz w:val="20"/>
          <w:szCs w:val="20"/>
          <w:lang w:val="es-ES"/>
        </w:rPr>
        <w:t>el señor</w:t>
      </w:r>
      <w:r w:rsidR="00824ACC" w:rsidRPr="007A3389">
        <w:rPr>
          <w:rFonts w:asciiTheme="majorHAnsi" w:hAnsiTheme="majorHAnsi"/>
          <w:sz w:val="20"/>
          <w:szCs w:val="20"/>
          <w:lang w:val="es-ES"/>
        </w:rPr>
        <w:t xml:space="preserve"> Loza</w:t>
      </w:r>
      <w:r w:rsidR="00ED5300">
        <w:rPr>
          <w:rFonts w:asciiTheme="majorHAnsi" w:hAnsiTheme="majorHAnsi"/>
          <w:sz w:val="20"/>
          <w:szCs w:val="20"/>
          <w:lang w:val="es-ES"/>
        </w:rPr>
        <w:t xml:space="preserve">. Agregó que el </w:t>
      </w:r>
      <w:r w:rsidR="00950C1A">
        <w:rPr>
          <w:rFonts w:asciiTheme="majorHAnsi" w:hAnsiTheme="majorHAnsi"/>
          <w:sz w:val="20"/>
          <w:szCs w:val="20"/>
          <w:lang w:val="es-ES"/>
        </w:rPr>
        <w:t>abogado litigante</w:t>
      </w:r>
      <w:r w:rsidR="008E62A4" w:rsidRPr="007A3389">
        <w:rPr>
          <w:rFonts w:asciiTheme="majorHAnsi" w:hAnsiTheme="majorHAnsi"/>
          <w:sz w:val="20"/>
          <w:szCs w:val="20"/>
          <w:lang w:val="es-ES"/>
        </w:rPr>
        <w:t xml:space="preserve"> </w:t>
      </w:r>
      <w:r w:rsidR="00ED5300">
        <w:rPr>
          <w:rFonts w:asciiTheme="majorHAnsi" w:hAnsiTheme="majorHAnsi"/>
          <w:sz w:val="20"/>
          <w:szCs w:val="20"/>
          <w:lang w:val="es-ES"/>
        </w:rPr>
        <w:t xml:space="preserve">no presentó </w:t>
      </w:r>
      <w:r w:rsidR="00E87739">
        <w:rPr>
          <w:rFonts w:asciiTheme="majorHAnsi" w:hAnsiTheme="majorHAnsi"/>
          <w:sz w:val="20"/>
          <w:szCs w:val="20"/>
          <w:lang w:val="es-ES"/>
        </w:rPr>
        <w:t>pruebas atenuantes</w:t>
      </w:r>
      <w:r w:rsidR="008E62A4" w:rsidRPr="007A3389">
        <w:rPr>
          <w:rFonts w:asciiTheme="majorHAnsi" w:hAnsiTheme="majorHAnsi"/>
          <w:sz w:val="20"/>
          <w:szCs w:val="20"/>
          <w:lang w:val="es-ES"/>
        </w:rPr>
        <w:t xml:space="preserve"> </w:t>
      </w:r>
      <w:r w:rsidR="00ED5300">
        <w:rPr>
          <w:rFonts w:asciiTheme="majorHAnsi" w:hAnsiTheme="majorHAnsi"/>
          <w:sz w:val="20"/>
          <w:szCs w:val="20"/>
          <w:lang w:val="es-ES"/>
        </w:rPr>
        <w:t xml:space="preserve">relacionadas con su familia. </w:t>
      </w:r>
      <w:r w:rsidR="00775DE4">
        <w:rPr>
          <w:rFonts w:asciiTheme="majorHAnsi" w:hAnsiTheme="majorHAnsi"/>
          <w:sz w:val="20"/>
          <w:szCs w:val="20"/>
          <w:lang w:val="es-ES"/>
        </w:rPr>
        <w:t>El tribunal</w:t>
      </w:r>
      <w:r w:rsidR="008E62A4" w:rsidRPr="007A3389">
        <w:rPr>
          <w:rFonts w:asciiTheme="majorHAnsi" w:hAnsiTheme="majorHAnsi"/>
          <w:sz w:val="20"/>
          <w:szCs w:val="20"/>
          <w:lang w:val="es-ES"/>
        </w:rPr>
        <w:t xml:space="preserve"> </w:t>
      </w:r>
      <w:r w:rsidR="00ED5300">
        <w:rPr>
          <w:rFonts w:asciiTheme="majorHAnsi" w:hAnsiTheme="majorHAnsi"/>
          <w:sz w:val="20"/>
          <w:szCs w:val="20"/>
          <w:lang w:val="es-ES"/>
        </w:rPr>
        <w:t xml:space="preserve">señaló que </w:t>
      </w:r>
      <w:r w:rsidR="00775DE4">
        <w:rPr>
          <w:rFonts w:asciiTheme="majorHAnsi" w:hAnsiTheme="majorHAnsi"/>
          <w:sz w:val="20"/>
          <w:szCs w:val="20"/>
          <w:lang w:val="es-ES"/>
        </w:rPr>
        <w:t>el abogado litigante del señor Loza</w:t>
      </w:r>
      <w:r w:rsidR="008E62A4" w:rsidRPr="007A3389">
        <w:rPr>
          <w:rFonts w:asciiTheme="majorHAnsi" w:hAnsiTheme="majorHAnsi"/>
          <w:sz w:val="20"/>
          <w:szCs w:val="20"/>
          <w:lang w:val="es-ES"/>
        </w:rPr>
        <w:t xml:space="preserve"> </w:t>
      </w:r>
      <w:r w:rsidR="00ED5300">
        <w:rPr>
          <w:rFonts w:asciiTheme="majorHAnsi" w:hAnsiTheme="majorHAnsi"/>
          <w:sz w:val="20"/>
          <w:szCs w:val="20"/>
          <w:lang w:val="es-ES"/>
        </w:rPr>
        <w:t xml:space="preserve">había solicitado fondos, que le fueron otorgados, para viajar a </w:t>
      </w:r>
      <w:r w:rsidR="008E62A4" w:rsidRPr="007A3389">
        <w:rPr>
          <w:rFonts w:asciiTheme="majorHAnsi" w:hAnsiTheme="majorHAnsi"/>
          <w:sz w:val="20"/>
          <w:szCs w:val="20"/>
          <w:lang w:val="es-ES"/>
        </w:rPr>
        <w:t xml:space="preserve">Los </w:t>
      </w:r>
      <w:r w:rsidR="00ED5300" w:rsidRPr="007A3389">
        <w:rPr>
          <w:rFonts w:asciiTheme="majorHAnsi" w:hAnsiTheme="majorHAnsi"/>
          <w:sz w:val="20"/>
          <w:szCs w:val="20"/>
          <w:lang w:val="es-ES"/>
        </w:rPr>
        <w:t>Ángeles</w:t>
      </w:r>
      <w:r w:rsidR="008E62A4" w:rsidRPr="007A3389">
        <w:rPr>
          <w:rFonts w:asciiTheme="majorHAnsi" w:hAnsiTheme="majorHAnsi"/>
          <w:sz w:val="20"/>
          <w:szCs w:val="20"/>
          <w:lang w:val="es-ES"/>
        </w:rPr>
        <w:t xml:space="preserve"> </w:t>
      </w:r>
      <w:r w:rsidR="00ED5300">
        <w:rPr>
          <w:rFonts w:asciiTheme="majorHAnsi" w:hAnsiTheme="majorHAnsi"/>
          <w:sz w:val="20"/>
          <w:szCs w:val="20"/>
          <w:lang w:val="es-ES"/>
        </w:rPr>
        <w:t xml:space="preserve">con el fin de </w:t>
      </w:r>
      <w:r w:rsidR="008E62A4" w:rsidRPr="007A3389">
        <w:rPr>
          <w:rFonts w:asciiTheme="majorHAnsi" w:hAnsiTheme="majorHAnsi"/>
          <w:sz w:val="20"/>
          <w:szCs w:val="20"/>
          <w:lang w:val="es-ES"/>
        </w:rPr>
        <w:t>investiga</w:t>
      </w:r>
      <w:r w:rsidR="00ED5300">
        <w:rPr>
          <w:rFonts w:asciiTheme="majorHAnsi" w:hAnsiTheme="majorHAnsi"/>
          <w:sz w:val="20"/>
          <w:szCs w:val="20"/>
          <w:lang w:val="es-ES"/>
        </w:rPr>
        <w:t>r los antecedentes y la historia familiar d</w:t>
      </w:r>
      <w:r w:rsidR="00D87346" w:rsidRPr="007A3389">
        <w:rPr>
          <w:rFonts w:asciiTheme="majorHAnsi" w:hAnsiTheme="majorHAnsi"/>
          <w:sz w:val="20"/>
          <w:szCs w:val="20"/>
          <w:lang w:val="es-ES"/>
        </w:rPr>
        <w:t>el señor</w:t>
      </w:r>
      <w:r w:rsidR="008E62A4" w:rsidRPr="007A3389">
        <w:rPr>
          <w:rFonts w:asciiTheme="majorHAnsi" w:hAnsiTheme="majorHAnsi"/>
          <w:sz w:val="20"/>
          <w:szCs w:val="20"/>
          <w:lang w:val="es-ES"/>
        </w:rPr>
        <w:t xml:space="preserve"> Loza. </w:t>
      </w:r>
      <w:r w:rsidR="00ED5300">
        <w:rPr>
          <w:rFonts w:asciiTheme="majorHAnsi" w:hAnsiTheme="majorHAnsi"/>
          <w:sz w:val="20"/>
          <w:szCs w:val="20"/>
          <w:lang w:val="es-ES"/>
        </w:rPr>
        <w:t>Asimismo</w:t>
      </w:r>
      <w:r w:rsidR="008E62A4"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824ACC" w:rsidRPr="007A3389">
        <w:rPr>
          <w:rFonts w:asciiTheme="majorHAnsi" w:hAnsiTheme="majorHAnsi"/>
          <w:sz w:val="20"/>
          <w:szCs w:val="20"/>
          <w:lang w:val="es-ES"/>
        </w:rPr>
        <w:t xml:space="preserve"> </w:t>
      </w:r>
      <w:r w:rsidR="00ED5300">
        <w:rPr>
          <w:rFonts w:asciiTheme="majorHAnsi" w:hAnsiTheme="majorHAnsi"/>
          <w:sz w:val="20"/>
          <w:szCs w:val="20"/>
          <w:lang w:val="es-ES"/>
        </w:rPr>
        <w:t xml:space="preserve">tuvo en cuenta el intento del </w:t>
      </w:r>
      <w:r w:rsidR="00950C1A">
        <w:rPr>
          <w:rFonts w:asciiTheme="majorHAnsi" w:hAnsiTheme="majorHAnsi"/>
          <w:sz w:val="20"/>
          <w:szCs w:val="20"/>
          <w:lang w:val="es-ES"/>
        </w:rPr>
        <w:t>abogado litigante</w:t>
      </w:r>
      <w:r w:rsidR="00ED5300">
        <w:rPr>
          <w:rFonts w:asciiTheme="majorHAnsi" w:hAnsiTheme="majorHAnsi"/>
          <w:sz w:val="20"/>
          <w:szCs w:val="20"/>
          <w:lang w:val="es-ES"/>
        </w:rPr>
        <w:t xml:space="preserve"> de introducir el testimonio del doctor </w:t>
      </w:r>
      <w:r w:rsidR="008E62A4" w:rsidRPr="007A3389">
        <w:rPr>
          <w:rFonts w:asciiTheme="majorHAnsi" w:hAnsiTheme="majorHAnsi"/>
          <w:sz w:val="20"/>
          <w:szCs w:val="20"/>
          <w:lang w:val="es-ES"/>
        </w:rPr>
        <w:t xml:space="preserve">Fisher </w:t>
      </w:r>
      <w:r w:rsidR="00ED5300">
        <w:rPr>
          <w:rFonts w:asciiTheme="majorHAnsi" w:hAnsiTheme="majorHAnsi"/>
          <w:sz w:val="20"/>
          <w:szCs w:val="20"/>
          <w:lang w:val="es-ES"/>
        </w:rPr>
        <w:t xml:space="preserve">en la </w:t>
      </w:r>
      <w:r w:rsidR="00970CD0">
        <w:rPr>
          <w:rFonts w:asciiTheme="majorHAnsi" w:hAnsiTheme="majorHAnsi"/>
          <w:sz w:val="20"/>
          <w:szCs w:val="20"/>
          <w:lang w:val="es-ES"/>
        </w:rPr>
        <w:t>etapa de culpabilidad o inocencia</w:t>
      </w:r>
      <w:r w:rsidR="00824ACC" w:rsidRPr="007A3389">
        <w:rPr>
          <w:rFonts w:asciiTheme="majorHAnsi" w:hAnsiTheme="majorHAnsi"/>
          <w:sz w:val="20"/>
          <w:szCs w:val="20"/>
          <w:lang w:val="es-ES"/>
        </w:rPr>
        <w:t>,</w:t>
      </w:r>
      <w:r w:rsidR="008E62A4" w:rsidRPr="007A3389">
        <w:rPr>
          <w:rFonts w:asciiTheme="majorHAnsi" w:hAnsiTheme="majorHAnsi"/>
          <w:sz w:val="20"/>
          <w:szCs w:val="20"/>
          <w:lang w:val="es-ES"/>
        </w:rPr>
        <w:t xml:space="preserve"> </w:t>
      </w:r>
      <w:r w:rsidR="00ED5300">
        <w:rPr>
          <w:rFonts w:asciiTheme="majorHAnsi" w:hAnsiTheme="majorHAnsi"/>
          <w:sz w:val="20"/>
          <w:szCs w:val="20"/>
          <w:lang w:val="es-ES"/>
        </w:rPr>
        <w:t xml:space="preserve">pero observó que el </w:t>
      </w:r>
      <w:r w:rsidR="00175318">
        <w:rPr>
          <w:rFonts w:asciiTheme="majorHAnsi" w:hAnsiTheme="majorHAnsi"/>
          <w:sz w:val="20"/>
          <w:szCs w:val="20"/>
          <w:lang w:val="es-ES"/>
        </w:rPr>
        <w:t>tribunal de primera instancia</w:t>
      </w:r>
      <w:r w:rsidR="00ED5300">
        <w:rPr>
          <w:rFonts w:asciiTheme="majorHAnsi" w:hAnsiTheme="majorHAnsi"/>
          <w:sz w:val="20"/>
          <w:szCs w:val="20"/>
          <w:lang w:val="es-ES"/>
        </w:rPr>
        <w:t xml:space="preserve"> lo excluyó. Asimismo, </w:t>
      </w:r>
      <w:r w:rsidR="00775DE4">
        <w:rPr>
          <w:rFonts w:asciiTheme="majorHAnsi" w:hAnsiTheme="majorHAnsi"/>
          <w:sz w:val="20"/>
          <w:szCs w:val="20"/>
          <w:lang w:val="es-ES"/>
        </w:rPr>
        <w:t>el tribunal</w:t>
      </w:r>
      <w:r w:rsidR="00824ACC" w:rsidRPr="007A3389">
        <w:rPr>
          <w:rFonts w:asciiTheme="majorHAnsi" w:hAnsiTheme="majorHAnsi"/>
          <w:sz w:val="20"/>
          <w:szCs w:val="20"/>
          <w:lang w:val="es-ES"/>
        </w:rPr>
        <w:t xml:space="preserve"> reco</w:t>
      </w:r>
      <w:r w:rsidR="00ED5300">
        <w:rPr>
          <w:rFonts w:asciiTheme="majorHAnsi" w:hAnsiTheme="majorHAnsi"/>
          <w:sz w:val="20"/>
          <w:szCs w:val="20"/>
          <w:lang w:val="es-ES"/>
        </w:rPr>
        <w:t>noció que el abogado presentó declaraciones de varios familiares en la etapa de presentación de atenuantes. E</w:t>
      </w:r>
      <w:r w:rsidR="00175318">
        <w:rPr>
          <w:rFonts w:asciiTheme="majorHAnsi" w:hAnsiTheme="majorHAnsi"/>
          <w:sz w:val="20"/>
          <w:szCs w:val="20"/>
          <w:lang w:val="es-ES"/>
        </w:rPr>
        <w:t>l Tribunal Federal de Apelaciones</w:t>
      </w:r>
      <w:r w:rsidR="008E62A4" w:rsidRPr="007A3389">
        <w:rPr>
          <w:rFonts w:asciiTheme="majorHAnsi" w:hAnsiTheme="majorHAnsi"/>
          <w:sz w:val="20"/>
          <w:szCs w:val="20"/>
          <w:lang w:val="es-ES"/>
        </w:rPr>
        <w:t xml:space="preserve"> </w:t>
      </w:r>
      <w:r w:rsidR="00ED5300">
        <w:rPr>
          <w:rFonts w:asciiTheme="majorHAnsi" w:hAnsiTheme="majorHAnsi"/>
          <w:sz w:val="20"/>
          <w:szCs w:val="20"/>
          <w:lang w:val="es-ES"/>
        </w:rPr>
        <w:t>consideró que las determinaciones fácticas d</w:t>
      </w:r>
      <w:r w:rsidR="00775DE4">
        <w:rPr>
          <w:rFonts w:asciiTheme="majorHAnsi" w:hAnsiTheme="majorHAnsi"/>
          <w:sz w:val="20"/>
          <w:szCs w:val="20"/>
          <w:lang w:val="es-ES"/>
        </w:rPr>
        <w:t>el tribunal</w:t>
      </w:r>
      <w:r w:rsidR="00ED5300">
        <w:rPr>
          <w:rFonts w:asciiTheme="majorHAnsi" w:hAnsiTheme="majorHAnsi"/>
          <w:sz w:val="20"/>
          <w:szCs w:val="20"/>
          <w:lang w:val="es-ES"/>
        </w:rPr>
        <w:t xml:space="preserve"> no eran irrazonables. Asimismo, entendió que los </w:t>
      </w:r>
      <w:r w:rsidR="008E62A4" w:rsidRPr="007A3389">
        <w:rPr>
          <w:rFonts w:asciiTheme="majorHAnsi" w:hAnsiTheme="majorHAnsi"/>
          <w:sz w:val="20"/>
          <w:szCs w:val="20"/>
          <w:lang w:val="es-ES"/>
        </w:rPr>
        <w:t>testimoni</w:t>
      </w:r>
      <w:r w:rsidR="00ED5300">
        <w:rPr>
          <w:rFonts w:asciiTheme="majorHAnsi" w:hAnsiTheme="majorHAnsi"/>
          <w:sz w:val="20"/>
          <w:szCs w:val="20"/>
          <w:lang w:val="es-ES"/>
        </w:rPr>
        <w:t xml:space="preserve">os excluidos eran parecidos a las pruebas con que contó el jurado para sopesar los factores agravantes y atenuantes y no habrían cambiado los cálculos al ponderar las circunstancias de los </w:t>
      </w:r>
      <w:r>
        <w:rPr>
          <w:rFonts w:asciiTheme="majorHAnsi" w:hAnsiTheme="majorHAnsi"/>
          <w:sz w:val="20"/>
          <w:szCs w:val="20"/>
          <w:lang w:val="es-ES"/>
        </w:rPr>
        <w:t>homicidios</w:t>
      </w:r>
      <w:r w:rsidR="008E62A4" w:rsidRPr="007A3389">
        <w:rPr>
          <w:rFonts w:asciiTheme="majorHAnsi" w:hAnsiTheme="majorHAnsi"/>
          <w:sz w:val="20"/>
          <w:szCs w:val="20"/>
          <w:lang w:val="es-ES"/>
        </w:rPr>
        <w:t xml:space="preserve">. </w:t>
      </w:r>
    </w:p>
    <w:p w14:paraId="1E8CF811" w14:textId="77777777" w:rsidR="002F4FE5" w:rsidRPr="007A3389" w:rsidRDefault="002F4FE5" w:rsidP="002F4FE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21155448" w14:textId="77777777" w:rsidR="00B64CF2" w:rsidRPr="007A3389" w:rsidRDefault="00950C1A" w:rsidP="00531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E</w:t>
      </w:r>
      <w:r w:rsidR="00D87346" w:rsidRPr="007A3389">
        <w:rPr>
          <w:rFonts w:asciiTheme="majorHAnsi" w:hAnsiTheme="majorHAnsi"/>
          <w:sz w:val="20"/>
          <w:szCs w:val="20"/>
          <w:lang w:val="es-ES"/>
        </w:rPr>
        <w:t>l señor</w:t>
      </w:r>
      <w:r w:rsidR="0025711C" w:rsidRPr="007A3389">
        <w:rPr>
          <w:rFonts w:asciiTheme="majorHAnsi" w:hAnsiTheme="majorHAnsi"/>
          <w:sz w:val="20"/>
          <w:szCs w:val="20"/>
          <w:lang w:val="es-ES"/>
        </w:rPr>
        <w:t xml:space="preserve"> Loza a</w:t>
      </w:r>
      <w:r>
        <w:rPr>
          <w:rFonts w:asciiTheme="majorHAnsi" w:hAnsiTheme="majorHAnsi"/>
          <w:sz w:val="20"/>
          <w:szCs w:val="20"/>
          <w:lang w:val="es-ES"/>
        </w:rPr>
        <w:t xml:space="preserve">dujo que </w:t>
      </w:r>
      <w:r w:rsidR="00C4237F">
        <w:rPr>
          <w:rFonts w:asciiTheme="majorHAnsi" w:hAnsiTheme="majorHAnsi"/>
          <w:sz w:val="20"/>
          <w:szCs w:val="20"/>
          <w:lang w:val="es-ES"/>
        </w:rPr>
        <w:t>la Corte Suprema de Ohio</w:t>
      </w:r>
      <w:r w:rsidR="0025711C" w:rsidRPr="007A3389">
        <w:rPr>
          <w:rFonts w:asciiTheme="majorHAnsi" w:hAnsiTheme="majorHAnsi"/>
          <w:sz w:val="20"/>
          <w:szCs w:val="20"/>
          <w:lang w:val="es-ES"/>
        </w:rPr>
        <w:t xml:space="preserve"> </w:t>
      </w:r>
      <w:r>
        <w:rPr>
          <w:rFonts w:asciiTheme="majorHAnsi" w:hAnsiTheme="majorHAnsi"/>
          <w:sz w:val="20"/>
          <w:szCs w:val="20"/>
          <w:lang w:val="es-ES"/>
        </w:rPr>
        <w:t>aplicó de manera irrazonable el derecho federal claramente establecido cuando afirmó que las instrucciones impartidas por el t</w:t>
      </w:r>
      <w:r w:rsidR="00175318">
        <w:rPr>
          <w:rFonts w:asciiTheme="majorHAnsi" w:hAnsiTheme="majorHAnsi"/>
          <w:sz w:val="20"/>
          <w:szCs w:val="20"/>
          <w:lang w:val="es-ES"/>
        </w:rPr>
        <w:t>ribunal de primera instancia</w:t>
      </w:r>
      <w:r>
        <w:rPr>
          <w:rFonts w:asciiTheme="majorHAnsi" w:hAnsiTheme="majorHAnsi"/>
          <w:sz w:val="20"/>
          <w:szCs w:val="20"/>
          <w:lang w:val="es-ES"/>
        </w:rPr>
        <w:t xml:space="preserve"> al jurado no lo compeli</w:t>
      </w:r>
      <w:r w:rsidR="00C7097B">
        <w:rPr>
          <w:rFonts w:asciiTheme="majorHAnsi" w:hAnsiTheme="majorHAnsi"/>
          <w:sz w:val="20"/>
          <w:szCs w:val="20"/>
          <w:lang w:val="es-ES"/>
        </w:rPr>
        <w:t>eron</w:t>
      </w:r>
      <w:r>
        <w:rPr>
          <w:rFonts w:asciiTheme="majorHAnsi" w:hAnsiTheme="majorHAnsi"/>
          <w:sz w:val="20"/>
          <w:szCs w:val="20"/>
          <w:lang w:val="es-ES"/>
        </w:rPr>
        <w:t xml:space="preserve"> a pronunciar un veredicto en particular. Cuando el jurado pidió que le aclararan la forma de llegar a un veredicto cuando no se puede tomar una decisión por unanimidad</w:t>
      </w:r>
      <w:r w:rsidR="00F227E6"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25711C" w:rsidRPr="007A3389">
        <w:rPr>
          <w:rFonts w:asciiTheme="majorHAnsi" w:hAnsiTheme="majorHAnsi"/>
          <w:sz w:val="20"/>
          <w:szCs w:val="20"/>
          <w:lang w:val="es-ES"/>
        </w:rPr>
        <w:t xml:space="preserve"> </w:t>
      </w:r>
      <w:r w:rsidR="00ED5300">
        <w:rPr>
          <w:rFonts w:asciiTheme="majorHAnsi" w:hAnsiTheme="majorHAnsi"/>
          <w:sz w:val="20"/>
          <w:szCs w:val="20"/>
          <w:lang w:val="es-ES"/>
        </w:rPr>
        <w:t>le aconsejó que agotara todos los medios razonables para llegar a un veredicto unánime</w:t>
      </w:r>
      <w:r w:rsidR="0025711C" w:rsidRPr="007A3389">
        <w:rPr>
          <w:rFonts w:asciiTheme="majorHAnsi" w:hAnsiTheme="majorHAnsi"/>
          <w:sz w:val="20"/>
          <w:szCs w:val="20"/>
          <w:lang w:val="es-ES"/>
        </w:rPr>
        <w:t xml:space="preserve">, </w:t>
      </w:r>
      <w:r w:rsidR="00B52C07">
        <w:rPr>
          <w:rFonts w:asciiTheme="majorHAnsi" w:hAnsiTheme="majorHAnsi"/>
          <w:sz w:val="20"/>
          <w:szCs w:val="20"/>
          <w:lang w:val="es-ES"/>
        </w:rPr>
        <w:t xml:space="preserve">le impartió instrucciones de acuerdo con el caso </w:t>
      </w:r>
      <w:r w:rsidR="0025711C" w:rsidRPr="007A3389">
        <w:rPr>
          <w:rFonts w:asciiTheme="majorHAnsi" w:hAnsiTheme="majorHAnsi"/>
          <w:sz w:val="20"/>
          <w:szCs w:val="20"/>
          <w:lang w:val="es-ES"/>
        </w:rPr>
        <w:t xml:space="preserve">Howard </w:t>
      </w:r>
      <w:r w:rsidR="00347691">
        <w:rPr>
          <w:rFonts w:asciiTheme="majorHAnsi" w:hAnsiTheme="majorHAnsi"/>
          <w:sz w:val="20"/>
          <w:szCs w:val="20"/>
          <w:lang w:val="es-ES"/>
        </w:rPr>
        <w:t xml:space="preserve">y le dijo al presidente que indicara si el veredicto no era unánime. Tras otra ronda de deliberaciones, el jurado llegó a un veredicto unánime. </w:t>
      </w:r>
      <w:r w:rsidR="00775DE4">
        <w:rPr>
          <w:rFonts w:asciiTheme="majorHAnsi" w:hAnsiTheme="majorHAnsi"/>
          <w:sz w:val="20"/>
          <w:szCs w:val="20"/>
          <w:lang w:val="es-ES"/>
        </w:rPr>
        <w:t>El Tribunal Federal de Apelaciones</w:t>
      </w:r>
      <w:r w:rsidR="0025711C" w:rsidRPr="007A3389">
        <w:rPr>
          <w:rFonts w:asciiTheme="majorHAnsi" w:hAnsiTheme="majorHAnsi"/>
          <w:sz w:val="20"/>
          <w:szCs w:val="20"/>
          <w:lang w:val="es-ES"/>
        </w:rPr>
        <w:t xml:space="preserve"> conclu</w:t>
      </w:r>
      <w:r w:rsidR="00347691">
        <w:rPr>
          <w:rFonts w:asciiTheme="majorHAnsi" w:hAnsiTheme="majorHAnsi"/>
          <w:sz w:val="20"/>
          <w:szCs w:val="20"/>
          <w:lang w:val="es-ES"/>
        </w:rPr>
        <w:t xml:space="preserve">yó que el </w:t>
      </w:r>
      <w:r w:rsidR="00175318">
        <w:rPr>
          <w:rFonts w:asciiTheme="majorHAnsi" w:hAnsiTheme="majorHAnsi"/>
          <w:sz w:val="20"/>
          <w:szCs w:val="20"/>
          <w:lang w:val="es-ES"/>
        </w:rPr>
        <w:t>tribunal de primera instancia</w:t>
      </w:r>
      <w:r w:rsidR="0025711C" w:rsidRPr="007A3389">
        <w:rPr>
          <w:rFonts w:asciiTheme="majorHAnsi" w:hAnsiTheme="majorHAnsi"/>
          <w:sz w:val="20"/>
          <w:szCs w:val="20"/>
          <w:lang w:val="es-ES"/>
        </w:rPr>
        <w:t xml:space="preserve"> </w:t>
      </w:r>
      <w:r w:rsidR="00347691">
        <w:rPr>
          <w:rFonts w:asciiTheme="majorHAnsi" w:hAnsiTheme="majorHAnsi"/>
          <w:sz w:val="20"/>
          <w:szCs w:val="20"/>
          <w:lang w:val="es-ES"/>
        </w:rPr>
        <w:t>impartió instrucciones complementarias que habían sido aprobadas previamente por</w:t>
      </w:r>
      <w:r w:rsidR="00F227E6"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F227E6" w:rsidRPr="007A3389">
        <w:rPr>
          <w:rStyle w:val="FootnoteReference"/>
          <w:rFonts w:asciiTheme="majorHAnsi" w:hAnsiTheme="majorHAnsi"/>
          <w:sz w:val="20"/>
          <w:szCs w:val="20"/>
          <w:lang w:val="es-ES"/>
        </w:rPr>
        <w:footnoteReference w:id="20"/>
      </w:r>
      <w:r w:rsidR="00347691">
        <w:rPr>
          <w:rFonts w:asciiTheme="majorHAnsi" w:hAnsiTheme="majorHAnsi"/>
          <w:sz w:val="20"/>
          <w:szCs w:val="20"/>
          <w:lang w:val="es-ES"/>
        </w:rPr>
        <w:t>.</w:t>
      </w:r>
      <w:r w:rsidR="0025711C"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25711C" w:rsidRPr="007A3389">
        <w:rPr>
          <w:rFonts w:asciiTheme="majorHAnsi" w:hAnsiTheme="majorHAnsi"/>
          <w:sz w:val="20"/>
          <w:szCs w:val="20"/>
          <w:lang w:val="es-ES"/>
        </w:rPr>
        <w:t xml:space="preserve"> expl</w:t>
      </w:r>
      <w:r w:rsidR="00347691">
        <w:rPr>
          <w:rFonts w:asciiTheme="majorHAnsi" w:hAnsiTheme="majorHAnsi"/>
          <w:sz w:val="20"/>
          <w:szCs w:val="20"/>
          <w:lang w:val="es-ES"/>
        </w:rPr>
        <w:t xml:space="preserve">icó que, cuando un jurado está estancado, el </w:t>
      </w:r>
      <w:r w:rsidR="00175318">
        <w:rPr>
          <w:rFonts w:asciiTheme="majorHAnsi" w:hAnsiTheme="majorHAnsi"/>
          <w:sz w:val="20"/>
          <w:szCs w:val="20"/>
          <w:lang w:val="es-ES"/>
        </w:rPr>
        <w:t>tribunal de primera instancia</w:t>
      </w:r>
      <w:r w:rsidR="0025711C" w:rsidRPr="007A3389">
        <w:rPr>
          <w:rFonts w:asciiTheme="majorHAnsi" w:hAnsiTheme="majorHAnsi"/>
          <w:sz w:val="20"/>
          <w:szCs w:val="20"/>
          <w:lang w:val="es-ES"/>
        </w:rPr>
        <w:t xml:space="preserve"> </w:t>
      </w:r>
      <w:r w:rsidR="00347691">
        <w:rPr>
          <w:rFonts w:asciiTheme="majorHAnsi" w:hAnsiTheme="majorHAnsi"/>
          <w:sz w:val="20"/>
          <w:szCs w:val="20"/>
          <w:lang w:val="es-ES"/>
        </w:rPr>
        <w:t>puede impartir instrucciones complementarias para exhortar al jurado a que llegue a un veredicto si es posible</w:t>
      </w:r>
      <w:r w:rsidR="00F227E6" w:rsidRPr="007A3389">
        <w:rPr>
          <w:rFonts w:asciiTheme="majorHAnsi" w:hAnsiTheme="majorHAnsi"/>
          <w:sz w:val="20"/>
          <w:szCs w:val="20"/>
          <w:lang w:val="es-ES"/>
        </w:rPr>
        <w:t xml:space="preserve">. </w:t>
      </w:r>
      <w:r w:rsidR="00347691">
        <w:rPr>
          <w:rFonts w:asciiTheme="majorHAnsi" w:hAnsiTheme="majorHAnsi"/>
          <w:sz w:val="20"/>
          <w:szCs w:val="20"/>
          <w:lang w:val="es-ES"/>
        </w:rPr>
        <w:t xml:space="preserve">Citando el razonamiento en el caso </w:t>
      </w:r>
      <w:r w:rsidR="00F227E6" w:rsidRPr="007A3389">
        <w:rPr>
          <w:rFonts w:asciiTheme="majorHAnsi" w:hAnsiTheme="majorHAnsi"/>
          <w:sz w:val="20"/>
          <w:szCs w:val="20"/>
          <w:lang w:val="es-ES"/>
        </w:rPr>
        <w:t xml:space="preserve">Brown </w:t>
      </w:r>
      <w:r w:rsidR="00347691">
        <w:rPr>
          <w:rFonts w:asciiTheme="majorHAnsi" w:hAnsiTheme="majorHAnsi"/>
          <w:sz w:val="20"/>
          <w:szCs w:val="20"/>
          <w:lang w:val="es-ES"/>
        </w:rPr>
        <w:t>c.</w:t>
      </w:r>
      <w:r w:rsidR="0025711C" w:rsidRPr="007A3389">
        <w:rPr>
          <w:rFonts w:asciiTheme="majorHAnsi" w:hAnsiTheme="majorHAnsi"/>
          <w:sz w:val="20"/>
          <w:szCs w:val="20"/>
          <w:lang w:val="es-ES"/>
        </w:rPr>
        <w:t xml:space="preserve"> Bradshaw</w:t>
      </w:r>
      <w:r w:rsidR="00D975F8" w:rsidRPr="007A3389">
        <w:rPr>
          <w:rStyle w:val="FootnoteReference"/>
          <w:rFonts w:asciiTheme="majorHAnsi" w:hAnsiTheme="majorHAnsi"/>
          <w:sz w:val="20"/>
          <w:szCs w:val="20"/>
          <w:lang w:val="es-ES"/>
        </w:rPr>
        <w:footnoteReference w:id="21"/>
      </w:r>
      <w:r w:rsidR="00347691">
        <w:rPr>
          <w:rFonts w:asciiTheme="majorHAnsi" w:hAnsiTheme="majorHAnsi"/>
          <w:sz w:val="20"/>
          <w:szCs w:val="20"/>
          <w:lang w:val="es-ES"/>
        </w:rPr>
        <w:t xml:space="preserve"> —que</w:t>
      </w:r>
      <w:r w:rsidR="0025711C" w:rsidRPr="007A3389">
        <w:rPr>
          <w:rFonts w:asciiTheme="majorHAnsi" w:hAnsiTheme="majorHAnsi"/>
          <w:sz w:val="20"/>
          <w:szCs w:val="20"/>
          <w:lang w:val="es-ES"/>
        </w:rPr>
        <w:t xml:space="preserve"> </w:t>
      </w:r>
      <w:r w:rsidR="00347691">
        <w:rPr>
          <w:rFonts w:asciiTheme="majorHAnsi" w:hAnsiTheme="majorHAnsi"/>
          <w:sz w:val="20"/>
          <w:szCs w:val="20"/>
          <w:lang w:val="es-ES"/>
        </w:rPr>
        <w:t xml:space="preserve">las instrucciones de acuerdo con el caso </w:t>
      </w:r>
      <w:r w:rsidR="0025711C" w:rsidRPr="007A3389">
        <w:rPr>
          <w:rFonts w:asciiTheme="majorHAnsi" w:hAnsiTheme="majorHAnsi"/>
          <w:sz w:val="20"/>
          <w:szCs w:val="20"/>
          <w:lang w:val="es-ES"/>
        </w:rPr>
        <w:t xml:space="preserve">Howard </w:t>
      </w:r>
      <w:r w:rsidR="00347691">
        <w:rPr>
          <w:rFonts w:asciiTheme="majorHAnsi" w:hAnsiTheme="majorHAnsi"/>
          <w:sz w:val="20"/>
          <w:szCs w:val="20"/>
          <w:lang w:val="es-ES"/>
        </w:rPr>
        <w:t xml:space="preserve">simplemente exhortan a los miembros del jurado a considerar el punto de vista de cada uno y a preguntarse si </w:t>
      </w:r>
      <w:r w:rsidR="0025711C" w:rsidRPr="007A3389">
        <w:rPr>
          <w:rFonts w:asciiTheme="majorHAnsi" w:hAnsiTheme="majorHAnsi"/>
          <w:sz w:val="20"/>
          <w:szCs w:val="20"/>
          <w:lang w:val="es-ES"/>
        </w:rPr>
        <w:t>s</w:t>
      </w:r>
      <w:r w:rsidR="00347691">
        <w:rPr>
          <w:rFonts w:asciiTheme="majorHAnsi" w:hAnsiTheme="majorHAnsi"/>
          <w:sz w:val="20"/>
          <w:szCs w:val="20"/>
          <w:lang w:val="es-ES"/>
        </w:rPr>
        <w:t>u propio punto de vista es razonable dadas las circunstancias—,</w:t>
      </w:r>
      <w:r w:rsidR="0025711C"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F227E6" w:rsidRPr="007A3389">
        <w:rPr>
          <w:rFonts w:asciiTheme="majorHAnsi" w:hAnsiTheme="majorHAnsi"/>
          <w:sz w:val="20"/>
          <w:szCs w:val="20"/>
          <w:lang w:val="es-ES"/>
        </w:rPr>
        <w:t xml:space="preserve"> </w:t>
      </w:r>
      <w:r w:rsidR="00347691">
        <w:rPr>
          <w:rFonts w:asciiTheme="majorHAnsi" w:hAnsiTheme="majorHAnsi"/>
          <w:sz w:val="20"/>
          <w:szCs w:val="20"/>
          <w:lang w:val="es-ES"/>
        </w:rPr>
        <w:t>consideró que l</w:t>
      </w:r>
      <w:r w:rsidR="00C4237F">
        <w:rPr>
          <w:rFonts w:asciiTheme="majorHAnsi" w:hAnsiTheme="majorHAnsi"/>
          <w:sz w:val="20"/>
          <w:szCs w:val="20"/>
          <w:lang w:val="es-ES"/>
        </w:rPr>
        <w:t>a Corte Suprema de Ohio</w:t>
      </w:r>
      <w:r w:rsidR="0025711C" w:rsidRPr="007A3389">
        <w:rPr>
          <w:rFonts w:asciiTheme="majorHAnsi" w:hAnsiTheme="majorHAnsi"/>
          <w:sz w:val="20"/>
          <w:szCs w:val="20"/>
          <w:lang w:val="es-ES"/>
        </w:rPr>
        <w:t xml:space="preserve"> </w:t>
      </w:r>
      <w:r w:rsidR="00347691">
        <w:rPr>
          <w:rFonts w:asciiTheme="majorHAnsi" w:hAnsiTheme="majorHAnsi"/>
          <w:sz w:val="20"/>
          <w:szCs w:val="20"/>
          <w:lang w:val="es-ES"/>
        </w:rPr>
        <w:t>no había aplicado el derecho de manera irrazonable al determinar que las instrucciones de acuerdo con el caso</w:t>
      </w:r>
      <w:r w:rsidR="0025711C" w:rsidRPr="007A3389">
        <w:rPr>
          <w:rFonts w:asciiTheme="majorHAnsi" w:hAnsiTheme="majorHAnsi"/>
          <w:sz w:val="20"/>
          <w:szCs w:val="20"/>
          <w:lang w:val="es-ES"/>
        </w:rPr>
        <w:t xml:space="preserve"> </w:t>
      </w:r>
      <w:r w:rsidR="00F227E6" w:rsidRPr="007A3389">
        <w:rPr>
          <w:rFonts w:asciiTheme="majorHAnsi" w:hAnsiTheme="majorHAnsi"/>
          <w:sz w:val="20"/>
          <w:szCs w:val="20"/>
          <w:lang w:val="es-ES"/>
        </w:rPr>
        <w:t>Howard</w:t>
      </w:r>
      <w:r w:rsidR="0025711C" w:rsidRPr="007A3389">
        <w:rPr>
          <w:rFonts w:asciiTheme="majorHAnsi" w:hAnsiTheme="majorHAnsi"/>
          <w:sz w:val="20"/>
          <w:szCs w:val="20"/>
          <w:lang w:val="es-ES"/>
        </w:rPr>
        <w:t xml:space="preserve"> </w:t>
      </w:r>
      <w:r w:rsidR="00347691">
        <w:rPr>
          <w:rFonts w:asciiTheme="majorHAnsi" w:hAnsiTheme="majorHAnsi"/>
          <w:sz w:val="20"/>
          <w:szCs w:val="20"/>
          <w:lang w:val="es-ES"/>
        </w:rPr>
        <w:t>eran apropiadas como guía para que el jurado saliera del estancamiento</w:t>
      </w:r>
      <w:r w:rsidR="0025711C" w:rsidRPr="007A3389">
        <w:rPr>
          <w:rFonts w:asciiTheme="majorHAnsi" w:hAnsiTheme="majorHAnsi"/>
          <w:sz w:val="20"/>
          <w:szCs w:val="20"/>
          <w:lang w:val="es-ES"/>
        </w:rPr>
        <w:t xml:space="preserve">. </w:t>
      </w:r>
    </w:p>
    <w:p w14:paraId="4A4F1929" w14:textId="77777777" w:rsidR="00B64CF2" w:rsidRPr="007A3389" w:rsidRDefault="00B64CF2" w:rsidP="00B64CF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57850CEA" w14:textId="77777777" w:rsidR="005C3DAB" w:rsidRPr="007A3389" w:rsidRDefault="00347691" w:rsidP="00531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lastRenderedPageBreak/>
        <w:t>E</w:t>
      </w:r>
      <w:r w:rsidR="00D87346" w:rsidRPr="007A3389">
        <w:rPr>
          <w:rFonts w:asciiTheme="majorHAnsi" w:hAnsiTheme="majorHAnsi"/>
          <w:sz w:val="20"/>
          <w:szCs w:val="20"/>
          <w:lang w:val="es-ES"/>
        </w:rPr>
        <w:t>l señor</w:t>
      </w:r>
      <w:r w:rsidR="00D539A6" w:rsidRPr="007A3389">
        <w:rPr>
          <w:rFonts w:asciiTheme="majorHAnsi" w:hAnsiTheme="majorHAnsi"/>
          <w:sz w:val="20"/>
          <w:szCs w:val="20"/>
          <w:lang w:val="es-ES"/>
        </w:rPr>
        <w:t xml:space="preserve"> Loza argu</w:t>
      </w:r>
      <w:r>
        <w:rPr>
          <w:rFonts w:asciiTheme="majorHAnsi" w:hAnsiTheme="majorHAnsi"/>
          <w:sz w:val="20"/>
          <w:szCs w:val="20"/>
          <w:lang w:val="es-ES"/>
        </w:rPr>
        <w:t>mentó que</w:t>
      </w:r>
      <w:r w:rsidR="005313DA" w:rsidRPr="007A3389">
        <w:rPr>
          <w:rFonts w:asciiTheme="majorHAnsi" w:hAnsiTheme="majorHAnsi"/>
          <w:sz w:val="20"/>
          <w:szCs w:val="20"/>
          <w:lang w:val="es-ES"/>
        </w:rPr>
        <w:t xml:space="preserve"> </w:t>
      </w:r>
      <w:r w:rsidR="00B06A65">
        <w:rPr>
          <w:rFonts w:asciiTheme="majorHAnsi" w:hAnsiTheme="majorHAnsi"/>
          <w:sz w:val="20"/>
          <w:szCs w:val="20"/>
          <w:lang w:val="es-ES"/>
        </w:rPr>
        <w:t>el Tribunal de Apelaciones de Ohio</w:t>
      </w:r>
      <w:r w:rsidR="005313DA" w:rsidRPr="007A3389">
        <w:rPr>
          <w:rFonts w:asciiTheme="majorHAnsi" w:hAnsiTheme="majorHAnsi"/>
          <w:sz w:val="20"/>
          <w:szCs w:val="20"/>
          <w:lang w:val="es-ES"/>
        </w:rPr>
        <w:t xml:space="preserve"> </w:t>
      </w:r>
      <w:r>
        <w:rPr>
          <w:rFonts w:asciiTheme="majorHAnsi" w:hAnsiTheme="majorHAnsi"/>
          <w:sz w:val="20"/>
          <w:szCs w:val="20"/>
          <w:lang w:val="es-ES"/>
        </w:rPr>
        <w:t xml:space="preserve">había aplicado de manera irrazonable el derecho federal claramente establecido cuando rechazó su reclamo de que lo habían juzgado selectivamente por delitos punibles con la pena de muerte por razones odiosas de </w:t>
      </w:r>
      <w:r w:rsidR="00EE0CB0" w:rsidRPr="007A3389">
        <w:rPr>
          <w:rFonts w:asciiTheme="majorHAnsi" w:hAnsiTheme="majorHAnsi"/>
          <w:sz w:val="20"/>
          <w:szCs w:val="20"/>
          <w:lang w:val="es-ES"/>
        </w:rPr>
        <w:t>discriminación racial</w:t>
      </w:r>
      <w:r w:rsidR="005313DA" w:rsidRPr="007A3389">
        <w:rPr>
          <w:rFonts w:asciiTheme="majorHAnsi" w:hAnsiTheme="majorHAnsi"/>
          <w:sz w:val="20"/>
          <w:szCs w:val="20"/>
          <w:lang w:val="es-ES"/>
        </w:rPr>
        <w:t xml:space="preserve">. </w:t>
      </w:r>
      <w:r w:rsidR="00775DE4">
        <w:rPr>
          <w:rFonts w:asciiTheme="majorHAnsi" w:hAnsiTheme="majorHAnsi"/>
          <w:sz w:val="20"/>
          <w:szCs w:val="20"/>
          <w:lang w:val="es-ES"/>
        </w:rPr>
        <w:t>El tribunal de distrito</w:t>
      </w:r>
      <w:r w:rsidR="005313DA" w:rsidRPr="007A3389">
        <w:rPr>
          <w:rFonts w:asciiTheme="majorHAnsi" w:hAnsiTheme="majorHAnsi"/>
          <w:sz w:val="20"/>
          <w:szCs w:val="20"/>
          <w:lang w:val="es-ES"/>
        </w:rPr>
        <w:t xml:space="preserve"> </w:t>
      </w:r>
      <w:r w:rsidR="00472A85">
        <w:rPr>
          <w:rFonts w:asciiTheme="majorHAnsi" w:hAnsiTheme="majorHAnsi"/>
          <w:sz w:val="20"/>
          <w:szCs w:val="20"/>
          <w:lang w:val="es-ES"/>
        </w:rPr>
        <w:t xml:space="preserve">que entendió en su recurso de </w:t>
      </w:r>
      <w:r w:rsidR="00E27DC6">
        <w:rPr>
          <w:rFonts w:asciiTheme="majorHAnsi" w:hAnsiTheme="majorHAnsi"/>
          <w:sz w:val="20"/>
          <w:szCs w:val="20"/>
          <w:lang w:val="es-ES"/>
        </w:rPr>
        <w:t>hábeas corpus</w:t>
      </w:r>
      <w:r w:rsidR="00D539A6" w:rsidRPr="007A3389">
        <w:rPr>
          <w:rFonts w:asciiTheme="majorHAnsi" w:hAnsiTheme="majorHAnsi"/>
          <w:sz w:val="20"/>
          <w:szCs w:val="20"/>
          <w:lang w:val="es-ES"/>
        </w:rPr>
        <w:t xml:space="preserve"> </w:t>
      </w:r>
      <w:r w:rsidR="00472A85">
        <w:rPr>
          <w:rFonts w:asciiTheme="majorHAnsi" w:hAnsiTheme="majorHAnsi"/>
          <w:sz w:val="20"/>
          <w:szCs w:val="20"/>
          <w:lang w:val="es-ES"/>
        </w:rPr>
        <w:t>declaró procedente la petición de autorización para</w:t>
      </w:r>
      <w:r w:rsidR="005313DA" w:rsidRPr="007A3389">
        <w:rPr>
          <w:rFonts w:asciiTheme="majorHAnsi" w:hAnsiTheme="majorHAnsi"/>
          <w:sz w:val="20"/>
          <w:szCs w:val="20"/>
          <w:lang w:val="es-ES"/>
        </w:rPr>
        <w:t xml:space="preserve"> </w:t>
      </w:r>
      <w:r w:rsidR="00472A85">
        <w:rPr>
          <w:rFonts w:asciiTheme="majorHAnsi" w:hAnsiTheme="majorHAnsi"/>
          <w:sz w:val="20"/>
          <w:szCs w:val="20"/>
          <w:lang w:val="es-ES"/>
        </w:rPr>
        <w:t xml:space="preserve">presentar pruebas en relación con el reclamo. Tras considerar dicha prueba, el tribunal denegó el reclamo de </w:t>
      </w:r>
      <w:r w:rsidR="00775DE4">
        <w:rPr>
          <w:rFonts w:asciiTheme="majorHAnsi" w:hAnsiTheme="majorHAnsi"/>
          <w:sz w:val="20"/>
          <w:szCs w:val="20"/>
          <w:lang w:val="es-ES"/>
        </w:rPr>
        <w:t>juzgamiento selectivo</w:t>
      </w:r>
      <w:r w:rsidR="00472A85">
        <w:rPr>
          <w:rFonts w:asciiTheme="majorHAnsi" w:hAnsiTheme="majorHAnsi"/>
          <w:sz w:val="20"/>
          <w:szCs w:val="20"/>
          <w:lang w:val="es-ES"/>
        </w:rPr>
        <w:t xml:space="preserve">. </w:t>
      </w:r>
      <w:r w:rsidR="000E2D63">
        <w:rPr>
          <w:rFonts w:asciiTheme="majorHAnsi" w:hAnsiTheme="majorHAnsi"/>
          <w:sz w:val="20"/>
          <w:szCs w:val="20"/>
          <w:lang w:val="es-ES"/>
        </w:rPr>
        <w:t>El Tribunal Federal de Apelaciones</w:t>
      </w:r>
      <w:r w:rsidR="00D539A6" w:rsidRPr="007A3389">
        <w:rPr>
          <w:rFonts w:asciiTheme="majorHAnsi" w:hAnsiTheme="majorHAnsi"/>
          <w:sz w:val="20"/>
          <w:szCs w:val="20"/>
          <w:lang w:val="es-ES"/>
        </w:rPr>
        <w:t xml:space="preserve"> consider</w:t>
      </w:r>
      <w:r w:rsidR="00472A85">
        <w:rPr>
          <w:rFonts w:asciiTheme="majorHAnsi" w:hAnsiTheme="majorHAnsi"/>
          <w:sz w:val="20"/>
          <w:szCs w:val="20"/>
          <w:lang w:val="es-ES"/>
        </w:rPr>
        <w:t xml:space="preserve">ó que </w:t>
      </w:r>
      <w:r w:rsidR="006A4287">
        <w:rPr>
          <w:rFonts w:asciiTheme="majorHAnsi" w:hAnsiTheme="majorHAnsi"/>
          <w:sz w:val="20"/>
          <w:szCs w:val="20"/>
          <w:lang w:val="es-ES"/>
        </w:rPr>
        <w:t>recae en el acusado la prueba de probar que su juzgamiento violó las normas relativas a la igualdad ante la ley</w:t>
      </w:r>
      <w:r w:rsidR="00D539A6" w:rsidRPr="007A3389">
        <w:rPr>
          <w:rFonts w:asciiTheme="majorHAnsi" w:hAnsiTheme="majorHAnsi"/>
          <w:sz w:val="20"/>
          <w:szCs w:val="20"/>
          <w:lang w:val="es-ES"/>
        </w:rPr>
        <w:t xml:space="preserve"> </w:t>
      </w:r>
      <w:r w:rsidR="006A4287">
        <w:rPr>
          <w:rFonts w:asciiTheme="majorHAnsi" w:hAnsiTheme="majorHAnsi"/>
          <w:sz w:val="20"/>
          <w:szCs w:val="20"/>
          <w:lang w:val="es-ES"/>
        </w:rPr>
        <w:t>y que el acusado debe demostrar que</w:t>
      </w:r>
      <w:r w:rsidR="005313DA" w:rsidRPr="007A3389">
        <w:rPr>
          <w:rFonts w:asciiTheme="majorHAnsi" w:hAnsiTheme="majorHAnsi"/>
          <w:sz w:val="20"/>
          <w:szCs w:val="20"/>
          <w:lang w:val="es-ES"/>
        </w:rPr>
        <w:t xml:space="preserve"> </w:t>
      </w:r>
      <w:r w:rsidR="00775DE4">
        <w:rPr>
          <w:rFonts w:asciiTheme="majorHAnsi" w:hAnsiTheme="majorHAnsi"/>
          <w:sz w:val="20"/>
          <w:szCs w:val="20"/>
          <w:lang w:val="es-ES"/>
        </w:rPr>
        <w:t>la política de la fiscalía</w:t>
      </w:r>
      <w:r w:rsidR="005313DA" w:rsidRPr="007A3389">
        <w:rPr>
          <w:rFonts w:asciiTheme="majorHAnsi" w:hAnsiTheme="majorHAnsi"/>
          <w:sz w:val="20"/>
          <w:szCs w:val="20"/>
          <w:lang w:val="es-ES"/>
        </w:rPr>
        <w:t xml:space="preserve"> </w:t>
      </w:r>
      <w:r w:rsidR="00A43C79">
        <w:rPr>
          <w:rFonts w:asciiTheme="majorHAnsi" w:hAnsiTheme="majorHAnsi"/>
          <w:sz w:val="20"/>
          <w:szCs w:val="20"/>
          <w:lang w:val="es-ES"/>
        </w:rPr>
        <w:t xml:space="preserve">tuvo un efecto </w:t>
      </w:r>
      <w:r w:rsidR="005313DA" w:rsidRPr="007A3389">
        <w:rPr>
          <w:rFonts w:asciiTheme="majorHAnsi" w:hAnsiTheme="majorHAnsi"/>
          <w:sz w:val="20"/>
          <w:szCs w:val="20"/>
          <w:lang w:val="es-ES"/>
        </w:rPr>
        <w:t>discriminator</w:t>
      </w:r>
      <w:r w:rsidR="00A43C79">
        <w:rPr>
          <w:rFonts w:asciiTheme="majorHAnsi" w:hAnsiTheme="majorHAnsi"/>
          <w:sz w:val="20"/>
          <w:szCs w:val="20"/>
          <w:lang w:val="es-ES"/>
        </w:rPr>
        <w:t>io y su motivo era discriminar</w:t>
      </w:r>
      <w:r w:rsidR="00D539A6" w:rsidRPr="007A3389">
        <w:rPr>
          <w:rStyle w:val="FootnoteReference"/>
          <w:rFonts w:asciiTheme="majorHAnsi" w:hAnsiTheme="majorHAnsi"/>
          <w:sz w:val="20"/>
          <w:szCs w:val="20"/>
          <w:lang w:val="es-ES"/>
        </w:rPr>
        <w:footnoteReference w:id="22"/>
      </w:r>
      <w:r w:rsidR="00A43C79">
        <w:rPr>
          <w:rFonts w:asciiTheme="majorHAnsi" w:hAnsiTheme="majorHAnsi"/>
          <w:sz w:val="20"/>
          <w:szCs w:val="20"/>
          <w:lang w:val="es-ES"/>
        </w:rPr>
        <w:t>.</w:t>
      </w:r>
      <w:r w:rsidR="005313DA" w:rsidRPr="007A3389">
        <w:rPr>
          <w:rFonts w:asciiTheme="majorHAnsi" w:hAnsiTheme="majorHAnsi"/>
          <w:sz w:val="20"/>
          <w:szCs w:val="20"/>
          <w:lang w:val="es-ES"/>
        </w:rPr>
        <w:t xml:space="preserve"> </w:t>
      </w:r>
      <w:r w:rsidR="00775DE4">
        <w:rPr>
          <w:rFonts w:asciiTheme="majorHAnsi" w:hAnsiTheme="majorHAnsi"/>
          <w:sz w:val="20"/>
          <w:szCs w:val="20"/>
          <w:lang w:val="es-ES"/>
        </w:rPr>
        <w:t>E</w:t>
      </w:r>
      <w:r w:rsidR="00A43C79">
        <w:rPr>
          <w:rFonts w:asciiTheme="majorHAnsi" w:hAnsiTheme="majorHAnsi"/>
          <w:sz w:val="20"/>
          <w:szCs w:val="20"/>
          <w:lang w:val="es-ES"/>
        </w:rPr>
        <w:t>xplicó que, en los casos en que el acusado alega discriminación ilícita por motivos de raza, para demostrar el efecto discriminatorio debe probar que otras personas de otra raza que se encontraban en una situación similar no fueron juzgadas</w:t>
      </w:r>
      <w:r w:rsidR="006A15B5" w:rsidRPr="007A3389">
        <w:rPr>
          <w:rStyle w:val="FootnoteReference"/>
          <w:rFonts w:asciiTheme="majorHAnsi" w:hAnsiTheme="majorHAnsi"/>
          <w:sz w:val="20"/>
          <w:szCs w:val="20"/>
          <w:lang w:val="es-ES"/>
        </w:rPr>
        <w:footnoteReference w:id="23"/>
      </w:r>
      <w:r w:rsidR="00A43C79">
        <w:rPr>
          <w:rFonts w:asciiTheme="majorHAnsi" w:hAnsiTheme="majorHAnsi"/>
          <w:sz w:val="20"/>
          <w:szCs w:val="20"/>
          <w:lang w:val="es-ES"/>
        </w:rPr>
        <w:t>.</w:t>
      </w:r>
      <w:r w:rsidR="00B86D99" w:rsidRPr="007A3389">
        <w:rPr>
          <w:rFonts w:asciiTheme="majorHAnsi" w:hAnsiTheme="majorHAnsi"/>
          <w:sz w:val="20"/>
          <w:szCs w:val="20"/>
          <w:lang w:val="es-ES"/>
        </w:rPr>
        <w:t xml:space="preserve"> </w:t>
      </w:r>
      <w:r w:rsidR="00A43C79">
        <w:rPr>
          <w:rFonts w:asciiTheme="majorHAnsi" w:hAnsiTheme="majorHAnsi"/>
          <w:sz w:val="20"/>
          <w:szCs w:val="20"/>
          <w:lang w:val="es-ES"/>
        </w:rPr>
        <w:t xml:space="preserve">Con respecto al reclamo de que </w:t>
      </w:r>
      <w:r w:rsidR="00D87346" w:rsidRPr="007A3389">
        <w:rPr>
          <w:rFonts w:asciiTheme="majorHAnsi" w:hAnsiTheme="majorHAnsi"/>
          <w:sz w:val="20"/>
          <w:szCs w:val="20"/>
          <w:lang w:val="es-ES"/>
        </w:rPr>
        <w:t>el señor</w:t>
      </w:r>
      <w:r w:rsidR="00B86D99" w:rsidRPr="007A3389">
        <w:rPr>
          <w:rFonts w:asciiTheme="majorHAnsi" w:hAnsiTheme="majorHAnsi"/>
          <w:sz w:val="20"/>
          <w:szCs w:val="20"/>
          <w:lang w:val="es-ES"/>
        </w:rPr>
        <w:t xml:space="preserve"> Loza </w:t>
      </w:r>
      <w:r w:rsidR="00A43C79">
        <w:rPr>
          <w:rFonts w:asciiTheme="majorHAnsi" w:hAnsiTheme="majorHAnsi"/>
          <w:sz w:val="20"/>
          <w:szCs w:val="20"/>
          <w:lang w:val="es-ES"/>
        </w:rPr>
        <w:t>y</w:t>
      </w:r>
      <w:r w:rsidR="00B86D99"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la señorita</w:t>
      </w:r>
      <w:r w:rsidR="00B86D99" w:rsidRPr="007A3389">
        <w:rPr>
          <w:rFonts w:asciiTheme="majorHAnsi" w:hAnsiTheme="majorHAnsi"/>
          <w:sz w:val="20"/>
          <w:szCs w:val="20"/>
          <w:lang w:val="es-ES"/>
        </w:rPr>
        <w:t xml:space="preserve"> Jackson </w:t>
      </w:r>
      <w:r w:rsidR="00A43C79">
        <w:rPr>
          <w:rFonts w:asciiTheme="majorHAnsi" w:hAnsiTheme="majorHAnsi"/>
          <w:sz w:val="20"/>
          <w:szCs w:val="20"/>
          <w:lang w:val="es-ES"/>
        </w:rPr>
        <w:t xml:space="preserve">se encontraban en una situación similar </w:t>
      </w:r>
      <w:r w:rsidR="00464D80">
        <w:rPr>
          <w:rFonts w:asciiTheme="majorHAnsi" w:hAnsiTheme="majorHAnsi"/>
          <w:sz w:val="20"/>
          <w:szCs w:val="20"/>
          <w:lang w:val="es-ES"/>
        </w:rPr>
        <w:t>para ser enjuiciados por homicidio,</w:t>
      </w:r>
      <w:r w:rsidR="00B86D99" w:rsidRPr="007A3389">
        <w:rPr>
          <w:rFonts w:asciiTheme="majorHAnsi" w:hAnsiTheme="majorHAnsi"/>
          <w:sz w:val="20"/>
          <w:szCs w:val="20"/>
          <w:lang w:val="es-ES"/>
        </w:rPr>
        <w:t xml:space="preserve"> </w:t>
      </w:r>
      <w:r w:rsidR="00A43C79">
        <w:rPr>
          <w:rFonts w:asciiTheme="majorHAnsi" w:hAnsiTheme="majorHAnsi"/>
          <w:sz w:val="20"/>
          <w:szCs w:val="20"/>
          <w:lang w:val="es-ES"/>
        </w:rPr>
        <w:t>puso de relieve las pruebas significativas y sustanciales que implicaban a</w:t>
      </w:r>
      <w:r w:rsidR="00D87346" w:rsidRPr="007A3389">
        <w:rPr>
          <w:rFonts w:asciiTheme="majorHAnsi" w:hAnsiTheme="majorHAnsi"/>
          <w:sz w:val="20"/>
          <w:szCs w:val="20"/>
          <w:lang w:val="es-ES"/>
        </w:rPr>
        <w:t>l señor</w:t>
      </w:r>
      <w:r w:rsidR="00850933" w:rsidRPr="007A3389">
        <w:rPr>
          <w:rFonts w:asciiTheme="majorHAnsi" w:hAnsiTheme="majorHAnsi"/>
          <w:sz w:val="20"/>
          <w:szCs w:val="20"/>
          <w:lang w:val="es-ES"/>
        </w:rPr>
        <w:t xml:space="preserve"> Loza </w:t>
      </w:r>
      <w:r w:rsidR="00A43C79">
        <w:rPr>
          <w:rFonts w:asciiTheme="majorHAnsi" w:hAnsiTheme="majorHAnsi"/>
          <w:sz w:val="20"/>
          <w:szCs w:val="20"/>
          <w:lang w:val="es-ES"/>
        </w:rPr>
        <w:t>en los homicidios, entre ellas su confesión</w:t>
      </w:r>
      <w:r w:rsidR="00850933" w:rsidRPr="007A3389">
        <w:rPr>
          <w:rFonts w:asciiTheme="majorHAnsi" w:hAnsiTheme="majorHAnsi"/>
          <w:sz w:val="20"/>
          <w:szCs w:val="20"/>
          <w:lang w:val="es-ES"/>
        </w:rPr>
        <w:t xml:space="preserve"> </w:t>
      </w:r>
      <w:r w:rsidR="00A43C79">
        <w:rPr>
          <w:rFonts w:asciiTheme="majorHAnsi" w:hAnsiTheme="majorHAnsi"/>
          <w:sz w:val="20"/>
          <w:szCs w:val="20"/>
          <w:lang w:val="es-ES"/>
        </w:rPr>
        <w:t xml:space="preserve">y la declaración de </w:t>
      </w:r>
      <w:proofErr w:type="spellStart"/>
      <w:r w:rsidR="00850933" w:rsidRPr="007A3389">
        <w:rPr>
          <w:rFonts w:asciiTheme="majorHAnsi" w:hAnsiTheme="majorHAnsi"/>
          <w:sz w:val="20"/>
          <w:szCs w:val="20"/>
          <w:lang w:val="es-ES"/>
        </w:rPr>
        <w:t>Dorothy</w:t>
      </w:r>
      <w:proofErr w:type="spellEnd"/>
      <w:r w:rsidR="00850933" w:rsidRPr="007A3389">
        <w:rPr>
          <w:rFonts w:asciiTheme="majorHAnsi" w:hAnsiTheme="majorHAnsi"/>
          <w:sz w:val="20"/>
          <w:szCs w:val="20"/>
          <w:lang w:val="es-ES"/>
        </w:rPr>
        <w:t xml:space="preserve"> Jackson</w:t>
      </w:r>
      <w:r w:rsidR="00A43C79">
        <w:rPr>
          <w:rFonts w:asciiTheme="majorHAnsi" w:hAnsiTheme="majorHAnsi"/>
          <w:sz w:val="20"/>
          <w:szCs w:val="20"/>
          <w:lang w:val="es-ES"/>
        </w:rPr>
        <w:t xml:space="preserve"> a los </w:t>
      </w:r>
      <w:r w:rsidR="00775DE4">
        <w:rPr>
          <w:rFonts w:asciiTheme="majorHAnsi" w:hAnsiTheme="majorHAnsi"/>
          <w:sz w:val="20"/>
          <w:szCs w:val="20"/>
          <w:lang w:val="es-ES"/>
        </w:rPr>
        <w:t>investigadores</w:t>
      </w:r>
      <w:r w:rsidR="00850933" w:rsidRPr="007A3389">
        <w:rPr>
          <w:rFonts w:asciiTheme="majorHAnsi" w:hAnsiTheme="majorHAnsi"/>
          <w:sz w:val="20"/>
          <w:szCs w:val="20"/>
          <w:lang w:val="es-ES"/>
        </w:rPr>
        <w:t xml:space="preserve"> </w:t>
      </w:r>
      <w:r w:rsidR="00A43C79">
        <w:rPr>
          <w:rFonts w:asciiTheme="majorHAnsi" w:hAnsiTheme="majorHAnsi"/>
          <w:sz w:val="20"/>
          <w:szCs w:val="20"/>
          <w:lang w:val="es-ES"/>
        </w:rPr>
        <w:t xml:space="preserve">de que </w:t>
      </w:r>
      <w:r w:rsidR="00D87346" w:rsidRPr="007A3389">
        <w:rPr>
          <w:rFonts w:asciiTheme="majorHAnsi" w:hAnsiTheme="majorHAnsi"/>
          <w:sz w:val="20"/>
          <w:szCs w:val="20"/>
          <w:lang w:val="es-ES"/>
        </w:rPr>
        <w:t>el señor</w:t>
      </w:r>
      <w:r w:rsidR="00850933" w:rsidRPr="007A3389">
        <w:rPr>
          <w:rFonts w:asciiTheme="majorHAnsi" w:hAnsiTheme="majorHAnsi"/>
          <w:sz w:val="20"/>
          <w:szCs w:val="20"/>
          <w:lang w:val="es-ES"/>
        </w:rPr>
        <w:t xml:space="preserve"> Loza </w:t>
      </w:r>
      <w:r w:rsidR="00A43C79">
        <w:rPr>
          <w:rFonts w:asciiTheme="majorHAnsi" w:hAnsiTheme="majorHAnsi"/>
          <w:sz w:val="20"/>
          <w:szCs w:val="20"/>
          <w:lang w:val="es-ES"/>
        </w:rPr>
        <w:t xml:space="preserve">había matado a su familia, y concluyó que </w:t>
      </w:r>
      <w:r w:rsidR="00464D80">
        <w:rPr>
          <w:rFonts w:asciiTheme="majorHAnsi" w:hAnsiTheme="majorHAnsi"/>
          <w:sz w:val="20"/>
          <w:szCs w:val="20"/>
          <w:lang w:val="es-ES"/>
        </w:rPr>
        <w:t xml:space="preserve">la determinación del </w:t>
      </w:r>
      <w:r w:rsidR="00775DE4">
        <w:rPr>
          <w:rFonts w:asciiTheme="majorHAnsi" w:hAnsiTheme="majorHAnsi"/>
          <w:sz w:val="20"/>
          <w:szCs w:val="20"/>
          <w:lang w:val="es-ES"/>
        </w:rPr>
        <w:t>tribunal</w:t>
      </w:r>
      <w:r w:rsidR="00850933" w:rsidRPr="007A3389">
        <w:rPr>
          <w:rFonts w:asciiTheme="majorHAnsi" w:hAnsiTheme="majorHAnsi"/>
          <w:sz w:val="20"/>
          <w:szCs w:val="20"/>
          <w:lang w:val="es-ES"/>
        </w:rPr>
        <w:t xml:space="preserve"> </w:t>
      </w:r>
      <w:r w:rsidR="00464D80">
        <w:rPr>
          <w:rFonts w:asciiTheme="majorHAnsi" w:hAnsiTheme="majorHAnsi"/>
          <w:sz w:val="20"/>
          <w:szCs w:val="20"/>
          <w:lang w:val="es-ES"/>
        </w:rPr>
        <w:t xml:space="preserve">de que </w:t>
      </w:r>
      <w:r w:rsidR="00D87346" w:rsidRPr="007A3389">
        <w:rPr>
          <w:rFonts w:asciiTheme="majorHAnsi" w:hAnsiTheme="majorHAnsi"/>
          <w:sz w:val="20"/>
          <w:szCs w:val="20"/>
          <w:lang w:val="es-ES"/>
        </w:rPr>
        <w:t>el señor</w:t>
      </w:r>
      <w:r w:rsidR="00850933" w:rsidRPr="007A3389">
        <w:rPr>
          <w:rFonts w:asciiTheme="majorHAnsi" w:hAnsiTheme="majorHAnsi"/>
          <w:sz w:val="20"/>
          <w:szCs w:val="20"/>
          <w:lang w:val="es-ES"/>
        </w:rPr>
        <w:t xml:space="preserve"> Loza </w:t>
      </w:r>
      <w:r w:rsidR="00A43C79">
        <w:rPr>
          <w:rFonts w:asciiTheme="majorHAnsi" w:hAnsiTheme="majorHAnsi"/>
          <w:sz w:val="20"/>
          <w:szCs w:val="20"/>
          <w:lang w:val="es-ES"/>
        </w:rPr>
        <w:t>y</w:t>
      </w:r>
      <w:r w:rsidR="00850933" w:rsidRPr="007A3389">
        <w:rPr>
          <w:rFonts w:asciiTheme="majorHAnsi" w:hAnsiTheme="majorHAnsi"/>
          <w:sz w:val="20"/>
          <w:szCs w:val="20"/>
          <w:lang w:val="es-ES"/>
        </w:rPr>
        <w:t xml:space="preserve"> </w:t>
      </w:r>
      <w:r w:rsidR="00117FCC" w:rsidRPr="007A3389">
        <w:rPr>
          <w:rFonts w:asciiTheme="majorHAnsi" w:hAnsiTheme="majorHAnsi"/>
          <w:sz w:val="20"/>
          <w:szCs w:val="20"/>
          <w:lang w:val="es-ES"/>
        </w:rPr>
        <w:t>la señorita</w:t>
      </w:r>
      <w:r w:rsidR="00850933" w:rsidRPr="007A3389">
        <w:rPr>
          <w:rFonts w:asciiTheme="majorHAnsi" w:hAnsiTheme="majorHAnsi"/>
          <w:sz w:val="20"/>
          <w:szCs w:val="20"/>
          <w:lang w:val="es-ES"/>
        </w:rPr>
        <w:t xml:space="preserve"> Jackson </w:t>
      </w:r>
      <w:r w:rsidR="00A43C79">
        <w:rPr>
          <w:rFonts w:asciiTheme="majorHAnsi" w:hAnsiTheme="majorHAnsi"/>
          <w:sz w:val="20"/>
          <w:szCs w:val="20"/>
          <w:lang w:val="es-ES"/>
        </w:rPr>
        <w:t xml:space="preserve">no se encontraban en una situación similar </w:t>
      </w:r>
      <w:r w:rsidR="00464D80">
        <w:rPr>
          <w:rFonts w:asciiTheme="majorHAnsi" w:hAnsiTheme="majorHAnsi"/>
          <w:sz w:val="20"/>
          <w:szCs w:val="20"/>
          <w:lang w:val="es-ES"/>
        </w:rPr>
        <w:t xml:space="preserve">no había sido irrazonable </w:t>
      </w:r>
      <w:r w:rsidR="00A43C79">
        <w:rPr>
          <w:rFonts w:asciiTheme="majorHAnsi" w:hAnsiTheme="majorHAnsi"/>
          <w:sz w:val="20"/>
          <w:szCs w:val="20"/>
          <w:lang w:val="es-ES"/>
        </w:rPr>
        <w:t xml:space="preserve">y </w:t>
      </w:r>
      <w:r w:rsidR="00464D80">
        <w:rPr>
          <w:rFonts w:asciiTheme="majorHAnsi" w:hAnsiTheme="majorHAnsi"/>
          <w:sz w:val="20"/>
          <w:szCs w:val="20"/>
          <w:lang w:val="es-ES"/>
        </w:rPr>
        <w:t xml:space="preserve">que </w:t>
      </w:r>
      <w:r w:rsidR="00A43C79">
        <w:rPr>
          <w:rFonts w:asciiTheme="majorHAnsi" w:hAnsiTheme="majorHAnsi"/>
          <w:sz w:val="20"/>
          <w:szCs w:val="20"/>
          <w:lang w:val="es-ES"/>
        </w:rPr>
        <w:t xml:space="preserve">no había pruebas que implicaran a </w:t>
      </w:r>
      <w:r w:rsidR="00117FCC" w:rsidRPr="007A3389">
        <w:rPr>
          <w:rFonts w:asciiTheme="majorHAnsi" w:hAnsiTheme="majorHAnsi"/>
          <w:sz w:val="20"/>
          <w:szCs w:val="20"/>
          <w:lang w:val="es-ES"/>
        </w:rPr>
        <w:t>la señorita</w:t>
      </w:r>
      <w:r w:rsidR="00850933" w:rsidRPr="007A3389">
        <w:rPr>
          <w:rFonts w:asciiTheme="majorHAnsi" w:hAnsiTheme="majorHAnsi"/>
          <w:sz w:val="20"/>
          <w:szCs w:val="20"/>
          <w:lang w:val="es-ES"/>
        </w:rPr>
        <w:t xml:space="preserve"> Jackson </w:t>
      </w:r>
      <w:r w:rsidR="00A43C79">
        <w:rPr>
          <w:rFonts w:asciiTheme="majorHAnsi" w:hAnsiTheme="majorHAnsi"/>
          <w:sz w:val="20"/>
          <w:szCs w:val="20"/>
          <w:lang w:val="es-ES"/>
        </w:rPr>
        <w:t>en los homicidios</w:t>
      </w:r>
      <w:r w:rsidR="00850933"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850933" w:rsidRPr="007A3389">
        <w:rPr>
          <w:rFonts w:asciiTheme="majorHAnsi" w:hAnsiTheme="majorHAnsi"/>
          <w:sz w:val="20"/>
          <w:szCs w:val="20"/>
          <w:lang w:val="es-ES"/>
        </w:rPr>
        <w:t xml:space="preserve"> </w:t>
      </w:r>
      <w:r w:rsidR="00464D80">
        <w:rPr>
          <w:rFonts w:asciiTheme="majorHAnsi" w:hAnsiTheme="majorHAnsi"/>
          <w:sz w:val="20"/>
          <w:szCs w:val="20"/>
          <w:lang w:val="es-ES"/>
        </w:rPr>
        <w:t xml:space="preserve">determinó también que </w:t>
      </w:r>
      <w:r w:rsidR="00D87346" w:rsidRPr="007A3389">
        <w:rPr>
          <w:rFonts w:asciiTheme="majorHAnsi" w:hAnsiTheme="majorHAnsi"/>
          <w:sz w:val="20"/>
          <w:szCs w:val="20"/>
          <w:lang w:val="es-ES"/>
        </w:rPr>
        <w:t>el señor</w:t>
      </w:r>
      <w:r w:rsidR="00850933" w:rsidRPr="007A3389">
        <w:rPr>
          <w:rFonts w:asciiTheme="majorHAnsi" w:hAnsiTheme="majorHAnsi"/>
          <w:sz w:val="20"/>
          <w:szCs w:val="20"/>
          <w:lang w:val="es-ES"/>
        </w:rPr>
        <w:t xml:space="preserve"> Loza </w:t>
      </w:r>
      <w:r w:rsidR="00464D80">
        <w:rPr>
          <w:rFonts w:asciiTheme="majorHAnsi" w:hAnsiTheme="majorHAnsi"/>
          <w:sz w:val="20"/>
          <w:szCs w:val="20"/>
          <w:lang w:val="es-ES"/>
        </w:rPr>
        <w:t xml:space="preserve">no había demostrado el efecto discriminatorio necesario para que su reclamo de </w:t>
      </w:r>
      <w:r w:rsidR="00775DE4">
        <w:rPr>
          <w:rFonts w:asciiTheme="majorHAnsi" w:hAnsiTheme="majorHAnsi"/>
          <w:sz w:val="20"/>
          <w:szCs w:val="20"/>
          <w:lang w:val="es-ES"/>
        </w:rPr>
        <w:t>juzgamiento selectivo</w:t>
      </w:r>
      <w:r w:rsidR="00850933" w:rsidRPr="007A3389">
        <w:rPr>
          <w:rFonts w:asciiTheme="majorHAnsi" w:hAnsiTheme="majorHAnsi"/>
          <w:sz w:val="20"/>
          <w:szCs w:val="20"/>
          <w:lang w:val="es-ES"/>
        </w:rPr>
        <w:t xml:space="preserve"> </w:t>
      </w:r>
      <w:r w:rsidR="00464D80">
        <w:rPr>
          <w:rFonts w:asciiTheme="majorHAnsi" w:hAnsiTheme="majorHAnsi"/>
          <w:sz w:val="20"/>
          <w:szCs w:val="20"/>
          <w:lang w:val="es-ES"/>
        </w:rPr>
        <w:t>fuera procedente. Agregó que los datos estadísticos presentados eran insuficientes para probar un fin discriminatorio y recalcó que el acusado debe demostrar que hubo un fin y un efecto discriminatorio.</w:t>
      </w:r>
      <w:r w:rsidR="00850933" w:rsidRPr="007A3389">
        <w:rPr>
          <w:rFonts w:asciiTheme="majorHAnsi" w:hAnsiTheme="majorHAnsi"/>
          <w:sz w:val="20"/>
          <w:szCs w:val="20"/>
          <w:lang w:val="es-ES"/>
        </w:rPr>
        <w:t xml:space="preserve"> </w:t>
      </w:r>
    </w:p>
    <w:p w14:paraId="264D50BD" w14:textId="77777777" w:rsidR="005C3DAB" w:rsidRPr="007A3389" w:rsidRDefault="005C3DAB" w:rsidP="005C3DA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F1F336E" w14:textId="77777777" w:rsidR="00FC28E6" w:rsidRPr="007A3389" w:rsidRDefault="005F2595" w:rsidP="00531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Por último</w:t>
      </w:r>
      <w:r w:rsidR="005C3DAB" w:rsidRPr="007A3389">
        <w:rPr>
          <w:rFonts w:asciiTheme="majorHAnsi" w:hAnsiTheme="majorHAnsi"/>
          <w:sz w:val="20"/>
          <w:szCs w:val="20"/>
          <w:lang w:val="es-ES"/>
        </w:rPr>
        <w:t xml:space="preserve">, </w:t>
      </w:r>
      <w:r w:rsidR="00D87346" w:rsidRPr="007A3389">
        <w:rPr>
          <w:rFonts w:asciiTheme="majorHAnsi" w:hAnsiTheme="majorHAnsi"/>
          <w:sz w:val="20"/>
          <w:szCs w:val="20"/>
          <w:lang w:val="es-ES"/>
        </w:rPr>
        <w:t>el señor</w:t>
      </w:r>
      <w:r w:rsidR="005C3DAB" w:rsidRPr="007A3389">
        <w:rPr>
          <w:rFonts w:asciiTheme="majorHAnsi" w:hAnsiTheme="majorHAnsi"/>
          <w:sz w:val="20"/>
          <w:szCs w:val="20"/>
          <w:lang w:val="es-ES"/>
        </w:rPr>
        <w:t xml:space="preserve"> Loza a</w:t>
      </w:r>
      <w:r>
        <w:rPr>
          <w:rFonts w:asciiTheme="majorHAnsi" w:hAnsiTheme="majorHAnsi"/>
          <w:sz w:val="20"/>
          <w:szCs w:val="20"/>
          <w:lang w:val="es-ES"/>
        </w:rPr>
        <w:t xml:space="preserve">dujo que tenía derecho al </w:t>
      </w:r>
      <w:r w:rsidR="00287B22" w:rsidRPr="007A3389">
        <w:rPr>
          <w:rFonts w:asciiTheme="majorHAnsi" w:hAnsiTheme="majorHAnsi"/>
          <w:sz w:val="20"/>
          <w:szCs w:val="20"/>
          <w:lang w:val="es-ES"/>
        </w:rPr>
        <w:t>h</w:t>
      </w:r>
      <w:r>
        <w:rPr>
          <w:rFonts w:asciiTheme="majorHAnsi" w:hAnsiTheme="majorHAnsi"/>
          <w:sz w:val="20"/>
          <w:szCs w:val="20"/>
          <w:lang w:val="es-ES"/>
        </w:rPr>
        <w:t>á</w:t>
      </w:r>
      <w:r w:rsidR="00287B22" w:rsidRPr="007A3389">
        <w:rPr>
          <w:rFonts w:asciiTheme="majorHAnsi" w:hAnsiTheme="majorHAnsi"/>
          <w:sz w:val="20"/>
          <w:szCs w:val="20"/>
          <w:lang w:val="es-ES"/>
        </w:rPr>
        <w:t xml:space="preserve">beas </w:t>
      </w:r>
      <w:r>
        <w:rPr>
          <w:rFonts w:asciiTheme="majorHAnsi" w:hAnsiTheme="majorHAnsi"/>
          <w:sz w:val="20"/>
          <w:szCs w:val="20"/>
          <w:lang w:val="es-ES"/>
        </w:rPr>
        <w:t xml:space="preserve">corpus porque los agentes de policía no le informaron después de arrestarlo que tenía derecho a contactarse con el Consulado de México </w:t>
      </w:r>
      <w:r w:rsidR="001D31B1">
        <w:rPr>
          <w:rFonts w:asciiTheme="majorHAnsi" w:hAnsiTheme="majorHAnsi"/>
          <w:sz w:val="20"/>
          <w:szCs w:val="20"/>
          <w:lang w:val="es-ES"/>
        </w:rPr>
        <w:t>de acuerdo con</w:t>
      </w:r>
      <w:r w:rsidR="00287B22" w:rsidRPr="007A3389">
        <w:rPr>
          <w:rFonts w:asciiTheme="majorHAnsi" w:hAnsiTheme="majorHAnsi"/>
          <w:sz w:val="20"/>
          <w:szCs w:val="20"/>
          <w:lang w:val="es-ES"/>
        </w:rPr>
        <w:t xml:space="preserve"> </w:t>
      </w:r>
      <w:r w:rsidR="00EE0CB0" w:rsidRPr="007A3389">
        <w:rPr>
          <w:rFonts w:asciiTheme="majorHAnsi" w:hAnsiTheme="majorHAnsi"/>
          <w:sz w:val="20"/>
          <w:szCs w:val="20"/>
          <w:lang w:val="es-ES"/>
        </w:rPr>
        <w:t xml:space="preserve">la </w:t>
      </w:r>
      <w:r>
        <w:rPr>
          <w:rFonts w:asciiTheme="majorHAnsi" w:hAnsiTheme="majorHAnsi"/>
          <w:sz w:val="20"/>
          <w:szCs w:val="20"/>
          <w:lang w:val="es-ES"/>
        </w:rPr>
        <w:t>Convención de Viena sobre Relaciones Consulares</w:t>
      </w:r>
      <w:r w:rsidR="00287B22"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8E06C9" w:rsidRPr="007A3389">
        <w:rPr>
          <w:rFonts w:asciiTheme="majorHAnsi" w:hAnsiTheme="majorHAnsi"/>
          <w:sz w:val="20"/>
          <w:szCs w:val="20"/>
          <w:lang w:val="es-ES"/>
        </w:rPr>
        <w:t xml:space="preserve"> </w:t>
      </w:r>
      <w:r w:rsidR="001D31B1">
        <w:rPr>
          <w:rFonts w:asciiTheme="majorHAnsi" w:hAnsiTheme="majorHAnsi"/>
          <w:sz w:val="20"/>
          <w:szCs w:val="20"/>
          <w:lang w:val="es-ES"/>
        </w:rPr>
        <w:t xml:space="preserve">sostuvo que </w:t>
      </w:r>
      <w:r w:rsidR="00EE0CB0" w:rsidRPr="007A3389">
        <w:rPr>
          <w:rFonts w:asciiTheme="majorHAnsi" w:hAnsiTheme="majorHAnsi"/>
          <w:sz w:val="20"/>
          <w:szCs w:val="20"/>
          <w:lang w:val="es-ES"/>
        </w:rPr>
        <w:t>la Convención de Viena</w:t>
      </w:r>
      <w:r w:rsidR="008E06C9" w:rsidRPr="007A3389">
        <w:rPr>
          <w:rFonts w:asciiTheme="majorHAnsi" w:hAnsiTheme="majorHAnsi"/>
          <w:sz w:val="20"/>
          <w:szCs w:val="20"/>
          <w:lang w:val="es-ES"/>
        </w:rPr>
        <w:t xml:space="preserve"> </w:t>
      </w:r>
      <w:r w:rsidR="001D31B1">
        <w:rPr>
          <w:rFonts w:asciiTheme="majorHAnsi" w:hAnsiTheme="majorHAnsi"/>
          <w:sz w:val="20"/>
          <w:szCs w:val="20"/>
          <w:lang w:val="es-ES"/>
        </w:rPr>
        <w:t>no crea un derecho exigible ante los tribunales federales de que un extranjero detenido consulte a representantes diplomáticos de su país</w:t>
      </w:r>
      <w:r w:rsidR="008E06C9" w:rsidRPr="007A3389">
        <w:rPr>
          <w:rStyle w:val="FootnoteReference"/>
          <w:rFonts w:asciiTheme="majorHAnsi" w:hAnsiTheme="majorHAnsi"/>
          <w:sz w:val="20"/>
          <w:szCs w:val="20"/>
          <w:lang w:val="es-ES"/>
        </w:rPr>
        <w:footnoteReference w:id="24"/>
      </w:r>
      <w:r w:rsidR="001D31B1">
        <w:rPr>
          <w:rFonts w:asciiTheme="majorHAnsi" w:hAnsiTheme="majorHAnsi"/>
          <w:sz w:val="20"/>
          <w:szCs w:val="20"/>
          <w:lang w:val="es-ES"/>
        </w:rPr>
        <w:t>.</w:t>
      </w:r>
      <w:r w:rsidR="00D82760"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1171CF" w:rsidRPr="007A3389">
        <w:rPr>
          <w:rFonts w:asciiTheme="majorHAnsi" w:hAnsiTheme="majorHAnsi"/>
          <w:sz w:val="20"/>
          <w:szCs w:val="20"/>
          <w:lang w:val="es-ES"/>
        </w:rPr>
        <w:t xml:space="preserve"> </w:t>
      </w:r>
      <w:r w:rsidR="001D31B1">
        <w:rPr>
          <w:rFonts w:asciiTheme="majorHAnsi" w:hAnsiTheme="majorHAnsi"/>
          <w:sz w:val="20"/>
          <w:szCs w:val="20"/>
          <w:lang w:val="es-ES"/>
        </w:rPr>
        <w:t>ratificó la decisión de</w:t>
      </w:r>
      <w:r w:rsidR="00775DE4">
        <w:rPr>
          <w:rFonts w:asciiTheme="majorHAnsi" w:hAnsiTheme="majorHAnsi"/>
          <w:sz w:val="20"/>
          <w:szCs w:val="20"/>
          <w:lang w:val="es-ES"/>
        </w:rPr>
        <w:t>l tribunal de distrito</w:t>
      </w:r>
      <w:r w:rsidR="001D31B1">
        <w:rPr>
          <w:rFonts w:asciiTheme="majorHAnsi" w:hAnsiTheme="majorHAnsi"/>
          <w:sz w:val="20"/>
          <w:szCs w:val="20"/>
          <w:lang w:val="es-ES"/>
        </w:rPr>
        <w:t xml:space="preserve"> de desestimar la petición</w:t>
      </w:r>
      <w:r w:rsidR="00292BC4">
        <w:rPr>
          <w:rFonts w:asciiTheme="majorHAnsi" w:hAnsiTheme="majorHAnsi"/>
          <w:sz w:val="20"/>
          <w:szCs w:val="20"/>
          <w:lang w:val="es-ES"/>
        </w:rPr>
        <w:t xml:space="preserve">, en tanto que </w:t>
      </w:r>
      <w:r w:rsidR="00175318">
        <w:rPr>
          <w:rFonts w:asciiTheme="majorHAnsi" w:hAnsiTheme="majorHAnsi"/>
          <w:sz w:val="20"/>
          <w:szCs w:val="20"/>
          <w:lang w:val="es-ES"/>
        </w:rPr>
        <w:t>la Corte Suprema de Estados Unidos</w:t>
      </w:r>
      <w:r w:rsidR="007A51E3" w:rsidRPr="007A3389">
        <w:rPr>
          <w:rFonts w:asciiTheme="majorHAnsi" w:hAnsiTheme="majorHAnsi"/>
          <w:sz w:val="20"/>
          <w:szCs w:val="20"/>
          <w:lang w:val="es-ES"/>
        </w:rPr>
        <w:t xml:space="preserve"> den</w:t>
      </w:r>
      <w:r w:rsidR="00292BC4">
        <w:rPr>
          <w:rFonts w:asciiTheme="majorHAnsi" w:hAnsiTheme="majorHAnsi"/>
          <w:sz w:val="20"/>
          <w:szCs w:val="20"/>
          <w:lang w:val="es-ES"/>
        </w:rPr>
        <w:t xml:space="preserve">egó el </w:t>
      </w:r>
      <w:r w:rsidR="00175318">
        <w:rPr>
          <w:rFonts w:asciiTheme="majorHAnsi" w:hAnsiTheme="majorHAnsi"/>
          <w:sz w:val="20"/>
          <w:szCs w:val="20"/>
          <w:lang w:val="es-ES"/>
        </w:rPr>
        <w:t>auto de avocación</w:t>
      </w:r>
      <w:r w:rsidR="007A51E3" w:rsidRPr="007A3389">
        <w:rPr>
          <w:rStyle w:val="FootnoteReference"/>
          <w:rFonts w:asciiTheme="majorHAnsi" w:hAnsiTheme="majorHAnsi"/>
          <w:sz w:val="20"/>
          <w:szCs w:val="20"/>
          <w:lang w:val="es-ES"/>
        </w:rPr>
        <w:footnoteReference w:id="25"/>
      </w:r>
      <w:r w:rsidR="00292BC4">
        <w:rPr>
          <w:rFonts w:asciiTheme="majorHAnsi" w:hAnsiTheme="majorHAnsi"/>
          <w:sz w:val="20"/>
          <w:szCs w:val="20"/>
          <w:lang w:val="es-ES"/>
        </w:rPr>
        <w:t>.</w:t>
      </w:r>
      <w:r w:rsidR="00D82760" w:rsidRPr="007A3389">
        <w:rPr>
          <w:rFonts w:asciiTheme="majorHAnsi" w:hAnsiTheme="majorHAnsi"/>
          <w:sz w:val="20"/>
          <w:szCs w:val="20"/>
          <w:lang w:val="es-ES"/>
        </w:rPr>
        <w:t xml:space="preserve"> </w:t>
      </w:r>
    </w:p>
    <w:p w14:paraId="6B04FBD1" w14:textId="77777777" w:rsidR="00FC28E6" w:rsidRPr="007A3389" w:rsidRDefault="00FC28E6" w:rsidP="00FC28E6">
      <w:pPr>
        <w:pStyle w:val="ListParagraph"/>
        <w:rPr>
          <w:rFonts w:asciiTheme="majorHAnsi" w:hAnsiTheme="majorHAnsi"/>
          <w:sz w:val="20"/>
          <w:szCs w:val="20"/>
          <w:lang w:val="es-ES"/>
        </w:rPr>
      </w:pPr>
    </w:p>
    <w:p w14:paraId="393D80AE" w14:textId="77777777" w:rsidR="00E524D4" w:rsidRPr="007A3389" w:rsidRDefault="000D3EE0" w:rsidP="00531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7A3389">
        <w:rPr>
          <w:rFonts w:asciiTheme="majorHAnsi" w:hAnsiTheme="majorHAnsi"/>
          <w:sz w:val="20"/>
          <w:szCs w:val="20"/>
          <w:lang w:val="es-ES"/>
        </w:rPr>
        <w:t>Los peticionarios</w:t>
      </w:r>
      <w:r w:rsidR="0043073C" w:rsidRPr="007A3389">
        <w:rPr>
          <w:rFonts w:asciiTheme="majorHAnsi" w:hAnsiTheme="majorHAnsi"/>
          <w:sz w:val="20"/>
          <w:szCs w:val="20"/>
          <w:lang w:val="es-ES"/>
        </w:rPr>
        <w:t xml:space="preserve"> expl</w:t>
      </w:r>
      <w:r w:rsidR="00292BC4">
        <w:rPr>
          <w:rFonts w:asciiTheme="majorHAnsi" w:hAnsiTheme="majorHAnsi"/>
          <w:sz w:val="20"/>
          <w:szCs w:val="20"/>
          <w:lang w:val="es-ES"/>
        </w:rPr>
        <w:t xml:space="preserve">ican que, el </w:t>
      </w:r>
      <w:r w:rsidR="00FC28E6" w:rsidRPr="007A3389">
        <w:rPr>
          <w:rFonts w:asciiTheme="majorHAnsi" w:hAnsiTheme="majorHAnsi"/>
          <w:sz w:val="20"/>
          <w:szCs w:val="20"/>
          <w:lang w:val="es-ES"/>
        </w:rPr>
        <w:t>21</w:t>
      </w:r>
      <w:r w:rsidR="00292BC4">
        <w:rPr>
          <w:rFonts w:asciiTheme="majorHAnsi" w:hAnsiTheme="majorHAnsi"/>
          <w:sz w:val="20"/>
          <w:szCs w:val="20"/>
          <w:lang w:val="es-ES"/>
        </w:rPr>
        <w:t xml:space="preserve"> de mayo de</w:t>
      </w:r>
      <w:r w:rsidR="00FC28E6" w:rsidRPr="007A3389">
        <w:rPr>
          <w:rFonts w:asciiTheme="majorHAnsi" w:hAnsiTheme="majorHAnsi"/>
          <w:sz w:val="20"/>
          <w:szCs w:val="20"/>
          <w:lang w:val="es-ES"/>
        </w:rPr>
        <w:t xml:space="preserve"> 2018, </w:t>
      </w:r>
      <w:r w:rsidR="00D87346" w:rsidRPr="007A3389">
        <w:rPr>
          <w:rFonts w:asciiTheme="majorHAnsi" w:hAnsiTheme="majorHAnsi"/>
          <w:sz w:val="20"/>
          <w:szCs w:val="20"/>
          <w:lang w:val="es-ES"/>
        </w:rPr>
        <w:t>el señor</w:t>
      </w:r>
      <w:r w:rsidR="00FC28E6" w:rsidRPr="007A3389">
        <w:rPr>
          <w:rFonts w:asciiTheme="majorHAnsi" w:hAnsiTheme="majorHAnsi"/>
          <w:sz w:val="20"/>
          <w:szCs w:val="20"/>
          <w:lang w:val="es-ES"/>
        </w:rPr>
        <w:t xml:space="preserve"> Loza </w:t>
      </w:r>
      <w:r w:rsidR="00895166">
        <w:rPr>
          <w:rFonts w:asciiTheme="majorHAnsi" w:hAnsiTheme="majorHAnsi"/>
          <w:sz w:val="20"/>
          <w:szCs w:val="20"/>
          <w:lang w:val="es-ES"/>
        </w:rPr>
        <w:t xml:space="preserve">pidió clemencia al gobernador de </w:t>
      </w:r>
      <w:r w:rsidR="00FC28E6" w:rsidRPr="007A3389">
        <w:rPr>
          <w:rFonts w:asciiTheme="majorHAnsi" w:hAnsiTheme="majorHAnsi"/>
          <w:sz w:val="20"/>
          <w:szCs w:val="20"/>
          <w:lang w:val="es-ES"/>
        </w:rPr>
        <w:t>Ohio</w:t>
      </w:r>
      <w:r w:rsidR="00FC28E6" w:rsidRPr="007A3389">
        <w:rPr>
          <w:rStyle w:val="FootnoteReference"/>
          <w:rFonts w:asciiTheme="majorHAnsi" w:hAnsiTheme="majorHAnsi"/>
          <w:sz w:val="20"/>
          <w:szCs w:val="20"/>
          <w:lang w:val="es-ES"/>
        </w:rPr>
        <w:footnoteReference w:id="26"/>
      </w:r>
      <w:r w:rsidR="00895166">
        <w:rPr>
          <w:rFonts w:asciiTheme="majorHAnsi" w:hAnsiTheme="majorHAnsi"/>
          <w:sz w:val="20"/>
          <w:szCs w:val="20"/>
          <w:lang w:val="es-ES"/>
        </w:rPr>
        <w:t>.</w:t>
      </w:r>
      <w:r w:rsidR="00FC28E6" w:rsidRPr="007A3389">
        <w:rPr>
          <w:rFonts w:asciiTheme="majorHAnsi" w:hAnsiTheme="majorHAnsi"/>
          <w:sz w:val="20"/>
          <w:szCs w:val="20"/>
          <w:lang w:val="es-ES"/>
        </w:rPr>
        <w:t xml:space="preserve"> </w:t>
      </w:r>
      <w:r w:rsidR="008A10AB" w:rsidRPr="007A3389">
        <w:rPr>
          <w:rFonts w:asciiTheme="majorHAnsi" w:hAnsiTheme="majorHAnsi"/>
          <w:sz w:val="20"/>
          <w:szCs w:val="20"/>
          <w:lang w:val="es-ES"/>
        </w:rPr>
        <w:t>La Comisión</w:t>
      </w:r>
      <w:r w:rsidR="00FC28E6" w:rsidRPr="007A3389">
        <w:rPr>
          <w:rFonts w:asciiTheme="majorHAnsi" w:hAnsiTheme="majorHAnsi"/>
          <w:sz w:val="20"/>
          <w:szCs w:val="20"/>
          <w:lang w:val="es-ES"/>
        </w:rPr>
        <w:t xml:space="preserve"> </w:t>
      </w:r>
      <w:r w:rsidR="00895166">
        <w:rPr>
          <w:rFonts w:asciiTheme="majorHAnsi" w:hAnsiTheme="majorHAnsi"/>
          <w:sz w:val="20"/>
          <w:szCs w:val="20"/>
          <w:lang w:val="es-ES"/>
        </w:rPr>
        <w:t>no cuenta con información sobre el resultado de esta petición.</w:t>
      </w:r>
      <w:r w:rsidR="00FC28E6" w:rsidRPr="007A3389">
        <w:rPr>
          <w:rFonts w:asciiTheme="majorHAnsi" w:hAnsiTheme="majorHAnsi"/>
          <w:sz w:val="20"/>
          <w:szCs w:val="20"/>
          <w:lang w:val="es-ES"/>
        </w:rPr>
        <w:t xml:space="preserve"> </w:t>
      </w:r>
      <w:r w:rsidR="00BB6F8A">
        <w:rPr>
          <w:rFonts w:asciiTheme="majorHAnsi" w:hAnsiTheme="majorHAnsi"/>
          <w:sz w:val="20"/>
          <w:szCs w:val="20"/>
          <w:lang w:val="es-ES"/>
        </w:rPr>
        <w:t>E</w:t>
      </w:r>
      <w:r w:rsidR="00D87346" w:rsidRPr="007A3389">
        <w:rPr>
          <w:rFonts w:asciiTheme="majorHAnsi" w:hAnsiTheme="majorHAnsi"/>
          <w:sz w:val="20"/>
          <w:szCs w:val="20"/>
          <w:lang w:val="es-ES"/>
        </w:rPr>
        <w:t>l señor</w:t>
      </w:r>
      <w:r w:rsidR="00D82760" w:rsidRPr="007A3389">
        <w:rPr>
          <w:rFonts w:asciiTheme="majorHAnsi" w:hAnsiTheme="majorHAnsi"/>
          <w:sz w:val="20"/>
          <w:szCs w:val="20"/>
          <w:lang w:val="es-ES"/>
        </w:rPr>
        <w:t xml:space="preserve"> Loza </w:t>
      </w:r>
      <w:r w:rsidR="00BB6F8A">
        <w:rPr>
          <w:rFonts w:asciiTheme="majorHAnsi" w:hAnsiTheme="majorHAnsi"/>
          <w:sz w:val="20"/>
          <w:szCs w:val="20"/>
          <w:lang w:val="es-ES"/>
        </w:rPr>
        <w:t>sigue detenido mientras se aguardan más detalles sobre la ejecución.</w:t>
      </w:r>
    </w:p>
    <w:p w14:paraId="077E6184" w14:textId="77777777" w:rsidR="00146E18" w:rsidRPr="007A3389" w:rsidRDefault="00146E18" w:rsidP="00146E18">
      <w:pPr>
        <w:rPr>
          <w:lang w:val="es-ES"/>
        </w:rPr>
      </w:pPr>
    </w:p>
    <w:p w14:paraId="166FB150" w14:textId="77777777" w:rsidR="00021557" w:rsidRPr="007A3389" w:rsidRDefault="000D3EE0" w:rsidP="00146E18">
      <w:pPr>
        <w:pStyle w:val="Heading2"/>
        <w:numPr>
          <w:ilvl w:val="0"/>
          <w:numId w:val="58"/>
        </w:numPr>
        <w:tabs>
          <w:tab w:val="left" w:pos="360"/>
        </w:tabs>
        <w:spacing w:before="0"/>
        <w:ind w:hanging="720"/>
        <w:rPr>
          <w:color w:val="auto"/>
          <w:sz w:val="20"/>
          <w:szCs w:val="20"/>
          <w:lang w:val="es-ES"/>
        </w:rPr>
      </w:pPr>
      <w:bookmarkStart w:id="15" w:name="_Toc90298923"/>
      <w:r w:rsidRPr="007A3389">
        <w:rPr>
          <w:color w:val="auto"/>
          <w:sz w:val="20"/>
          <w:szCs w:val="20"/>
          <w:lang w:val="es-ES"/>
        </w:rPr>
        <w:t>Método de ejecución</w:t>
      </w:r>
      <w:bookmarkEnd w:id="15"/>
    </w:p>
    <w:p w14:paraId="55F211EB" w14:textId="77777777" w:rsidR="00021557" w:rsidRPr="007A3389"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42A645A1" w14:textId="77777777" w:rsidR="00C36568" w:rsidRPr="007A3389" w:rsidRDefault="00895166" w:rsidP="00C365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 xml:space="preserve">En el momento en que se presentó </w:t>
      </w:r>
      <w:r w:rsidR="00631955" w:rsidRPr="007A3389">
        <w:rPr>
          <w:rFonts w:asciiTheme="majorHAnsi" w:hAnsiTheme="majorHAnsi"/>
          <w:sz w:val="20"/>
          <w:szCs w:val="20"/>
          <w:lang w:val="es-ES"/>
        </w:rPr>
        <w:t>la petición</w:t>
      </w:r>
      <w:r w:rsidR="00300F38" w:rsidRPr="007A3389">
        <w:rPr>
          <w:rFonts w:asciiTheme="majorHAnsi" w:hAnsiTheme="majorHAnsi"/>
          <w:sz w:val="20"/>
          <w:szCs w:val="20"/>
          <w:lang w:val="es-ES"/>
        </w:rPr>
        <w:t xml:space="preserve">, </w:t>
      </w:r>
      <w:r w:rsidR="00BF21D5">
        <w:rPr>
          <w:rFonts w:asciiTheme="majorHAnsi" w:hAnsiTheme="majorHAnsi"/>
          <w:sz w:val="20"/>
          <w:szCs w:val="20"/>
          <w:lang w:val="es-ES"/>
        </w:rPr>
        <w:t xml:space="preserve">los fármacos especificados en la Política en Materia de Ejecuciones del </w:t>
      </w:r>
      <w:r w:rsidR="00BF21D5" w:rsidRPr="00BF21D5">
        <w:rPr>
          <w:rFonts w:asciiTheme="majorHAnsi" w:hAnsiTheme="majorHAnsi"/>
          <w:sz w:val="20"/>
          <w:szCs w:val="20"/>
          <w:lang w:val="es-ES"/>
        </w:rPr>
        <w:t xml:space="preserve">Estado </w:t>
      </w:r>
      <w:r w:rsidR="00BF21D5">
        <w:rPr>
          <w:rFonts w:asciiTheme="majorHAnsi" w:hAnsiTheme="majorHAnsi"/>
          <w:sz w:val="20"/>
          <w:szCs w:val="20"/>
          <w:lang w:val="es-ES"/>
        </w:rPr>
        <w:t>de</w:t>
      </w:r>
      <w:r w:rsidR="00BF21D5" w:rsidRPr="00BF21D5">
        <w:rPr>
          <w:rFonts w:asciiTheme="majorHAnsi" w:hAnsiTheme="majorHAnsi"/>
          <w:sz w:val="20"/>
          <w:szCs w:val="20"/>
          <w:lang w:val="es-ES"/>
        </w:rPr>
        <w:t xml:space="preserve"> Ohio</w:t>
      </w:r>
      <w:r w:rsidR="00BF21D5">
        <w:rPr>
          <w:rFonts w:asciiTheme="majorHAnsi" w:hAnsiTheme="majorHAnsi"/>
          <w:sz w:val="20"/>
          <w:szCs w:val="20"/>
          <w:lang w:val="es-ES"/>
        </w:rPr>
        <w:t xml:space="preserve"> para la </w:t>
      </w:r>
      <w:r w:rsidR="003A46FC">
        <w:rPr>
          <w:rFonts w:asciiTheme="majorHAnsi" w:hAnsiTheme="majorHAnsi"/>
          <w:sz w:val="20"/>
          <w:szCs w:val="20"/>
          <w:lang w:val="es-ES"/>
        </w:rPr>
        <w:t>inyección letal</w:t>
      </w:r>
      <w:r w:rsidR="00BF21D5">
        <w:rPr>
          <w:rFonts w:asciiTheme="majorHAnsi" w:hAnsiTheme="majorHAnsi"/>
          <w:sz w:val="20"/>
          <w:szCs w:val="20"/>
          <w:lang w:val="es-ES"/>
        </w:rPr>
        <w:t xml:space="preserve"> eran </w:t>
      </w:r>
      <w:r>
        <w:rPr>
          <w:rFonts w:asciiTheme="majorHAnsi" w:hAnsiTheme="majorHAnsi"/>
          <w:sz w:val="20"/>
          <w:szCs w:val="20"/>
          <w:lang w:val="es-ES"/>
        </w:rPr>
        <w:t>tiopental sódico</w:t>
      </w:r>
      <w:r w:rsidR="00DC2F9D" w:rsidRPr="007A3389">
        <w:rPr>
          <w:rFonts w:asciiTheme="majorHAnsi" w:hAnsiTheme="majorHAnsi"/>
          <w:sz w:val="20"/>
          <w:szCs w:val="20"/>
          <w:lang w:val="es-ES"/>
        </w:rPr>
        <w:t xml:space="preserve"> </w:t>
      </w:r>
      <w:r w:rsidR="00BF21D5">
        <w:rPr>
          <w:rFonts w:asciiTheme="majorHAnsi" w:hAnsiTheme="majorHAnsi"/>
          <w:sz w:val="20"/>
          <w:szCs w:val="20"/>
          <w:lang w:val="es-ES"/>
        </w:rPr>
        <w:t>y pentobarbital</w:t>
      </w:r>
      <w:r w:rsidR="00DC2F9D" w:rsidRPr="007A3389">
        <w:rPr>
          <w:rStyle w:val="FootnoteReference"/>
          <w:rFonts w:asciiTheme="majorHAnsi" w:hAnsiTheme="majorHAnsi"/>
          <w:sz w:val="20"/>
          <w:szCs w:val="20"/>
          <w:lang w:val="es-ES"/>
        </w:rPr>
        <w:footnoteReference w:id="27"/>
      </w:r>
      <w:r w:rsidR="00BF21D5">
        <w:rPr>
          <w:rFonts w:asciiTheme="majorHAnsi" w:hAnsiTheme="majorHAnsi"/>
          <w:sz w:val="20"/>
          <w:szCs w:val="20"/>
          <w:lang w:val="es-ES"/>
        </w:rPr>
        <w:t>. Sin embargo, el fabricante original de</w:t>
      </w:r>
      <w:r w:rsidR="00483801" w:rsidRPr="007A3389">
        <w:rPr>
          <w:rFonts w:asciiTheme="majorHAnsi" w:hAnsiTheme="majorHAnsi"/>
          <w:sz w:val="20"/>
          <w:szCs w:val="20"/>
          <w:lang w:val="es-ES"/>
        </w:rPr>
        <w:t xml:space="preserve"> </w:t>
      </w:r>
      <w:r>
        <w:rPr>
          <w:rFonts w:asciiTheme="majorHAnsi" w:hAnsiTheme="majorHAnsi"/>
          <w:sz w:val="20"/>
          <w:szCs w:val="20"/>
          <w:lang w:val="es-ES"/>
        </w:rPr>
        <w:t>tiopental sódico</w:t>
      </w:r>
      <w:r w:rsidR="00483801" w:rsidRPr="007A3389">
        <w:rPr>
          <w:rFonts w:asciiTheme="majorHAnsi" w:hAnsiTheme="majorHAnsi"/>
          <w:sz w:val="20"/>
          <w:szCs w:val="20"/>
          <w:lang w:val="es-ES"/>
        </w:rPr>
        <w:t xml:space="preserve"> </w:t>
      </w:r>
      <w:r w:rsidR="00DC2F9D" w:rsidRPr="007A3389">
        <w:rPr>
          <w:rFonts w:asciiTheme="majorHAnsi" w:hAnsiTheme="majorHAnsi"/>
          <w:sz w:val="20"/>
          <w:szCs w:val="20"/>
          <w:lang w:val="es-ES"/>
        </w:rPr>
        <w:t>ha</w:t>
      </w:r>
      <w:r w:rsidR="00BF21D5">
        <w:rPr>
          <w:rFonts w:asciiTheme="majorHAnsi" w:hAnsiTheme="majorHAnsi"/>
          <w:sz w:val="20"/>
          <w:szCs w:val="20"/>
          <w:lang w:val="es-ES"/>
        </w:rPr>
        <w:t xml:space="preserve">bía dejado de fabricarlo, y los fabricantes y proveedores de </w:t>
      </w:r>
      <w:r w:rsidR="00483801" w:rsidRPr="007A3389">
        <w:rPr>
          <w:rFonts w:asciiTheme="majorHAnsi" w:hAnsiTheme="majorHAnsi"/>
          <w:sz w:val="20"/>
          <w:szCs w:val="20"/>
          <w:lang w:val="es-ES"/>
        </w:rPr>
        <w:t>pentobarbital ha</w:t>
      </w:r>
      <w:r w:rsidR="00BF21D5">
        <w:rPr>
          <w:rFonts w:asciiTheme="majorHAnsi" w:hAnsiTheme="majorHAnsi"/>
          <w:sz w:val="20"/>
          <w:szCs w:val="20"/>
          <w:lang w:val="es-ES"/>
        </w:rPr>
        <w:t>bían prohibido la venta a departamentos correccionales</w:t>
      </w:r>
      <w:r w:rsidR="00DC2F9D" w:rsidRPr="007A3389">
        <w:rPr>
          <w:rStyle w:val="FootnoteReference"/>
          <w:rFonts w:asciiTheme="majorHAnsi" w:hAnsiTheme="majorHAnsi"/>
          <w:sz w:val="20"/>
          <w:szCs w:val="20"/>
          <w:lang w:val="es-ES"/>
        </w:rPr>
        <w:footnoteReference w:id="28"/>
      </w:r>
      <w:r w:rsidR="00BF21D5">
        <w:rPr>
          <w:rFonts w:asciiTheme="majorHAnsi" w:hAnsiTheme="majorHAnsi"/>
          <w:sz w:val="20"/>
          <w:szCs w:val="20"/>
          <w:lang w:val="es-ES"/>
        </w:rPr>
        <w:t>.</w:t>
      </w:r>
    </w:p>
    <w:p w14:paraId="7FCA027B" w14:textId="77777777" w:rsidR="007775C0" w:rsidRPr="007A3389" w:rsidRDefault="007775C0" w:rsidP="007775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jc w:val="both"/>
        <w:rPr>
          <w:rFonts w:asciiTheme="majorHAnsi" w:hAnsiTheme="majorHAnsi"/>
          <w:sz w:val="20"/>
          <w:szCs w:val="20"/>
          <w:lang w:val="es-ES"/>
        </w:rPr>
      </w:pPr>
    </w:p>
    <w:p w14:paraId="03CE3674" w14:textId="77777777" w:rsidR="00C36568" w:rsidRPr="007A3389" w:rsidRDefault="00BF21D5" w:rsidP="00C95D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 xml:space="preserve">Según la información proporcionada por </w:t>
      </w:r>
      <w:r w:rsidR="000D3EE0" w:rsidRPr="007A3389">
        <w:rPr>
          <w:rFonts w:asciiTheme="majorHAnsi" w:hAnsiTheme="majorHAnsi"/>
          <w:sz w:val="20"/>
          <w:szCs w:val="20"/>
          <w:lang w:val="es-ES"/>
        </w:rPr>
        <w:t>los peticionarios</w:t>
      </w:r>
      <w:r w:rsidR="00C771AA" w:rsidRPr="007A3389">
        <w:rPr>
          <w:rFonts w:asciiTheme="majorHAnsi" w:hAnsiTheme="majorHAnsi"/>
          <w:sz w:val="20"/>
          <w:szCs w:val="20"/>
          <w:lang w:val="es-ES"/>
        </w:rPr>
        <w:t xml:space="preserve">, </w:t>
      </w:r>
      <w:r>
        <w:rPr>
          <w:rFonts w:asciiTheme="majorHAnsi" w:hAnsiTheme="majorHAnsi"/>
          <w:sz w:val="20"/>
          <w:szCs w:val="20"/>
          <w:lang w:val="es-ES"/>
        </w:rPr>
        <w:t xml:space="preserve">que no fue impugnada por </w:t>
      </w:r>
      <w:r w:rsidR="00D87346" w:rsidRPr="007A3389">
        <w:rPr>
          <w:rFonts w:asciiTheme="majorHAnsi" w:hAnsiTheme="majorHAnsi"/>
          <w:sz w:val="20"/>
          <w:szCs w:val="20"/>
          <w:lang w:val="es-ES"/>
        </w:rPr>
        <w:t>el Estado</w:t>
      </w:r>
      <w:r w:rsidR="00C771AA" w:rsidRPr="007A3389">
        <w:rPr>
          <w:rFonts w:asciiTheme="majorHAnsi" w:hAnsiTheme="majorHAnsi"/>
          <w:sz w:val="20"/>
          <w:szCs w:val="20"/>
          <w:lang w:val="es-ES"/>
        </w:rPr>
        <w:t xml:space="preserve">, </w:t>
      </w:r>
      <w:r w:rsidR="00830FDA" w:rsidRPr="007A3389">
        <w:rPr>
          <w:rFonts w:asciiTheme="majorHAnsi" w:hAnsiTheme="majorHAnsi"/>
          <w:sz w:val="20"/>
          <w:szCs w:val="20"/>
          <w:lang w:val="es-ES"/>
        </w:rPr>
        <w:t>Ohio ha</w:t>
      </w:r>
      <w:r w:rsidR="008B5192">
        <w:rPr>
          <w:rFonts w:asciiTheme="majorHAnsi" w:hAnsiTheme="majorHAnsi"/>
          <w:sz w:val="20"/>
          <w:szCs w:val="20"/>
          <w:lang w:val="es-ES"/>
        </w:rPr>
        <w:t xml:space="preserve"> cambiado el protocolo para la </w:t>
      </w:r>
      <w:r w:rsidR="003A46FC">
        <w:rPr>
          <w:rFonts w:asciiTheme="majorHAnsi" w:hAnsiTheme="majorHAnsi"/>
          <w:sz w:val="20"/>
          <w:szCs w:val="20"/>
          <w:lang w:val="es-ES"/>
        </w:rPr>
        <w:t>inyección letal</w:t>
      </w:r>
      <w:r w:rsidR="00830FDA" w:rsidRPr="007A3389">
        <w:rPr>
          <w:rFonts w:asciiTheme="majorHAnsi" w:hAnsiTheme="majorHAnsi"/>
          <w:sz w:val="20"/>
          <w:szCs w:val="20"/>
          <w:lang w:val="es-ES"/>
        </w:rPr>
        <w:t xml:space="preserve"> p</w:t>
      </w:r>
      <w:r w:rsidR="008B5192">
        <w:rPr>
          <w:rFonts w:asciiTheme="majorHAnsi" w:hAnsiTheme="majorHAnsi"/>
          <w:sz w:val="20"/>
          <w:szCs w:val="20"/>
          <w:lang w:val="es-ES"/>
        </w:rPr>
        <w:t xml:space="preserve">or lo menos tres veces en los últimos cuatro años. En </w:t>
      </w:r>
      <w:r w:rsidR="00830FDA" w:rsidRPr="007A3389">
        <w:rPr>
          <w:rFonts w:asciiTheme="majorHAnsi" w:hAnsiTheme="majorHAnsi"/>
          <w:sz w:val="20"/>
          <w:szCs w:val="20"/>
          <w:lang w:val="es-ES"/>
        </w:rPr>
        <w:t xml:space="preserve">2017 </w:t>
      </w:r>
      <w:r w:rsidR="00C95DAD" w:rsidRPr="00C95DAD">
        <w:rPr>
          <w:rFonts w:asciiTheme="majorHAnsi" w:hAnsiTheme="majorHAnsi"/>
          <w:sz w:val="20"/>
          <w:szCs w:val="20"/>
          <w:lang w:val="es-ES"/>
        </w:rPr>
        <w:t>volvió a adoptar un protocolo de tres fármacos</w:t>
      </w:r>
      <w:r w:rsidR="00C95DAD">
        <w:rPr>
          <w:rFonts w:asciiTheme="majorHAnsi" w:hAnsiTheme="majorHAnsi"/>
          <w:sz w:val="20"/>
          <w:szCs w:val="20"/>
          <w:lang w:val="es-ES"/>
        </w:rPr>
        <w:t>, con una combinación de</w:t>
      </w:r>
      <w:r w:rsidR="00830FDA" w:rsidRPr="007A3389">
        <w:rPr>
          <w:rFonts w:asciiTheme="majorHAnsi" w:hAnsiTheme="majorHAnsi"/>
          <w:sz w:val="20"/>
          <w:szCs w:val="20"/>
          <w:lang w:val="es-ES"/>
        </w:rPr>
        <w:t xml:space="preserve"> midazolam, </w:t>
      </w:r>
      <w:r w:rsidR="00C95DAD">
        <w:rPr>
          <w:rFonts w:asciiTheme="majorHAnsi" w:hAnsiTheme="majorHAnsi"/>
          <w:sz w:val="20"/>
          <w:szCs w:val="20"/>
          <w:lang w:val="es-ES"/>
        </w:rPr>
        <w:t>cloruro de potasio</w:t>
      </w:r>
      <w:r w:rsidR="00830FDA" w:rsidRPr="007A3389">
        <w:rPr>
          <w:rFonts w:asciiTheme="majorHAnsi" w:hAnsiTheme="majorHAnsi"/>
          <w:sz w:val="20"/>
          <w:szCs w:val="20"/>
          <w:lang w:val="es-ES"/>
        </w:rPr>
        <w:t xml:space="preserve"> </w:t>
      </w:r>
      <w:r w:rsidR="00D71B75">
        <w:rPr>
          <w:rFonts w:asciiTheme="majorHAnsi" w:hAnsiTheme="majorHAnsi"/>
          <w:sz w:val="20"/>
          <w:szCs w:val="20"/>
          <w:lang w:val="es-ES"/>
        </w:rPr>
        <w:t>y</w:t>
      </w:r>
      <w:r w:rsidR="00830FDA" w:rsidRPr="007A3389">
        <w:rPr>
          <w:rFonts w:asciiTheme="majorHAnsi" w:hAnsiTheme="majorHAnsi"/>
          <w:sz w:val="20"/>
          <w:szCs w:val="20"/>
          <w:lang w:val="es-ES"/>
        </w:rPr>
        <w:t xml:space="preserve"> </w:t>
      </w:r>
      <w:r w:rsidR="00C95DAD" w:rsidRPr="00C95DAD">
        <w:rPr>
          <w:rFonts w:asciiTheme="majorHAnsi" w:hAnsiTheme="majorHAnsi"/>
          <w:sz w:val="20"/>
          <w:szCs w:val="20"/>
          <w:lang w:val="es-ES"/>
        </w:rPr>
        <w:t>bromuro de rocuronio</w:t>
      </w:r>
      <w:r w:rsidR="00415929" w:rsidRPr="007A3389">
        <w:rPr>
          <w:rStyle w:val="FootnoteReference"/>
          <w:rFonts w:asciiTheme="majorHAnsi" w:hAnsiTheme="majorHAnsi"/>
          <w:sz w:val="20"/>
          <w:szCs w:val="20"/>
          <w:lang w:val="es-ES"/>
        </w:rPr>
        <w:footnoteReference w:id="29"/>
      </w:r>
      <w:r w:rsidR="00C95DAD">
        <w:rPr>
          <w:rFonts w:asciiTheme="majorHAnsi" w:hAnsiTheme="majorHAnsi"/>
          <w:sz w:val="20"/>
          <w:szCs w:val="20"/>
          <w:lang w:val="es-ES"/>
        </w:rPr>
        <w:t>. En enero de</w:t>
      </w:r>
      <w:r w:rsidR="00415929" w:rsidRPr="007A3389">
        <w:rPr>
          <w:rFonts w:asciiTheme="majorHAnsi" w:hAnsiTheme="majorHAnsi"/>
          <w:sz w:val="20"/>
          <w:szCs w:val="20"/>
          <w:lang w:val="es-ES"/>
        </w:rPr>
        <w:t xml:space="preserve"> 2017, </w:t>
      </w:r>
      <w:r w:rsidR="00C95DAD">
        <w:rPr>
          <w:rFonts w:asciiTheme="majorHAnsi" w:hAnsiTheme="majorHAnsi"/>
          <w:sz w:val="20"/>
          <w:szCs w:val="20"/>
          <w:lang w:val="es-ES"/>
        </w:rPr>
        <w:t>u</w:t>
      </w:r>
      <w:r w:rsidR="00C95DAD" w:rsidRPr="00C95DAD">
        <w:rPr>
          <w:rFonts w:asciiTheme="majorHAnsi" w:hAnsiTheme="majorHAnsi"/>
          <w:sz w:val="20"/>
          <w:szCs w:val="20"/>
          <w:lang w:val="es-ES"/>
        </w:rPr>
        <w:t>n tribunal federal de primera instancia suspendió todas las ejecuciones en Ohio después de oír declaraciones testimoniales sobre los riesgos del uso de midazolam para ejecutar a seres humanos</w:t>
      </w:r>
      <w:r w:rsidR="00415929" w:rsidRPr="007A3389">
        <w:rPr>
          <w:rStyle w:val="FootnoteReference"/>
          <w:rFonts w:asciiTheme="majorHAnsi" w:hAnsiTheme="majorHAnsi"/>
          <w:sz w:val="20"/>
          <w:szCs w:val="20"/>
          <w:lang w:val="es-ES"/>
        </w:rPr>
        <w:footnoteReference w:id="30"/>
      </w:r>
      <w:r w:rsidR="00C95DAD">
        <w:rPr>
          <w:rFonts w:asciiTheme="majorHAnsi" w:hAnsiTheme="majorHAnsi"/>
          <w:sz w:val="20"/>
          <w:szCs w:val="20"/>
          <w:lang w:val="es-ES"/>
        </w:rPr>
        <w:t xml:space="preserve">. </w:t>
      </w:r>
      <w:r w:rsidR="00C95DAD" w:rsidRPr="00C95DAD">
        <w:rPr>
          <w:rFonts w:asciiTheme="majorHAnsi" w:hAnsiTheme="majorHAnsi"/>
          <w:sz w:val="20"/>
          <w:szCs w:val="20"/>
          <w:lang w:val="es-ES"/>
        </w:rPr>
        <w:t xml:space="preserve">El Tribunal de Apelación del Sexto Circuito revocó esta opinión porque los peticionarios no habían demostrado que </w:t>
      </w:r>
      <w:r w:rsidR="00C95DAD">
        <w:rPr>
          <w:rFonts w:asciiTheme="majorHAnsi" w:hAnsiTheme="majorHAnsi"/>
          <w:sz w:val="20"/>
          <w:szCs w:val="20"/>
          <w:lang w:val="es-ES"/>
        </w:rPr>
        <w:t>el protocolo de tres fármacos presenta</w:t>
      </w:r>
      <w:r w:rsidR="00C56E90">
        <w:rPr>
          <w:rFonts w:asciiTheme="majorHAnsi" w:hAnsiTheme="majorHAnsi"/>
          <w:sz w:val="20"/>
          <w:szCs w:val="20"/>
          <w:lang w:val="es-ES"/>
        </w:rPr>
        <w:t>ba</w:t>
      </w:r>
      <w:r w:rsidR="00C95DAD">
        <w:rPr>
          <w:rFonts w:asciiTheme="majorHAnsi" w:hAnsiTheme="majorHAnsi"/>
          <w:sz w:val="20"/>
          <w:szCs w:val="20"/>
          <w:lang w:val="es-ES"/>
        </w:rPr>
        <w:t xml:space="preserve"> el riesgo de que “seguramente o muy </w:t>
      </w:r>
      <w:r w:rsidR="00C95DAD">
        <w:rPr>
          <w:rFonts w:asciiTheme="majorHAnsi" w:hAnsiTheme="majorHAnsi"/>
          <w:sz w:val="20"/>
          <w:szCs w:val="20"/>
          <w:lang w:val="es-ES"/>
        </w:rPr>
        <w:lastRenderedPageBreak/>
        <w:t>probablemente” causara</w:t>
      </w:r>
      <w:r w:rsidR="00C95DAD" w:rsidRPr="00C95DAD">
        <w:rPr>
          <w:rFonts w:asciiTheme="majorHAnsi" w:hAnsiTheme="majorHAnsi"/>
          <w:sz w:val="20"/>
          <w:szCs w:val="20"/>
          <w:lang w:val="es-ES"/>
        </w:rPr>
        <w:t xml:space="preserve"> dolor grave y “sufrimiento innecesario”</w:t>
      </w:r>
      <w:r w:rsidR="00415929" w:rsidRPr="007A3389">
        <w:rPr>
          <w:rStyle w:val="FootnoteReference"/>
          <w:rFonts w:asciiTheme="majorHAnsi" w:hAnsiTheme="majorHAnsi"/>
          <w:sz w:val="20"/>
          <w:szCs w:val="20"/>
          <w:lang w:val="es-ES"/>
        </w:rPr>
        <w:footnoteReference w:id="31"/>
      </w:r>
      <w:r w:rsidR="00C95DAD">
        <w:rPr>
          <w:rFonts w:asciiTheme="majorHAnsi" w:hAnsiTheme="majorHAnsi"/>
          <w:sz w:val="20"/>
          <w:szCs w:val="20"/>
          <w:lang w:val="es-ES"/>
        </w:rPr>
        <w:t>.</w:t>
      </w:r>
      <w:r w:rsidR="00830FDA" w:rsidRPr="007A3389">
        <w:rPr>
          <w:rFonts w:asciiTheme="majorHAnsi" w:hAnsiTheme="majorHAnsi"/>
          <w:sz w:val="20"/>
          <w:szCs w:val="20"/>
          <w:lang w:val="es-ES"/>
        </w:rPr>
        <w:t xml:space="preserve"> </w:t>
      </w:r>
      <w:r w:rsidR="00C95DAD" w:rsidRPr="00C95DAD">
        <w:rPr>
          <w:rFonts w:asciiTheme="majorHAnsi" w:hAnsiTheme="majorHAnsi"/>
          <w:sz w:val="20"/>
          <w:szCs w:val="20"/>
          <w:lang w:val="es-ES"/>
        </w:rPr>
        <w:t>Cinco jueces disintieron</w:t>
      </w:r>
      <w:r w:rsidR="00830FDA" w:rsidRPr="007A3389">
        <w:rPr>
          <w:rFonts w:asciiTheme="majorHAnsi" w:hAnsiTheme="majorHAnsi"/>
          <w:sz w:val="20"/>
          <w:szCs w:val="20"/>
          <w:lang w:val="es-ES"/>
        </w:rPr>
        <w:t xml:space="preserve">. </w:t>
      </w:r>
      <w:r w:rsidR="00C95DAD">
        <w:rPr>
          <w:rFonts w:asciiTheme="majorHAnsi" w:hAnsiTheme="majorHAnsi"/>
          <w:sz w:val="20"/>
          <w:szCs w:val="20"/>
          <w:lang w:val="es-ES"/>
        </w:rPr>
        <w:t>E</w:t>
      </w:r>
      <w:r w:rsidR="00C95DAD" w:rsidRPr="00C95DAD">
        <w:rPr>
          <w:rFonts w:asciiTheme="majorHAnsi" w:hAnsiTheme="majorHAnsi"/>
          <w:sz w:val="20"/>
          <w:szCs w:val="20"/>
          <w:lang w:val="es-ES"/>
        </w:rPr>
        <w:t>l 15 de noviembre de 2017 hubo otra ejecución malograda con el nuevo protocolo</w:t>
      </w:r>
      <w:r w:rsidR="00C95DAD">
        <w:rPr>
          <w:rFonts w:asciiTheme="majorHAnsi" w:hAnsiTheme="majorHAnsi"/>
          <w:sz w:val="20"/>
          <w:szCs w:val="20"/>
          <w:lang w:val="es-ES"/>
        </w:rPr>
        <w:t>.</w:t>
      </w:r>
    </w:p>
    <w:p w14:paraId="190BA6BB" w14:textId="77777777" w:rsidR="00382073" w:rsidRPr="007A3389" w:rsidRDefault="00382073" w:rsidP="003820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6F081C50" w14:textId="77777777" w:rsidR="00027675" w:rsidRPr="007A3389" w:rsidRDefault="00CA220B" w:rsidP="00103A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 xml:space="preserve">El </w:t>
      </w:r>
      <w:r w:rsidR="00300F38" w:rsidRPr="007A3389">
        <w:rPr>
          <w:rFonts w:asciiTheme="majorHAnsi" w:hAnsiTheme="majorHAnsi"/>
          <w:sz w:val="20"/>
          <w:szCs w:val="20"/>
          <w:lang w:val="es-ES"/>
        </w:rPr>
        <w:t>15</w:t>
      </w:r>
      <w:r>
        <w:rPr>
          <w:rFonts w:asciiTheme="majorHAnsi" w:hAnsiTheme="majorHAnsi"/>
          <w:sz w:val="20"/>
          <w:szCs w:val="20"/>
          <w:lang w:val="es-ES"/>
        </w:rPr>
        <w:t xml:space="preserve"> de enero de</w:t>
      </w:r>
      <w:r w:rsidR="00300F38" w:rsidRPr="007A3389">
        <w:rPr>
          <w:rFonts w:asciiTheme="majorHAnsi" w:hAnsiTheme="majorHAnsi"/>
          <w:sz w:val="20"/>
          <w:szCs w:val="20"/>
          <w:lang w:val="es-ES"/>
        </w:rPr>
        <w:t xml:space="preserve"> 2019, </w:t>
      </w:r>
      <w:r>
        <w:rPr>
          <w:rFonts w:asciiTheme="majorHAnsi" w:hAnsiTheme="majorHAnsi"/>
          <w:sz w:val="20"/>
          <w:szCs w:val="20"/>
          <w:lang w:val="es-ES"/>
        </w:rPr>
        <w:t xml:space="preserve">un juez auxiliar de </w:t>
      </w:r>
      <w:r w:rsidR="00300F38" w:rsidRPr="007A3389">
        <w:rPr>
          <w:rFonts w:asciiTheme="majorHAnsi" w:hAnsiTheme="majorHAnsi"/>
          <w:sz w:val="20"/>
          <w:szCs w:val="20"/>
          <w:lang w:val="es-ES"/>
        </w:rPr>
        <w:t xml:space="preserve">Ohio </w:t>
      </w:r>
      <w:r>
        <w:rPr>
          <w:rFonts w:asciiTheme="majorHAnsi" w:hAnsiTheme="majorHAnsi"/>
          <w:sz w:val="20"/>
          <w:szCs w:val="20"/>
          <w:lang w:val="es-ES"/>
        </w:rPr>
        <w:t xml:space="preserve">dictaminó que el uso de una combinación de tres fármacos para ejecutar presos constituiría un </w:t>
      </w:r>
      <w:r w:rsidR="00BB6F8A">
        <w:rPr>
          <w:rFonts w:asciiTheme="majorHAnsi" w:hAnsiTheme="majorHAnsi"/>
          <w:sz w:val="20"/>
          <w:szCs w:val="20"/>
          <w:lang w:val="es-ES"/>
        </w:rPr>
        <w:t>castigo cruel e inusitado</w:t>
      </w:r>
      <w:r w:rsidR="006E436B" w:rsidRPr="007A3389">
        <w:rPr>
          <w:rStyle w:val="FootnoteReference"/>
          <w:rFonts w:asciiTheme="majorHAnsi" w:hAnsiTheme="majorHAnsi"/>
          <w:sz w:val="20"/>
          <w:szCs w:val="20"/>
          <w:lang w:val="es-ES"/>
        </w:rPr>
        <w:footnoteReference w:id="32"/>
      </w:r>
      <w:r>
        <w:rPr>
          <w:rFonts w:asciiTheme="majorHAnsi" w:hAnsiTheme="majorHAnsi"/>
          <w:sz w:val="20"/>
          <w:szCs w:val="20"/>
          <w:lang w:val="es-ES"/>
        </w:rPr>
        <w:t xml:space="preserve">. El </w:t>
      </w:r>
      <w:r w:rsidR="00300F38" w:rsidRPr="007A3389">
        <w:rPr>
          <w:rFonts w:asciiTheme="majorHAnsi" w:hAnsiTheme="majorHAnsi"/>
          <w:sz w:val="20"/>
          <w:szCs w:val="20"/>
          <w:lang w:val="es-ES"/>
        </w:rPr>
        <w:t>19</w:t>
      </w:r>
      <w:r>
        <w:rPr>
          <w:rFonts w:asciiTheme="majorHAnsi" w:hAnsiTheme="majorHAnsi"/>
          <w:sz w:val="20"/>
          <w:szCs w:val="20"/>
          <w:lang w:val="es-ES"/>
        </w:rPr>
        <w:t xml:space="preserve"> de febrero de</w:t>
      </w:r>
      <w:r w:rsidR="00300F38" w:rsidRPr="007A3389">
        <w:rPr>
          <w:rFonts w:asciiTheme="majorHAnsi" w:hAnsiTheme="majorHAnsi"/>
          <w:sz w:val="20"/>
          <w:szCs w:val="20"/>
          <w:lang w:val="es-ES"/>
        </w:rPr>
        <w:t xml:space="preserve"> 2019, </w:t>
      </w:r>
      <w:r>
        <w:rPr>
          <w:rFonts w:asciiTheme="majorHAnsi" w:hAnsiTheme="majorHAnsi"/>
          <w:sz w:val="20"/>
          <w:szCs w:val="20"/>
          <w:lang w:val="es-ES"/>
        </w:rPr>
        <w:t xml:space="preserve">el gobernador </w:t>
      </w:r>
      <w:r w:rsidR="00300F38" w:rsidRPr="007A3389">
        <w:rPr>
          <w:rFonts w:asciiTheme="majorHAnsi" w:hAnsiTheme="majorHAnsi"/>
          <w:sz w:val="20"/>
          <w:szCs w:val="20"/>
          <w:lang w:val="es-ES"/>
        </w:rPr>
        <w:t xml:space="preserve">Mike </w:t>
      </w:r>
      <w:proofErr w:type="spellStart"/>
      <w:r w:rsidR="00300F38" w:rsidRPr="007A3389">
        <w:rPr>
          <w:rFonts w:asciiTheme="majorHAnsi" w:hAnsiTheme="majorHAnsi"/>
          <w:sz w:val="20"/>
          <w:szCs w:val="20"/>
          <w:lang w:val="es-ES"/>
        </w:rPr>
        <w:t>DeWine</w:t>
      </w:r>
      <w:proofErr w:type="spellEnd"/>
      <w:r w:rsidR="00300F38" w:rsidRPr="007A3389">
        <w:rPr>
          <w:rFonts w:asciiTheme="majorHAnsi" w:hAnsiTheme="majorHAnsi"/>
          <w:sz w:val="20"/>
          <w:szCs w:val="20"/>
          <w:lang w:val="es-ES"/>
        </w:rPr>
        <w:t xml:space="preserve"> an</w:t>
      </w:r>
      <w:r>
        <w:rPr>
          <w:rFonts w:asciiTheme="majorHAnsi" w:hAnsiTheme="majorHAnsi"/>
          <w:sz w:val="20"/>
          <w:szCs w:val="20"/>
          <w:lang w:val="es-ES"/>
        </w:rPr>
        <w:t xml:space="preserve">unció que </w:t>
      </w:r>
      <w:r w:rsidR="002727FA">
        <w:rPr>
          <w:rFonts w:asciiTheme="majorHAnsi" w:hAnsiTheme="majorHAnsi"/>
          <w:sz w:val="20"/>
          <w:szCs w:val="20"/>
          <w:lang w:val="es-ES"/>
        </w:rPr>
        <w:t xml:space="preserve">su suspenderían todas las ejecuciones en Ohio hasta que se estableciera un nuevo protocolo que contara con la aprobación de los </w:t>
      </w:r>
      <w:r w:rsidR="00775DE4">
        <w:rPr>
          <w:rFonts w:asciiTheme="majorHAnsi" w:hAnsiTheme="majorHAnsi"/>
          <w:sz w:val="20"/>
          <w:szCs w:val="20"/>
          <w:lang w:val="es-ES"/>
        </w:rPr>
        <w:t>tribunal</w:t>
      </w:r>
      <w:r w:rsidR="002727FA">
        <w:rPr>
          <w:rFonts w:asciiTheme="majorHAnsi" w:hAnsiTheme="majorHAnsi"/>
          <w:sz w:val="20"/>
          <w:szCs w:val="20"/>
          <w:lang w:val="es-ES"/>
        </w:rPr>
        <w:t>e</w:t>
      </w:r>
      <w:r w:rsidR="00300F38" w:rsidRPr="007A3389">
        <w:rPr>
          <w:rFonts w:asciiTheme="majorHAnsi" w:hAnsiTheme="majorHAnsi"/>
          <w:sz w:val="20"/>
          <w:szCs w:val="20"/>
          <w:lang w:val="es-ES"/>
        </w:rPr>
        <w:t>s</w:t>
      </w:r>
      <w:r w:rsidR="00300F38" w:rsidRPr="007A3389">
        <w:rPr>
          <w:rStyle w:val="FootnoteReference"/>
          <w:rFonts w:asciiTheme="majorHAnsi" w:hAnsiTheme="majorHAnsi"/>
          <w:sz w:val="20"/>
          <w:szCs w:val="20"/>
          <w:lang w:val="es-ES"/>
        </w:rPr>
        <w:footnoteReference w:id="33"/>
      </w:r>
      <w:r w:rsidR="002727FA">
        <w:rPr>
          <w:rFonts w:asciiTheme="majorHAnsi" w:hAnsiTheme="majorHAnsi"/>
          <w:sz w:val="20"/>
          <w:szCs w:val="20"/>
          <w:lang w:val="es-ES"/>
        </w:rPr>
        <w:t>.</w:t>
      </w:r>
      <w:r w:rsidR="00AB5E60" w:rsidRPr="007A3389">
        <w:rPr>
          <w:rFonts w:asciiTheme="majorHAnsi" w:hAnsiTheme="majorHAnsi"/>
          <w:sz w:val="20"/>
          <w:szCs w:val="20"/>
          <w:lang w:val="es-ES"/>
        </w:rPr>
        <w:t xml:space="preserve"> </w:t>
      </w:r>
    </w:p>
    <w:p w14:paraId="253314BD" w14:textId="77777777" w:rsidR="00027675" w:rsidRPr="007A3389" w:rsidRDefault="00027675" w:rsidP="00027675">
      <w:pPr>
        <w:pStyle w:val="ListParagraph"/>
        <w:rPr>
          <w:rFonts w:asciiTheme="majorHAnsi" w:hAnsiTheme="majorHAnsi"/>
          <w:sz w:val="20"/>
          <w:szCs w:val="20"/>
          <w:lang w:val="es-ES"/>
        </w:rPr>
      </w:pPr>
    </w:p>
    <w:p w14:paraId="33AF4AE3" w14:textId="77777777" w:rsidR="00300F38" w:rsidRPr="007A3389" w:rsidRDefault="002727FA" w:rsidP="00103A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 xml:space="preserve">El </w:t>
      </w:r>
      <w:r w:rsidR="00AB5E60" w:rsidRPr="007A3389">
        <w:rPr>
          <w:rFonts w:asciiTheme="majorHAnsi" w:hAnsiTheme="majorHAnsi"/>
          <w:sz w:val="20"/>
          <w:szCs w:val="20"/>
          <w:lang w:val="es-ES"/>
        </w:rPr>
        <w:t>11</w:t>
      </w:r>
      <w:r>
        <w:rPr>
          <w:rFonts w:asciiTheme="majorHAnsi" w:hAnsiTheme="majorHAnsi"/>
          <w:sz w:val="20"/>
          <w:szCs w:val="20"/>
          <w:lang w:val="es-ES"/>
        </w:rPr>
        <w:t xml:space="preserve"> de septiembre de</w:t>
      </w:r>
      <w:r w:rsidR="00AB5E60" w:rsidRPr="007A3389">
        <w:rPr>
          <w:rFonts w:asciiTheme="majorHAnsi" w:hAnsiTheme="majorHAnsi"/>
          <w:sz w:val="20"/>
          <w:szCs w:val="20"/>
          <w:lang w:val="es-ES"/>
        </w:rPr>
        <w:t xml:space="preserve"> 2019, </w:t>
      </w:r>
      <w:r>
        <w:rPr>
          <w:rFonts w:asciiTheme="majorHAnsi" w:hAnsiTheme="majorHAnsi"/>
          <w:sz w:val="20"/>
          <w:szCs w:val="20"/>
          <w:lang w:val="es-ES"/>
        </w:rPr>
        <w:t xml:space="preserve">un panel de tres jueces del </w:t>
      </w:r>
      <w:r w:rsidR="005F2595">
        <w:rPr>
          <w:rFonts w:asciiTheme="majorHAnsi" w:hAnsiTheme="majorHAnsi"/>
          <w:sz w:val="20"/>
          <w:szCs w:val="20"/>
          <w:lang w:val="es-ES"/>
        </w:rPr>
        <w:t>Tribunal de Apelaciones para el Sexto Circuito</w:t>
      </w:r>
      <w:r w:rsidR="00AB5E60" w:rsidRPr="007A3389">
        <w:rPr>
          <w:rFonts w:asciiTheme="majorHAnsi" w:hAnsiTheme="majorHAnsi"/>
          <w:sz w:val="20"/>
          <w:szCs w:val="20"/>
          <w:lang w:val="es-ES"/>
        </w:rPr>
        <w:t xml:space="preserve"> rev</w:t>
      </w:r>
      <w:r>
        <w:rPr>
          <w:rFonts w:asciiTheme="majorHAnsi" w:hAnsiTheme="majorHAnsi"/>
          <w:sz w:val="20"/>
          <w:szCs w:val="20"/>
          <w:lang w:val="es-ES"/>
        </w:rPr>
        <w:t xml:space="preserve">ocó este dictamen, citando la decisión de </w:t>
      </w:r>
      <w:r w:rsidR="005F2595">
        <w:rPr>
          <w:rFonts w:asciiTheme="majorHAnsi" w:hAnsiTheme="majorHAnsi"/>
          <w:sz w:val="20"/>
          <w:szCs w:val="20"/>
          <w:lang w:val="es-ES"/>
        </w:rPr>
        <w:t>la Corte Suprema de Estados Unidos</w:t>
      </w:r>
      <w:r>
        <w:rPr>
          <w:rFonts w:asciiTheme="majorHAnsi" w:hAnsiTheme="majorHAnsi"/>
          <w:sz w:val="20"/>
          <w:szCs w:val="20"/>
          <w:lang w:val="es-ES"/>
        </w:rPr>
        <w:t xml:space="preserve"> en </w:t>
      </w:r>
      <w:proofErr w:type="spellStart"/>
      <w:r w:rsidR="00AB5E60" w:rsidRPr="007A3389">
        <w:rPr>
          <w:rFonts w:asciiTheme="majorHAnsi" w:hAnsiTheme="majorHAnsi"/>
          <w:sz w:val="20"/>
          <w:szCs w:val="20"/>
          <w:lang w:val="es-ES"/>
        </w:rPr>
        <w:t>Bucklew</w:t>
      </w:r>
      <w:proofErr w:type="spellEnd"/>
      <w:r w:rsidR="00AB5E60" w:rsidRPr="007A3389">
        <w:rPr>
          <w:rFonts w:asciiTheme="majorHAnsi" w:hAnsiTheme="majorHAnsi"/>
          <w:sz w:val="20"/>
          <w:szCs w:val="20"/>
          <w:lang w:val="es-ES"/>
        </w:rPr>
        <w:t xml:space="preserve"> </w:t>
      </w:r>
      <w:r>
        <w:rPr>
          <w:rFonts w:asciiTheme="majorHAnsi" w:hAnsiTheme="majorHAnsi"/>
          <w:sz w:val="20"/>
          <w:szCs w:val="20"/>
          <w:lang w:val="es-ES"/>
        </w:rPr>
        <w:t>c</w:t>
      </w:r>
      <w:r w:rsidR="00AB5E60" w:rsidRPr="007A3389">
        <w:rPr>
          <w:rFonts w:asciiTheme="majorHAnsi" w:hAnsiTheme="majorHAnsi"/>
          <w:sz w:val="20"/>
          <w:szCs w:val="20"/>
          <w:lang w:val="es-ES"/>
        </w:rPr>
        <w:t xml:space="preserve">. </w:t>
      </w:r>
      <w:proofErr w:type="spellStart"/>
      <w:r w:rsidR="00AB5E60" w:rsidRPr="007A3389">
        <w:rPr>
          <w:rFonts w:asciiTheme="majorHAnsi" w:hAnsiTheme="majorHAnsi"/>
          <w:sz w:val="20"/>
          <w:szCs w:val="20"/>
          <w:lang w:val="es-ES"/>
        </w:rPr>
        <w:t>Precythe</w:t>
      </w:r>
      <w:proofErr w:type="spellEnd"/>
      <w:r>
        <w:rPr>
          <w:rFonts w:asciiTheme="majorHAnsi" w:hAnsiTheme="majorHAnsi"/>
          <w:sz w:val="20"/>
          <w:szCs w:val="20"/>
          <w:lang w:val="es-ES"/>
        </w:rPr>
        <w:t xml:space="preserve"> de que la muerte por sofocación no era problemática desde el punto de vista </w:t>
      </w:r>
      <w:r w:rsidR="004128E9">
        <w:rPr>
          <w:rFonts w:asciiTheme="majorHAnsi" w:hAnsiTheme="majorHAnsi"/>
          <w:sz w:val="20"/>
          <w:szCs w:val="20"/>
          <w:lang w:val="es-ES"/>
        </w:rPr>
        <w:t>constitucional</w:t>
      </w:r>
      <w:r>
        <w:rPr>
          <w:rFonts w:asciiTheme="majorHAnsi" w:hAnsiTheme="majorHAnsi"/>
          <w:sz w:val="20"/>
          <w:szCs w:val="20"/>
          <w:lang w:val="es-ES"/>
        </w:rPr>
        <w:t xml:space="preserve"> porque la sofocación no causa </w:t>
      </w:r>
      <w:r w:rsidR="00AB5E60" w:rsidRPr="007A3389">
        <w:rPr>
          <w:rFonts w:asciiTheme="majorHAnsi" w:hAnsiTheme="majorHAnsi"/>
          <w:sz w:val="20"/>
          <w:szCs w:val="20"/>
          <w:lang w:val="es-ES"/>
        </w:rPr>
        <w:t>“</w:t>
      </w:r>
      <w:r>
        <w:rPr>
          <w:rFonts w:asciiTheme="majorHAnsi" w:hAnsiTheme="majorHAnsi"/>
          <w:sz w:val="20"/>
          <w:szCs w:val="20"/>
          <w:lang w:val="es-ES"/>
        </w:rPr>
        <w:t xml:space="preserve">dolor grave y </w:t>
      </w:r>
      <w:r w:rsidR="005F2595">
        <w:rPr>
          <w:rFonts w:asciiTheme="majorHAnsi" w:hAnsiTheme="majorHAnsi"/>
          <w:sz w:val="20"/>
          <w:szCs w:val="20"/>
          <w:lang w:val="es-ES"/>
        </w:rPr>
        <w:t>sufrimiento innecesario</w:t>
      </w:r>
      <w:r w:rsidR="00AB5E60" w:rsidRPr="007A3389">
        <w:rPr>
          <w:rFonts w:asciiTheme="majorHAnsi" w:hAnsiTheme="majorHAnsi"/>
          <w:sz w:val="20"/>
          <w:szCs w:val="20"/>
          <w:lang w:val="es-ES"/>
        </w:rPr>
        <w:t>”</w:t>
      </w:r>
      <w:r w:rsidR="001D41F3" w:rsidRPr="007A3389">
        <w:rPr>
          <w:rStyle w:val="FootnoteReference"/>
          <w:rFonts w:asciiTheme="majorHAnsi" w:hAnsiTheme="majorHAnsi"/>
          <w:sz w:val="20"/>
          <w:szCs w:val="20"/>
          <w:lang w:val="es-ES"/>
        </w:rPr>
        <w:footnoteReference w:id="34"/>
      </w:r>
      <w:r>
        <w:rPr>
          <w:rFonts w:asciiTheme="majorHAnsi" w:hAnsiTheme="majorHAnsi"/>
          <w:sz w:val="20"/>
          <w:szCs w:val="20"/>
          <w:lang w:val="es-ES"/>
        </w:rPr>
        <w:t xml:space="preserve">. El </w:t>
      </w:r>
      <w:r w:rsidR="00027675" w:rsidRPr="007A3389">
        <w:rPr>
          <w:rFonts w:asciiTheme="majorHAnsi" w:hAnsiTheme="majorHAnsi"/>
          <w:sz w:val="20"/>
          <w:szCs w:val="20"/>
          <w:lang w:val="es-ES"/>
        </w:rPr>
        <w:t xml:space="preserve">panel </w:t>
      </w:r>
      <w:r>
        <w:rPr>
          <w:rFonts w:asciiTheme="majorHAnsi" w:hAnsiTheme="majorHAnsi"/>
          <w:sz w:val="20"/>
          <w:szCs w:val="20"/>
          <w:lang w:val="es-ES"/>
        </w:rPr>
        <w:t xml:space="preserve">confirmó el dictamen del juez auxiliar mediante el cual se rechazaba el método propuesto por el demandante, a saber, la ejecución por una sola inyección de </w:t>
      </w:r>
      <w:proofErr w:type="spellStart"/>
      <w:r w:rsidR="00027675" w:rsidRPr="007A3389">
        <w:rPr>
          <w:rFonts w:asciiTheme="majorHAnsi" w:hAnsiTheme="majorHAnsi"/>
          <w:sz w:val="20"/>
          <w:szCs w:val="20"/>
          <w:lang w:val="es-ES"/>
        </w:rPr>
        <w:t>secobarbital</w:t>
      </w:r>
      <w:proofErr w:type="spellEnd"/>
      <w:r w:rsidR="00027675" w:rsidRPr="007A3389">
        <w:rPr>
          <w:rFonts w:asciiTheme="majorHAnsi" w:hAnsiTheme="majorHAnsi"/>
          <w:sz w:val="20"/>
          <w:szCs w:val="20"/>
          <w:lang w:val="es-ES"/>
        </w:rPr>
        <w:t xml:space="preserve">, </w:t>
      </w:r>
      <w:r>
        <w:rPr>
          <w:rFonts w:asciiTheme="majorHAnsi" w:hAnsiTheme="majorHAnsi"/>
          <w:sz w:val="20"/>
          <w:szCs w:val="20"/>
          <w:lang w:val="es-ES"/>
        </w:rPr>
        <w:t>un verdadero analgésico, porque podría tardar varios días en causar la muerte y ningún estado lo había usado en una ejecución</w:t>
      </w:r>
      <w:r w:rsidR="00027675" w:rsidRPr="007A3389">
        <w:rPr>
          <w:rFonts w:asciiTheme="majorHAnsi" w:hAnsiTheme="majorHAnsi"/>
          <w:sz w:val="20"/>
          <w:szCs w:val="20"/>
          <w:lang w:val="es-ES"/>
        </w:rPr>
        <w:t xml:space="preserve">. </w:t>
      </w:r>
      <w:r w:rsidR="000D3EE0" w:rsidRPr="007A3389">
        <w:rPr>
          <w:rFonts w:asciiTheme="majorHAnsi" w:hAnsiTheme="majorHAnsi"/>
          <w:sz w:val="20"/>
          <w:szCs w:val="20"/>
          <w:lang w:val="es-ES"/>
        </w:rPr>
        <w:t>Los peticionarios</w:t>
      </w:r>
      <w:r w:rsidR="00027675" w:rsidRPr="007A3389">
        <w:rPr>
          <w:rFonts w:asciiTheme="majorHAnsi" w:hAnsiTheme="majorHAnsi"/>
          <w:sz w:val="20"/>
          <w:szCs w:val="20"/>
          <w:lang w:val="es-ES"/>
        </w:rPr>
        <w:t xml:space="preserve"> al</w:t>
      </w:r>
      <w:r>
        <w:rPr>
          <w:rFonts w:asciiTheme="majorHAnsi" w:hAnsiTheme="majorHAnsi"/>
          <w:sz w:val="20"/>
          <w:szCs w:val="20"/>
          <w:lang w:val="es-ES"/>
        </w:rPr>
        <w:t xml:space="preserve">egan que el </w:t>
      </w:r>
      <w:proofErr w:type="spellStart"/>
      <w:r w:rsidR="00027675" w:rsidRPr="007A3389">
        <w:rPr>
          <w:rFonts w:asciiTheme="majorHAnsi" w:hAnsiTheme="majorHAnsi"/>
          <w:sz w:val="20"/>
          <w:szCs w:val="20"/>
          <w:lang w:val="es-ES"/>
        </w:rPr>
        <w:t>secobarbital</w:t>
      </w:r>
      <w:proofErr w:type="spellEnd"/>
      <w:r w:rsidR="00027675" w:rsidRPr="007A3389">
        <w:rPr>
          <w:rFonts w:asciiTheme="majorHAnsi" w:hAnsiTheme="majorHAnsi"/>
          <w:sz w:val="20"/>
          <w:szCs w:val="20"/>
          <w:lang w:val="es-ES"/>
        </w:rPr>
        <w:t xml:space="preserve"> </w:t>
      </w:r>
      <w:r>
        <w:rPr>
          <w:rFonts w:asciiTheme="majorHAnsi" w:hAnsiTheme="majorHAnsi"/>
          <w:sz w:val="20"/>
          <w:szCs w:val="20"/>
          <w:lang w:val="es-ES"/>
        </w:rPr>
        <w:t xml:space="preserve">tiene una larga trayectoria de éxito en los estados donde </w:t>
      </w:r>
      <w:r w:rsidR="000C103B">
        <w:rPr>
          <w:rFonts w:asciiTheme="majorHAnsi" w:hAnsiTheme="majorHAnsi"/>
          <w:sz w:val="20"/>
          <w:szCs w:val="20"/>
          <w:lang w:val="es-ES"/>
        </w:rPr>
        <w:t xml:space="preserve">se permite la </w:t>
      </w:r>
      <w:r w:rsidR="000C103B" w:rsidRPr="000C103B">
        <w:rPr>
          <w:rFonts w:asciiTheme="majorHAnsi" w:hAnsiTheme="majorHAnsi"/>
          <w:sz w:val="20"/>
          <w:szCs w:val="20"/>
          <w:lang w:val="es-ES"/>
        </w:rPr>
        <w:t>asistencia médica para la muerte</w:t>
      </w:r>
      <w:r w:rsidR="009B71EF" w:rsidRPr="007A3389">
        <w:rPr>
          <w:rFonts w:asciiTheme="majorHAnsi" w:hAnsiTheme="majorHAnsi"/>
          <w:sz w:val="20"/>
          <w:szCs w:val="20"/>
          <w:lang w:val="es-ES"/>
        </w:rPr>
        <w:t>.</w:t>
      </w:r>
      <w:r w:rsidR="00027675"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E65711" w:rsidRPr="007A3389">
        <w:rPr>
          <w:rFonts w:asciiTheme="majorHAnsi" w:hAnsiTheme="majorHAnsi"/>
          <w:sz w:val="20"/>
          <w:szCs w:val="20"/>
          <w:lang w:val="es-ES"/>
        </w:rPr>
        <w:t xml:space="preserve"> dec</w:t>
      </w:r>
      <w:r w:rsidR="000C103B">
        <w:rPr>
          <w:rFonts w:asciiTheme="majorHAnsi" w:hAnsiTheme="majorHAnsi"/>
          <w:sz w:val="20"/>
          <w:szCs w:val="20"/>
          <w:lang w:val="es-ES"/>
        </w:rPr>
        <w:t xml:space="preserve">idió no abordar el riesgo de dolor grave planteado por el protocolo </w:t>
      </w:r>
      <w:r w:rsidR="008A1CE5">
        <w:rPr>
          <w:rFonts w:asciiTheme="majorHAnsi" w:hAnsiTheme="majorHAnsi"/>
          <w:sz w:val="20"/>
          <w:szCs w:val="20"/>
          <w:lang w:val="es-ES"/>
        </w:rPr>
        <w:t>en su totalidad</w:t>
      </w:r>
      <w:r w:rsidR="00E65711" w:rsidRPr="007A3389">
        <w:rPr>
          <w:rFonts w:asciiTheme="majorHAnsi" w:hAnsiTheme="majorHAnsi"/>
          <w:sz w:val="20"/>
          <w:szCs w:val="20"/>
          <w:lang w:val="es-ES"/>
        </w:rPr>
        <w:t xml:space="preserve">. </w:t>
      </w:r>
    </w:p>
    <w:p w14:paraId="66D8B117" w14:textId="77777777" w:rsidR="00D72ED0" w:rsidRPr="007A3389" w:rsidRDefault="00D72ED0" w:rsidP="00D72ED0">
      <w:pPr>
        <w:pStyle w:val="ListParagraph"/>
        <w:rPr>
          <w:rFonts w:asciiTheme="majorHAnsi" w:hAnsiTheme="majorHAnsi"/>
          <w:sz w:val="20"/>
          <w:szCs w:val="20"/>
          <w:lang w:val="es-ES"/>
        </w:rPr>
      </w:pPr>
    </w:p>
    <w:p w14:paraId="220EBC43" w14:textId="77777777" w:rsidR="00D72ED0" w:rsidRPr="007A3389" w:rsidRDefault="002727FA" w:rsidP="00103A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2727FA">
        <w:rPr>
          <w:rFonts w:asciiTheme="majorHAnsi" w:hAnsiTheme="majorHAnsi"/>
          <w:sz w:val="20"/>
          <w:szCs w:val="20"/>
          <w:lang w:val="es-ES"/>
        </w:rPr>
        <w:t xml:space="preserve">El 30 de octubre de 2019, el gobernador Mike </w:t>
      </w:r>
      <w:proofErr w:type="spellStart"/>
      <w:r w:rsidRPr="002727FA">
        <w:rPr>
          <w:rFonts w:asciiTheme="majorHAnsi" w:hAnsiTheme="majorHAnsi"/>
          <w:sz w:val="20"/>
          <w:szCs w:val="20"/>
          <w:lang w:val="es-ES"/>
        </w:rPr>
        <w:t>DeWine</w:t>
      </w:r>
      <w:proofErr w:type="spellEnd"/>
      <w:r w:rsidRPr="002727FA">
        <w:rPr>
          <w:rFonts w:asciiTheme="majorHAnsi" w:hAnsiTheme="majorHAnsi"/>
          <w:sz w:val="20"/>
          <w:szCs w:val="20"/>
          <w:lang w:val="es-ES"/>
        </w:rPr>
        <w:t xml:space="preserve"> anunció que en Ohio no habría más ejecuciones en 2019 debido a los problemas persistentes del estado para encontrar una compañía farmacéutica que estuviera dispuesta a vender fármacos para ejecuciones</w:t>
      </w:r>
      <w:r>
        <w:rPr>
          <w:rFonts w:asciiTheme="majorHAnsi" w:hAnsiTheme="majorHAnsi"/>
          <w:sz w:val="20"/>
          <w:szCs w:val="20"/>
          <w:lang w:val="es-ES"/>
        </w:rPr>
        <w:t>.</w:t>
      </w:r>
    </w:p>
    <w:p w14:paraId="2A592850" w14:textId="77777777" w:rsidR="00AB5E60" w:rsidRPr="007A3389" w:rsidRDefault="00AB5E60" w:rsidP="00AB5E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396C53F6" w14:textId="77777777" w:rsidR="00677DA7" w:rsidRPr="007A3389" w:rsidRDefault="000D3EE0" w:rsidP="003676F1">
      <w:pPr>
        <w:pStyle w:val="Heading1"/>
        <w:tabs>
          <w:tab w:val="left" w:pos="360"/>
        </w:tabs>
        <w:spacing w:before="0"/>
        <w:ind w:hanging="720"/>
        <w:rPr>
          <w:color w:val="auto"/>
          <w:sz w:val="20"/>
          <w:szCs w:val="20"/>
          <w:lang w:val="es-ES"/>
        </w:rPr>
      </w:pPr>
      <w:bookmarkStart w:id="16" w:name="_Toc90298924"/>
      <w:r w:rsidRPr="007A3389">
        <w:rPr>
          <w:color w:val="auto"/>
          <w:sz w:val="20"/>
          <w:szCs w:val="20"/>
          <w:lang w:val="es-ES"/>
        </w:rPr>
        <w:t>ANÁLISIS DE DERECHO</w:t>
      </w:r>
      <w:bookmarkEnd w:id="16"/>
    </w:p>
    <w:p w14:paraId="0BDDE87A" w14:textId="77777777" w:rsidR="00E57AC6" w:rsidRPr="007A3389" w:rsidRDefault="00E57AC6" w:rsidP="00E57AC6">
      <w:pPr>
        <w:rPr>
          <w:lang w:val="es-ES"/>
        </w:rPr>
      </w:pPr>
    </w:p>
    <w:p w14:paraId="5B2C3735" w14:textId="77777777" w:rsidR="00677DA7" w:rsidRPr="007A3389" w:rsidRDefault="000D3EE0" w:rsidP="009C6457">
      <w:pPr>
        <w:pStyle w:val="Heading2"/>
        <w:numPr>
          <w:ilvl w:val="0"/>
          <w:numId w:val="61"/>
        </w:numPr>
        <w:tabs>
          <w:tab w:val="left" w:pos="360"/>
        </w:tabs>
        <w:spacing w:before="0"/>
        <w:ind w:left="0" w:firstLine="0"/>
        <w:rPr>
          <w:color w:val="auto"/>
          <w:sz w:val="20"/>
          <w:szCs w:val="20"/>
          <w:lang w:val="es-ES"/>
        </w:rPr>
      </w:pPr>
      <w:bookmarkStart w:id="17" w:name="_Toc90298925"/>
      <w:r w:rsidRPr="007A3389">
        <w:rPr>
          <w:color w:val="auto"/>
          <w:sz w:val="20"/>
          <w:szCs w:val="20"/>
          <w:lang w:val="es-ES"/>
        </w:rPr>
        <w:t>Consideraciones preliminares</w:t>
      </w:r>
      <w:bookmarkEnd w:id="17"/>
    </w:p>
    <w:p w14:paraId="4A4ED082" w14:textId="77777777" w:rsidR="00E57AC6" w:rsidRPr="007A3389" w:rsidRDefault="00E57AC6" w:rsidP="00E57AC6">
      <w:pPr>
        <w:pStyle w:val="ListParagraph"/>
        <w:rPr>
          <w:lang w:val="es-ES"/>
        </w:rPr>
      </w:pPr>
    </w:p>
    <w:p w14:paraId="4CA1E66A" w14:textId="77777777" w:rsidR="00E57AC6" w:rsidRPr="007A3389" w:rsidRDefault="00113496" w:rsidP="00B44448">
      <w:pPr>
        <w:pStyle w:val="parrafos"/>
        <w:numPr>
          <w:ilvl w:val="0"/>
          <w:numId w:val="55"/>
        </w:numPr>
        <w:ind w:left="0" w:firstLine="0"/>
        <w:rPr>
          <w:lang w:val="es-ES"/>
        </w:rPr>
      </w:pPr>
      <w:r w:rsidRPr="00113496">
        <w:rPr>
          <w:lang w:val="es-ES"/>
        </w:rPr>
        <w:t>Antes de embarcarse en un análisis del fondo en el caso de</w:t>
      </w:r>
      <w:r w:rsidR="00E57AC6" w:rsidRPr="007A3389">
        <w:rPr>
          <w:lang w:val="es-ES"/>
        </w:rPr>
        <w:t xml:space="preserve"> </w:t>
      </w:r>
      <w:r w:rsidR="00565C1A" w:rsidRPr="007A3389">
        <w:rPr>
          <w:lang w:val="es-ES"/>
        </w:rPr>
        <w:t>José Trinidad Loza Ventura</w:t>
      </w:r>
      <w:r w:rsidR="00E57AC6" w:rsidRPr="007A3389">
        <w:rPr>
          <w:lang w:val="es-ES"/>
        </w:rPr>
        <w:t xml:space="preserve">, </w:t>
      </w:r>
      <w:r w:rsidR="008A10AB" w:rsidRPr="007A3389">
        <w:rPr>
          <w:lang w:val="es-ES"/>
        </w:rPr>
        <w:t>la Comisión Interamericana</w:t>
      </w:r>
      <w:r w:rsidR="00E57AC6" w:rsidRPr="007A3389">
        <w:rPr>
          <w:lang w:val="es-ES"/>
        </w:rPr>
        <w:t xml:space="preserve"> </w:t>
      </w:r>
      <w:r w:rsidRPr="00113496">
        <w:rPr>
          <w:lang w:val="es-ES"/>
        </w:rPr>
        <w:t xml:space="preserve">considera procedente reiterar sus conclusiones anteriores con respecto al escrutinio riguroso que debe efectuarse en los casos de delitos punibles con la pena de muerte. El derecho a la vida ha sido ampliamente reconocido como el derecho humano supremo y como </w:t>
      </w:r>
      <w:r w:rsidRPr="00113496">
        <w:rPr>
          <w:i/>
          <w:iCs/>
          <w:lang w:val="es-ES"/>
        </w:rPr>
        <w:t>sine qua non</w:t>
      </w:r>
      <w:r w:rsidRPr="00113496">
        <w:rPr>
          <w:lang w:val="es-ES"/>
        </w:rPr>
        <w:t xml:space="preserve"> para el goce de los demás derechos</w:t>
      </w:r>
      <w:r w:rsidR="00E57AC6" w:rsidRPr="007A3389">
        <w:rPr>
          <w:lang w:val="es-ES"/>
        </w:rPr>
        <w:t xml:space="preserve">. </w:t>
      </w:r>
    </w:p>
    <w:p w14:paraId="7A114C84" w14:textId="77777777" w:rsidR="00E57AC6" w:rsidRPr="007A3389" w:rsidRDefault="00E57AC6" w:rsidP="00B444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04B16642" w14:textId="77777777" w:rsidR="00E57AC6" w:rsidRPr="007A3389" w:rsidRDefault="00113496" w:rsidP="00B44448">
      <w:pPr>
        <w:pStyle w:val="parrafos"/>
        <w:numPr>
          <w:ilvl w:val="0"/>
          <w:numId w:val="55"/>
        </w:numPr>
        <w:ind w:left="0" w:firstLine="0"/>
        <w:rPr>
          <w:lang w:val="es-ES"/>
        </w:rPr>
      </w:pPr>
      <w:r w:rsidRPr="00113496">
        <w:rPr>
          <w:lang w:val="es-ES"/>
        </w:rPr>
        <w:t>De ahí la particular importancia de la obligación de la CIDH de cerciorarse de que toda denegación de la vida que surja de la aplicación de la pena de muerte se ciña estrictamente a los requisitos establecidos en los instrumentos pertinentes del sistema interamericano de derechos humanos, entre ellos la Declaración Americana</w:t>
      </w:r>
      <w:r w:rsidR="00E57AC6" w:rsidRPr="007A3389">
        <w:rPr>
          <w:lang w:val="es-ES"/>
        </w:rPr>
        <w:t xml:space="preserve">. </w:t>
      </w:r>
      <w:r w:rsidRPr="00113496">
        <w:rPr>
          <w:lang w:val="es-ES"/>
        </w:rPr>
        <w:t>Ese escrutinio riguroso es compatible con el enfoque restrictivo adoptado por otros órganos internacionales de derechos humanos en casos de pena de muerte</w:t>
      </w:r>
      <w:r w:rsidR="00E57AC6" w:rsidRPr="007A3389">
        <w:rPr>
          <w:rStyle w:val="FootnoteReference"/>
          <w:lang w:val="es-ES"/>
        </w:rPr>
        <w:footnoteReference w:id="35"/>
      </w:r>
      <w:r>
        <w:rPr>
          <w:lang w:val="es-ES"/>
        </w:rPr>
        <w:t>,</w:t>
      </w:r>
      <w:r w:rsidR="00E57AC6" w:rsidRPr="007A3389">
        <w:rPr>
          <w:lang w:val="es-ES"/>
        </w:rPr>
        <w:t xml:space="preserve"> </w:t>
      </w:r>
      <w:r w:rsidRPr="00113496">
        <w:rPr>
          <w:lang w:val="es-ES"/>
        </w:rPr>
        <w:t>y la Comisión lo ha expuesto y aplicado en casos anteriores de pena de muerte que llegaron ante ella</w:t>
      </w:r>
      <w:r w:rsidR="00E57AC6" w:rsidRPr="007A3389">
        <w:rPr>
          <w:rStyle w:val="FootnoteReference"/>
          <w:lang w:val="es-ES"/>
        </w:rPr>
        <w:footnoteReference w:id="36"/>
      </w:r>
      <w:r>
        <w:rPr>
          <w:lang w:val="es-ES"/>
        </w:rPr>
        <w:t>.</w:t>
      </w:r>
      <w:r w:rsidR="00E57AC6" w:rsidRPr="007A3389">
        <w:rPr>
          <w:lang w:val="es-ES"/>
        </w:rPr>
        <w:t xml:space="preserve"> </w:t>
      </w:r>
      <w:r w:rsidR="00A87816" w:rsidRPr="00A87816">
        <w:rPr>
          <w:lang w:val="es-ES"/>
        </w:rPr>
        <w:t>Según ha explicado la Comisión Interamericana, este estándar de revisión es una consecuencia necesaria de la pena específicamente en cuestión y del derecho a un juicio justo y todas las garantías del debido proceso relacionadas</w:t>
      </w:r>
      <w:r w:rsidR="00E57AC6" w:rsidRPr="007A3389">
        <w:rPr>
          <w:rStyle w:val="FootnoteReference"/>
          <w:lang w:val="es-ES"/>
        </w:rPr>
        <w:footnoteReference w:id="37"/>
      </w:r>
      <w:r w:rsidR="00E57AC6" w:rsidRPr="007A3389">
        <w:rPr>
          <w:lang w:val="es-ES"/>
        </w:rPr>
        <w:t>:</w:t>
      </w:r>
    </w:p>
    <w:p w14:paraId="24ACA0A9" w14:textId="77777777" w:rsidR="00E57AC6" w:rsidRPr="007A3389" w:rsidRDefault="00E57AC6" w:rsidP="00E57AC6">
      <w:pPr>
        <w:pStyle w:val="ListParagraph"/>
        <w:rPr>
          <w:sz w:val="20"/>
          <w:szCs w:val="20"/>
          <w:lang w:val="es-ES"/>
        </w:rPr>
      </w:pPr>
    </w:p>
    <w:p w14:paraId="0D9C2D18" w14:textId="77777777" w:rsidR="00E57AC6" w:rsidRPr="007A3389" w:rsidRDefault="00BB6F8A" w:rsidP="00E57AC6">
      <w:pPr>
        <w:autoSpaceDE w:val="0"/>
        <w:autoSpaceDN w:val="0"/>
        <w:adjustRightInd w:val="0"/>
        <w:ind w:left="360" w:right="360"/>
        <w:jc w:val="both"/>
        <w:rPr>
          <w:rFonts w:ascii="Cambria" w:hAnsi="Cambria" w:cs="Calibri"/>
          <w:sz w:val="18"/>
          <w:szCs w:val="18"/>
          <w:lang w:val="es-ES"/>
        </w:rPr>
      </w:pPr>
      <w:r w:rsidRPr="00BB6F8A">
        <w:rPr>
          <w:rFonts w:ascii="Cambria" w:hAnsi="Cambria" w:cs="Calibri"/>
          <w:sz w:val="18"/>
          <w:szCs w:val="18"/>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00E57AC6" w:rsidRPr="007A3389">
        <w:rPr>
          <w:rStyle w:val="FootnoteReference"/>
          <w:rFonts w:ascii="Cambria" w:hAnsi="Cambria"/>
          <w:sz w:val="18"/>
          <w:szCs w:val="18"/>
          <w:lang w:val="es-ES"/>
        </w:rPr>
        <w:footnoteReference w:id="38"/>
      </w:r>
      <w:r>
        <w:rPr>
          <w:rFonts w:ascii="Cambria" w:hAnsi="Cambria" w:cs="Calibri"/>
          <w:sz w:val="18"/>
          <w:szCs w:val="18"/>
          <w:lang w:val="es-ES"/>
        </w:rPr>
        <w:t>.</w:t>
      </w:r>
    </w:p>
    <w:p w14:paraId="3B7A9FF3" w14:textId="77777777" w:rsidR="00E57AC6" w:rsidRPr="007A3389" w:rsidRDefault="00E57AC6" w:rsidP="00E57AC6">
      <w:pPr>
        <w:jc w:val="both"/>
        <w:rPr>
          <w:rFonts w:ascii="Cambria" w:hAnsi="Cambria"/>
          <w:sz w:val="20"/>
          <w:szCs w:val="20"/>
          <w:lang w:val="es-ES"/>
        </w:rPr>
      </w:pPr>
    </w:p>
    <w:p w14:paraId="6A5709E3" w14:textId="77777777" w:rsidR="00E57AC6" w:rsidRPr="007A3389" w:rsidRDefault="00A87816" w:rsidP="00B44448">
      <w:pPr>
        <w:pStyle w:val="NormalWeb"/>
        <w:numPr>
          <w:ilvl w:val="0"/>
          <w:numId w:val="55"/>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lang w:val="es-ES"/>
        </w:rPr>
      </w:pPr>
      <w:r w:rsidRPr="00A87816">
        <w:rPr>
          <w:rFonts w:asciiTheme="majorHAnsi" w:hAnsiTheme="majorHAnsi"/>
          <w:sz w:val="20"/>
          <w:szCs w:val="20"/>
          <w:lang w:val="es-ES"/>
        </w:rPr>
        <w:t>Por lo tanto, la Comisión Interamericana examinará los argumentos de los peticionarios en el caso de autos con un criterio riguroso a fin de cerciorarse en particular de que el Estado haya respetado el derecho a la vida</w:t>
      </w:r>
      <w:r w:rsidR="00E57AC6" w:rsidRPr="007A3389">
        <w:rPr>
          <w:rFonts w:asciiTheme="majorHAnsi" w:hAnsiTheme="majorHAnsi"/>
          <w:sz w:val="20"/>
          <w:szCs w:val="20"/>
          <w:lang w:val="es-ES"/>
        </w:rPr>
        <w:t xml:space="preserve">, </w:t>
      </w:r>
      <w:r>
        <w:rPr>
          <w:rFonts w:asciiTheme="majorHAnsi" w:hAnsiTheme="majorHAnsi"/>
          <w:sz w:val="20"/>
          <w:szCs w:val="20"/>
          <w:lang w:val="es-ES"/>
        </w:rPr>
        <w:t xml:space="preserve">el derecho a no recibir un </w:t>
      </w:r>
      <w:r w:rsidR="00E06DE6">
        <w:rPr>
          <w:rFonts w:asciiTheme="majorHAnsi" w:hAnsiTheme="majorHAnsi"/>
          <w:sz w:val="20"/>
          <w:szCs w:val="20"/>
          <w:lang w:val="es-ES"/>
        </w:rPr>
        <w:t>castigo cruel, infamante o inusitado</w:t>
      </w:r>
      <w:r w:rsidR="003B1D61" w:rsidRPr="007A3389">
        <w:rPr>
          <w:rFonts w:asciiTheme="majorHAnsi" w:hAnsiTheme="majorHAnsi"/>
          <w:sz w:val="20"/>
          <w:szCs w:val="20"/>
          <w:lang w:val="es-ES"/>
        </w:rPr>
        <w:t xml:space="preserve">, </w:t>
      </w:r>
      <w:r w:rsidRPr="00A87816">
        <w:rPr>
          <w:rFonts w:asciiTheme="majorHAnsi" w:hAnsiTheme="majorHAnsi"/>
          <w:sz w:val="20"/>
          <w:szCs w:val="20"/>
          <w:lang w:val="es-ES"/>
        </w:rPr>
        <w:t>el derecho al debido proceso y el derecho a un juicio imparcial establecidos en la Declaración Americana. En cuanto a la condición jurídica de la Declaración Americana, la CIDH reitera lo siguiente</w:t>
      </w:r>
      <w:r w:rsidR="00E57AC6" w:rsidRPr="007A3389">
        <w:rPr>
          <w:rStyle w:val="FootnoteReference"/>
          <w:rFonts w:ascii="Cambria" w:hAnsi="Cambria"/>
          <w:sz w:val="20"/>
          <w:szCs w:val="20"/>
          <w:lang w:val="es-ES"/>
        </w:rPr>
        <w:footnoteReference w:id="39"/>
      </w:r>
      <w:r>
        <w:rPr>
          <w:rFonts w:asciiTheme="majorHAnsi" w:hAnsiTheme="majorHAnsi"/>
          <w:sz w:val="20"/>
          <w:szCs w:val="20"/>
          <w:lang w:val="es-ES"/>
        </w:rPr>
        <w:t>:</w:t>
      </w:r>
      <w:r w:rsidRPr="00A87816">
        <w:rPr>
          <w:rFonts w:ascii="Cambria" w:hAnsi="Cambria" w:cs="Tahoma"/>
          <w:color w:val="262626"/>
          <w:sz w:val="20"/>
          <w:szCs w:val="20"/>
          <w:lang w:val="es-ES"/>
        </w:rPr>
        <w:t xml:space="preserve"> </w:t>
      </w:r>
    </w:p>
    <w:p w14:paraId="282336C9" w14:textId="77777777" w:rsidR="00E57AC6" w:rsidRPr="007A3389" w:rsidRDefault="00E57AC6" w:rsidP="00E57AC6">
      <w:pPr>
        <w:tabs>
          <w:tab w:val="left" w:pos="630"/>
          <w:tab w:val="left" w:pos="810"/>
        </w:tabs>
        <w:autoSpaceDE w:val="0"/>
        <w:autoSpaceDN w:val="0"/>
        <w:adjustRightInd w:val="0"/>
        <w:jc w:val="both"/>
        <w:rPr>
          <w:rFonts w:ascii="Cambria" w:hAnsi="Cambria" w:cs="Calibri"/>
          <w:sz w:val="20"/>
          <w:szCs w:val="20"/>
          <w:lang w:val="es-ES"/>
        </w:rPr>
      </w:pPr>
    </w:p>
    <w:p w14:paraId="69F99761" w14:textId="77777777" w:rsidR="00E57AC6" w:rsidRPr="00A87816" w:rsidRDefault="00A87816" w:rsidP="00E57AC6">
      <w:pPr>
        <w:tabs>
          <w:tab w:val="left" w:pos="630"/>
          <w:tab w:val="left" w:pos="810"/>
        </w:tabs>
        <w:autoSpaceDE w:val="0"/>
        <w:autoSpaceDN w:val="0"/>
        <w:adjustRightInd w:val="0"/>
        <w:ind w:left="360" w:right="360"/>
        <w:jc w:val="both"/>
        <w:rPr>
          <w:rFonts w:ascii="Cambria" w:hAnsi="Cambria" w:cs="Calibri"/>
          <w:sz w:val="18"/>
          <w:szCs w:val="18"/>
          <w:lang w:val="es-ES"/>
        </w:rPr>
      </w:pPr>
      <w:r w:rsidRPr="00A87816">
        <w:rPr>
          <w:rFonts w:ascii="Cambria" w:hAnsi="Cambria"/>
          <w:sz w:val="18"/>
          <w:szCs w:val="18"/>
          <w:lang w:val="es-ES"/>
        </w:rPr>
        <w:t>Para los Estados Miembros que no son parte de la Convención Americana, la Declaración es la fuente de obligaciones internacionales relacionadas con la Carta de la OEA. La Carta de la Organización confirió a la CIDH la función principal de promover la observancia y la protección de los derechos humanos en los Estados Miembros. El artículo 106 de la Carta de la OEA, sin embargo, no enumera o define esos derechos. La Asamblea General de la OEA, en su noveno período ordinario de sesiones celebrado en La Paz, Bolivia, en octubre de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r w:rsidR="00E57AC6" w:rsidRPr="00A87816">
        <w:rPr>
          <w:rFonts w:ascii="Cambria" w:hAnsi="Cambria"/>
          <w:sz w:val="18"/>
          <w:szCs w:val="18"/>
          <w:lang w:val="es-ES"/>
        </w:rPr>
        <w:t>.</w:t>
      </w:r>
    </w:p>
    <w:p w14:paraId="273166B1" w14:textId="77777777" w:rsidR="00E57AC6" w:rsidRPr="007A3389" w:rsidRDefault="00E57AC6" w:rsidP="00E57AC6">
      <w:pPr>
        <w:pStyle w:val="ListParagraph"/>
        <w:rPr>
          <w:sz w:val="20"/>
          <w:szCs w:val="20"/>
          <w:lang w:val="es-ES"/>
        </w:rPr>
      </w:pPr>
    </w:p>
    <w:p w14:paraId="2D3D50D8" w14:textId="77777777" w:rsidR="00E57AC6" w:rsidRPr="007A3389" w:rsidRDefault="00DF0585" w:rsidP="00DF0585">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ES"/>
        </w:rPr>
      </w:pPr>
      <w:r w:rsidRPr="00DF0585">
        <w:rPr>
          <w:rFonts w:asciiTheme="majorHAnsi" w:hAnsiTheme="majorHAnsi"/>
          <w:sz w:val="20"/>
          <w:lang w:val="es-ES"/>
        </w:rPr>
        <w:t xml:space="preserve">Por último, la Comisión recuerda que su examen no consiste en determinar </w:t>
      </w:r>
      <w:r w:rsidR="008A1CE5">
        <w:rPr>
          <w:rFonts w:asciiTheme="majorHAnsi" w:hAnsiTheme="majorHAnsi"/>
          <w:sz w:val="20"/>
          <w:lang w:val="es-ES"/>
        </w:rPr>
        <w:t>si</w:t>
      </w:r>
      <w:r w:rsidRPr="00DF0585">
        <w:rPr>
          <w:rFonts w:asciiTheme="majorHAnsi" w:hAnsiTheme="majorHAnsi"/>
          <w:sz w:val="20"/>
          <w:lang w:val="es-ES"/>
        </w:rPr>
        <w:t xml:space="preserve"> la pena de muerte en sí infringe la Declaración Americana. Lo que se aborda en este apartado es la norma aplicable al examen de las presuntas violaciones de derechos humanos en el contexto de un </w:t>
      </w:r>
      <w:r>
        <w:rPr>
          <w:rFonts w:asciiTheme="majorHAnsi" w:hAnsiTheme="majorHAnsi"/>
          <w:sz w:val="20"/>
          <w:lang w:val="es-ES"/>
        </w:rPr>
        <w:t xml:space="preserve">procedimiento penal </w:t>
      </w:r>
      <w:r w:rsidRPr="00DF0585">
        <w:rPr>
          <w:rFonts w:asciiTheme="majorHAnsi" w:hAnsiTheme="majorHAnsi"/>
          <w:sz w:val="20"/>
          <w:lang w:val="es-ES"/>
        </w:rPr>
        <w:t>que culminó con la imposición de la pena de muerte</w:t>
      </w:r>
      <w:r w:rsidR="00E57AC6" w:rsidRPr="007A3389">
        <w:rPr>
          <w:rFonts w:asciiTheme="majorHAnsi" w:hAnsiTheme="majorHAnsi"/>
          <w:sz w:val="20"/>
          <w:lang w:val="es-ES"/>
        </w:rPr>
        <w:t>.</w:t>
      </w:r>
    </w:p>
    <w:p w14:paraId="24533F52" w14:textId="77777777" w:rsidR="00E57AC6" w:rsidRPr="007A3389" w:rsidRDefault="00E57AC6" w:rsidP="00B55F23">
      <w:pPr>
        <w:pStyle w:val="Heading2"/>
        <w:tabs>
          <w:tab w:val="left" w:pos="360"/>
        </w:tabs>
        <w:spacing w:before="0"/>
        <w:rPr>
          <w:sz w:val="20"/>
          <w:szCs w:val="20"/>
          <w:lang w:val="es-ES"/>
        </w:rPr>
      </w:pPr>
    </w:p>
    <w:p w14:paraId="28B0DFE4" w14:textId="77777777" w:rsidR="00677DA7" w:rsidRPr="007A3389" w:rsidRDefault="003010E1" w:rsidP="009C6457">
      <w:pPr>
        <w:pStyle w:val="Heading2"/>
        <w:numPr>
          <w:ilvl w:val="0"/>
          <w:numId w:val="61"/>
        </w:numPr>
        <w:tabs>
          <w:tab w:val="left" w:pos="360"/>
        </w:tabs>
        <w:spacing w:before="0"/>
        <w:ind w:left="0" w:firstLine="0"/>
        <w:jc w:val="both"/>
        <w:rPr>
          <w:color w:val="auto"/>
          <w:sz w:val="20"/>
          <w:szCs w:val="20"/>
          <w:lang w:val="es-ES"/>
        </w:rPr>
      </w:pPr>
      <w:bookmarkStart w:id="18" w:name="_Toc90298926"/>
      <w:r w:rsidRPr="007A3389">
        <w:rPr>
          <w:color w:val="auto"/>
          <w:sz w:val="20"/>
          <w:szCs w:val="20"/>
          <w:lang w:val="es-ES"/>
        </w:rPr>
        <w:t>Derecho de justicia</w:t>
      </w:r>
      <w:r w:rsidR="00F61B4C" w:rsidRPr="007A3389">
        <w:rPr>
          <w:rStyle w:val="FootnoteReference"/>
          <w:color w:val="auto"/>
          <w:sz w:val="20"/>
          <w:szCs w:val="20"/>
          <w:lang w:val="es-ES"/>
        </w:rPr>
        <w:footnoteReference w:id="40"/>
      </w:r>
      <w:r w:rsidR="002E3921" w:rsidRPr="007A3389">
        <w:rPr>
          <w:color w:val="auto"/>
          <w:sz w:val="20"/>
          <w:szCs w:val="20"/>
          <w:lang w:val="es-ES"/>
        </w:rPr>
        <w:t xml:space="preserve"> </w:t>
      </w:r>
      <w:r w:rsidRPr="007A3389">
        <w:rPr>
          <w:color w:val="auto"/>
          <w:sz w:val="20"/>
          <w:szCs w:val="20"/>
          <w:lang w:val="es-ES"/>
        </w:rPr>
        <w:t>y derecho a proceso regular</w:t>
      </w:r>
      <w:r w:rsidR="00F61B4C" w:rsidRPr="007A3389">
        <w:rPr>
          <w:rStyle w:val="FootnoteReference"/>
          <w:color w:val="auto"/>
          <w:sz w:val="20"/>
          <w:szCs w:val="20"/>
          <w:lang w:val="es-ES"/>
        </w:rPr>
        <w:footnoteReference w:id="41"/>
      </w:r>
      <w:bookmarkEnd w:id="18"/>
      <w:r w:rsidR="00B55F23" w:rsidRPr="007A3389">
        <w:rPr>
          <w:color w:val="auto"/>
          <w:sz w:val="20"/>
          <w:szCs w:val="20"/>
          <w:lang w:val="es-ES"/>
        </w:rPr>
        <w:t xml:space="preserve"> </w:t>
      </w:r>
    </w:p>
    <w:p w14:paraId="248A0306" w14:textId="77777777" w:rsidR="002C6C33" w:rsidRPr="007A3389" w:rsidRDefault="002C6C33" w:rsidP="002C6C33">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5DA2C4CF" w14:textId="77777777" w:rsidR="00B9441F" w:rsidRPr="007A3389" w:rsidRDefault="003010E1" w:rsidP="00B9441F">
      <w:pPr>
        <w:pStyle w:val="Heading3"/>
        <w:numPr>
          <w:ilvl w:val="1"/>
          <w:numId w:val="53"/>
        </w:numPr>
        <w:spacing w:before="0"/>
        <w:ind w:left="360"/>
        <w:rPr>
          <w:color w:val="auto"/>
          <w:sz w:val="20"/>
          <w:szCs w:val="20"/>
          <w:lang w:val="es-ES"/>
        </w:rPr>
      </w:pPr>
      <w:bookmarkStart w:id="19" w:name="_Toc90298927"/>
      <w:r w:rsidRPr="007A3389">
        <w:rPr>
          <w:color w:val="auto"/>
          <w:sz w:val="20"/>
          <w:szCs w:val="20"/>
          <w:lang w:val="es-ES"/>
        </w:rPr>
        <w:t>Consideraciones generales</w:t>
      </w:r>
      <w:r w:rsidR="00B9441F" w:rsidRPr="007A3389">
        <w:rPr>
          <w:color w:val="auto"/>
          <w:sz w:val="20"/>
          <w:szCs w:val="20"/>
          <w:lang w:val="es-ES"/>
        </w:rPr>
        <w:t xml:space="preserve"> </w:t>
      </w:r>
      <w:r w:rsidRPr="007A3389">
        <w:rPr>
          <w:color w:val="auto"/>
          <w:sz w:val="20"/>
          <w:szCs w:val="20"/>
          <w:lang w:val="es-ES"/>
        </w:rPr>
        <w:t>sobre el</w:t>
      </w:r>
      <w:r w:rsidR="00B9441F" w:rsidRPr="007A3389">
        <w:rPr>
          <w:color w:val="auto"/>
          <w:sz w:val="20"/>
          <w:szCs w:val="20"/>
          <w:lang w:val="es-ES"/>
        </w:rPr>
        <w:t xml:space="preserve"> </w:t>
      </w:r>
      <w:r w:rsidR="008A10AB" w:rsidRPr="007A3389">
        <w:rPr>
          <w:color w:val="auto"/>
          <w:sz w:val="20"/>
          <w:szCs w:val="20"/>
          <w:lang w:val="es-ES"/>
        </w:rPr>
        <w:t>derecho a la notificación consular</w:t>
      </w:r>
      <w:bookmarkEnd w:id="19"/>
      <w:r w:rsidR="00B9441F" w:rsidRPr="007A3389">
        <w:rPr>
          <w:color w:val="auto"/>
          <w:sz w:val="20"/>
          <w:szCs w:val="20"/>
          <w:lang w:val="es-ES"/>
        </w:rPr>
        <w:t xml:space="preserve"> </w:t>
      </w:r>
    </w:p>
    <w:p w14:paraId="48652BEA" w14:textId="77777777" w:rsidR="002F12A8" w:rsidRPr="007A3389" w:rsidRDefault="002F12A8" w:rsidP="002F12A8">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6C528D5E" w14:textId="77777777" w:rsidR="002F12A8" w:rsidRPr="007A3389" w:rsidRDefault="00AE52EF" w:rsidP="00AE52E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AE52EF">
        <w:rPr>
          <w:rFonts w:asciiTheme="majorHAnsi" w:hAnsiTheme="majorHAnsi"/>
          <w:sz w:val="20"/>
          <w:szCs w:val="20"/>
          <w:lang w:val="es-ES"/>
        </w:rPr>
        <w:t xml:space="preserve">La Comisión determinó en casos anteriores que es necesario y procedente considerar la medida en que un Estado Parte se ha ceñido a los requisitos del artículo 36 de la Convención de Viena sobre Relaciones Consulares a efectos de evaluar su observancia de los derechos de un extranjero al debido proceso de acuerdo con los artículos XVIII y XXVI de la Declaración Americana. Por lo tanto, tiene en cuenta el cumplimiento del artículo 36 de la Convención de Viena al interpretar y aplicar las disposiciones de la Declaración Americana a un extranjero que haya sido arrestado, enjuiciado, procesado con prisión </w:t>
      </w:r>
      <w:r w:rsidRPr="00AE52EF">
        <w:rPr>
          <w:rFonts w:ascii="Cambria" w:hAnsi="Cambria" w:cs="Arial"/>
          <w:sz w:val="20"/>
          <w:szCs w:val="20"/>
          <w:lang w:val="es-ES"/>
        </w:rPr>
        <w:t>preventiva</w:t>
      </w:r>
      <w:r w:rsidRPr="00AE52EF">
        <w:rPr>
          <w:rFonts w:asciiTheme="majorHAnsi" w:hAnsiTheme="majorHAnsi"/>
          <w:sz w:val="20"/>
          <w:szCs w:val="20"/>
          <w:lang w:val="es-ES"/>
        </w:rPr>
        <w:t xml:space="preserve"> o detenido de cualquier otra manera por dicho Estad</w:t>
      </w:r>
      <w:r>
        <w:rPr>
          <w:rFonts w:asciiTheme="majorHAnsi" w:hAnsiTheme="majorHAnsi"/>
          <w:sz w:val="20"/>
          <w:szCs w:val="20"/>
          <w:lang w:val="es-ES"/>
        </w:rPr>
        <w:t>o</w:t>
      </w:r>
      <w:r w:rsidR="002F12A8" w:rsidRPr="007A3389">
        <w:rPr>
          <w:rStyle w:val="FootnoteReference"/>
          <w:rFonts w:asciiTheme="majorHAnsi" w:hAnsiTheme="majorHAnsi"/>
          <w:sz w:val="20"/>
          <w:szCs w:val="20"/>
          <w:lang w:val="es-ES"/>
        </w:rPr>
        <w:footnoteReference w:id="42"/>
      </w:r>
      <w:r>
        <w:rPr>
          <w:rFonts w:asciiTheme="majorHAnsi" w:hAnsiTheme="majorHAnsi"/>
          <w:sz w:val="20"/>
          <w:szCs w:val="20"/>
          <w:lang w:val="es-ES"/>
        </w:rPr>
        <w:t>.</w:t>
      </w:r>
    </w:p>
    <w:p w14:paraId="3606356D" w14:textId="77777777" w:rsidR="002F12A8" w:rsidRPr="007A3389" w:rsidRDefault="002F12A8" w:rsidP="002F12A8">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273C6E31" w14:textId="77777777" w:rsidR="002F12A8" w:rsidRPr="007A3389" w:rsidRDefault="007E5E2F" w:rsidP="002F12A8">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Cambria" w:hAnsi="Cambria" w:cs="Arial"/>
          <w:sz w:val="20"/>
          <w:szCs w:val="20"/>
          <w:lang w:val="es-ES"/>
        </w:rPr>
        <w:t xml:space="preserve">El </w:t>
      </w:r>
      <w:r w:rsidR="002F12A8" w:rsidRPr="007A3389">
        <w:rPr>
          <w:rFonts w:ascii="Cambria" w:hAnsi="Cambria" w:cs="Arial"/>
          <w:sz w:val="20"/>
          <w:szCs w:val="20"/>
          <w:lang w:val="es-ES"/>
        </w:rPr>
        <w:t>31</w:t>
      </w:r>
      <w:r>
        <w:rPr>
          <w:rFonts w:ascii="Cambria" w:hAnsi="Cambria" w:cs="Arial"/>
          <w:sz w:val="20"/>
          <w:szCs w:val="20"/>
          <w:lang w:val="es-ES"/>
        </w:rPr>
        <w:t xml:space="preserve"> de marzo de</w:t>
      </w:r>
      <w:r w:rsidR="002F12A8" w:rsidRPr="007A3389">
        <w:rPr>
          <w:rFonts w:ascii="Cambria" w:hAnsi="Cambria" w:cs="Arial"/>
          <w:sz w:val="20"/>
          <w:szCs w:val="20"/>
          <w:lang w:val="es-ES"/>
        </w:rPr>
        <w:t xml:space="preserve"> 2004, </w:t>
      </w:r>
      <w:r>
        <w:rPr>
          <w:rFonts w:ascii="Cambria" w:hAnsi="Cambria" w:cs="Arial"/>
          <w:sz w:val="20"/>
          <w:szCs w:val="20"/>
          <w:lang w:val="es-ES"/>
        </w:rPr>
        <w:t>la Corte Internacional de Justicia</w:t>
      </w:r>
      <w:r w:rsidR="002F12A8" w:rsidRPr="007A3389">
        <w:rPr>
          <w:rFonts w:ascii="Cambria" w:hAnsi="Cambria" w:cs="Arial"/>
          <w:sz w:val="20"/>
          <w:szCs w:val="20"/>
          <w:lang w:val="es-ES"/>
        </w:rPr>
        <w:t xml:space="preserve"> </w:t>
      </w:r>
      <w:r>
        <w:rPr>
          <w:rFonts w:ascii="Cambria" w:hAnsi="Cambria" w:cs="Arial"/>
          <w:sz w:val="20"/>
          <w:szCs w:val="20"/>
          <w:lang w:val="es-ES"/>
        </w:rPr>
        <w:t xml:space="preserve">(CIJ) determinó en el </w:t>
      </w:r>
      <w:r w:rsidR="00366212" w:rsidRPr="00366212">
        <w:rPr>
          <w:rFonts w:ascii="Cambria" w:hAnsi="Cambria" w:cs="Arial"/>
          <w:sz w:val="20"/>
          <w:szCs w:val="20"/>
          <w:lang w:val="es-ES"/>
        </w:rPr>
        <w:t>caso Avena y otros nacionales mexicanos (México c. Estados Unidos)</w:t>
      </w:r>
      <w:r w:rsidR="002F12A8" w:rsidRPr="007A3389">
        <w:rPr>
          <w:rFonts w:ascii="Cambria" w:hAnsi="Cambria" w:cs="Arial"/>
          <w:sz w:val="20"/>
          <w:szCs w:val="20"/>
          <w:lang w:val="es-ES"/>
        </w:rPr>
        <w:t xml:space="preserve"> </w:t>
      </w:r>
      <w:r>
        <w:rPr>
          <w:rFonts w:ascii="Cambria" w:hAnsi="Cambria" w:cs="Arial"/>
          <w:sz w:val="20"/>
          <w:szCs w:val="20"/>
          <w:lang w:val="es-ES"/>
        </w:rPr>
        <w:t xml:space="preserve">que </w:t>
      </w:r>
      <w:r w:rsidR="00631955" w:rsidRPr="007A3389">
        <w:rPr>
          <w:rFonts w:ascii="Cambria" w:hAnsi="Cambria" w:cs="Arial"/>
          <w:sz w:val="20"/>
          <w:szCs w:val="20"/>
          <w:lang w:val="es-ES"/>
        </w:rPr>
        <w:t>Estados Unidos</w:t>
      </w:r>
      <w:r w:rsidR="002F12A8" w:rsidRPr="007A3389">
        <w:rPr>
          <w:rFonts w:ascii="Cambria" w:hAnsi="Cambria" w:cs="Arial"/>
          <w:sz w:val="20"/>
          <w:szCs w:val="20"/>
          <w:lang w:val="es-ES"/>
        </w:rPr>
        <w:t xml:space="preserve"> </w:t>
      </w:r>
      <w:r>
        <w:rPr>
          <w:rFonts w:ascii="Cambria" w:hAnsi="Cambria" w:cs="Arial"/>
          <w:sz w:val="20"/>
          <w:szCs w:val="20"/>
          <w:lang w:val="es-ES"/>
        </w:rPr>
        <w:t>de</w:t>
      </w:r>
      <w:r w:rsidR="002F12A8" w:rsidRPr="007A3389">
        <w:rPr>
          <w:rFonts w:ascii="Cambria" w:hAnsi="Cambria" w:cs="Arial"/>
          <w:sz w:val="20"/>
          <w:szCs w:val="20"/>
          <w:lang w:val="es-ES"/>
        </w:rPr>
        <w:t xml:space="preserve"> </w:t>
      </w:r>
      <w:r w:rsidRPr="007A3389">
        <w:rPr>
          <w:rFonts w:ascii="Cambria" w:hAnsi="Cambria" w:cs="Arial"/>
          <w:sz w:val="20"/>
          <w:szCs w:val="20"/>
          <w:lang w:val="es-ES"/>
        </w:rPr>
        <w:t>América</w:t>
      </w:r>
      <w:r w:rsidR="002F12A8" w:rsidRPr="007A3389">
        <w:rPr>
          <w:rFonts w:ascii="Cambria" w:hAnsi="Cambria" w:cs="Arial"/>
          <w:sz w:val="20"/>
          <w:szCs w:val="20"/>
          <w:lang w:val="es-ES"/>
        </w:rPr>
        <w:t xml:space="preserve"> </w:t>
      </w:r>
      <w:r w:rsidR="006B65E3">
        <w:rPr>
          <w:rFonts w:ascii="Cambria" w:hAnsi="Cambria" w:cs="Arial"/>
          <w:sz w:val="20"/>
          <w:szCs w:val="20"/>
          <w:lang w:val="es-ES"/>
        </w:rPr>
        <w:t>había incumplido sus obligaciones en el marco de</w:t>
      </w:r>
      <w:r w:rsidR="002F12A8" w:rsidRPr="007A3389">
        <w:rPr>
          <w:rFonts w:ascii="Cambria" w:hAnsi="Cambria" w:cs="Arial"/>
          <w:sz w:val="20"/>
          <w:szCs w:val="20"/>
          <w:lang w:val="es-ES"/>
        </w:rPr>
        <w:t xml:space="preserve"> </w:t>
      </w:r>
      <w:r w:rsidR="00EE0CB0" w:rsidRPr="007A3389">
        <w:rPr>
          <w:rFonts w:ascii="Cambria" w:hAnsi="Cambria" w:cs="Arial"/>
          <w:sz w:val="20"/>
          <w:szCs w:val="20"/>
          <w:lang w:val="es-ES"/>
        </w:rPr>
        <w:t>la Convención de Viena</w:t>
      </w:r>
      <w:r w:rsidR="002F12A8" w:rsidRPr="007A3389">
        <w:rPr>
          <w:rFonts w:ascii="Cambria" w:hAnsi="Cambria" w:cs="Arial"/>
          <w:sz w:val="20"/>
          <w:szCs w:val="20"/>
          <w:lang w:val="es-ES"/>
        </w:rPr>
        <w:t xml:space="preserve"> </w:t>
      </w:r>
      <w:r w:rsidR="006B65E3">
        <w:rPr>
          <w:rFonts w:ascii="Cambria" w:hAnsi="Cambria" w:cs="Arial"/>
          <w:sz w:val="20"/>
          <w:szCs w:val="20"/>
          <w:lang w:val="es-ES"/>
        </w:rPr>
        <w:t>con respecto a</w:t>
      </w:r>
      <w:r w:rsidR="00D87346" w:rsidRPr="007A3389">
        <w:rPr>
          <w:rFonts w:ascii="Cambria" w:hAnsi="Cambria" w:cs="Arial"/>
          <w:sz w:val="20"/>
          <w:szCs w:val="20"/>
          <w:lang w:val="es-ES"/>
        </w:rPr>
        <w:t>l señor</w:t>
      </w:r>
      <w:r w:rsidR="002F12A8" w:rsidRPr="007A3389">
        <w:rPr>
          <w:rFonts w:ascii="Cambria" w:hAnsi="Cambria" w:cs="Arial"/>
          <w:sz w:val="20"/>
          <w:szCs w:val="20"/>
          <w:lang w:val="es-ES"/>
        </w:rPr>
        <w:t xml:space="preserve"> Avena </w:t>
      </w:r>
      <w:r w:rsidR="006B65E3">
        <w:rPr>
          <w:rFonts w:ascii="Cambria" w:hAnsi="Cambria" w:cs="Arial"/>
          <w:sz w:val="20"/>
          <w:szCs w:val="20"/>
          <w:lang w:val="es-ES"/>
        </w:rPr>
        <w:t>y otros</w:t>
      </w:r>
      <w:r w:rsidR="002F12A8" w:rsidRPr="007A3389">
        <w:rPr>
          <w:rFonts w:ascii="Cambria" w:hAnsi="Cambria" w:cs="Arial"/>
          <w:sz w:val="20"/>
          <w:szCs w:val="20"/>
          <w:lang w:val="es-ES"/>
        </w:rPr>
        <w:t xml:space="preserve"> 50 </w:t>
      </w:r>
      <w:r>
        <w:rPr>
          <w:rFonts w:ascii="Cambria" w:hAnsi="Cambria" w:cs="Arial"/>
          <w:sz w:val="20"/>
          <w:szCs w:val="20"/>
          <w:lang w:val="es-ES"/>
        </w:rPr>
        <w:t>nacionales mexicanos</w:t>
      </w:r>
      <w:r w:rsidR="002F12A8" w:rsidRPr="007A3389">
        <w:rPr>
          <w:rFonts w:ascii="Cambria" w:hAnsi="Cambria" w:cs="Arial"/>
          <w:sz w:val="20"/>
          <w:szCs w:val="20"/>
          <w:lang w:val="es-ES"/>
        </w:rPr>
        <w:t xml:space="preserve"> arrest</w:t>
      </w:r>
      <w:r w:rsidR="006B65E3">
        <w:rPr>
          <w:rFonts w:ascii="Cambria" w:hAnsi="Cambria" w:cs="Arial"/>
          <w:sz w:val="20"/>
          <w:szCs w:val="20"/>
          <w:lang w:val="es-ES"/>
        </w:rPr>
        <w:t xml:space="preserve">ados y encarcelados por delitos en </w:t>
      </w:r>
      <w:r w:rsidR="00631955" w:rsidRPr="007A3389">
        <w:rPr>
          <w:rFonts w:ascii="Cambria" w:hAnsi="Cambria" w:cs="Arial"/>
          <w:sz w:val="20"/>
          <w:szCs w:val="20"/>
          <w:lang w:val="es-ES"/>
        </w:rPr>
        <w:t>Estados Unidos</w:t>
      </w:r>
      <w:r w:rsidR="002F12A8" w:rsidRPr="007A3389">
        <w:rPr>
          <w:rFonts w:ascii="Cambria" w:hAnsi="Cambria" w:cs="Arial"/>
          <w:sz w:val="20"/>
          <w:szCs w:val="20"/>
          <w:lang w:val="es-ES"/>
        </w:rPr>
        <w:t xml:space="preserve"> </w:t>
      </w:r>
      <w:r w:rsidR="006B65E3">
        <w:rPr>
          <w:rFonts w:ascii="Cambria" w:hAnsi="Cambria" w:cs="Arial"/>
          <w:sz w:val="20"/>
          <w:szCs w:val="20"/>
          <w:lang w:val="es-ES"/>
        </w:rPr>
        <w:t>porque no les había informado sin demora</w:t>
      </w:r>
      <w:r w:rsidR="00DB486C">
        <w:rPr>
          <w:rFonts w:ascii="Cambria" w:hAnsi="Cambria" w:cs="Arial"/>
          <w:sz w:val="20"/>
          <w:szCs w:val="20"/>
          <w:lang w:val="es-ES"/>
        </w:rPr>
        <w:t>,</w:t>
      </w:r>
      <w:r w:rsidR="006B65E3">
        <w:rPr>
          <w:rFonts w:ascii="Cambria" w:hAnsi="Cambria" w:cs="Arial"/>
          <w:sz w:val="20"/>
          <w:szCs w:val="20"/>
          <w:lang w:val="es-ES"/>
        </w:rPr>
        <w:t xml:space="preserve"> tras su detención</w:t>
      </w:r>
      <w:r w:rsidR="00DB486C">
        <w:rPr>
          <w:rFonts w:ascii="Cambria" w:hAnsi="Cambria" w:cs="Arial"/>
          <w:sz w:val="20"/>
          <w:szCs w:val="20"/>
          <w:lang w:val="es-ES"/>
        </w:rPr>
        <w:t>,</w:t>
      </w:r>
      <w:r w:rsidR="006B65E3">
        <w:rPr>
          <w:rFonts w:ascii="Cambria" w:hAnsi="Cambria" w:cs="Arial"/>
          <w:sz w:val="20"/>
          <w:szCs w:val="20"/>
          <w:lang w:val="es-ES"/>
        </w:rPr>
        <w:t xml:space="preserve"> sobre sus derechos de conformidad con el</w:t>
      </w:r>
      <w:r w:rsidR="002F12A8" w:rsidRPr="007A3389">
        <w:rPr>
          <w:rFonts w:ascii="Cambria" w:hAnsi="Cambria" w:cs="Arial"/>
          <w:sz w:val="20"/>
          <w:szCs w:val="20"/>
          <w:lang w:val="es-ES"/>
        </w:rPr>
        <w:t xml:space="preserve"> </w:t>
      </w:r>
      <w:r w:rsidR="00175318">
        <w:rPr>
          <w:rFonts w:ascii="Cambria" w:hAnsi="Cambria" w:cs="Arial"/>
          <w:sz w:val="20"/>
          <w:szCs w:val="20"/>
          <w:lang w:val="es-ES"/>
        </w:rPr>
        <w:t>artículo</w:t>
      </w:r>
      <w:r w:rsidR="002F12A8" w:rsidRPr="007A3389">
        <w:rPr>
          <w:rFonts w:ascii="Cambria" w:hAnsi="Cambria" w:cs="Arial"/>
          <w:sz w:val="20"/>
          <w:szCs w:val="20"/>
          <w:lang w:val="es-ES"/>
        </w:rPr>
        <w:t> 36</w:t>
      </w:r>
      <w:r>
        <w:rPr>
          <w:rFonts w:ascii="Cambria" w:hAnsi="Cambria" w:cs="Arial"/>
          <w:sz w:val="20"/>
          <w:szCs w:val="20"/>
          <w:lang w:val="es-ES"/>
        </w:rPr>
        <w:t>.</w:t>
      </w:r>
      <w:r w:rsidR="002F12A8" w:rsidRPr="007A3389">
        <w:rPr>
          <w:rFonts w:ascii="Cambria" w:hAnsi="Cambria" w:cs="Arial"/>
          <w:sz w:val="20"/>
          <w:szCs w:val="20"/>
          <w:lang w:val="es-ES"/>
        </w:rPr>
        <w:t>1</w:t>
      </w:r>
      <w:r>
        <w:rPr>
          <w:rFonts w:ascii="Cambria" w:hAnsi="Cambria" w:cs="Arial"/>
          <w:sz w:val="20"/>
          <w:szCs w:val="20"/>
          <w:lang w:val="es-ES"/>
        </w:rPr>
        <w:t>.</w:t>
      </w:r>
      <w:r w:rsidR="002F12A8" w:rsidRPr="007A3389">
        <w:rPr>
          <w:rFonts w:ascii="Cambria" w:hAnsi="Cambria" w:cs="Arial"/>
          <w:sz w:val="20"/>
          <w:szCs w:val="20"/>
          <w:lang w:val="es-ES"/>
        </w:rPr>
        <w:t>b</w:t>
      </w:r>
      <w:r>
        <w:rPr>
          <w:rFonts w:ascii="Cambria" w:hAnsi="Cambria" w:cs="Arial"/>
          <w:sz w:val="20"/>
          <w:szCs w:val="20"/>
          <w:lang w:val="es-ES"/>
        </w:rPr>
        <w:t xml:space="preserve"> de </w:t>
      </w:r>
      <w:r w:rsidR="00EE0CB0" w:rsidRPr="007A3389">
        <w:rPr>
          <w:rFonts w:ascii="Cambria" w:hAnsi="Cambria" w:cs="Arial"/>
          <w:sz w:val="20"/>
          <w:szCs w:val="20"/>
          <w:lang w:val="es-ES"/>
        </w:rPr>
        <w:t>la Convención de Viena</w:t>
      </w:r>
      <w:r w:rsidR="002F12A8" w:rsidRPr="007A3389">
        <w:rPr>
          <w:rStyle w:val="FootnoteReference"/>
          <w:rFonts w:ascii="Cambria" w:hAnsi="Cambria"/>
          <w:sz w:val="20"/>
          <w:szCs w:val="20"/>
          <w:lang w:val="es-ES"/>
        </w:rPr>
        <w:footnoteReference w:id="43"/>
      </w:r>
      <w:r>
        <w:rPr>
          <w:rFonts w:ascii="Cambria" w:hAnsi="Cambria" w:cs="Arial"/>
          <w:sz w:val="20"/>
          <w:szCs w:val="20"/>
          <w:lang w:val="es-ES"/>
        </w:rPr>
        <w:t>.</w:t>
      </w:r>
      <w:r w:rsidR="002F12A8" w:rsidRPr="007A3389">
        <w:rPr>
          <w:rFonts w:ascii="Cambria" w:hAnsi="Cambria" w:cs="Arial"/>
          <w:sz w:val="20"/>
          <w:szCs w:val="20"/>
          <w:lang w:val="es-ES"/>
        </w:rPr>
        <w:t xml:space="preserve"> </w:t>
      </w:r>
      <w:r>
        <w:rPr>
          <w:rFonts w:ascii="Cambria" w:hAnsi="Cambria" w:cs="Arial"/>
          <w:sz w:val="20"/>
          <w:szCs w:val="20"/>
          <w:lang w:val="es-ES"/>
        </w:rPr>
        <w:t xml:space="preserve">La </w:t>
      </w:r>
      <w:r>
        <w:rPr>
          <w:rFonts w:ascii="Cambria" w:hAnsi="Cambria" w:cs="Arial"/>
          <w:sz w:val="20"/>
          <w:szCs w:val="20"/>
          <w:lang w:val="es-ES"/>
        </w:rPr>
        <w:lastRenderedPageBreak/>
        <w:t xml:space="preserve">Corte </w:t>
      </w:r>
      <w:r w:rsidR="006B65E3">
        <w:rPr>
          <w:rFonts w:ascii="Cambria" w:hAnsi="Cambria" w:cs="Arial"/>
          <w:sz w:val="20"/>
          <w:szCs w:val="20"/>
          <w:lang w:val="es-ES"/>
        </w:rPr>
        <w:t>indicó que esas personas tenían derecho a una revisión y reconsideración de sus condenas y sentencias independientemente de que cumplieran o no las normas estatales de aplicación general que rigen las impugnaciones de condenas penales. E</w:t>
      </w:r>
      <w:r w:rsidR="00D87346" w:rsidRPr="007A3389">
        <w:rPr>
          <w:rFonts w:ascii="Cambria" w:hAnsi="Cambria" w:cs="Arial"/>
          <w:sz w:val="20"/>
          <w:szCs w:val="20"/>
          <w:lang w:val="es-ES"/>
        </w:rPr>
        <w:t>l señor</w:t>
      </w:r>
      <w:r w:rsidR="002F12A8" w:rsidRPr="007A3389">
        <w:rPr>
          <w:rFonts w:ascii="Cambria" w:hAnsi="Cambria" w:cs="Arial"/>
          <w:sz w:val="20"/>
          <w:szCs w:val="20"/>
          <w:lang w:val="es-ES"/>
        </w:rPr>
        <w:t xml:space="preserve"> Loza </w:t>
      </w:r>
      <w:r w:rsidR="006B65E3">
        <w:rPr>
          <w:rFonts w:ascii="Cambria" w:hAnsi="Cambria" w:cs="Arial"/>
          <w:sz w:val="20"/>
          <w:szCs w:val="20"/>
          <w:lang w:val="es-ES"/>
        </w:rPr>
        <w:t>era uno de los</w:t>
      </w:r>
      <w:r w:rsidR="002F12A8" w:rsidRPr="007A3389">
        <w:rPr>
          <w:rFonts w:ascii="Cambria" w:hAnsi="Cambria" w:cs="Arial"/>
          <w:sz w:val="20"/>
          <w:szCs w:val="20"/>
          <w:lang w:val="es-ES"/>
        </w:rPr>
        <w:t xml:space="preserve"> 51 </w:t>
      </w:r>
      <w:r>
        <w:rPr>
          <w:rFonts w:ascii="Cambria" w:hAnsi="Cambria" w:cs="Arial"/>
          <w:sz w:val="20"/>
          <w:szCs w:val="20"/>
          <w:lang w:val="es-ES"/>
        </w:rPr>
        <w:t>nacionales mexicanos</w:t>
      </w:r>
      <w:r w:rsidR="002F12A8" w:rsidRPr="007A3389">
        <w:rPr>
          <w:rFonts w:ascii="Cambria" w:hAnsi="Cambria" w:cs="Arial"/>
          <w:sz w:val="20"/>
          <w:szCs w:val="20"/>
          <w:lang w:val="es-ES"/>
        </w:rPr>
        <w:t xml:space="preserve"> </w:t>
      </w:r>
      <w:r w:rsidR="006B65E3">
        <w:rPr>
          <w:rFonts w:ascii="Cambria" w:hAnsi="Cambria" w:cs="Arial"/>
          <w:sz w:val="20"/>
          <w:szCs w:val="20"/>
          <w:lang w:val="es-ES"/>
        </w:rPr>
        <w:t>nombrados</w:t>
      </w:r>
      <w:r w:rsidR="002F12A8" w:rsidRPr="007A3389">
        <w:rPr>
          <w:rFonts w:ascii="Cambria" w:hAnsi="Cambria" w:cs="Arial"/>
          <w:sz w:val="20"/>
          <w:szCs w:val="20"/>
          <w:lang w:val="es-ES"/>
        </w:rPr>
        <w:t xml:space="preserve"> </w:t>
      </w:r>
      <w:r>
        <w:rPr>
          <w:rFonts w:ascii="Cambria" w:hAnsi="Cambria" w:cs="Arial"/>
          <w:sz w:val="20"/>
          <w:szCs w:val="20"/>
          <w:lang w:val="es-ES"/>
        </w:rPr>
        <w:t>en la sentencia de la CIJ.</w:t>
      </w:r>
    </w:p>
    <w:p w14:paraId="545C0E3D" w14:textId="77777777" w:rsidR="002F12A8" w:rsidRPr="007A3389" w:rsidRDefault="002F12A8" w:rsidP="002F12A8">
      <w:pPr>
        <w:pStyle w:val="ListParagraph"/>
        <w:rPr>
          <w:sz w:val="20"/>
          <w:szCs w:val="20"/>
          <w:lang w:val="es-ES"/>
        </w:rPr>
      </w:pPr>
    </w:p>
    <w:p w14:paraId="6A9B1C17" w14:textId="77777777" w:rsidR="002F12A8" w:rsidRPr="007A3389" w:rsidRDefault="006B65E3" w:rsidP="002F12A8">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Cambria" w:hAnsi="Cambria"/>
          <w:sz w:val="20"/>
          <w:szCs w:val="20"/>
          <w:lang w:val="es-ES"/>
        </w:rPr>
        <w:t xml:space="preserve">El </w:t>
      </w:r>
      <w:r w:rsidR="002F12A8" w:rsidRPr="007A3389">
        <w:rPr>
          <w:rFonts w:ascii="Cambria" w:hAnsi="Cambria"/>
          <w:sz w:val="20"/>
          <w:szCs w:val="20"/>
          <w:lang w:val="es-ES"/>
        </w:rPr>
        <w:t>25</w:t>
      </w:r>
      <w:r>
        <w:rPr>
          <w:rFonts w:ascii="Cambria" w:hAnsi="Cambria"/>
          <w:sz w:val="20"/>
          <w:szCs w:val="20"/>
          <w:lang w:val="es-ES"/>
        </w:rPr>
        <w:t xml:space="preserve"> de marzo de</w:t>
      </w:r>
      <w:r w:rsidR="002F12A8" w:rsidRPr="007A3389">
        <w:rPr>
          <w:rFonts w:ascii="Cambria" w:hAnsi="Cambria"/>
          <w:sz w:val="20"/>
          <w:szCs w:val="20"/>
          <w:lang w:val="es-ES"/>
        </w:rPr>
        <w:t xml:space="preserve"> 2008, </w:t>
      </w:r>
      <w:r w:rsidR="00175318">
        <w:rPr>
          <w:rFonts w:ascii="Cambria" w:hAnsi="Cambria"/>
          <w:sz w:val="20"/>
          <w:szCs w:val="20"/>
          <w:lang w:val="es-ES"/>
        </w:rPr>
        <w:t>la Corte Suprema de Estados Unidos</w:t>
      </w:r>
      <w:r w:rsidR="002F12A8" w:rsidRPr="007A3389">
        <w:rPr>
          <w:rFonts w:ascii="Cambria" w:hAnsi="Cambria"/>
          <w:sz w:val="20"/>
          <w:szCs w:val="20"/>
          <w:lang w:val="es-ES"/>
        </w:rPr>
        <w:t xml:space="preserve"> </w:t>
      </w:r>
      <w:r>
        <w:rPr>
          <w:rFonts w:ascii="Cambria" w:hAnsi="Cambria"/>
          <w:sz w:val="20"/>
          <w:szCs w:val="20"/>
          <w:lang w:val="es-ES"/>
        </w:rPr>
        <w:t>dictaminó, en</w:t>
      </w:r>
      <w:r w:rsidRPr="006B65E3">
        <w:rPr>
          <w:rFonts w:ascii="Cambria" w:hAnsi="Cambria"/>
          <w:sz w:val="20"/>
          <w:szCs w:val="20"/>
          <w:lang w:val="es-ES"/>
        </w:rPr>
        <w:t xml:space="preserve"> </w:t>
      </w:r>
      <w:r w:rsidR="002F12A8" w:rsidRPr="006B65E3">
        <w:rPr>
          <w:rFonts w:ascii="Cambria" w:hAnsi="Cambria"/>
          <w:sz w:val="20"/>
          <w:szCs w:val="20"/>
          <w:lang w:val="es-ES"/>
        </w:rPr>
        <w:t xml:space="preserve">Medellín </w:t>
      </w:r>
      <w:r w:rsidRPr="006B65E3">
        <w:rPr>
          <w:rFonts w:ascii="Cambria" w:hAnsi="Cambria"/>
          <w:sz w:val="20"/>
          <w:szCs w:val="20"/>
          <w:lang w:val="es-ES"/>
        </w:rPr>
        <w:t>c</w:t>
      </w:r>
      <w:r w:rsidR="002F12A8" w:rsidRPr="006B65E3">
        <w:rPr>
          <w:rFonts w:ascii="Cambria" w:hAnsi="Cambria"/>
          <w:sz w:val="20"/>
          <w:szCs w:val="20"/>
          <w:lang w:val="es-ES"/>
        </w:rPr>
        <w:t>. Texas</w:t>
      </w:r>
      <w:r w:rsidR="002F12A8" w:rsidRPr="007A3389">
        <w:rPr>
          <w:rFonts w:ascii="Cambria" w:hAnsi="Cambria"/>
          <w:sz w:val="20"/>
          <w:szCs w:val="20"/>
          <w:lang w:val="es-ES"/>
        </w:rPr>
        <w:t xml:space="preserve">, </w:t>
      </w:r>
      <w:r w:rsidR="00567D96">
        <w:rPr>
          <w:rFonts w:ascii="Cambria" w:hAnsi="Cambria"/>
          <w:sz w:val="20"/>
          <w:szCs w:val="20"/>
          <w:lang w:val="es-ES"/>
        </w:rPr>
        <w:t xml:space="preserve">que, ante la falta de una ley del Congreso, </w:t>
      </w:r>
      <w:r w:rsidR="00366212">
        <w:rPr>
          <w:rFonts w:ascii="Cambria" w:hAnsi="Cambria"/>
          <w:sz w:val="20"/>
          <w:szCs w:val="20"/>
          <w:lang w:val="es-ES"/>
        </w:rPr>
        <w:t xml:space="preserve">la sentencia de la CIJ en el caso Avena </w:t>
      </w:r>
      <w:r w:rsidR="00567D96">
        <w:rPr>
          <w:rFonts w:ascii="Cambria" w:hAnsi="Cambria"/>
          <w:sz w:val="20"/>
          <w:szCs w:val="20"/>
          <w:lang w:val="es-ES"/>
        </w:rPr>
        <w:t xml:space="preserve">no era exigible directamente como derecho interno ante los tribunales estatales porque el Protocolo Facultativo de </w:t>
      </w:r>
      <w:r w:rsidR="00EE0CB0" w:rsidRPr="007A3389">
        <w:rPr>
          <w:rFonts w:ascii="Cambria" w:hAnsi="Cambria"/>
          <w:sz w:val="20"/>
          <w:szCs w:val="20"/>
          <w:lang w:val="es-ES"/>
        </w:rPr>
        <w:t>la Convención de Viena</w:t>
      </w:r>
      <w:r w:rsidR="002F12A8" w:rsidRPr="007A3389">
        <w:rPr>
          <w:rFonts w:ascii="Cambria" w:hAnsi="Cambria"/>
          <w:sz w:val="20"/>
          <w:szCs w:val="20"/>
          <w:lang w:val="es-ES"/>
        </w:rPr>
        <w:t xml:space="preserve"> </w:t>
      </w:r>
      <w:r w:rsidR="00567D96">
        <w:rPr>
          <w:rFonts w:ascii="Cambria" w:hAnsi="Cambria"/>
          <w:sz w:val="20"/>
          <w:szCs w:val="20"/>
          <w:lang w:val="es-ES"/>
        </w:rPr>
        <w:t>no era de ejecución inmediata</w:t>
      </w:r>
      <w:r w:rsidR="002F12A8" w:rsidRPr="007A3389">
        <w:rPr>
          <w:rStyle w:val="FootnoteReference"/>
          <w:rFonts w:ascii="Cambria" w:hAnsi="Cambria"/>
          <w:sz w:val="20"/>
          <w:szCs w:val="20"/>
          <w:lang w:val="es-ES"/>
        </w:rPr>
        <w:footnoteReference w:id="44"/>
      </w:r>
      <w:r w:rsidR="00567D96">
        <w:rPr>
          <w:rFonts w:ascii="Cambria" w:hAnsi="Cambria"/>
          <w:sz w:val="20"/>
          <w:szCs w:val="20"/>
          <w:lang w:val="es-ES"/>
        </w:rPr>
        <w:t>.</w:t>
      </w:r>
      <w:r w:rsidR="002F12A8" w:rsidRPr="007A3389">
        <w:rPr>
          <w:rFonts w:ascii="Cambria" w:hAnsi="Cambria"/>
          <w:sz w:val="20"/>
          <w:szCs w:val="20"/>
          <w:lang w:val="es-ES"/>
        </w:rPr>
        <w:t xml:space="preserve"> </w:t>
      </w:r>
      <w:r w:rsidR="00567D96">
        <w:rPr>
          <w:rFonts w:ascii="Cambria" w:hAnsi="Cambria"/>
          <w:sz w:val="20"/>
          <w:szCs w:val="20"/>
          <w:lang w:val="es-ES"/>
        </w:rPr>
        <w:t xml:space="preserve">Sin embargo, las opiniones de los jueces reflejaban un acuerdo en el sentido de que </w:t>
      </w:r>
      <w:r w:rsidR="00631955" w:rsidRPr="007A3389">
        <w:rPr>
          <w:rFonts w:ascii="Cambria" w:hAnsi="Cambria"/>
          <w:sz w:val="20"/>
          <w:szCs w:val="20"/>
          <w:lang w:val="es-ES"/>
        </w:rPr>
        <w:t>Estados Unidos</w:t>
      </w:r>
      <w:r w:rsidR="002F12A8" w:rsidRPr="007A3389">
        <w:rPr>
          <w:rFonts w:ascii="Cambria" w:hAnsi="Cambria"/>
          <w:sz w:val="20"/>
          <w:szCs w:val="20"/>
          <w:lang w:val="es-ES"/>
        </w:rPr>
        <w:t xml:space="preserve"> </w:t>
      </w:r>
      <w:r w:rsidR="00567D96">
        <w:rPr>
          <w:rFonts w:ascii="Cambria" w:hAnsi="Cambria"/>
          <w:sz w:val="20"/>
          <w:szCs w:val="20"/>
          <w:lang w:val="es-ES"/>
        </w:rPr>
        <w:t>tiene la obligación en el plano internacional de cumplir el fallo en el caso Avena y que el Congreso está facultado para cumplir dicha obligación</w:t>
      </w:r>
      <w:r w:rsidR="002F12A8" w:rsidRPr="007A3389">
        <w:rPr>
          <w:rStyle w:val="FootnoteReference"/>
          <w:rFonts w:ascii="Cambria" w:hAnsi="Cambria"/>
          <w:sz w:val="20"/>
          <w:szCs w:val="20"/>
          <w:lang w:val="es-ES"/>
        </w:rPr>
        <w:footnoteReference w:id="45"/>
      </w:r>
      <w:r w:rsidR="00567D96">
        <w:rPr>
          <w:rFonts w:ascii="Cambria" w:hAnsi="Cambria"/>
          <w:sz w:val="20"/>
          <w:szCs w:val="20"/>
          <w:lang w:val="es-ES"/>
        </w:rPr>
        <w:t>.</w:t>
      </w:r>
    </w:p>
    <w:p w14:paraId="5B9187B4" w14:textId="77777777" w:rsidR="002F12A8" w:rsidRPr="007A3389" w:rsidRDefault="002F12A8" w:rsidP="002F12A8">
      <w:pPr>
        <w:tabs>
          <w:tab w:val="left" w:pos="0"/>
        </w:tabs>
        <w:jc w:val="both"/>
        <w:rPr>
          <w:rFonts w:ascii="Cambria" w:hAnsi="Cambria"/>
          <w:sz w:val="20"/>
          <w:szCs w:val="20"/>
          <w:lang w:val="es-ES"/>
        </w:rPr>
      </w:pPr>
    </w:p>
    <w:p w14:paraId="790FED10" w14:textId="77777777" w:rsidR="00B9441F" w:rsidRPr="007A3389" w:rsidRDefault="003010E1" w:rsidP="00B9441F">
      <w:pPr>
        <w:pStyle w:val="Heading3"/>
        <w:numPr>
          <w:ilvl w:val="1"/>
          <w:numId w:val="53"/>
        </w:numPr>
        <w:spacing w:before="0"/>
        <w:ind w:left="360"/>
        <w:rPr>
          <w:color w:val="auto"/>
          <w:sz w:val="20"/>
          <w:szCs w:val="20"/>
          <w:lang w:val="es-ES"/>
        </w:rPr>
      </w:pPr>
      <w:bookmarkStart w:id="20" w:name="_Toc90298928"/>
      <w:r w:rsidRPr="007A3389">
        <w:rPr>
          <w:color w:val="auto"/>
          <w:sz w:val="20"/>
          <w:szCs w:val="20"/>
          <w:lang w:val="es-ES"/>
        </w:rPr>
        <w:t>Análisis del caso</w:t>
      </w:r>
      <w:bookmarkEnd w:id="20"/>
    </w:p>
    <w:p w14:paraId="7306757F" w14:textId="77777777" w:rsidR="00B9441F" w:rsidRPr="007A3389" w:rsidRDefault="00B9441F" w:rsidP="002F12A8">
      <w:pPr>
        <w:tabs>
          <w:tab w:val="left" w:pos="0"/>
        </w:tabs>
        <w:jc w:val="both"/>
        <w:rPr>
          <w:rFonts w:ascii="Cambria" w:hAnsi="Cambria"/>
          <w:sz w:val="20"/>
          <w:szCs w:val="20"/>
          <w:lang w:val="es-ES"/>
        </w:rPr>
      </w:pPr>
    </w:p>
    <w:p w14:paraId="59D67E8C" w14:textId="77777777" w:rsidR="002F12A8" w:rsidRPr="007A3389" w:rsidRDefault="007E5E2F" w:rsidP="002F12A8">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t>En el caso de autos</w:t>
      </w:r>
      <w:r w:rsidR="002F12A8" w:rsidRPr="007A3389">
        <w:rPr>
          <w:rFonts w:ascii="Cambria" w:hAnsi="Cambria"/>
          <w:sz w:val="20"/>
          <w:szCs w:val="20"/>
          <w:lang w:val="es-ES"/>
        </w:rPr>
        <w:t xml:space="preserve">, </w:t>
      </w:r>
      <w:r w:rsidR="000D3EE0" w:rsidRPr="007A3389">
        <w:rPr>
          <w:rFonts w:ascii="Cambria" w:hAnsi="Cambria"/>
          <w:sz w:val="20"/>
          <w:szCs w:val="20"/>
          <w:lang w:val="es-ES"/>
        </w:rPr>
        <w:t>los peticionarios</w:t>
      </w:r>
      <w:r w:rsidR="002F12A8" w:rsidRPr="007A3389">
        <w:rPr>
          <w:rFonts w:ascii="Cambria" w:hAnsi="Cambria"/>
          <w:sz w:val="20"/>
          <w:szCs w:val="20"/>
          <w:lang w:val="es-ES"/>
        </w:rPr>
        <w:t xml:space="preserve"> al</w:t>
      </w:r>
      <w:r>
        <w:rPr>
          <w:rFonts w:ascii="Cambria" w:hAnsi="Cambria"/>
          <w:sz w:val="20"/>
          <w:szCs w:val="20"/>
          <w:lang w:val="es-ES"/>
        </w:rPr>
        <w:t xml:space="preserve">egan que </w:t>
      </w:r>
      <w:r w:rsidR="00D87346" w:rsidRPr="007A3389">
        <w:rPr>
          <w:rFonts w:ascii="Cambria" w:hAnsi="Cambria"/>
          <w:sz w:val="20"/>
          <w:szCs w:val="20"/>
          <w:lang w:val="es-ES"/>
        </w:rPr>
        <w:t>el señor</w:t>
      </w:r>
      <w:r w:rsidR="002F12A8" w:rsidRPr="007A3389">
        <w:rPr>
          <w:rFonts w:ascii="Cambria" w:hAnsi="Cambria"/>
          <w:sz w:val="20"/>
          <w:szCs w:val="20"/>
          <w:lang w:val="es-ES"/>
        </w:rPr>
        <w:t xml:space="preserve"> Loza </w:t>
      </w:r>
      <w:r w:rsidR="006B65E3">
        <w:rPr>
          <w:rFonts w:ascii="Cambria" w:hAnsi="Cambria"/>
          <w:sz w:val="20"/>
          <w:szCs w:val="20"/>
          <w:lang w:val="es-ES"/>
        </w:rPr>
        <w:t xml:space="preserve">es ciudadano mexicano y que las fuerzas del orden de </w:t>
      </w:r>
      <w:r w:rsidR="002F12A8" w:rsidRPr="007A3389">
        <w:rPr>
          <w:rFonts w:ascii="Cambria" w:hAnsi="Cambria"/>
          <w:sz w:val="20"/>
          <w:szCs w:val="20"/>
          <w:lang w:val="es-ES"/>
        </w:rPr>
        <w:t xml:space="preserve">Ohio </w:t>
      </w:r>
      <w:r w:rsidR="006B65E3">
        <w:rPr>
          <w:rFonts w:ascii="Cambria" w:hAnsi="Cambria"/>
          <w:sz w:val="20"/>
          <w:szCs w:val="20"/>
          <w:lang w:val="es-ES"/>
        </w:rPr>
        <w:t xml:space="preserve">lo sabían. </w:t>
      </w:r>
      <w:r>
        <w:rPr>
          <w:rFonts w:ascii="Cambria" w:hAnsi="Cambria"/>
          <w:sz w:val="20"/>
          <w:szCs w:val="20"/>
          <w:lang w:val="es-ES"/>
        </w:rPr>
        <w:t>E</w:t>
      </w:r>
      <w:r w:rsidR="00D87346" w:rsidRPr="007A3389">
        <w:rPr>
          <w:rFonts w:ascii="Cambria" w:hAnsi="Cambria"/>
          <w:sz w:val="20"/>
          <w:szCs w:val="20"/>
          <w:lang w:val="es-ES"/>
        </w:rPr>
        <w:t>l señor</w:t>
      </w:r>
      <w:r w:rsidR="002F12A8" w:rsidRPr="007A3389">
        <w:rPr>
          <w:rFonts w:ascii="Cambria" w:hAnsi="Cambria"/>
          <w:sz w:val="20"/>
          <w:szCs w:val="20"/>
          <w:lang w:val="es-ES"/>
        </w:rPr>
        <w:t xml:space="preserve"> Loza ha</w:t>
      </w:r>
      <w:r w:rsidR="00701F19">
        <w:rPr>
          <w:rFonts w:ascii="Cambria" w:hAnsi="Cambria"/>
          <w:sz w:val="20"/>
          <w:szCs w:val="20"/>
          <w:lang w:val="es-ES"/>
        </w:rPr>
        <w:t xml:space="preserve"> declarado que no le informaron sobre su </w:t>
      </w:r>
      <w:r w:rsidR="008A10AB" w:rsidRPr="007A3389">
        <w:rPr>
          <w:rFonts w:ascii="Cambria" w:hAnsi="Cambria"/>
          <w:sz w:val="20"/>
          <w:szCs w:val="20"/>
          <w:lang w:val="es-ES"/>
        </w:rPr>
        <w:t>derecho a la notificación consular</w:t>
      </w:r>
      <w:r w:rsidR="002F12A8" w:rsidRPr="007A3389">
        <w:rPr>
          <w:rFonts w:ascii="Cambria" w:hAnsi="Cambria"/>
          <w:sz w:val="20"/>
          <w:szCs w:val="20"/>
          <w:lang w:val="es-ES"/>
        </w:rPr>
        <w:t xml:space="preserve"> </w:t>
      </w:r>
      <w:r w:rsidR="00701F19">
        <w:rPr>
          <w:rFonts w:ascii="Cambria" w:hAnsi="Cambria"/>
          <w:sz w:val="20"/>
          <w:szCs w:val="20"/>
          <w:lang w:val="es-ES"/>
        </w:rPr>
        <w:t>cuando lo arrestaron ni con posterioridad</w:t>
      </w:r>
      <w:r w:rsidR="002F12A8" w:rsidRPr="007A3389">
        <w:rPr>
          <w:rFonts w:ascii="Cambria" w:hAnsi="Cambria"/>
          <w:sz w:val="20"/>
          <w:szCs w:val="20"/>
          <w:lang w:val="es-ES"/>
        </w:rPr>
        <w:t xml:space="preserve">. </w:t>
      </w:r>
      <w:r w:rsidR="00D87346" w:rsidRPr="007A3389">
        <w:rPr>
          <w:rFonts w:ascii="Cambria" w:hAnsi="Cambria"/>
          <w:sz w:val="20"/>
          <w:szCs w:val="20"/>
          <w:lang w:val="es-ES"/>
        </w:rPr>
        <w:t>El Estado</w:t>
      </w:r>
      <w:r w:rsidR="002F12A8" w:rsidRPr="007A3389">
        <w:rPr>
          <w:rFonts w:ascii="Cambria" w:hAnsi="Cambria"/>
          <w:sz w:val="20"/>
          <w:szCs w:val="20"/>
          <w:lang w:val="es-ES"/>
        </w:rPr>
        <w:t xml:space="preserve"> </w:t>
      </w:r>
      <w:r w:rsidR="00701F19">
        <w:rPr>
          <w:rFonts w:ascii="Cambria" w:hAnsi="Cambria"/>
          <w:sz w:val="20"/>
          <w:szCs w:val="20"/>
          <w:lang w:val="es-ES"/>
        </w:rPr>
        <w:t xml:space="preserve">no </w:t>
      </w:r>
      <w:r w:rsidR="002F12A8" w:rsidRPr="007A3389">
        <w:rPr>
          <w:rFonts w:ascii="Cambria" w:hAnsi="Cambria"/>
          <w:sz w:val="20"/>
          <w:szCs w:val="20"/>
          <w:lang w:val="es-ES"/>
        </w:rPr>
        <w:t>ha</w:t>
      </w:r>
      <w:r w:rsidR="00701F19">
        <w:rPr>
          <w:rFonts w:ascii="Cambria" w:hAnsi="Cambria"/>
          <w:sz w:val="20"/>
          <w:szCs w:val="20"/>
          <w:lang w:val="es-ES"/>
        </w:rPr>
        <w:t xml:space="preserve"> impugnado </w:t>
      </w:r>
      <w:r w:rsidR="000D3EE0" w:rsidRPr="007A3389">
        <w:rPr>
          <w:rFonts w:ascii="Cambria" w:hAnsi="Cambria"/>
          <w:sz w:val="20"/>
          <w:szCs w:val="20"/>
          <w:lang w:val="es-ES"/>
        </w:rPr>
        <w:t xml:space="preserve">los </w:t>
      </w:r>
      <w:r w:rsidR="00701F19">
        <w:rPr>
          <w:rFonts w:ascii="Cambria" w:hAnsi="Cambria"/>
          <w:sz w:val="20"/>
          <w:szCs w:val="20"/>
          <w:lang w:val="es-ES"/>
        </w:rPr>
        <w:t xml:space="preserve">argumentos de los </w:t>
      </w:r>
      <w:r w:rsidR="000D3EE0" w:rsidRPr="007A3389">
        <w:rPr>
          <w:rFonts w:ascii="Cambria" w:hAnsi="Cambria"/>
          <w:sz w:val="20"/>
          <w:szCs w:val="20"/>
          <w:lang w:val="es-ES"/>
        </w:rPr>
        <w:t>peticionarios</w:t>
      </w:r>
      <w:r w:rsidR="00701F19">
        <w:rPr>
          <w:rFonts w:ascii="Cambria" w:hAnsi="Cambria"/>
          <w:sz w:val="20"/>
          <w:szCs w:val="20"/>
          <w:lang w:val="es-ES"/>
        </w:rPr>
        <w:t xml:space="preserve"> al respecto, salvo para declarar que las disposiciones de la Convención no son vinculantes. Por consiguiente, sobre la base de la información y los argumentos presentados, </w:t>
      </w:r>
      <w:r w:rsidR="008A10AB" w:rsidRPr="007A3389">
        <w:rPr>
          <w:rFonts w:ascii="Cambria" w:hAnsi="Cambria"/>
          <w:sz w:val="20"/>
          <w:szCs w:val="20"/>
          <w:lang w:val="es-ES"/>
        </w:rPr>
        <w:t>la Comisión</w:t>
      </w:r>
      <w:r w:rsidR="002F12A8" w:rsidRPr="007A3389">
        <w:rPr>
          <w:rFonts w:ascii="Cambria" w:hAnsi="Cambria"/>
          <w:sz w:val="20"/>
          <w:szCs w:val="20"/>
          <w:lang w:val="es-ES"/>
        </w:rPr>
        <w:t xml:space="preserve"> conclu</w:t>
      </w:r>
      <w:r w:rsidR="00701F19">
        <w:rPr>
          <w:rFonts w:ascii="Cambria" w:hAnsi="Cambria"/>
          <w:sz w:val="20"/>
          <w:szCs w:val="20"/>
          <w:lang w:val="es-ES"/>
        </w:rPr>
        <w:t>ye que no le avisaron a</w:t>
      </w:r>
      <w:r w:rsidR="00D87346" w:rsidRPr="007A3389">
        <w:rPr>
          <w:rFonts w:ascii="Cambria" w:hAnsi="Cambria"/>
          <w:sz w:val="20"/>
          <w:szCs w:val="20"/>
          <w:lang w:val="es-ES"/>
        </w:rPr>
        <w:t>l señor</w:t>
      </w:r>
      <w:r w:rsidR="002F12A8" w:rsidRPr="007A3389">
        <w:rPr>
          <w:rFonts w:ascii="Cambria" w:hAnsi="Cambria"/>
          <w:sz w:val="20"/>
          <w:szCs w:val="20"/>
          <w:lang w:val="es-ES"/>
        </w:rPr>
        <w:t xml:space="preserve"> Loza </w:t>
      </w:r>
      <w:r w:rsidR="00701F19">
        <w:rPr>
          <w:rFonts w:ascii="Cambria" w:hAnsi="Cambria"/>
          <w:sz w:val="20"/>
          <w:szCs w:val="20"/>
          <w:lang w:val="es-ES"/>
        </w:rPr>
        <w:t xml:space="preserve">sobre su derecho a pedir asistencia </w:t>
      </w:r>
      <w:r w:rsidR="002F12A8" w:rsidRPr="007A3389">
        <w:rPr>
          <w:rFonts w:ascii="Cambria" w:hAnsi="Cambria"/>
          <w:sz w:val="20"/>
          <w:szCs w:val="20"/>
          <w:lang w:val="es-ES"/>
        </w:rPr>
        <w:t xml:space="preserve">consular </w:t>
      </w:r>
      <w:r w:rsidR="00701F19">
        <w:rPr>
          <w:rFonts w:ascii="Cambria" w:hAnsi="Cambria"/>
          <w:sz w:val="20"/>
          <w:szCs w:val="20"/>
          <w:lang w:val="es-ES"/>
        </w:rPr>
        <w:t xml:space="preserve">cuando lo arrestaron ni con posterioridad, y el señor Loza no tuvo acceso a funcionarios </w:t>
      </w:r>
      <w:r w:rsidR="002F12A8" w:rsidRPr="007A3389">
        <w:rPr>
          <w:rFonts w:ascii="Cambria" w:hAnsi="Cambria"/>
          <w:sz w:val="20"/>
          <w:szCs w:val="20"/>
          <w:lang w:val="es-ES"/>
        </w:rPr>
        <w:t>consular</w:t>
      </w:r>
      <w:r w:rsidR="00A91E10">
        <w:rPr>
          <w:rFonts w:ascii="Cambria" w:hAnsi="Cambria"/>
          <w:sz w:val="20"/>
          <w:szCs w:val="20"/>
          <w:lang w:val="es-ES"/>
        </w:rPr>
        <w:t>es</w:t>
      </w:r>
      <w:r w:rsidR="002F12A8" w:rsidRPr="007A3389">
        <w:rPr>
          <w:rFonts w:ascii="Cambria" w:hAnsi="Cambria"/>
          <w:sz w:val="20"/>
          <w:szCs w:val="20"/>
          <w:lang w:val="es-ES"/>
        </w:rPr>
        <w:t xml:space="preserve"> </w:t>
      </w:r>
      <w:r w:rsidR="00701F19">
        <w:rPr>
          <w:rFonts w:ascii="Cambria" w:hAnsi="Cambria"/>
          <w:sz w:val="20"/>
          <w:szCs w:val="20"/>
          <w:lang w:val="es-ES"/>
        </w:rPr>
        <w:t xml:space="preserve">hasta </w:t>
      </w:r>
      <w:r w:rsidR="00A91E10">
        <w:rPr>
          <w:rFonts w:ascii="Cambria" w:hAnsi="Cambria"/>
          <w:sz w:val="20"/>
          <w:szCs w:val="20"/>
          <w:lang w:val="es-ES"/>
        </w:rPr>
        <w:t>que concluyó</w:t>
      </w:r>
      <w:r w:rsidR="00701F19">
        <w:rPr>
          <w:rFonts w:ascii="Cambria" w:hAnsi="Cambria"/>
          <w:sz w:val="20"/>
          <w:szCs w:val="20"/>
          <w:lang w:val="es-ES"/>
        </w:rPr>
        <w:t xml:space="preserve"> el juicio</w:t>
      </w:r>
      <w:r w:rsidR="002F12A8" w:rsidRPr="007A3389">
        <w:rPr>
          <w:rFonts w:ascii="Cambria" w:hAnsi="Cambria"/>
          <w:sz w:val="20"/>
          <w:szCs w:val="20"/>
          <w:lang w:val="es-ES"/>
        </w:rPr>
        <w:t xml:space="preserve">. </w:t>
      </w:r>
    </w:p>
    <w:p w14:paraId="14C1B2FA" w14:textId="77777777" w:rsidR="002F12A8" w:rsidRPr="007A3389" w:rsidRDefault="002F12A8" w:rsidP="002F12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s="Cambria"/>
          <w:color w:val="000000"/>
          <w:lang w:val="es-ES" w:eastAsia="es-ES"/>
        </w:rPr>
      </w:pPr>
    </w:p>
    <w:p w14:paraId="65FBECCC" w14:textId="77777777" w:rsidR="002F12A8" w:rsidRPr="007A3389" w:rsidRDefault="00366212" w:rsidP="0036621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t xml:space="preserve">Como ha señalado </w:t>
      </w:r>
      <w:r w:rsidR="008A10AB" w:rsidRPr="007A3389">
        <w:rPr>
          <w:rFonts w:ascii="Cambria" w:hAnsi="Cambria"/>
          <w:sz w:val="20"/>
          <w:szCs w:val="20"/>
          <w:lang w:val="es-ES"/>
        </w:rPr>
        <w:t>la Comisión</w:t>
      </w:r>
      <w:r w:rsidR="002F12A8" w:rsidRPr="007A3389">
        <w:rPr>
          <w:rFonts w:ascii="Cambria" w:hAnsi="Cambria"/>
          <w:sz w:val="20"/>
          <w:szCs w:val="20"/>
          <w:lang w:val="es-ES"/>
        </w:rPr>
        <w:t xml:space="preserve"> </w:t>
      </w:r>
      <w:r>
        <w:rPr>
          <w:rFonts w:ascii="Cambria" w:hAnsi="Cambria"/>
          <w:sz w:val="20"/>
          <w:szCs w:val="20"/>
          <w:lang w:val="es-ES"/>
        </w:rPr>
        <w:t>en casos anteriores</w:t>
      </w:r>
      <w:r w:rsidR="002F12A8" w:rsidRPr="007A3389">
        <w:rPr>
          <w:rFonts w:ascii="Cambria" w:hAnsi="Cambria"/>
          <w:sz w:val="20"/>
          <w:szCs w:val="20"/>
          <w:lang w:val="es-ES"/>
        </w:rPr>
        <w:t xml:space="preserve">, </w:t>
      </w:r>
      <w:r>
        <w:rPr>
          <w:rFonts w:ascii="Cambria" w:hAnsi="Cambria"/>
          <w:sz w:val="20"/>
          <w:szCs w:val="20"/>
          <w:lang w:val="es-ES"/>
        </w:rPr>
        <w:t>e</w:t>
      </w:r>
      <w:r w:rsidR="009A5817" w:rsidRPr="009A5817">
        <w:rPr>
          <w:rFonts w:ascii="Cambria" w:hAnsi="Cambria"/>
          <w:sz w:val="20"/>
          <w:szCs w:val="20"/>
          <w:lang w:val="es-ES"/>
        </w:rPr>
        <w:t xml:space="preserve">n vista de la asistencia integral que el Gobierno de México proporciona a sus ciudadanos en casos de pena de muerte en Estados Unidos, la CIDH cree que hay una probabilidad razonable de que, si el señor </w:t>
      </w:r>
      <w:r w:rsidR="009A5817">
        <w:rPr>
          <w:rFonts w:ascii="Cambria" w:hAnsi="Cambria"/>
          <w:sz w:val="20"/>
          <w:szCs w:val="20"/>
          <w:lang w:val="es-ES"/>
        </w:rPr>
        <w:t>Loza</w:t>
      </w:r>
      <w:r w:rsidR="009A5817" w:rsidRPr="009A5817">
        <w:rPr>
          <w:rFonts w:ascii="Cambria" w:hAnsi="Cambria"/>
          <w:sz w:val="20"/>
          <w:szCs w:val="20"/>
          <w:lang w:val="es-ES"/>
        </w:rPr>
        <w:t xml:space="preserve"> hubiera recibido asistencia consular cuando fue arrestado, eso habría tenido un efecto positivo en el desarrollo de su causa penal. Más concretamente, habría tenido un efecto positivo en su derecho a una defensa adecuada</w:t>
      </w:r>
      <w:r w:rsidR="002F12A8" w:rsidRPr="007A3389">
        <w:rPr>
          <w:rStyle w:val="FootnoteReference"/>
          <w:rFonts w:ascii="Cambria" w:hAnsi="Cambria"/>
          <w:sz w:val="20"/>
          <w:szCs w:val="20"/>
          <w:lang w:val="es-ES"/>
        </w:rPr>
        <w:footnoteReference w:id="46"/>
      </w:r>
      <w:r>
        <w:rPr>
          <w:rFonts w:ascii="Cambria" w:hAnsi="Cambria"/>
          <w:sz w:val="20"/>
          <w:szCs w:val="20"/>
          <w:lang w:val="es-ES"/>
        </w:rPr>
        <w:t>.</w:t>
      </w:r>
    </w:p>
    <w:p w14:paraId="0CB82EFF" w14:textId="77777777" w:rsidR="002F12A8" w:rsidRPr="007A3389" w:rsidRDefault="002F12A8" w:rsidP="002F12A8">
      <w:pPr>
        <w:rPr>
          <w:sz w:val="20"/>
          <w:szCs w:val="20"/>
          <w:lang w:val="es-ES"/>
        </w:rPr>
      </w:pPr>
    </w:p>
    <w:p w14:paraId="10EF9ACC" w14:textId="77777777" w:rsidR="002F12A8" w:rsidRPr="007A3389" w:rsidRDefault="00366212" w:rsidP="0036621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366212">
        <w:rPr>
          <w:rFonts w:ascii="Cambria" w:hAnsi="Cambria"/>
          <w:sz w:val="20"/>
          <w:szCs w:val="20"/>
          <w:lang w:val="es-ES"/>
        </w:rPr>
        <w:t>Sobre la base de lo que antecede, la CIDH concluye que la obligación del Estado de acuerdo con el artículo 36 de la Convención de Viena de informar al señor Loza sobre su derecho a la notificación consular era un componente fundamental de las normas del debido proceso en consonancia con</w:t>
      </w:r>
      <w:r>
        <w:rPr>
          <w:rFonts w:ascii="Cambria" w:hAnsi="Cambria"/>
          <w:sz w:val="20"/>
          <w:szCs w:val="20"/>
          <w:lang w:val="es-ES"/>
        </w:rPr>
        <w:t xml:space="preserve"> los </w:t>
      </w:r>
      <w:r w:rsidR="00175318">
        <w:rPr>
          <w:rFonts w:ascii="Cambria" w:hAnsi="Cambria"/>
          <w:sz w:val="20"/>
          <w:szCs w:val="20"/>
          <w:lang w:val="es-ES"/>
        </w:rPr>
        <w:t>artículo</w:t>
      </w:r>
      <w:r w:rsidR="002F12A8" w:rsidRPr="007A3389">
        <w:rPr>
          <w:rFonts w:ascii="Cambria" w:hAnsi="Cambria"/>
          <w:sz w:val="20"/>
          <w:szCs w:val="20"/>
          <w:lang w:val="es-ES"/>
        </w:rPr>
        <w:t xml:space="preserve">s XVIII </w:t>
      </w:r>
      <w:r>
        <w:rPr>
          <w:rFonts w:ascii="Cambria" w:hAnsi="Cambria"/>
          <w:sz w:val="20"/>
          <w:szCs w:val="20"/>
          <w:lang w:val="es-ES"/>
        </w:rPr>
        <w:t>y</w:t>
      </w:r>
      <w:r w:rsidR="002F12A8" w:rsidRPr="007A3389">
        <w:rPr>
          <w:rFonts w:ascii="Cambria" w:hAnsi="Cambria"/>
          <w:sz w:val="20"/>
          <w:szCs w:val="20"/>
          <w:lang w:val="es-ES"/>
        </w:rPr>
        <w:t xml:space="preserve"> XXVI </w:t>
      </w:r>
      <w:r>
        <w:rPr>
          <w:rFonts w:ascii="Cambria" w:hAnsi="Cambria"/>
          <w:sz w:val="20"/>
          <w:szCs w:val="20"/>
          <w:lang w:val="es-ES"/>
        </w:rPr>
        <w:t>de</w:t>
      </w:r>
      <w:r w:rsidR="002F12A8" w:rsidRPr="007A3389">
        <w:rPr>
          <w:rFonts w:ascii="Cambria" w:hAnsi="Cambria"/>
          <w:sz w:val="20"/>
          <w:szCs w:val="20"/>
          <w:lang w:val="es-ES"/>
        </w:rPr>
        <w:t xml:space="preserve"> </w:t>
      </w:r>
      <w:r w:rsidR="00631955" w:rsidRPr="007A3389">
        <w:rPr>
          <w:rFonts w:ascii="Cambria" w:hAnsi="Cambria"/>
          <w:sz w:val="20"/>
          <w:szCs w:val="20"/>
          <w:lang w:val="es-ES"/>
        </w:rPr>
        <w:t>la Declaración</w:t>
      </w:r>
      <w:r>
        <w:rPr>
          <w:rFonts w:ascii="Cambria" w:hAnsi="Cambria"/>
          <w:sz w:val="20"/>
          <w:szCs w:val="20"/>
          <w:lang w:val="es-ES"/>
        </w:rPr>
        <w:t xml:space="preserve"> Americana. </w:t>
      </w:r>
      <w:r w:rsidRPr="00366212">
        <w:rPr>
          <w:rFonts w:ascii="Cambria" w:hAnsi="Cambria"/>
          <w:sz w:val="20"/>
          <w:szCs w:val="20"/>
          <w:lang w:val="es-ES"/>
        </w:rPr>
        <w:t xml:space="preserve">Por consiguiente, al no respetar y cumplir esta obligación, el Estado privó al señor </w:t>
      </w:r>
      <w:r>
        <w:rPr>
          <w:rFonts w:ascii="Cambria" w:hAnsi="Cambria"/>
          <w:sz w:val="20"/>
          <w:szCs w:val="20"/>
          <w:lang w:val="es-ES"/>
        </w:rPr>
        <w:t>Loza</w:t>
      </w:r>
      <w:r w:rsidRPr="00366212">
        <w:rPr>
          <w:rFonts w:ascii="Cambria" w:hAnsi="Cambria"/>
          <w:sz w:val="20"/>
          <w:szCs w:val="20"/>
          <w:lang w:val="es-ES"/>
        </w:rPr>
        <w:t xml:space="preserve"> de un proceso penal que satisficiera las normas mínimas del debido proceso y de un juicio imparcial requeridas por los artículos XVIII y XXVI de la Declaración</w:t>
      </w:r>
      <w:r>
        <w:rPr>
          <w:rFonts w:ascii="Cambria" w:hAnsi="Cambria"/>
          <w:sz w:val="20"/>
          <w:szCs w:val="20"/>
          <w:lang w:val="es-ES"/>
        </w:rPr>
        <w:t>.</w:t>
      </w:r>
    </w:p>
    <w:p w14:paraId="53123363" w14:textId="77777777" w:rsidR="002F12A8" w:rsidRPr="007A3389" w:rsidRDefault="002F12A8" w:rsidP="002F12A8">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7C4A4E67" w14:textId="77777777" w:rsidR="006E1407" w:rsidRPr="007A3389" w:rsidRDefault="003010E1" w:rsidP="00A91E10">
      <w:pPr>
        <w:pStyle w:val="Heading3"/>
        <w:numPr>
          <w:ilvl w:val="1"/>
          <w:numId w:val="53"/>
        </w:numPr>
        <w:spacing w:before="0"/>
        <w:ind w:left="360"/>
        <w:rPr>
          <w:color w:val="auto"/>
          <w:sz w:val="20"/>
          <w:szCs w:val="20"/>
          <w:lang w:val="es-ES"/>
        </w:rPr>
      </w:pPr>
      <w:bookmarkStart w:id="21" w:name="_Toc90298929"/>
      <w:r w:rsidRPr="007A3389">
        <w:rPr>
          <w:color w:val="auto"/>
          <w:sz w:val="20"/>
          <w:szCs w:val="20"/>
          <w:lang w:val="es-ES"/>
        </w:rPr>
        <w:t>Consideraciones generales</w:t>
      </w:r>
      <w:r w:rsidR="00B9441F" w:rsidRPr="007A3389">
        <w:rPr>
          <w:color w:val="auto"/>
          <w:sz w:val="20"/>
          <w:szCs w:val="20"/>
          <w:lang w:val="es-ES"/>
        </w:rPr>
        <w:t xml:space="preserve"> </w:t>
      </w:r>
      <w:r w:rsidRPr="007A3389">
        <w:rPr>
          <w:color w:val="auto"/>
          <w:sz w:val="20"/>
          <w:szCs w:val="20"/>
          <w:lang w:val="es-ES"/>
        </w:rPr>
        <w:t xml:space="preserve">sobre la </w:t>
      </w:r>
      <w:r w:rsidR="008A10AB" w:rsidRPr="007A3389">
        <w:rPr>
          <w:color w:val="auto"/>
          <w:sz w:val="20"/>
          <w:szCs w:val="20"/>
          <w:lang w:val="es-ES"/>
        </w:rPr>
        <w:t>asistencia ineficaz del abogado de oficio</w:t>
      </w:r>
      <w:bookmarkEnd w:id="21"/>
      <w:r w:rsidR="000C5DEE" w:rsidRPr="007A3389">
        <w:rPr>
          <w:color w:val="auto"/>
          <w:sz w:val="20"/>
          <w:szCs w:val="20"/>
          <w:lang w:val="es-ES"/>
        </w:rPr>
        <w:t xml:space="preserve"> </w:t>
      </w:r>
    </w:p>
    <w:p w14:paraId="49AEC5C5" w14:textId="77777777" w:rsidR="000C5DEE" w:rsidRPr="007A3389" w:rsidRDefault="000C5DEE" w:rsidP="00A91E10">
      <w:pPr>
        <w:pStyle w:val="NormalWeb"/>
        <w:keepNext/>
        <w:keepLines/>
        <w:shd w:val="clear" w:color="auto" w:fill="FFFFFF"/>
        <w:tabs>
          <w:tab w:val="left" w:pos="360"/>
        </w:tabs>
        <w:spacing w:before="0" w:beforeAutospacing="0" w:after="0" w:afterAutospacing="0"/>
        <w:jc w:val="both"/>
        <w:rPr>
          <w:rFonts w:asciiTheme="majorHAnsi" w:hAnsiTheme="majorHAnsi"/>
          <w:b/>
          <w:sz w:val="20"/>
          <w:szCs w:val="20"/>
          <w:lang w:val="es-ES"/>
        </w:rPr>
      </w:pPr>
    </w:p>
    <w:p w14:paraId="50E5F640" w14:textId="77777777" w:rsidR="00D12883" w:rsidRPr="007C60DD" w:rsidRDefault="007E5E2F" w:rsidP="00A91E10">
      <w:pPr>
        <w:pStyle w:val="NormalWeb"/>
        <w:keepNext/>
        <w:keepLines/>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Theme="majorHAnsi" w:hAnsiTheme="majorHAnsi"/>
          <w:sz w:val="20"/>
          <w:szCs w:val="20"/>
          <w:lang w:val="es-ES"/>
        </w:rPr>
        <w:t>El patrocinio letrado adecuado es un componente</w:t>
      </w:r>
      <w:r w:rsidR="00D12883" w:rsidRPr="007A3389">
        <w:rPr>
          <w:rFonts w:asciiTheme="majorHAnsi" w:hAnsiTheme="majorHAnsi"/>
          <w:sz w:val="20"/>
          <w:szCs w:val="20"/>
          <w:lang w:val="es-ES"/>
        </w:rPr>
        <w:t xml:space="preserve"> fundamental </w:t>
      </w:r>
      <w:r>
        <w:rPr>
          <w:rFonts w:asciiTheme="majorHAnsi" w:hAnsiTheme="majorHAnsi"/>
          <w:sz w:val="20"/>
          <w:szCs w:val="20"/>
          <w:lang w:val="es-ES"/>
        </w:rPr>
        <w:t xml:space="preserve">del derecho a un juicio imparcial. </w:t>
      </w:r>
      <w:r w:rsidR="00631955" w:rsidRPr="007A3389">
        <w:rPr>
          <w:rFonts w:asciiTheme="majorHAnsi" w:hAnsiTheme="majorHAnsi"/>
          <w:sz w:val="20"/>
          <w:szCs w:val="20"/>
          <w:lang w:val="es-ES"/>
        </w:rPr>
        <w:t>La CIDH</w:t>
      </w:r>
      <w:r w:rsidR="00D12883" w:rsidRPr="007A3389">
        <w:rPr>
          <w:rFonts w:asciiTheme="majorHAnsi" w:hAnsiTheme="majorHAnsi"/>
          <w:sz w:val="20"/>
          <w:szCs w:val="20"/>
          <w:lang w:val="es-ES"/>
        </w:rPr>
        <w:t xml:space="preserve"> ha</w:t>
      </w:r>
      <w:r>
        <w:rPr>
          <w:rFonts w:asciiTheme="majorHAnsi" w:hAnsiTheme="majorHAnsi"/>
          <w:sz w:val="20"/>
          <w:szCs w:val="20"/>
          <w:lang w:val="es-ES"/>
        </w:rPr>
        <w:t xml:space="preserve"> dictaminado que</w:t>
      </w:r>
      <w:r w:rsidR="00D12883" w:rsidRPr="007A3389">
        <w:rPr>
          <w:rFonts w:asciiTheme="majorHAnsi" w:hAnsiTheme="majorHAnsi"/>
          <w:sz w:val="20"/>
          <w:szCs w:val="20"/>
          <w:lang w:val="es-ES"/>
        </w:rPr>
        <w:t xml:space="preserve"> </w:t>
      </w:r>
      <w:r w:rsidR="00D12883" w:rsidRPr="007C60DD">
        <w:rPr>
          <w:rFonts w:asciiTheme="majorHAnsi" w:hAnsiTheme="majorHAnsi"/>
          <w:sz w:val="20"/>
          <w:szCs w:val="20"/>
          <w:lang w:val="es-ES"/>
        </w:rPr>
        <w:t>“</w:t>
      </w:r>
      <w:r w:rsidR="007C60DD" w:rsidRPr="007C60DD">
        <w:rPr>
          <w:rFonts w:asciiTheme="majorHAnsi" w:hAnsiTheme="majorHAnsi"/>
          <w:sz w:val="20"/>
          <w:szCs w:val="20"/>
          <w:lang w:val="es-ES"/>
        </w:rPr>
        <w:t>[e]l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 éstas están obligadas a intervenir</w:t>
      </w:r>
      <w:r w:rsidR="00D12883" w:rsidRPr="007C60DD">
        <w:rPr>
          <w:rFonts w:asciiTheme="majorHAnsi" w:hAnsiTheme="majorHAnsi"/>
          <w:sz w:val="20"/>
          <w:szCs w:val="20"/>
          <w:lang w:val="es-ES"/>
        </w:rPr>
        <w:t xml:space="preserve"> […].</w:t>
      </w:r>
      <w:r w:rsidR="00973A7C">
        <w:rPr>
          <w:rFonts w:asciiTheme="majorHAnsi" w:hAnsiTheme="majorHAnsi"/>
          <w:sz w:val="20"/>
          <w:szCs w:val="20"/>
          <w:lang w:val="es-ES"/>
        </w:rPr>
        <w:t xml:space="preserve"> </w:t>
      </w:r>
      <w:r w:rsidR="007C60DD" w:rsidRPr="007C60DD">
        <w:rPr>
          <w:rFonts w:asciiTheme="majorHAnsi" w:hAnsiTheme="majorHAnsi"/>
          <w:sz w:val="20"/>
          <w:szCs w:val="20"/>
          <w:lang w:val="es-ES"/>
        </w:rPr>
        <w:t>El cumplimiento rigoroso del derecho de recibir patrocinio letrado competente es impuesto por la posibilidad de la aplicación de la pena de muerte</w:t>
      </w:r>
      <w:r w:rsidR="00D12883" w:rsidRPr="007C60DD">
        <w:rPr>
          <w:rFonts w:asciiTheme="majorHAnsi" w:hAnsiTheme="majorHAnsi"/>
          <w:sz w:val="20"/>
          <w:szCs w:val="20"/>
          <w:lang w:val="es-ES"/>
        </w:rPr>
        <w:t>”</w:t>
      </w:r>
      <w:r w:rsidR="00D12883" w:rsidRPr="007C60DD">
        <w:rPr>
          <w:rStyle w:val="FootnoteReference"/>
          <w:rFonts w:asciiTheme="majorHAnsi" w:eastAsia="Arial Unicode MS" w:hAnsiTheme="majorHAnsi"/>
          <w:sz w:val="20"/>
          <w:szCs w:val="20"/>
          <w:bdr w:val="nil"/>
          <w:lang w:val="es-ES"/>
        </w:rPr>
        <w:footnoteReference w:id="47"/>
      </w:r>
      <w:r w:rsidR="007C60DD" w:rsidRPr="007C60DD">
        <w:rPr>
          <w:rFonts w:asciiTheme="majorHAnsi" w:hAnsiTheme="majorHAnsi"/>
          <w:sz w:val="20"/>
          <w:szCs w:val="20"/>
          <w:lang w:val="es-ES"/>
        </w:rPr>
        <w:t>.</w:t>
      </w:r>
    </w:p>
    <w:p w14:paraId="2124CD5E" w14:textId="77777777" w:rsidR="00D12883" w:rsidRPr="007A3389" w:rsidRDefault="00D12883" w:rsidP="00565C1A">
      <w:pPr>
        <w:rPr>
          <w:sz w:val="20"/>
          <w:szCs w:val="20"/>
          <w:lang w:val="es-ES"/>
        </w:rPr>
      </w:pPr>
    </w:p>
    <w:p w14:paraId="1BE75A01" w14:textId="77777777" w:rsidR="00095A0A" w:rsidRPr="007A3389" w:rsidRDefault="008A10AB" w:rsidP="00973A7C">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lang w:val="es-ES"/>
        </w:rPr>
      </w:pPr>
      <w:r w:rsidRPr="007A3389">
        <w:rPr>
          <w:rFonts w:ascii="Cambria" w:hAnsi="Cambria"/>
          <w:sz w:val="20"/>
          <w:szCs w:val="20"/>
          <w:lang w:val="es-ES"/>
        </w:rPr>
        <w:t>La Comisión</w:t>
      </w:r>
      <w:r w:rsidR="00D12883" w:rsidRPr="007A3389">
        <w:rPr>
          <w:rFonts w:ascii="Cambria" w:hAnsi="Cambria"/>
          <w:sz w:val="20"/>
          <w:szCs w:val="20"/>
          <w:lang w:val="es-ES"/>
        </w:rPr>
        <w:t xml:space="preserve"> ha</w:t>
      </w:r>
      <w:r w:rsidR="00701F19">
        <w:rPr>
          <w:rFonts w:ascii="Cambria" w:hAnsi="Cambria"/>
          <w:sz w:val="20"/>
          <w:szCs w:val="20"/>
          <w:lang w:val="es-ES"/>
        </w:rPr>
        <w:t xml:space="preserve"> señalado que </w:t>
      </w:r>
      <w:r w:rsidR="00D12883" w:rsidRPr="007A3389">
        <w:rPr>
          <w:rFonts w:ascii="Cambria" w:hAnsi="Cambria"/>
          <w:sz w:val="20"/>
          <w:szCs w:val="20"/>
          <w:lang w:val="es-ES"/>
        </w:rPr>
        <w:t>“</w:t>
      </w:r>
      <w:r w:rsidR="00973A7C" w:rsidRPr="00973A7C">
        <w:rPr>
          <w:rFonts w:ascii="Cambria" w:hAnsi="Cambria"/>
          <w:sz w:val="20"/>
          <w:szCs w:val="20"/>
          <w:lang w:val="es-ES"/>
        </w:rPr>
        <w:t xml:space="preserve">los requisitos fundamentales de debido proceso en el caso de juicios por delitos punibles con la pena capital incluyen la obligación de suministrar a un acusado la posibilidad plena y </w:t>
      </w:r>
      <w:r w:rsidR="00973A7C" w:rsidRPr="00973A7C">
        <w:rPr>
          <w:rFonts w:asciiTheme="majorHAnsi" w:hAnsiTheme="majorHAnsi"/>
          <w:sz w:val="20"/>
          <w:szCs w:val="20"/>
          <w:lang w:val="es-ES"/>
        </w:rPr>
        <w:t>justa</w:t>
      </w:r>
      <w:r w:rsidR="00973A7C" w:rsidRPr="00973A7C">
        <w:rPr>
          <w:rFonts w:ascii="Cambria" w:hAnsi="Cambria"/>
          <w:sz w:val="20"/>
          <w:szCs w:val="20"/>
          <w:lang w:val="es-ES"/>
        </w:rPr>
        <w:t xml:space="preserve"> de presentar pruebas atenuantes para que se consideren al determinar si la pena de muerte constituye la </w:t>
      </w:r>
      <w:r w:rsidR="00973A7C" w:rsidRPr="00973A7C">
        <w:rPr>
          <w:rFonts w:ascii="Cambria" w:hAnsi="Cambria"/>
          <w:sz w:val="20"/>
          <w:szCs w:val="20"/>
          <w:lang w:val="es-ES"/>
        </w:rPr>
        <w:lastRenderedPageBreak/>
        <w:t>sanción apropiada a las circunstancias de su caso</w:t>
      </w:r>
      <w:r w:rsidR="00D12883" w:rsidRPr="007A3389">
        <w:rPr>
          <w:rFonts w:ascii="Cambria" w:hAnsi="Cambria"/>
          <w:sz w:val="20"/>
          <w:szCs w:val="20"/>
          <w:lang w:val="es-ES"/>
        </w:rPr>
        <w:t>”</w:t>
      </w:r>
      <w:r w:rsidR="00D12883" w:rsidRPr="007A3389">
        <w:rPr>
          <w:rStyle w:val="FootnoteReference"/>
          <w:rFonts w:asciiTheme="majorHAnsi" w:hAnsiTheme="majorHAnsi"/>
          <w:sz w:val="20"/>
          <w:lang w:val="es-ES"/>
        </w:rPr>
        <w:footnoteReference w:id="48"/>
      </w:r>
      <w:r w:rsidR="00973A7C">
        <w:rPr>
          <w:rFonts w:ascii="Cambria" w:hAnsi="Cambria"/>
          <w:sz w:val="20"/>
          <w:szCs w:val="20"/>
          <w:lang w:val="es-ES"/>
        </w:rPr>
        <w:t xml:space="preserve">. </w:t>
      </w:r>
      <w:r w:rsidRPr="007A3389">
        <w:rPr>
          <w:rFonts w:ascii="Cambria" w:hAnsi="Cambria"/>
          <w:sz w:val="20"/>
          <w:szCs w:val="20"/>
          <w:lang w:val="es-ES"/>
        </w:rPr>
        <w:t>La Comisión</w:t>
      </w:r>
      <w:r w:rsidR="00095A0A" w:rsidRPr="007A3389">
        <w:rPr>
          <w:rFonts w:ascii="Cambria" w:hAnsi="Cambria"/>
          <w:sz w:val="20"/>
          <w:szCs w:val="20"/>
          <w:lang w:val="es-ES"/>
        </w:rPr>
        <w:t xml:space="preserve"> ha</w:t>
      </w:r>
      <w:r w:rsidR="00701F19">
        <w:rPr>
          <w:rFonts w:ascii="Cambria" w:hAnsi="Cambria"/>
          <w:sz w:val="20"/>
          <w:szCs w:val="20"/>
          <w:lang w:val="es-ES"/>
        </w:rPr>
        <w:t xml:space="preserve"> indicado asimismo que</w:t>
      </w:r>
      <w:r w:rsidR="00095A0A" w:rsidRPr="007A3389">
        <w:rPr>
          <w:rFonts w:ascii="Cambria" w:hAnsi="Cambria"/>
          <w:sz w:val="20"/>
          <w:szCs w:val="20"/>
          <w:lang w:val="es-ES"/>
        </w:rPr>
        <w:t xml:space="preserve"> </w:t>
      </w:r>
      <w:r w:rsidR="00973A7C" w:rsidRPr="00973A7C">
        <w:rPr>
          <w:rFonts w:ascii="Cambria" w:hAnsi="Cambria"/>
          <w:sz w:val="20"/>
          <w:szCs w:val="20"/>
          <w:lang w:val="es-ES"/>
        </w:rPr>
        <w:t>las garantías de debido proceso</w:t>
      </w:r>
      <w:r w:rsidR="00095A0A" w:rsidRPr="007A3389">
        <w:rPr>
          <w:rFonts w:ascii="Cambria" w:hAnsi="Cambria"/>
          <w:sz w:val="20"/>
          <w:szCs w:val="20"/>
          <w:lang w:val="es-ES"/>
        </w:rPr>
        <w:t xml:space="preserve">, </w:t>
      </w:r>
      <w:r w:rsidR="00973A7C">
        <w:rPr>
          <w:rFonts w:ascii="Cambria" w:hAnsi="Cambria"/>
          <w:sz w:val="20"/>
          <w:szCs w:val="20"/>
          <w:lang w:val="es-ES"/>
        </w:rPr>
        <w:t xml:space="preserve">según </w:t>
      </w:r>
      <w:r w:rsidR="00631955" w:rsidRPr="007A3389">
        <w:rPr>
          <w:rFonts w:ascii="Cambria" w:hAnsi="Cambria"/>
          <w:sz w:val="20"/>
          <w:szCs w:val="20"/>
          <w:lang w:val="es-ES"/>
        </w:rPr>
        <w:t>la Declaración</w:t>
      </w:r>
      <w:r w:rsidR="00095A0A" w:rsidRPr="007A3389">
        <w:rPr>
          <w:rFonts w:ascii="Cambria" w:hAnsi="Cambria"/>
          <w:sz w:val="20"/>
          <w:szCs w:val="20"/>
          <w:lang w:val="es-ES"/>
        </w:rPr>
        <w:t xml:space="preserve">: </w:t>
      </w:r>
    </w:p>
    <w:p w14:paraId="15749D73" w14:textId="77777777" w:rsidR="00095A0A" w:rsidRPr="007A3389" w:rsidRDefault="00095A0A" w:rsidP="00095A0A">
      <w:pPr>
        <w:pStyle w:val="ListParagraph"/>
        <w:tabs>
          <w:tab w:val="left" w:pos="360"/>
        </w:tabs>
        <w:autoSpaceDE w:val="0"/>
        <w:autoSpaceDN w:val="0"/>
        <w:adjustRightInd w:val="0"/>
        <w:ind w:left="0"/>
        <w:jc w:val="both"/>
        <w:rPr>
          <w:sz w:val="20"/>
          <w:lang w:val="es-ES"/>
        </w:rPr>
      </w:pPr>
    </w:p>
    <w:p w14:paraId="35C90A63" w14:textId="77777777" w:rsidR="00095A0A" w:rsidRPr="007A3389" w:rsidRDefault="00973A7C" w:rsidP="00095A0A">
      <w:pPr>
        <w:pStyle w:val="ListParagraph"/>
        <w:tabs>
          <w:tab w:val="left" w:pos="360"/>
        </w:tabs>
        <w:autoSpaceDE w:val="0"/>
        <w:autoSpaceDN w:val="0"/>
        <w:adjustRightInd w:val="0"/>
        <w:ind w:left="360" w:right="360"/>
        <w:jc w:val="both"/>
        <w:rPr>
          <w:sz w:val="18"/>
          <w:szCs w:val="18"/>
          <w:lang w:val="es-ES"/>
        </w:rPr>
      </w:pPr>
      <w:r w:rsidRPr="00973A7C">
        <w:rPr>
          <w:sz w:val="18"/>
          <w:szCs w:val="18"/>
          <w:lang w:val="es-ES"/>
        </w:rPr>
        <w:t>garantizan la posibilidad de presentar alegatos y pruebas sobre si la pena de muerte puede no ser permisible o adecuada a las circunstancias de su caso, frente a consideraciones tales como el carácter e historial de delincuente, los factores subjetivos que podrían haber motivado su conducta, el diseño y la forma de ejecución del delito en cuestión y la posibilidad de reforma y readaptación social del delincuente</w:t>
      </w:r>
      <w:r w:rsidR="00095A0A" w:rsidRPr="007A3389">
        <w:rPr>
          <w:rStyle w:val="FootnoteReference"/>
          <w:sz w:val="18"/>
          <w:szCs w:val="18"/>
          <w:lang w:val="es-ES"/>
        </w:rPr>
        <w:footnoteReference w:id="49"/>
      </w:r>
      <w:r>
        <w:rPr>
          <w:sz w:val="18"/>
          <w:szCs w:val="18"/>
          <w:lang w:val="es-ES"/>
        </w:rPr>
        <w:t>.</w:t>
      </w:r>
    </w:p>
    <w:p w14:paraId="7CA047FC" w14:textId="77777777" w:rsidR="00095A0A" w:rsidRPr="007A3389" w:rsidRDefault="00095A0A" w:rsidP="00095A0A">
      <w:pPr>
        <w:pStyle w:val="ListParagraph"/>
        <w:tabs>
          <w:tab w:val="left" w:pos="360"/>
        </w:tabs>
        <w:autoSpaceDE w:val="0"/>
        <w:autoSpaceDN w:val="0"/>
        <w:adjustRightInd w:val="0"/>
        <w:ind w:left="0"/>
        <w:jc w:val="both"/>
        <w:rPr>
          <w:sz w:val="20"/>
          <w:lang w:val="es-ES"/>
        </w:rPr>
      </w:pPr>
    </w:p>
    <w:p w14:paraId="2BF68E73" w14:textId="77777777" w:rsidR="009F0885" w:rsidRPr="007A3389" w:rsidRDefault="00CB7CA1" w:rsidP="00277987">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Cambria" w:hAnsi="Cambria"/>
          <w:sz w:val="20"/>
          <w:szCs w:val="20"/>
          <w:lang w:val="es-ES"/>
        </w:rPr>
        <w:t>L</w:t>
      </w:r>
      <w:r w:rsidR="00277987" w:rsidRPr="00277987">
        <w:rPr>
          <w:rFonts w:ascii="Cambria" w:hAnsi="Cambria"/>
          <w:sz w:val="20"/>
          <w:szCs w:val="20"/>
          <w:lang w:val="es-ES"/>
        </w:rPr>
        <w:t>a índole fundamental de esta garantía se refleja en las directrices para el ejercicio de la abogacía. El Colegio de Abogados de Estados Unidos ha formulado y adoptado directrices y comentarios conexos en los cuales se pone de relieve la importancia de investigar y presentar pruebas atenuantes en casos de pena de muerte</w:t>
      </w:r>
      <w:r w:rsidR="00095A0A" w:rsidRPr="007A3389">
        <w:rPr>
          <w:rStyle w:val="FootnoteReference"/>
          <w:rFonts w:asciiTheme="majorHAnsi" w:hAnsiTheme="majorHAnsi"/>
          <w:sz w:val="20"/>
          <w:lang w:val="es-ES"/>
        </w:rPr>
        <w:footnoteReference w:id="50"/>
      </w:r>
      <w:r w:rsidR="00277987">
        <w:rPr>
          <w:rFonts w:ascii="Cambria" w:hAnsi="Cambria"/>
          <w:sz w:val="20"/>
          <w:szCs w:val="20"/>
          <w:lang w:val="es-ES"/>
        </w:rPr>
        <w:t>.</w:t>
      </w:r>
      <w:r w:rsidR="00095A0A" w:rsidRPr="007A3389">
        <w:rPr>
          <w:rFonts w:ascii="Cambria" w:hAnsi="Cambria"/>
          <w:sz w:val="20"/>
          <w:szCs w:val="20"/>
          <w:lang w:val="es-ES"/>
        </w:rPr>
        <w:t xml:space="preserve"> </w:t>
      </w:r>
      <w:r w:rsidR="00277987" w:rsidRPr="00277987">
        <w:rPr>
          <w:rFonts w:ascii="Cambria" w:hAnsi="Cambria"/>
          <w:sz w:val="20"/>
          <w:szCs w:val="20"/>
          <w:lang w:val="es-ES"/>
        </w:rPr>
        <w:t xml:space="preserve">De acuerdo con estas directrices, el deber del abogado defensor de investigar y presentar pruebas atenuantes ya es bien conocido en Estados Unidos, y </w:t>
      </w:r>
      <w:r w:rsidR="00277987" w:rsidRPr="00277987">
        <w:rPr>
          <w:rFonts w:asciiTheme="majorHAnsi" w:hAnsiTheme="majorHAnsi"/>
          <w:sz w:val="20"/>
          <w:szCs w:val="20"/>
          <w:lang w:val="es-ES"/>
        </w:rPr>
        <w:t>debido</w:t>
      </w:r>
      <w:r w:rsidR="00277987" w:rsidRPr="00277987">
        <w:rPr>
          <w:rFonts w:ascii="Cambria" w:hAnsi="Cambria"/>
          <w:sz w:val="20"/>
          <w:szCs w:val="20"/>
          <w:lang w:val="es-ES"/>
        </w:rPr>
        <w:t xml:space="preserve"> a que el juez que dicta sentencia en un caso de pena de muerte debe considerar entre l</w:t>
      </w:r>
      <w:r>
        <w:rPr>
          <w:rFonts w:ascii="Cambria" w:hAnsi="Cambria"/>
          <w:sz w:val="20"/>
          <w:szCs w:val="20"/>
          <w:lang w:val="es-ES"/>
        </w:rPr>
        <w:t>a</w:t>
      </w:r>
      <w:r w:rsidR="00277987" w:rsidRPr="00277987">
        <w:rPr>
          <w:rFonts w:ascii="Cambria" w:hAnsi="Cambria"/>
          <w:sz w:val="20"/>
          <w:szCs w:val="20"/>
          <w:lang w:val="es-ES"/>
        </w:rPr>
        <w:t xml:space="preserve">s atenuantes “cualquier aspecto de la vida del acusado que se oponga a la procedencia de la pena de muerte”, los preparativos para la etapa de la sentencia requieren una investigación extensa y generalmente </w:t>
      </w:r>
      <w:r>
        <w:rPr>
          <w:rFonts w:ascii="Cambria" w:hAnsi="Cambria"/>
          <w:sz w:val="20"/>
          <w:szCs w:val="20"/>
          <w:lang w:val="es-ES"/>
        </w:rPr>
        <w:t>extraordinaria</w:t>
      </w:r>
      <w:r w:rsidR="00277987" w:rsidRPr="00277987">
        <w:rPr>
          <w:rFonts w:ascii="Cambria" w:hAnsi="Cambria"/>
          <w:sz w:val="20"/>
          <w:szCs w:val="20"/>
          <w:lang w:val="es-ES"/>
        </w:rPr>
        <w:t xml:space="preserve"> de los antecedentes personales y familiare</w:t>
      </w:r>
      <w:r w:rsidR="00277987">
        <w:rPr>
          <w:rFonts w:ascii="Cambria" w:hAnsi="Cambria"/>
          <w:sz w:val="20"/>
          <w:szCs w:val="20"/>
          <w:lang w:val="es-ES"/>
        </w:rPr>
        <w:t>s</w:t>
      </w:r>
      <w:r w:rsidR="00095A0A" w:rsidRPr="007A3389">
        <w:rPr>
          <w:rStyle w:val="FootnoteReference"/>
          <w:rFonts w:asciiTheme="majorHAnsi" w:hAnsiTheme="majorHAnsi"/>
          <w:sz w:val="20"/>
          <w:lang w:val="es-ES"/>
        </w:rPr>
        <w:footnoteReference w:id="51"/>
      </w:r>
      <w:r w:rsidR="00277987">
        <w:rPr>
          <w:rFonts w:ascii="Cambria" w:hAnsi="Cambria"/>
          <w:sz w:val="20"/>
          <w:szCs w:val="20"/>
          <w:lang w:val="es-ES"/>
        </w:rPr>
        <w:t xml:space="preserve">. </w:t>
      </w:r>
      <w:r w:rsidR="00701F19">
        <w:rPr>
          <w:rFonts w:ascii="Cambria" w:hAnsi="Cambria"/>
          <w:sz w:val="20"/>
          <w:szCs w:val="20"/>
          <w:lang w:val="es-ES"/>
        </w:rPr>
        <w:t xml:space="preserve">La importancia de la </w:t>
      </w:r>
      <w:r w:rsidR="00701F19" w:rsidRPr="00701F19">
        <w:rPr>
          <w:rFonts w:ascii="Cambria" w:hAnsi="Cambria"/>
          <w:sz w:val="20"/>
          <w:szCs w:val="20"/>
          <w:lang w:val="es-ES"/>
        </w:rPr>
        <w:t xml:space="preserve">notificación consular </w:t>
      </w:r>
      <w:r w:rsidR="00701F19">
        <w:rPr>
          <w:rFonts w:ascii="Cambria" w:hAnsi="Cambria"/>
          <w:sz w:val="20"/>
          <w:szCs w:val="20"/>
          <w:lang w:val="es-ES"/>
        </w:rPr>
        <w:t>se refleja también en las directrices de</w:t>
      </w:r>
      <w:r w:rsidR="00701F19" w:rsidRPr="00701F19">
        <w:rPr>
          <w:rFonts w:ascii="Cambria" w:hAnsi="Cambria" w:cs="Cambria"/>
          <w:color w:val="000000"/>
          <w:sz w:val="20"/>
          <w:szCs w:val="20"/>
          <w:lang w:val="es-ES" w:eastAsia="es-ES"/>
        </w:rPr>
        <w:t>l Colegio de Abogados de Estados Unidos</w:t>
      </w:r>
      <w:r w:rsidR="009F0885" w:rsidRPr="007A3389">
        <w:rPr>
          <w:rFonts w:ascii="Cambria" w:hAnsi="Cambria" w:cs="Cambria"/>
          <w:color w:val="000000"/>
          <w:sz w:val="20"/>
          <w:szCs w:val="20"/>
          <w:lang w:val="es-ES" w:eastAsia="es-ES"/>
        </w:rPr>
        <w:t xml:space="preserve">: </w:t>
      </w:r>
    </w:p>
    <w:p w14:paraId="2CC3AE04" w14:textId="77777777" w:rsidR="009F0885" w:rsidRPr="007A3389" w:rsidRDefault="009F0885" w:rsidP="009F0885">
      <w:pPr>
        <w:pStyle w:val="NormalWeb"/>
        <w:shd w:val="clear" w:color="auto" w:fill="FFFFFF"/>
        <w:tabs>
          <w:tab w:val="left" w:pos="360"/>
        </w:tabs>
        <w:spacing w:before="0" w:beforeAutospacing="0" w:after="0" w:afterAutospacing="0"/>
        <w:jc w:val="both"/>
        <w:rPr>
          <w:rFonts w:ascii="Cambria" w:eastAsia="Arial Unicode MS" w:hAnsi="Cambria" w:cs="Cambria"/>
          <w:color w:val="000000"/>
          <w:sz w:val="20"/>
          <w:szCs w:val="20"/>
          <w:bdr w:val="nil"/>
          <w:lang w:val="es-ES" w:eastAsia="es-ES"/>
        </w:rPr>
      </w:pPr>
    </w:p>
    <w:p w14:paraId="69F799EE" w14:textId="77777777" w:rsidR="009F0885" w:rsidRPr="007A3389" w:rsidRDefault="00277987" w:rsidP="009F0885">
      <w:pPr>
        <w:pStyle w:val="NormalWeb"/>
        <w:shd w:val="clear" w:color="auto" w:fill="FFFFFF"/>
        <w:tabs>
          <w:tab w:val="left" w:pos="360"/>
        </w:tabs>
        <w:spacing w:before="0" w:beforeAutospacing="0" w:after="0" w:afterAutospacing="0"/>
        <w:ind w:left="360" w:right="360"/>
        <w:jc w:val="both"/>
        <w:rPr>
          <w:rFonts w:asciiTheme="majorHAnsi" w:hAnsiTheme="majorHAnsi"/>
          <w:sz w:val="18"/>
          <w:szCs w:val="18"/>
          <w:lang w:val="es-ES"/>
        </w:rPr>
      </w:pPr>
      <w:r w:rsidRPr="00277987">
        <w:rPr>
          <w:rFonts w:ascii="Cambria" w:eastAsia="Arial Unicode MS" w:hAnsi="Cambria" w:cs="Cambria"/>
          <w:color w:val="000000"/>
          <w:sz w:val="18"/>
          <w:szCs w:val="18"/>
          <w:bdr w:val="nil"/>
          <w:lang w:val="es-ES" w:eastAsia="es-ES"/>
        </w:rPr>
        <w:t xml:space="preserve">[a] menos que el abogado predecesor ya lo haya hecho, el abogado que represente a un ciudadano extranjero deberá 1) informar de inmediato al cliente sobre su derecho a comunicarse con la oficina consular pertinente, y 2) obtener el consentimiento del cliente para contactar a la oficina consular. Después de obtener el consentimiento, el abogado debe ponerse en contacto de inmediato con la oficina consular del cliente e informarle sobre la detención o el arresto </w:t>
      </w:r>
      <w:r w:rsidR="009F0885" w:rsidRPr="007A3389">
        <w:rPr>
          <w:rFonts w:ascii="Cambria" w:eastAsia="Arial Unicode MS" w:hAnsi="Cambria" w:cs="Cambria"/>
          <w:color w:val="000000"/>
          <w:sz w:val="18"/>
          <w:szCs w:val="18"/>
          <w:bdr w:val="nil"/>
          <w:lang w:val="es-ES" w:eastAsia="es-ES"/>
        </w:rPr>
        <w:t>[…]</w:t>
      </w:r>
      <w:r w:rsidR="009F0885" w:rsidRPr="007A3389">
        <w:rPr>
          <w:rStyle w:val="FootnoteReference"/>
          <w:rFonts w:ascii="Cambria" w:eastAsia="Arial Unicode MS" w:hAnsi="Cambria"/>
          <w:color w:val="000000"/>
          <w:sz w:val="18"/>
          <w:szCs w:val="18"/>
          <w:bdr w:val="nil"/>
          <w:lang w:val="es-ES" w:eastAsia="es-ES"/>
        </w:rPr>
        <w:footnoteReference w:id="52"/>
      </w:r>
      <w:r w:rsidR="00CB7CA1">
        <w:rPr>
          <w:rFonts w:ascii="Cambria" w:eastAsia="Arial Unicode MS" w:hAnsi="Cambria" w:cs="Cambria"/>
          <w:color w:val="000000"/>
          <w:sz w:val="18"/>
          <w:szCs w:val="18"/>
          <w:bdr w:val="nil"/>
          <w:lang w:val="es-ES" w:eastAsia="es-ES"/>
        </w:rPr>
        <w:t>.</w:t>
      </w:r>
    </w:p>
    <w:p w14:paraId="5AD92E6E" w14:textId="77777777" w:rsidR="00E070DA" w:rsidRPr="007A3389" w:rsidRDefault="00E070DA" w:rsidP="00AB6F62">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58D70C2C" w14:textId="77777777" w:rsidR="00B9441F" w:rsidRPr="007A3389" w:rsidRDefault="003010E1" w:rsidP="00B9441F">
      <w:pPr>
        <w:pStyle w:val="Heading3"/>
        <w:numPr>
          <w:ilvl w:val="1"/>
          <w:numId w:val="53"/>
        </w:numPr>
        <w:spacing w:before="0"/>
        <w:ind w:left="360"/>
        <w:rPr>
          <w:color w:val="auto"/>
          <w:sz w:val="20"/>
          <w:szCs w:val="20"/>
          <w:lang w:val="es-ES"/>
        </w:rPr>
      </w:pPr>
      <w:bookmarkStart w:id="29" w:name="_Toc90298930"/>
      <w:r w:rsidRPr="007A3389">
        <w:rPr>
          <w:color w:val="auto"/>
          <w:sz w:val="20"/>
          <w:szCs w:val="20"/>
          <w:lang w:val="es-ES"/>
        </w:rPr>
        <w:t>Análisis del caso</w:t>
      </w:r>
      <w:bookmarkEnd w:id="29"/>
    </w:p>
    <w:p w14:paraId="4CFAE87F" w14:textId="77777777" w:rsidR="00B9441F" w:rsidRPr="007A3389" w:rsidRDefault="00B9441F" w:rsidP="00AB6F62">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50B63B49" w14:textId="77777777" w:rsidR="00AB6F62" w:rsidRPr="007A3389" w:rsidRDefault="00277987" w:rsidP="00D128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Theme="majorHAnsi" w:hAnsiTheme="majorHAnsi"/>
          <w:sz w:val="20"/>
          <w:szCs w:val="20"/>
          <w:lang w:val="es-ES"/>
        </w:rPr>
        <w:t>En el caso de autos</w:t>
      </w:r>
      <w:r w:rsidR="00E54100" w:rsidRPr="007A3389">
        <w:rPr>
          <w:rFonts w:asciiTheme="majorHAnsi" w:hAnsiTheme="majorHAnsi"/>
          <w:sz w:val="20"/>
          <w:szCs w:val="20"/>
          <w:lang w:val="es-ES"/>
        </w:rPr>
        <w:t xml:space="preserve">, </w:t>
      </w:r>
      <w:r w:rsidR="000D3EE0" w:rsidRPr="007A3389">
        <w:rPr>
          <w:rFonts w:asciiTheme="majorHAnsi" w:hAnsiTheme="majorHAnsi"/>
          <w:sz w:val="20"/>
          <w:szCs w:val="20"/>
          <w:lang w:val="es-ES"/>
        </w:rPr>
        <w:t>los peticionarios</w:t>
      </w:r>
      <w:r w:rsidR="00E54100" w:rsidRPr="007A3389">
        <w:rPr>
          <w:rFonts w:asciiTheme="majorHAnsi" w:hAnsiTheme="majorHAnsi"/>
          <w:sz w:val="20"/>
          <w:szCs w:val="20"/>
          <w:lang w:val="es-ES"/>
        </w:rPr>
        <w:t xml:space="preserve"> </w:t>
      </w:r>
      <w:r w:rsidR="00A91E10">
        <w:rPr>
          <w:rFonts w:asciiTheme="majorHAnsi" w:hAnsiTheme="majorHAnsi"/>
          <w:sz w:val="20"/>
          <w:szCs w:val="20"/>
          <w:lang w:val="es-ES"/>
        </w:rPr>
        <w:t xml:space="preserve">alegan que </w:t>
      </w:r>
      <w:r>
        <w:rPr>
          <w:rFonts w:asciiTheme="majorHAnsi" w:hAnsiTheme="majorHAnsi"/>
          <w:sz w:val="20"/>
          <w:szCs w:val="20"/>
          <w:lang w:val="es-ES"/>
        </w:rPr>
        <w:t>el abogado de oficio</w:t>
      </w:r>
      <w:r w:rsidR="00CC1157" w:rsidRPr="007A3389">
        <w:rPr>
          <w:rFonts w:asciiTheme="majorHAnsi" w:hAnsiTheme="majorHAnsi"/>
          <w:sz w:val="20"/>
          <w:szCs w:val="20"/>
          <w:lang w:val="es-ES"/>
        </w:rPr>
        <w:t xml:space="preserve"> </w:t>
      </w:r>
      <w:r w:rsidR="00A91E10">
        <w:rPr>
          <w:rFonts w:asciiTheme="majorHAnsi" w:hAnsiTheme="majorHAnsi"/>
          <w:sz w:val="20"/>
          <w:szCs w:val="20"/>
          <w:lang w:val="es-ES"/>
        </w:rPr>
        <w:t>d</w:t>
      </w:r>
      <w:r w:rsidR="00A91E10" w:rsidRPr="00A91E10">
        <w:rPr>
          <w:rFonts w:asciiTheme="majorHAnsi" w:hAnsiTheme="majorHAnsi"/>
          <w:sz w:val="20"/>
          <w:szCs w:val="20"/>
          <w:lang w:val="es-ES"/>
        </w:rPr>
        <w:t>el señor Loza</w:t>
      </w:r>
      <w:r w:rsidR="00A91E10">
        <w:rPr>
          <w:rFonts w:asciiTheme="majorHAnsi" w:hAnsiTheme="majorHAnsi"/>
          <w:sz w:val="20"/>
          <w:szCs w:val="20"/>
          <w:lang w:val="es-ES"/>
        </w:rPr>
        <w:t xml:space="preserve"> no le avis</w:t>
      </w:r>
      <w:r w:rsidR="00CB7CA1">
        <w:rPr>
          <w:rFonts w:asciiTheme="majorHAnsi" w:hAnsiTheme="majorHAnsi"/>
          <w:sz w:val="20"/>
          <w:szCs w:val="20"/>
          <w:lang w:val="es-ES"/>
        </w:rPr>
        <w:t>ó</w:t>
      </w:r>
      <w:r w:rsidR="00A91E10">
        <w:rPr>
          <w:rFonts w:asciiTheme="majorHAnsi" w:hAnsiTheme="majorHAnsi"/>
          <w:sz w:val="20"/>
          <w:szCs w:val="20"/>
          <w:lang w:val="es-ES"/>
        </w:rPr>
        <w:t xml:space="preserve"> sobre su </w:t>
      </w:r>
      <w:r>
        <w:rPr>
          <w:rFonts w:asciiTheme="majorHAnsi" w:hAnsiTheme="majorHAnsi"/>
          <w:sz w:val="20"/>
          <w:szCs w:val="20"/>
          <w:lang w:val="es-ES"/>
        </w:rPr>
        <w:t>derecho a la notificación consular y a comunicarse con el consulado</w:t>
      </w:r>
      <w:r w:rsidR="00CC1157" w:rsidRPr="007A3389">
        <w:rPr>
          <w:rFonts w:asciiTheme="majorHAnsi" w:hAnsiTheme="majorHAnsi"/>
          <w:sz w:val="20"/>
          <w:szCs w:val="20"/>
          <w:lang w:val="es-ES"/>
        </w:rPr>
        <w:t xml:space="preserve"> </w:t>
      </w:r>
      <w:r w:rsidR="00A91E10">
        <w:rPr>
          <w:rFonts w:asciiTheme="majorHAnsi" w:hAnsiTheme="majorHAnsi"/>
          <w:sz w:val="20"/>
          <w:szCs w:val="20"/>
          <w:lang w:val="es-ES"/>
        </w:rPr>
        <w:t>y no notific</w:t>
      </w:r>
      <w:r w:rsidR="00CB7CA1">
        <w:rPr>
          <w:rFonts w:asciiTheme="majorHAnsi" w:hAnsiTheme="majorHAnsi"/>
          <w:sz w:val="20"/>
          <w:szCs w:val="20"/>
          <w:lang w:val="es-ES"/>
        </w:rPr>
        <w:t>ó</w:t>
      </w:r>
      <w:r w:rsidR="00A91E10">
        <w:rPr>
          <w:rFonts w:asciiTheme="majorHAnsi" w:hAnsiTheme="majorHAnsi"/>
          <w:sz w:val="20"/>
          <w:szCs w:val="20"/>
          <w:lang w:val="es-ES"/>
        </w:rPr>
        <w:t xml:space="preserve"> al consulado sobre la detención. Agregan que el abogado d</w:t>
      </w:r>
      <w:r w:rsidR="00D87346" w:rsidRPr="007A3389">
        <w:rPr>
          <w:rFonts w:asciiTheme="majorHAnsi" w:hAnsiTheme="majorHAnsi"/>
          <w:sz w:val="20"/>
          <w:szCs w:val="20"/>
          <w:lang w:val="es-ES"/>
        </w:rPr>
        <w:t>el señor</w:t>
      </w:r>
      <w:r w:rsidR="00CC1157" w:rsidRPr="007A3389">
        <w:rPr>
          <w:rFonts w:asciiTheme="majorHAnsi" w:hAnsiTheme="majorHAnsi"/>
          <w:sz w:val="20"/>
          <w:szCs w:val="20"/>
          <w:lang w:val="es-ES"/>
        </w:rPr>
        <w:t xml:space="preserve"> Loza</w:t>
      </w:r>
      <w:r w:rsidR="00A91E10">
        <w:rPr>
          <w:rFonts w:asciiTheme="majorHAnsi" w:hAnsiTheme="majorHAnsi"/>
          <w:sz w:val="20"/>
          <w:szCs w:val="20"/>
          <w:lang w:val="es-ES"/>
        </w:rPr>
        <w:t xml:space="preserve"> no contrató a un neuropsicólogo y no hizo una investigación exhaustiva de sus antecedentes sociales. </w:t>
      </w:r>
      <w:r w:rsidR="00D87346" w:rsidRPr="007A3389">
        <w:rPr>
          <w:rFonts w:asciiTheme="majorHAnsi" w:hAnsiTheme="majorHAnsi"/>
          <w:sz w:val="20"/>
          <w:szCs w:val="20"/>
          <w:lang w:val="es-ES"/>
        </w:rPr>
        <w:t>El Estado</w:t>
      </w:r>
      <w:r w:rsidR="005B12C2" w:rsidRPr="007A3389">
        <w:rPr>
          <w:rFonts w:asciiTheme="majorHAnsi" w:hAnsiTheme="majorHAnsi"/>
          <w:sz w:val="20"/>
          <w:szCs w:val="20"/>
          <w:lang w:val="es-ES"/>
        </w:rPr>
        <w:t xml:space="preserve"> al</w:t>
      </w:r>
      <w:r w:rsidR="00A91E10">
        <w:rPr>
          <w:rFonts w:asciiTheme="majorHAnsi" w:hAnsiTheme="majorHAnsi"/>
          <w:sz w:val="20"/>
          <w:szCs w:val="20"/>
          <w:lang w:val="es-ES"/>
        </w:rPr>
        <w:t>ega que el patrocinio letrado durante el juicio, la apelación y las actuaciones</w:t>
      </w:r>
      <w:r w:rsidR="005B12C2" w:rsidRPr="007A3389">
        <w:rPr>
          <w:rFonts w:asciiTheme="majorHAnsi" w:hAnsiTheme="majorHAnsi"/>
          <w:sz w:val="20"/>
          <w:szCs w:val="20"/>
          <w:lang w:val="es-ES"/>
        </w:rPr>
        <w:t xml:space="preserve"> </w:t>
      </w:r>
      <w:proofErr w:type="spellStart"/>
      <w:r w:rsidR="00B06A65">
        <w:rPr>
          <w:rFonts w:asciiTheme="majorHAnsi" w:hAnsiTheme="majorHAnsi"/>
          <w:sz w:val="20"/>
          <w:szCs w:val="20"/>
          <w:lang w:val="es-ES"/>
        </w:rPr>
        <w:t>poscondenatoria</w:t>
      </w:r>
      <w:r w:rsidR="00A91E10">
        <w:rPr>
          <w:rFonts w:asciiTheme="majorHAnsi" w:hAnsiTheme="majorHAnsi"/>
          <w:sz w:val="20"/>
          <w:szCs w:val="20"/>
          <w:lang w:val="es-ES"/>
        </w:rPr>
        <w:t>s</w:t>
      </w:r>
      <w:proofErr w:type="spellEnd"/>
      <w:r w:rsidR="00A91E10">
        <w:rPr>
          <w:rFonts w:asciiTheme="majorHAnsi" w:hAnsiTheme="majorHAnsi"/>
          <w:sz w:val="20"/>
          <w:szCs w:val="20"/>
          <w:lang w:val="es-ES"/>
        </w:rPr>
        <w:t xml:space="preserve"> se ciñó a las normas </w:t>
      </w:r>
      <w:r w:rsidR="004128E9">
        <w:rPr>
          <w:rFonts w:asciiTheme="majorHAnsi" w:hAnsiTheme="majorHAnsi"/>
          <w:sz w:val="20"/>
          <w:szCs w:val="20"/>
          <w:lang w:val="es-ES"/>
        </w:rPr>
        <w:t>constitucional</w:t>
      </w:r>
      <w:r w:rsidR="00A91E10">
        <w:rPr>
          <w:rFonts w:asciiTheme="majorHAnsi" w:hAnsiTheme="majorHAnsi"/>
          <w:sz w:val="20"/>
          <w:szCs w:val="20"/>
          <w:lang w:val="es-ES"/>
        </w:rPr>
        <w:t>es de competencia</w:t>
      </w:r>
      <w:r w:rsidR="005B12C2" w:rsidRPr="007A3389">
        <w:rPr>
          <w:rFonts w:asciiTheme="majorHAnsi" w:hAnsiTheme="majorHAnsi"/>
          <w:sz w:val="20"/>
          <w:szCs w:val="20"/>
          <w:lang w:val="es-ES"/>
        </w:rPr>
        <w:t>.</w:t>
      </w:r>
    </w:p>
    <w:p w14:paraId="7A0D2F9D" w14:textId="77777777" w:rsidR="00B11F9A" w:rsidRPr="007A3389" w:rsidRDefault="00B11F9A" w:rsidP="00E52427">
      <w:pPr>
        <w:rPr>
          <w:sz w:val="20"/>
          <w:szCs w:val="20"/>
          <w:lang w:val="es-ES"/>
        </w:rPr>
      </w:pPr>
    </w:p>
    <w:p w14:paraId="66E8A0E7" w14:textId="77777777" w:rsidR="00ED5284" w:rsidRPr="007A3389" w:rsidRDefault="008A10AB" w:rsidP="00B11F9A">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7A3389">
        <w:rPr>
          <w:rFonts w:ascii="Cambria" w:hAnsi="Cambria"/>
          <w:sz w:val="20"/>
          <w:szCs w:val="20"/>
          <w:lang w:val="es-ES"/>
        </w:rPr>
        <w:t>La Comisión</w:t>
      </w:r>
      <w:r w:rsidR="00B11F9A" w:rsidRPr="007A3389">
        <w:rPr>
          <w:rFonts w:ascii="Cambria" w:hAnsi="Cambria"/>
          <w:sz w:val="20"/>
          <w:szCs w:val="20"/>
          <w:lang w:val="es-ES"/>
        </w:rPr>
        <w:t xml:space="preserve"> </w:t>
      </w:r>
      <w:r w:rsidR="00A91E10">
        <w:rPr>
          <w:rFonts w:ascii="Cambria" w:hAnsi="Cambria"/>
          <w:sz w:val="20"/>
          <w:szCs w:val="20"/>
          <w:lang w:val="es-ES"/>
        </w:rPr>
        <w:t>observa que</w:t>
      </w:r>
      <w:r w:rsidR="00F75A39" w:rsidRPr="007A3389">
        <w:rPr>
          <w:rFonts w:ascii="Cambria" w:hAnsi="Cambria"/>
          <w:sz w:val="20"/>
          <w:szCs w:val="20"/>
          <w:lang w:val="es-ES"/>
        </w:rPr>
        <w:t xml:space="preserve"> </w:t>
      </w:r>
      <w:r w:rsidR="00277987">
        <w:rPr>
          <w:rFonts w:ascii="Cambria" w:hAnsi="Cambria"/>
          <w:sz w:val="20"/>
          <w:szCs w:val="20"/>
          <w:lang w:val="es-ES"/>
        </w:rPr>
        <w:t>el abogado de oficio</w:t>
      </w:r>
      <w:r w:rsidR="00F75A39" w:rsidRPr="007A3389">
        <w:rPr>
          <w:rFonts w:ascii="Cambria" w:hAnsi="Cambria"/>
          <w:sz w:val="20"/>
          <w:szCs w:val="20"/>
          <w:lang w:val="es-ES"/>
        </w:rPr>
        <w:t xml:space="preserve"> </w:t>
      </w:r>
      <w:r w:rsidR="00A91E10">
        <w:rPr>
          <w:rFonts w:ascii="Cambria" w:hAnsi="Cambria"/>
          <w:sz w:val="20"/>
          <w:szCs w:val="20"/>
          <w:lang w:val="es-ES"/>
        </w:rPr>
        <w:t xml:space="preserve">sabía que </w:t>
      </w:r>
      <w:r w:rsidR="00D87346" w:rsidRPr="007A3389">
        <w:rPr>
          <w:rFonts w:ascii="Cambria" w:hAnsi="Cambria"/>
          <w:sz w:val="20"/>
          <w:szCs w:val="20"/>
          <w:lang w:val="es-ES"/>
        </w:rPr>
        <w:t>el señor</w:t>
      </w:r>
      <w:r w:rsidR="00797B54" w:rsidRPr="007A3389">
        <w:rPr>
          <w:rFonts w:ascii="Cambria" w:hAnsi="Cambria"/>
          <w:sz w:val="20"/>
          <w:szCs w:val="20"/>
          <w:lang w:val="es-ES"/>
        </w:rPr>
        <w:t xml:space="preserve"> Loza </w:t>
      </w:r>
      <w:r w:rsidR="00A91E10">
        <w:rPr>
          <w:rFonts w:ascii="Cambria" w:hAnsi="Cambria"/>
          <w:sz w:val="20"/>
          <w:szCs w:val="20"/>
          <w:lang w:val="es-ES"/>
        </w:rPr>
        <w:t xml:space="preserve">era extranjero. En su primera reunión con </w:t>
      </w:r>
      <w:r w:rsidR="00D87346" w:rsidRPr="007A3389">
        <w:rPr>
          <w:rFonts w:ascii="Cambria" w:hAnsi="Cambria"/>
          <w:sz w:val="20"/>
          <w:szCs w:val="20"/>
          <w:lang w:val="es-ES"/>
        </w:rPr>
        <w:t>el señor</w:t>
      </w:r>
      <w:r w:rsidR="00797B54" w:rsidRPr="007A3389">
        <w:rPr>
          <w:rFonts w:ascii="Cambria" w:hAnsi="Cambria"/>
          <w:sz w:val="20"/>
          <w:szCs w:val="20"/>
          <w:lang w:val="es-ES"/>
        </w:rPr>
        <w:t xml:space="preserve"> Loza, </w:t>
      </w:r>
      <w:r w:rsidR="00A91E10">
        <w:rPr>
          <w:rFonts w:ascii="Cambria" w:hAnsi="Cambria"/>
          <w:sz w:val="20"/>
          <w:szCs w:val="20"/>
          <w:lang w:val="es-ES"/>
        </w:rPr>
        <w:t xml:space="preserve">el abogado debería haber corroborado si le habían avisado sobre su derecho a pedir que se notificara de inmediato al Consulado de México sobre su arresto, componente </w:t>
      </w:r>
      <w:r w:rsidR="00ED5284" w:rsidRPr="007A3389">
        <w:rPr>
          <w:rFonts w:ascii="Cambria" w:hAnsi="Cambria"/>
          <w:sz w:val="20"/>
          <w:szCs w:val="20"/>
          <w:lang w:val="es-ES"/>
        </w:rPr>
        <w:t xml:space="preserve">fundamental </w:t>
      </w:r>
      <w:r w:rsidR="00A91E10">
        <w:rPr>
          <w:rFonts w:ascii="Cambria" w:hAnsi="Cambria"/>
          <w:sz w:val="20"/>
          <w:szCs w:val="20"/>
          <w:lang w:val="es-ES"/>
        </w:rPr>
        <w:t>del derecho de los extranjeros al debido proceso. Sin embargo, el abogado no le informó a</w:t>
      </w:r>
      <w:r w:rsidR="00D87346" w:rsidRPr="007A3389">
        <w:rPr>
          <w:rFonts w:ascii="Cambria" w:hAnsi="Cambria"/>
          <w:sz w:val="20"/>
          <w:szCs w:val="20"/>
          <w:lang w:val="es-ES"/>
        </w:rPr>
        <w:t>l señor</w:t>
      </w:r>
      <w:r w:rsidR="00044C4E" w:rsidRPr="007A3389">
        <w:rPr>
          <w:rFonts w:ascii="Cambria" w:hAnsi="Cambria"/>
          <w:sz w:val="20"/>
          <w:szCs w:val="20"/>
          <w:lang w:val="es-ES"/>
        </w:rPr>
        <w:t xml:space="preserve"> Loza </w:t>
      </w:r>
      <w:r w:rsidR="00A91E10">
        <w:rPr>
          <w:rFonts w:ascii="Cambria" w:hAnsi="Cambria"/>
          <w:sz w:val="20"/>
          <w:szCs w:val="20"/>
          <w:lang w:val="es-ES"/>
        </w:rPr>
        <w:t>sobre este derecho ni pidió su consentimiento para comunicarse con el consulado. Eso, a su vez, tuvo un posible impacto en la defensa d</w:t>
      </w:r>
      <w:r w:rsidR="00D87346" w:rsidRPr="007A3389">
        <w:rPr>
          <w:rFonts w:ascii="Cambria" w:hAnsi="Cambria"/>
          <w:sz w:val="20"/>
          <w:szCs w:val="20"/>
          <w:lang w:val="es-ES"/>
        </w:rPr>
        <w:t>el señor</w:t>
      </w:r>
      <w:r w:rsidR="003D33D6" w:rsidRPr="007A3389">
        <w:rPr>
          <w:rFonts w:ascii="Cambria" w:hAnsi="Cambria"/>
          <w:sz w:val="20"/>
          <w:szCs w:val="20"/>
          <w:lang w:val="es-ES"/>
        </w:rPr>
        <w:t xml:space="preserve"> Loza</w:t>
      </w:r>
      <w:r w:rsidR="00A91E10">
        <w:rPr>
          <w:rFonts w:ascii="Cambria" w:hAnsi="Cambria"/>
          <w:sz w:val="20"/>
          <w:szCs w:val="20"/>
          <w:lang w:val="es-ES"/>
        </w:rPr>
        <w:t>, como se explicará a continuación</w:t>
      </w:r>
      <w:r w:rsidR="003D33D6" w:rsidRPr="007A3389">
        <w:rPr>
          <w:rFonts w:ascii="Cambria" w:hAnsi="Cambria"/>
          <w:sz w:val="20"/>
          <w:szCs w:val="20"/>
          <w:lang w:val="es-ES"/>
        </w:rPr>
        <w:t>.</w:t>
      </w:r>
    </w:p>
    <w:p w14:paraId="0571BC53" w14:textId="77777777" w:rsidR="00ED5284" w:rsidRPr="007A3389" w:rsidRDefault="00ED5284" w:rsidP="00ED5284">
      <w:pPr>
        <w:pStyle w:val="ListParagraph"/>
        <w:rPr>
          <w:sz w:val="20"/>
          <w:szCs w:val="20"/>
          <w:lang w:val="es-ES"/>
        </w:rPr>
      </w:pPr>
    </w:p>
    <w:p w14:paraId="77528009" w14:textId="77777777" w:rsidR="00C759BE" w:rsidRPr="007A3389" w:rsidRDefault="008A10AB" w:rsidP="00B11F9A">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7A3389">
        <w:rPr>
          <w:rFonts w:ascii="Cambria" w:hAnsi="Cambria"/>
          <w:sz w:val="20"/>
          <w:szCs w:val="20"/>
          <w:lang w:val="es-ES"/>
        </w:rPr>
        <w:t>La Comisión</w:t>
      </w:r>
      <w:r w:rsidR="00044C4E" w:rsidRPr="007A3389">
        <w:rPr>
          <w:rFonts w:ascii="Cambria" w:hAnsi="Cambria"/>
          <w:sz w:val="20"/>
          <w:szCs w:val="20"/>
          <w:lang w:val="es-ES"/>
        </w:rPr>
        <w:t xml:space="preserve"> </w:t>
      </w:r>
      <w:r w:rsidR="00A91E10">
        <w:rPr>
          <w:rFonts w:ascii="Cambria" w:hAnsi="Cambria"/>
          <w:sz w:val="20"/>
          <w:szCs w:val="20"/>
          <w:lang w:val="es-ES"/>
        </w:rPr>
        <w:t>observa asimismo que el abogado de oficio</w:t>
      </w:r>
      <w:r w:rsidR="00044C4E" w:rsidRPr="007A3389">
        <w:rPr>
          <w:rFonts w:ascii="Cambria" w:hAnsi="Cambria"/>
          <w:sz w:val="20"/>
          <w:szCs w:val="20"/>
          <w:lang w:val="es-ES"/>
        </w:rPr>
        <w:t xml:space="preserve"> </w:t>
      </w:r>
      <w:r w:rsidR="00E40CC9">
        <w:rPr>
          <w:rFonts w:ascii="Cambria" w:hAnsi="Cambria"/>
          <w:sz w:val="20"/>
          <w:szCs w:val="20"/>
          <w:lang w:val="es-ES"/>
        </w:rPr>
        <w:t>recurrió al testimonio de peritos y familiares para presentar una narrativa de los antecedentes</w:t>
      </w:r>
      <w:r w:rsidR="00B11F9A" w:rsidRPr="007A3389">
        <w:rPr>
          <w:rFonts w:ascii="Cambria" w:hAnsi="Cambria"/>
          <w:sz w:val="20"/>
          <w:szCs w:val="20"/>
          <w:lang w:val="es-ES"/>
        </w:rPr>
        <w:t xml:space="preserve"> cultural</w:t>
      </w:r>
      <w:r w:rsidR="00E40CC9">
        <w:rPr>
          <w:rFonts w:ascii="Cambria" w:hAnsi="Cambria"/>
          <w:sz w:val="20"/>
          <w:szCs w:val="20"/>
          <w:lang w:val="es-ES"/>
        </w:rPr>
        <w:t>es, familiares y personales d</w:t>
      </w:r>
      <w:r w:rsidR="00E40CC9" w:rsidRPr="00E40CC9">
        <w:rPr>
          <w:rFonts w:ascii="Cambria" w:hAnsi="Cambria"/>
          <w:sz w:val="20"/>
          <w:szCs w:val="20"/>
          <w:lang w:val="es-ES"/>
        </w:rPr>
        <w:t>el señor Loza</w:t>
      </w:r>
      <w:r w:rsidR="00E40CC9">
        <w:rPr>
          <w:rFonts w:ascii="Cambria" w:hAnsi="Cambria"/>
          <w:sz w:val="20"/>
          <w:szCs w:val="20"/>
          <w:lang w:val="es-ES"/>
        </w:rPr>
        <w:t xml:space="preserve">. No obstante, según las normas antedichas, la preparación para la etapa de la sentencia en los casos de pena de muerte requiere una investigación extensa, por lo general </w:t>
      </w:r>
      <w:r w:rsidR="002B6D80">
        <w:rPr>
          <w:rFonts w:ascii="Cambria" w:hAnsi="Cambria"/>
          <w:sz w:val="20"/>
          <w:szCs w:val="20"/>
          <w:lang w:val="es-ES"/>
        </w:rPr>
        <w:t>extraordinaria</w:t>
      </w:r>
      <w:r w:rsidR="00E40CC9">
        <w:rPr>
          <w:rFonts w:ascii="Cambria" w:hAnsi="Cambria"/>
          <w:sz w:val="20"/>
          <w:szCs w:val="20"/>
          <w:lang w:val="es-ES"/>
        </w:rPr>
        <w:t xml:space="preserve">, de la historia </w:t>
      </w:r>
      <w:r w:rsidR="00F75A39" w:rsidRPr="007A3389">
        <w:rPr>
          <w:rFonts w:ascii="Cambria" w:hAnsi="Cambria"/>
          <w:sz w:val="20"/>
          <w:szCs w:val="20"/>
          <w:lang w:val="es-ES"/>
        </w:rPr>
        <w:t xml:space="preserve">personal </w:t>
      </w:r>
      <w:r w:rsidR="00E40CC9">
        <w:rPr>
          <w:rFonts w:ascii="Cambria" w:hAnsi="Cambria"/>
          <w:sz w:val="20"/>
          <w:szCs w:val="20"/>
          <w:lang w:val="es-ES"/>
        </w:rPr>
        <w:t>y familiar</w:t>
      </w:r>
      <w:r w:rsidR="003D33D6" w:rsidRPr="007A3389">
        <w:rPr>
          <w:rFonts w:ascii="Cambria" w:hAnsi="Cambria"/>
          <w:sz w:val="20"/>
          <w:szCs w:val="20"/>
          <w:lang w:val="es-ES"/>
        </w:rPr>
        <w:t>.</w:t>
      </w:r>
      <w:r w:rsidR="00F75A39" w:rsidRPr="007A3389">
        <w:rPr>
          <w:rFonts w:ascii="Cambria" w:hAnsi="Cambria"/>
          <w:sz w:val="20"/>
          <w:szCs w:val="20"/>
          <w:lang w:val="es-ES"/>
        </w:rPr>
        <w:t xml:space="preserve"> </w:t>
      </w:r>
    </w:p>
    <w:p w14:paraId="3306C8D7" w14:textId="77777777" w:rsidR="00C759BE" w:rsidRPr="007A3389" w:rsidRDefault="00C759BE" w:rsidP="00C759BE">
      <w:pPr>
        <w:pStyle w:val="ListParagraph"/>
        <w:rPr>
          <w:sz w:val="20"/>
          <w:szCs w:val="20"/>
          <w:lang w:val="es-ES"/>
        </w:rPr>
      </w:pPr>
    </w:p>
    <w:p w14:paraId="2653A56B" w14:textId="77777777" w:rsidR="00B11F9A" w:rsidRPr="007A3389" w:rsidRDefault="00E40CC9" w:rsidP="00B11F9A">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t>En vista de que uno de los requisitos</w:t>
      </w:r>
      <w:r w:rsidR="00D64AAD" w:rsidRPr="007A3389">
        <w:rPr>
          <w:rFonts w:ascii="Cambria" w:hAnsi="Cambria"/>
          <w:sz w:val="20"/>
          <w:szCs w:val="20"/>
          <w:lang w:val="es-ES"/>
        </w:rPr>
        <w:t xml:space="preserve"> fundamental</w:t>
      </w:r>
      <w:r>
        <w:rPr>
          <w:rFonts w:ascii="Cambria" w:hAnsi="Cambria"/>
          <w:sz w:val="20"/>
          <w:szCs w:val="20"/>
          <w:lang w:val="es-ES"/>
        </w:rPr>
        <w:t xml:space="preserve">es del debido proceso y el juicio imparcial en casos de delitos punibles con la pena de muerte es la obligación de otorgar </w:t>
      </w:r>
      <w:r w:rsidR="00D30858">
        <w:rPr>
          <w:rFonts w:ascii="Cambria" w:hAnsi="Cambria"/>
          <w:sz w:val="20"/>
          <w:szCs w:val="20"/>
          <w:lang w:val="es-ES"/>
        </w:rPr>
        <w:t>una representación letrada adecuada</w:t>
      </w:r>
      <w:r>
        <w:rPr>
          <w:rFonts w:ascii="Cambria" w:hAnsi="Cambria"/>
          <w:sz w:val="20"/>
          <w:szCs w:val="20"/>
          <w:lang w:val="es-ES"/>
        </w:rPr>
        <w:t xml:space="preserve"> y que </w:t>
      </w:r>
      <w:r>
        <w:rPr>
          <w:rFonts w:ascii="Cambria" w:hAnsi="Cambria"/>
          <w:sz w:val="20"/>
          <w:szCs w:val="20"/>
          <w:lang w:val="es-ES"/>
        </w:rPr>
        <w:lastRenderedPageBreak/>
        <w:t xml:space="preserve">no informar al cliente sobre su derecho a la </w:t>
      </w:r>
      <w:r w:rsidR="002D3C13">
        <w:rPr>
          <w:rFonts w:ascii="Cambria" w:hAnsi="Cambria"/>
          <w:sz w:val="20"/>
          <w:szCs w:val="20"/>
          <w:lang w:val="es-ES"/>
        </w:rPr>
        <w:t>notificación consular</w:t>
      </w:r>
      <w:r w:rsidR="00D64AAD" w:rsidRPr="007A3389">
        <w:rPr>
          <w:rFonts w:ascii="Cambria" w:hAnsi="Cambria"/>
          <w:sz w:val="20"/>
          <w:szCs w:val="20"/>
          <w:lang w:val="es-ES"/>
        </w:rPr>
        <w:t xml:space="preserve"> </w:t>
      </w:r>
      <w:r>
        <w:rPr>
          <w:rFonts w:ascii="Cambria" w:hAnsi="Cambria"/>
          <w:sz w:val="20"/>
          <w:szCs w:val="20"/>
          <w:lang w:val="es-ES"/>
        </w:rPr>
        <w:t>constituiría un patrocinio inadecuado</w:t>
      </w:r>
      <w:r w:rsidR="00657241" w:rsidRPr="007A3389">
        <w:rPr>
          <w:rFonts w:ascii="Cambria" w:hAnsi="Cambria"/>
          <w:sz w:val="20"/>
          <w:szCs w:val="20"/>
          <w:lang w:val="es-ES"/>
        </w:rPr>
        <w:t xml:space="preserve">, </w:t>
      </w:r>
      <w:r w:rsidR="008A10AB" w:rsidRPr="007A3389">
        <w:rPr>
          <w:rFonts w:ascii="Cambria" w:hAnsi="Cambria"/>
          <w:sz w:val="20"/>
          <w:szCs w:val="20"/>
          <w:lang w:val="es-ES"/>
        </w:rPr>
        <w:t>la Comisión</w:t>
      </w:r>
      <w:r w:rsidR="00B11F9A" w:rsidRPr="007A3389">
        <w:rPr>
          <w:rFonts w:ascii="Cambria" w:hAnsi="Cambria"/>
          <w:sz w:val="20"/>
          <w:szCs w:val="20"/>
          <w:lang w:val="es-ES"/>
        </w:rPr>
        <w:t xml:space="preserve"> conclu</w:t>
      </w:r>
      <w:r>
        <w:rPr>
          <w:rFonts w:ascii="Cambria" w:hAnsi="Cambria"/>
          <w:sz w:val="20"/>
          <w:szCs w:val="20"/>
          <w:lang w:val="es-ES"/>
        </w:rPr>
        <w:t xml:space="preserve">ye que </w:t>
      </w:r>
      <w:r w:rsidR="00631955" w:rsidRPr="007A3389">
        <w:rPr>
          <w:rFonts w:ascii="Cambria" w:hAnsi="Cambria" w:cs="Arial"/>
          <w:sz w:val="20"/>
          <w:szCs w:val="20"/>
          <w:lang w:val="es-ES"/>
        </w:rPr>
        <w:t>Estados Unidos</w:t>
      </w:r>
      <w:r w:rsidR="00B11F9A" w:rsidRPr="007A3389">
        <w:rPr>
          <w:rFonts w:ascii="Cambria" w:hAnsi="Cambria" w:cs="Arial"/>
          <w:sz w:val="20"/>
          <w:szCs w:val="20"/>
          <w:lang w:val="es-ES"/>
        </w:rPr>
        <w:t xml:space="preserve"> ha</w:t>
      </w:r>
      <w:r>
        <w:rPr>
          <w:rFonts w:ascii="Cambria" w:hAnsi="Cambria" w:cs="Arial"/>
          <w:sz w:val="20"/>
          <w:szCs w:val="20"/>
          <w:lang w:val="es-ES"/>
        </w:rPr>
        <w:t xml:space="preserve"> violado el derecho de justicia y el derecho a proceso regular de</w:t>
      </w:r>
      <w:r w:rsidR="00D87346" w:rsidRPr="007A3389">
        <w:rPr>
          <w:rFonts w:ascii="Cambria" w:hAnsi="Cambria" w:cs="Arial"/>
          <w:sz w:val="20"/>
          <w:szCs w:val="20"/>
          <w:lang w:val="es-ES"/>
        </w:rPr>
        <w:t>l señor</w:t>
      </w:r>
      <w:r w:rsidR="00B11F9A" w:rsidRPr="007A3389">
        <w:rPr>
          <w:rFonts w:ascii="Cambria" w:hAnsi="Cambria" w:cs="Arial"/>
          <w:sz w:val="20"/>
          <w:szCs w:val="20"/>
          <w:lang w:val="es-ES"/>
        </w:rPr>
        <w:t xml:space="preserve"> Loza</w:t>
      </w:r>
      <w:r>
        <w:rPr>
          <w:rFonts w:ascii="Cambria" w:hAnsi="Cambria" w:cs="Arial"/>
          <w:sz w:val="20"/>
          <w:szCs w:val="20"/>
          <w:lang w:val="es-ES"/>
        </w:rPr>
        <w:t xml:space="preserve"> amparados por los </w:t>
      </w:r>
      <w:r w:rsidR="00175318">
        <w:rPr>
          <w:rFonts w:ascii="Cambria" w:hAnsi="Cambria" w:cs="Arial"/>
          <w:sz w:val="20"/>
          <w:szCs w:val="20"/>
          <w:lang w:val="es-ES"/>
        </w:rPr>
        <w:t>artículo</w:t>
      </w:r>
      <w:r w:rsidR="00B11F9A" w:rsidRPr="007A3389">
        <w:rPr>
          <w:rFonts w:ascii="Cambria" w:hAnsi="Cambria" w:cs="Arial"/>
          <w:sz w:val="20"/>
          <w:szCs w:val="20"/>
          <w:lang w:val="es-ES"/>
        </w:rPr>
        <w:t xml:space="preserve">s XVIII </w:t>
      </w:r>
      <w:r w:rsidR="00A91E10">
        <w:rPr>
          <w:rFonts w:ascii="Cambria" w:hAnsi="Cambria" w:cs="Arial"/>
          <w:sz w:val="20"/>
          <w:szCs w:val="20"/>
          <w:lang w:val="es-ES"/>
        </w:rPr>
        <w:t>y</w:t>
      </w:r>
      <w:r w:rsidR="00B11F9A" w:rsidRPr="007A3389">
        <w:rPr>
          <w:rFonts w:ascii="Cambria" w:hAnsi="Cambria" w:cs="Arial"/>
          <w:sz w:val="20"/>
          <w:szCs w:val="20"/>
          <w:lang w:val="es-ES"/>
        </w:rPr>
        <w:t xml:space="preserve"> XXVI </w:t>
      </w:r>
      <w:r w:rsidR="00A91E10">
        <w:rPr>
          <w:rFonts w:ascii="Cambria" w:hAnsi="Cambria" w:cs="Arial"/>
          <w:sz w:val="20"/>
          <w:szCs w:val="20"/>
          <w:lang w:val="es-ES"/>
        </w:rPr>
        <w:t>de</w:t>
      </w:r>
      <w:r w:rsidR="00B11F9A" w:rsidRPr="007A3389">
        <w:rPr>
          <w:rFonts w:ascii="Cambria" w:hAnsi="Cambria" w:cs="Arial"/>
          <w:sz w:val="20"/>
          <w:szCs w:val="20"/>
          <w:lang w:val="es-ES"/>
        </w:rPr>
        <w:t xml:space="preserve"> </w:t>
      </w:r>
      <w:r w:rsidR="00631955" w:rsidRPr="007A3389">
        <w:rPr>
          <w:rFonts w:ascii="Cambria" w:hAnsi="Cambria" w:cs="Arial"/>
          <w:sz w:val="20"/>
          <w:szCs w:val="20"/>
          <w:lang w:val="es-ES"/>
        </w:rPr>
        <w:t>la Declaración Americana</w:t>
      </w:r>
      <w:r w:rsidR="00B11F9A" w:rsidRPr="007A3389">
        <w:rPr>
          <w:rFonts w:ascii="Cambria" w:hAnsi="Cambria" w:cs="Arial"/>
          <w:sz w:val="20"/>
          <w:szCs w:val="20"/>
          <w:lang w:val="es-ES"/>
        </w:rPr>
        <w:t>.</w:t>
      </w:r>
    </w:p>
    <w:p w14:paraId="71FDAE05" w14:textId="77777777" w:rsidR="004C5505" w:rsidRPr="007A3389" w:rsidRDefault="004C5505" w:rsidP="001C460D">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2C09DFD7" w14:textId="77777777" w:rsidR="00C4488B" w:rsidRPr="007A3389" w:rsidRDefault="003010E1" w:rsidP="00C4488B">
      <w:pPr>
        <w:pStyle w:val="Heading3"/>
        <w:numPr>
          <w:ilvl w:val="1"/>
          <w:numId w:val="53"/>
        </w:numPr>
        <w:spacing w:before="0"/>
        <w:ind w:left="360"/>
        <w:rPr>
          <w:color w:val="auto"/>
          <w:sz w:val="20"/>
          <w:szCs w:val="20"/>
          <w:lang w:val="es-ES"/>
        </w:rPr>
      </w:pPr>
      <w:bookmarkStart w:id="30" w:name="_Toc90298931"/>
      <w:r w:rsidRPr="007A3389">
        <w:rPr>
          <w:color w:val="auto"/>
          <w:sz w:val="20"/>
          <w:szCs w:val="20"/>
          <w:lang w:val="es-ES"/>
        </w:rPr>
        <w:t>Confesión obtenida mediante coacción</w:t>
      </w:r>
      <w:r w:rsidR="00931F7C" w:rsidRPr="007A3389">
        <w:rPr>
          <w:color w:val="auto"/>
          <w:sz w:val="20"/>
          <w:szCs w:val="20"/>
          <w:lang w:val="es-ES"/>
        </w:rPr>
        <w:t xml:space="preserve"> </w:t>
      </w:r>
      <w:r w:rsidRPr="007A3389">
        <w:rPr>
          <w:color w:val="auto"/>
          <w:sz w:val="20"/>
          <w:szCs w:val="20"/>
          <w:lang w:val="es-ES"/>
        </w:rPr>
        <w:t>y mala conducta de la fiscalía</w:t>
      </w:r>
      <w:bookmarkEnd w:id="30"/>
    </w:p>
    <w:p w14:paraId="11DD15D9" w14:textId="77777777" w:rsidR="00C4488B" w:rsidRPr="007A3389" w:rsidRDefault="00C4488B" w:rsidP="00C4488B">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699BD808" w14:textId="77777777" w:rsidR="00CA34BE" w:rsidRPr="007A3389" w:rsidRDefault="000D3EE0" w:rsidP="00CA34BE">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7A3389">
        <w:rPr>
          <w:rFonts w:asciiTheme="majorHAnsi" w:hAnsiTheme="majorHAnsi"/>
          <w:sz w:val="20"/>
          <w:szCs w:val="20"/>
          <w:lang w:val="es-ES"/>
        </w:rPr>
        <w:t>Los peticionarios</w:t>
      </w:r>
      <w:r w:rsidR="00C4488B" w:rsidRPr="007A3389">
        <w:rPr>
          <w:rFonts w:asciiTheme="majorHAnsi" w:hAnsiTheme="majorHAnsi"/>
          <w:sz w:val="20"/>
          <w:szCs w:val="20"/>
          <w:lang w:val="es-ES"/>
        </w:rPr>
        <w:t xml:space="preserve"> </w:t>
      </w:r>
      <w:r w:rsidR="00E40CC9">
        <w:rPr>
          <w:rFonts w:asciiTheme="majorHAnsi" w:hAnsiTheme="majorHAnsi"/>
          <w:sz w:val="20"/>
          <w:szCs w:val="20"/>
          <w:lang w:val="es-ES"/>
        </w:rPr>
        <w:t>argumentan que la confesión d</w:t>
      </w:r>
      <w:r w:rsidR="00D87346" w:rsidRPr="007A3389">
        <w:rPr>
          <w:rFonts w:asciiTheme="majorHAnsi" w:hAnsiTheme="majorHAnsi"/>
          <w:sz w:val="20"/>
          <w:szCs w:val="20"/>
          <w:lang w:val="es-ES"/>
        </w:rPr>
        <w:t>el señor</w:t>
      </w:r>
      <w:r w:rsidR="00C4488B" w:rsidRPr="007A3389">
        <w:rPr>
          <w:rFonts w:asciiTheme="majorHAnsi" w:hAnsiTheme="majorHAnsi"/>
          <w:sz w:val="20"/>
          <w:szCs w:val="20"/>
          <w:lang w:val="es-ES"/>
        </w:rPr>
        <w:t xml:space="preserve"> Loza</w:t>
      </w:r>
      <w:r w:rsidR="00E40CC9">
        <w:rPr>
          <w:rFonts w:asciiTheme="majorHAnsi" w:hAnsiTheme="majorHAnsi"/>
          <w:sz w:val="20"/>
          <w:szCs w:val="20"/>
          <w:lang w:val="es-ES"/>
        </w:rPr>
        <w:t xml:space="preserve"> fue obtenida mediante coacción, con </w:t>
      </w:r>
      <w:r w:rsidR="00EB1630">
        <w:rPr>
          <w:rFonts w:asciiTheme="majorHAnsi" w:hAnsiTheme="majorHAnsi"/>
          <w:sz w:val="20"/>
          <w:szCs w:val="20"/>
          <w:lang w:val="es-ES"/>
        </w:rPr>
        <w:t xml:space="preserve">las </w:t>
      </w:r>
      <w:r w:rsidR="00E40CC9">
        <w:rPr>
          <w:rFonts w:asciiTheme="majorHAnsi" w:hAnsiTheme="majorHAnsi"/>
          <w:sz w:val="20"/>
          <w:szCs w:val="20"/>
          <w:lang w:val="es-ES"/>
        </w:rPr>
        <w:t xml:space="preserve">amenazas </w:t>
      </w:r>
      <w:r w:rsidR="00EB1630">
        <w:rPr>
          <w:rFonts w:asciiTheme="majorHAnsi" w:hAnsiTheme="majorHAnsi"/>
          <w:sz w:val="20"/>
          <w:szCs w:val="20"/>
          <w:lang w:val="es-ES"/>
        </w:rPr>
        <w:t xml:space="preserve">de los detectives, descritas anteriormente, </w:t>
      </w:r>
      <w:r w:rsidR="00E40CC9">
        <w:rPr>
          <w:rFonts w:asciiTheme="majorHAnsi" w:hAnsiTheme="majorHAnsi"/>
          <w:sz w:val="20"/>
          <w:szCs w:val="20"/>
          <w:lang w:val="es-ES"/>
        </w:rPr>
        <w:t>de que le harían daño a él y a su novia embarazada</w:t>
      </w:r>
      <w:r w:rsidR="00C4488B" w:rsidRPr="007A3389">
        <w:rPr>
          <w:rFonts w:asciiTheme="majorHAnsi" w:hAnsiTheme="majorHAnsi"/>
          <w:sz w:val="20"/>
          <w:szCs w:val="20"/>
          <w:lang w:val="es-ES"/>
        </w:rPr>
        <w:t xml:space="preserve">. </w:t>
      </w:r>
      <w:r w:rsidR="008A10AB" w:rsidRPr="007A3389">
        <w:rPr>
          <w:rFonts w:asciiTheme="majorHAnsi" w:hAnsiTheme="majorHAnsi"/>
          <w:sz w:val="20"/>
          <w:szCs w:val="20"/>
          <w:lang w:val="es-ES"/>
        </w:rPr>
        <w:t>La Comisión</w:t>
      </w:r>
      <w:r w:rsidR="00C4488B" w:rsidRPr="007A3389">
        <w:rPr>
          <w:rFonts w:asciiTheme="majorHAnsi" w:hAnsiTheme="majorHAnsi"/>
          <w:sz w:val="20"/>
          <w:szCs w:val="20"/>
          <w:lang w:val="es-ES"/>
        </w:rPr>
        <w:t xml:space="preserve"> </w:t>
      </w:r>
      <w:r w:rsidR="00EB1630">
        <w:rPr>
          <w:rFonts w:asciiTheme="majorHAnsi" w:hAnsiTheme="majorHAnsi"/>
          <w:sz w:val="20"/>
          <w:szCs w:val="20"/>
          <w:lang w:val="es-ES"/>
        </w:rPr>
        <w:t xml:space="preserve">reconoce que </w:t>
      </w:r>
      <w:r w:rsidR="00821DA2">
        <w:rPr>
          <w:rFonts w:asciiTheme="majorHAnsi" w:hAnsiTheme="majorHAnsi"/>
          <w:sz w:val="20"/>
          <w:szCs w:val="20"/>
          <w:lang w:val="es-ES"/>
        </w:rPr>
        <w:t xml:space="preserve">el tema de </w:t>
      </w:r>
      <w:r w:rsidR="00EB1630">
        <w:rPr>
          <w:rFonts w:asciiTheme="majorHAnsi" w:hAnsiTheme="majorHAnsi"/>
          <w:sz w:val="20"/>
          <w:szCs w:val="20"/>
          <w:lang w:val="es-ES"/>
        </w:rPr>
        <w:t>la confesión se abordó plenamente en el tribunal de primera instancia y en los tribunales de apelaciones</w:t>
      </w:r>
      <w:r w:rsidR="00C4488B" w:rsidRPr="007A3389">
        <w:rPr>
          <w:rFonts w:asciiTheme="majorHAnsi" w:hAnsiTheme="majorHAnsi"/>
          <w:sz w:val="20"/>
          <w:szCs w:val="20"/>
          <w:lang w:val="es-ES"/>
        </w:rPr>
        <w:t xml:space="preserve">, </w:t>
      </w:r>
      <w:r w:rsidR="00EB1630">
        <w:rPr>
          <w:rFonts w:asciiTheme="majorHAnsi" w:hAnsiTheme="majorHAnsi"/>
          <w:sz w:val="20"/>
          <w:szCs w:val="20"/>
          <w:lang w:val="es-ES"/>
        </w:rPr>
        <w:t xml:space="preserve">donde se ratificó el carácter voluntario y no coercitivo de todas las declaraciones. </w:t>
      </w:r>
      <w:r w:rsidR="008A10AB" w:rsidRPr="007A3389">
        <w:rPr>
          <w:rFonts w:asciiTheme="majorHAnsi" w:hAnsiTheme="majorHAnsi"/>
          <w:sz w:val="20"/>
          <w:szCs w:val="20"/>
          <w:lang w:val="es-ES"/>
        </w:rPr>
        <w:t>La Comisión</w:t>
      </w:r>
      <w:r w:rsidR="00C4488B" w:rsidRPr="007A3389">
        <w:rPr>
          <w:rFonts w:asciiTheme="majorHAnsi" w:hAnsiTheme="majorHAnsi"/>
          <w:sz w:val="20"/>
          <w:szCs w:val="20"/>
          <w:lang w:val="es-ES"/>
        </w:rPr>
        <w:t xml:space="preserve"> </w:t>
      </w:r>
      <w:r w:rsidR="00EB1630">
        <w:rPr>
          <w:rFonts w:asciiTheme="majorHAnsi" w:hAnsiTheme="majorHAnsi"/>
          <w:sz w:val="20"/>
          <w:szCs w:val="20"/>
          <w:lang w:val="es-ES"/>
        </w:rPr>
        <w:t>observa también que los distintos</w:t>
      </w:r>
      <w:r w:rsidR="00C4488B" w:rsidRPr="007A3389">
        <w:rPr>
          <w:rFonts w:asciiTheme="majorHAnsi" w:hAnsiTheme="majorHAnsi"/>
          <w:sz w:val="20"/>
          <w:szCs w:val="20"/>
          <w:lang w:val="es-ES"/>
        </w:rPr>
        <w:t xml:space="preserve"> </w:t>
      </w:r>
      <w:r w:rsidR="00ED25DA">
        <w:rPr>
          <w:rFonts w:asciiTheme="majorHAnsi" w:hAnsiTheme="majorHAnsi"/>
          <w:sz w:val="20"/>
          <w:szCs w:val="20"/>
          <w:lang w:val="es-ES"/>
        </w:rPr>
        <w:t>tribunales de jurisdicción interna</w:t>
      </w:r>
      <w:r w:rsidR="00C4488B" w:rsidRPr="007A3389">
        <w:rPr>
          <w:rFonts w:asciiTheme="majorHAnsi" w:hAnsiTheme="majorHAnsi"/>
          <w:sz w:val="20"/>
          <w:szCs w:val="20"/>
          <w:lang w:val="es-ES"/>
        </w:rPr>
        <w:t xml:space="preserve"> </w:t>
      </w:r>
      <w:r w:rsidR="00EB1630">
        <w:rPr>
          <w:rFonts w:asciiTheme="majorHAnsi" w:hAnsiTheme="majorHAnsi"/>
          <w:sz w:val="20"/>
          <w:szCs w:val="20"/>
          <w:lang w:val="es-ES"/>
        </w:rPr>
        <w:t>dictaminaron que, además de la confesión, se presentaron pruebas de diversas fuentes, a las cuales el jurado podría haber recurrido para determinar la culpabilidad y las circunstancias agravantes y atenuantes en relación con la condena y una sentencia apropiada</w:t>
      </w:r>
      <w:r w:rsidR="00C4488B" w:rsidRPr="007A3389">
        <w:rPr>
          <w:rFonts w:asciiTheme="majorHAnsi" w:hAnsiTheme="majorHAnsi"/>
          <w:sz w:val="20"/>
          <w:szCs w:val="20"/>
          <w:lang w:val="es-ES"/>
        </w:rPr>
        <w:t xml:space="preserve">. </w:t>
      </w:r>
    </w:p>
    <w:p w14:paraId="1ABB9F92" w14:textId="77777777" w:rsidR="00CA34BE" w:rsidRPr="007A3389" w:rsidRDefault="00CA34BE" w:rsidP="00CA34BE">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2AE576C3" w14:textId="77777777" w:rsidR="00BD7D23" w:rsidRPr="007A3389" w:rsidRDefault="000D3EE0" w:rsidP="00BD7D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7A3389">
        <w:rPr>
          <w:rFonts w:ascii="Cambria" w:hAnsi="Cambria"/>
          <w:sz w:val="20"/>
          <w:szCs w:val="20"/>
          <w:lang w:val="es-ES"/>
        </w:rPr>
        <w:t>Los peticionarios</w:t>
      </w:r>
      <w:r w:rsidR="00CA34BE" w:rsidRPr="007A3389">
        <w:rPr>
          <w:rFonts w:ascii="Cambria" w:hAnsi="Cambria"/>
          <w:sz w:val="20"/>
          <w:szCs w:val="20"/>
          <w:lang w:val="es-ES"/>
        </w:rPr>
        <w:t xml:space="preserve"> a</w:t>
      </w:r>
      <w:r w:rsidR="00EB1630">
        <w:rPr>
          <w:rFonts w:ascii="Cambria" w:hAnsi="Cambria"/>
          <w:sz w:val="20"/>
          <w:szCs w:val="20"/>
          <w:lang w:val="es-ES"/>
        </w:rPr>
        <w:t>legan asimismo que</w:t>
      </w:r>
      <w:r w:rsidR="00BD7D23" w:rsidRPr="007A3389">
        <w:rPr>
          <w:rFonts w:asciiTheme="majorHAnsi" w:hAnsiTheme="majorHAnsi"/>
          <w:sz w:val="20"/>
          <w:szCs w:val="20"/>
          <w:lang w:val="es-ES"/>
        </w:rPr>
        <w:t xml:space="preserve"> </w:t>
      </w:r>
      <w:r w:rsidR="005019B9" w:rsidRPr="007A3389">
        <w:rPr>
          <w:rFonts w:asciiTheme="majorHAnsi" w:hAnsiTheme="majorHAnsi"/>
          <w:sz w:val="20"/>
          <w:szCs w:val="20"/>
          <w:lang w:val="es-ES"/>
        </w:rPr>
        <w:t>la fiscalía</w:t>
      </w:r>
      <w:r w:rsidR="00BD7D23" w:rsidRPr="007A3389">
        <w:rPr>
          <w:rFonts w:asciiTheme="majorHAnsi" w:hAnsiTheme="majorHAnsi"/>
          <w:sz w:val="20"/>
          <w:szCs w:val="20"/>
          <w:lang w:val="es-ES"/>
        </w:rPr>
        <w:t xml:space="preserve"> </w:t>
      </w:r>
      <w:r w:rsidR="00EB1630">
        <w:rPr>
          <w:rFonts w:asciiTheme="majorHAnsi" w:hAnsiTheme="majorHAnsi"/>
          <w:sz w:val="20"/>
          <w:szCs w:val="20"/>
          <w:lang w:val="es-ES"/>
        </w:rPr>
        <w:t xml:space="preserve">no informó que </w:t>
      </w:r>
      <w:proofErr w:type="spellStart"/>
      <w:r w:rsidR="00BD7D23" w:rsidRPr="007A3389">
        <w:rPr>
          <w:rFonts w:asciiTheme="majorHAnsi" w:hAnsiTheme="majorHAnsi"/>
          <w:sz w:val="20"/>
          <w:szCs w:val="20"/>
          <w:lang w:val="es-ES"/>
        </w:rPr>
        <w:t>Dorothy</w:t>
      </w:r>
      <w:proofErr w:type="spellEnd"/>
      <w:r w:rsidR="00BD7D23" w:rsidRPr="007A3389">
        <w:rPr>
          <w:rFonts w:asciiTheme="majorHAnsi" w:hAnsiTheme="majorHAnsi"/>
          <w:sz w:val="20"/>
          <w:szCs w:val="20"/>
          <w:lang w:val="es-ES"/>
        </w:rPr>
        <w:t xml:space="preserve"> Jackson ha</w:t>
      </w:r>
      <w:r w:rsidR="00EB1630">
        <w:rPr>
          <w:rFonts w:asciiTheme="majorHAnsi" w:hAnsiTheme="majorHAnsi"/>
          <w:sz w:val="20"/>
          <w:szCs w:val="20"/>
          <w:lang w:val="es-ES"/>
        </w:rPr>
        <w:t xml:space="preserve">bía confesado que ella había sido la autora de los homicidios, lo cual constituye una violación del derecho al debido proceso de </w:t>
      </w:r>
      <w:r w:rsidR="005019B9" w:rsidRPr="007A3389">
        <w:rPr>
          <w:rFonts w:asciiTheme="majorHAnsi" w:hAnsiTheme="majorHAnsi"/>
          <w:sz w:val="20"/>
          <w:szCs w:val="20"/>
          <w:lang w:val="es-ES"/>
        </w:rPr>
        <w:t>la presunta víctima</w:t>
      </w:r>
      <w:r w:rsidR="00BD7D23" w:rsidRPr="007A3389">
        <w:rPr>
          <w:rFonts w:asciiTheme="majorHAnsi" w:hAnsiTheme="majorHAnsi"/>
          <w:sz w:val="20"/>
          <w:szCs w:val="20"/>
          <w:lang w:val="es-ES"/>
        </w:rPr>
        <w:t xml:space="preserve">. </w:t>
      </w:r>
      <w:r w:rsidR="00EB1630">
        <w:rPr>
          <w:rFonts w:asciiTheme="majorHAnsi" w:hAnsiTheme="majorHAnsi"/>
          <w:sz w:val="20"/>
          <w:szCs w:val="20"/>
          <w:lang w:val="es-ES"/>
        </w:rPr>
        <w:t>Sin embargo, como indica el</w:t>
      </w:r>
      <w:r w:rsidR="00631955" w:rsidRPr="007A3389">
        <w:rPr>
          <w:rFonts w:asciiTheme="majorHAnsi" w:hAnsiTheme="majorHAnsi"/>
          <w:sz w:val="20"/>
          <w:szCs w:val="20"/>
          <w:lang w:val="es-ES"/>
        </w:rPr>
        <w:t xml:space="preserve"> petici</w:t>
      </w:r>
      <w:r w:rsidR="00EB1630">
        <w:rPr>
          <w:rFonts w:asciiTheme="majorHAnsi" w:hAnsiTheme="majorHAnsi"/>
          <w:sz w:val="20"/>
          <w:szCs w:val="20"/>
          <w:lang w:val="es-ES"/>
        </w:rPr>
        <w:t>onario y como se ha demostrado en el presente informe</w:t>
      </w:r>
      <w:r w:rsidR="00BD7D23" w:rsidRPr="007A3389">
        <w:rPr>
          <w:rFonts w:asciiTheme="majorHAnsi" w:hAnsiTheme="majorHAnsi"/>
          <w:sz w:val="20"/>
          <w:szCs w:val="20"/>
          <w:lang w:val="es-ES"/>
        </w:rPr>
        <w:t xml:space="preserve">, </w:t>
      </w:r>
      <w:r w:rsidR="00EE0CB0" w:rsidRPr="007A3389">
        <w:rPr>
          <w:rFonts w:asciiTheme="majorHAnsi" w:hAnsiTheme="majorHAnsi"/>
          <w:sz w:val="20"/>
          <w:szCs w:val="20"/>
          <w:lang w:val="es-ES"/>
        </w:rPr>
        <w:t>la mala conducta del fiscal</w:t>
      </w:r>
      <w:r w:rsidR="00BD7D23" w:rsidRPr="007A3389">
        <w:rPr>
          <w:rFonts w:asciiTheme="majorHAnsi" w:hAnsiTheme="majorHAnsi"/>
          <w:sz w:val="20"/>
          <w:szCs w:val="20"/>
          <w:lang w:val="es-ES"/>
        </w:rPr>
        <w:t xml:space="preserve"> </w:t>
      </w:r>
      <w:r w:rsidR="00EB1630">
        <w:rPr>
          <w:rFonts w:asciiTheme="majorHAnsi" w:hAnsiTheme="majorHAnsi"/>
          <w:sz w:val="20"/>
          <w:szCs w:val="20"/>
          <w:lang w:val="es-ES"/>
        </w:rPr>
        <w:t xml:space="preserve">dio lugar a la anulación del juicio. Por lo tanto, esta violación del debido proceso fue corregida por </w:t>
      </w:r>
      <w:r w:rsidR="00ED25DA">
        <w:rPr>
          <w:rFonts w:asciiTheme="majorHAnsi" w:hAnsiTheme="majorHAnsi"/>
          <w:sz w:val="20"/>
          <w:szCs w:val="20"/>
          <w:lang w:val="es-ES"/>
        </w:rPr>
        <w:t>tribunales de jurisdicción interna</w:t>
      </w:r>
      <w:r w:rsidR="00F27C08" w:rsidRPr="007A3389">
        <w:rPr>
          <w:rFonts w:asciiTheme="majorHAnsi" w:hAnsiTheme="majorHAnsi"/>
          <w:sz w:val="20"/>
          <w:szCs w:val="20"/>
          <w:lang w:val="es-ES"/>
        </w:rPr>
        <w:t>.</w:t>
      </w:r>
    </w:p>
    <w:p w14:paraId="4009DEB2" w14:textId="77777777" w:rsidR="00BD7D23" w:rsidRPr="007A3389" w:rsidRDefault="00BD7D23" w:rsidP="00BD7D23">
      <w:pPr>
        <w:pStyle w:val="ListParagraph"/>
        <w:rPr>
          <w:rFonts w:asciiTheme="majorHAnsi" w:hAnsiTheme="majorHAnsi"/>
          <w:sz w:val="20"/>
          <w:szCs w:val="20"/>
          <w:lang w:val="es-ES"/>
        </w:rPr>
      </w:pPr>
    </w:p>
    <w:p w14:paraId="55B133EC" w14:textId="77777777" w:rsidR="00BD7D23" w:rsidRPr="007A3389" w:rsidRDefault="00777BE1" w:rsidP="00777BE1">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777BE1">
        <w:rPr>
          <w:rFonts w:asciiTheme="majorHAnsi" w:hAnsiTheme="majorHAnsi"/>
          <w:sz w:val="20"/>
          <w:szCs w:val="20"/>
          <w:lang w:val="es-ES"/>
        </w:rPr>
        <w:t>Sobre la base de las consideraciones precedentes</w:t>
      </w:r>
      <w:r w:rsidR="00F27C08" w:rsidRPr="007A3389">
        <w:rPr>
          <w:rFonts w:asciiTheme="majorHAnsi" w:hAnsiTheme="majorHAnsi"/>
          <w:sz w:val="20"/>
          <w:szCs w:val="20"/>
          <w:lang w:val="es-ES"/>
        </w:rPr>
        <w:t xml:space="preserve">, </w:t>
      </w:r>
      <w:r w:rsidR="008A10AB" w:rsidRPr="007A3389">
        <w:rPr>
          <w:rFonts w:asciiTheme="majorHAnsi" w:hAnsiTheme="majorHAnsi"/>
          <w:sz w:val="20"/>
          <w:szCs w:val="20"/>
          <w:lang w:val="es-ES"/>
        </w:rPr>
        <w:t>la Comisión</w:t>
      </w:r>
      <w:r w:rsidR="00F27C08" w:rsidRPr="007A3389">
        <w:rPr>
          <w:rFonts w:asciiTheme="majorHAnsi" w:hAnsiTheme="majorHAnsi"/>
          <w:sz w:val="20"/>
          <w:szCs w:val="20"/>
          <w:lang w:val="es-ES"/>
        </w:rPr>
        <w:t xml:space="preserve"> </w:t>
      </w:r>
      <w:r>
        <w:rPr>
          <w:rFonts w:asciiTheme="majorHAnsi" w:hAnsiTheme="majorHAnsi"/>
          <w:sz w:val="20"/>
          <w:szCs w:val="20"/>
          <w:lang w:val="es-ES"/>
        </w:rPr>
        <w:t>concluye que, en ambos casos</w:t>
      </w:r>
      <w:r w:rsidR="00F2435F" w:rsidRPr="007A3389">
        <w:rPr>
          <w:rFonts w:asciiTheme="majorHAnsi" w:hAnsiTheme="majorHAnsi"/>
          <w:sz w:val="20"/>
          <w:szCs w:val="20"/>
          <w:lang w:val="es-ES"/>
        </w:rPr>
        <w:t xml:space="preserve">, </w:t>
      </w:r>
      <w:r w:rsidR="00775DE4">
        <w:rPr>
          <w:rFonts w:asciiTheme="majorHAnsi" w:hAnsiTheme="majorHAnsi"/>
          <w:sz w:val="20"/>
          <w:szCs w:val="20"/>
          <w:lang w:val="es-ES"/>
        </w:rPr>
        <w:t>el tribunal</w:t>
      </w:r>
      <w:r w:rsidR="00F2435F" w:rsidRPr="007A3389">
        <w:rPr>
          <w:rFonts w:asciiTheme="majorHAnsi" w:hAnsiTheme="majorHAnsi"/>
          <w:sz w:val="20"/>
          <w:szCs w:val="20"/>
          <w:lang w:val="es-ES"/>
        </w:rPr>
        <w:t xml:space="preserve"> </w:t>
      </w:r>
      <w:r w:rsidR="00D30858">
        <w:rPr>
          <w:rFonts w:asciiTheme="majorHAnsi" w:hAnsiTheme="majorHAnsi"/>
          <w:sz w:val="20"/>
          <w:szCs w:val="20"/>
          <w:lang w:val="es-ES"/>
        </w:rPr>
        <w:t xml:space="preserve">estableció que tal confesión prevaleciera </w:t>
      </w:r>
      <w:r>
        <w:rPr>
          <w:rFonts w:asciiTheme="majorHAnsi" w:hAnsiTheme="majorHAnsi"/>
          <w:sz w:val="20"/>
          <w:szCs w:val="20"/>
          <w:lang w:val="es-ES"/>
        </w:rPr>
        <w:t xml:space="preserve">y </w:t>
      </w:r>
      <w:r w:rsidR="00D30858">
        <w:rPr>
          <w:rFonts w:asciiTheme="majorHAnsi" w:hAnsiTheme="majorHAnsi"/>
          <w:sz w:val="20"/>
          <w:szCs w:val="20"/>
          <w:lang w:val="es-ES"/>
        </w:rPr>
        <w:t xml:space="preserve">en relación con </w:t>
      </w:r>
      <w:r>
        <w:rPr>
          <w:rFonts w:asciiTheme="majorHAnsi" w:hAnsiTheme="majorHAnsi"/>
          <w:sz w:val="20"/>
          <w:szCs w:val="20"/>
          <w:lang w:val="es-ES"/>
        </w:rPr>
        <w:t xml:space="preserve">la falta de </w:t>
      </w:r>
      <w:r w:rsidR="00D30858">
        <w:rPr>
          <w:rFonts w:asciiTheme="majorHAnsi" w:hAnsiTheme="majorHAnsi"/>
          <w:sz w:val="20"/>
          <w:szCs w:val="20"/>
          <w:lang w:val="es-ES"/>
        </w:rPr>
        <w:t xml:space="preserve">revelación de determinada </w:t>
      </w:r>
      <w:r>
        <w:rPr>
          <w:rFonts w:asciiTheme="majorHAnsi" w:hAnsiTheme="majorHAnsi"/>
          <w:sz w:val="20"/>
          <w:szCs w:val="20"/>
          <w:lang w:val="es-ES"/>
        </w:rPr>
        <w:t xml:space="preserve">información, </w:t>
      </w:r>
      <w:r w:rsidR="00775DE4">
        <w:rPr>
          <w:rFonts w:asciiTheme="majorHAnsi" w:hAnsiTheme="majorHAnsi"/>
          <w:sz w:val="20"/>
          <w:szCs w:val="20"/>
          <w:lang w:val="es-ES"/>
        </w:rPr>
        <w:t>el tribunal</w:t>
      </w:r>
      <w:r w:rsidR="00F2435F" w:rsidRPr="007A3389">
        <w:rPr>
          <w:rFonts w:asciiTheme="majorHAnsi" w:hAnsiTheme="majorHAnsi"/>
          <w:sz w:val="20"/>
          <w:szCs w:val="20"/>
          <w:lang w:val="es-ES"/>
        </w:rPr>
        <w:t xml:space="preserve"> </w:t>
      </w:r>
      <w:r>
        <w:rPr>
          <w:rFonts w:asciiTheme="majorHAnsi" w:hAnsiTheme="majorHAnsi"/>
          <w:sz w:val="20"/>
          <w:szCs w:val="20"/>
          <w:lang w:val="es-ES"/>
        </w:rPr>
        <w:t>anuló el juicio y ordenó que se iniciara otro</w:t>
      </w:r>
      <w:r w:rsidR="00D30858">
        <w:rPr>
          <w:rFonts w:asciiTheme="majorHAnsi" w:hAnsiTheme="majorHAnsi"/>
          <w:sz w:val="20"/>
          <w:szCs w:val="20"/>
          <w:lang w:val="es-ES"/>
        </w:rPr>
        <w:t xml:space="preserve"> subsanando tal aspecto</w:t>
      </w:r>
      <w:r>
        <w:rPr>
          <w:rFonts w:asciiTheme="majorHAnsi" w:hAnsiTheme="majorHAnsi"/>
          <w:sz w:val="20"/>
          <w:szCs w:val="20"/>
          <w:lang w:val="es-ES"/>
        </w:rPr>
        <w:t>. En vista de la información disponible</w:t>
      </w:r>
      <w:r w:rsidR="00F2435F" w:rsidRPr="007A3389">
        <w:rPr>
          <w:rFonts w:asciiTheme="majorHAnsi" w:hAnsiTheme="majorHAnsi"/>
          <w:sz w:val="20"/>
          <w:szCs w:val="20"/>
          <w:lang w:val="es-ES"/>
        </w:rPr>
        <w:t>,</w:t>
      </w:r>
      <w:r w:rsidR="003752A9" w:rsidRPr="007A3389">
        <w:rPr>
          <w:rFonts w:asciiTheme="majorHAnsi" w:hAnsiTheme="majorHAnsi"/>
          <w:sz w:val="20"/>
          <w:szCs w:val="20"/>
          <w:lang w:val="es-ES"/>
        </w:rPr>
        <w:t xml:space="preserve"> </w:t>
      </w:r>
      <w:r w:rsidR="008A10AB" w:rsidRPr="007A3389">
        <w:rPr>
          <w:rFonts w:asciiTheme="majorHAnsi" w:hAnsiTheme="majorHAnsi"/>
          <w:sz w:val="20"/>
          <w:szCs w:val="20"/>
          <w:lang w:val="es-ES"/>
        </w:rPr>
        <w:t>la Comisión</w:t>
      </w:r>
      <w:r w:rsidR="005E61D1" w:rsidRPr="007A3389">
        <w:rPr>
          <w:rFonts w:asciiTheme="majorHAnsi" w:hAnsiTheme="majorHAnsi"/>
          <w:sz w:val="20"/>
          <w:szCs w:val="20"/>
          <w:lang w:val="es-ES"/>
        </w:rPr>
        <w:t xml:space="preserve"> </w:t>
      </w:r>
      <w:r>
        <w:rPr>
          <w:rFonts w:asciiTheme="majorHAnsi" w:hAnsiTheme="majorHAnsi"/>
          <w:sz w:val="20"/>
          <w:szCs w:val="20"/>
          <w:lang w:val="es-ES"/>
        </w:rPr>
        <w:t xml:space="preserve">no llega a la conclusión de que </w:t>
      </w:r>
      <w:r w:rsidR="00631955" w:rsidRPr="007A3389">
        <w:rPr>
          <w:rFonts w:asciiTheme="majorHAnsi" w:hAnsiTheme="majorHAnsi"/>
          <w:sz w:val="20"/>
          <w:szCs w:val="20"/>
          <w:lang w:val="es-ES"/>
        </w:rPr>
        <w:t xml:space="preserve">Estados </w:t>
      </w:r>
      <w:r w:rsidR="00631955" w:rsidRPr="00777BE1">
        <w:rPr>
          <w:rFonts w:asciiTheme="majorHAnsi" w:hAnsiTheme="majorHAnsi"/>
          <w:sz w:val="20"/>
          <w:lang w:val="es-ES"/>
        </w:rPr>
        <w:t>Unidos</w:t>
      </w:r>
      <w:r w:rsidR="003752A9" w:rsidRPr="007A3389">
        <w:rPr>
          <w:rFonts w:asciiTheme="majorHAnsi" w:hAnsiTheme="majorHAnsi"/>
          <w:sz w:val="20"/>
          <w:szCs w:val="20"/>
          <w:lang w:val="es-ES"/>
        </w:rPr>
        <w:t xml:space="preserve"> </w:t>
      </w:r>
      <w:r>
        <w:rPr>
          <w:rFonts w:asciiTheme="majorHAnsi" w:hAnsiTheme="majorHAnsi"/>
          <w:sz w:val="20"/>
          <w:szCs w:val="20"/>
          <w:lang w:val="es-ES"/>
        </w:rPr>
        <w:t>haya violado el derecho d</w:t>
      </w:r>
      <w:r w:rsidR="00D87346" w:rsidRPr="007A3389">
        <w:rPr>
          <w:rFonts w:asciiTheme="majorHAnsi" w:hAnsiTheme="majorHAnsi"/>
          <w:sz w:val="20"/>
          <w:szCs w:val="20"/>
          <w:lang w:val="es-ES"/>
        </w:rPr>
        <w:t>el señor</w:t>
      </w:r>
      <w:r w:rsidR="003752A9" w:rsidRPr="007A3389">
        <w:rPr>
          <w:rFonts w:asciiTheme="majorHAnsi" w:hAnsiTheme="majorHAnsi"/>
          <w:sz w:val="20"/>
          <w:szCs w:val="20"/>
          <w:lang w:val="es-ES"/>
        </w:rPr>
        <w:t xml:space="preserve"> Loza</w:t>
      </w:r>
      <w:r>
        <w:rPr>
          <w:rFonts w:asciiTheme="majorHAnsi" w:hAnsiTheme="majorHAnsi"/>
          <w:sz w:val="20"/>
          <w:szCs w:val="20"/>
          <w:lang w:val="es-ES"/>
        </w:rPr>
        <w:t xml:space="preserve"> al debido proceso, como alegan </w:t>
      </w:r>
      <w:r w:rsidR="000D3EE0" w:rsidRPr="007A3389">
        <w:rPr>
          <w:rFonts w:asciiTheme="majorHAnsi" w:hAnsiTheme="majorHAnsi"/>
          <w:sz w:val="20"/>
          <w:szCs w:val="20"/>
          <w:lang w:val="es-ES"/>
        </w:rPr>
        <w:t>los peticionarios</w:t>
      </w:r>
      <w:r w:rsidR="005E61D1" w:rsidRPr="007A3389">
        <w:rPr>
          <w:rFonts w:asciiTheme="majorHAnsi" w:hAnsiTheme="majorHAnsi"/>
          <w:sz w:val="20"/>
          <w:szCs w:val="20"/>
          <w:lang w:val="es-ES"/>
        </w:rPr>
        <w:t>.</w:t>
      </w:r>
      <w:r w:rsidR="00BD7D23" w:rsidRPr="007A3389">
        <w:rPr>
          <w:rFonts w:asciiTheme="majorHAnsi" w:hAnsiTheme="majorHAnsi"/>
          <w:sz w:val="20"/>
          <w:szCs w:val="20"/>
          <w:lang w:val="es-ES"/>
        </w:rPr>
        <w:t xml:space="preserve"> </w:t>
      </w:r>
    </w:p>
    <w:p w14:paraId="0A21B5BC" w14:textId="77777777" w:rsidR="00C4488B" w:rsidRPr="007A3389" w:rsidRDefault="00C4488B" w:rsidP="003752A9">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4A45AE56" w14:textId="77777777" w:rsidR="00265BAE" w:rsidRPr="007A3389" w:rsidRDefault="003010E1" w:rsidP="00265BAE">
      <w:pPr>
        <w:pStyle w:val="Heading2"/>
        <w:numPr>
          <w:ilvl w:val="0"/>
          <w:numId w:val="61"/>
        </w:numPr>
        <w:tabs>
          <w:tab w:val="left" w:pos="360"/>
        </w:tabs>
        <w:spacing w:before="0"/>
        <w:ind w:left="0" w:firstLine="0"/>
        <w:rPr>
          <w:color w:val="auto"/>
          <w:sz w:val="20"/>
          <w:szCs w:val="20"/>
          <w:lang w:val="es-ES"/>
        </w:rPr>
      </w:pPr>
      <w:bookmarkStart w:id="31" w:name="_Toc90298932"/>
      <w:bookmarkStart w:id="32" w:name="_Toc485650798"/>
      <w:bookmarkStart w:id="33" w:name="_Toc6226971"/>
      <w:bookmarkStart w:id="34" w:name="_Toc22915021"/>
      <w:r w:rsidRPr="007A3389">
        <w:rPr>
          <w:color w:val="auto"/>
          <w:sz w:val="20"/>
          <w:szCs w:val="20"/>
          <w:lang w:val="es-ES"/>
        </w:rPr>
        <w:t>Derecho a la protección contra el arresto arbitrario</w:t>
      </w:r>
      <w:r w:rsidR="002179AD" w:rsidRPr="007A3389">
        <w:rPr>
          <w:rStyle w:val="FootnoteReference"/>
          <w:color w:val="auto"/>
          <w:sz w:val="20"/>
          <w:szCs w:val="20"/>
          <w:lang w:val="es-ES"/>
        </w:rPr>
        <w:footnoteReference w:id="53"/>
      </w:r>
      <w:r w:rsidR="002179AD" w:rsidRPr="007A3389">
        <w:rPr>
          <w:color w:val="auto"/>
          <w:sz w:val="20"/>
          <w:szCs w:val="20"/>
          <w:lang w:val="es-ES"/>
        </w:rPr>
        <w:t xml:space="preserve"> </w:t>
      </w:r>
      <w:r w:rsidRPr="007A3389">
        <w:rPr>
          <w:color w:val="auto"/>
          <w:sz w:val="20"/>
          <w:szCs w:val="20"/>
          <w:lang w:val="es-ES"/>
        </w:rPr>
        <w:t>y</w:t>
      </w:r>
      <w:r w:rsidR="002179AD" w:rsidRPr="007A3389">
        <w:rPr>
          <w:color w:val="auto"/>
          <w:sz w:val="20"/>
          <w:szCs w:val="20"/>
          <w:lang w:val="es-ES"/>
        </w:rPr>
        <w:t xml:space="preserve"> </w:t>
      </w:r>
      <w:r w:rsidRPr="007A3389">
        <w:rPr>
          <w:color w:val="auto"/>
          <w:sz w:val="20"/>
          <w:szCs w:val="20"/>
          <w:lang w:val="es-ES"/>
        </w:rPr>
        <w:t>derecho de igualdad ante la ley</w:t>
      </w:r>
      <w:r w:rsidR="00265BAE" w:rsidRPr="007A3389">
        <w:rPr>
          <w:rStyle w:val="FootnoteReference"/>
          <w:color w:val="auto"/>
          <w:sz w:val="20"/>
          <w:szCs w:val="20"/>
          <w:lang w:val="es-ES"/>
        </w:rPr>
        <w:footnoteReference w:id="54"/>
      </w:r>
      <w:bookmarkEnd w:id="31"/>
      <w:r w:rsidR="00265BAE" w:rsidRPr="007A3389">
        <w:rPr>
          <w:color w:val="auto"/>
          <w:sz w:val="20"/>
          <w:szCs w:val="20"/>
          <w:lang w:val="es-ES"/>
        </w:rPr>
        <w:t xml:space="preserve"> </w:t>
      </w:r>
      <w:bookmarkEnd w:id="32"/>
      <w:bookmarkEnd w:id="33"/>
      <w:bookmarkEnd w:id="34"/>
    </w:p>
    <w:p w14:paraId="6E3DE631" w14:textId="77777777" w:rsidR="00265BAE" w:rsidRPr="007A3389" w:rsidRDefault="00265BAE" w:rsidP="00265BAE">
      <w:pPr>
        <w:pStyle w:val="ListParagraph"/>
        <w:ind w:left="1440" w:hanging="720"/>
        <w:jc w:val="both"/>
        <w:rPr>
          <w:rFonts w:asciiTheme="majorHAnsi" w:hAnsiTheme="majorHAnsi"/>
          <w:b/>
          <w:color w:val="auto"/>
          <w:sz w:val="20"/>
          <w:szCs w:val="20"/>
          <w:lang w:val="es-ES"/>
        </w:rPr>
      </w:pPr>
    </w:p>
    <w:p w14:paraId="57B4D48B" w14:textId="77777777" w:rsidR="00B9441F" w:rsidRPr="007A3389" w:rsidRDefault="003010E1" w:rsidP="00B9441F">
      <w:pPr>
        <w:pStyle w:val="ListParagraph"/>
        <w:numPr>
          <w:ilvl w:val="3"/>
          <w:numId w:val="53"/>
        </w:numPr>
        <w:ind w:left="360"/>
        <w:jc w:val="both"/>
        <w:rPr>
          <w:rFonts w:asciiTheme="majorHAnsi" w:hAnsiTheme="majorHAnsi"/>
          <w:b/>
          <w:color w:val="auto"/>
          <w:sz w:val="20"/>
          <w:szCs w:val="20"/>
          <w:lang w:val="es-ES"/>
        </w:rPr>
      </w:pPr>
      <w:r w:rsidRPr="007A3389">
        <w:rPr>
          <w:rFonts w:asciiTheme="majorHAnsi" w:hAnsiTheme="majorHAnsi"/>
          <w:b/>
          <w:color w:val="auto"/>
          <w:sz w:val="20"/>
          <w:szCs w:val="20"/>
          <w:lang w:val="es-ES"/>
        </w:rPr>
        <w:t>Consideraciones generales</w:t>
      </w:r>
    </w:p>
    <w:p w14:paraId="4F4AC451" w14:textId="77777777" w:rsidR="00B9441F" w:rsidRPr="007A3389" w:rsidRDefault="00B9441F" w:rsidP="00265BAE">
      <w:pPr>
        <w:pStyle w:val="ListParagraph"/>
        <w:ind w:left="1440" w:hanging="720"/>
        <w:jc w:val="both"/>
        <w:rPr>
          <w:rFonts w:asciiTheme="majorHAnsi" w:hAnsiTheme="majorHAnsi"/>
          <w:b/>
          <w:color w:val="auto"/>
          <w:sz w:val="20"/>
          <w:szCs w:val="20"/>
          <w:lang w:val="es-ES"/>
        </w:rPr>
      </w:pPr>
    </w:p>
    <w:p w14:paraId="025A3FE1" w14:textId="77777777" w:rsidR="00D941FB" w:rsidRPr="007A3389" w:rsidRDefault="00777BE1" w:rsidP="002179A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lang w:val="es-ES"/>
        </w:rPr>
      </w:pPr>
      <w:r>
        <w:rPr>
          <w:rFonts w:asciiTheme="majorHAnsi" w:hAnsiTheme="majorHAnsi"/>
          <w:sz w:val="20"/>
          <w:lang w:val="es-ES"/>
        </w:rPr>
        <w:t xml:space="preserve">En el </w:t>
      </w:r>
      <w:r w:rsidR="00175318">
        <w:rPr>
          <w:rFonts w:asciiTheme="majorHAnsi" w:hAnsiTheme="majorHAnsi"/>
          <w:sz w:val="20"/>
          <w:lang w:val="es-ES"/>
        </w:rPr>
        <w:t>artículo</w:t>
      </w:r>
      <w:r w:rsidR="002179AD" w:rsidRPr="007A3389">
        <w:rPr>
          <w:rFonts w:asciiTheme="majorHAnsi" w:hAnsiTheme="majorHAnsi"/>
          <w:sz w:val="20"/>
          <w:lang w:val="es-ES"/>
        </w:rPr>
        <w:t xml:space="preserve"> XXV </w:t>
      </w:r>
      <w:r>
        <w:rPr>
          <w:rFonts w:asciiTheme="majorHAnsi" w:hAnsiTheme="majorHAnsi"/>
          <w:sz w:val="20"/>
          <w:lang w:val="es-ES"/>
        </w:rPr>
        <w:t xml:space="preserve">de </w:t>
      </w:r>
      <w:r w:rsidR="00631955" w:rsidRPr="007A3389">
        <w:rPr>
          <w:rFonts w:asciiTheme="majorHAnsi" w:hAnsiTheme="majorHAnsi"/>
          <w:sz w:val="20"/>
          <w:lang w:val="es-ES"/>
        </w:rPr>
        <w:t>la Declaración Americana</w:t>
      </w:r>
      <w:r w:rsidR="002179AD" w:rsidRPr="007A3389">
        <w:rPr>
          <w:rFonts w:asciiTheme="majorHAnsi" w:hAnsiTheme="majorHAnsi"/>
          <w:sz w:val="20"/>
          <w:lang w:val="es-ES"/>
        </w:rPr>
        <w:t xml:space="preserve"> </w:t>
      </w:r>
      <w:r>
        <w:rPr>
          <w:rFonts w:asciiTheme="majorHAnsi" w:hAnsiTheme="majorHAnsi"/>
          <w:sz w:val="20"/>
          <w:lang w:val="es-ES"/>
        </w:rPr>
        <w:t xml:space="preserve">y el artículo </w:t>
      </w:r>
      <w:r w:rsidR="002179AD" w:rsidRPr="007A3389">
        <w:rPr>
          <w:rFonts w:asciiTheme="majorHAnsi" w:hAnsiTheme="majorHAnsi"/>
          <w:sz w:val="20"/>
          <w:lang w:val="es-ES"/>
        </w:rPr>
        <w:t xml:space="preserve">7.2 </w:t>
      </w:r>
      <w:r>
        <w:rPr>
          <w:rFonts w:asciiTheme="majorHAnsi" w:hAnsiTheme="majorHAnsi"/>
          <w:sz w:val="20"/>
          <w:lang w:val="es-ES"/>
        </w:rPr>
        <w:t>de</w:t>
      </w:r>
      <w:r w:rsidR="002179AD" w:rsidRPr="007A3389">
        <w:rPr>
          <w:rFonts w:asciiTheme="majorHAnsi" w:hAnsiTheme="majorHAnsi"/>
          <w:sz w:val="20"/>
          <w:lang w:val="es-ES"/>
        </w:rPr>
        <w:t xml:space="preserve"> </w:t>
      </w:r>
      <w:r w:rsidR="003010E1" w:rsidRPr="007A3389">
        <w:rPr>
          <w:rFonts w:asciiTheme="majorHAnsi" w:hAnsiTheme="majorHAnsi"/>
          <w:sz w:val="20"/>
          <w:lang w:val="es-ES"/>
        </w:rPr>
        <w:t>la Convención Americana</w:t>
      </w:r>
      <w:r w:rsidR="002179AD" w:rsidRPr="007A3389">
        <w:rPr>
          <w:rFonts w:asciiTheme="majorHAnsi" w:hAnsiTheme="majorHAnsi"/>
          <w:sz w:val="20"/>
          <w:lang w:val="es-ES"/>
        </w:rPr>
        <w:t xml:space="preserve"> </w:t>
      </w:r>
      <w:r>
        <w:rPr>
          <w:rFonts w:asciiTheme="majorHAnsi" w:hAnsiTheme="majorHAnsi"/>
          <w:sz w:val="20"/>
          <w:lang w:val="es-ES"/>
        </w:rPr>
        <w:t>se reconoce la garantía primordial del derecho a la libertad</w:t>
      </w:r>
      <w:r w:rsidR="002179AD" w:rsidRPr="007A3389">
        <w:rPr>
          <w:rFonts w:asciiTheme="majorHAnsi" w:hAnsiTheme="majorHAnsi"/>
          <w:sz w:val="20"/>
          <w:lang w:val="es-ES"/>
        </w:rPr>
        <w:t xml:space="preserve"> personal: </w:t>
      </w:r>
      <w:r w:rsidR="00F87374">
        <w:rPr>
          <w:rFonts w:asciiTheme="majorHAnsi" w:hAnsiTheme="majorHAnsi"/>
          <w:sz w:val="20"/>
          <w:lang w:val="es-ES"/>
        </w:rPr>
        <w:t>la reserva de ley, principio según el cual este derecho se puede afectar solo por ley</w:t>
      </w:r>
      <w:r w:rsidR="002179AD" w:rsidRPr="007A3389">
        <w:rPr>
          <w:rFonts w:asciiTheme="majorHAnsi" w:hAnsiTheme="majorHAnsi"/>
          <w:sz w:val="20"/>
          <w:lang w:val="es-ES"/>
        </w:rPr>
        <w:t>.</w:t>
      </w:r>
      <w:r w:rsidR="00860797">
        <w:rPr>
          <w:rFonts w:asciiTheme="majorHAnsi" w:hAnsiTheme="majorHAnsi"/>
          <w:sz w:val="20"/>
          <w:lang w:val="es-ES"/>
        </w:rPr>
        <w:t xml:space="preserve"> </w:t>
      </w:r>
      <w:r w:rsidR="00671494">
        <w:rPr>
          <w:rFonts w:asciiTheme="majorHAnsi" w:hAnsiTheme="majorHAnsi"/>
          <w:sz w:val="20"/>
          <w:lang w:val="es-ES"/>
        </w:rPr>
        <w:t xml:space="preserve">Por lo tanto, los Estados tienen el deber de establecer de antemano las causas y las condiciones de la privación de la libertad, </w:t>
      </w:r>
      <w:r w:rsidR="00821DA2">
        <w:rPr>
          <w:rFonts w:asciiTheme="majorHAnsi" w:hAnsiTheme="majorHAnsi"/>
          <w:sz w:val="20"/>
          <w:lang w:val="es-ES"/>
        </w:rPr>
        <w:t xml:space="preserve">la cual </w:t>
      </w:r>
      <w:r w:rsidR="00671494">
        <w:rPr>
          <w:rFonts w:asciiTheme="majorHAnsi" w:hAnsiTheme="majorHAnsi"/>
          <w:sz w:val="20"/>
          <w:lang w:val="es-ES"/>
        </w:rPr>
        <w:t>será ilícita si no se cumple alguno de los requisitos establecidos por ley. Al respecto, l</w:t>
      </w:r>
      <w:r w:rsidR="00631955" w:rsidRPr="007A3389">
        <w:rPr>
          <w:rFonts w:asciiTheme="majorHAnsi" w:hAnsiTheme="majorHAnsi"/>
          <w:sz w:val="20"/>
          <w:lang w:val="es-ES"/>
        </w:rPr>
        <w:t>a CIDH</w:t>
      </w:r>
      <w:r w:rsidR="002179AD" w:rsidRPr="007A3389">
        <w:rPr>
          <w:rFonts w:asciiTheme="majorHAnsi" w:hAnsiTheme="majorHAnsi"/>
          <w:sz w:val="20"/>
          <w:lang w:val="es-ES"/>
        </w:rPr>
        <w:t xml:space="preserve"> ha</w:t>
      </w:r>
      <w:r w:rsidR="00671494">
        <w:rPr>
          <w:rFonts w:asciiTheme="majorHAnsi" w:hAnsiTheme="majorHAnsi"/>
          <w:sz w:val="20"/>
          <w:lang w:val="es-ES"/>
        </w:rPr>
        <w:t xml:space="preserve"> recalcado que la conducta indebida de las fuerzas policiales constituye una de las principales amenazas para la libertad y la seguridad</w:t>
      </w:r>
      <w:r w:rsidR="002179AD" w:rsidRPr="007A3389">
        <w:rPr>
          <w:rFonts w:asciiTheme="majorHAnsi" w:hAnsiTheme="majorHAnsi"/>
          <w:sz w:val="20"/>
          <w:lang w:val="es-ES"/>
        </w:rPr>
        <w:t xml:space="preserve"> individual</w:t>
      </w:r>
      <w:r w:rsidR="00671494">
        <w:rPr>
          <w:rFonts w:asciiTheme="majorHAnsi" w:hAnsiTheme="majorHAnsi"/>
          <w:sz w:val="20"/>
          <w:lang w:val="es-ES"/>
        </w:rPr>
        <w:t>es. Por consiguiente, los Estados deben tomar medidas para asegurar que los agentes de policía desempeñen sus funciones de una manera que garantice el respeto de los derechos</w:t>
      </w:r>
      <w:r w:rsidR="002179AD" w:rsidRPr="007A3389">
        <w:rPr>
          <w:rFonts w:asciiTheme="majorHAnsi" w:hAnsiTheme="majorHAnsi"/>
          <w:sz w:val="20"/>
          <w:lang w:val="es-ES"/>
        </w:rPr>
        <w:t xml:space="preserve"> human</w:t>
      </w:r>
      <w:r w:rsidR="00671494">
        <w:rPr>
          <w:rFonts w:asciiTheme="majorHAnsi" w:hAnsiTheme="majorHAnsi"/>
          <w:sz w:val="20"/>
          <w:lang w:val="es-ES"/>
        </w:rPr>
        <w:t>os y que los arrestos se efectúen en concordancia con la legisl</w:t>
      </w:r>
      <w:r w:rsidR="000D7581">
        <w:rPr>
          <w:rFonts w:asciiTheme="majorHAnsi" w:hAnsiTheme="majorHAnsi"/>
          <w:sz w:val="20"/>
          <w:lang w:val="es-ES"/>
        </w:rPr>
        <w:t>ación interna</w:t>
      </w:r>
      <w:r w:rsidR="002179AD" w:rsidRPr="007A3389">
        <w:rPr>
          <w:rStyle w:val="FootnoteReference"/>
          <w:rFonts w:asciiTheme="majorHAnsi" w:hAnsiTheme="majorHAnsi"/>
          <w:sz w:val="20"/>
          <w:lang w:val="es-ES"/>
        </w:rPr>
        <w:footnoteReference w:id="55"/>
      </w:r>
      <w:r w:rsidR="000D7581">
        <w:rPr>
          <w:rFonts w:asciiTheme="majorHAnsi" w:hAnsiTheme="majorHAnsi"/>
          <w:sz w:val="20"/>
          <w:lang w:val="es-ES"/>
        </w:rPr>
        <w:t>.</w:t>
      </w:r>
    </w:p>
    <w:p w14:paraId="5B515628" w14:textId="77777777" w:rsidR="00D941FB" w:rsidRPr="007A3389" w:rsidRDefault="00D941FB" w:rsidP="00D941FB">
      <w:pPr>
        <w:pStyle w:val="NormalWeb"/>
        <w:shd w:val="clear" w:color="auto" w:fill="FFFFFF"/>
        <w:tabs>
          <w:tab w:val="left" w:pos="360"/>
        </w:tabs>
        <w:spacing w:before="0" w:beforeAutospacing="0" w:after="0" w:afterAutospacing="0"/>
        <w:jc w:val="both"/>
        <w:rPr>
          <w:rFonts w:asciiTheme="majorHAnsi" w:hAnsiTheme="majorHAnsi"/>
          <w:sz w:val="20"/>
          <w:lang w:val="es-ES"/>
        </w:rPr>
      </w:pPr>
    </w:p>
    <w:p w14:paraId="5A6317F2" w14:textId="77777777" w:rsidR="002179AD" w:rsidRPr="007A3389" w:rsidRDefault="00A4251D" w:rsidP="002179A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lang w:val="es-ES"/>
        </w:rPr>
      </w:pPr>
      <w:r>
        <w:rPr>
          <w:rFonts w:asciiTheme="majorHAnsi" w:hAnsiTheme="majorHAnsi"/>
          <w:sz w:val="20"/>
          <w:lang w:val="es-ES"/>
        </w:rPr>
        <w:t>Asimismo, según las normas interamericanas</w:t>
      </w:r>
      <w:r w:rsidR="00D941FB" w:rsidRPr="007A3389">
        <w:rPr>
          <w:rFonts w:asciiTheme="majorHAnsi" w:hAnsiTheme="majorHAnsi"/>
          <w:sz w:val="20"/>
          <w:lang w:val="es-ES"/>
        </w:rPr>
        <w:t>, “</w:t>
      </w:r>
      <w:r w:rsidRPr="00A4251D">
        <w:rPr>
          <w:rFonts w:asciiTheme="majorHAnsi" w:hAnsiTheme="majorHAnsi"/>
          <w:sz w:val="20"/>
          <w:lang w:val="es-CO"/>
        </w:rPr>
        <w:t>nadie puede ser sometido a detención o encarcelamiento por causas y métodos que, aún calificados de legales, puedan reputarse como incompatibles con el respeto a los derechos fundamentales del individuo por ser, entre otras cosas, irrazonables, imprevisibles, o faltos de proporcionalidad</w:t>
      </w:r>
      <w:r w:rsidR="00D941FB" w:rsidRPr="007A3389">
        <w:rPr>
          <w:rFonts w:asciiTheme="majorHAnsi" w:hAnsiTheme="majorHAnsi"/>
          <w:sz w:val="20"/>
          <w:lang w:val="es-ES"/>
        </w:rPr>
        <w:t>”</w:t>
      </w:r>
      <w:r w:rsidR="00D941FB" w:rsidRPr="007A3389">
        <w:rPr>
          <w:rStyle w:val="FootnoteReference"/>
          <w:rFonts w:asciiTheme="majorHAnsi" w:hAnsiTheme="majorHAnsi"/>
          <w:sz w:val="20"/>
          <w:lang w:val="es-ES"/>
        </w:rPr>
        <w:footnoteReference w:id="56"/>
      </w:r>
      <w:r>
        <w:rPr>
          <w:rFonts w:asciiTheme="majorHAnsi" w:hAnsiTheme="majorHAnsi"/>
          <w:sz w:val="20"/>
          <w:lang w:val="es-ES"/>
        </w:rPr>
        <w:t xml:space="preserve">. El </w:t>
      </w:r>
      <w:r w:rsidR="00D941FB" w:rsidRPr="007A3389">
        <w:rPr>
          <w:rFonts w:asciiTheme="majorHAnsi" w:hAnsiTheme="majorHAnsi"/>
          <w:sz w:val="20"/>
          <w:lang w:val="es-ES"/>
        </w:rPr>
        <w:t>concept</w:t>
      </w:r>
      <w:r>
        <w:rPr>
          <w:rFonts w:asciiTheme="majorHAnsi" w:hAnsiTheme="majorHAnsi"/>
          <w:sz w:val="20"/>
          <w:lang w:val="es-ES"/>
        </w:rPr>
        <w:t xml:space="preserve">o de arbitrariedad de la detención no </w:t>
      </w:r>
      <w:r w:rsidR="00A226F2">
        <w:rPr>
          <w:rFonts w:asciiTheme="majorHAnsi" w:hAnsiTheme="majorHAnsi"/>
          <w:sz w:val="20"/>
          <w:lang w:val="es-ES"/>
        </w:rPr>
        <w:t xml:space="preserve">es lo mismo que </w:t>
      </w:r>
      <w:r w:rsidR="00D941FB" w:rsidRPr="007A3389">
        <w:rPr>
          <w:rFonts w:asciiTheme="majorHAnsi" w:hAnsiTheme="majorHAnsi"/>
          <w:sz w:val="20"/>
          <w:lang w:val="es-ES"/>
        </w:rPr>
        <w:t>“</w:t>
      </w:r>
      <w:r w:rsidR="00A226F2">
        <w:rPr>
          <w:rFonts w:asciiTheme="majorHAnsi" w:hAnsiTheme="majorHAnsi"/>
          <w:sz w:val="20"/>
          <w:lang w:val="es-ES"/>
        </w:rPr>
        <w:t>contrario a la ley</w:t>
      </w:r>
      <w:r w:rsidR="00D941FB" w:rsidRPr="007A3389">
        <w:rPr>
          <w:rFonts w:asciiTheme="majorHAnsi" w:hAnsiTheme="majorHAnsi"/>
          <w:sz w:val="20"/>
          <w:lang w:val="es-ES"/>
        </w:rPr>
        <w:t>”</w:t>
      </w:r>
      <w:r w:rsidR="002179AD" w:rsidRPr="007A3389">
        <w:rPr>
          <w:rFonts w:asciiTheme="majorHAnsi" w:hAnsiTheme="majorHAnsi"/>
          <w:sz w:val="20"/>
          <w:lang w:val="es-ES"/>
        </w:rPr>
        <w:t xml:space="preserve">, </w:t>
      </w:r>
      <w:r w:rsidR="00A226F2">
        <w:rPr>
          <w:rFonts w:asciiTheme="majorHAnsi" w:hAnsiTheme="majorHAnsi"/>
          <w:sz w:val="20"/>
          <w:lang w:val="es-ES"/>
        </w:rPr>
        <w:t xml:space="preserve">sino que debe interpretarse de una manera más amplia para abarcar los aspectos de impropiedad, injusticia e imprevisibilidad, así como el principio del debido proceso. Por lo tanto, toda detención debe efectuarse de conformidad con las disposiciones del derecho interno, pero también es necesario que el derecho interno sea compatible con </w:t>
      </w:r>
      <w:r w:rsidR="00631955" w:rsidRPr="007A3389">
        <w:rPr>
          <w:rFonts w:asciiTheme="majorHAnsi" w:hAnsiTheme="majorHAnsi"/>
          <w:sz w:val="20"/>
          <w:lang w:val="es-ES"/>
        </w:rPr>
        <w:t>la Declaración Americana</w:t>
      </w:r>
      <w:r w:rsidR="00D941FB" w:rsidRPr="007A3389">
        <w:rPr>
          <w:rStyle w:val="FootnoteReference"/>
          <w:rFonts w:asciiTheme="majorHAnsi" w:hAnsiTheme="majorHAnsi"/>
          <w:sz w:val="20"/>
          <w:lang w:val="es-ES"/>
        </w:rPr>
        <w:footnoteReference w:id="57"/>
      </w:r>
      <w:r w:rsidR="00A226F2">
        <w:rPr>
          <w:rFonts w:asciiTheme="majorHAnsi" w:hAnsiTheme="majorHAnsi"/>
          <w:sz w:val="20"/>
          <w:lang w:val="es-ES"/>
        </w:rPr>
        <w:t>.</w:t>
      </w:r>
    </w:p>
    <w:p w14:paraId="269A8079" w14:textId="77777777" w:rsidR="00FD6361" w:rsidRPr="007A3389" w:rsidRDefault="00FD6361" w:rsidP="00FD6361">
      <w:pPr>
        <w:pStyle w:val="NormalWeb"/>
        <w:shd w:val="clear" w:color="auto" w:fill="FFFFFF"/>
        <w:tabs>
          <w:tab w:val="left" w:pos="360"/>
        </w:tabs>
        <w:spacing w:before="0" w:beforeAutospacing="0" w:after="0" w:afterAutospacing="0"/>
        <w:jc w:val="both"/>
        <w:rPr>
          <w:rFonts w:asciiTheme="majorHAnsi" w:hAnsiTheme="majorHAnsi"/>
          <w:sz w:val="20"/>
          <w:lang w:val="es-ES"/>
        </w:rPr>
      </w:pPr>
    </w:p>
    <w:p w14:paraId="103F6878" w14:textId="77777777" w:rsidR="002179AD" w:rsidRPr="006E184C" w:rsidRDefault="00821DA2" w:rsidP="006E184C">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lang w:val="es-ES"/>
        </w:rPr>
      </w:pPr>
      <w:r>
        <w:rPr>
          <w:rFonts w:asciiTheme="majorHAnsi" w:hAnsiTheme="majorHAnsi"/>
          <w:sz w:val="20"/>
          <w:lang w:val="es-ES"/>
        </w:rPr>
        <w:t>En consecuencia</w:t>
      </w:r>
      <w:r w:rsidR="00095B5F" w:rsidRPr="006E184C">
        <w:rPr>
          <w:rFonts w:asciiTheme="majorHAnsi" w:hAnsiTheme="majorHAnsi"/>
          <w:sz w:val="20"/>
          <w:lang w:val="es-ES"/>
        </w:rPr>
        <w:t>, la</w:t>
      </w:r>
      <w:r w:rsidR="002179AD" w:rsidRPr="006E184C">
        <w:rPr>
          <w:rFonts w:asciiTheme="majorHAnsi" w:hAnsiTheme="majorHAnsi"/>
          <w:sz w:val="20"/>
          <w:lang w:val="es-ES"/>
        </w:rPr>
        <w:t xml:space="preserve"> legali</w:t>
      </w:r>
      <w:r w:rsidR="00095B5F" w:rsidRPr="006E184C">
        <w:rPr>
          <w:rFonts w:asciiTheme="majorHAnsi" w:hAnsiTheme="majorHAnsi"/>
          <w:sz w:val="20"/>
          <w:lang w:val="es-ES"/>
        </w:rPr>
        <w:t>dad de una detención</w:t>
      </w:r>
      <w:r w:rsidR="002179AD" w:rsidRPr="006E184C">
        <w:rPr>
          <w:rFonts w:asciiTheme="majorHAnsi" w:hAnsiTheme="majorHAnsi"/>
          <w:sz w:val="20"/>
          <w:lang w:val="es-ES"/>
        </w:rPr>
        <w:t xml:space="preserve"> impli</w:t>
      </w:r>
      <w:r w:rsidR="00095B5F" w:rsidRPr="006E184C">
        <w:rPr>
          <w:rFonts w:asciiTheme="majorHAnsi" w:hAnsiTheme="majorHAnsi"/>
          <w:sz w:val="20"/>
          <w:lang w:val="es-ES"/>
        </w:rPr>
        <w:t xml:space="preserve">ca la </w:t>
      </w:r>
      <w:r w:rsidR="002179AD" w:rsidRPr="006E184C">
        <w:rPr>
          <w:rFonts w:asciiTheme="majorHAnsi" w:hAnsiTheme="majorHAnsi"/>
          <w:sz w:val="20"/>
          <w:lang w:val="es-ES"/>
        </w:rPr>
        <w:t>conformi</w:t>
      </w:r>
      <w:r w:rsidR="00095B5F" w:rsidRPr="006E184C">
        <w:rPr>
          <w:rFonts w:asciiTheme="majorHAnsi" w:hAnsiTheme="majorHAnsi"/>
          <w:sz w:val="20"/>
          <w:lang w:val="es-ES"/>
        </w:rPr>
        <w:t>dad con las normas</w:t>
      </w:r>
      <w:r w:rsidR="002179AD" w:rsidRPr="006E184C">
        <w:rPr>
          <w:rFonts w:asciiTheme="majorHAnsi" w:hAnsiTheme="majorHAnsi"/>
          <w:sz w:val="20"/>
          <w:lang w:val="es-ES"/>
        </w:rPr>
        <w:t xml:space="preserve"> sustantiv</w:t>
      </w:r>
      <w:r w:rsidR="00095B5F" w:rsidRPr="006E184C">
        <w:rPr>
          <w:rFonts w:asciiTheme="majorHAnsi" w:hAnsiTheme="majorHAnsi"/>
          <w:sz w:val="20"/>
          <w:lang w:val="es-ES"/>
        </w:rPr>
        <w:t xml:space="preserve">as y procesales del derecho interno, pero también </w:t>
      </w:r>
      <w:r w:rsidR="002179AD" w:rsidRPr="006E184C">
        <w:rPr>
          <w:rFonts w:asciiTheme="majorHAnsi" w:hAnsiTheme="majorHAnsi"/>
          <w:sz w:val="20"/>
          <w:lang w:val="es-ES"/>
        </w:rPr>
        <w:t>est</w:t>
      </w:r>
      <w:r w:rsidR="00095B5F" w:rsidRPr="006E184C">
        <w:rPr>
          <w:rFonts w:asciiTheme="majorHAnsi" w:hAnsiTheme="majorHAnsi"/>
          <w:sz w:val="20"/>
          <w:lang w:val="es-ES"/>
        </w:rPr>
        <w:t xml:space="preserve">á relacionada con la calidad de la ley y debe ser </w:t>
      </w:r>
      <w:r w:rsidR="002179AD" w:rsidRPr="006E184C">
        <w:rPr>
          <w:rFonts w:asciiTheme="majorHAnsi" w:hAnsiTheme="majorHAnsi"/>
          <w:sz w:val="20"/>
          <w:lang w:val="es-ES"/>
        </w:rPr>
        <w:t xml:space="preserve">compatible </w:t>
      </w:r>
      <w:r w:rsidR="00095B5F" w:rsidRPr="006E184C">
        <w:rPr>
          <w:rFonts w:asciiTheme="majorHAnsi" w:hAnsiTheme="majorHAnsi"/>
          <w:sz w:val="20"/>
          <w:lang w:val="es-ES"/>
        </w:rPr>
        <w:t xml:space="preserve">con el </w:t>
      </w:r>
      <w:r w:rsidR="006E184C" w:rsidRPr="006E184C">
        <w:rPr>
          <w:rFonts w:asciiTheme="majorHAnsi" w:hAnsiTheme="majorHAnsi"/>
          <w:sz w:val="20"/>
          <w:lang w:val="es-ES"/>
        </w:rPr>
        <w:t>estado de derecho</w:t>
      </w:r>
      <w:r w:rsidR="002179AD" w:rsidRPr="006E184C">
        <w:rPr>
          <w:rFonts w:asciiTheme="majorHAnsi" w:hAnsiTheme="majorHAnsi"/>
          <w:sz w:val="20"/>
          <w:lang w:val="es-ES"/>
        </w:rPr>
        <w:t xml:space="preserve">. </w:t>
      </w:r>
      <w:r w:rsidR="006E184C" w:rsidRPr="006E184C">
        <w:rPr>
          <w:rFonts w:asciiTheme="majorHAnsi" w:hAnsiTheme="majorHAnsi"/>
          <w:sz w:val="20"/>
          <w:lang w:val="es-ES"/>
        </w:rPr>
        <w:t xml:space="preserve">Según el Tribunal Europeo de Derechos Humanos, </w:t>
      </w:r>
      <w:r w:rsidR="002179AD" w:rsidRPr="006E184C">
        <w:rPr>
          <w:rFonts w:asciiTheme="majorHAnsi" w:hAnsiTheme="majorHAnsi"/>
          <w:sz w:val="20"/>
          <w:lang w:val="es-ES"/>
        </w:rPr>
        <w:t>“</w:t>
      </w:r>
      <w:r w:rsidR="006E184C" w:rsidRPr="006E184C">
        <w:rPr>
          <w:rFonts w:asciiTheme="majorHAnsi" w:hAnsiTheme="majorHAnsi"/>
          <w:sz w:val="20"/>
          <w:lang w:val="es-ES"/>
        </w:rPr>
        <w:t>la calidad de la ley” implica que, si una ley nacional autoriza la privación de libertad, debe ser suficientemente accesible, precisa y previsible en su aplicación para evitar cualquier riesgo de arbitrariedad</w:t>
      </w:r>
      <w:r w:rsidR="002179AD" w:rsidRPr="006E184C">
        <w:rPr>
          <w:rFonts w:asciiTheme="majorHAnsi" w:hAnsiTheme="majorHAnsi"/>
          <w:sz w:val="20"/>
          <w:lang w:val="es-ES"/>
        </w:rPr>
        <w:t xml:space="preserve">. </w:t>
      </w:r>
      <w:r w:rsidR="006E184C" w:rsidRPr="006E184C">
        <w:rPr>
          <w:rFonts w:asciiTheme="majorHAnsi" w:hAnsiTheme="majorHAnsi"/>
          <w:sz w:val="20"/>
          <w:lang w:val="es-ES"/>
        </w:rPr>
        <w:t xml:space="preserve">El criterio de </w:t>
      </w:r>
      <w:r w:rsidR="002179AD" w:rsidRPr="006E184C">
        <w:rPr>
          <w:rFonts w:asciiTheme="majorHAnsi" w:hAnsiTheme="majorHAnsi"/>
          <w:sz w:val="20"/>
          <w:lang w:val="es-ES"/>
        </w:rPr>
        <w:t>“l</w:t>
      </w:r>
      <w:r w:rsidR="006E184C" w:rsidRPr="006E184C">
        <w:rPr>
          <w:rFonts w:asciiTheme="majorHAnsi" w:hAnsiTheme="majorHAnsi"/>
          <w:sz w:val="20"/>
          <w:lang w:val="es-ES"/>
        </w:rPr>
        <w:t>egalidad</w:t>
      </w:r>
      <w:r w:rsidR="002179AD" w:rsidRPr="006E184C">
        <w:rPr>
          <w:rFonts w:asciiTheme="majorHAnsi" w:hAnsiTheme="majorHAnsi"/>
          <w:sz w:val="20"/>
          <w:lang w:val="es-ES"/>
        </w:rPr>
        <w:t xml:space="preserve">” </w:t>
      </w:r>
      <w:r w:rsidR="006E184C" w:rsidRPr="006E184C">
        <w:rPr>
          <w:rFonts w:asciiTheme="majorHAnsi" w:hAnsiTheme="majorHAnsi"/>
          <w:sz w:val="20"/>
          <w:lang w:val="es-ES"/>
        </w:rPr>
        <w:t xml:space="preserve">exige que toda ley </w:t>
      </w:r>
      <w:r>
        <w:rPr>
          <w:rFonts w:asciiTheme="majorHAnsi" w:hAnsiTheme="majorHAnsi"/>
          <w:sz w:val="20"/>
          <w:lang w:val="es-ES"/>
        </w:rPr>
        <w:t xml:space="preserve">sea </w:t>
      </w:r>
      <w:r w:rsidR="006E184C" w:rsidRPr="006E184C">
        <w:rPr>
          <w:rFonts w:asciiTheme="majorHAnsi" w:hAnsiTheme="majorHAnsi"/>
          <w:sz w:val="20"/>
          <w:lang w:val="es-ES"/>
        </w:rPr>
        <w:t xml:space="preserve">suficientemente precisa para </w:t>
      </w:r>
      <w:r>
        <w:rPr>
          <w:rFonts w:asciiTheme="majorHAnsi" w:hAnsiTheme="majorHAnsi"/>
          <w:sz w:val="20"/>
          <w:lang w:val="es-ES"/>
        </w:rPr>
        <w:t>que las personas puedan</w:t>
      </w:r>
      <w:r w:rsidR="006E184C" w:rsidRPr="006E184C">
        <w:rPr>
          <w:rFonts w:asciiTheme="majorHAnsi" w:hAnsiTheme="majorHAnsi"/>
          <w:sz w:val="20"/>
          <w:lang w:val="es-ES"/>
        </w:rPr>
        <w:t xml:space="preserve"> prever, </w:t>
      </w:r>
      <w:r>
        <w:rPr>
          <w:rFonts w:asciiTheme="majorHAnsi" w:hAnsiTheme="majorHAnsi"/>
          <w:sz w:val="20"/>
          <w:lang w:val="es-ES"/>
        </w:rPr>
        <w:t>en la medida de lo</w:t>
      </w:r>
      <w:r w:rsidR="006E184C" w:rsidRPr="006E184C">
        <w:rPr>
          <w:rFonts w:asciiTheme="majorHAnsi" w:hAnsiTheme="majorHAnsi"/>
          <w:sz w:val="20"/>
          <w:lang w:val="es-ES"/>
        </w:rPr>
        <w:t xml:space="preserve"> razonable en las circunstancias de cada caso, las consecuencias </w:t>
      </w:r>
      <w:r>
        <w:rPr>
          <w:rFonts w:asciiTheme="majorHAnsi" w:hAnsiTheme="majorHAnsi"/>
          <w:sz w:val="20"/>
          <w:lang w:val="es-ES"/>
        </w:rPr>
        <w:t xml:space="preserve">de </w:t>
      </w:r>
      <w:r w:rsidR="006E184C" w:rsidRPr="006E184C">
        <w:rPr>
          <w:rFonts w:asciiTheme="majorHAnsi" w:hAnsiTheme="majorHAnsi"/>
          <w:sz w:val="20"/>
          <w:lang w:val="es-ES"/>
        </w:rPr>
        <w:t>un acto determinado</w:t>
      </w:r>
      <w:r w:rsidR="002179AD" w:rsidRPr="006E184C">
        <w:rPr>
          <w:rFonts w:asciiTheme="majorHAnsi" w:hAnsiTheme="majorHAnsi"/>
          <w:sz w:val="20"/>
          <w:lang w:val="es-ES"/>
        </w:rPr>
        <w:t xml:space="preserve">. </w:t>
      </w:r>
      <w:r w:rsidR="006E184C" w:rsidRPr="006E184C">
        <w:rPr>
          <w:rFonts w:asciiTheme="majorHAnsi" w:hAnsiTheme="majorHAnsi"/>
          <w:sz w:val="20"/>
          <w:lang w:val="es-ES"/>
        </w:rPr>
        <w:t xml:space="preserve">Cuando se trata de la privación de </w:t>
      </w:r>
      <w:r>
        <w:rPr>
          <w:rFonts w:asciiTheme="majorHAnsi" w:hAnsiTheme="majorHAnsi"/>
          <w:sz w:val="20"/>
          <w:lang w:val="es-ES"/>
        </w:rPr>
        <w:t xml:space="preserve">la </w:t>
      </w:r>
      <w:r w:rsidR="006E184C" w:rsidRPr="006E184C">
        <w:rPr>
          <w:rFonts w:asciiTheme="majorHAnsi" w:hAnsiTheme="majorHAnsi"/>
          <w:sz w:val="20"/>
          <w:lang w:val="es-ES"/>
        </w:rPr>
        <w:t>libertad, es primordial que la ley nacional defina claramente las condiciones de</w:t>
      </w:r>
      <w:r w:rsidR="006E184C">
        <w:rPr>
          <w:rFonts w:asciiTheme="majorHAnsi" w:hAnsiTheme="majorHAnsi"/>
          <w:sz w:val="20"/>
          <w:lang w:val="es-ES"/>
        </w:rPr>
        <w:t>l arresto o la detención</w:t>
      </w:r>
      <w:r w:rsidR="002179AD" w:rsidRPr="007A3389">
        <w:rPr>
          <w:rStyle w:val="FootnoteReference"/>
          <w:rFonts w:asciiTheme="majorHAnsi" w:hAnsiTheme="majorHAnsi"/>
          <w:sz w:val="20"/>
          <w:lang w:val="es-ES"/>
        </w:rPr>
        <w:footnoteReference w:id="58"/>
      </w:r>
      <w:r w:rsidR="006E184C">
        <w:rPr>
          <w:rFonts w:asciiTheme="majorHAnsi" w:hAnsiTheme="majorHAnsi"/>
          <w:sz w:val="20"/>
          <w:lang w:val="es-ES"/>
        </w:rPr>
        <w:t>.</w:t>
      </w:r>
    </w:p>
    <w:p w14:paraId="6B977425" w14:textId="77777777" w:rsidR="002179AD" w:rsidRPr="007A3389" w:rsidRDefault="002179AD" w:rsidP="002179AD">
      <w:pPr>
        <w:pStyle w:val="NormalWeb"/>
        <w:shd w:val="clear" w:color="auto" w:fill="FFFFFF"/>
        <w:tabs>
          <w:tab w:val="left" w:pos="360"/>
        </w:tabs>
        <w:spacing w:before="0" w:beforeAutospacing="0" w:after="0" w:afterAutospacing="0"/>
        <w:jc w:val="both"/>
        <w:rPr>
          <w:rFonts w:asciiTheme="majorHAnsi" w:eastAsia="Arial Unicode MS" w:hAnsiTheme="majorHAnsi"/>
          <w:sz w:val="20"/>
          <w:szCs w:val="20"/>
          <w:bdr w:val="nil"/>
          <w:lang w:val="es-ES"/>
        </w:rPr>
      </w:pPr>
    </w:p>
    <w:p w14:paraId="2C4FA442" w14:textId="77777777" w:rsidR="00265BAE" w:rsidRPr="003172D8" w:rsidRDefault="006E184C" w:rsidP="00265BAE">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ES"/>
        </w:rPr>
      </w:pPr>
      <w:r>
        <w:rPr>
          <w:rFonts w:asciiTheme="majorHAnsi" w:hAnsiTheme="majorHAnsi"/>
          <w:sz w:val="20"/>
          <w:szCs w:val="20"/>
          <w:lang w:val="es-ES"/>
        </w:rPr>
        <w:t xml:space="preserve">Asimismo, en todo caso de privación de la libertad se debe respetar el </w:t>
      </w:r>
      <w:r w:rsidR="003010E1" w:rsidRPr="007A3389">
        <w:rPr>
          <w:rFonts w:asciiTheme="majorHAnsi" w:hAnsiTheme="majorHAnsi"/>
          <w:sz w:val="20"/>
          <w:szCs w:val="20"/>
          <w:lang w:val="es-ES"/>
        </w:rPr>
        <w:t>derecho de igualdad ante la ley</w:t>
      </w:r>
      <w:r w:rsidR="00576ECB" w:rsidRPr="007A3389">
        <w:rPr>
          <w:rFonts w:asciiTheme="majorHAnsi" w:hAnsiTheme="majorHAnsi"/>
          <w:sz w:val="20"/>
          <w:szCs w:val="20"/>
          <w:lang w:val="es-ES"/>
        </w:rPr>
        <w:t xml:space="preserve">. </w:t>
      </w:r>
      <w:r>
        <w:rPr>
          <w:rFonts w:asciiTheme="majorHAnsi" w:hAnsiTheme="majorHAnsi"/>
          <w:sz w:val="20"/>
          <w:szCs w:val="20"/>
          <w:lang w:val="es-ES"/>
        </w:rPr>
        <w:t xml:space="preserve">Los principios de </w:t>
      </w:r>
      <w:r w:rsidRPr="006E184C">
        <w:rPr>
          <w:rFonts w:asciiTheme="majorHAnsi" w:hAnsiTheme="majorHAnsi"/>
          <w:sz w:val="20"/>
          <w:szCs w:val="20"/>
          <w:lang w:val="es-ES"/>
        </w:rPr>
        <w:t>igualdad ante la ley</w:t>
      </w:r>
      <w:r w:rsidR="00265BAE" w:rsidRPr="007A3389">
        <w:rPr>
          <w:rFonts w:asciiTheme="majorHAnsi" w:hAnsiTheme="majorHAnsi"/>
          <w:sz w:val="20"/>
          <w:szCs w:val="20"/>
          <w:lang w:val="es-ES"/>
        </w:rPr>
        <w:t xml:space="preserve">, </w:t>
      </w:r>
      <w:r>
        <w:rPr>
          <w:rFonts w:asciiTheme="majorHAnsi" w:hAnsiTheme="majorHAnsi"/>
          <w:sz w:val="20"/>
          <w:szCs w:val="20"/>
          <w:lang w:val="es-ES"/>
        </w:rPr>
        <w:t xml:space="preserve">igual protección y no discriminación se encuentran entre los derechos humanos más básicos y, de hecho, se reconocen como normas de </w:t>
      </w:r>
      <w:proofErr w:type="spellStart"/>
      <w:r w:rsidR="00265BAE" w:rsidRPr="007A3389">
        <w:rPr>
          <w:rFonts w:asciiTheme="majorHAnsi" w:hAnsiTheme="majorHAnsi"/>
          <w:i/>
          <w:sz w:val="20"/>
          <w:szCs w:val="20"/>
          <w:lang w:val="es-ES"/>
        </w:rPr>
        <w:t>jus</w:t>
      </w:r>
      <w:proofErr w:type="spellEnd"/>
      <w:r w:rsidR="00265BAE" w:rsidRPr="007A3389">
        <w:rPr>
          <w:rFonts w:asciiTheme="majorHAnsi" w:hAnsiTheme="majorHAnsi"/>
          <w:i/>
          <w:sz w:val="20"/>
          <w:szCs w:val="20"/>
          <w:lang w:val="es-ES"/>
        </w:rPr>
        <w:t xml:space="preserve"> cogens</w:t>
      </w:r>
      <w:r w:rsidR="00265BAE" w:rsidRPr="007A3389">
        <w:rPr>
          <w:rFonts w:asciiTheme="majorHAnsi" w:hAnsiTheme="majorHAnsi"/>
          <w:sz w:val="20"/>
          <w:szCs w:val="20"/>
          <w:vertAlign w:val="superscript"/>
          <w:lang w:val="es-ES"/>
        </w:rPr>
        <w:footnoteReference w:id="59"/>
      </w:r>
      <w:r>
        <w:rPr>
          <w:rFonts w:asciiTheme="majorHAnsi" w:hAnsiTheme="majorHAnsi"/>
          <w:i/>
          <w:sz w:val="20"/>
          <w:szCs w:val="20"/>
          <w:lang w:val="es-ES"/>
        </w:rPr>
        <w:t>.</w:t>
      </w:r>
      <w:r w:rsidR="00265BAE" w:rsidRPr="007A3389">
        <w:rPr>
          <w:rFonts w:asciiTheme="majorHAnsi" w:hAnsiTheme="majorHAnsi"/>
          <w:sz w:val="20"/>
          <w:szCs w:val="20"/>
          <w:lang w:val="es-ES"/>
        </w:rPr>
        <w:t xml:space="preserve"> </w:t>
      </w:r>
      <w:r w:rsidR="008A10AB" w:rsidRPr="007A3389">
        <w:rPr>
          <w:rFonts w:asciiTheme="majorHAnsi" w:hAnsiTheme="majorHAnsi"/>
          <w:sz w:val="20"/>
          <w:szCs w:val="20"/>
          <w:lang w:val="es-ES"/>
        </w:rPr>
        <w:t>La Comisión</w:t>
      </w:r>
      <w:r w:rsidR="00265BAE" w:rsidRPr="007A3389">
        <w:rPr>
          <w:rFonts w:asciiTheme="majorHAnsi" w:hAnsiTheme="majorHAnsi"/>
          <w:sz w:val="20"/>
          <w:szCs w:val="20"/>
          <w:lang w:val="es-ES"/>
        </w:rPr>
        <w:t xml:space="preserve"> ha</w:t>
      </w:r>
      <w:r>
        <w:rPr>
          <w:rFonts w:asciiTheme="majorHAnsi" w:hAnsiTheme="majorHAnsi"/>
          <w:sz w:val="20"/>
          <w:szCs w:val="20"/>
          <w:lang w:val="es-ES"/>
        </w:rPr>
        <w:t xml:space="preserve"> entendida que</w:t>
      </w:r>
      <w:r w:rsidR="00265BAE" w:rsidRPr="007A3389">
        <w:rPr>
          <w:rFonts w:asciiTheme="majorHAnsi" w:hAnsiTheme="majorHAnsi"/>
          <w:bCs/>
          <w:sz w:val="20"/>
          <w:szCs w:val="20"/>
          <w:lang w:val="es-ES"/>
        </w:rPr>
        <w:t xml:space="preserve"> “</w:t>
      </w:r>
      <w:r w:rsidRPr="007A3389">
        <w:rPr>
          <w:rFonts w:asciiTheme="majorHAnsi" w:hAnsiTheme="majorHAnsi"/>
          <w:bCs/>
          <w:sz w:val="20"/>
          <w:szCs w:val="20"/>
          <w:lang w:val="es-ES"/>
        </w:rPr>
        <w:t>discriminación</w:t>
      </w:r>
      <w:r w:rsidR="00265BAE" w:rsidRPr="007A3389">
        <w:rPr>
          <w:rFonts w:asciiTheme="majorHAnsi" w:hAnsiTheme="majorHAnsi"/>
          <w:bCs/>
          <w:sz w:val="20"/>
          <w:szCs w:val="20"/>
          <w:lang w:val="es-ES"/>
        </w:rPr>
        <w:t xml:space="preserve">” </w:t>
      </w:r>
      <w:r>
        <w:rPr>
          <w:rFonts w:asciiTheme="majorHAnsi" w:hAnsiTheme="majorHAnsi"/>
          <w:bCs/>
          <w:sz w:val="20"/>
          <w:szCs w:val="20"/>
          <w:lang w:val="es-ES"/>
        </w:rPr>
        <w:t>sig</w:t>
      </w:r>
      <w:r w:rsidRPr="003172D8">
        <w:rPr>
          <w:rFonts w:asciiTheme="majorHAnsi" w:hAnsiTheme="majorHAnsi"/>
          <w:bCs/>
          <w:sz w:val="20"/>
          <w:szCs w:val="20"/>
          <w:lang w:val="es-ES"/>
        </w:rPr>
        <w:t xml:space="preserve">nifica </w:t>
      </w:r>
      <w:r w:rsidR="00265BAE" w:rsidRPr="003172D8">
        <w:rPr>
          <w:rFonts w:asciiTheme="majorHAnsi" w:hAnsiTheme="majorHAnsi"/>
          <w:sz w:val="20"/>
          <w:szCs w:val="20"/>
          <w:lang w:val="es-ES"/>
        </w:rPr>
        <w:t>“</w:t>
      </w:r>
      <w:r w:rsidR="003172D8" w:rsidRPr="003172D8">
        <w:rPr>
          <w:rFonts w:asciiTheme="majorHAnsi" w:hAnsiTheme="majorHAnsi"/>
          <w:bCs/>
          <w:sz w:val="20"/>
          <w:szCs w:val="20"/>
          <w:lang w:val="es-ES"/>
        </w:rPr>
        <w:t>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los derechos humanos y libertades fundamentales de todas las personas</w:t>
      </w:r>
      <w:r w:rsidR="00265BAE" w:rsidRPr="003172D8">
        <w:rPr>
          <w:rFonts w:asciiTheme="majorHAnsi" w:hAnsiTheme="majorHAnsi"/>
          <w:bCs/>
          <w:sz w:val="20"/>
          <w:szCs w:val="20"/>
          <w:lang w:val="es-ES"/>
        </w:rPr>
        <w:t>”</w:t>
      </w:r>
      <w:r w:rsidR="00265BAE" w:rsidRPr="003172D8">
        <w:rPr>
          <w:rStyle w:val="FootnoteReference"/>
          <w:rFonts w:asciiTheme="majorHAnsi" w:hAnsiTheme="majorHAnsi"/>
          <w:bCs/>
          <w:sz w:val="20"/>
          <w:szCs w:val="20"/>
          <w:lang w:val="es-ES"/>
        </w:rPr>
        <w:footnoteReference w:id="60"/>
      </w:r>
      <w:r w:rsidR="003172D8" w:rsidRPr="003172D8">
        <w:rPr>
          <w:rFonts w:asciiTheme="majorHAnsi" w:hAnsiTheme="majorHAnsi"/>
          <w:bCs/>
          <w:sz w:val="20"/>
          <w:szCs w:val="20"/>
          <w:lang w:val="es-ES"/>
        </w:rPr>
        <w:t>.</w:t>
      </w:r>
      <w:r w:rsidR="00265BAE" w:rsidRPr="003172D8">
        <w:rPr>
          <w:rFonts w:asciiTheme="majorHAnsi" w:hAnsiTheme="majorHAnsi"/>
          <w:bCs/>
          <w:sz w:val="20"/>
          <w:szCs w:val="20"/>
          <w:lang w:val="es-ES"/>
        </w:rPr>
        <w:t xml:space="preserve"> </w:t>
      </w:r>
    </w:p>
    <w:p w14:paraId="065D3259" w14:textId="77777777" w:rsidR="00265BAE" w:rsidRPr="007A3389" w:rsidRDefault="00265BAE" w:rsidP="00265BAE">
      <w:pPr>
        <w:pStyle w:val="ListParagraph"/>
        <w:ind w:left="0"/>
        <w:rPr>
          <w:rFonts w:asciiTheme="majorHAnsi" w:hAnsiTheme="majorHAnsi"/>
          <w:sz w:val="20"/>
          <w:szCs w:val="20"/>
          <w:lang w:val="es-ES"/>
        </w:rPr>
      </w:pPr>
    </w:p>
    <w:p w14:paraId="406146EA" w14:textId="77777777" w:rsidR="004D26F5" w:rsidRPr="007A3389" w:rsidRDefault="003172D8" w:rsidP="00265BAE">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Theme="majorHAnsi" w:hAnsiTheme="majorHAnsi"/>
          <w:sz w:val="20"/>
          <w:szCs w:val="20"/>
          <w:lang w:val="es-ES"/>
        </w:rPr>
        <w:t>El principio de la igualdad y la no discriminación a</w:t>
      </w:r>
      <w:r w:rsidRPr="00951651">
        <w:rPr>
          <w:rFonts w:asciiTheme="majorHAnsi" w:hAnsiTheme="majorHAnsi"/>
          <w:sz w:val="20"/>
          <w:szCs w:val="20"/>
          <w:lang w:val="es-ES"/>
        </w:rPr>
        <w:t xml:space="preserve">barca tanto </w:t>
      </w:r>
      <w:r w:rsidR="00265BAE" w:rsidRPr="00951651">
        <w:rPr>
          <w:rFonts w:asciiTheme="majorHAnsi" w:hAnsiTheme="majorHAnsi"/>
          <w:sz w:val="20"/>
          <w:szCs w:val="20"/>
          <w:lang w:val="es-ES"/>
        </w:rPr>
        <w:t>“</w:t>
      </w:r>
      <w:r w:rsidRPr="00951651">
        <w:rPr>
          <w:rFonts w:asciiTheme="majorHAnsi" w:hAnsiTheme="majorHAnsi"/>
          <w:sz w:val="20"/>
          <w:szCs w:val="20"/>
          <w:lang w:val="es-ES"/>
        </w:rPr>
        <w:t>la prohibición de diferencias de trato arbitrarias</w:t>
      </w:r>
      <w:r w:rsidR="00265BAE" w:rsidRPr="00951651">
        <w:rPr>
          <w:rFonts w:asciiTheme="majorHAnsi" w:hAnsiTheme="majorHAnsi"/>
          <w:sz w:val="20"/>
          <w:szCs w:val="20"/>
          <w:lang w:val="es-ES"/>
        </w:rPr>
        <w:t xml:space="preserve">” </w:t>
      </w:r>
      <w:r w:rsidRPr="00951651">
        <w:rPr>
          <w:rFonts w:asciiTheme="majorHAnsi" w:hAnsiTheme="majorHAnsi"/>
          <w:sz w:val="20"/>
          <w:szCs w:val="20"/>
          <w:lang w:val="es-ES"/>
        </w:rPr>
        <w:t>como</w:t>
      </w:r>
      <w:r w:rsidR="00265BAE" w:rsidRPr="00951651">
        <w:rPr>
          <w:rFonts w:asciiTheme="majorHAnsi" w:hAnsiTheme="majorHAnsi"/>
          <w:sz w:val="20"/>
          <w:szCs w:val="20"/>
          <w:lang w:val="es-ES"/>
        </w:rPr>
        <w:t xml:space="preserve"> “</w:t>
      </w:r>
      <w:r w:rsidRPr="00951651">
        <w:rPr>
          <w:rFonts w:asciiTheme="majorHAnsi" w:hAnsiTheme="majorHAnsi"/>
          <w:sz w:val="20"/>
          <w:szCs w:val="20"/>
          <w:lang w:val="es-ES"/>
        </w:rPr>
        <w:t>la obligación de los Estados de crear condiciones de igualdad real frente a grupos que han sido históricamente excluidos o que se encuentran en mayor riesgo de ser discriminados</w:t>
      </w:r>
      <w:r w:rsidR="00265BAE" w:rsidRPr="00951651">
        <w:rPr>
          <w:rFonts w:asciiTheme="majorHAnsi" w:hAnsiTheme="majorHAnsi"/>
          <w:sz w:val="20"/>
          <w:szCs w:val="20"/>
          <w:lang w:val="es-ES"/>
        </w:rPr>
        <w:t>”</w:t>
      </w:r>
      <w:r w:rsidR="00265BAE" w:rsidRPr="00951651">
        <w:rPr>
          <w:rStyle w:val="FootnoteReference"/>
          <w:rFonts w:asciiTheme="majorHAnsi" w:hAnsiTheme="majorHAnsi"/>
          <w:sz w:val="20"/>
          <w:szCs w:val="20"/>
          <w:lang w:val="es-ES"/>
        </w:rPr>
        <w:footnoteReference w:id="61"/>
      </w:r>
      <w:r w:rsidRPr="00951651">
        <w:rPr>
          <w:rFonts w:asciiTheme="majorHAnsi" w:hAnsiTheme="majorHAnsi"/>
          <w:sz w:val="20"/>
          <w:szCs w:val="20"/>
          <w:lang w:val="es-ES"/>
        </w:rPr>
        <w:t xml:space="preserve">. Además, </w:t>
      </w:r>
      <w:r w:rsidR="000169AE">
        <w:rPr>
          <w:rFonts w:asciiTheme="majorHAnsi" w:hAnsiTheme="majorHAnsi"/>
          <w:sz w:val="20"/>
          <w:szCs w:val="20"/>
          <w:lang w:val="es-ES"/>
        </w:rPr>
        <w:t xml:space="preserve">las distinciones </w:t>
      </w:r>
      <w:r w:rsidR="00951651" w:rsidRPr="00951651">
        <w:rPr>
          <w:rFonts w:asciiTheme="majorHAnsi" w:hAnsiTheme="majorHAnsi"/>
          <w:sz w:val="20"/>
          <w:szCs w:val="20"/>
          <w:lang w:val="es-ES"/>
        </w:rPr>
        <w:t>basadas en los factores mencionados explícitamente en los</w:t>
      </w:r>
      <w:r w:rsidR="00951651">
        <w:rPr>
          <w:rFonts w:asciiTheme="majorHAnsi" w:hAnsiTheme="majorHAnsi"/>
          <w:sz w:val="20"/>
          <w:szCs w:val="20"/>
          <w:lang w:val="es-ES"/>
        </w:rPr>
        <w:t xml:space="preserve"> artículos </w:t>
      </w:r>
      <w:r w:rsidR="00265BAE" w:rsidRPr="00951651">
        <w:rPr>
          <w:rFonts w:asciiTheme="majorHAnsi" w:hAnsiTheme="majorHAnsi"/>
          <w:sz w:val="20"/>
          <w:szCs w:val="20"/>
          <w:lang w:val="es-ES"/>
        </w:rPr>
        <w:t>pertinent</w:t>
      </w:r>
      <w:r w:rsidR="00951651">
        <w:rPr>
          <w:rFonts w:asciiTheme="majorHAnsi" w:hAnsiTheme="majorHAnsi"/>
          <w:sz w:val="20"/>
          <w:szCs w:val="20"/>
          <w:lang w:val="es-ES"/>
        </w:rPr>
        <w:t xml:space="preserve">es de </w:t>
      </w:r>
      <w:r w:rsidR="00951651" w:rsidRPr="00951651">
        <w:rPr>
          <w:rFonts w:asciiTheme="majorHAnsi" w:hAnsiTheme="majorHAnsi"/>
          <w:sz w:val="20"/>
          <w:szCs w:val="20"/>
          <w:lang w:val="es-ES"/>
        </w:rPr>
        <w:t>instrumentos internacionales sobre derechos humanos están sujetas a un grado de escrutinio especialmente estricto, en virtud de lo cual los Estados deben aportar un interés particularmente importante y una justificación cabal de la distinción</w:t>
      </w:r>
      <w:r w:rsidR="00265BAE" w:rsidRPr="00951651">
        <w:rPr>
          <w:rStyle w:val="FootnoteReference"/>
          <w:rFonts w:asciiTheme="majorHAnsi" w:hAnsiTheme="majorHAnsi"/>
          <w:sz w:val="20"/>
          <w:szCs w:val="20"/>
          <w:lang w:val="es-ES"/>
        </w:rPr>
        <w:footnoteReference w:id="62"/>
      </w:r>
      <w:r w:rsidR="00951651">
        <w:rPr>
          <w:rFonts w:asciiTheme="majorHAnsi" w:hAnsiTheme="majorHAnsi"/>
          <w:sz w:val="20"/>
          <w:szCs w:val="20"/>
          <w:lang w:val="es-ES"/>
        </w:rPr>
        <w:t>.</w:t>
      </w:r>
      <w:r w:rsidR="00265BAE" w:rsidRPr="00951651">
        <w:rPr>
          <w:rFonts w:asciiTheme="majorHAnsi" w:hAnsiTheme="majorHAnsi"/>
          <w:sz w:val="20"/>
          <w:szCs w:val="20"/>
          <w:lang w:val="es-ES"/>
        </w:rPr>
        <w:t xml:space="preserve"> </w:t>
      </w:r>
    </w:p>
    <w:p w14:paraId="6EEA5CE4" w14:textId="77777777" w:rsidR="004D26F5" w:rsidRPr="007A3389" w:rsidRDefault="004D26F5" w:rsidP="004D26F5">
      <w:pPr>
        <w:pStyle w:val="ListParagraph"/>
        <w:rPr>
          <w:rFonts w:asciiTheme="majorHAnsi" w:hAnsiTheme="majorHAnsi"/>
          <w:sz w:val="20"/>
          <w:szCs w:val="20"/>
          <w:lang w:val="es-ES"/>
        </w:rPr>
      </w:pPr>
    </w:p>
    <w:p w14:paraId="2FFA8786" w14:textId="77777777" w:rsidR="00265BAE" w:rsidRPr="00951651" w:rsidRDefault="00951651" w:rsidP="00265BAE">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Theme="majorHAnsi" w:hAnsiTheme="majorHAnsi"/>
          <w:sz w:val="20"/>
          <w:szCs w:val="20"/>
          <w:lang w:val="es-ES"/>
        </w:rPr>
        <w:t>Por lo tanto</w:t>
      </w:r>
      <w:r w:rsidR="00265BAE" w:rsidRPr="007A3389">
        <w:rPr>
          <w:rFonts w:asciiTheme="majorHAnsi" w:hAnsiTheme="majorHAnsi"/>
          <w:sz w:val="20"/>
          <w:szCs w:val="20"/>
          <w:lang w:val="es-ES"/>
        </w:rPr>
        <w:t xml:space="preserve">, </w:t>
      </w:r>
      <w:r>
        <w:rPr>
          <w:rFonts w:asciiTheme="majorHAnsi" w:hAnsiTheme="majorHAnsi"/>
          <w:sz w:val="20"/>
          <w:szCs w:val="20"/>
          <w:lang w:val="es-ES"/>
        </w:rPr>
        <w:t>el trato arbitrario y las distinciones basadas en la raza o el origen étnico están prohibidos por el derecho internacional de los derechos humanos y debe</w:t>
      </w:r>
      <w:r w:rsidRPr="00951651">
        <w:rPr>
          <w:rFonts w:asciiTheme="majorHAnsi" w:hAnsiTheme="majorHAnsi"/>
          <w:sz w:val="20"/>
          <w:szCs w:val="20"/>
          <w:lang w:val="es-ES"/>
        </w:rPr>
        <w:t xml:space="preserve">n evitarse. Las restricciones basadas en la raza deben fundamentarse en razones muy apremiantes; </w:t>
      </w:r>
      <w:r w:rsidR="000F53F9">
        <w:rPr>
          <w:rFonts w:asciiTheme="majorHAnsi" w:hAnsiTheme="majorHAnsi"/>
          <w:sz w:val="20"/>
          <w:szCs w:val="20"/>
          <w:lang w:val="es-ES"/>
        </w:rPr>
        <w:t>al respecto</w:t>
      </w:r>
      <w:r w:rsidRPr="00951651">
        <w:rPr>
          <w:rFonts w:asciiTheme="majorHAnsi" w:hAnsiTheme="majorHAnsi"/>
          <w:sz w:val="20"/>
          <w:szCs w:val="20"/>
          <w:lang w:val="es-ES"/>
        </w:rPr>
        <w:t xml:space="preserve">, existe una </w:t>
      </w:r>
      <w:r>
        <w:rPr>
          <w:rFonts w:asciiTheme="majorHAnsi" w:hAnsiTheme="majorHAnsi"/>
          <w:sz w:val="20"/>
          <w:szCs w:val="20"/>
          <w:lang w:val="es-ES"/>
        </w:rPr>
        <w:t>“</w:t>
      </w:r>
      <w:r w:rsidRPr="00951651">
        <w:rPr>
          <w:rFonts w:asciiTheme="majorHAnsi" w:hAnsiTheme="majorHAnsi"/>
          <w:sz w:val="20"/>
          <w:szCs w:val="20"/>
          <w:lang w:val="es-ES"/>
        </w:rPr>
        <w:t>presunción de invalidez</w:t>
      </w:r>
      <w:r>
        <w:rPr>
          <w:rFonts w:asciiTheme="majorHAnsi" w:hAnsiTheme="majorHAnsi"/>
          <w:sz w:val="20"/>
          <w:szCs w:val="20"/>
          <w:lang w:val="es-ES"/>
        </w:rPr>
        <w:t>”</w:t>
      </w:r>
      <w:r w:rsidRPr="00951651">
        <w:rPr>
          <w:rFonts w:asciiTheme="majorHAnsi" w:hAnsiTheme="majorHAnsi"/>
          <w:sz w:val="20"/>
          <w:szCs w:val="20"/>
          <w:lang w:val="es-ES"/>
        </w:rPr>
        <w:t xml:space="preserve"> y la carga de la prueba recae en el Estado</w:t>
      </w:r>
      <w:r w:rsidR="00265BAE" w:rsidRPr="00951651">
        <w:rPr>
          <w:rFonts w:asciiTheme="majorHAnsi" w:hAnsiTheme="majorHAnsi"/>
          <w:sz w:val="20"/>
          <w:szCs w:val="20"/>
          <w:lang w:val="es-ES"/>
        </w:rPr>
        <w:t xml:space="preserve">. </w:t>
      </w:r>
      <w:r w:rsidRPr="00951651">
        <w:rPr>
          <w:rFonts w:asciiTheme="majorHAnsi" w:hAnsiTheme="majorHAnsi"/>
          <w:sz w:val="20"/>
          <w:szCs w:val="20"/>
          <w:lang w:val="es-ES"/>
        </w:rPr>
        <w:t xml:space="preserve">La Comisión ha subrayado </w:t>
      </w:r>
      <w:r>
        <w:rPr>
          <w:rFonts w:asciiTheme="majorHAnsi" w:hAnsiTheme="majorHAnsi"/>
          <w:sz w:val="20"/>
          <w:szCs w:val="20"/>
          <w:lang w:val="es-ES"/>
        </w:rPr>
        <w:t xml:space="preserve">la necesidad de examinar </w:t>
      </w:r>
      <w:r w:rsidRPr="00951651">
        <w:rPr>
          <w:rFonts w:asciiTheme="majorHAnsi" w:hAnsiTheme="majorHAnsi"/>
          <w:sz w:val="20"/>
          <w:szCs w:val="20"/>
          <w:lang w:val="es-ES"/>
        </w:rPr>
        <w:t xml:space="preserve">las leyes y políticas para </w:t>
      </w:r>
      <w:r>
        <w:rPr>
          <w:rFonts w:asciiTheme="majorHAnsi" w:hAnsiTheme="majorHAnsi"/>
          <w:sz w:val="20"/>
          <w:szCs w:val="20"/>
          <w:lang w:val="es-ES"/>
        </w:rPr>
        <w:t xml:space="preserve">asegurar </w:t>
      </w:r>
      <w:r w:rsidRPr="00951651">
        <w:rPr>
          <w:rFonts w:asciiTheme="majorHAnsi" w:hAnsiTheme="majorHAnsi"/>
          <w:sz w:val="20"/>
          <w:szCs w:val="20"/>
          <w:lang w:val="es-ES"/>
        </w:rPr>
        <w:t xml:space="preserve">que </w:t>
      </w:r>
      <w:r>
        <w:rPr>
          <w:rFonts w:asciiTheme="majorHAnsi" w:hAnsiTheme="majorHAnsi"/>
          <w:sz w:val="20"/>
          <w:szCs w:val="20"/>
          <w:lang w:val="es-ES"/>
        </w:rPr>
        <w:t xml:space="preserve">se ciñan a </w:t>
      </w:r>
      <w:r w:rsidRPr="00951651">
        <w:rPr>
          <w:rFonts w:asciiTheme="majorHAnsi" w:hAnsiTheme="majorHAnsi"/>
          <w:sz w:val="20"/>
          <w:szCs w:val="20"/>
          <w:lang w:val="es-ES"/>
        </w:rPr>
        <w:t>los principios de igualdad y no discriminación</w:t>
      </w:r>
      <w:r>
        <w:rPr>
          <w:rFonts w:asciiTheme="majorHAnsi" w:hAnsiTheme="majorHAnsi"/>
          <w:sz w:val="20"/>
          <w:szCs w:val="20"/>
          <w:lang w:val="es-ES"/>
        </w:rPr>
        <w:t xml:space="preserve">. En </w:t>
      </w:r>
      <w:r w:rsidRPr="00951651">
        <w:rPr>
          <w:rFonts w:asciiTheme="majorHAnsi" w:hAnsiTheme="majorHAnsi"/>
          <w:sz w:val="20"/>
          <w:szCs w:val="20"/>
          <w:lang w:val="es-ES"/>
        </w:rPr>
        <w:t xml:space="preserve">este análisis </w:t>
      </w:r>
      <w:r>
        <w:rPr>
          <w:rFonts w:asciiTheme="majorHAnsi" w:hAnsiTheme="majorHAnsi"/>
          <w:sz w:val="20"/>
          <w:szCs w:val="20"/>
          <w:lang w:val="es-ES"/>
        </w:rPr>
        <w:t xml:space="preserve">se </w:t>
      </w:r>
      <w:r w:rsidRPr="00951651">
        <w:rPr>
          <w:rFonts w:asciiTheme="majorHAnsi" w:hAnsiTheme="majorHAnsi"/>
          <w:sz w:val="20"/>
          <w:szCs w:val="20"/>
          <w:lang w:val="es-ES"/>
        </w:rPr>
        <w:t>debe evaluar el po</w:t>
      </w:r>
      <w:r>
        <w:rPr>
          <w:rFonts w:asciiTheme="majorHAnsi" w:hAnsiTheme="majorHAnsi"/>
          <w:sz w:val="20"/>
          <w:szCs w:val="20"/>
          <w:lang w:val="es-ES"/>
        </w:rPr>
        <w:t xml:space="preserve">sible </w:t>
      </w:r>
      <w:r w:rsidRPr="00951651">
        <w:rPr>
          <w:rFonts w:asciiTheme="majorHAnsi" w:hAnsiTheme="majorHAnsi"/>
          <w:sz w:val="20"/>
          <w:szCs w:val="20"/>
          <w:lang w:val="es-ES"/>
        </w:rPr>
        <w:t>efecto discriminatorio incluso de disposiciones aparentemente neutrales</w:t>
      </w:r>
      <w:r w:rsidR="00265BAE" w:rsidRPr="00951651">
        <w:rPr>
          <w:rFonts w:asciiTheme="majorHAnsi" w:hAnsiTheme="majorHAnsi"/>
          <w:sz w:val="20"/>
          <w:szCs w:val="20"/>
          <w:lang w:val="es-ES"/>
        </w:rPr>
        <w:t xml:space="preserve">. </w:t>
      </w:r>
      <w:r w:rsidRPr="00951651">
        <w:rPr>
          <w:rFonts w:asciiTheme="majorHAnsi" w:hAnsiTheme="majorHAnsi"/>
          <w:sz w:val="20"/>
          <w:szCs w:val="20"/>
          <w:lang w:val="es-ES"/>
        </w:rPr>
        <w:t>Eso</w:t>
      </w:r>
      <w:r w:rsidR="000F53F9">
        <w:rPr>
          <w:rFonts w:asciiTheme="majorHAnsi" w:hAnsiTheme="majorHAnsi"/>
          <w:sz w:val="20"/>
          <w:szCs w:val="20"/>
          <w:lang w:val="es-ES"/>
        </w:rPr>
        <w:t xml:space="preserve"> se debe a </w:t>
      </w:r>
      <w:r w:rsidRPr="00951651">
        <w:rPr>
          <w:rFonts w:asciiTheme="majorHAnsi" w:hAnsiTheme="majorHAnsi"/>
          <w:sz w:val="20"/>
          <w:szCs w:val="20"/>
          <w:lang w:val="es-ES"/>
        </w:rPr>
        <w:t>que los Estados no solo están obligados a proporcionar igual protección de la ley, sino que también deben adoptar las medidas legislativas, de política y de otra índole necesarias para garantizar el disfrute efectivo de los derechos protegidos por el</w:t>
      </w:r>
      <w:r w:rsidR="00265BAE" w:rsidRPr="00951651">
        <w:rPr>
          <w:rFonts w:asciiTheme="majorHAnsi" w:hAnsiTheme="majorHAnsi"/>
          <w:sz w:val="20"/>
          <w:szCs w:val="20"/>
          <w:lang w:val="es-ES"/>
        </w:rPr>
        <w:t xml:space="preserve"> </w:t>
      </w:r>
      <w:r w:rsidR="00175318" w:rsidRPr="00951651">
        <w:rPr>
          <w:rFonts w:asciiTheme="majorHAnsi" w:hAnsiTheme="majorHAnsi"/>
          <w:sz w:val="20"/>
          <w:szCs w:val="20"/>
          <w:lang w:val="es-ES"/>
        </w:rPr>
        <w:t>artículo</w:t>
      </w:r>
      <w:r w:rsidR="00265BAE" w:rsidRPr="00951651">
        <w:rPr>
          <w:rFonts w:asciiTheme="majorHAnsi" w:hAnsiTheme="majorHAnsi"/>
          <w:sz w:val="20"/>
          <w:szCs w:val="20"/>
          <w:lang w:val="es-ES"/>
        </w:rPr>
        <w:t xml:space="preserve"> II </w:t>
      </w:r>
      <w:r w:rsidRPr="00951651">
        <w:rPr>
          <w:rFonts w:asciiTheme="majorHAnsi" w:hAnsiTheme="majorHAnsi"/>
          <w:sz w:val="20"/>
          <w:szCs w:val="20"/>
          <w:lang w:val="es-ES"/>
        </w:rPr>
        <w:t>de</w:t>
      </w:r>
      <w:r w:rsidR="00265BAE" w:rsidRPr="00951651">
        <w:rPr>
          <w:rFonts w:asciiTheme="majorHAnsi" w:hAnsiTheme="majorHAnsi"/>
          <w:sz w:val="20"/>
          <w:szCs w:val="20"/>
          <w:lang w:val="es-ES"/>
        </w:rPr>
        <w:t xml:space="preserve"> </w:t>
      </w:r>
      <w:r w:rsidR="00631955" w:rsidRPr="00951651">
        <w:rPr>
          <w:rFonts w:asciiTheme="majorHAnsi" w:hAnsiTheme="majorHAnsi"/>
          <w:sz w:val="20"/>
          <w:szCs w:val="20"/>
          <w:lang w:val="es-ES"/>
        </w:rPr>
        <w:t>la Declaración Americana</w:t>
      </w:r>
      <w:r w:rsidR="00265BAE" w:rsidRPr="00951651">
        <w:rPr>
          <w:rStyle w:val="FootnoteReference"/>
          <w:rFonts w:asciiTheme="majorHAnsi" w:hAnsiTheme="majorHAnsi"/>
          <w:sz w:val="20"/>
          <w:szCs w:val="20"/>
          <w:lang w:val="es-ES"/>
        </w:rPr>
        <w:footnoteReference w:id="63"/>
      </w:r>
      <w:r w:rsidRPr="00951651">
        <w:rPr>
          <w:rFonts w:asciiTheme="majorHAnsi" w:hAnsiTheme="majorHAnsi"/>
          <w:sz w:val="20"/>
          <w:szCs w:val="20"/>
          <w:lang w:val="es-ES"/>
        </w:rPr>
        <w:t>.</w:t>
      </w:r>
    </w:p>
    <w:p w14:paraId="392DDA59" w14:textId="77777777" w:rsidR="00265BAE" w:rsidRPr="007A3389" w:rsidRDefault="00265BAE" w:rsidP="00265BAE">
      <w:pPr>
        <w:pStyle w:val="ListParagraph"/>
        <w:ind w:left="1440" w:hanging="720"/>
        <w:jc w:val="both"/>
        <w:rPr>
          <w:rFonts w:asciiTheme="majorHAnsi" w:hAnsiTheme="majorHAnsi"/>
          <w:b/>
          <w:color w:val="auto"/>
          <w:sz w:val="20"/>
          <w:szCs w:val="20"/>
          <w:lang w:val="es-ES"/>
        </w:rPr>
      </w:pPr>
    </w:p>
    <w:p w14:paraId="2F1E6ACA" w14:textId="77777777" w:rsidR="007A037E" w:rsidRPr="007A3389" w:rsidRDefault="009136CF" w:rsidP="007A037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eastAsia="Times New Roman" w:hAnsiTheme="majorHAnsi"/>
          <w:sz w:val="20"/>
          <w:szCs w:val="20"/>
          <w:lang w:val="es-ES"/>
        </w:rPr>
        <w:t xml:space="preserve">En el caso de </w:t>
      </w:r>
      <w:r w:rsidR="00265BAE" w:rsidRPr="00D30858">
        <w:rPr>
          <w:rFonts w:asciiTheme="majorHAnsi" w:hAnsiTheme="majorHAnsi"/>
          <w:bCs/>
          <w:i/>
          <w:color w:val="auto"/>
          <w:sz w:val="20"/>
          <w:szCs w:val="20"/>
          <w:lang w:val="es-ES"/>
        </w:rPr>
        <w:t>William Andrews</w:t>
      </w:r>
      <w:r w:rsidR="004D26F5" w:rsidRPr="007A3389">
        <w:rPr>
          <w:rFonts w:asciiTheme="majorHAnsi" w:hAnsiTheme="majorHAnsi"/>
          <w:bCs/>
          <w:color w:val="auto"/>
          <w:sz w:val="20"/>
          <w:szCs w:val="20"/>
          <w:lang w:val="es-ES"/>
        </w:rPr>
        <w:t>,</w:t>
      </w:r>
      <w:r w:rsidR="004D26F5" w:rsidRPr="007A3389">
        <w:rPr>
          <w:rFonts w:asciiTheme="majorHAnsi" w:hAnsiTheme="majorHAnsi"/>
          <w:bCs/>
          <w:sz w:val="20"/>
          <w:szCs w:val="20"/>
          <w:lang w:val="es-ES"/>
        </w:rPr>
        <w:t xml:space="preserve"> </w:t>
      </w:r>
      <w:proofErr w:type="spellStart"/>
      <w:r w:rsidR="004D26F5" w:rsidRPr="007A3389">
        <w:rPr>
          <w:rFonts w:asciiTheme="majorHAnsi" w:hAnsiTheme="majorHAnsi"/>
          <w:bCs/>
          <w:sz w:val="20"/>
          <w:szCs w:val="20"/>
          <w:lang w:val="es-ES"/>
        </w:rPr>
        <w:t>a</w:t>
      </w:r>
      <w:r>
        <w:rPr>
          <w:rFonts w:asciiTheme="majorHAnsi" w:hAnsiTheme="majorHAnsi"/>
          <w:bCs/>
          <w:sz w:val="20"/>
          <w:szCs w:val="20"/>
          <w:lang w:val="es-ES"/>
        </w:rPr>
        <w:t>froestadounidense</w:t>
      </w:r>
      <w:proofErr w:type="spellEnd"/>
      <w:r>
        <w:rPr>
          <w:rFonts w:asciiTheme="majorHAnsi" w:hAnsiTheme="majorHAnsi"/>
          <w:bCs/>
          <w:sz w:val="20"/>
          <w:szCs w:val="20"/>
          <w:lang w:val="es-ES"/>
        </w:rPr>
        <w:t xml:space="preserve"> que estaba en el corredor de la muerte</w:t>
      </w:r>
      <w:r w:rsidR="004D26F5" w:rsidRPr="007A3389">
        <w:rPr>
          <w:rFonts w:asciiTheme="majorHAnsi" w:hAnsiTheme="majorHAnsi"/>
          <w:bCs/>
          <w:sz w:val="20"/>
          <w:szCs w:val="20"/>
          <w:lang w:val="es-ES"/>
        </w:rPr>
        <w:t xml:space="preserve">, </w:t>
      </w:r>
      <w:r w:rsidR="00631955" w:rsidRPr="007A3389">
        <w:rPr>
          <w:rFonts w:asciiTheme="majorHAnsi" w:hAnsiTheme="majorHAnsi"/>
          <w:bCs/>
          <w:color w:val="auto"/>
          <w:sz w:val="20"/>
          <w:szCs w:val="20"/>
          <w:lang w:val="es-ES"/>
        </w:rPr>
        <w:t>la CIDH</w:t>
      </w:r>
      <w:r w:rsidR="00265BAE" w:rsidRPr="007A3389">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determinó que la existencia de una apariencia razonable de cierta </w:t>
      </w:r>
      <w:r w:rsidR="00265BAE" w:rsidRPr="007A3389">
        <w:rPr>
          <w:rFonts w:asciiTheme="majorHAnsi" w:hAnsiTheme="majorHAnsi"/>
          <w:bCs/>
          <w:color w:val="auto"/>
          <w:sz w:val="20"/>
          <w:szCs w:val="20"/>
          <w:lang w:val="es-ES"/>
        </w:rPr>
        <w:t>“</w:t>
      </w:r>
      <w:r>
        <w:rPr>
          <w:rFonts w:asciiTheme="majorHAnsi" w:hAnsiTheme="majorHAnsi"/>
          <w:bCs/>
          <w:color w:val="auto"/>
          <w:sz w:val="20"/>
          <w:szCs w:val="20"/>
          <w:lang w:val="es-ES"/>
        </w:rPr>
        <w:t xml:space="preserve">predisposición </w:t>
      </w:r>
      <w:r w:rsidR="00265BAE" w:rsidRPr="007A3389">
        <w:rPr>
          <w:rFonts w:asciiTheme="majorHAnsi" w:hAnsiTheme="majorHAnsi"/>
          <w:bCs/>
          <w:color w:val="auto"/>
          <w:sz w:val="20"/>
          <w:szCs w:val="20"/>
          <w:lang w:val="es-ES"/>
        </w:rPr>
        <w:t xml:space="preserve">racial” </w:t>
      </w:r>
      <w:r>
        <w:rPr>
          <w:rFonts w:asciiTheme="majorHAnsi" w:hAnsiTheme="majorHAnsi"/>
          <w:bCs/>
          <w:color w:val="auto"/>
          <w:sz w:val="20"/>
          <w:szCs w:val="20"/>
          <w:lang w:val="es-ES"/>
        </w:rPr>
        <w:t>en algunos miembros del jurado, que vició el juicio y condujo a la aplicación de la pena de muerte, constituyó una violación del derecho a un juicio imparcial y a la igualdad ante la ley</w:t>
      </w:r>
      <w:r w:rsidR="00265BAE" w:rsidRPr="007A3389">
        <w:rPr>
          <w:rStyle w:val="FootnoteReference"/>
          <w:rFonts w:asciiTheme="majorHAnsi" w:hAnsiTheme="majorHAnsi"/>
          <w:bCs/>
          <w:color w:val="auto"/>
          <w:sz w:val="20"/>
          <w:szCs w:val="20"/>
          <w:lang w:val="es-ES"/>
        </w:rPr>
        <w:footnoteReference w:id="64"/>
      </w:r>
      <w:r>
        <w:rPr>
          <w:rFonts w:asciiTheme="majorHAnsi" w:hAnsiTheme="majorHAnsi"/>
          <w:bCs/>
          <w:color w:val="auto"/>
          <w:sz w:val="20"/>
          <w:szCs w:val="20"/>
          <w:lang w:val="es-ES"/>
        </w:rPr>
        <w:t>. En el caso de</w:t>
      </w:r>
      <w:r w:rsidR="00265BAE" w:rsidRPr="007A3389">
        <w:rPr>
          <w:rFonts w:asciiTheme="majorHAnsi" w:hAnsiTheme="majorHAnsi"/>
          <w:bCs/>
          <w:sz w:val="20"/>
          <w:szCs w:val="20"/>
          <w:lang w:val="es-ES"/>
        </w:rPr>
        <w:t xml:space="preserve"> </w:t>
      </w:r>
      <w:r w:rsidR="00265BAE" w:rsidRPr="00DD3406">
        <w:rPr>
          <w:rFonts w:asciiTheme="majorHAnsi" w:hAnsiTheme="majorHAnsi"/>
          <w:bCs/>
          <w:i/>
          <w:sz w:val="20"/>
          <w:szCs w:val="20"/>
          <w:lang w:val="es-ES"/>
        </w:rPr>
        <w:t>Kevin Cooper</w:t>
      </w:r>
      <w:r w:rsidR="00E76E80" w:rsidRPr="007A3389">
        <w:rPr>
          <w:rFonts w:asciiTheme="majorHAnsi" w:hAnsiTheme="majorHAnsi"/>
          <w:bCs/>
          <w:sz w:val="20"/>
          <w:szCs w:val="20"/>
          <w:lang w:val="es-ES"/>
        </w:rPr>
        <w:t xml:space="preserve">, </w:t>
      </w:r>
      <w:r>
        <w:rPr>
          <w:rFonts w:asciiTheme="majorHAnsi" w:hAnsiTheme="majorHAnsi"/>
          <w:bCs/>
          <w:sz w:val="20"/>
          <w:szCs w:val="20"/>
          <w:lang w:val="es-ES"/>
        </w:rPr>
        <w:t>otro</w:t>
      </w:r>
      <w:r w:rsidR="004D26F5" w:rsidRPr="007A3389">
        <w:rPr>
          <w:rFonts w:asciiTheme="majorHAnsi" w:hAnsiTheme="majorHAnsi"/>
          <w:bCs/>
          <w:sz w:val="20"/>
          <w:szCs w:val="20"/>
          <w:lang w:val="es-ES"/>
        </w:rPr>
        <w:t xml:space="preserve"> </w:t>
      </w:r>
      <w:proofErr w:type="spellStart"/>
      <w:r w:rsidRPr="009136CF">
        <w:rPr>
          <w:rFonts w:asciiTheme="majorHAnsi" w:hAnsiTheme="majorHAnsi"/>
          <w:bCs/>
          <w:sz w:val="20"/>
          <w:szCs w:val="20"/>
          <w:lang w:val="es-ES"/>
        </w:rPr>
        <w:t>afroestadounidense</w:t>
      </w:r>
      <w:proofErr w:type="spellEnd"/>
      <w:r w:rsidRPr="009136CF">
        <w:rPr>
          <w:rFonts w:asciiTheme="majorHAnsi" w:hAnsiTheme="majorHAnsi"/>
          <w:bCs/>
          <w:sz w:val="20"/>
          <w:szCs w:val="20"/>
          <w:lang w:val="es-ES"/>
        </w:rPr>
        <w:t xml:space="preserve"> que estaba en el corredor de la muerte</w:t>
      </w:r>
      <w:r w:rsidR="00E76E80" w:rsidRPr="007A3389">
        <w:rPr>
          <w:rFonts w:asciiTheme="majorHAnsi" w:hAnsiTheme="majorHAnsi"/>
          <w:bCs/>
          <w:sz w:val="20"/>
          <w:szCs w:val="20"/>
          <w:lang w:val="es-ES"/>
        </w:rPr>
        <w:t>,</w:t>
      </w:r>
      <w:r w:rsidR="00265BAE" w:rsidRPr="007A3389">
        <w:rPr>
          <w:rFonts w:asciiTheme="majorHAnsi" w:hAnsiTheme="majorHAnsi"/>
          <w:bCs/>
          <w:sz w:val="20"/>
          <w:szCs w:val="20"/>
          <w:lang w:val="es-ES"/>
        </w:rPr>
        <w:t xml:space="preserve"> </w:t>
      </w:r>
      <w:r>
        <w:rPr>
          <w:rFonts w:asciiTheme="majorHAnsi" w:hAnsiTheme="majorHAnsi"/>
          <w:bCs/>
          <w:sz w:val="20"/>
          <w:szCs w:val="20"/>
          <w:lang w:val="es-ES"/>
        </w:rPr>
        <w:t xml:space="preserve">la cuestión era las deficiencias del debido proceso que dejaron sin resolver la posibilidad de </w:t>
      </w:r>
      <w:r w:rsidR="00EE0CB0" w:rsidRPr="007A3389">
        <w:rPr>
          <w:rFonts w:asciiTheme="majorHAnsi" w:hAnsiTheme="majorHAnsi"/>
          <w:bCs/>
          <w:color w:val="auto"/>
          <w:sz w:val="20"/>
          <w:szCs w:val="20"/>
          <w:lang w:val="es-ES"/>
        </w:rPr>
        <w:t>discriminación racial</w:t>
      </w:r>
      <w:r w:rsidR="00265BAE" w:rsidRPr="007A3389">
        <w:rPr>
          <w:rStyle w:val="FootnoteReference"/>
          <w:rFonts w:asciiTheme="majorHAnsi" w:hAnsiTheme="majorHAnsi"/>
          <w:bCs/>
          <w:color w:val="auto"/>
          <w:sz w:val="20"/>
          <w:szCs w:val="20"/>
          <w:lang w:val="es-ES"/>
        </w:rPr>
        <w:footnoteReference w:id="65"/>
      </w:r>
      <w:r>
        <w:rPr>
          <w:rFonts w:asciiTheme="majorHAnsi" w:hAnsiTheme="majorHAnsi"/>
          <w:bCs/>
          <w:color w:val="auto"/>
          <w:sz w:val="20"/>
          <w:szCs w:val="20"/>
          <w:lang w:val="es-ES"/>
        </w:rPr>
        <w:t>.</w:t>
      </w:r>
    </w:p>
    <w:p w14:paraId="3CF394C9" w14:textId="77777777" w:rsidR="007A037E" w:rsidRPr="007A3389" w:rsidRDefault="007A037E" w:rsidP="007A037E">
      <w:pPr>
        <w:pStyle w:val="ListParagraph"/>
        <w:rPr>
          <w:rFonts w:asciiTheme="majorHAnsi" w:hAnsiTheme="majorHAnsi"/>
          <w:bCs/>
          <w:color w:val="auto"/>
          <w:sz w:val="20"/>
          <w:szCs w:val="20"/>
          <w:lang w:val="es-ES"/>
        </w:rPr>
      </w:pPr>
    </w:p>
    <w:p w14:paraId="679FAED8" w14:textId="77777777" w:rsidR="00351CDF" w:rsidRPr="007A3389" w:rsidRDefault="009136CF" w:rsidP="007A037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color w:val="auto"/>
          <w:sz w:val="20"/>
          <w:szCs w:val="20"/>
          <w:lang w:val="es-ES"/>
        </w:rPr>
        <w:lastRenderedPageBreak/>
        <w:t xml:space="preserve">En su informe </w:t>
      </w:r>
      <w:r w:rsidRPr="009136CF">
        <w:rPr>
          <w:rFonts w:asciiTheme="majorHAnsi" w:hAnsiTheme="majorHAnsi"/>
          <w:bCs/>
          <w:i/>
          <w:color w:val="auto"/>
          <w:sz w:val="20"/>
          <w:szCs w:val="20"/>
          <w:lang w:val="es-ES"/>
        </w:rPr>
        <w:t>Violencia policial contra afrodescendientes en Estados Unidos</w:t>
      </w:r>
      <w:r w:rsidR="007A037E" w:rsidRPr="007A3389">
        <w:rPr>
          <w:rFonts w:asciiTheme="majorHAnsi" w:hAnsiTheme="majorHAnsi"/>
          <w:bCs/>
          <w:color w:val="auto"/>
          <w:sz w:val="20"/>
          <w:szCs w:val="20"/>
          <w:lang w:val="es-ES"/>
        </w:rPr>
        <w:t xml:space="preserve">, </w:t>
      </w:r>
      <w:r w:rsidR="008A10AB" w:rsidRPr="007A3389">
        <w:rPr>
          <w:rFonts w:asciiTheme="majorHAnsi" w:hAnsiTheme="majorHAnsi"/>
          <w:bCs/>
          <w:color w:val="auto"/>
          <w:sz w:val="20"/>
          <w:szCs w:val="20"/>
          <w:lang w:val="es-ES"/>
        </w:rPr>
        <w:t>la Comisión</w:t>
      </w:r>
      <w:r w:rsidR="007A037E" w:rsidRPr="007A3389">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observa que el marco jurídico de </w:t>
      </w:r>
      <w:r w:rsidR="00631955" w:rsidRPr="007A3389">
        <w:rPr>
          <w:rFonts w:asciiTheme="majorHAnsi" w:eastAsia="Times New Roman" w:hAnsiTheme="majorHAnsi"/>
          <w:sz w:val="20"/>
          <w:szCs w:val="20"/>
          <w:lang w:val="es-ES"/>
        </w:rPr>
        <w:t>Estados Unidos</w:t>
      </w:r>
      <w:r>
        <w:rPr>
          <w:rFonts w:asciiTheme="majorHAnsi" w:eastAsia="Times New Roman" w:hAnsiTheme="majorHAnsi"/>
          <w:sz w:val="20"/>
          <w:szCs w:val="20"/>
          <w:lang w:val="es-ES"/>
        </w:rPr>
        <w:t xml:space="preserve"> </w:t>
      </w:r>
      <w:r w:rsidR="00071776">
        <w:rPr>
          <w:rFonts w:asciiTheme="majorHAnsi" w:eastAsia="Times New Roman" w:hAnsiTheme="majorHAnsi"/>
          <w:sz w:val="20"/>
          <w:szCs w:val="20"/>
          <w:lang w:val="es-ES"/>
        </w:rPr>
        <w:t>que rige los controles policiales</w:t>
      </w:r>
      <w:r w:rsidR="007A037E" w:rsidRPr="007A3389">
        <w:rPr>
          <w:rFonts w:asciiTheme="majorHAnsi" w:eastAsia="Times New Roman" w:hAnsiTheme="majorHAnsi"/>
          <w:sz w:val="20"/>
          <w:szCs w:val="20"/>
          <w:lang w:val="es-ES"/>
        </w:rPr>
        <w:t xml:space="preserve">, </w:t>
      </w:r>
      <w:r w:rsidR="00071776">
        <w:rPr>
          <w:rFonts w:asciiTheme="majorHAnsi" w:eastAsia="Times New Roman" w:hAnsiTheme="majorHAnsi"/>
          <w:sz w:val="20"/>
          <w:szCs w:val="20"/>
          <w:lang w:val="es-ES"/>
        </w:rPr>
        <w:t>como la detención por sospecha razonable, puede permitir o fomentar expresiones de sesgo en la labor policial. E</w:t>
      </w:r>
      <w:r w:rsidR="007A037E" w:rsidRPr="007A3389">
        <w:rPr>
          <w:rFonts w:asciiTheme="majorHAnsi" w:eastAsia="Times New Roman" w:hAnsiTheme="majorHAnsi"/>
          <w:sz w:val="20"/>
          <w:szCs w:val="20"/>
          <w:lang w:val="es-ES"/>
        </w:rPr>
        <w:t xml:space="preserve">n particular, </w:t>
      </w:r>
      <w:r w:rsidR="008A10AB" w:rsidRPr="007A3389">
        <w:rPr>
          <w:rFonts w:asciiTheme="majorHAnsi" w:eastAsia="Times New Roman" w:hAnsiTheme="majorHAnsi"/>
          <w:sz w:val="20"/>
          <w:szCs w:val="20"/>
          <w:lang w:val="es-ES"/>
        </w:rPr>
        <w:t>la Comisión</w:t>
      </w:r>
      <w:r w:rsidR="007A037E" w:rsidRPr="007A3389">
        <w:rPr>
          <w:rFonts w:asciiTheme="majorHAnsi" w:eastAsia="Times New Roman" w:hAnsiTheme="majorHAnsi"/>
          <w:sz w:val="20"/>
          <w:szCs w:val="20"/>
          <w:lang w:val="es-ES"/>
        </w:rPr>
        <w:t xml:space="preserve"> </w:t>
      </w:r>
      <w:r w:rsidR="00071776">
        <w:rPr>
          <w:rFonts w:asciiTheme="majorHAnsi" w:eastAsia="Times New Roman" w:hAnsiTheme="majorHAnsi"/>
          <w:sz w:val="20"/>
          <w:szCs w:val="20"/>
          <w:lang w:val="es-ES"/>
        </w:rPr>
        <w:t>recalc</w:t>
      </w:r>
      <w:r w:rsidR="000F53F9">
        <w:rPr>
          <w:rFonts w:asciiTheme="majorHAnsi" w:eastAsia="Times New Roman" w:hAnsiTheme="majorHAnsi"/>
          <w:sz w:val="20"/>
          <w:szCs w:val="20"/>
          <w:lang w:val="es-ES"/>
        </w:rPr>
        <w:t>a</w:t>
      </w:r>
      <w:r w:rsidR="00071776">
        <w:rPr>
          <w:rFonts w:asciiTheme="majorHAnsi" w:eastAsia="Times New Roman" w:hAnsiTheme="majorHAnsi"/>
          <w:sz w:val="20"/>
          <w:szCs w:val="20"/>
          <w:lang w:val="es-ES"/>
        </w:rPr>
        <w:t xml:space="preserve"> que la detención por sospecha razonable faculta a los agentes de policía para detener brevemente a una persona si tienen una </w:t>
      </w:r>
      <w:r w:rsidR="007A037E" w:rsidRPr="007A3389">
        <w:rPr>
          <w:rFonts w:asciiTheme="majorHAnsi" w:eastAsia="Times New Roman" w:hAnsiTheme="majorHAnsi"/>
          <w:sz w:val="20"/>
          <w:szCs w:val="20"/>
          <w:lang w:val="es-ES"/>
        </w:rPr>
        <w:t>“</w:t>
      </w:r>
      <w:r>
        <w:rPr>
          <w:rFonts w:asciiTheme="majorHAnsi" w:eastAsia="Times New Roman" w:hAnsiTheme="majorHAnsi"/>
          <w:sz w:val="20"/>
          <w:szCs w:val="20"/>
          <w:lang w:val="es-ES"/>
        </w:rPr>
        <w:t>sospecha razonable</w:t>
      </w:r>
      <w:r w:rsidR="007A037E" w:rsidRPr="007A3389">
        <w:rPr>
          <w:rFonts w:asciiTheme="majorHAnsi" w:eastAsia="Times New Roman" w:hAnsiTheme="majorHAnsi"/>
          <w:sz w:val="20"/>
          <w:szCs w:val="20"/>
          <w:lang w:val="es-ES"/>
        </w:rPr>
        <w:t>”</w:t>
      </w:r>
      <w:r w:rsidR="00071776">
        <w:rPr>
          <w:rFonts w:asciiTheme="majorHAnsi" w:eastAsia="Times New Roman" w:hAnsiTheme="majorHAnsi"/>
          <w:sz w:val="20"/>
          <w:szCs w:val="20"/>
          <w:lang w:val="es-ES"/>
        </w:rPr>
        <w:t>, surgida de una</w:t>
      </w:r>
      <w:r w:rsidR="007A037E" w:rsidRPr="007A3389">
        <w:rPr>
          <w:rFonts w:asciiTheme="majorHAnsi" w:eastAsia="Times New Roman" w:hAnsiTheme="majorHAnsi"/>
          <w:sz w:val="20"/>
          <w:szCs w:val="20"/>
          <w:lang w:val="es-ES"/>
        </w:rPr>
        <w:t xml:space="preserve"> “</w:t>
      </w:r>
      <w:r w:rsidR="00071776">
        <w:rPr>
          <w:rFonts w:asciiTheme="majorHAnsi" w:eastAsia="Times New Roman" w:hAnsiTheme="majorHAnsi"/>
          <w:sz w:val="20"/>
          <w:szCs w:val="20"/>
          <w:lang w:val="es-ES"/>
        </w:rPr>
        <w:t xml:space="preserve">base </w:t>
      </w:r>
      <w:r w:rsidR="007A037E" w:rsidRPr="007A3389">
        <w:rPr>
          <w:rFonts w:asciiTheme="majorHAnsi" w:eastAsia="Times New Roman" w:hAnsiTheme="majorHAnsi"/>
          <w:sz w:val="20"/>
          <w:szCs w:val="20"/>
          <w:lang w:val="es-ES"/>
        </w:rPr>
        <w:t>objetiv</w:t>
      </w:r>
      <w:r w:rsidR="00071776">
        <w:rPr>
          <w:rFonts w:asciiTheme="majorHAnsi" w:eastAsia="Times New Roman" w:hAnsiTheme="majorHAnsi"/>
          <w:sz w:val="20"/>
          <w:szCs w:val="20"/>
          <w:lang w:val="es-ES"/>
        </w:rPr>
        <w:t>a</w:t>
      </w:r>
      <w:r w:rsidR="007A037E" w:rsidRPr="007A3389">
        <w:rPr>
          <w:rFonts w:asciiTheme="majorHAnsi" w:eastAsia="Times New Roman" w:hAnsiTheme="majorHAnsi"/>
          <w:sz w:val="20"/>
          <w:szCs w:val="20"/>
          <w:lang w:val="es-ES"/>
        </w:rPr>
        <w:t>”</w:t>
      </w:r>
      <w:r w:rsidR="00071776">
        <w:rPr>
          <w:rFonts w:asciiTheme="majorHAnsi" w:eastAsia="Times New Roman" w:hAnsiTheme="majorHAnsi"/>
          <w:sz w:val="20"/>
          <w:szCs w:val="20"/>
          <w:lang w:val="es-ES"/>
        </w:rPr>
        <w:t>, de que un individuo está realizando un acto delictivo o está por cometerlo</w:t>
      </w:r>
      <w:r w:rsidR="007A037E" w:rsidRPr="007A3389">
        <w:rPr>
          <w:rFonts w:asciiTheme="majorHAnsi" w:eastAsia="Times New Roman" w:hAnsiTheme="majorHAnsi"/>
          <w:sz w:val="20"/>
          <w:szCs w:val="20"/>
          <w:lang w:val="es-ES"/>
        </w:rPr>
        <w:t>.</w:t>
      </w:r>
      <w:r w:rsidR="00351CDF" w:rsidRPr="007A3389">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Al respecto</w:t>
      </w:r>
      <w:r w:rsidR="00351CDF" w:rsidRPr="007A3389">
        <w:rPr>
          <w:rFonts w:asciiTheme="majorHAnsi" w:eastAsia="Times New Roman" w:hAnsiTheme="majorHAnsi"/>
          <w:sz w:val="20"/>
          <w:szCs w:val="20"/>
          <w:lang w:val="es-ES"/>
        </w:rPr>
        <w:t xml:space="preserve">, </w:t>
      </w:r>
      <w:r w:rsidR="008A10AB" w:rsidRPr="007A3389">
        <w:rPr>
          <w:rFonts w:asciiTheme="majorHAnsi" w:eastAsia="Times New Roman" w:hAnsiTheme="majorHAnsi"/>
          <w:sz w:val="20"/>
          <w:szCs w:val="20"/>
          <w:lang w:val="es-ES"/>
        </w:rPr>
        <w:t>la Comisión</w:t>
      </w:r>
      <w:r w:rsidR="00351CDF" w:rsidRPr="007A3389">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observó lo siguiente</w:t>
      </w:r>
      <w:r w:rsidR="00351CDF" w:rsidRPr="007A3389">
        <w:rPr>
          <w:rFonts w:asciiTheme="majorHAnsi" w:eastAsia="Times New Roman" w:hAnsiTheme="majorHAnsi"/>
          <w:sz w:val="20"/>
          <w:szCs w:val="20"/>
          <w:lang w:val="es-ES"/>
        </w:rPr>
        <w:t>:</w:t>
      </w:r>
    </w:p>
    <w:p w14:paraId="74038DC6" w14:textId="77777777" w:rsidR="00351CDF" w:rsidRPr="007A3389" w:rsidRDefault="00351CDF" w:rsidP="00351CDF">
      <w:pPr>
        <w:pStyle w:val="ListParagraph"/>
        <w:rPr>
          <w:rFonts w:asciiTheme="majorHAnsi" w:eastAsia="Times New Roman" w:hAnsiTheme="majorHAnsi"/>
          <w:sz w:val="20"/>
          <w:szCs w:val="20"/>
          <w:lang w:val="es-ES"/>
        </w:rPr>
      </w:pPr>
    </w:p>
    <w:p w14:paraId="4762E80E" w14:textId="77777777" w:rsidR="007A037E" w:rsidRPr="009136CF" w:rsidRDefault="007A037E" w:rsidP="00351CD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Theme="majorHAnsi" w:hAnsiTheme="majorHAnsi"/>
          <w:bCs/>
          <w:color w:val="auto"/>
          <w:sz w:val="18"/>
          <w:szCs w:val="18"/>
          <w:lang w:val="es-ES"/>
        </w:rPr>
      </w:pPr>
      <w:r w:rsidRPr="009136CF">
        <w:rPr>
          <w:rFonts w:asciiTheme="majorHAnsi" w:eastAsia="Times New Roman" w:hAnsiTheme="majorHAnsi"/>
          <w:sz w:val="18"/>
          <w:szCs w:val="18"/>
          <w:lang w:val="es-ES"/>
        </w:rPr>
        <w:t>“</w:t>
      </w:r>
      <w:r w:rsidR="009136CF" w:rsidRPr="009136CF">
        <w:rPr>
          <w:rFonts w:asciiTheme="majorHAnsi" w:eastAsia="Times New Roman" w:hAnsiTheme="majorHAnsi"/>
          <w:sz w:val="18"/>
          <w:szCs w:val="18"/>
          <w:lang w:val="es-ES"/>
        </w:rPr>
        <w:t xml:space="preserve">Sospecha razonable” es un límite determinado por el contexto social inferior a la </w:t>
      </w:r>
      <w:r w:rsidR="000F53F9">
        <w:rPr>
          <w:rFonts w:asciiTheme="majorHAnsi" w:eastAsia="Times New Roman" w:hAnsiTheme="majorHAnsi"/>
          <w:sz w:val="18"/>
          <w:szCs w:val="18"/>
          <w:lang w:val="es-ES"/>
        </w:rPr>
        <w:t>“</w:t>
      </w:r>
      <w:r w:rsidR="009136CF" w:rsidRPr="009136CF">
        <w:rPr>
          <w:rFonts w:asciiTheme="majorHAnsi" w:eastAsia="Times New Roman" w:hAnsiTheme="majorHAnsi"/>
          <w:sz w:val="18"/>
          <w:szCs w:val="18"/>
          <w:lang w:val="es-ES"/>
        </w:rPr>
        <w:t>causa probable</w:t>
      </w:r>
      <w:r w:rsidR="000F53F9">
        <w:rPr>
          <w:rFonts w:asciiTheme="majorHAnsi" w:eastAsia="Times New Roman" w:hAnsiTheme="majorHAnsi"/>
          <w:sz w:val="18"/>
          <w:szCs w:val="18"/>
          <w:lang w:val="es-ES"/>
        </w:rPr>
        <w:t>”</w:t>
      </w:r>
      <w:r w:rsidR="009136CF" w:rsidRPr="009136CF">
        <w:rPr>
          <w:rFonts w:asciiTheme="majorHAnsi" w:eastAsia="Times New Roman" w:hAnsiTheme="majorHAnsi"/>
          <w:sz w:val="18"/>
          <w:szCs w:val="18"/>
          <w:lang w:val="es-ES"/>
        </w:rPr>
        <w:t xml:space="preserve"> exigida para cacheos e incautaciones según la Cuarta Enmienda. Por ejemplo, la Corte Suprema ha concluido que el hecho de que un hombre negro se encuentre corriendo en una zona de </w:t>
      </w:r>
      <w:r w:rsidR="000F53F9">
        <w:rPr>
          <w:rFonts w:asciiTheme="majorHAnsi" w:eastAsia="Times New Roman" w:hAnsiTheme="majorHAnsi"/>
          <w:sz w:val="18"/>
          <w:szCs w:val="18"/>
          <w:lang w:val="es-ES"/>
        </w:rPr>
        <w:t>“</w:t>
      </w:r>
      <w:r w:rsidR="009136CF" w:rsidRPr="009136CF">
        <w:rPr>
          <w:rFonts w:asciiTheme="majorHAnsi" w:eastAsia="Times New Roman" w:hAnsiTheme="majorHAnsi"/>
          <w:sz w:val="18"/>
          <w:szCs w:val="18"/>
          <w:lang w:val="es-ES"/>
        </w:rPr>
        <w:t>alta criminalidad</w:t>
      </w:r>
      <w:r w:rsidR="000F53F9">
        <w:rPr>
          <w:rFonts w:asciiTheme="majorHAnsi" w:eastAsia="Times New Roman" w:hAnsiTheme="majorHAnsi"/>
          <w:sz w:val="18"/>
          <w:szCs w:val="18"/>
          <w:lang w:val="es-ES"/>
        </w:rPr>
        <w:t>”</w:t>
      </w:r>
      <w:r w:rsidR="009136CF" w:rsidRPr="009136CF">
        <w:rPr>
          <w:rFonts w:asciiTheme="majorHAnsi" w:eastAsia="Times New Roman" w:hAnsiTheme="majorHAnsi"/>
          <w:sz w:val="18"/>
          <w:szCs w:val="18"/>
          <w:lang w:val="es-ES"/>
        </w:rPr>
        <w:t xml:space="preserve"> puede ser motivo suficiente para una </w:t>
      </w:r>
      <w:r w:rsidR="000F53F9">
        <w:rPr>
          <w:rFonts w:asciiTheme="majorHAnsi" w:eastAsia="Times New Roman" w:hAnsiTheme="majorHAnsi"/>
          <w:sz w:val="18"/>
          <w:szCs w:val="18"/>
          <w:lang w:val="es-ES"/>
        </w:rPr>
        <w:t>“</w:t>
      </w:r>
      <w:r w:rsidR="009136CF" w:rsidRPr="009136CF">
        <w:rPr>
          <w:rFonts w:asciiTheme="majorHAnsi" w:eastAsia="Times New Roman" w:hAnsiTheme="majorHAnsi"/>
          <w:sz w:val="18"/>
          <w:szCs w:val="18"/>
          <w:lang w:val="es-ES"/>
        </w:rPr>
        <w:t>sospecha razonable</w:t>
      </w:r>
      <w:r w:rsidR="000F53F9">
        <w:rPr>
          <w:rFonts w:asciiTheme="majorHAnsi" w:eastAsia="Times New Roman" w:hAnsiTheme="majorHAnsi"/>
          <w:sz w:val="18"/>
          <w:szCs w:val="18"/>
          <w:lang w:val="es-ES"/>
        </w:rPr>
        <w:t>”</w:t>
      </w:r>
      <w:r w:rsidR="009136CF" w:rsidRPr="009136CF">
        <w:rPr>
          <w:rFonts w:asciiTheme="majorHAnsi" w:eastAsia="Times New Roman" w:hAnsiTheme="majorHAnsi"/>
          <w:sz w:val="18"/>
          <w:szCs w:val="18"/>
          <w:lang w:val="es-ES"/>
        </w:rPr>
        <w:t xml:space="preserve"> y que dé lugar a que un policía decida detenerlo</w:t>
      </w:r>
      <w:r w:rsidR="009136CF" w:rsidRPr="009136CF">
        <w:rPr>
          <w:rFonts w:asciiTheme="majorHAnsi" w:eastAsia="Times New Roman" w:hAnsiTheme="majorHAnsi"/>
          <w:sz w:val="18"/>
          <w:szCs w:val="18"/>
          <w:vertAlign w:val="superscript"/>
          <w:lang w:val="es-ES"/>
        </w:rPr>
        <w:footnoteReference w:id="66"/>
      </w:r>
      <w:r w:rsidRPr="009136CF">
        <w:rPr>
          <w:rFonts w:asciiTheme="majorHAnsi" w:hAnsiTheme="majorHAnsi"/>
          <w:sz w:val="18"/>
          <w:szCs w:val="18"/>
          <w:lang w:val="es-ES"/>
        </w:rPr>
        <w:t xml:space="preserve">. </w:t>
      </w:r>
    </w:p>
    <w:p w14:paraId="386D3621" w14:textId="77777777" w:rsidR="00A36BE9" w:rsidRPr="007A3389" w:rsidRDefault="00A36BE9" w:rsidP="007A037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lang w:val="es-ES"/>
        </w:rPr>
      </w:pPr>
    </w:p>
    <w:p w14:paraId="50C2700C" w14:textId="77777777" w:rsidR="00B9441F" w:rsidRPr="007A3389" w:rsidRDefault="003010E1" w:rsidP="00B9441F">
      <w:pPr>
        <w:pStyle w:val="ListParagraph"/>
        <w:numPr>
          <w:ilvl w:val="3"/>
          <w:numId w:val="53"/>
        </w:numPr>
        <w:ind w:left="360"/>
        <w:jc w:val="both"/>
        <w:rPr>
          <w:rFonts w:asciiTheme="majorHAnsi" w:hAnsiTheme="majorHAnsi"/>
          <w:b/>
          <w:color w:val="auto"/>
          <w:sz w:val="20"/>
          <w:szCs w:val="20"/>
          <w:lang w:val="es-ES"/>
        </w:rPr>
      </w:pPr>
      <w:r w:rsidRPr="007A3389">
        <w:rPr>
          <w:rFonts w:asciiTheme="majorHAnsi" w:hAnsiTheme="majorHAnsi"/>
          <w:b/>
          <w:color w:val="auto"/>
          <w:sz w:val="20"/>
          <w:szCs w:val="20"/>
          <w:lang w:val="es-ES"/>
        </w:rPr>
        <w:t>Análisis del caso</w:t>
      </w:r>
    </w:p>
    <w:p w14:paraId="4E5150F4" w14:textId="77777777" w:rsidR="00B9441F" w:rsidRPr="007A3389" w:rsidRDefault="00B9441F" w:rsidP="007A037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lang w:val="es-ES"/>
        </w:rPr>
      </w:pPr>
    </w:p>
    <w:p w14:paraId="209B7D41" w14:textId="77777777" w:rsidR="004F65A8" w:rsidRPr="007A3389" w:rsidRDefault="00071776" w:rsidP="003C79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color w:val="auto"/>
          <w:sz w:val="20"/>
          <w:szCs w:val="20"/>
          <w:lang w:val="es-ES"/>
        </w:rPr>
        <w:t xml:space="preserve">Según los hechos demostrados en el presente informe, el </w:t>
      </w:r>
      <w:r w:rsidR="00A10863" w:rsidRPr="007A3389">
        <w:rPr>
          <w:rFonts w:asciiTheme="majorHAnsi" w:hAnsiTheme="majorHAnsi"/>
          <w:bCs/>
          <w:color w:val="auto"/>
          <w:sz w:val="20"/>
          <w:szCs w:val="20"/>
          <w:lang w:val="es-ES"/>
        </w:rPr>
        <w:t>16</w:t>
      </w:r>
      <w:r>
        <w:rPr>
          <w:rFonts w:asciiTheme="majorHAnsi" w:hAnsiTheme="majorHAnsi"/>
          <w:bCs/>
          <w:color w:val="auto"/>
          <w:sz w:val="20"/>
          <w:szCs w:val="20"/>
          <w:lang w:val="es-ES"/>
        </w:rPr>
        <w:t xml:space="preserve"> de enero de</w:t>
      </w:r>
      <w:r w:rsidR="00A10863" w:rsidRPr="007A3389">
        <w:rPr>
          <w:rFonts w:asciiTheme="majorHAnsi" w:hAnsiTheme="majorHAnsi"/>
          <w:bCs/>
          <w:color w:val="auto"/>
          <w:sz w:val="20"/>
          <w:szCs w:val="20"/>
          <w:lang w:val="es-ES"/>
        </w:rPr>
        <w:t xml:space="preserve"> 1991, </w:t>
      </w:r>
      <w:r w:rsidR="00D87346" w:rsidRPr="007A3389">
        <w:rPr>
          <w:rFonts w:asciiTheme="majorHAnsi" w:hAnsiTheme="majorHAnsi"/>
          <w:bCs/>
          <w:color w:val="auto"/>
          <w:sz w:val="20"/>
          <w:szCs w:val="20"/>
          <w:lang w:val="es-ES"/>
        </w:rPr>
        <w:t>el señor</w:t>
      </w:r>
      <w:r w:rsidR="001D6707" w:rsidRPr="007A3389">
        <w:rPr>
          <w:rFonts w:asciiTheme="majorHAnsi" w:hAnsiTheme="majorHAnsi"/>
          <w:bCs/>
          <w:color w:val="auto"/>
          <w:sz w:val="20"/>
          <w:szCs w:val="20"/>
          <w:lang w:val="es-ES"/>
        </w:rPr>
        <w:t xml:space="preserve"> Loza </w:t>
      </w:r>
      <w:r w:rsidR="001D6612">
        <w:rPr>
          <w:rFonts w:asciiTheme="majorHAnsi" w:hAnsiTheme="majorHAnsi"/>
          <w:bCs/>
          <w:color w:val="auto"/>
          <w:sz w:val="20"/>
          <w:szCs w:val="20"/>
          <w:lang w:val="es-ES"/>
        </w:rPr>
        <w:t>fue visto arrojando basura de su automóvil</w:t>
      </w:r>
      <w:r w:rsidR="008341F9" w:rsidRPr="007A3389">
        <w:rPr>
          <w:rFonts w:asciiTheme="majorHAnsi" w:hAnsiTheme="majorHAnsi"/>
          <w:bCs/>
          <w:color w:val="auto"/>
          <w:sz w:val="20"/>
          <w:szCs w:val="20"/>
          <w:lang w:val="es-ES"/>
        </w:rPr>
        <w:t xml:space="preserve"> </w:t>
      </w:r>
      <w:r w:rsidR="001D6612">
        <w:rPr>
          <w:rFonts w:asciiTheme="majorHAnsi" w:hAnsiTheme="majorHAnsi"/>
          <w:bCs/>
          <w:color w:val="auto"/>
          <w:sz w:val="20"/>
          <w:szCs w:val="20"/>
          <w:lang w:val="es-ES"/>
        </w:rPr>
        <w:t>en el contenedor de un comercio. El dueño del comercio registró el contenedor para buscar algo que le permitiera identificar a</w:t>
      </w:r>
      <w:r w:rsidR="00D87346" w:rsidRPr="007A3389">
        <w:rPr>
          <w:rFonts w:asciiTheme="majorHAnsi" w:hAnsiTheme="majorHAnsi"/>
          <w:bCs/>
          <w:color w:val="auto"/>
          <w:sz w:val="20"/>
          <w:szCs w:val="20"/>
          <w:lang w:val="es-ES"/>
        </w:rPr>
        <w:t>l señor</w:t>
      </w:r>
      <w:r w:rsidR="003C79A9" w:rsidRPr="007A3389">
        <w:rPr>
          <w:rFonts w:asciiTheme="majorHAnsi" w:hAnsiTheme="majorHAnsi"/>
          <w:bCs/>
          <w:color w:val="auto"/>
          <w:sz w:val="20"/>
          <w:szCs w:val="20"/>
          <w:lang w:val="es-ES"/>
        </w:rPr>
        <w:t xml:space="preserve"> Loza</w:t>
      </w:r>
      <w:r w:rsidR="008341F9" w:rsidRPr="007A3389">
        <w:rPr>
          <w:rFonts w:asciiTheme="majorHAnsi" w:hAnsiTheme="majorHAnsi"/>
          <w:bCs/>
          <w:color w:val="auto"/>
          <w:sz w:val="20"/>
          <w:szCs w:val="20"/>
          <w:lang w:val="es-ES"/>
        </w:rPr>
        <w:t xml:space="preserve"> </w:t>
      </w:r>
      <w:r w:rsidR="001D6612">
        <w:rPr>
          <w:rFonts w:asciiTheme="majorHAnsi" w:hAnsiTheme="majorHAnsi"/>
          <w:bCs/>
          <w:color w:val="auto"/>
          <w:sz w:val="20"/>
          <w:szCs w:val="20"/>
          <w:lang w:val="es-ES"/>
        </w:rPr>
        <w:t>y encontró una carta que indicaba que</w:t>
      </w:r>
      <w:r w:rsidR="004F65A8" w:rsidRPr="007A3389">
        <w:rPr>
          <w:rFonts w:asciiTheme="majorHAnsi" w:hAnsiTheme="majorHAnsi"/>
          <w:bCs/>
          <w:color w:val="auto"/>
          <w:sz w:val="20"/>
          <w:szCs w:val="20"/>
          <w:lang w:val="es-ES"/>
        </w:rPr>
        <w:t xml:space="preserve"> </w:t>
      </w:r>
      <w:r w:rsidR="00D87346" w:rsidRPr="007A3389">
        <w:rPr>
          <w:rFonts w:asciiTheme="majorHAnsi" w:hAnsiTheme="majorHAnsi"/>
          <w:bCs/>
          <w:color w:val="auto"/>
          <w:sz w:val="20"/>
          <w:szCs w:val="20"/>
          <w:lang w:val="es-ES"/>
        </w:rPr>
        <w:t>el señor</w:t>
      </w:r>
      <w:r w:rsidR="00EC703E" w:rsidRPr="007A3389">
        <w:rPr>
          <w:rFonts w:asciiTheme="majorHAnsi" w:hAnsiTheme="majorHAnsi"/>
          <w:bCs/>
          <w:color w:val="auto"/>
          <w:sz w:val="20"/>
          <w:szCs w:val="20"/>
          <w:lang w:val="es-ES"/>
        </w:rPr>
        <w:t xml:space="preserve"> Loza</w:t>
      </w:r>
      <w:r w:rsidR="004F65A8" w:rsidRPr="007A3389">
        <w:rPr>
          <w:rFonts w:asciiTheme="majorHAnsi" w:hAnsiTheme="majorHAnsi"/>
          <w:bCs/>
          <w:color w:val="auto"/>
          <w:sz w:val="20"/>
          <w:szCs w:val="20"/>
          <w:lang w:val="es-ES"/>
        </w:rPr>
        <w:t xml:space="preserve"> </w:t>
      </w:r>
      <w:r w:rsidR="00BA042E" w:rsidRPr="00BA042E">
        <w:rPr>
          <w:rFonts w:asciiTheme="majorHAnsi" w:hAnsiTheme="majorHAnsi"/>
          <w:bCs/>
          <w:color w:val="auto"/>
          <w:sz w:val="20"/>
          <w:szCs w:val="20"/>
          <w:lang w:val="es-ES"/>
        </w:rPr>
        <w:t>había estado involucrado en un tiroteo desde un vehículo en movimiento</w:t>
      </w:r>
      <w:r w:rsidR="004F65A8" w:rsidRPr="007A3389">
        <w:rPr>
          <w:rFonts w:asciiTheme="majorHAnsi" w:hAnsiTheme="majorHAnsi"/>
          <w:bCs/>
          <w:color w:val="auto"/>
          <w:sz w:val="20"/>
          <w:szCs w:val="20"/>
          <w:lang w:val="es-ES"/>
        </w:rPr>
        <w:t xml:space="preserve"> </w:t>
      </w:r>
      <w:r w:rsidR="00BA042E">
        <w:rPr>
          <w:rFonts w:asciiTheme="majorHAnsi" w:hAnsiTheme="majorHAnsi"/>
          <w:bCs/>
          <w:color w:val="auto"/>
          <w:sz w:val="20"/>
          <w:szCs w:val="20"/>
          <w:lang w:val="es-ES"/>
        </w:rPr>
        <w:t>e</w:t>
      </w:r>
      <w:r w:rsidR="004F65A8" w:rsidRPr="007A3389">
        <w:rPr>
          <w:rFonts w:asciiTheme="majorHAnsi" w:hAnsiTheme="majorHAnsi"/>
          <w:bCs/>
          <w:color w:val="auto"/>
          <w:sz w:val="20"/>
          <w:szCs w:val="20"/>
          <w:lang w:val="es-ES"/>
        </w:rPr>
        <w:t xml:space="preserve">n Los </w:t>
      </w:r>
      <w:r w:rsidR="00BA042E" w:rsidRPr="007A3389">
        <w:rPr>
          <w:rFonts w:asciiTheme="majorHAnsi" w:hAnsiTheme="majorHAnsi"/>
          <w:bCs/>
          <w:color w:val="auto"/>
          <w:sz w:val="20"/>
          <w:szCs w:val="20"/>
          <w:lang w:val="es-ES"/>
        </w:rPr>
        <w:t>Ángeles</w:t>
      </w:r>
      <w:r w:rsidR="004F65A8" w:rsidRPr="007A3389">
        <w:rPr>
          <w:rFonts w:asciiTheme="majorHAnsi" w:hAnsiTheme="majorHAnsi"/>
          <w:bCs/>
          <w:color w:val="auto"/>
          <w:sz w:val="20"/>
          <w:szCs w:val="20"/>
          <w:lang w:val="es-ES"/>
        </w:rPr>
        <w:t xml:space="preserve">. </w:t>
      </w:r>
      <w:r w:rsidR="00BA042E">
        <w:rPr>
          <w:rFonts w:asciiTheme="majorHAnsi" w:hAnsiTheme="majorHAnsi"/>
          <w:bCs/>
          <w:color w:val="auto"/>
          <w:sz w:val="20"/>
          <w:szCs w:val="20"/>
          <w:lang w:val="es-ES"/>
        </w:rPr>
        <w:t xml:space="preserve">El dueño del comercio llamó a la policía para </w:t>
      </w:r>
      <w:r w:rsidR="0080436A">
        <w:rPr>
          <w:rFonts w:asciiTheme="majorHAnsi" w:hAnsiTheme="majorHAnsi"/>
          <w:bCs/>
          <w:color w:val="auto"/>
          <w:sz w:val="20"/>
          <w:szCs w:val="20"/>
          <w:lang w:val="es-ES"/>
        </w:rPr>
        <w:t xml:space="preserve">comunicar </w:t>
      </w:r>
      <w:r w:rsidR="00BA042E">
        <w:rPr>
          <w:rFonts w:asciiTheme="majorHAnsi" w:hAnsiTheme="majorHAnsi"/>
          <w:bCs/>
          <w:color w:val="auto"/>
          <w:sz w:val="20"/>
          <w:szCs w:val="20"/>
          <w:lang w:val="es-ES"/>
        </w:rPr>
        <w:t>lo que había descubierto. Un agente inspeccionó el contenedor y extrajo otros artículos que implicaban a</w:t>
      </w:r>
      <w:r w:rsidR="00D87346" w:rsidRPr="007A3389">
        <w:rPr>
          <w:rFonts w:asciiTheme="majorHAnsi" w:hAnsiTheme="majorHAnsi"/>
          <w:bCs/>
          <w:color w:val="auto"/>
          <w:sz w:val="20"/>
          <w:szCs w:val="20"/>
          <w:lang w:val="es-ES"/>
        </w:rPr>
        <w:t>l señor</w:t>
      </w:r>
      <w:r w:rsidR="003C79A9" w:rsidRPr="007A3389">
        <w:rPr>
          <w:rFonts w:asciiTheme="majorHAnsi" w:hAnsiTheme="majorHAnsi"/>
          <w:bCs/>
          <w:color w:val="auto"/>
          <w:sz w:val="20"/>
          <w:szCs w:val="20"/>
          <w:lang w:val="es-ES"/>
        </w:rPr>
        <w:t xml:space="preserve"> Loza</w:t>
      </w:r>
      <w:r w:rsidR="004F65A8" w:rsidRPr="007A3389">
        <w:rPr>
          <w:rFonts w:asciiTheme="majorHAnsi" w:hAnsiTheme="majorHAnsi"/>
          <w:bCs/>
          <w:color w:val="auto"/>
          <w:sz w:val="20"/>
          <w:szCs w:val="20"/>
          <w:lang w:val="es-ES"/>
        </w:rPr>
        <w:t xml:space="preserve">. </w:t>
      </w:r>
      <w:r w:rsidR="00BA042E">
        <w:rPr>
          <w:rFonts w:asciiTheme="majorHAnsi" w:hAnsiTheme="majorHAnsi"/>
          <w:bCs/>
          <w:color w:val="auto"/>
          <w:sz w:val="20"/>
          <w:szCs w:val="20"/>
          <w:lang w:val="es-ES"/>
        </w:rPr>
        <w:t xml:space="preserve">Mientras estaban examinado los artículos, </w:t>
      </w:r>
      <w:r w:rsidR="00D87346" w:rsidRPr="007A3389">
        <w:rPr>
          <w:rFonts w:asciiTheme="majorHAnsi" w:hAnsiTheme="majorHAnsi"/>
          <w:bCs/>
          <w:color w:val="auto"/>
          <w:sz w:val="20"/>
          <w:szCs w:val="20"/>
          <w:lang w:val="es-ES"/>
        </w:rPr>
        <w:t>el señor</w:t>
      </w:r>
      <w:r w:rsidR="004F65A8" w:rsidRPr="007A3389">
        <w:rPr>
          <w:rFonts w:asciiTheme="majorHAnsi" w:hAnsiTheme="majorHAnsi"/>
          <w:bCs/>
          <w:color w:val="auto"/>
          <w:sz w:val="20"/>
          <w:szCs w:val="20"/>
          <w:lang w:val="es-ES"/>
        </w:rPr>
        <w:t xml:space="preserve"> Loza </w:t>
      </w:r>
      <w:r w:rsidR="00BA042E">
        <w:rPr>
          <w:rFonts w:asciiTheme="majorHAnsi" w:hAnsiTheme="majorHAnsi"/>
          <w:bCs/>
          <w:color w:val="auto"/>
          <w:sz w:val="20"/>
          <w:szCs w:val="20"/>
          <w:lang w:val="es-ES"/>
        </w:rPr>
        <w:t>se acercó al contenedor. E</w:t>
      </w:r>
      <w:r w:rsidR="00117FCC" w:rsidRPr="007A3389">
        <w:rPr>
          <w:rFonts w:asciiTheme="majorHAnsi" w:hAnsiTheme="majorHAnsi"/>
          <w:bCs/>
          <w:color w:val="auto"/>
          <w:sz w:val="20"/>
          <w:szCs w:val="20"/>
          <w:lang w:val="es-ES"/>
        </w:rPr>
        <w:t>l detective</w:t>
      </w:r>
      <w:r w:rsidR="004F65A8" w:rsidRPr="007A3389">
        <w:rPr>
          <w:rFonts w:asciiTheme="majorHAnsi" w:hAnsiTheme="majorHAnsi"/>
          <w:bCs/>
          <w:color w:val="auto"/>
          <w:sz w:val="20"/>
          <w:szCs w:val="20"/>
          <w:lang w:val="es-ES"/>
        </w:rPr>
        <w:t xml:space="preserve"> </w:t>
      </w:r>
      <w:r>
        <w:rPr>
          <w:rFonts w:asciiTheme="majorHAnsi" w:hAnsiTheme="majorHAnsi"/>
          <w:bCs/>
          <w:color w:val="auto"/>
          <w:sz w:val="20"/>
          <w:szCs w:val="20"/>
          <w:lang w:val="es-ES"/>
        </w:rPr>
        <w:t>se acercó a</w:t>
      </w:r>
      <w:r w:rsidR="00D87346" w:rsidRPr="007A3389">
        <w:rPr>
          <w:rFonts w:asciiTheme="majorHAnsi" w:hAnsiTheme="majorHAnsi"/>
          <w:bCs/>
          <w:color w:val="auto"/>
          <w:sz w:val="20"/>
          <w:szCs w:val="20"/>
          <w:lang w:val="es-ES"/>
        </w:rPr>
        <w:t>l señor</w:t>
      </w:r>
      <w:r w:rsidR="00296EC2" w:rsidRPr="007A3389">
        <w:rPr>
          <w:rFonts w:asciiTheme="majorHAnsi" w:hAnsiTheme="majorHAnsi"/>
          <w:bCs/>
          <w:color w:val="auto"/>
          <w:sz w:val="20"/>
          <w:szCs w:val="20"/>
          <w:lang w:val="es-ES"/>
        </w:rPr>
        <w:t xml:space="preserve"> Loza </w:t>
      </w:r>
      <w:r>
        <w:rPr>
          <w:rFonts w:asciiTheme="majorHAnsi" w:hAnsiTheme="majorHAnsi"/>
          <w:bCs/>
          <w:color w:val="auto"/>
          <w:sz w:val="20"/>
          <w:szCs w:val="20"/>
          <w:lang w:val="es-ES"/>
        </w:rPr>
        <w:t>pistola en mano</w:t>
      </w:r>
      <w:r w:rsidR="00BA042E">
        <w:rPr>
          <w:rFonts w:asciiTheme="majorHAnsi" w:hAnsiTheme="majorHAnsi"/>
          <w:bCs/>
          <w:color w:val="auto"/>
          <w:sz w:val="20"/>
          <w:szCs w:val="20"/>
          <w:lang w:val="es-ES"/>
        </w:rPr>
        <w:t xml:space="preserve">, </w:t>
      </w:r>
      <w:r>
        <w:rPr>
          <w:rFonts w:asciiTheme="majorHAnsi" w:hAnsiTheme="majorHAnsi"/>
          <w:bCs/>
          <w:color w:val="auto"/>
          <w:sz w:val="20"/>
          <w:szCs w:val="20"/>
          <w:lang w:val="es-ES"/>
        </w:rPr>
        <w:t>se identificó como agente de policía</w:t>
      </w:r>
      <w:r w:rsidR="00BA042E">
        <w:rPr>
          <w:rFonts w:asciiTheme="majorHAnsi" w:hAnsiTheme="majorHAnsi"/>
          <w:bCs/>
          <w:color w:val="auto"/>
          <w:sz w:val="20"/>
          <w:szCs w:val="20"/>
          <w:lang w:val="es-ES"/>
        </w:rPr>
        <w:t xml:space="preserve">, lo </w:t>
      </w:r>
      <w:r w:rsidR="00DD3406">
        <w:rPr>
          <w:rFonts w:asciiTheme="majorHAnsi" w:hAnsiTheme="majorHAnsi"/>
          <w:bCs/>
          <w:color w:val="auto"/>
          <w:sz w:val="20"/>
          <w:szCs w:val="20"/>
          <w:lang w:val="es-ES"/>
        </w:rPr>
        <w:t>registró</w:t>
      </w:r>
      <w:r w:rsidR="00BA042E">
        <w:rPr>
          <w:rFonts w:asciiTheme="majorHAnsi" w:hAnsiTheme="majorHAnsi"/>
          <w:bCs/>
          <w:color w:val="auto"/>
          <w:sz w:val="20"/>
          <w:szCs w:val="20"/>
          <w:lang w:val="es-ES"/>
        </w:rPr>
        <w:t xml:space="preserve"> y le informó que lo había detenido debido a lo que había colocado en el contenedor. Después de determinar que </w:t>
      </w:r>
      <w:r w:rsidR="00117FCC" w:rsidRPr="007A3389">
        <w:rPr>
          <w:rFonts w:asciiTheme="majorHAnsi" w:hAnsiTheme="majorHAnsi"/>
          <w:bCs/>
          <w:color w:val="auto"/>
          <w:sz w:val="20"/>
          <w:szCs w:val="20"/>
          <w:lang w:val="es-ES"/>
        </w:rPr>
        <w:t>la señorita</w:t>
      </w:r>
      <w:r w:rsidR="004F65A8" w:rsidRPr="007A3389">
        <w:rPr>
          <w:rFonts w:asciiTheme="majorHAnsi" w:hAnsiTheme="majorHAnsi"/>
          <w:bCs/>
          <w:color w:val="auto"/>
          <w:sz w:val="20"/>
          <w:szCs w:val="20"/>
          <w:lang w:val="es-ES"/>
        </w:rPr>
        <w:t xml:space="preserve"> Jackson </w:t>
      </w:r>
      <w:r w:rsidR="00BA042E">
        <w:rPr>
          <w:rFonts w:asciiTheme="majorHAnsi" w:hAnsiTheme="majorHAnsi"/>
          <w:bCs/>
          <w:color w:val="auto"/>
          <w:sz w:val="20"/>
          <w:szCs w:val="20"/>
          <w:lang w:val="es-ES"/>
        </w:rPr>
        <w:t xml:space="preserve">era menor de edad y planeaba viajar a </w:t>
      </w:r>
      <w:r w:rsidR="003C79A9" w:rsidRPr="007A3389">
        <w:rPr>
          <w:rFonts w:asciiTheme="majorHAnsi" w:hAnsiTheme="majorHAnsi"/>
          <w:bCs/>
          <w:color w:val="auto"/>
          <w:sz w:val="20"/>
          <w:szCs w:val="20"/>
          <w:lang w:val="es-ES"/>
        </w:rPr>
        <w:t xml:space="preserve">California </w:t>
      </w:r>
      <w:r w:rsidR="00BA042E">
        <w:rPr>
          <w:rFonts w:asciiTheme="majorHAnsi" w:hAnsiTheme="majorHAnsi"/>
          <w:bCs/>
          <w:color w:val="auto"/>
          <w:sz w:val="20"/>
          <w:szCs w:val="20"/>
          <w:lang w:val="es-ES"/>
        </w:rPr>
        <w:t xml:space="preserve">con </w:t>
      </w:r>
      <w:r w:rsidR="00D87346" w:rsidRPr="007A3389">
        <w:rPr>
          <w:rFonts w:asciiTheme="majorHAnsi" w:hAnsiTheme="majorHAnsi"/>
          <w:bCs/>
          <w:color w:val="auto"/>
          <w:sz w:val="20"/>
          <w:szCs w:val="20"/>
          <w:lang w:val="es-ES"/>
        </w:rPr>
        <w:t>el señor</w:t>
      </w:r>
      <w:r w:rsidR="003C79A9" w:rsidRPr="007A3389">
        <w:rPr>
          <w:rFonts w:asciiTheme="majorHAnsi" w:hAnsiTheme="majorHAnsi"/>
          <w:bCs/>
          <w:color w:val="auto"/>
          <w:sz w:val="20"/>
          <w:szCs w:val="20"/>
          <w:lang w:val="es-ES"/>
        </w:rPr>
        <w:t xml:space="preserve"> Loza, </w:t>
      </w:r>
      <w:r w:rsidR="00117FCC" w:rsidRPr="007A3389">
        <w:rPr>
          <w:rFonts w:asciiTheme="majorHAnsi" w:hAnsiTheme="majorHAnsi"/>
          <w:bCs/>
          <w:color w:val="auto"/>
          <w:sz w:val="20"/>
          <w:szCs w:val="20"/>
          <w:lang w:val="es-ES"/>
        </w:rPr>
        <w:t>el detective</w:t>
      </w:r>
      <w:r w:rsidR="003C79A9" w:rsidRPr="007A3389">
        <w:rPr>
          <w:rFonts w:asciiTheme="majorHAnsi" w:hAnsiTheme="majorHAnsi"/>
          <w:bCs/>
          <w:color w:val="auto"/>
          <w:sz w:val="20"/>
          <w:szCs w:val="20"/>
          <w:lang w:val="es-ES"/>
        </w:rPr>
        <w:t xml:space="preserve"> arrest</w:t>
      </w:r>
      <w:r w:rsidR="00BA042E">
        <w:rPr>
          <w:rFonts w:asciiTheme="majorHAnsi" w:hAnsiTheme="majorHAnsi"/>
          <w:bCs/>
          <w:color w:val="auto"/>
          <w:sz w:val="20"/>
          <w:szCs w:val="20"/>
          <w:lang w:val="es-ES"/>
        </w:rPr>
        <w:t>ó a</w:t>
      </w:r>
      <w:r w:rsidR="00D87346" w:rsidRPr="007A3389">
        <w:rPr>
          <w:rFonts w:asciiTheme="majorHAnsi" w:hAnsiTheme="majorHAnsi"/>
          <w:bCs/>
          <w:color w:val="auto"/>
          <w:sz w:val="20"/>
          <w:szCs w:val="20"/>
          <w:lang w:val="es-ES"/>
        </w:rPr>
        <w:t>l señor</w:t>
      </w:r>
      <w:r w:rsidR="004F65A8" w:rsidRPr="007A3389">
        <w:rPr>
          <w:rFonts w:asciiTheme="majorHAnsi" w:hAnsiTheme="majorHAnsi"/>
          <w:bCs/>
          <w:color w:val="auto"/>
          <w:sz w:val="20"/>
          <w:szCs w:val="20"/>
          <w:lang w:val="es-ES"/>
        </w:rPr>
        <w:t xml:space="preserve"> Loza </w:t>
      </w:r>
      <w:r w:rsidR="00BA042E">
        <w:rPr>
          <w:rFonts w:asciiTheme="majorHAnsi" w:hAnsiTheme="majorHAnsi"/>
          <w:bCs/>
          <w:color w:val="auto"/>
          <w:sz w:val="20"/>
          <w:szCs w:val="20"/>
          <w:lang w:val="es-ES"/>
        </w:rPr>
        <w:t xml:space="preserve">por </w:t>
      </w:r>
      <w:r w:rsidR="004F65A8" w:rsidRPr="007A3389">
        <w:rPr>
          <w:rFonts w:asciiTheme="majorHAnsi" w:hAnsiTheme="majorHAnsi"/>
          <w:bCs/>
          <w:color w:val="auto"/>
          <w:sz w:val="20"/>
          <w:szCs w:val="20"/>
          <w:lang w:val="es-ES"/>
        </w:rPr>
        <w:t>contribu</w:t>
      </w:r>
      <w:r w:rsidR="00BA042E">
        <w:rPr>
          <w:rFonts w:asciiTheme="majorHAnsi" w:hAnsiTheme="majorHAnsi"/>
          <w:bCs/>
          <w:color w:val="auto"/>
          <w:sz w:val="20"/>
          <w:szCs w:val="20"/>
          <w:lang w:val="es-ES"/>
        </w:rPr>
        <w:t xml:space="preserve">ir a la delincuencia o la insubordinación de un menor. El señor Loza fue llevado al Centro de Justicia del Condado de </w:t>
      </w:r>
      <w:r w:rsidR="004F65A8" w:rsidRPr="007A3389">
        <w:rPr>
          <w:rFonts w:asciiTheme="majorHAnsi" w:hAnsiTheme="majorHAnsi"/>
          <w:bCs/>
          <w:color w:val="auto"/>
          <w:sz w:val="20"/>
          <w:szCs w:val="20"/>
          <w:lang w:val="es-ES"/>
        </w:rPr>
        <w:t>Warren</w:t>
      </w:r>
      <w:r w:rsidR="00BA042E">
        <w:rPr>
          <w:rFonts w:asciiTheme="majorHAnsi" w:hAnsiTheme="majorHAnsi"/>
          <w:bCs/>
          <w:color w:val="auto"/>
          <w:sz w:val="20"/>
          <w:szCs w:val="20"/>
          <w:lang w:val="es-ES"/>
        </w:rPr>
        <w:t xml:space="preserve">. Según la información proporcionada por </w:t>
      </w:r>
      <w:r w:rsidR="000D3EE0" w:rsidRPr="007A3389">
        <w:rPr>
          <w:rFonts w:asciiTheme="majorHAnsi" w:hAnsiTheme="majorHAnsi"/>
          <w:bCs/>
          <w:color w:val="auto"/>
          <w:sz w:val="20"/>
          <w:szCs w:val="20"/>
          <w:lang w:val="es-ES"/>
        </w:rPr>
        <w:t>los peticionarios</w:t>
      </w:r>
      <w:r w:rsidR="00665FF9" w:rsidRPr="007A3389">
        <w:rPr>
          <w:rFonts w:asciiTheme="majorHAnsi" w:hAnsiTheme="majorHAnsi"/>
          <w:bCs/>
          <w:color w:val="auto"/>
          <w:sz w:val="20"/>
          <w:szCs w:val="20"/>
          <w:lang w:val="es-ES"/>
        </w:rPr>
        <w:t xml:space="preserve">, </w:t>
      </w:r>
      <w:r w:rsidR="00BA042E">
        <w:rPr>
          <w:rFonts w:asciiTheme="majorHAnsi" w:hAnsiTheme="majorHAnsi"/>
          <w:bCs/>
          <w:color w:val="auto"/>
          <w:sz w:val="20"/>
          <w:szCs w:val="20"/>
          <w:lang w:val="es-ES"/>
        </w:rPr>
        <w:t>que no fue impugnada por</w:t>
      </w:r>
      <w:r w:rsidR="00665FF9" w:rsidRPr="007A3389">
        <w:rPr>
          <w:rFonts w:asciiTheme="majorHAnsi" w:hAnsiTheme="majorHAnsi"/>
          <w:bCs/>
          <w:color w:val="auto"/>
          <w:sz w:val="20"/>
          <w:szCs w:val="20"/>
          <w:lang w:val="es-ES"/>
        </w:rPr>
        <w:t xml:space="preserve"> </w:t>
      </w:r>
      <w:r w:rsidR="00D87346" w:rsidRPr="007A3389">
        <w:rPr>
          <w:rFonts w:asciiTheme="majorHAnsi" w:hAnsiTheme="majorHAnsi"/>
          <w:bCs/>
          <w:color w:val="auto"/>
          <w:sz w:val="20"/>
          <w:szCs w:val="20"/>
          <w:lang w:val="es-ES"/>
        </w:rPr>
        <w:t>el Estado</w:t>
      </w:r>
      <w:r w:rsidR="00665FF9" w:rsidRPr="007A3389">
        <w:rPr>
          <w:rFonts w:asciiTheme="majorHAnsi" w:hAnsiTheme="majorHAnsi"/>
          <w:bCs/>
          <w:color w:val="auto"/>
          <w:sz w:val="20"/>
          <w:szCs w:val="20"/>
          <w:lang w:val="es-ES"/>
        </w:rPr>
        <w:t xml:space="preserve">, </w:t>
      </w:r>
      <w:r w:rsidR="00BA042E">
        <w:rPr>
          <w:rFonts w:asciiTheme="majorHAnsi" w:hAnsiTheme="majorHAnsi"/>
          <w:bCs/>
          <w:color w:val="auto"/>
          <w:sz w:val="20"/>
          <w:szCs w:val="20"/>
          <w:lang w:val="es-ES"/>
        </w:rPr>
        <w:t xml:space="preserve">consta que </w:t>
      </w:r>
      <w:r w:rsidR="00117FCC" w:rsidRPr="007A3389">
        <w:rPr>
          <w:rFonts w:asciiTheme="majorHAnsi" w:hAnsiTheme="majorHAnsi"/>
          <w:bCs/>
          <w:color w:val="auto"/>
          <w:sz w:val="20"/>
          <w:szCs w:val="20"/>
          <w:lang w:val="es-ES"/>
        </w:rPr>
        <w:t>el detective</w:t>
      </w:r>
      <w:r w:rsidR="00665FF9" w:rsidRPr="007A3389">
        <w:rPr>
          <w:rFonts w:asciiTheme="majorHAnsi" w:hAnsiTheme="majorHAnsi"/>
          <w:bCs/>
          <w:color w:val="auto"/>
          <w:sz w:val="20"/>
          <w:szCs w:val="20"/>
          <w:lang w:val="es-ES"/>
        </w:rPr>
        <w:t xml:space="preserve"> </w:t>
      </w:r>
      <w:r w:rsidR="00BA042E">
        <w:rPr>
          <w:rFonts w:asciiTheme="majorHAnsi" w:hAnsiTheme="majorHAnsi"/>
          <w:bCs/>
          <w:color w:val="auto"/>
          <w:sz w:val="20"/>
          <w:szCs w:val="20"/>
          <w:lang w:val="es-ES"/>
        </w:rPr>
        <w:t>se refirió a</w:t>
      </w:r>
      <w:r w:rsidR="00D87346" w:rsidRPr="007A3389">
        <w:rPr>
          <w:rFonts w:asciiTheme="majorHAnsi" w:hAnsiTheme="majorHAnsi"/>
          <w:bCs/>
          <w:color w:val="auto"/>
          <w:sz w:val="20"/>
          <w:szCs w:val="20"/>
          <w:lang w:val="es-ES"/>
        </w:rPr>
        <w:t>l señor</w:t>
      </w:r>
      <w:r w:rsidR="00665FF9" w:rsidRPr="007A3389">
        <w:rPr>
          <w:rFonts w:asciiTheme="majorHAnsi" w:hAnsiTheme="majorHAnsi"/>
          <w:bCs/>
          <w:color w:val="auto"/>
          <w:sz w:val="20"/>
          <w:szCs w:val="20"/>
          <w:lang w:val="es-ES"/>
        </w:rPr>
        <w:t xml:space="preserve"> Loza </w:t>
      </w:r>
      <w:r w:rsidR="00BA042E">
        <w:rPr>
          <w:rFonts w:asciiTheme="majorHAnsi" w:hAnsiTheme="majorHAnsi"/>
          <w:bCs/>
          <w:color w:val="auto"/>
          <w:sz w:val="20"/>
          <w:szCs w:val="20"/>
          <w:lang w:val="es-ES"/>
        </w:rPr>
        <w:t xml:space="preserve">como </w:t>
      </w:r>
      <w:r w:rsidR="00C95CDD">
        <w:rPr>
          <w:rFonts w:asciiTheme="majorHAnsi" w:hAnsiTheme="majorHAnsi"/>
          <w:bCs/>
          <w:color w:val="auto"/>
          <w:sz w:val="20"/>
          <w:szCs w:val="20"/>
          <w:lang w:val="es-ES"/>
        </w:rPr>
        <w:t>“el mojado</w:t>
      </w:r>
      <w:r w:rsidR="00BA042E">
        <w:rPr>
          <w:rFonts w:asciiTheme="majorHAnsi" w:hAnsiTheme="majorHAnsi"/>
          <w:bCs/>
          <w:color w:val="auto"/>
          <w:sz w:val="20"/>
          <w:szCs w:val="20"/>
          <w:lang w:val="es-ES"/>
        </w:rPr>
        <w:t xml:space="preserve"> de </w:t>
      </w:r>
      <w:r w:rsidR="00665FF9" w:rsidRPr="007A3389">
        <w:rPr>
          <w:rFonts w:asciiTheme="majorHAnsi" w:hAnsiTheme="majorHAnsi"/>
          <w:bCs/>
          <w:color w:val="auto"/>
          <w:sz w:val="20"/>
          <w:szCs w:val="20"/>
          <w:lang w:val="es-ES"/>
        </w:rPr>
        <w:t>California”</w:t>
      </w:r>
      <w:r w:rsidR="00BA042E">
        <w:rPr>
          <w:rFonts w:asciiTheme="majorHAnsi" w:hAnsiTheme="majorHAnsi"/>
          <w:bCs/>
          <w:color w:val="auto"/>
          <w:sz w:val="20"/>
          <w:szCs w:val="20"/>
          <w:lang w:val="es-ES"/>
        </w:rPr>
        <w:t>.</w:t>
      </w:r>
    </w:p>
    <w:p w14:paraId="0820ED93" w14:textId="77777777" w:rsidR="003C79A9" w:rsidRPr="007A3389" w:rsidRDefault="003C79A9" w:rsidP="003C79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lang w:val="es-ES"/>
        </w:rPr>
      </w:pPr>
    </w:p>
    <w:p w14:paraId="7246D466" w14:textId="77777777" w:rsidR="00B327DE" w:rsidRPr="007A3389" w:rsidRDefault="00BA042E" w:rsidP="00B327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color w:val="auto"/>
          <w:sz w:val="20"/>
          <w:szCs w:val="20"/>
          <w:lang w:val="es-ES"/>
        </w:rPr>
        <w:t>E</w:t>
      </w:r>
      <w:r w:rsidR="003C79A9" w:rsidRPr="007A3389">
        <w:rPr>
          <w:rFonts w:asciiTheme="majorHAnsi" w:hAnsiTheme="majorHAnsi"/>
          <w:bCs/>
          <w:color w:val="auto"/>
          <w:sz w:val="20"/>
          <w:szCs w:val="20"/>
          <w:lang w:val="es-ES"/>
        </w:rPr>
        <w:t xml:space="preserve">n </w:t>
      </w:r>
      <w:r w:rsidR="00060B7E" w:rsidRPr="007A3389">
        <w:rPr>
          <w:rFonts w:asciiTheme="majorHAnsi" w:hAnsiTheme="majorHAnsi"/>
          <w:bCs/>
          <w:color w:val="auto"/>
          <w:sz w:val="20"/>
          <w:szCs w:val="20"/>
          <w:lang w:val="es-ES"/>
        </w:rPr>
        <w:t xml:space="preserve">actuaciones de </w:t>
      </w:r>
      <w:r w:rsidR="00060B7E" w:rsidRPr="00DD3406">
        <w:rPr>
          <w:rFonts w:asciiTheme="majorHAnsi" w:hAnsiTheme="majorHAnsi"/>
          <w:bCs/>
          <w:i/>
          <w:color w:val="auto"/>
          <w:sz w:val="20"/>
          <w:szCs w:val="20"/>
          <w:lang w:val="es-ES"/>
        </w:rPr>
        <w:t>hábeas corpus</w:t>
      </w:r>
      <w:r w:rsidR="00060B7E" w:rsidRPr="007A3389">
        <w:rPr>
          <w:rFonts w:asciiTheme="majorHAnsi" w:hAnsiTheme="majorHAnsi"/>
          <w:bCs/>
          <w:color w:val="auto"/>
          <w:sz w:val="20"/>
          <w:szCs w:val="20"/>
          <w:lang w:val="es-ES"/>
        </w:rPr>
        <w:t xml:space="preserve"> en instancias federales</w:t>
      </w:r>
      <w:r w:rsidR="00395D14" w:rsidRPr="007A3389">
        <w:rPr>
          <w:rFonts w:asciiTheme="majorHAnsi" w:hAnsiTheme="majorHAnsi"/>
          <w:bCs/>
          <w:color w:val="auto"/>
          <w:sz w:val="20"/>
          <w:szCs w:val="20"/>
          <w:lang w:val="es-ES"/>
        </w:rPr>
        <w:t xml:space="preserve">, </w:t>
      </w:r>
      <w:r>
        <w:rPr>
          <w:rFonts w:asciiTheme="majorHAnsi" w:hAnsiTheme="majorHAnsi"/>
          <w:bCs/>
          <w:color w:val="auto"/>
          <w:sz w:val="20"/>
          <w:szCs w:val="20"/>
          <w:lang w:val="es-ES"/>
        </w:rPr>
        <w:t>el Tribunal Federal de Apelaciones</w:t>
      </w:r>
      <w:r w:rsidR="00395D14" w:rsidRPr="007A3389">
        <w:rPr>
          <w:rFonts w:asciiTheme="majorHAnsi" w:hAnsiTheme="majorHAnsi"/>
          <w:bCs/>
          <w:color w:val="auto"/>
          <w:sz w:val="20"/>
          <w:szCs w:val="20"/>
          <w:lang w:val="es-ES"/>
        </w:rPr>
        <w:t xml:space="preserve"> </w:t>
      </w:r>
      <w:r w:rsidR="001C3BB7">
        <w:rPr>
          <w:rFonts w:asciiTheme="majorHAnsi" w:hAnsiTheme="majorHAnsi"/>
          <w:bCs/>
          <w:color w:val="auto"/>
          <w:sz w:val="20"/>
          <w:szCs w:val="20"/>
          <w:lang w:val="es-ES"/>
        </w:rPr>
        <w:t>dictaminó que el agente de policía interrogó a</w:t>
      </w:r>
      <w:r w:rsidR="00D87346" w:rsidRPr="007A3389">
        <w:rPr>
          <w:rFonts w:asciiTheme="majorHAnsi" w:hAnsiTheme="majorHAnsi"/>
          <w:bCs/>
          <w:color w:val="auto"/>
          <w:sz w:val="20"/>
          <w:szCs w:val="20"/>
          <w:lang w:val="es-ES"/>
        </w:rPr>
        <w:t>l señor</w:t>
      </w:r>
      <w:r w:rsidR="005F6871" w:rsidRPr="007A3389">
        <w:rPr>
          <w:rFonts w:asciiTheme="majorHAnsi" w:hAnsiTheme="majorHAnsi"/>
          <w:bCs/>
          <w:color w:val="auto"/>
          <w:sz w:val="20"/>
          <w:szCs w:val="20"/>
          <w:lang w:val="es-ES"/>
        </w:rPr>
        <w:t xml:space="preserve"> Loza</w:t>
      </w:r>
      <w:r w:rsidR="00395D14" w:rsidRPr="007A3389">
        <w:rPr>
          <w:rFonts w:asciiTheme="majorHAnsi" w:hAnsiTheme="majorHAnsi"/>
          <w:bCs/>
          <w:color w:val="auto"/>
          <w:sz w:val="20"/>
          <w:szCs w:val="20"/>
          <w:lang w:val="es-ES"/>
        </w:rPr>
        <w:t xml:space="preserve"> </w:t>
      </w:r>
      <w:r w:rsidR="001C3BB7">
        <w:rPr>
          <w:rFonts w:asciiTheme="majorHAnsi" w:hAnsiTheme="majorHAnsi"/>
          <w:bCs/>
          <w:color w:val="auto"/>
          <w:sz w:val="20"/>
          <w:szCs w:val="20"/>
          <w:lang w:val="es-ES"/>
        </w:rPr>
        <w:t xml:space="preserve">en el contexto de una detención lícita por sospecha razonable. Observó que el agente </w:t>
      </w:r>
      <w:r w:rsidR="001C3BB7" w:rsidRPr="001C3BB7">
        <w:rPr>
          <w:rFonts w:asciiTheme="majorHAnsi" w:hAnsiTheme="majorHAnsi"/>
          <w:bCs/>
          <w:color w:val="auto"/>
          <w:sz w:val="20"/>
          <w:szCs w:val="20"/>
          <w:lang w:val="es-ES"/>
        </w:rPr>
        <w:t>tenía una sospecha razonable y clara de que se estaban tramando actos delictivos y tenía motivos para sospechar que</w:t>
      </w:r>
      <w:r w:rsidR="00395D14" w:rsidRPr="007A3389">
        <w:rPr>
          <w:rFonts w:asciiTheme="majorHAnsi" w:hAnsiTheme="majorHAnsi"/>
          <w:bCs/>
          <w:color w:val="auto"/>
          <w:sz w:val="20"/>
          <w:szCs w:val="20"/>
          <w:lang w:val="es-ES"/>
        </w:rPr>
        <w:t xml:space="preserve"> </w:t>
      </w:r>
      <w:r w:rsidR="00D87346" w:rsidRPr="007A3389">
        <w:rPr>
          <w:rFonts w:asciiTheme="majorHAnsi" w:hAnsiTheme="majorHAnsi"/>
          <w:bCs/>
          <w:color w:val="auto"/>
          <w:sz w:val="20"/>
          <w:szCs w:val="20"/>
          <w:lang w:val="es-ES"/>
        </w:rPr>
        <w:t>el señor</w:t>
      </w:r>
      <w:r w:rsidR="00395D14" w:rsidRPr="007A3389">
        <w:rPr>
          <w:rFonts w:asciiTheme="majorHAnsi" w:hAnsiTheme="majorHAnsi"/>
          <w:bCs/>
          <w:color w:val="auto"/>
          <w:sz w:val="20"/>
          <w:szCs w:val="20"/>
          <w:lang w:val="es-ES"/>
        </w:rPr>
        <w:t xml:space="preserve"> Loza </w:t>
      </w:r>
      <w:r w:rsidR="000F53F9">
        <w:rPr>
          <w:rFonts w:asciiTheme="majorHAnsi" w:hAnsiTheme="majorHAnsi"/>
          <w:bCs/>
          <w:color w:val="auto"/>
          <w:sz w:val="20"/>
          <w:szCs w:val="20"/>
          <w:lang w:val="es-ES"/>
        </w:rPr>
        <w:t>estuviera</w:t>
      </w:r>
      <w:r w:rsidR="001C3BB7" w:rsidRPr="001C3BB7">
        <w:rPr>
          <w:rFonts w:asciiTheme="majorHAnsi" w:hAnsiTheme="majorHAnsi"/>
          <w:bCs/>
          <w:color w:val="auto"/>
          <w:sz w:val="20"/>
          <w:szCs w:val="20"/>
          <w:lang w:val="es-ES"/>
        </w:rPr>
        <w:t xml:space="preserve"> involucrado</w:t>
      </w:r>
      <w:r w:rsidR="00395D14" w:rsidRPr="007A3389">
        <w:rPr>
          <w:rFonts w:asciiTheme="majorHAnsi" w:hAnsiTheme="majorHAnsi"/>
          <w:bCs/>
          <w:color w:val="auto"/>
          <w:sz w:val="20"/>
          <w:szCs w:val="20"/>
          <w:lang w:val="es-ES"/>
        </w:rPr>
        <w:t xml:space="preserve">. </w:t>
      </w:r>
      <w:r w:rsidR="001C3BB7">
        <w:rPr>
          <w:rFonts w:asciiTheme="majorHAnsi" w:hAnsiTheme="majorHAnsi"/>
          <w:bCs/>
          <w:color w:val="auto"/>
          <w:sz w:val="20"/>
          <w:szCs w:val="20"/>
          <w:lang w:val="es-ES"/>
        </w:rPr>
        <w:t>Con respecto a la alegación d</w:t>
      </w:r>
      <w:r w:rsidR="00D87346" w:rsidRPr="007A3389">
        <w:rPr>
          <w:rFonts w:asciiTheme="majorHAnsi" w:hAnsiTheme="majorHAnsi"/>
          <w:bCs/>
          <w:color w:val="auto"/>
          <w:sz w:val="20"/>
          <w:szCs w:val="20"/>
          <w:lang w:val="es-ES"/>
        </w:rPr>
        <w:t>el señor</w:t>
      </w:r>
      <w:r w:rsidR="00395D14" w:rsidRPr="007A3389">
        <w:rPr>
          <w:rFonts w:asciiTheme="majorHAnsi" w:hAnsiTheme="majorHAnsi"/>
          <w:bCs/>
          <w:color w:val="auto"/>
          <w:sz w:val="20"/>
          <w:szCs w:val="20"/>
          <w:lang w:val="es-ES"/>
        </w:rPr>
        <w:t xml:space="preserve"> Loza</w:t>
      </w:r>
      <w:r w:rsidR="001C3BB7">
        <w:rPr>
          <w:rFonts w:asciiTheme="majorHAnsi" w:hAnsiTheme="majorHAnsi"/>
          <w:bCs/>
          <w:color w:val="auto"/>
          <w:sz w:val="20"/>
          <w:szCs w:val="20"/>
          <w:lang w:val="es-ES"/>
        </w:rPr>
        <w:t xml:space="preserve"> de que </w:t>
      </w:r>
      <w:r w:rsidR="001C3BB7" w:rsidRPr="001C3BB7">
        <w:rPr>
          <w:rFonts w:asciiTheme="majorHAnsi" w:hAnsiTheme="majorHAnsi"/>
          <w:bCs/>
          <w:color w:val="auto"/>
          <w:sz w:val="20"/>
          <w:szCs w:val="20"/>
          <w:lang w:val="es-ES"/>
        </w:rPr>
        <w:t>el encuentro había sido más coercitivo que una típica detención por sospecha razonable,</w:t>
      </w:r>
      <w:r w:rsidR="00395D14" w:rsidRPr="007A3389">
        <w:rPr>
          <w:rFonts w:asciiTheme="majorHAnsi" w:hAnsiTheme="majorHAnsi"/>
          <w:bCs/>
          <w:color w:val="auto"/>
          <w:sz w:val="20"/>
          <w:szCs w:val="20"/>
          <w:lang w:val="es-ES"/>
        </w:rPr>
        <w:t xml:space="preserve"> </w:t>
      </w:r>
      <w:r w:rsidR="00775DE4">
        <w:rPr>
          <w:rFonts w:asciiTheme="majorHAnsi" w:hAnsiTheme="majorHAnsi"/>
          <w:bCs/>
          <w:color w:val="auto"/>
          <w:sz w:val="20"/>
          <w:szCs w:val="20"/>
          <w:lang w:val="es-ES"/>
        </w:rPr>
        <w:t>el tribunal</w:t>
      </w:r>
      <w:r w:rsidR="00395D14" w:rsidRPr="007A3389">
        <w:rPr>
          <w:rFonts w:asciiTheme="majorHAnsi" w:hAnsiTheme="majorHAnsi"/>
          <w:bCs/>
          <w:color w:val="auto"/>
          <w:sz w:val="20"/>
          <w:szCs w:val="20"/>
          <w:lang w:val="es-ES"/>
        </w:rPr>
        <w:t xml:space="preserve"> </w:t>
      </w:r>
      <w:r w:rsidR="001C3BB7" w:rsidRPr="001C3BB7">
        <w:rPr>
          <w:rFonts w:asciiTheme="majorHAnsi" w:hAnsiTheme="majorHAnsi"/>
          <w:bCs/>
          <w:color w:val="auto"/>
          <w:sz w:val="20"/>
          <w:szCs w:val="20"/>
          <w:lang w:val="es-ES"/>
        </w:rPr>
        <w:t>entendió que, en la medida en que no había disposiciones claras con respecto a la detención por sospecha razonable y al interrogatorio bajo custodia supeditado a la notificación de los derechos procesales según el fallo de Miranda</w:t>
      </w:r>
      <w:r w:rsidR="001C3BB7">
        <w:rPr>
          <w:rFonts w:asciiTheme="majorHAnsi" w:hAnsiTheme="majorHAnsi"/>
          <w:bCs/>
          <w:color w:val="auto"/>
          <w:sz w:val="20"/>
          <w:szCs w:val="20"/>
          <w:lang w:val="es-ES"/>
        </w:rPr>
        <w:t>,</w:t>
      </w:r>
      <w:r w:rsidR="005F6871" w:rsidRPr="007A3389">
        <w:rPr>
          <w:rFonts w:asciiTheme="majorHAnsi" w:hAnsiTheme="majorHAnsi"/>
          <w:bCs/>
          <w:color w:val="auto"/>
          <w:sz w:val="20"/>
          <w:szCs w:val="20"/>
          <w:lang w:val="es-ES"/>
        </w:rPr>
        <w:t xml:space="preserve"> </w:t>
      </w:r>
      <w:r w:rsidR="001C3BB7" w:rsidRPr="001C3BB7">
        <w:rPr>
          <w:rFonts w:asciiTheme="majorHAnsi" w:hAnsiTheme="majorHAnsi"/>
          <w:bCs/>
          <w:color w:val="auto"/>
          <w:sz w:val="20"/>
          <w:szCs w:val="20"/>
          <w:lang w:val="es-ES"/>
        </w:rPr>
        <w:t xml:space="preserve">la decisión de la Corte Suprema de Ohio </w:t>
      </w:r>
      <w:r w:rsidR="001C3BB7">
        <w:rPr>
          <w:rFonts w:asciiTheme="majorHAnsi" w:hAnsiTheme="majorHAnsi"/>
          <w:bCs/>
          <w:color w:val="auto"/>
          <w:sz w:val="20"/>
          <w:szCs w:val="20"/>
          <w:lang w:val="es-ES"/>
        </w:rPr>
        <w:t xml:space="preserve">de denegar el reclamo </w:t>
      </w:r>
      <w:r w:rsidR="001C3BB7" w:rsidRPr="001C3BB7">
        <w:rPr>
          <w:rFonts w:asciiTheme="majorHAnsi" w:hAnsiTheme="majorHAnsi"/>
          <w:bCs/>
          <w:color w:val="auto"/>
          <w:sz w:val="20"/>
          <w:szCs w:val="20"/>
          <w:lang w:val="es-ES"/>
        </w:rPr>
        <w:t>no era irrazonable</w:t>
      </w:r>
      <w:r w:rsidR="001C3BB7">
        <w:rPr>
          <w:rFonts w:asciiTheme="majorHAnsi" w:hAnsiTheme="majorHAnsi"/>
          <w:bCs/>
          <w:color w:val="auto"/>
          <w:sz w:val="20"/>
          <w:szCs w:val="20"/>
          <w:lang w:val="es-ES"/>
        </w:rPr>
        <w:t>.</w:t>
      </w:r>
    </w:p>
    <w:p w14:paraId="224F4F82" w14:textId="77777777" w:rsidR="00B327DE" w:rsidRPr="007A3389" w:rsidRDefault="00B327DE" w:rsidP="00B327DE">
      <w:pPr>
        <w:pStyle w:val="ListParagraph"/>
        <w:rPr>
          <w:rFonts w:asciiTheme="majorHAnsi" w:hAnsiTheme="majorHAnsi"/>
          <w:bCs/>
          <w:sz w:val="20"/>
          <w:szCs w:val="20"/>
          <w:lang w:val="es-ES"/>
        </w:rPr>
      </w:pPr>
    </w:p>
    <w:p w14:paraId="57A9EAD8" w14:textId="77777777" w:rsidR="00B327DE" w:rsidRPr="007A3389" w:rsidRDefault="001C3BB7" w:rsidP="00B327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sz w:val="20"/>
          <w:szCs w:val="20"/>
          <w:lang w:val="es-ES"/>
        </w:rPr>
        <w:t>Como se señaló anteriormente</w:t>
      </w:r>
      <w:r w:rsidR="00B52D4D" w:rsidRPr="007A3389">
        <w:rPr>
          <w:rFonts w:asciiTheme="majorHAnsi" w:hAnsiTheme="majorHAnsi"/>
          <w:bCs/>
          <w:sz w:val="20"/>
          <w:szCs w:val="20"/>
          <w:lang w:val="es-ES"/>
        </w:rPr>
        <w:t xml:space="preserve">, </w:t>
      </w:r>
      <w:r w:rsidR="008A10AB" w:rsidRPr="007A3389">
        <w:rPr>
          <w:rFonts w:asciiTheme="majorHAnsi" w:hAnsiTheme="majorHAnsi"/>
          <w:bCs/>
          <w:sz w:val="20"/>
          <w:szCs w:val="20"/>
          <w:lang w:val="es-ES"/>
        </w:rPr>
        <w:t>la Comisión</w:t>
      </w:r>
      <w:r w:rsidR="00B52D4D" w:rsidRPr="007A3389">
        <w:rPr>
          <w:rFonts w:asciiTheme="majorHAnsi" w:hAnsiTheme="majorHAnsi"/>
          <w:bCs/>
          <w:sz w:val="20"/>
          <w:szCs w:val="20"/>
          <w:lang w:val="es-ES"/>
        </w:rPr>
        <w:t xml:space="preserve"> ha</w:t>
      </w:r>
      <w:r>
        <w:rPr>
          <w:rFonts w:asciiTheme="majorHAnsi" w:hAnsiTheme="majorHAnsi"/>
          <w:bCs/>
          <w:sz w:val="20"/>
          <w:szCs w:val="20"/>
          <w:lang w:val="es-ES"/>
        </w:rPr>
        <w:t xml:space="preserve"> </w:t>
      </w:r>
      <w:r w:rsidR="00B52D4D" w:rsidRPr="007A3389">
        <w:rPr>
          <w:rFonts w:asciiTheme="majorHAnsi" w:hAnsiTheme="majorHAnsi"/>
          <w:bCs/>
          <w:sz w:val="20"/>
          <w:szCs w:val="20"/>
          <w:lang w:val="es-ES"/>
        </w:rPr>
        <w:t>expres</w:t>
      </w:r>
      <w:r>
        <w:rPr>
          <w:rFonts w:asciiTheme="majorHAnsi" w:hAnsiTheme="majorHAnsi"/>
          <w:bCs/>
          <w:sz w:val="20"/>
          <w:szCs w:val="20"/>
          <w:lang w:val="es-ES"/>
        </w:rPr>
        <w:t xml:space="preserve">ado preocupación por el bajo umbral que se requiere para detener a alguien por sospecha razonable, que </w:t>
      </w:r>
      <w:r w:rsidRPr="001C3BB7">
        <w:rPr>
          <w:rFonts w:asciiTheme="majorHAnsi" w:hAnsiTheme="majorHAnsi"/>
          <w:bCs/>
          <w:sz w:val="20"/>
          <w:szCs w:val="20"/>
          <w:lang w:val="es-ES"/>
        </w:rPr>
        <w:t>puede permitir o fomentar expresiones de sesgo en la labor policial</w:t>
      </w:r>
      <w:r>
        <w:rPr>
          <w:rFonts w:asciiTheme="majorHAnsi" w:hAnsiTheme="majorHAnsi"/>
          <w:bCs/>
          <w:sz w:val="20"/>
          <w:szCs w:val="20"/>
          <w:lang w:val="es-ES"/>
        </w:rPr>
        <w:t xml:space="preserve"> y, por consiguiente, podría tener un efecto desproporcionado en las minorías. En lo</w:t>
      </w:r>
      <w:r w:rsidR="00DB0D0C">
        <w:rPr>
          <w:rFonts w:asciiTheme="majorHAnsi" w:hAnsiTheme="majorHAnsi"/>
          <w:bCs/>
          <w:sz w:val="20"/>
          <w:szCs w:val="20"/>
          <w:lang w:val="es-ES"/>
        </w:rPr>
        <w:t xml:space="preserve"> que concierne a la</w:t>
      </w:r>
      <w:r w:rsidR="00B327DE" w:rsidRPr="007A3389">
        <w:rPr>
          <w:rFonts w:asciiTheme="majorHAnsi" w:hAnsiTheme="majorHAnsi"/>
          <w:sz w:val="20"/>
          <w:lang w:val="es-ES"/>
        </w:rPr>
        <w:t xml:space="preserve"> </w:t>
      </w:r>
      <w:r w:rsidR="00A226F2">
        <w:rPr>
          <w:rFonts w:asciiTheme="majorHAnsi" w:hAnsiTheme="majorHAnsi"/>
          <w:sz w:val="20"/>
          <w:lang w:val="es-ES"/>
        </w:rPr>
        <w:t>privación de la libertad</w:t>
      </w:r>
      <w:r w:rsidR="00DB0D0C">
        <w:rPr>
          <w:rFonts w:asciiTheme="majorHAnsi" w:hAnsiTheme="majorHAnsi"/>
          <w:sz w:val="20"/>
          <w:lang w:val="es-ES"/>
        </w:rPr>
        <w:t xml:space="preserve">, es indispensable que en el derecho interno se definan claramente las condiciones para el arresto o la detención a fin de que la persona pueda prever las consecuencias </w:t>
      </w:r>
      <w:r w:rsidR="00E145B9">
        <w:rPr>
          <w:rFonts w:asciiTheme="majorHAnsi" w:hAnsiTheme="majorHAnsi"/>
          <w:sz w:val="20"/>
          <w:lang w:val="es-ES"/>
        </w:rPr>
        <w:t xml:space="preserve">de </w:t>
      </w:r>
      <w:r w:rsidR="00DB0D0C">
        <w:rPr>
          <w:rFonts w:asciiTheme="majorHAnsi" w:hAnsiTheme="majorHAnsi"/>
          <w:sz w:val="20"/>
          <w:lang w:val="es-ES"/>
        </w:rPr>
        <w:t>una manera determinada de proceder</w:t>
      </w:r>
      <w:r w:rsidR="00B327DE" w:rsidRPr="007A3389">
        <w:rPr>
          <w:rFonts w:asciiTheme="majorHAnsi" w:hAnsiTheme="majorHAnsi"/>
          <w:sz w:val="20"/>
          <w:lang w:val="es-ES"/>
        </w:rPr>
        <w:t>.</w:t>
      </w:r>
    </w:p>
    <w:p w14:paraId="2CA33849" w14:textId="77777777" w:rsidR="00B327DE" w:rsidRPr="007A3389" w:rsidRDefault="00B327DE" w:rsidP="00B327DE">
      <w:pPr>
        <w:pStyle w:val="ListParagraph"/>
        <w:rPr>
          <w:rFonts w:asciiTheme="majorHAnsi" w:hAnsiTheme="majorHAnsi"/>
          <w:bCs/>
          <w:sz w:val="20"/>
          <w:szCs w:val="20"/>
          <w:lang w:val="es-ES"/>
        </w:rPr>
      </w:pPr>
    </w:p>
    <w:p w14:paraId="0CB31DDE" w14:textId="77777777" w:rsidR="00B327DE" w:rsidRPr="007A3389" w:rsidRDefault="00277987" w:rsidP="00B327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sz w:val="20"/>
          <w:szCs w:val="20"/>
          <w:lang w:val="es-ES"/>
        </w:rPr>
        <w:t>En el caso de autos</w:t>
      </w:r>
      <w:r w:rsidR="00B327DE" w:rsidRPr="007A3389">
        <w:rPr>
          <w:rFonts w:asciiTheme="majorHAnsi" w:hAnsiTheme="majorHAnsi"/>
          <w:bCs/>
          <w:sz w:val="20"/>
          <w:szCs w:val="20"/>
          <w:lang w:val="es-ES"/>
        </w:rPr>
        <w:t xml:space="preserve">, </w:t>
      </w:r>
      <w:r w:rsidR="00A226F2">
        <w:rPr>
          <w:rFonts w:asciiTheme="majorHAnsi" w:hAnsiTheme="majorHAnsi"/>
          <w:bCs/>
          <w:sz w:val="20"/>
          <w:szCs w:val="20"/>
          <w:lang w:val="es-ES"/>
        </w:rPr>
        <w:t>el peticionario</w:t>
      </w:r>
      <w:r w:rsidR="00503391" w:rsidRPr="007A3389">
        <w:rPr>
          <w:rFonts w:asciiTheme="majorHAnsi" w:hAnsiTheme="majorHAnsi"/>
          <w:bCs/>
          <w:sz w:val="20"/>
          <w:szCs w:val="20"/>
          <w:lang w:val="es-ES"/>
        </w:rPr>
        <w:t xml:space="preserve"> </w:t>
      </w:r>
      <w:r w:rsidR="00DB0D0C">
        <w:rPr>
          <w:rFonts w:asciiTheme="majorHAnsi" w:hAnsiTheme="majorHAnsi"/>
          <w:bCs/>
          <w:sz w:val="20"/>
          <w:szCs w:val="20"/>
          <w:lang w:val="es-ES"/>
        </w:rPr>
        <w:t xml:space="preserve">no ha alegado que la ley en sí sea contraria a </w:t>
      </w:r>
      <w:r w:rsidR="00631955" w:rsidRPr="007A3389">
        <w:rPr>
          <w:rFonts w:asciiTheme="majorHAnsi" w:hAnsiTheme="majorHAnsi"/>
          <w:bCs/>
          <w:sz w:val="20"/>
          <w:szCs w:val="20"/>
          <w:lang w:val="es-ES"/>
        </w:rPr>
        <w:t>la Declaración Americana</w:t>
      </w:r>
      <w:r w:rsidR="00503391" w:rsidRPr="007A3389">
        <w:rPr>
          <w:rFonts w:asciiTheme="majorHAnsi" w:hAnsiTheme="majorHAnsi"/>
          <w:bCs/>
          <w:sz w:val="20"/>
          <w:szCs w:val="20"/>
          <w:lang w:val="es-ES"/>
        </w:rPr>
        <w:t xml:space="preserve">, </w:t>
      </w:r>
      <w:r w:rsidR="00DB0D0C">
        <w:rPr>
          <w:rFonts w:asciiTheme="majorHAnsi" w:hAnsiTheme="majorHAnsi"/>
          <w:bCs/>
          <w:sz w:val="20"/>
          <w:szCs w:val="20"/>
          <w:lang w:val="es-ES"/>
        </w:rPr>
        <w:t xml:space="preserve">sino que el </w:t>
      </w:r>
      <w:r w:rsidR="00DD3406">
        <w:rPr>
          <w:rFonts w:asciiTheme="majorHAnsi" w:hAnsiTheme="majorHAnsi"/>
          <w:bCs/>
          <w:sz w:val="20"/>
          <w:szCs w:val="20"/>
          <w:lang w:val="es-ES"/>
        </w:rPr>
        <w:t xml:space="preserve">registro </w:t>
      </w:r>
      <w:r w:rsidR="00DB0D0C">
        <w:rPr>
          <w:rFonts w:asciiTheme="majorHAnsi" w:hAnsiTheme="majorHAnsi"/>
          <w:bCs/>
          <w:sz w:val="20"/>
          <w:szCs w:val="20"/>
          <w:lang w:val="es-ES"/>
        </w:rPr>
        <w:t>y el arresto fueron discriminatorios. Al respecto</w:t>
      </w:r>
      <w:r w:rsidR="00503391" w:rsidRPr="007A3389">
        <w:rPr>
          <w:rFonts w:asciiTheme="majorHAnsi" w:hAnsiTheme="majorHAnsi"/>
          <w:bCs/>
          <w:sz w:val="20"/>
          <w:szCs w:val="20"/>
          <w:lang w:val="es-ES"/>
        </w:rPr>
        <w:t xml:space="preserve">, </w:t>
      </w:r>
      <w:r w:rsidR="008A10AB" w:rsidRPr="007A3389">
        <w:rPr>
          <w:rFonts w:asciiTheme="majorHAnsi" w:hAnsiTheme="majorHAnsi"/>
          <w:bCs/>
          <w:sz w:val="20"/>
          <w:szCs w:val="20"/>
          <w:lang w:val="es-ES"/>
        </w:rPr>
        <w:t>la Comisión</w:t>
      </w:r>
      <w:r w:rsidR="00503391" w:rsidRPr="007A3389">
        <w:rPr>
          <w:rFonts w:asciiTheme="majorHAnsi" w:hAnsiTheme="majorHAnsi"/>
          <w:bCs/>
          <w:sz w:val="20"/>
          <w:szCs w:val="20"/>
          <w:lang w:val="es-ES"/>
        </w:rPr>
        <w:t xml:space="preserve"> </w:t>
      </w:r>
      <w:r w:rsidR="00DB0D0C">
        <w:rPr>
          <w:rFonts w:asciiTheme="majorHAnsi" w:hAnsiTheme="majorHAnsi"/>
          <w:bCs/>
          <w:sz w:val="20"/>
          <w:szCs w:val="20"/>
          <w:lang w:val="es-ES"/>
        </w:rPr>
        <w:t xml:space="preserve">observa que la información disponible muestra que hubo una base objetiva para el </w:t>
      </w:r>
      <w:r w:rsidR="00DD3406">
        <w:rPr>
          <w:rFonts w:asciiTheme="majorHAnsi" w:hAnsiTheme="majorHAnsi"/>
          <w:bCs/>
          <w:sz w:val="20"/>
          <w:szCs w:val="20"/>
          <w:lang w:val="es-ES"/>
        </w:rPr>
        <w:t xml:space="preserve">registro </w:t>
      </w:r>
      <w:r w:rsidR="00DB0D0C">
        <w:rPr>
          <w:rFonts w:asciiTheme="majorHAnsi" w:hAnsiTheme="majorHAnsi"/>
          <w:bCs/>
          <w:sz w:val="20"/>
          <w:szCs w:val="20"/>
          <w:lang w:val="es-ES"/>
        </w:rPr>
        <w:t>y el arresto, en vista de que el agente de policía encontró varios artículos que implicaban a</w:t>
      </w:r>
      <w:r w:rsidR="00D87346" w:rsidRPr="007A3389">
        <w:rPr>
          <w:rFonts w:asciiTheme="majorHAnsi" w:hAnsiTheme="majorHAnsi"/>
          <w:bCs/>
          <w:sz w:val="20"/>
          <w:szCs w:val="20"/>
          <w:lang w:val="es-ES"/>
        </w:rPr>
        <w:t>l señor</w:t>
      </w:r>
      <w:r w:rsidR="00263BC9" w:rsidRPr="007A3389">
        <w:rPr>
          <w:rFonts w:asciiTheme="majorHAnsi" w:hAnsiTheme="majorHAnsi"/>
          <w:bCs/>
          <w:sz w:val="20"/>
          <w:szCs w:val="20"/>
          <w:lang w:val="es-ES"/>
        </w:rPr>
        <w:t xml:space="preserve"> Loza </w:t>
      </w:r>
      <w:r w:rsidR="00DB0D0C">
        <w:rPr>
          <w:rFonts w:asciiTheme="majorHAnsi" w:hAnsiTheme="majorHAnsi"/>
          <w:bCs/>
          <w:sz w:val="20"/>
          <w:szCs w:val="20"/>
          <w:lang w:val="es-ES"/>
        </w:rPr>
        <w:t>en una actividad delictiva. Asimismo, el señor Loza planeaba viajar a otro estado con una menor</w:t>
      </w:r>
      <w:r w:rsidR="00263BC9" w:rsidRPr="007A3389">
        <w:rPr>
          <w:rFonts w:asciiTheme="majorHAnsi" w:hAnsiTheme="majorHAnsi"/>
          <w:bCs/>
          <w:color w:val="auto"/>
          <w:sz w:val="20"/>
          <w:szCs w:val="20"/>
          <w:lang w:val="es-ES"/>
        </w:rPr>
        <w:t xml:space="preserve">, </w:t>
      </w:r>
      <w:r w:rsidR="00DB0D0C">
        <w:rPr>
          <w:rFonts w:asciiTheme="majorHAnsi" w:hAnsiTheme="majorHAnsi"/>
          <w:bCs/>
          <w:color w:val="auto"/>
          <w:sz w:val="20"/>
          <w:szCs w:val="20"/>
          <w:lang w:val="es-ES"/>
        </w:rPr>
        <w:t>supuestamente sin el consentimiento de los padres de ella. Por lo tanto, la sospecha del agente fue razonable y objetiva, lo cual es una salvaguardia esencial contra la detención y el arresto arbitrarios</w:t>
      </w:r>
      <w:r w:rsidR="00B04F9C" w:rsidRPr="007A3389">
        <w:rPr>
          <w:rFonts w:asciiTheme="majorHAnsi" w:hAnsiTheme="majorHAnsi"/>
          <w:bCs/>
          <w:color w:val="auto"/>
          <w:sz w:val="20"/>
          <w:szCs w:val="20"/>
          <w:lang w:val="es-ES"/>
        </w:rPr>
        <w:t>.</w:t>
      </w:r>
    </w:p>
    <w:p w14:paraId="4E8D7CDA" w14:textId="77777777" w:rsidR="00B327DE" w:rsidRPr="007A3389" w:rsidRDefault="00B327DE" w:rsidP="00B327DE">
      <w:pPr>
        <w:pStyle w:val="ListParagraph"/>
        <w:rPr>
          <w:rFonts w:asciiTheme="majorHAnsi" w:hAnsiTheme="majorHAnsi"/>
          <w:sz w:val="20"/>
          <w:lang w:val="es-ES"/>
        </w:rPr>
      </w:pPr>
    </w:p>
    <w:p w14:paraId="24FBA1AC" w14:textId="77777777" w:rsidR="004334A4" w:rsidRPr="007A3389" w:rsidRDefault="008A10AB" w:rsidP="00B52D4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7A3389">
        <w:rPr>
          <w:rFonts w:asciiTheme="majorHAnsi" w:hAnsiTheme="majorHAnsi"/>
          <w:bCs/>
          <w:color w:val="auto"/>
          <w:sz w:val="20"/>
          <w:szCs w:val="20"/>
          <w:lang w:val="es-ES"/>
        </w:rPr>
        <w:t>La Comisión</w:t>
      </w:r>
      <w:r w:rsidR="0083797A" w:rsidRPr="007A3389">
        <w:rPr>
          <w:rFonts w:asciiTheme="majorHAnsi" w:hAnsiTheme="majorHAnsi"/>
          <w:bCs/>
          <w:color w:val="auto"/>
          <w:sz w:val="20"/>
          <w:szCs w:val="20"/>
          <w:lang w:val="es-ES"/>
        </w:rPr>
        <w:t xml:space="preserve"> </w:t>
      </w:r>
      <w:r w:rsidR="00DB0D0C">
        <w:rPr>
          <w:rFonts w:asciiTheme="majorHAnsi" w:hAnsiTheme="majorHAnsi"/>
          <w:bCs/>
          <w:color w:val="auto"/>
          <w:sz w:val="20"/>
          <w:szCs w:val="20"/>
          <w:lang w:val="es-ES"/>
        </w:rPr>
        <w:t>observa la alegación de los peticionarios</w:t>
      </w:r>
      <w:r w:rsidR="0083797A" w:rsidRPr="007A3389">
        <w:rPr>
          <w:rFonts w:asciiTheme="majorHAnsi" w:hAnsiTheme="majorHAnsi"/>
          <w:bCs/>
          <w:color w:val="auto"/>
          <w:sz w:val="20"/>
          <w:szCs w:val="20"/>
          <w:lang w:val="es-ES"/>
        </w:rPr>
        <w:t xml:space="preserve">, </w:t>
      </w:r>
      <w:r w:rsidR="00DB0D0C">
        <w:rPr>
          <w:rFonts w:asciiTheme="majorHAnsi" w:hAnsiTheme="majorHAnsi"/>
          <w:bCs/>
          <w:color w:val="auto"/>
          <w:sz w:val="20"/>
          <w:szCs w:val="20"/>
          <w:lang w:val="es-ES"/>
        </w:rPr>
        <w:t>que no fue impugnada por</w:t>
      </w:r>
      <w:r w:rsidR="0083797A" w:rsidRPr="007A3389">
        <w:rPr>
          <w:rFonts w:asciiTheme="majorHAnsi" w:hAnsiTheme="majorHAnsi"/>
          <w:bCs/>
          <w:color w:val="auto"/>
          <w:sz w:val="20"/>
          <w:szCs w:val="20"/>
          <w:lang w:val="es-ES"/>
        </w:rPr>
        <w:t xml:space="preserve"> </w:t>
      </w:r>
      <w:r w:rsidR="00D87346" w:rsidRPr="007A3389">
        <w:rPr>
          <w:rFonts w:asciiTheme="majorHAnsi" w:hAnsiTheme="majorHAnsi"/>
          <w:bCs/>
          <w:color w:val="auto"/>
          <w:sz w:val="20"/>
          <w:szCs w:val="20"/>
          <w:lang w:val="es-ES"/>
        </w:rPr>
        <w:t>el Estado</w:t>
      </w:r>
      <w:r w:rsidR="0083797A" w:rsidRPr="007A3389">
        <w:rPr>
          <w:rFonts w:asciiTheme="majorHAnsi" w:hAnsiTheme="majorHAnsi"/>
          <w:bCs/>
          <w:color w:val="auto"/>
          <w:sz w:val="20"/>
          <w:szCs w:val="20"/>
          <w:lang w:val="es-ES"/>
        </w:rPr>
        <w:t xml:space="preserve">, </w:t>
      </w:r>
      <w:r w:rsidR="00DB0D0C">
        <w:rPr>
          <w:rFonts w:asciiTheme="majorHAnsi" w:hAnsiTheme="majorHAnsi"/>
          <w:bCs/>
          <w:color w:val="auto"/>
          <w:sz w:val="20"/>
          <w:szCs w:val="20"/>
          <w:lang w:val="es-ES"/>
        </w:rPr>
        <w:t xml:space="preserve">de que consta que el </w:t>
      </w:r>
      <w:r w:rsidR="004334A4" w:rsidRPr="007A3389">
        <w:rPr>
          <w:rFonts w:asciiTheme="majorHAnsi" w:hAnsiTheme="majorHAnsi"/>
          <w:bCs/>
          <w:color w:val="auto"/>
          <w:sz w:val="20"/>
          <w:szCs w:val="20"/>
          <w:lang w:val="es-ES"/>
        </w:rPr>
        <w:t xml:space="preserve">detective </w:t>
      </w:r>
      <w:r w:rsidR="00DB0D0C">
        <w:rPr>
          <w:rFonts w:asciiTheme="majorHAnsi" w:hAnsiTheme="majorHAnsi"/>
          <w:bCs/>
          <w:color w:val="auto"/>
          <w:sz w:val="20"/>
          <w:szCs w:val="20"/>
          <w:lang w:val="es-ES"/>
        </w:rPr>
        <w:t>se refirió a</w:t>
      </w:r>
      <w:r w:rsidR="00D87346" w:rsidRPr="007A3389">
        <w:rPr>
          <w:rFonts w:asciiTheme="majorHAnsi" w:hAnsiTheme="majorHAnsi"/>
          <w:bCs/>
          <w:color w:val="auto"/>
          <w:sz w:val="20"/>
          <w:szCs w:val="20"/>
          <w:lang w:val="es-ES"/>
        </w:rPr>
        <w:t>l señor</w:t>
      </w:r>
      <w:r w:rsidR="004334A4" w:rsidRPr="007A3389">
        <w:rPr>
          <w:rFonts w:asciiTheme="majorHAnsi" w:hAnsiTheme="majorHAnsi"/>
          <w:bCs/>
          <w:color w:val="auto"/>
          <w:sz w:val="20"/>
          <w:szCs w:val="20"/>
          <w:lang w:val="es-ES"/>
        </w:rPr>
        <w:t xml:space="preserve"> Loza </w:t>
      </w:r>
      <w:r w:rsidR="00DB0D0C">
        <w:rPr>
          <w:rFonts w:asciiTheme="majorHAnsi" w:hAnsiTheme="majorHAnsi"/>
          <w:bCs/>
          <w:color w:val="auto"/>
          <w:sz w:val="20"/>
          <w:szCs w:val="20"/>
          <w:lang w:val="es-ES"/>
        </w:rPr>
        <w:t xml:space="preserve">como </w:t>
      </w:r>
      <w:r w:rsidR="00C95CDD">
        <w:rPr>
          <w:rFonts w:asciiTheme="majorHAnsi" w:hAnsiTheme="majorHAnsi"/>
          <w:bCs/>
          <w:color w:val="auto"/>
          <w:sz w:val="20"/>
          <w:szCs w:val="20"/>
          <w:lang w:val="es-ES"/>
        </w:rPr>
        <w:t>“el mojado</w:t>
      </w:r>
      <w:r w:rsidR="00DB0D0C">
        <w:rPr>
          <w:rFonts w:asciiTheme="majorHAnsi" w:hAnsiTheme="majorHAnsi"/>
          <w:bCs/>
          <w:color w:val="auto"/>
          <w:sz w:val="20"/>
          <w:szCs w:val="20"/>
          <w:lang w:val="es-ES"/>
        </w:rPr>
        <w:t xml:space="preserve"> de </w:t>
      </w:r>
      <w:r w:rsidR="004334A4" w:rsidRPr="007A3389">
        <w:rPr>
          <w:rFonts w:asciiTheme="majorHAnsi" w:hAnsiTheme="majorHAnsi"/>
          <w:bCs/>
          <w:color w:val="auto"/>
          <w:sz w:val="20"/>
          <w:szCs w:val="20"/>
          <w:lang w:val="es-ES"/>
        </w:rPr>
        <w:t>California”</w:t>
      </w:r>
      <w:r w:rsidR="00DB0D0C">
        <w:rPr>
          <w:rFonts w:asciiTheme="majorHAnsi" w:hAnsiTheme="majorHAnsi"/>
          <w:bCs/>
          <w:color w:val="auto"/>
          <w:sz w:val="20"/>
          <w:szCs w:val="20"/>
          <w:lang w:val="es-ES"/>
        </w:rPr>
        <w:t xml:space="preserve">. Esta expresión es indudablemente </w:t>
      </w:r>
      <w:r w:rsidR="00DB0D0C">
        <w:rPr>
          <w:rFonts w:asciiTheme="majorHAnsi" w:hAnsiTheme="majorHAnsi"/>
          <w:bCs/>
          <w:color w:val="auto"/>
          <w:sz w:val="20"/>
          <w:szCs w:val="20"/>
          <w:lang w:val="es-ES"/>
        </w:rPr>
        <w:lastRenderedPageBreak/>
        <w:t>peyorativa y es aún más censurable cuando la usa un agente de las fuerzas del orden</w:t>
      </w:r>
      <w:r w:rsidR="00C56ED6">
        <w:rPr>
          <w:rFonts w:asciiTheme="majorHAnsi" w:hAnsiTheme="majorHAnsi"/>
          <w:bCs/>
          <w:color w:val="auto"/>
          <w:sz w:val="20"/>
          <w:szCs w:val="20"/>
          <w:lang w:val="es-ES"/>
        </w:rPr>
        <w:t xml:space="preserve">, pero de </w:t>
      </w:r>
      <w:r w:rsidR="00DB0D0C">
        <w:rPr>
          <w:rFonts w:asciiTheme="majorHAnsi" w:hAnsiTheme="majorHAnsi"/>
          <w:bCs/>
          <w:color w:val="auto"/>
          <w:sz w:val="20"/>
          <w:szCs w:val="20"/>
          <w:lang w:val="es-ES"/>
        </w:rPr>
        <w:t>por sí no basta para demostrar que el arresto y todas las actuaciones subsiguientes estuvier</w:t>
      </w:r>
      <w:r w:rsidR="00C56ED6">
        <w:rPr>
          <w:rFonts w:asciiTheme="majorHAnsi" w:hAnsiTheme="majorHAnsi"/>
          <w:bCs/>
          <w:color w:val="auto"/>
          <w:sz w:val="20"/>
          <w:szCs w:val="20"/>
          <w:lang w:val="es-ES"/>
        </w:rPr>
        <w:t>a</w:t>
      </w:r>
      <w:r w:rsidR="00DB0D0C">
        <w:rPr>
          <w:rFonts w:asciiTheme="majorHAnsi" w:hAnsiTheme="majorHAnsi"/>
          <w:bCs/>
          <w:color w:val="auto"/>
          <w:sz w:val="20"/>
          <w:szCs w:val="20"/>
          <w:lang w:val="es-ES"/>
        </w:rPr>
        <w:t>n viciados de discriminación</w:t>
      </w:r>
      <w:r w:rsidR="008A023D" w:rsidRPr="007A3389">
        <w:rPr>
          <w:rFonts w:asciiTheme="majorHAnsi" w:hAnsiTheme="majorHAnsi"/>
          <w:bCs/>
          <w:color w:val="auto"/>
          <w:sz w:val="20"/>
          <w:szCs w:val="20"/>
          <w:lang w:val="es-ES"/>
        </w:rPr>
        <w:t>.</w:t>
      </w:r>
    </w:p>
    <w:p w14:paraId="6475FB3B" w14:textId="77777777" w:rsidR="00B52D4D" w:rsidRPr="007A3389" w:rsidRDefault="00B52D4D" w:rsidP="00296EC2">
      <w:pPr>
        <w:pStyle w:val="ListParagraph"/>
        <w:rPr>
          <w:rFonts w:asciiTheme="majorHAnsi" w:hAnsiTheme="majorHAnsi"/>
          <w:bCs/>
          <w:color w:val="auto"/>
          <w:sz w:val="20"/>
          <w:szCs w:val="20"/>
          <w:lang w:val="es-ES"/>
        </w:rPr>
      </w:pPr>
    </w:p>
    <w:p w14:paraId="1D33E5AB" w14:textId="77777777" w:rsidR="00957C98" w:rsidRPr="007A3389" w:rsidRDefault="00DB0D0C" w:rsidP="003C79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color w:val="auto"/>
          <w:sz w:val="20"/>
          <w:szCs w:val="20"/>
          <w:lang w:val="es-ES"/>
        </w:rPr>
        <w:t>Con respecto al reclamo de los peticionarios de</w:t>
      </w:r>
      <w:r w:rsidR="00296EC2" w:rsidRPr="007A3389">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que </w:t>
      </w:r>
      <w:r w:rsidR="00D87346" w:rsidRPr="007A3389">
        <w:rPr>
          <w:rFonts w:asciiTheme="majorHAnsi" w:hAnsiTheme="majorHAnsi"/>
          <w:bCs/>
          <w:color w:val="auto"/>
          <w:sz w:val="20"/>
          <w:szCs w:val="20"/>
          <w:lang w:val="es-ES"/>
        </w:rPr>
        <w:t>el señor</w:t>
      </w:r>
      <w:r w:rsidR="008A023D" w:rsidRPr="007A3389">
        <w:rPr>
          <w:rFonts w:asciiTheme="majorHAnsi" w:hAnsiTheme="majorHAnsi"/>
          <w:bCs/>
          <w:color w:val="auto"/>
          <w:sz w:val="20"/>
          <w:szCs w:val="20"/>
          <w:lang w:val="es-ES"/>
        </w:rPr>
        <w:t xml:space="preserve"> Loza</w:t>
      </w:r>
      <w:r w:rsidR="00296EC2" w:rsidRPr="007A3389">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fue juzgado selectivamente por delitos punibles con la pena de muerte por motivos de </w:t>
      </w:r>
      <w:r w:rsidR="00EE0CB0" w:rsidRPr="007A3389">
        <w:rPr>
          <w:rFonts w:asciiTheme="majorHAnsi" w:hAnsiTheme="majorHAnsi"/>
          <w:bCs/>
          <w:color w:val="auto"/>
          <w:sz w:val="20"/>
          <w:szCs w:val="20"/>
          <w:lang w:val="es-ES"/>
        </w:rPr>
        <w:t>discriminación racial</w:t>
      </w:r>
      <w:r w:rsidR="00296EC2" w:rsidRPr="007A3389">
        <w:rPr>
          <w:rFonts w:asciiTheme="majorHAnsi" w:hAnsiTheme="majorHAnsi"/>
          <w:bCs/>
          <w:color w:val="auto"/>
          <w:sz w:val="20"/>
          <w:szCs w:val="20"/>
          <w:lang w:val="es-ES"/>
        </w:rPr>
        <w:t xml:space="preserve">, </w:t>
      </w:r>
      <w:r w:rsidR="00775DE4">
        <w:rPr>
          <w:rFonts w:asciiTheme="majorHAnsi" w:hAnsiTheme="majorHAnsi"/>
          <w:bCs/>
          <w:color w:val="auto"/>
          <w:sz w:val="20"/>
          <w:szCs w:val="20"/>
          <w:lang w:val="es-ES"/>
        </w:rPr>
        <w:t>el tribunal de distrito</w:t>
      </w:r>
      <w:r w:rsidR="00296EC2" w:rsidRPr="007A3389">
        <w:rPr>
          <w:rFonts w:asciiTheme="majorHAnsi" w:hAnsiTheme="majorHAnsi"/>
          <w:bCs/>
          <w:color w:val="auto"/>
          <w:sz w:val="20"/>
          <w:szCs w:val="20"/>
          <w:lang w:val="es-ES"/>
        </w:rPr>
        <w:t xml:space="preserve"> </w:t>
      </w:r>
      <w:r w:rsidR="00577337" w:rsidRPr="00577337">
        <w:rPr>
          <w:rFonts w:asciiTheme="majorHAnsi" w:hAnsiTheme="majorHAnsi"/>
          <w:bCs/>
          <w:color w:val="auto"/>
          <w:sz w:val="20"/>
          <w:szCs w:val="20"/>
          <w:lang w:val="es-ES"/>
        </w:rPr>
        <w:t>que entendió en su recurso de hábeas corpus declaró procedente la petición de autorización para presentar pruebas en relación con el reclamo. Tras considerar dicha prueba, el tribunal denegó el reclamo de juzgamiento selectivo.</w:t>
      </w:r>
      <w:r w:rsidR="00577337">
        <w:rPr>
          <w:rFonts w:asciiTheme="majorHAnsi" w:hAnsiTheme="majorHAnsi"/>
          <w:bCs/>
          <w:color w:val="auto"/>
          <w:sz w:val="20"/>
          <w:szCs w:val="20"/>
          <w:lang w:val="es-ES"/>
        </w:rPr>
        <w:t xml:space="preserve"> En la apelación</w:t>
      </w:r>
      <w:r w:rsidR="00296EC2" w:rsidRPr="007A3389">
        <w:rPr>
          <w:rFonts w:asciiTheme="majorHAnsi" w:hAnsiTheme="majorHAnsi"/>
          <w:bCs/>
          <w:color w:val="auto"/>
          <w:sz w:val="20"/>
          <w:szCs w:val="20"/>
          <w:lang w:val="es-ES"/>
        </w:rPr>
        <w:t xml:space="preserve">, </w:t>
      </w:r>
      <w:r w:rsidR="00775DE4">
        <w:rPr>
          <w:rFonts w:asciiTheme="majorHAnsi" w:hAnsiTheme="majorHAnsi"/>
          <w:bCs/>
          <w:color w:val="auto"/>
          <w:sz w:val="20"/>
          <w:szCs w:val="20"/>
          <w:lang w:val="es-ES"/>
        </w:rPr>
        <w:t>el tribunal</w:t>
      </w:r>
      <w:r w:rsidR="00296EC2" w:rsidRPr="007A3389">
        <w:rPr>
          <w:rFonts w:asciiTheme="majorHAnsi" w:hAnsiTheme="majorHAnsi"/>
          <w:bCs/>
          <w:color w:val="auto"/>
          <w:sz w:val="20"/>
          <w:szCs w:val="20"/>
          <w:lang w:val="es-ES"/>
        </w:rPr>
        <w:t xml:space="preserve"> </w:t>
      </w:r>
      <w:r w:rsidR="00A226F2">
        <w:rPr>
          <w:rFonts w:asciiTheme="majorHAnsi" w:hAnsiTheme="majorHAnsi"/>
          <w:bCs/>
          <w:color w:val="auto"/>
          <w:sz w:val="20"/>
          <w:szCs w:val="20"/>
          <w:lang w:val="es-ES"/>
        </w:rPr>
        <w:t xml:space="preserve">dictaminó que el acusado </w:t>
      </w:r>
      <w:r w:rsidR="00964DFA">
        <w:rPr>
          <w:rFonts w:asciiTheme="majorHAnsi" w:hAnsiTheme="majorHAnsi"/>
          <w:bCs/>
          <w:color w:val="auto"/>
          <w:sz w:val="20"/>
          <w:szCs w:val="20"/>
          <w:lang w:val="es-ES"/>
        </w:rPr>
        <w:t xml:space="preserve">no habría logrado </w:t>
      </w:r>
      <w:r w:rsidR="00A226F2">
        <w:rPr>
          <w:rFonts w:asciiTheme="majorHAnsi" w:hAnsiTheme="majorHAnsi"/>
          <w:bCs/>
          <w:color w:val="auto"/>
          <w:sz w:val="20"/>
          <w:szCs w:val="20"/>
          <w:lang w:val="es-ES"/>
        </w:rPr>
        <w:t xml:space="preserve">probar que </w:t>
      </w:r>
      <w:r w:rsidR="00775DE4">
        <w:rPr>
          <w:rFonts w:asciiTheme="majorHAnsi" w:hAnsiTheme="majorHAnsi"/>
          <w:sz w:val="20"/>
          <w:szCs w:val="20"/>
          <w:lang w:val="es-ES"/>
        </w:rPr>
        <w:t>la política de la fiscalía</w:t>
      </w:r>
      <w:r w:rsidR="00957C98" w:rsidRPr="007A3389">
        <w:rPr>
          <w:rFonts w:asciiTheme="majorHAnsi" w:hAnsiTheme="majorHAnsi"/>
          <w:sz w:val="20"/>
          <w:szCs w:val="20"/>
          <w:lang w:val="es-ES"/>
        </w:rPr>
        <w:t xml:space="preserve"> </w:t>
      </w:r>
      <w:r w:rsidR="00577337" w:rsidRPr="00577337">
        <w:rPr>
          <w:rFonts w:asciiTheme="majorHAnsi" w:hAnsiTheme="majorHAnsi"/>
          <w:sz w:val="20"/>
          <w:szCs w:val="20"/>
          <w:lang w:val="es-ES"/>
        </w:rPr>
        <w:t>tuvo un efecto discriminatorio y su motivo era discriminar</w:t>
      </w:r>
      <w:r w:rsidR="00577337">
        <w:rPr>
          <w:rFonts w:asciiTheme="majorHAnsi" w:hAnsiTheme="majorHAnsi"/>
          <w:sz w:val="20"/>
          <w:szCs w:val="20"/>
          <w:lang w:val="es-ES"/>
        </w:rPr>
        <w:t>.</w:t>
      </w:r>
      <w:r w:rsidR="00957C98" w:rsidRPr="007A3389">
        <w:rPr>
          <w:rFonts w:asciiTheme="majorHAnsi" w:hAnsiTheme="majorHAnsi"/>
          <w:sz w:val="20"/>
          <w:szCs w:val="20"/>
          <w:lang w:val="es-ES"/>
        </w:rPr>
        <w:t xml:space="preserve"> </w:t>
      </w:r>
      <w:r w:rsidR="00964DFA">
        <w:rPr>
          <w:rFonts w:asciiTheme="majorHAnsi" w:hAnsiTheme="majorHAnsi"/>
          <w:sz w:val="20"/>
          <w:szCs w:val="20"/>
          <w:lang w:val="es-ES"/>
        </w:rPr>
        <w:t>L</w:t>
      </w:r>
      <w:r w:rsidR="008A10AB" w:rsidRPr="007A3389">
        <w:rPr>
          <w:rFonts w:asciiTheme="majorHAnsi" w:hAnsiTheme="majorHAnsi"/>
          <w:sz w:val="20"/>
          <w:szCs w:val="20"/>
          <w:lang w:val="es-ES"/>
        </w:rPr>
        <w:t>a Comisión</w:t>
      </w:r>
      <w:r w:rsidR="008A023D" w:rsidRPr="007A3389">
        <w:rPr>
          <w:rFonts w:asciiTheme="majorHAnsi" w:hAnsiTheme="majorHAnsi"/>
          <w:sz w:val="20"/>
          <w:szCs w:val="20"/>
          <w:lang w:val="es-ES"/>
        </w:rPr>
        <w:t xml:space="preserve"> no </w:t>
      </w:r>
      <w:r w:rsidR="00577337">
        <w:rPr>
          <w:rFonts w:asciiTheme="majorHAnsi" w:hAnsiTheme="majorHAnsi"/>
          <w:sz w:val="20"/>
          <w:szCs w:val="20"/>
          <w:lang w:val="es-ES"/>
        </w:rPr>
        <w:t xml:space="preserve">tiene ningún </w:t>
      </w:r>
      <w:r w:rsidR="008A023D" w:rsidRPr="007A3389">
        <w:rPr>
          <w:rFonts w:asciiTheme="majorHAnsi" w:hAnsiTheme="majorHAnsi"/>
          <w:sz w:val="20"/>
          <w:szCs w:val="20"/>
          <w:lang w:val="es-ES"/>
        </w:rPr>
        <w:t>element</w:t>
      </w:r>
      <w:r w:rsidR="00577337">
        <w:rPr>
          <w:rFonts w:asciiTheme="majorHAnsi" w:hAnsiTheme="majorHAnsi"/>
          <w:sz w:val="20"/>
          <w:szCs w:val="20"/>
          <w:lang w:val="es-ES"/>
        </w:rPr>
        <w:t>o para llegar a una conclusión diferente.</w:t>
      </w:r>
      <w:r w:rsidR="00577337" w:rsidRPr="00577337">
        <w:rPr>
          <w:rFonts w:asciiTheme="majorHAnsi" w:eastAsia="Arial Unicode MS" w:hAnsiTheme="majorHAnsi" w:cs="Times New Roman"/>
          <w:color w:val="auto"/>
          <w:sz w:val="20"/>
          <w:szCs w:val="20"/>
          <w:lang w:val="es-ES" w:eastAsia="en-US"/>
        </w:rPr>
        <w:t xml:space="preserve"> </w:t>
      </w:r>
    </w:p>
    <w:p w14:paraId="6AFEA5CA" w14:textId="77777777" w:rsidR="002179AD" w:rsidRPr="007A3389" w:rsidRDefault="002179AD" w:rsidP="00C435B4">
      <w:pPr>
        <w:pStyle w:val="ListParagraph"/>
        <w:rPr>
          <w:rFonts w:asciiTheme="majorHAnsi" w:hAnsiTheme="majorHAnsi"/>
          <w:bCs/>
          <w:color w:val="auto"/>
          <w:sz w:val="20"/>
          <w:szCs w:val="20"/>
          <w:lang w:val="es-ES"/>
        </w:rPr>
      </w:pPr>
    </w:p>
    <w:p w14:paraId="462B19F6" w14:textId="77777777" w:rsidR="00C435B4" w:rsidRPr="007A3389" w:rsidRDefault="00577337" w:rsidP="003C79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sz w:val="20"/>
          <w:szCs w:val="20"/>
          <w:lang w:val="es-ES"/>
        </w:rPr>
        <w:t>En vista de la información y las consideraciones precedentes,</w:t>
      </w:r>
      <w:r w:rsidR="00C435B4" w:rsidRPr="007A3389">
        <w:rPr>
          <w:rFonts w:asciiTheme="majorHAnsi" w:hAnsiTheme="majorHAnsi"/>
          <w:sz w:val="20"/>
          <w:szCs w:val="20"/>
          <w:lang w:val="es-ES"/>
        </w:rPr>
        <w:t xml:space="preserve"> </w:t>
      </w:r>
      <w:r w:rsidR="008A10AB" w:rsidRPr="007A3389">
        <w:rPr>
          <w:rFonts w:asciiTheme="majorHAnsi" w:hAnsiTheme="majorHAnsi"/>
          <w:sz w:val="20"/>
          <w:szCs w:val="20"/>
          <w:lang w:val="es-ES"/>
        </w:rPr>
        <w:t>la Comisión</w:t>
      </w:r>
      <w:r w:rsidR="00C435B4" w:rsidRPr="007A3389">
        <w:rPr>
          <w:rFonts w:asciiTheme="majorHAnsi" w:hAnsiTheme="majorHAnsi"/>
          <w:sz w:val="20"/>
          <w:szCs w:val="20"/>
          <w:lang w:val="es-ES"/>
        </w:rPr>
        <w:t xml:space="preserve"> </w:t>
      </w:r>
      <w:r>
        <w:rPr>
          <w:rFonts w:asciiTheme="majorHAnsi" w:hAnsiTheme="majorHAnsi"/>
          <w:sz w:val="20"/>
          <w:szCs w:val="20"/>
          <w:lang w:val="es-ES"/>
        </w:rPr>
        <w:t>señala que no hay suficientes elementos para concluir que el arresto de</w:t>
      </w:r>
      <w:r w:rsidR="00D87346" w:rsidRPr="007A3389">
        <w:rPr>
          <w:rFonts w:asciiTheme="majorHAnsi" w:hAnsiTheme="majorHAnsi"/>
          <w:sz w:val="20"/>
          <w:szCs w:val="20"/>
          <w:lang w:val="es-ES"/>
        </w:rPr>
        <w:t>l señor</w:t>
      </w:r>
      <w:r w:rsidR="005C1EA5" w:rsidRPr="007A3389">
        <w:rPr>
          <w:rFonts w:asciiTheme="majorHAnsi" w:hAnsiTheme="majorHAnsi"/>
          <w:sz w:val="20"/>
          <w:szCs w:val="20"/>
          <w:lang w:val="es-ES"/>
        </w:rPr>
        <w:t xml:space="preserve"> Loza</w:t>
      </w:r>
      <w:r>
        <w:rPr>
          <w:rFonts w:asciiTheme="majorHAnsi" w:hAnsiTheme="majorHAnsi"/>
          <w:sz w:val="20"/>
          <w:szCs w:val="20"/>
          <w:lang w:val="es-ES"/>
        </w:rPr>
        <w:t xml:space="preserve"> fue </w:t>
      </w:r>
      <w:r w:rsidR="005C1EA5" w:rsidRPr="007A3389">
        <w:rPr>
          <w:rFonts w:asciiTheme="majorHAnsi" w:hAnsiTheme="majorHAnsi"/>
          <w:sz w:val="20"/>
          <w:szCs w:val="20"/>
          <w:lang w:val="es-ES"/>
        </w:rPr>
        <w:t>ilegal, arbitrar</w:t>
      </w:r>
      <w:r>
        <w:rPr>
          <w:rFonts w:asciiTheme="majorHAnsi" w:hAnsiTheme="majorHAnsi"/>
          <w:sz w:val="20"/>
          <w:szCs w:val="20"/>
          <w:lang w:val="es-ES"/>
        </w:rPr>
        <w:t>io o</w:t>
      </w:r>
      <w:r w:rsidR="005C1EA5" w:rsidRPr="007A3389">
        <w:rPr>
          <w:rFonts w:asciiTheme="majorHAnsi" w:hAnsiTheme="majorHAnsi"/>
          <w:sz w:val="20"/>
          <w:szCs w:val="20"/>
          <w:lang w:val="es-ES"/>
        </w:rPr>
        <w:t xml:space="preserve"> discriminator</w:t>
      </w:r>
      <w:r>
        <w:rPr>
          <w:rFonts w:asciiTheme="majorHAnsi" w:hAnsiTheme="majorHAnsi"/>
          <w:sz w:val="20"/>
          <w:szCs w:val="20"/>
          <w:lang w:val="es-ES"/>
        </w:rPr>
        <w:t>io o que el señor Loza fue juzgado selectivamente por delitos punibles con la pena de muerte debido a discriminación por razones de origen étnico</w:t>
      </w:r>
      <w:r w:rsidR="005C1EA5" w:rsidRPr="007A3389">
        <w:rPr>
          <w:rFonts w:asciiTheme="majorHAnsi" w:hAnsiTheme="majorHAnsi"/>
          <w:sz w:val="20"/>
          <w:szCs w:val="20"/>
          <w:lang w:val="es-ES"/>
        </w:rPr>
        <w:t>.</w:t>
      </w:r>
    </w:p>
    <w:p w14:paraId="7E8FDBA3" w14:textId="77777777" w:rsidR="004F65A8" w:rsidRPr="007A3389" w:rsidRDefault="004F65A8" w:rsidP="00351CD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360"/>
        <w:jc w:val="both"/>
        <w:rPr>
          <w:rFonts w:asciiTheme="majorHAnsi" w:hAnsiTheme="majorHAnsi"/>
          <w:bCs/>
          <w:sz w:val="20"/>
          <w:szCs w:val="20"/>
          <w:lang w:val="es-ES"/>
        </w:rPr>
      </w:pPr>
    </w:p>
    <w:p w14:paraId="6FEA0448" w14:textId="77777777" w:rsidR="006B5C2E" w:rsidRPr="007A3389" w:rsidRDefault="008A10AB" w:rsidP="009C6457">
      <w:pPr>
        <w:pStyle w:val="Heading2"/>
        <w:numPr>
          <w:ilvl w:val="0"/>
          <w:numId w:val="61"/>
        </w:numPr>
        <w:tabs>
          <w:tab w:val="left" w:pos="360"/>
        </w:tabs>
        <w:spacing w:before="0"/>
        <w:ind w:left="0" w:firstLine="0"/>
        <w:jc w:val="both"/>
        <w:rPr>
          <w:color w:val="auto"/>
          <w:sz w:val="20"/>
          <w:szCs w:val="20"/>
          <w:lang w:val="es-ES"/>
        </w:rPr>
      </w:pPr>
      <w:bookmarkStart w:id="35" w:name="_Toc90298933"/>
      <w:r w:rsidRPr="007A3389">
        <w:rPr>
          <w:color w:val="auto"/>
          <w:sz w:val="20"/>
          <w:szCs w:val="20"/>
          <w:lang w:val="es-ES"/>
        </w:rPr>
        <w:t>Derecho a no recibir un castigo cruel, infamante o inusitado</w:t>
      </w:r>
      <w:r w:rsidR="008E1322" w:rsidRPr="007A3389">
        <w:rPr>
          <w:rStyle w:val="FootnoteReference"/>
          <w:color w:val="auto"/>
          <w:sz w:val="20"/>
          <w:szCs w:val="20"/>
          <w:lang w:val="es-ES"/>
        </w:rPr>
        <w:footnoteReference w:id="67"/>
      </w:r>
      <w:bookmarkEnd w:id="35"/>
      <w:r w:rsidR="006B5C2E" w:rsidRPr="007A3389">
        <w:rPr>
          <w:color w:val="auto"/>
          <w:sz w:val="20"/>
          <w:szCs w:val="20"/>
          <w:lang w:val="es-ES"/>
        </w:rPr>
        <w:t xml:space="preserve"> </w:t>
      </w:r>
    </w:p>
    <w:p w14:paraId="7FB338F6" w14:textId="77777777" w:rsidR="00801C7F" w:rsidRPr="007A3389" w:rsidRDefault="00801C7F" w:rsidP="00801C7F">
      <w:pPr>
        <w:tabs>
          <w:tab w:val="left" w:pos="360"/>
        </w:tabs>
        <w:rPr>
          <w:b/>
          <w:sz w:val="20"/>
          <w:szCs w:val="20"/>
          <w:lang w:val="es-ES"/>
        </w:rPr>
      </w:pPr>
    </w:p>
    <w:p w14:paraId="199D2A7C" w14:textId="77777777" w:rsidR="006B5C2E" w:rsidRPr="007A3389" w:rsidRDefault="000D3EE0" w:rsidP="00B9441F">
      <w:pPr>
        <w:pStyle w:val="Heading3"/>
        <w:numPr>
          <w:ilvl w:val="0"/>
          <w:numId w:val="68"/>
        </w:numPr>
        <w:spacing w:before="0"/>
        <w:ind w:left="360"/>
        <w:rPr>
          <w:color w:val="auto"/>
          <w:sz w:val="20"/>
          <w:szCs w:val="20"/>
          <w:lang w:val="es-ES"/>
        </w:rPr>
      </w:pPr>
      <w:bookmarkStart w:id="36" w:name="_Toc90298934"/>
      <w:r w:rsidRPr="007A3389">
        <w:rPr>
          <w:color w:val="auto"/>
          <w:sz w:val="20"/>
          <w:szCs w:val="20"/>
          <w:lang w:val="es-ES"/>
        </w:rPr>
        <w:t>Método de ejecución</w:t>
      </w:r>
      <w:bookmarkEnd w:id="36"/>
    </w:p>
    <w:p w14:paraId="3D7386ED" w14:textId="77777777" w:rsidR="00801C7F" w:rsidRPr="007A3389" w:rsidRDefault="00801C7F" w:rsidP="00801C7F">
      <w:pPr>
        <w:pStyle w:val="ListParagraph"/>
        <w:tabs>
          <w:tab w:val="left" w:pos="360"/>
        </w:tabs>
        <w:ind w:left="0"/>
        <w:rPr>
          <w:b/>
          <w:sz w:val="20"/>
          <w:szCs w:val="20"/>
          <w:lang w:val="es-ES"/>
        </w:rPr>
      </w:pPr>
    </w:p>
    <w:p w14:paraId="140C0E90" w14:textId="77777777" w:rsidR="00F91540" w:rsidRPr="00C56ED6" w:rsidRDefault="00577337" w:rsidP="00577337">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C56ED6">
        <w:rPr>
          <w:rFonts w:asciiTheme="majorHAnsi" w:hAnsiTheme="majorHAnsi"/>
          <w:sz w:val="20"/>
          <w:szCs w:val="20"/>
          <w:lang w:val="es-ES"/>
        </w:rPr>
        <w:t>E</w:t>
      </w:r>
      <w:r w:rsidR="00F91540" w:rsidRPr="00C56ED6">
        <w:rPr>
          <w:rFonts w:asciiTheme="majorHAnsi" w:hAnsiTheme="majorHAnsi"/>
          <w:sz w:val="20"/>
          <w:szCs w:val="20"/>
          <w:lang w:val="es-ES"/>
        </w:rPr>
        <w:t xml:space="preserve">n </w:t>
      </w:r>
      <w:r w:rsidRPr="00C56ED6">
        <w:rPr>
          <w:rFonts w:asciiTheme="majorHAnsi" w:hAnsiTheme="majorHAnsi"/>
          <w:sz w:val="20"/>
          <w:szCs w:val="20"/>
          <w:lang w:val="es-ES"/>
        </w:rPr>
        <w:t>casos de delitos punible</w:t>
      </w:r>
      <w:r w:rsidR="00C56ED6" w:rsidRPr="00C56ED6">
        <w:rPr>
          <w:rFonts w:asciiTheme="majorHAnsi" w:hAnsiTheme="majorHAnsi"/>
          <w:sz w:val="20"/>
          <w:szCs w:val="20"/>
          <w:lang w:val="es-ES"/>
        </w:rPr>
        <w:t xml:space="preserve">s </w:t>
      </w:r>
      <w:r w:rsidRPr="00C56ED6">
        <w:rPr>
          <w:rFonts w:asciiTheme="majorHAnsi" w:hAnsiTheme="majorHAnsi"/>
          <w:sz w:val="20"/>
          <w:szCs w:val="20"/>
          <w:lang w:val="es-ES"/>
        </w:rPr>
        <w:t>con la pena de muerte,</w:t>
      </w:r>
      <w:r w:rsidR="00F91540" w:rsidRPr="00C56ED6">
        <w:rPr>
          <w:rFonts w:asciiTheme="majorHAnsi" w:hAnsiTheme="majorHAnsi"/>
          <w:sz w:val="20"/>
          <w:szCs w:val="20"/>
          <w:lang w:val="es-ES"/>
        </w:rPr>
        <w:t xml:space="preserve"> </w:t>
      </w:r>
      <w:r w:rsidR="00D87346" w:rsidRPr="00C56ED6">
        <w:rPr>
          <w:rFonts w:asciiTheme="majorHAnsi" w:hAnsiTheme="majorHAnsi"/>
          <w:sz w:val="20"/>
          <w:szCs w:val="20"/>
          <w:lang w:val="es-ES"/>
        </w:rPr>
        <w:t>el Estado</w:t>
      </w:r>
      <w:r w:rsidR="00F91540" w:rsidRPr="00C56ED6">
        <w:rPr>
          <w:rFonts w:asciiTheme="majorHAnsi" w:hAnsiTheme="majorHAnsi"/>
          <w:sz w:val="20"/>
          <w:szCs w:val="20"/>
          <w:lang w:val="es-ES"/>
        </w:rPr>
        <w:t xml:space="preserve"> </w:t>
      </w:r>
      <w:r w:rsidRPr="00C56ED6">
        <w:rPr>
          <w:rFonts w:asciiTheme="majorHAnsi" w:hAnsiTheme="majorHAnsi"/>
          <w:sz w:val="20"/>
          <w:szCs w:val="20"/>
          <w:lang w:val="es-ES"/>
        </w:rPr>
        <w:t>tiene una obligación mayor de asegurar que la persona que ha sido condenada a muerte tenga acceso a toda la información pertinente sobre la manera en que va a morir. En particular, el condenado debe tener acceso a información sobre los procedimientos exactos que se seguirán, así como los fármacos y las dosis que se usarán en l</w:t>
      </w:r>
      <w:r w:rsidR="00C56ED6">
        <w:rPr>
          <w:rFonts w:asciiTheme="majorHAnsi" w:hAnsiTheme="majorHAnsi"/>
          <w:sz w:val="20"/>
          <w:szCs w:val="20"/>
          <w:lang w:val="es-ES"/>
        </w:rPr>
        <w:t xml:space="preserve">as ejecuciones </w:t>
      </w:r>
      <w:r w:rsidRPr="00C56ED6">
        <w:rPr>
          <w:rFonts w:asciiTheme="majorHAnsi" w:hAnsiTheme="majorHAnsi"/>
          <w:sz w:val="20"/>
          <w:szCs w:val="20"/>
          <w:lang w:val="es-ES"/>
        </w:rPr>
        <w:t>por inyección, la composición del equipo a cargo de la ejecución y su capacitación</w:t>
      </w:r>
      <w:r w:rsidR="00F91540" w:rsidRPr="00C56ED6">
        <w:rPr>
          <w:rStyle w:val="FootnoteReference"/>
          <w:rFonts w:asciiTheme="majorHAnsi" w:hAnsiTheme="majorHAnsi"/>
          <w:sz w:val="20"/>
          <w:szCs w:val="20"/>
          <w:lang w:val="es-ES"/>
        </w:rPr>
        <w:footnoteReference w:id="68"/>
      </w:r>
      <w:r w:rsidR="00F91540" w:rsidRPr="00C56ED6">
        <w:rPr>
          <w:rStyle w:val="FootnoteReference"/>
          <w:rFonts w:asciiTheme="majorHAnsi" w:hAnsiTheme="majorHAnsi"/>
          <w:sz w:val="20"/>
          <w:szCs w:val="20"/>
          <w:lang w:val="es-ES"/>
        </w:rPr>
        <w:t xml:space="preserve"> </w:t>
      </w:r>
      <w:r w:rsidRPr="00C56ED6">
        <w:rPr>
          <w:rStyle w:val="FootnoteReference"/>
          <w:rFonts w:asciiTheme="majorHAnsi" w:hAnsiTheme="majorHAnsi"/>
          <w:sz w:val="20"/>
          <w:szCs w:val="20"/>
          <w:vertAlign w:val="baseline"/>
          <w:lang w:val="es-ES"/>
        </w:rPr>
        <w:t>.</w:t>
      </w:r>
      <w:r w:rsidR="00F91540" w:rsidRPr="00C56ED6">
        <w:rPr>
          <w:rFonts w:asciiTheme="majorHAnsi" w:hAnsiTheme="majorHAnsi"/>
          <w:sz w:val="20"/>
          <w:szCs w:val="20"/>
          <w:lang w:val="es-ES"/>
        </w:rPr>
        <w:t xml:space="preserve"> </w:t>
      </w:r>
    </w:p>
    <w:p w14:paraId="2D976356" w14:textId="77777777" w:rsidR="00F91540" w:rsidRPr="007A3389" w:rsidRDefault="00F91540" w:rsidP="00F91540">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23CA967D" w14:textId="77777777" w:rsidR="00F91540" w:rsidRPr="007A3389" w:rsidRDefault="003B1D54" w:rsidP="003B1D54">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3B1D54">
        <w:rPr>
          <w:rFonts w:ascii="Cambria" w:hAnsi="Cambria"/>
          <w:sz w:val="20"/>
          <w:szCs w:val="20"/>
          <w:lang w:val="es-ES"/>
        </w:rPr>
        <w:t xml:space="preserve">Toda persona a quien vaya a aplicarse la pena de muerte debe tener la oportunidad de impugnar cada aspecto del procedimiento de la ejecución, y esa información es necesaria para la impugnación. La CIDH observa en ese sentido que los requisitos del debido proceso no se limitan a la condena y las actuaciones </w:t>
      </w:r>
      <w:proofErr w:type="spellStart"/>
      <w:r w:rsidRPr="003B1D54">
        <w:rPr>
          <w:rFonts w:ascii="Cambria" w:hAnsi="Cambria"/>
          <w:sz w:val="20"/>
          <w:szCs w:val="20"/>
          <w:lang w:val="es-ES"/>
        </w:rPr>
        <w:t>poscondenatorias</w:t>
      </w:r>
      <w:proofErr w:type="spellEnd"/>
      <w:r w:rsidR="00F91540" w:rsidRPr="007A3389">
        <w:rPr>
          <w:rStyle w:val="FootnoteReference"/>
          <w:rFonts w:asciiTheme="majorHAnsi" w:hAnsiTheme="majorHAnsi"/>
          <w:sz w:val="20"/>
          <w:szCs w:val="20"/>
          <w:lang w:val="es-ES"/>
        </w:rPr>
        <w:footnoteReference w:id="69"/>
      </w:r>
      <w:r>
        <w:rPr>
          <w:rFonts w:ascii="Cambria" w:hAnsi="Cambria"/>
          <w:sz w:val="20"/>
          <w:szCs w:val="20"/>
          <w:lang w:val="es-ES"/>
        </w:rPr>
        <w:t>.</w:t>
      </w:r>
      <w:r w:rsidR="00860797">
        <w:rPr>
          <w:rStyle w:val="FootnoteReference"/>
          <w:rFonts w:asciiTheme="majorHAnsi" w:hAnsiTheme="majorHAnsi"/>
          <w:lang w:val="es-ES"/>
        </w:rPr>
        <w:t xml:space="preserve"> </w:t>
      </w:r>
      <w:r w:rsidRPr="003B1D54">
        <w:rPr>
          <w:rFonts w:ascii="Cambria" w:hAnsi="Cambria"/>
          <w:sz w:val="20"/>
          <w:szCs w:val="20"/>
          <w:lang w:val="es-ES"/>
        </w:rPr>
        <w:t>Por lo tanto, el Estado tiene el deber de informar de manera oportuna a la persona condenada a muerte sobre el fármaco y el método de ejecución que se usarán, a fin de que no se le impida defender judicialmente el derecho a ser ejecutada sin un sufrimiento cruel e inusitado</w:t>
      </w:r>
      <w:r w:rsidR="00F91540" w:rsidRPr="007A3389">
        <w:rPr>
          <w:rFonts w:ascii="Cambria" w:hAnsi="Cambria"/>
          <w:sz w:val="20"/>
          <w:szCs w:val="20"/>
          <w:lang w:val="es-ES"/>
        </w:rPr>
        <w:t>.</w:t>
      </w:r>
      <w:r w:rsidR="00860797">
        <w:rPr>
          <w:rFonts w:ascii="Cambria" w:hAnsi="Cambria"/>
          <w:sz w:val="20"/>
          <w:szCs w:val="20"/>
          <w:lang w:val="es-ES"/>
        </w:rPr>
        <w:t xml:space="preserve">  </w:t>
      </w:r>
    </w:p>
    <w:p w14:paraId="2DFBEE63" w14:textId="77777777" w:rsidR="00F91540" w:rsidRPr="007A3389" w:rsidRDefault="00F91540" w:rsidP="00F91540">
      <w:pPr>
        <w:pStyle w:val="ListParagraph"/>
        <w:rPr>
          <w:sz w:val="20"/>
          <w:szCs w:val="20"/>
          <w:lang w:val="es-ES"/>
        </w:rPr>
      </w:pPr>
    </w:p>
    <w:p w14:paraId="34F50F8D" w14:textId="77777777" w:rsidR="00F91540" w:rsidRPr="007A3389" w:rsidRDefault="00064312" w:rsidP="0006431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064312">
        <w:rPr>
          <w:rFonts w:ascii="Cambria" w:hAnsi="Cambria"/>
          <w:sz w:val="20"/>
          <w:szCs w:val="20"/>
          <w:lang w:val="es-ES"/>
        </w:rPr>
        <w:t>Asimismo, la CIDH recalca el deber mayor y especial del Estado de asegurar que el método de ejecución no constituya un castigo cruel, infamante o inusitado. En ese sentido, el Relator Especial de las Naciones Unidas sobre la tortura y otros tratos o penas crueles, inhumanos o degradantes señaló que se considera que varios métodos de ejecución constituyen tortura o trato cruel, inhumano o degradante, lo cual, sumado a la tendencia creciente a revisar todos los métodos de ejecución a fin de determinar si pueden ocasionar gran dolor y sufrimiento, pone de relieve la dificultad creciente con la cual un Estado puede imponer la pena de muerte sin violar el derecho internaciona</w:t>
      </w:r>
      <w:r>
        <w:rPr>
          <w:rFonts w:ascii="Cambria" w:hAnsi="Cambria"/>
          <w:sz w:val="20"/>
          <w:szCs w:val="20"/>
          <w:lang w:val="es-ES"/>
        </w:rPr>
        <w:t>l</w:t>
      </w:r>
      <w:r w:rsidR="00F91540" w:rsidRPr="007A3389">
        <w:rPr>
          <w:rStyle w:val="FootnoteReference"/>
          <w:rFonts w:asciiTheme="majorHAnsi" w:hAnsiTheme="majorHAnsi"/>
          <w:sz w:val="20"/>
          <w:szCs w:val="20"/>
          <w:lang w:val="es-ES"/>
        </w:rPr>
        <w:footnoteReference w:id="70"/>
      </w:r>
      <w:r>
        <w:rPr>
          <w:rFonts w:ascii="Cambria" w:hAnsi="Cambria"/>
          <w:sz w:val="20"/>
          <w:szCs w:val="20"/>
          <w:lang w:val="es-ES"/>
        </w:rPr>
        <w:t>.</w:t>
      </w:r>
    </w:p>
    <w:p w14:paraId="386267EB" w14:textId="77777777" w:rsidR="00F91540" w:rsidRPr="007A3389" w:rsidRDefault="00F91540" w:rsidP="00F91540">
      <w:pPr>
        <w:pStyle w:val="ListParagraph"/>
        <w:rPr>
          <w:sz w:val="20"/>
          <w:szCs w:val="20"/>
          <w:lang w:val="es-ES"/>
        </w:rPr>
      </w:pPr>
    </w:p>
    <w:p w14:paraId="32397817" w14:textId="77777777" w:rsidR="00F91540" w:rsidRPr="007A3389" w:rsidRDefault="00064312" w:rsidP="0006431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064312">
        <w:rPr>
          <w:rFonts w:ascii="Cambria" w:hAnsi="Cambria"/>
          <w:sz w:val="20"/>
          <w:szCs w:val="20"/>
          <w:lang w:val="es-ES"/>
        </w:rPr>
        <w:t>La CIDH observa asimismo que el Comité contra la Tortura, de las Naciones Unidas, recibió información fidedigna de que las ejecuciones que tienen lugar en Estados Unidos pueden estar acompañadas de gran dolor y sufrimiento y solicitó al Estado que examinara “atentamente las técnicas de ejecución, especialmente la inyección letal, a fin de no causar un dolor o sufrimiento grave</w:t>
      </w:r>
      <w:r w:rsidR="00F91540" w:rsidRPr="007A3389">
        <w:rPr>
          <w:rFonts w:ascii="Cambria" w:hAnsi="Cambria"/>
          <w:sz w:val="20"/>
          <w:szCs w:val="20"/>
          <w:lang w:val="es-ES"/>
        </w:rPr>
        <w:t>”</w:t>
      </w:r>
      <w:r w:rsidR="00F91540" w:rsidRPr="007A3389">
        <w:rPr>
          <w:rStyle w:val="FootnoteReference"/>
          <w:rFonts w:asciiTheme="majorHAnsi" w:hAnsiTheme="majorHAnsi"/>
          <w:sz w:val="20"/>
          <w:szCs w:val="20"/>
          <w:lang w:val="es-ES"/>
        </w:rPr>
        <w:footnoteReference w:id="71"/>
      </w:r>
      <w:r>
        <w:rPr>
          <w:rFonts w:ascii="Cambria" w:hAnsi="Cambria"/>
          <w:sz w:val="20"/>
          <w:szCs w:val="20"/>
          <w:lang w:val="es-ES"/>
        </w:rPr>
        <w:t>.</w:t>
      </w:r>
    </w:p>
    <w:p w14:paraId="61C0DC66" w14:textId="77777777" w:rsidR="005E4CF1" w:rsidRPr="007A3389" w:rsidRDefault="005E4CF1" w:rsidP="005E4CF1">
      <w:pPr>
        <w:pStyle w:val="ListParagraph"/>
        <w:rPr>
          <w:sz w:val="20"/>
          <w:szCs w:val="20"/>
          <w:lang w:val="es-ES"/>
        </w:rPr>
      </w:pPr>
    </w:p>
    <w:p w14:paraId="3ED43149" w14:textId="77777777" w:rsidR="001B4E52" w:rsidRPr="007A3389" w:rsidRDefault="00064312" w:rsidP="001B4E5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lastRenderedPageBreak/>
        <w:t xml:space="preserve">El actual gobernador de </w:t>
      </w:r>
      <w:r w:rsidR="003659F2" w:rsidRPr="007A3389">
        <w:rPr>
          <w:rFonts w:ascii="Cambria" w:hAnsi="Cambria"/>
          <w:sz w:val="20"/>
          <w:szCs w:val="20"/>
          <w:lang w:val="es-ES"/>
        </w:rPr>
        <w:t>Ohio,</w:t>
      </w:r>
      <w:r w:rsidR="00510142" w:rsidRPr="007A3389">
        <w:rPr>
          <w:rFonts w:ascii="Cambria" w:hAnsi="Cambria"/>
          <w:sz w:val="20"/>
          <w:szCs w:val="20"/>
          <w:lang w:val="es-ES"/>
        </w:rPr>
        <w:t xml:space="preserve"> Mike </w:t>
      </w:r>
      <w:proofErr w:type="spellStart"/>
      <w:r w:rsidR="00510142" w:rsidRPr="007A3389">
        <w:rPr>
          <w:rFonts w:ascii="Cambria" w:hAnsi="Cambria"/>
          <w:sz w:val="20"/>
          <w:szCs w:val="20"/>
          <w:lang w:val="es-ES"/>
        </w:rPr>
        <w:t>DeWine</w:t>
      </w:r>
      <w:proofErr w:type="spellEnd"/>
      <w:r w:rsidR="00510142" w:rsidRPr="007A3389">
        <w:rPr>
          <w:rFonts w:ascii="Cambria" w:hAnsi="Cambria"/>
          <w:sz w:val="20"/>
          <w:szCs w:val="20"/>
          <w:lang w:val="es-ES"/>
        </w:rPr>
        <w:t>,</w:t>
      </w:r>
      <w:r w:rsidR="003659F2" w:rsidRPr="007A3389">
        <w:rPr>
          <w:rFonts w:ascii="Cambria" w:hAnsi="Cambria"/>
          <w:sz w:val="20"/>
          <w:szCs w:val="20"/>
          <w:lang w:val="es-ES"/>
        </w:rPr>
        <w:t xml:space="preserve"> </w:t>
      </w:r>
      <w:r>
        <w:rPr>
          <w:rFonts w:ascii="Cambria" w:hAnsi="Cambria"/>
          <w:sz w:val="20"/>
          <w:szCs w:val="20"/>
          <w:lang w:val="es-ES"/>
        </w:rPr>
        <w:t xml:space="preserve">anunció el </w:t>
      </w:r>
      <w:r w:rsidR="003659F2" w:rsidRPr="007A3389">
        <w:rPr>
          <w:rFonts w:ascii="Cambria" w:hAnsi="Cambria"/>
          <w:sz w:val="20"/>
          <w:szCs w:val="20"/>
          <w:lang w:val="es-ES"/>
        </w:rPr>
        <w:t>19</w:t>
      </w:r>
      <w:r>
        <w:rPr>
          <w:rFonts w:ascii="Cambria" w:hAnsi="Cambria"/>
          <w:sz w:val="20"/>
          <w:szCs w:val="20"/>
          <w:lang w:val="es-ES"/>
        </w:rPr>
        <w:t xml:space="preserve"> de febrero de</w:t>
      </w:r>
      <w:r w:rsidR="003659F2" w:rsidRPr="007A3389">
        <w:rPr>
          <w:rFonts w:ascii="Cambria" w:hAnsi="Cambria"/>
          <w:sz w:val="20"/>
          <w:szCs w:val="20"/>
          <w:lang w:val="es-ES"/>
        </w:rPr>
        <w:t xml:space="preserve"> 2019 </w:t>
      </w:r>
      <w:r>
        <w:rPr>
          <w:rFonts w:ascii="Cambria" w:hAnsi="Cambria"/>
          <w:sz w:val="20"/>
          <w:szCs w:val="20"/>
          <w:lang w:val="es-ES"/>
        </w:rPr>
        <w:t xml:space="preserve">que </w:t>
      </w:r>
      <w:r w:rsidR="00D87346" w:rsidRPr="007A3389">
        <w:rPr>
          <w:rFonts w:ascii="Cambria" w:hAnsi="Cambria"/>
          <w:sz w:val="20"/>
          <w:szCs w:val="20"/>
          <w:lang w:val="es-ES"/>
        </w:rPr>
        <w:t xml:space="preserve">el </w:t>
      </w:r>
      <w:r>
        <w:rPr>
          <w:rFonts w:ascii="Cambria" w:hAnsi="Cambria"/>
          <w:sz w:val="20"/>
          <w:szCs w:val="20"/>
          <w:lang w:val="es-ES"/>
        </w:rPr>
        <w:t>e</w:t>
      </w:r>
      <w:r w:rsidR="00D87346" w:rsidRPr="007A3389">
        <w:rPr>
          <w:rFonts w:ascii="Cambria" w:hAnsi="Cambria"/>
          <w:sz w:val="20"/>
          <w:szCs w:val="20"/>
          <w:lang w:val="es-ES"/>
        </w:rPr>
        <w:t>stado</w:t>
      </w:r>
      <w:r w:rsidR="003659F2" w:rsidRPr="007A3389">
        <w:rPr>
          <w:rFonts w:ascii="Cambria" w:hAnsi="Cambria"/>
          <w:sz w:val="20"/>
          <w:szCs w:val="20"/>
          <w:lang w:val="es-ES"/>
        </w:rPr>
        <w:t xml:space="preserve"> </w:t>
      </w:r>
      <w:r>
        <w:rPr>
          <w:rFonts w:ascii="Cambria" w:hAnsi="Cambria"/>
          <w:sz w:val="20"/>
          <w:szCs w:val="20"/>
          <w:lang w:val="es-ES"/>
        </w:rPr>
        <w:t xml:space="preserve">había suspendido la ejecución de reclusos hasta que se adoptara un nuevo método de ejecución que los tribunales consideraran </w:t>
      </w:r>
      <w:r w:rsidR="004128E9">
        <w:rPr>
          <w:rFonts w:ascii="Cambria" w:hAnsi="Cambria"/>
          <w:sz w:val="20"/>
          <w:szCs w:val="20"/>
          <w:lang w:val="es-ES"/>
        </w:rPr>
        <w:t>constitucional</w:t>
      </w:r>
      <w:r w:rsidR="00473197" w:rsidRPr="007A3389">
        <w:rPr>
          <w:rFonts w:ascii="Cambria" w:hAnsi="Cambria"/>
          <w:sz w:val="20"/>
          <w:szCs w:val="20"/>
          <w:lang w:val="es-ES"/>
        </w:rPr>
        <w:t xml:space="preserve">. </w:t>
      </w:r>
      <w:r w:rsidR="00D87346" w:rsidRPr="007A3389">
        <w:rPr>
          <w:rFonts w:ascii="Cambria" w:hAnsi="Cambria"/>
          <w:sz w:val="20"/>
          <w:szCs w:val="20"/>
          <w:lang w:val="es-ES"/>
        </w:rPr>
        <w:t xml:space="preserve">El </w:t>
      </w:r>
      <w:r>
        <w:rPr>
          <w:rFonts w:ascii="Cambria" w:hAnsi="Cambria"/>
          <w:sz w:val="20"/>
          <w:szCs w:val="20"/>
          <w:lang w:val="es-ES"/>
        </w:rPr>
        <w:t>e</w:t>
      </w:r>
      <w:r w:rsidR="00D87346" w:rsidRPr="007A3389">
        <w:rPr>
          <w:rFonts w:ascii="Cambria" w:hAnsi="Cambria"/>
          <w:sz w:val="20"/>
          <w:szCs w:val="20"/>
          <w:lang w:val="es-ES"/>
        </w:rPr>
        <w:t>stado</w:t>
      </w:r>
      <w:r w:rsidR="00860797">
        <w:rPr>
          <w:rFonts w:ascii="Cambria" w:hAnsi="Cambria"/>
          <w:sz w:val="20"/>
          <w:szCs w:val="20"/>
          <w:lang w:val="es-ES"/>
        </w:rPr>
        <w:t xml:space="preserve"> de </w:t>
      </w:r>
      <w:r w:rsidR="00510142" w:rsidRPr="007A3389">
        <w:rPr>
          <w:rFonts w:ascii="Cambria" w:hAnsi="Cambria"/>
          <w:sz w:val="20"/>
          <w:szCs w:val="20"/>
          <w:lang w:val="es-ES"/>
        </w:rPr>
        <w:t xml:space="preserve">Ohio </w:t>
      </w:r>
      <w:r>
        <w:rPr>
          <w:rFonts w:ascii="Cambria" w:hAnsi="Cambria"/>
          <w:sz w:val="20"/>
          <w:szCs w:val="20"/>
          <w:lang w:val="es-ES"/>
        </w:rPr>
        <w:t xml:space="preserve">había reanudado las ejecuciones el </w:t>
      </w:r>
      <w:r w:rsidR="00510142" w:rsidRPr="007A3389">
        <w:rPr>
          <w:rFonts w:ascii="Cambria" w:hAnsi="Cambria"/>
          <w:sz w:val="20"/>
          <w:szCs w:val="20"/>
          <w:lang w:val="es-ES"/>
        </w:rPr>
        <w:t>26</w:t>
      </w:r>
      <w:r>
        <w:rPr>
          <w:rFonts w:ascii="Cambria" w:hAnsi="Cambria"/>
          <w:sz w:val="20"/>
          <w:szCs w:val="20"/>
          <w:lang w:val="es-ES"/>
        </w:rPr>
        <w:t xml:space="preserve"> de julio de</w:t>
      </w:r>
      <w:r w:rsidR="00510142" w:rsidRPr="007A3389">
        <w:rPr>
          <w:rFonts w:ascii="Cambria" w:hAnsi="Cambria"/>
          <w:sz w:val="20"/>
          <w:szCs w:val="20"/>
          <w:lang w:val="es-ES"/>
        </w:rPr>
        <w:t xml:space="preserve"> 2017. </w:t>
      </w:r>
      <w:r>
        <w:rPr>
          <w:rFonts w:ascii="Cambria" w:hAnsi="Cambria"/>
          <w:sz w:val="20"/>
          <w:szCs w:val="20"/>
          <w:lang w:val="es-ES"/>
        </w:rPr>
        <w:t xml:space="preserve">El gobernador ordenó una revisión de los protocolos para </w:t>
      </w:r>
      <w:r w:rsidR="00A06C83" w:rsidRPr="007A3389">
        <w:rPr>
          <w:rFonts w:ascii="Cambria" w:hAnsi="Cambria"/>
          <w:sz w:val="20"/>
          <w:szCs w:val="20"/>
          <w:lang w:val="es-ES"/>
        </w:rPr>
        <w:t>la pena de muerte</w:t>
      </w:r>
      <w:r w:rsidR="003659F2" w:rsidRPr="007A3389">
        <w:rPr>
          <w:rFonts w:ascii="Cambria" w:hAnsi="Cambria"/>
          <w:sz w:val="20"/>
          <w:szCs w:val="20"/>
          <w:lang w:val="es-ES"/>
        </w:rPr>
        <w:t xml:space="preserve"> </w:t>
      </w:r>
      <w:r>
        <w:rPr>
          <w:rFonts w:ascii="Cambria" w:hAnsi="Cambria"/>
          <w:sz w:val="20"/>
          <w:szCs w:val="20"/>
          <w:lang w:val="es-ES"/>
        </w:rPr>
        <w:t>después que un juez auxiliar</w:t>
      </w:r>
      <w:r w:rsidR="003659F2" w:rsidRPr="007A3389">
        <w:rPr>
          <w:rFonts w:ascii="Cambria" w:hAnsi="Cambria"/>
          <w:sz w:val="20"/>
          <w:szCs w:val="20"/>
          <w:lang w:val="es-ES"/>
        </w:rPr>
        <w:t xml:space="preserve"> federal </w:t>
      </w:r>
      <w:r>
        <w:rPr>
          <w:rFonts w:ascii="Cambria" w:hAnsi="Cambria"/>
          <w:sz w:val="20"/>
          <w:szCs w:val="20"/>
          <w:lang w:val="es-ES"/>
        </w:rPr>
        <w:t xml:space="preserve">opinó que el </w:t>
      </w:r>
      <w:r w:rsidR="000D3EE0" w:rsidRPr="007A3389">
        <w:rPr>
          <w:rFonts w:ascii="Cambria" w:hAnsi="Cambria"/>
          <w:sz w:val="20"/>
          <w:szCs w:val="20"/>
          <w:lang w:val="es-ES"/>
        </w:rPr>
        <w:t>método de ejecución</w:t>
      </w:r>
      <w:r w:rsidR="003659F2" w:rsidRPr="007A3389">
        <w:rPr>
          <w:rFonts w:ascii="Cambria" w:hAnsi="Cambria"/>
          <w:sz w:val="20"/>
          <w:szCs w:val="20"/>
          <w:lang w:val="es-ES"/>
        </w:rPr>
        <w:t xml:space="preserve"> </w:t>
      </w:r>
      <w:r>
        <w:rPr>
          <w:rFonts w:ascii="Cambria" w:hAnsi="Cambria"/>
          <w:sz w:val="20"/>
          <w:szCs w:val="20"/>
          <w:lang w:val="es-ES"/>
        </w:rPr>
        <w:t xml:space="preserve">que se usaba en Ohio expondría a los condenados a </w:t>
      </w:r>
      <w:r w:rsidR="00C95CDD">
        <w:rPr>
          <w:rFonts w:ascii="Cambria" w:hAnsi="Cambria"/>
          <w:sz w:val="20"/>
          <w:szCs w:val="20"/>
          <w:lang w:val="es-ES"/>
        </w:rPr>
        <w:t>“</w:t>
      </w:r>
      <w:r>
        <w:rPr>
          <w:rFonts w:ascii="Cambria" w:hAnsi="Cambria"/>
          <w:sz w:val="20"/>
          <w:szCs w:val="20"/>
          <w:lang w:val="es-ES"/>
        </w:rPr>
        <w:t xml:space="preserve">dolor grave y </w:t>
      </w:r>
      <w:r w:rsidR="005F2595">
        <w:rPr>
          <w:rFonts w:ascii="Cambria" w:hAnsi="Cambria"/>
          <w:sz w:val="20"/>
          <w:szCs w:val="20"/>
          <w:lang w:val="es-ES"/>
        </w:rPr>
        <w:t>sufrimiento innecesario</w:t>
      </w:r>
      <w:r w:rsidR="00C95CDD">
        <w:rPr>
          <w:rFonts w:ascii="Cambria" w:hAnsi="Cambria"/>
          <w:sz w:val="20"/>
          <w:szCs w:val="20"/>
          <w:lang w:val="es-ES"/>
        </w:rPr>
        <w:t>”</w:t>
      </w:r>
      <w:r w:rsidR="003659F2" w:rsidRPr="007A3389">
        <w:rPr>
          <w:rStyle w:val="FootnoteReference"/>
          <w:rFonts w:ascii="Cambria" w:hAnsi="Cambria"/>
          <w:sz w:val="20"/>
          <w:szCs w:val="20"/>
          <w:lang w:val="es-ES"/>
        </w:rPr>
        <w:footnoteReference w:id="72"/>
      </w:r>
      <w:r>
        <w:rPr>
          <w:rFonts w:ascii="Cambria" w:hAnsi="Cambria"/>
          <w:sz w:val="20"/>
          <w:szCs w:val="20"/>
          <w:lang w:val="es-ES"/>
        </w:rPr>
        <w:t>.</w:t>
      </w:r>
    </w:p>
    <w:p w14:paraId="6D739D80" w14:textId="77777777" w:rsidR="001B4E52" w:rsidRPr="007A3389" w:rsidRDefault="001B4E52" w:rsidP="003659F2">
      <w:pPr>
        <w:rPr>
          <w:sz w:val="20"/>
          <w:szCs w:val="20"/>
          <w:lang w:val="es-ES"/>
        </w:rPr>
      </w:pPr>
    </w:p>
    <w:p w14:paraId="076E2B7E" w14:textId="77777777" w:rsidR="001B4E52" w:rsidRPr="007A3389" w:rsidRDefault="00D80C64" w:rsidP="00A3035F">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D80C64">
        <w:rPr>
          <w:rFonts w:ascii="Cambria" w:hAnsi="Cambria"/>
          <w:sz w:val="20"/>
          <w:szCs w:val="20"/>
          <w:lang w:val="es-ES"/>
        </w:rPr>
        <w:t>Sobre la base de las consideraciones precedentes y en vista de la incertidumbre que rodea la aplicación de la pena de muerte en</w:t>
      </w:r>
      <w:r w:rsidR="001B4E52" w:rsidRPr="007A3389">
        <w:rPr>
          <w:rFonts w:ascii="Cambria" w:hAnsi="Cambria"/>
          <w:sz w:val="20"/>
          <w:szCs w:val="20"/>
          <w:lang w:val="es-ES"/>
        </w:rPr>
        <w:t xml:space="preserve"> </w:t>
      </w:r>
      <w:r w:rsidR="00D1134B" w:rsidRPr="007A3389">
        <w:rPr>
          <w:rFonts w:ascii="Cambria" w:hAnsi="Cambria"/>
          <w:sz w:val="20"/>
          <w:szCs w:val="20"/>
          <w:lang w:val="es-ES"/>
        </w:rPr>
        <w:t>Ohio</w:t>
      </w:r>
      <w:r w:rsidR="001B4E52" w:rsidRPr="007A3389">
        <w:rPr>
          <w:rFonts w:ascii="Cambria" w:hAnsi="Cambria"/>
          <w:sz w:val="20"/>
          <w:szCs w:val="20"/>
          <w:lang w:val="es-ES"/>
        </w:rPr>
        <w:t xml:space="preserve">, </w:t>
      </w:r>
      <w:r w:rsidR="00631955" w:rsidRPr="007A3389">
        <w:rPr>
          <w:rFonts w:ascii="Cambria" w:hAnsi="Cambria"/>
          <w:sz w:val="20"/>
          <w:szCs w:val="20"/>
          <w:lang w:val="es-ES"/>
        </w:rPr>
        <w:t>la CIDH</w:t>
      </w:r>
      <w:r w:rsidR="001B4E52" w:rsidRPr="007A3389">
        <w:rPr>
          <w:rFonts w:ascii="Cambria" w:hAnsi="Cambria"/>
          <w:sz w:val="20"/>
          <w:szCs w:val="20"/>
          <w:lang w:val="es-ES"/>
        </w:rPr>
        <w:t xml:space="preserve"> </w:t>
      </w:r>
      <w:r w:rsidRPr="00D80C64">
        <w:rPr>
          <w:rFonts w:ascii="Cambria" w:hAnsi="Cambria"/>
          <w:sz w:val="20"/>
          <w:szCs w:val="20"/>
          <w:lang w:val="es-ES"/>
        </w:rPr>
        <w:t>concluye que el Estado está exponiendo al señor</w:t>
      </w:r>
      <w:r w:rsidR="001B4E52" w:rsidRPr="007A3389">
        <w:rPr>
          <w:rFonts w:ascii="Cambria" w:hAnsi="Cambria"/>
          <w:sz w:val="20"/>
          <w:szCs w:val="20"/>
          <w:lang w:val="es-ES"/>
        </w:rPr>
        <w:t xml:space="preserve"> </w:t>
      </w:r>
      <w:r w:rsidR="00D1134B" w:rsidRPr="007A3389">
        <w:rPr>
          <w:rFonts w:ascii="Cambria" w:hAnsi="Cambria"/>
          <w:sz w:val="20"/>
          <w:szCs w:val="20"/>
          <w:lang w:val="es-ES"/>
        </w:rPr>
        <w:t>Loza</w:t>
      </w:r>
      <w:r w:rsidR="001B4E52" w:rsidRPr="007A3389">
        <w:rPr>
          <w:rFonts w:ascii="Cambria" w:hAnsi="Cambria"/>
          <w:sz w:val="20"/>
          <w:szCs w:val="20"/>
          <w:lang w:val="es-ES"/>
        </w:rPr>
        <w:t xml:space="preserve"> </w:t>
      </w:r>
      <w:r w:rsidRPr="00D80C64">
        <w:rPr>
          <w:rFonts w:ascii="Cambria" w:hAnsi="Cambria"/>
          <w:sz w:val="20"/>
          <w:szCs w:val="20"/>
          <w:lang w:val="es-ES"/>
        </w:rPr>
        <w:t>a un estado de angustia y temor que constituye una violación de su derecho a un trato human</w:t>
      </w:r>
      <w:r w:rsidR="00A3035F">
        <w:rPr>
          <w:rFonts w:ascii="Cambria" w:hAnsi="Cambria"/>
          <w:sz w:val="20"/>
          <w:szCs w:val="20"/>
          <w:lang w:val="es-ES"/>
        </w:rPr>
        <w:t>itari</w:t>
      </w:r>
      <w:r w:rsidRPr="00D80C64">
        <w:rPr>
          <w:rFonts w:ascii="Cambria" w:hAnsi="Cambria"/>
          <w:sz w:val="20"/>
          <w:szCs w:val="20"/>
          <w:lang w:val="es-ES"/>
        </w:rPr>
        <w:t>o y a que no se le imponga un castigo cruel, infamante o inusitado enunciado en los artículos</w:t>
      </w:r>
      <w:r w:rsidR="001B4E52" w:rsidRPr="007A3389">
        <w:rPr>
          <w:rFonts w:ascii="Cambria" w:hAnsi="Cambria"/>
          <w:sz w:val="20"/>
          <w:szCs w:val="20"/>
          <w:lang w:val="es-ES"/>
        </w:rPr>
        <w:t xml:space="preserve"> XXV </w:t>
      </w:r>
      <w:r>
        <w:rPr>
          <w:rFonts w:ascii="Cambria" w:hAnsi="Cambria"/>
          <w:sz w:val="20"/>
          <w:szCs w:val="20"/>
          <w:lang w:val="es-ES"/>
        </w:rPr>
        <w:t>y</w:t>
      </w:r>
      <w:r w:rsidR="001B4E52" w:rsidRPr="007A3389">
        <w:rPr>
          <w:rFonts w:ascii="Cambria" w:hAnsi="Cambria"/>
          <w:sz w:val="20"/>
          <w:szCs w:val="20"/>
          <w:lang w:val="es-ES"/>
        </w:rPr>
        <w:t xml:space="preserve"> XXVI </w:t>
      </w:r>
      <w:r>
        <w:rPr>
          <w:rFonts w:ascii="Cambria" w:hAnsi="Cambria"/>
          <w:sz w:val="20"/>
          <w:szCs w:val="20"/>
          <w:lang w:val="es-ES"/>
        </w:rPr>
        <w:t>de</w:t>
      </w:r>
      <w:r w:rsidR="001B4E52" w:rsidRPr="007A3389">
        <w:rPr>
          <w:rFonts w:ascii="Cambria" w:hAnsi="Cambria"/>
          <w:sz w:val="20"/>
          <w:szCs w:val="20"/>
          <w:lang w:val="es-ES"/>
        </w:rPr>
        <w:t xml:space="preserve"> </w:t>
      </w:r>
      <w:r w:rsidR="00631955" w:rsidRPr="007A3389">
        <w:rPr>
          <w:rFonts w:ascii="Cambria" w:hAnsi="Cambria"/>
          <w:sz w:val="20"/>
          <w:szCs w:val="20"/>
          <w:lang w:val="es-ES"/>
        </w:rPr>
        <w:t>la Declaración</w:t>
      </w:r>
      <w:r w:rsidR="001B4E52" w:rsidRPr="007A3389">
        <w:rPr>
          <w:rFonts w:ascii="Cambria" w:hAnsi="Cambria"/>
          <w:sz w:val="20"/>
          <w:szCs w:val="20"/>
          <w:lang w:val="es-ES"/>
        </w:rPr>
        <w:t xml:space="preserve">. </w:t>
      </w:r>
    </w:p>
    <w:p w14:paraId="28873B25" w14:textId="77777777" w:rsidR="00801C7F" w:rsidRPr="007A3389" w:rsidRDefault="00801C7F" w:rsidP="00801C7F">
      <w:pPr>
        <w:pStyle w:val="ListParagraph"/>
        <w:tabs>
          <w:tab w:val="left" w:pos="360"/>
        </w:tabs>
        <w:rPr>
          <w:sz w:val="20"/>
          <w:szCs w:val="20"/>
          <w:lang w:val="es-ES"/>
        </w:rPr>
      </w:pPr>
    </w:p>
    <w:p w14:paraId="66F4C106" w14:textId="77777777" w:rsidR="00801C7F" w:rsidRPr="007A3389" w:rsidRDefault="008A10AB" w:rsidP="003752A9">
      <w:pPr>
        <w:pStyle w:val="Heading3"/>
        <w:numPr>
          <w:ilvl w:val="3"/>
          <w:numId w:val="53"/>
        </w:numPr>
        <w:spacing w:before="0"/>
        <w:ind w:left="360"/>
        <w:jc w:val="both"/>
        <w:rPr>
          <w:color w:val="auto"/>
          <w:sz w:val="20"/>
          <w:szCs w:val="20"/>
          <w:lang w:val="es-ES"/>
        </w:rPr>
      </w:pPr>
      <w:bookmarkStart w:id="37" w:name="_Toc90298935"/>
      <w:r w:rsidRPr="007A3389">
        <w:rPr>
          <w:color w:val="auto"/>
          <w:sz w:val="20"/>
          <w:szCs w:val="20"/>
          <w:lang w:val="es-ES"/>
        </w:rPr>
        <w:t>La privación de la libertad en el corredor de la muerte</w:t>
      </w:r>
      <w:bookmarkEnd w:id="37"/>
      <w:r w:rsidR="00BB76B9" w:rsidRPr="007A3389">
        <w:rPr>
          <w:color w:val="auto"/>
          <w:sz w:val="20"/>
          <w:szCs w:val="20"/>
          <w:lang w:val="es-ES"/>
        </w:rPr>
        <w:t xml:space="preserve"> </w:t>
      </w:r>
    </w:p>
    <w:p w14:paraId="569DE110" w14:textId="77777777" w:rsidR="00801C7F" w:rsidRPr="007A3389" w:rsidRDefault="00801C7F" w:rsidP="00801C7F">
      <w:pPr>
        <w:pStyle w:val="ListParagraph"/>
        <w:tabs>
          <w:tab w:val="left" w:pos="360"/>
        </w:tabs>
        <w:ind w:left="0"/>
        <w:rPr>
          <w:b/>
          <w:sz w:val="20"/>
          <w:szCs w:val="20"/>
          <w:lang w:val="es-ES"/>
        </w:rPr>
      </w:pPr>
    </w:p>
    <w:p w14:paraId="01D01382" w14:textId="77777777" w:rsidR="00BE3560" w:rsidRPr="007A3389" w:rsidRDefault="0011247B" w:rsidP="0011247B">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11247B">
        <w:rPr>
          <w:rFonts w:ascii="Cambria" w:hAnsi="Cambria"/>
          <w:sz w:val="20"/>
          <w:szCs w:val="20"/>
          <w:lang w:val="es-ES"/>
        </w:rPr>
        <w:t>Tanto en el derecho internacional de los derechos humanos como en el derecho comparado se ha desarrollado a lo largo de décadas el tema de la privación prolongada de la libertad en el corredor de la muerte, conocido como el “fenómeno del corredor de la muerte”, a la luz de la prohibición del trato cruel, inhumano y degradante dispuesta en las constituciones y en muchos tratados internacionales, entre ellos la Declaración Americana (artículos XXV y XXVI</w:t>
      </w:r>
      <w:r w:rsidR="003A5E9B" w:rsidRPr="007A3389">
        <w:rPr>
          <w:rFonts w:ascii="Cambria" w:hAnsi="Cambria"/>
          <w:sz w:val="20"/>
          <w:szCs w:val="20"/>
          <w:lang w:val="es-ES"/>
        </w:rPr>
        <w:t>)</w:t>
      </w:r>
      <w:r w:rsidR="003A5E9B" w:rsidRPr="007A3389">
        <w:rPr>
          <w:rFonts w:ascii="Cambria" w:eastAsia="Arial Unicode MS" w:hAnsi="Cambria"/>
          <w:sz w:val="20"/>
          <w:bdr w:val="nil"/>
          <w:vertAlign w:val="superscript"/>
          <w:lang w:val="es-ES"/>
        </w:rPr>
        <w:footnoteReference w:id="73"/>
      </w:r>
      <w:r>
        <w:rPr>
          <w:rFonts w:ascii="Cambria" w:hAnsi="Cambria"/>
          <w:sz w:val="20"/>
          <w:szCs w:val="20"/>
          <w:lang w:val="es-ES"/>
        </w:rPr>
        <w:t xml:space="preserve">. </w:t>
      </w:r>
      <w:r w:rsidRPr="0011247B">
        <w:rPr>
          <w:rFonts w:ascii="Cambria" w:hAnsi="Cambria"/>
          <w:sz w:val="20"/>
          <w:szCs w:val="20"/>
          <w:lang w:val="es-ES"/>
        </w:rPr>
        <w:t xml:space="preserve">En vista de esas normas, en el caso </w:t>
      </w:r>
      <w:r w:rsidRPr="00964DFA">
        <w:rPr>
          <w:rFonts w:ascii="Cambria" w:hAnsi="Cambria"/>
          <w:i/>
          <w:sz w:val="20"/>
          <w:szCs w:val="20"/>
          <w:lang w:val="es-ES"/>
        </w:rPr>
        <w:t xml:space="preserve">Russell </w:t>
      </w:r>
      <w:proofErr w:type="spellStart"/>
      <w:r w:rsidRPr="00964DFA">
        <w:rPr>
          <w:rFonts w:ascii="Cambria" w:hAnsi="Cambria"/>
          <w:i/>
          <w:sz w:val="20"/>
          <w:szCs w:val="20"/>
          <w:lang w:val="es-ES"/>
        </w:rPr>
        <w:t>Bucklew</w:t>
      </w:r>
      <w:proofErr w:type="spellEnd"/>
      <w:r w:rsidRPr="0011247B">
        <w:rPr>
          <w:rFonts w:ascii="Cambria" w:hAnsi="Cambria"/>
          <w:sz w:val="20"/>
          <w:szCs w:val="20"/>
          <w:lang w:val="es-ES"/>
        </w:rPr>
        <w:t xml:space="preserve">, la CIDH señaló que “[e]l hecho de pasar 20 años en el corredor de la muerte es, </w:t>
      </w:r>
      <w:r>
        <w:rPr>
          <w:rFonts w:ascii="Cambria" w:hAnsi="Cambria"/>
          <w:sz w:val="20"/>
          <w:szCs w:val="20"/>
          <w:lang w:val="es-ES"/>
        </w:rPr>
        <w:t>desde todo punto de vista</w:t>
      </w:r>
      <w:r w:rsidRPr="0011247B">
        <w:rPr>
          <w:rFonts w:ascii="Cambria" w:hAnsi="Cambria"/>
          <w:sz w:val="20"/>
          <w:szCs w:val="20"/>
          <w:lang w:val="es-ES"/>
        </w:rPr>
        <w:t>, excesivo e inhumano</w:t>
      </w:r>
      <w:r w:rsidR="003A5E9B" w:rsidRPr="007A3389">
        <w:rPr>
          <w:rFonts w:ascii="Cambria" w:hAnsi="Cambria"/>
          <w:sz w:val="20"/>
          <w:szCs w:val="20"/>
          <w:lang w:val="es-ES"/>
        </w:rPr>
        <w:t>”</w:t>
      </w:r>
      <w:r w:rsidR="003A5E9B" w:rsidRPr="007A3389">
        <w:rPr>
          <w:rFonts w:ascii="Cambria" w:eastAsia="Arial Unicode MS" w:hAnsi="Cambria"/>
          <w:sz w:val="20"/>
          <w:bdr w:val="nil"/>
          <w:vertAlign w:val="superscript"/>
          <w:lang w:val="es-ES"/>
        </w:rPr>
        <w:footnoteReference w:id="74"/>
      </w:r>
      <w:r>
        <w:rPr>
          <w:rFonts w:ascii="Cambria" w:hAnsi="Cambria"/>
          <w:sz w:val="20"/>
          <w:szCs w:val="20"/>
          <w:lang w:val="es-ES"/>
        </w:rPr>
        <w:t>.</w:t>
      </w:r>
    </w:p>
    <w:p w14:paraId="26891CE6" w14:textId="77777777" w:rsidR="00BE3560" w:rsidRPr="007A3389" w:rsidRDefault="00BE3560" w:rsidP="00BE3560">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75265FA6" w14:textId="77777777" w:rsidR="00BE3560" w:rsidRPr="007A3389" w:rsidRDefault="0011247B" w:rsidP="0011247B">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11247B">
        <w:rPr>
          <w:rFonts w:ascii="Cambria" w:hAnsi="Cambria"/>
          <w:sz w:val="20"/>
          <w:lang w:val="es-ES"/>
        </w:rPr>
        <w:t>En lo que se refiere específicamente al régimen de aislamiento prolongado en el corredor de la muerte, la Comisión Interamericana ha determinado que la privación de libertad en ciertas condiciones en el corredor de la muerte, incluido el régimen de aislamiento durante cuatro años, constituyó un trato inhumano</w:t>
      </w:r>
      <w:r w:rsidR="003A5E9B" w:rsidRPr="007A3389">
        <w:rPr>
          <w:rFonts w:ascii="Cambria" w:eastAsia="Arial Unicode MS" w:hAnsi="Cambria"/>
          <w:sz w:val="20"/>
          <w:bdr w:val="nil"/>
          <w:vertAlign w:val="superscript"/>
          <w:lang w:val="es-ES"/>
        </w:rPr>
        <w:footnoteReference w:id="75"/>
      </w:r>
      <w:r>
        <w:rPr>
          <w:rFonts w:ascii="Cambria" w:hAnsi="Cambria"/>
          <w:sz w:val="20"/>
          <w:lang w:val="es-ES"/>
        </w:rPr>
        <w:t>.</w:t>
      </w:r>
      <w:r w:rsidR="00860797">
        <w:rPr>
          <w:rFonts w:ascii="Cambria" w:eastAsia="Arial Unicode MS" w:hAnsi="Cambria"/>
          <w:sz w:val="20"/>
          <w:bdr w:val="nil"/>
          <w:vertAlign w:val="superscript"/>
          <w:lang w:val="es-ES"/>
        </w:rPr>
        <w:t xml:space="preserve">  </w:t>
      </w:r>
      <w:r w:rsidR="003A5E9B" w:rsidRPr="007A3389">
        <w:rPr>
          <w:rFonts w:ascii="Cambria" w:hAnsi="Cambria"/>
          <w:sz w:val="20"/>
          <w:lang w:val="es-ES"/>
        </w:rPr>
        <w:t xml:space="preserve"> </w:t>
      </w:r>
    </w:p>
    <w:p w14:paraId="5C3047B5" w14:textId="77777777" w:rsidR="00BE3560" w:rsidRPr="007A3389" w:rsidRDefault="00BE3560" w:rsidP="00BE3560">
      <w:pPr>
        <w:pStyle w:val="ListParagraph"/>
        <w:rPr>
          <w:sz w:val="20"/>
          <w:lang w:val="es-ES"/>
        </w:rPr>
      </w:pPr>
    </w:p>
    <w:p w14:paraId="433BD3E1" w14:textId="77777777" w:rsidR="003A5E9B" w:rsidRPr="007A3389" w:rsidRDefault="0011247B" w:rsidP="0011247B">
      <w:pPr>
        <w:pStyle w:val="NormalWeb"/>
        <w:numPr>
          <w:ilvl w:val="0"/>
          <w:numId w:val="55"/>
        </w:numPr>
        <w:shd w:val="clear" w:color="auto" w:fill="FFFFFF"/>
        <w:tabs>
          <w:tab w:val="left" w:pos="360"/>
          <w:tab w:val="left" w:pos="450"/>
        </w:tabs>
        <w:spacing w:before="0" w:beforeAutospacing="0" w:after="0" w:afterAutospacing="0"/>
        <w:ind w:left="0" w:firstLine="0"/>
        <w:jc w:val="both"/>
        <w:rPr>
          <w:rFonts w:ascii="Cambria" w:hAnsi="Cambria"/>
          <w:sz w:val="20"/>
          <w:szCs w:val="20"/>
          <w:lang w:val="es-ES"/>
        </w:rPr>
      </w:pPr>
      <w:r>
        <w:rPr>
          <w:rFonts w:ascii="Cambria" w:hAnsi="Cambria"/>
          <w:sz w:val="20"/>
          <w:lang w:val="es-ES"/>
        </w:rPr>
        <w:t>E</w:t>
      </w:r>
      <w:r w:rsidRPr="0011247B">
        <w:rPr>
          <w:rFonts w:ascii="Cambria" w:hAnsi="Cambria"/>
          <w:sz w:val="20"/>
          <w:lang w:val="es-ES"/>
        </w:rPr>
        <w:t>l Relator Especial sobre la tortura</w:t>
      </w:r>
      <w:r>
        <w:rPr>
          <w:rFonts w:ascii="Cambria" w:hAnsi="Cambria"/>
          <w:sz w:val="20"/>
          <w:lang w:val="es-ES"/>
        </w:rPr>
        <w:t>, de las Naciones Unidas, observa lo siguiente</w:t>
      </w:r>
      <w:r w:rsidR="003A5E9B" w:rsidRPr="007A3389">
        <w:rPr>
          <w:rFonts w:ascii="Cambria" w:hAnsi="Cambria"/>
          <w:sz w:val="20"/>
          <w:lang w:val="es-ES"/>
        </w:rPr>
        <w:t xml:space="preserve">: </w:t>
      </w:r>
    </w:p>
    <w:p w14:paraId="693C3282" w14:textId="77777777" w:rsidR="003A5E9B" w:rsidRPr="007A3389" w:rsidRDefault="003A5E9B" w:rsidP="003A5E9B">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lang w:val="es-ES"/>
        </w:rPr>
      </w:pPr>
    </w:p>
    <w:p w14:paraId="456A81EA" w14:textId="77777777" w:rsidR="003A5E9B" w:rsidRPr="00CB50DB" w:rsidRDefault="00CB50DB" w:rsidP="003A5E9B">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lang w:val="es-ES"/>
        </w:rPr>
      </w:pPr>
      <w:r w:rsidRPr="00CB50DB">
        <w:rPr>
          <w:rFonts w:ascii="Cambria" w:eastAsia="Times New Roman" w:hAnsi="Cambria"/>
          <w:sz w:val="18"/>
          <w:szCs w:val="18"/>
          <w:lang w:val="es-ES"/>
        </w:rPr>
        <w:t>Las personas recluidas en régimen de aislamiento padecen formas extremas de privación sensorial, ansiedad y exclusión, que exceden, sin lugar a dudas, las condiciones legales de privación de la libertad. La reclusión en régimen de aislamiento, en combinación con la idea de una muerte inminente y la incertidumbre acerca de si la ejecución tendrá o no lugar, y cuándo, contribuye al riesgo de daño mental y físico irreparable y sufrimiento infligidos al recluso. La reclusión en régimen de aislamiento utilizada en el pabellón de condenados a muerte es, por definición, de duración prolongada e indefinida y constituye, por ende, un trato o pena cruel, inhumano o degradante, o incluso tortura</w:t>
      </w:r>
      <w:r w:rsidR="003A5E9B" w:rsidRPr="00CB50DB">
        <w:rPr>
          <w:rFonts w:ascii="Cambria" w:eastAsia="Times New Roman" w:hAnsi="Cambria"/>
          <w:sz w:val="18"/>
          <w:szCs w:val="18"/>
          <w:vertAlign w:val="superscript"/>
          <w:lang w:val="es-ES"/>
        </w:rPr>
        <w:footnoteReference w:id="76"/>
      </w:r>
      <w:r w:rsidRPr="00CB50DB">
        <w:rPr>
          <w:rFonts w:ascii="Cambria" w:eastAsia="Times New Roman" w:hAnsi="Cambria"/>
          <w:sz w:val="18"/>
          <w:szCs w:val="18"/>
          <w:lang w:val="es-ES"/>
        </w:rPr>
        <w:t>.</w:t>
      </w:r>
    </w:p>
    <w:p w14:paraId="2206BBEF" w14:textId="77777777" w:rsidR="003A5E9B" w:rsidRPr="007A3389" w:rsidRDefault="003A5E9B" w:rsidP="003A5E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14:paraId="77649610" w14:textId="77777777" w:rsidR="003A5E9B" w:rsidRPr="007A3389" w:rsidRDefault="0011247B" w:rsidP="0011247B">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lang w:val="es-ES"/>
        </w:rPr>
      </w:pPr>
      <w:r w:rsidRPr="0011247B">
        <w:rPr>
          <w:rFonts w:ascii="Cambria" w:hAnsi="Cambria"/>
          <w:sz w:val="20"/>
          <w:lang w:val="es-ES"/>
        </w:rPr>
        <w:t>Como se ha señalado en este informe</w:t>
      </w:r>
      <w:r w:rsidR="003A5E9B" w:rsidRPr="007A3389">
        <w:rPr>
          <w:rFonts w:ascii="Cambria" w:hAnsi="Cambria"/>
          <w:sz w:val="20"/>
          <w:lang w:val="es-ES"/>
        </w:rPr>
        <w:t xml:space="preserve">, </w:t>
      </w:r>
      <w:r w:rsidR="00D87346" w:rsidRPr="007A3389">
        <w:rPr>
          <w:rFonts w:ascii="Cambria" w:hAnsi="Cambria"/>
          <w:sz w:val="20"/>
          <w:lang w:val="es-ES"/>
        </w:rPr>
        <w:t>el señor</w:t>
      </w:r>
      <w:r w:rsidR="003A5E9B" w:rsidRPr="007A3389">
        <w:rPr>
          <w:rFonts w:ascii="Cambria" w:hAnsi="Cambria"/>
          <w:sz w:val="20"/>
          <w:lang w:val="es-ES"/>
        </w:rPr>
        <w:t xml:space="preserve"> </w:t>
      </w:r>
      <w:r w:rsidR="00E068E0" w:rsidRPr="007A3389">
        <w:rPr>
          <w:rFonts w:ascii="Cambria" w:hAnsi="Cambria"/>
          <w:sz w:val="20"/>
          <w:lang w:val="es-ES"/>
        </w:rPr>
        <w:t>Loza</w:t>
      </w:r>
      <w:r w:rsidR="003A5E9B" w:rsidRPr="007A3389">
        <w:rPr>
          <w:rFonts w:ascii="Cambria" w:hAnsi="Cambria"/>
          <w:sz w:val="20"/>
          <w:lang w:val="es-ES"/>
        </w:rPr>
        <w:t xml:space="preserve"> </w:t>
      </w:r>
      <w:r w:rsidR="00D73D78" w:rsidRPr="007A3389">
        <w:rPr>
          <w:rFonts w:ascii="Cambria" w:hAnsi="Cambria"/>
          <w:sz w:val="20"/>
          <w:lang w:val="es-ES"/>
        </w:rPr>
        <w:t>ha</w:t>
      </w:r>
      <w:r>
        <w:rPr>
          <w:rFonts w:ascii="Cambria" w:hAnsi="Cambria"/>
          <w:sz w:val="20"/>
          <w:lang w:val="es-ES"/>
        </w:rPr>
        <w:t xml:space="preserve"> estado privado de libertad en el corredor de la muerte durante </w:t>
      </w:r>
      <w:r w:rsidR="00E068E0" w:rsidRPr="007A3389">
        <w:rPr>
          <w:rFonts w:ascii="Cambria" w:hAnsi="Cambria"/>
          <w:sz w:val="20"/>
          <w:lang w:val="es-ES"/>
        </w:rPr>
        <w:t xml:space="preserve">28 </w:t>
      </w:r>
      <w:r>
        <w:rPr>
          <w:rFonts w:ascii="Cambria" w:hAnsi="Cambria"/>
          <w:sz w:val="20"/>
          <w:lang w:val="es-ES"/>
        </w:rPr>
        <w:t>años</w:t>
      </w:r>
      <w:r w:rsidR="003A5E9B" w:rsidRPr="007A3389">
        <w:rPr>
          <w:rFonts w:ascii="Cambria" w:hAnsi="Cambria"/>
          <w:sz w:val="20"/>
          <w:lang w:val="es-ES"/>
        </w:rPr>
        <w:t xml:space="preserve">. </w:t>
      </w:r>
      <w:r w:rsidRPr="0011247B">
        <w:rPr>
          <w:rFonts w:ascii="Cambria" w:hAnsi="Cambria"/>
          <w:sz w:val="20"/>
          <w:lang w:val="es-ES"/>
        </w:rPr>
        <w:t xml:space="preserve">La Comisión observa que el mero hecho de pasar </w:t>
      </w:r>
      <w:r w:rsidR="00E068E0" w:rsidRPr="007A3389">
        <w:rPr>
          <w:rFonts w:ascii="Cambria" w:hAnsi="Cambria"/>
          <w:sz w:val="20"/>
          <w:lang w:val="es-ES"/>
        </w:rPr>
        <w:t>28</w:t>
      </w:r>
      <w:r w:rsidR="003A5E9B" w:rsidRPr="007A3389">
        <w:rPr>
          <w:rFonts w:ascii="Cambria" w:hAnsi="Cambria"/>
          <w:sz w:val="20"/>
          <w:lang w:val="es-ES"/>
        </w:rPr>
        <w:t xml:space="preserve"> </w:t>
      </w:r>
      <w:r w:rsidRPr="0011247B">
        <w:rPr>
          <w:rFonts w:ascii="Cambria" w:hAnsi="Cambria"/>
          <w:sz w:val="20"/>
          <w:lang w:val="es-ES"/>
        </w:rPr>
        <w:t>años en el corredor de la muerte es, desde todo punto de vista, excesivo e inhumano, con la agravante de la expectativa prolongada de la ejecución. Por lo tanto</w:t>
      </w:r>
      <w:r w:rsidR="003A5E9B" w:rsidRPr="007A3389">
        <w:rPr>
          <w:rFonts w:ascii="Cambria" w:hAnsi="Cambria"/>
          <w:sz w:val="20"/>
          <w:lang w:val="es-ES"/>
        </w:rPr>
        <w:t xml:space="preserve">, </w:t>
      </w:r>
      <w:r w:rsidR="00631955" w:rsidRPr="007A3389">
        <w:rPr>
          <w:rFonts w:ascii="Cambria" w:hAnsi="Cambria"/>
          <w:sz w:val="20"/>
          <w:lang w:val="es-ES"/>
        </w:rPr>
        <w:t>Estados Unidos</w:t>
      </w:r>
      <w:r w:rsidR="003A5E9B" w:rsidRPr="007A3389">
        <w:rPr>
          <w:rFonts w:ascii="Cambria" w:hAnsi="Cambria"/>
          <w:sz w:val="20"/>
          <w:lang w:val="es-ES"/>
        </w:rPr>
        <w:t xml:space="preserve"> </w:t>
      </w:r>
      <w:r>
        <w:rPr>
          <w:rFonts w:ascii="Cambria" w:hAnsi="Cambria"/>
          <w:sz w:val="20"/>
          <w:lang w:val="es-ES"/>
        </w:rPr>
        <w:t xml:space="preserve">es responsable de la violación del derecho a un trato humanitario y a no recibir un </w:t>
      </w:r>
      <w:r w:rsidR="00E06DE6">
        <w:rPr>
          <w:rFonts w:ascii="Cambria" w:hAnsi="Cambria"/>
          <w:sz w:val="20"/>
          <w:lang w:val="es-ES"/>
        </w:rPr>
        <w:t>castigo cruel, infamante o inusitado</w:t>
      </w:r>
      <w:r w:rsidR="003A5E9B" w:rsidRPr="007A3389">
        <w:rPr>
          <w:rFonts w:ascii="Cambria" w:hAnsi="Cambria"/>
          <w:sz w:val="20"/>
          <w:lang w:val="es-ES"/>
        </w:rPr>
        <w:t xml:space="preserve"> </w:t>
      </w:r>
      <w:r>
        <w:rPr>
          <w:rFonts w:ascii="Cambria" w:hAnsi="Cambria"/>
          <w:sz w:val="20"/>
          <w:lang w:val="es-ES"/>
        </w:rPr>
        <w:t>de acuerdo con los artí</w:t>
      </w:r>
      <w:r w:rsidR="00175318">
        <w:rPr>
          <w:rFonts w:ascii="Cambria" w:hAnsi="Cambria"/>
          <w:sz w:val="20"/>
          <w:lang w:val="es-ES"/>
        </w:rPr>
        <w:t>culo</w:t>
      </w:r>
      <w:r w:rsidR="00970813" w:rsidRPr="007A3389">
        <w:rPr>
          <w:rFonts w:ascii="Cambria" w:hAnsi="Cambria"/>
          <w:sz w:val="20"/>
          <w:lang w:val="es-ES"/>
        </w:rPr>
        <w:t xml:space="preserve">s XXV </w:t>
      </w:r>
      <w:r>
        <w:rPr>
          <w:rFonts w:ascii="Cambria" w:hAnsi="Cambria"/>
          <w:sz w:val="20"/>
          <w:lang w:val="es-ES"/>
        </w:rPr>
        <w:t>y</w:t>
      </w:r>
      <w:r w:rsidR="00970813" w:rsidRPr="007A3389">
        <w:rPr>
          <w:rFonts w:ascii="Cambria" w:hAnsi="Cambria"/>
          <w:sz w:val="20"/>
          <w:lang w:val="es-ES"/>
        </w:rPr>
        <w:t xml:space="preserve"> XXVI </w:t>
      </w:r>
      <w:r>
        <w:rPr>
          <w:rFonts w:ascii="Cambria" w:hAnsi="Cambria"/>
          <w:sz w:val="20"/>
          <w:lang w:val="es-ES"/>
        </w:rPr>
        <w:t>de</w:t>
      </w:r>
      <w:r w:rsidR="00970813" w:rsidRPr="007A3389">
        <w:rPr>
          <w:rFonts w:ascii="Cambria" w:hAnsi="Cambria"/>
          <w:sz w:val="20"/>
          <w:lang w:val="es-ES"/>
        </w:rPr>
        <w:t xml:space="preserve"> </w:t>
      </w:r>
      <w:r w:rsidR="00631955" w:rsidRPr="007A3389">
        <w:rPr>
          <w:rFonts w:ascii="Cambria" w:hAnsi="Cambria"/>
          <w:sz w:val="20"/>
          <w:lang w:val="es-ES"/>
        </w:rPr>
        <w:t>la Declaración Americana</w:t>
      </w:r>
      <w:r>
        <w:rPr>
          <w:rFonts w:ascii="Cambria" w:hAnsi="Cambria"/>
          <w:sz w:val="20"/>
          <w:lang w:val="es-ES"/>
        </w:rPr>
        <w:t>, en perjuicio del señor Loza</w:t>
      </w:r>
      <w:r w:rsidR="003A5E9B" w:rsidRPr="007A3389">
        <w:rPr>
          <w:rFonts w:ascii="Cambria" w:hAnsi="Cambria"/>
          <w:sz w:val="20"/>
          <w:lang w:val="es-ES"/>
        </w:rPr>
        <w:t>.</w:t>
      </w:r>
      <w:r w:rsidR="00860797">
        <w:rPr>
          <w:rFonts w:ascii="Cambria" w:hAnsi="Cambria"/>
          <w:sz w:val="20"/>
          <w:lang w:val="es-ES"/>
        </w:rPr>
        <w:t xml:space="preserve"> </w:t>
      </w:r>
    </w:p>
    <w:p w14:paraId="68DDE6A3" w14:textId="77777777" w:rsidR="00801C7F" w:rsidRPr="007A3389" w:rsidRDefault="00801C7F" w:rsidP="00801C7F">
      <w:pPr>
        <w:pStyle w:val="NormalWeb"/>
        <w:shd w:val="clear" w:color="auto" w:fill="FFFFFF"/>
        <w:tabs>
          <w:tab w:val="left" w:pos="360"/>
        </w:tabs>
        <w:spacing w:before="0" w:beforeAutospacing="0" w:after="0" w:afterAutospacing="0"/>
        <w:jc w:val="both"/>
        <w:rPr>
          <w:sz w:val="20"/>
          <w:szCs w:val="20"/>
          <w:lang w:val="es-ES"/>
        </w:rPr>
      </w:pPr>
    </w:p>
    <w:p w14:paraId="23E5DAC0" w14:textId="77777777" w:rsidR="00801C7F" w:rsidRPr="007A3389" w:rsidRDefault="00EE2F9F" w:rsidP="00B9441F">
      <w:pPr>
        <w:pStyle w:val="Heading2"/>
        <w:numPr>
          <w:ilvl w:val="0"/>
          <w:numId w:val="68"/>
        </w:numPr>
        <w:tabs>
          <w:tab w:val="left" w:pos="360"/>
        </w:tabs>
        <w:spacing w:before="0"/>
        <w:ind w:left="0" w:firstLine="0"/>
        <w:jc w:val="both"/>
        <w:rPr>
          <w:color w:val="auto"/>
          <w:sz w:val="20"/>
          <w:szCs w:val="20"/>
          <w:lang w:val="es-ES"/>
        </w:rPr>
      </w:pPr>
      <w:bookmarkStart w:id="38" w:name="_Toc90298936"/>
      <w:r w:rsidRPr="007A3389">
        <w:rPr>
          <w:color w:val="auto"/>
          <w:sz w:val="20"/>
          <w:szCs w:val="20"/>
          <w:lang w:val="es-ES"/>
        </w:rPr>
        <w:t>El derecho a la vida</w:t>
      </w:r>
      <w:r w:rsidR="00C535F1" w:rsidRPr="007A3389">
        <w:rPr>
          <w:rStyle w:val="FootnoteReference"/>
          <w:color w:val="auto"/>
          <w:sz w:val="20"/>
          <w:szCs w:val="20"/>
          <w:lang w:val="es-ES"/>
        </w:rPr>
        <w:footnoteReference w:id="77"/>
      </w:r>
      <w:r w:rsidR="00DD5501" w:rsidRPr="007A3389">
        <w:rPr>
          <w:color w:val="auto"/>
          <w:sz w:val="20"/>
          <w:szCs w:val="20"/>
          <w:lang w:val="es-ES"/>
        </w:rPr>
        <w:t xml:space="preserve"> </w:t>
      </w:r>
      <w:r w:rsidRPr="007A3389">
        <w:rPr>
          <w:color w:val="auto"/>
          <w:sz w:val="20"/>
          <w:szCs w:val="20"/>
          <w:lang w:val="es-ES"/>
        </w:rPr>
        <w:t>y a la protección contra un castigo cruel, infamante o inusitado con respecto a la eventual ejecución de</w:t>
      </w:r>
      <w:r w:rsidR="00DD5501" w:rsidRPr="007A3389">
        <w:rPr>
          <w:color w:val="auto"/>
          <w:sz w:val="20"/>
          <w:szCs w:val="20"/>
          <w:lang w:val="es-ES"/>
        </w:rPr>
        <w:t xml:space="preserve"> </w:t>
      </w:r>
      <w:r w:rsidR="00E068E0" w:rsidRPr="007A3389">
        <w:rPr>
          <w:color w:val="auto"/>
          <w:sz w:val="20"/>
          <w:szCs w:val="20"/>
          <w:lang w:val="es-ES"/>
        </w:rPr>
        <w:t>José Trinidad Loza Ventura</w:t>
      </w:r>
      <w:bookmarkEnd w:id="38"/>
    </w:p>
    <w:p w14:paraId="4405C1EE" w14:textId="77777777" w:rsidR="00867DA3" w:rsidRPr="007A3389" w:rsidRDefault="00867DA3" w:rsidP="00867DA3">
      <w:pPr>
        <w:rPr>
          <w:rFonts w:asciiTheme="majorHAnsi" w:hAnsiTheme="majorHAnsi"/>
          <w:sz w:val="20"/>
          <w:szCs w:val="20"/>
          <w:lang w:val="es-ES"/>
        </w:rPr>
      </w:pPr>
    </w:p>
    <w:p w14:paraId="2BED9A8F" w14:textId="77777777" w:rsidR="00BE3560" w:rsidRPr="007A3389" w:rsidRDefault="00022941" w:rsidP="0002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s>
        <w:ind w:left="0" w:firstLine="0"/>
        <w:jc w:val="both"/>
        <w:rPr>
          <w:rFonts w:ascii="Cambria" w:hAnsi="Cambria"/>
          <w:sz w:val="20"/>
          <w:szCs w:val="20"/>
          <w:lang w:val="es-ES"/>
        </w:rPr>
      </w:pPr>
      <w:r w:rsidRPr="00022941">
        <w:rPr>
          <w:rFonts w:ascii="Cambria" w:hAnsi="Cambria"/>
          <w:sz w:val="20"/>
          <w:szCs w:val="20"/>
          <w:lang w:val="es-ES"/>
        </w:rPr>
        <w:t xml:space="preserve">Como ya se dijo, la Comisión Interamericana considera que incumbe a los tribunales de jurisdicción interna, y no a </w:t>
      </w:r>
      <w:r w:rsidR="00FD4E87">
        <w:rPr>
          <w:rFonts w:ascii="Cambria" w:hAnsi="Cambria"/>
          <w:sz w:val="20"/>
          <w:szCs w:val="20"/>
          <w:lang w:val="es-ES"/>
        </w:rPr>
        <w:t>ella</w:t>
      </w:r>
      <w:r w:rsidRPr="00022941">
        <w:rPr>
          <w:rFonts w:ascii="Cambria" w:hAnsi="Cambria"/>
          <w:sz w:val="20"/>
          <w:szCs w:val="20"/>
          <w:lang w:val="es-ES"/>
        </w:rPr>
        <w:t xml:space="preserve">, interpretar y aplicar el derecho interno. No obstante, la CIDH debe asegurar que la privación </w:t>
      </w:r>
      <w:r w:rsidRPr="00022941">
        <w:rPr>
          <w:rFonts w:ascii="Cambria" w:hAnsi="Cambria"/>
          <w:sz w:val="20"/>
          <w:szCs w:val="20"/>
          <w:lang w:val="es-ES"/>
        </w:rPr>
        <w:lastRenderedPageBreak/>
        <w:t>de la vida como consecuencia de la imposición de la pena de muerte se ciña a los requisitos de</w:t>
      </w:r>
      <w:r w:rsidR="00BE3560" w:rsidRPr="007A3389">
        <w:rPr>
          <w:rFonts w:ascii="Cambria" w:hAnsi="Cambria"/>
          <w:sz w:val="20"/>
          <w:szCs w:val="20"/>
          <w:lang w:val="es-ES"/>
        </w:rPr>
        <w:t xml:space="preserve"> </w:t>
      </w:r>
      <w:r w:rsidR="00631955" w:rsidRPr="007A3389">
        <w:rPr>
          <w:rFonts w:ascii="Cambria" w:hAnsi="Cambria"/>
          <w:sz w:val="20"/>
          <w:szCs w:val="20"/>
          <w:lang w:val="es-ES"/>
        </w:rPr>
        <w:t>la Declaración Americana</w:t>
      </w:r>
      <w:r w:rsidR="00BE3560" w:rsidRPr="007A3389">
        <w:rPr>
          <w:rStyle w:val="FootnoteReference"/>
          <w:rFonts w:ascii="Cambria" w:hAnsi="Cambria"/>
          <w:sz w:val="20"/>
          <w:szCs w:val="20"/>
          <w:lang w:val="es-ES"/>
        </w:rPr>
        <w:footnoteReference w:id="78"/>
      </w:r>
      <w:r w:rsidR="00FD4E87">
        <w:rPr>
          <w:rFonts w:ascii="Cambria" w:hAnsi="Cambria"/>
          <w:sz w:val="20"/>
          <w:szCs w:val="20"/>
          <w:lang w:val="es-ES"/>
        </w:rPr>
        <w:t>.</w:t>
      </w:r>
    </w:p>
    <w:p w14:paraId="554F2448" w14:textId="77777777" w:rsidR="00BE3560" w:rsidRPr="007A3389" w:rsidRDefault="00BE3560" w:rsidP="00070187">
      <w:pPr>
        <w:rPr>
          <w:sz w:val="20"/>
          <w:szCs w:val="20"/>
          <w:lang w:val="es-ES"/>
        </w:rPr>
      </w:pPr>
    </w:p>
    <w:p w14:paraId="582FD12C" w14:textId="77777777" w:rsidR="00BE3560" w:rsidRPr="007A3389" w:rsidRDefault="00022941" w:rsidP="0002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s>
        <w:ind w:left="0" w:firstLine="0"/>
        <w:jc w:val="both"/>
        <w:rPr>
          <w:rFonts w:ascii="Cambria" w:hAnsi="Cambria"/>
          <w:sz w:val="20"/>
          <w:szCs w:val="20"/>
          <w:lang w:val="es-ES"/>
        </w:rPr>
      </w:pPr>
      <w:r w:rsidRPr="00022941">
        <w:rPr>
          <w:rFonts w:ascii="Cambria" w:hAnsi="Cambria"/>
          <w:sz w:val="20"/>
          <w:szCs w:val="20"/>
          <w:lang w:val="es-ES"/>
        </w:rPr>
        <w:t xml:space="preserve">En tales circunstancias, la CIDH ha afirmado que ejecutar a una persona al cabo de procedimientos que </w:t>
      </w:r>
      <w:r w:rsidR="00E25E7B">
        <w:rPr>
          <w:rFonts w:ascii="Cambria" w:hAnsi="Cambria"/>
          <w:sz w:val="20"/>
          <w:szCs w:val="20"/>
          <w:lang w:val="es-ES"/>
        </w:rPr>
        <w:t>infringieron</w:t>
      </w:r>
      <w:r w:rsidRPr="00022941">
        <w:rPr>
          <w:rFonts w:ascii="Cambria" w:hAnsi="Cambria"/>
          <w:sz w:val="20"/>
          <w:szCs w:val="20"/>
          <w:lang w:val="es-ES"/>
        </w:rPr>
        <w:t xml:space="preserve"> sus derechos sería un acto sumamente grave que constituiría una violación deliberada del derecho a la vida enunciado en el artículo I de</w:t>
      </w:r>
      <w:r w:rsidR="00BE3560" w:rsidRPr="007A3389">
        <w:rPr>
          <w:rFonts w:ascii="Cambria" w:hAnsi="Cambria"/>
          <w:sz w:val="20"/>
          <w:szCs w:val="20"/>
          <w:lang w:val="es-ES"/>
        </w:rPr>
        <w:t xml:space="preserve"> </w:t>
      </w:r>
      <w:r w:rsidR="00631955" w:rsidRPr="007A3389">
        <w:rPr>
          <w:rFonts w:ascii="Cambria" w:hAnsi="Cambria"/>
          <w:sz w:val="20"/>
          <w:szCs w:val="20"/>
          <w:lang w:val="es-ES"/>
        </w:rPr>
        <w:t>la Declaración Americana</w:t>
      </w:r>
      <w:r w:rsidR="00BE3560" w:rsidRPr="007A3389">
        <w:rPr>
          <w:rStyle w:val="FootnoteReference"/>
          <w:rFonts w:ascii="Cambria" w:hAnsi="Cambria"/>
          <w:sz w:val="20"/>
          <w:szCs w:val="20"/>
          <w:lang w:val="es-ES"/>
        </w:rPr>
        <w:footnoteReference w:id="79"/>
      </w:r>
      <w:r>
        <w:rPr>
          <w:rFonts w:ascii="Cambria" w:hAnsi="Cambria"/>
          <w:sz w:val="20"/>
          <w:szCs w:val="20"/>
          <w:lang w:val="es-ES"/>
        </w:rPr>
        <w:t>.</w:t>
      </w:r>
      <w:r w:rsidR="00BE3560" w:rsidRPr="007A3389">
        <w:rPr>
          <w:rFonts w:ascii="Cambria" w:hAnsi="Cambria"/>
          <w:sz w:val="20"/>
          <w:szCs w:val="20"/>
          <w:lang w:val="es-ES"/>
        </w:rPr>
        <w:t xml:space="preserve"> </w:t>
      </w:r>
      <w:r w:rsidRPr="00022941">
        <w:rPr>
          <w:rFonts w:ascii="Cambria" w:hAnsi="Cambria"/>
          <w:sz w:val="20"/>
          <w:szCs w:val="20"/>
          <w:lang w:val="es-ES"/>
        </w:rPr>
        <w:t xml:space="preserve">Asimismo, </w:t>
      </w:r>
      <w:r w:rsidRPr="00022941">
        <w:rPr>
          <w:rFonts w:asciiTheme="majorHAnsi" w:hAnsiTheme="majorHAnsi"/>
          <w:color w:val="000000" w:themeColor="text1"/>
          <w:sz w:val="20"/>
          <w:szCs w:val="20"/>
          <w:lang w:val="es-ES"/>
        </w:rPr>
        <w:t>sobre</w:t>
      </w:r>
      <w:r w:rsidRPr="00022941">
        <w:rPr>
          <w:rFonts w:ascii="Cambria" w:hAnsi="Cambria"/>
          <w:sz w:val="20"/>
          <w:szCs w:val="20"/>
          <w:lang w:val="es-ES"/>
        </w:rPr>
        <w:t xml:space="preserve"> la base de las conclusiones relativas a la privación de libertad en el corredor de la muerte, la eventual ejecución del señor</w:t>
      </w:r>
      <w:r w:rsidR="00BE3560" w:rsidRPr="007A3389">
        <w:rPr>
          <w:rFonts w:ascii="Cambria" w:hAnsi="Cambria"/>
          <w:sz w:val="20"/>
          <w:szCs w:val="20"/>
          <w:lang w:val="es-ES"/>
        </w:rPr>
        <w:t xml:space="preserve"> </w:t>
      </w:r>
      <w:r w:rsidR="00070187" w:rsidRPr="007A3389">
        <w:rPr>
          <w:rFonts w:ascii="Cambria" w:hAnsi="Cambria"/>
          <w:sz w:val="20"/>
          <w:szCs w:val="20"/>
          <w:lang w:val="es-ES"/>
        </w:rPr>
        <w:t>Loza</w:t>
      </w:r>
      <w:r w:rsidR="00BE3560" w:rsidRPr="007A3389">
        <w:rPr>
          <w:rFonts w:ascii="Cambria" w:hAnsi="Cambria"/>
          <w:sz w:val="20"/>
          <w:szCs w:val="20"/>
          <w:lang w:val="es-ES"/>
        </w:rPr>
        <w:t xml:space="preserve"> </w:t>
      </w:r>
      <w:r w:rsidRPr="00022941">
        <w:rPr>
          <w:rFonts w:ascii="Cambria" w:hAnsi="Cambria"/>
          <w:sz w:val="20"/>
          <w:szCs w:val="20"/>
          <w:lang w:val="es-ES"/>
        </w:rPr>
        <w:t>constituiría, desde todo punto de vista, una violación del derecho a la protección contra un castigo cruel, infamante o inusitado. En vista de lo que antecede y teniendo en cuenta las determinaciones formuladas a lo largo de este informe, la CIDH concluye que la ejecución del señor</w:t>
      </w:r>
      <w:r w:rsidR="00BE3560" w:rsidRPr="007A3389">
        <w:rPr>
          <w:rFonts w:ascii="Cambria" w:hAnsi="Cambria"/>
          <w:sz w:val="20"/>
          <w:szCs w:val="20"/>
          <w:lang w:val="es-ES"/>
        </w:rPr>
        <w:t xml:space="preserve"> </w:t>
      </w:r>
      <w:r w:rsidR="00070187" w:rsidRPr="007A3389">
        <w:rPr>
          <w:rFonts w:ascii="Cambria" w:hAnsi="Cambria"/>
          <w:sz w:val="20"/>
          <w:szCs w:val="20"/>
          <w:lang w:val="es-ES"/>
        </w:rPr>
        <w:t>Loza</w:t>
      </w:r>
      <w:r w:rsidR="00BE3560" w:rsidRPr="007A3389">
        <w:rPr>
          <w:rFonts w:ascii="Cambria" w:hAnsi="Cambria"/>
          <w:sz w:val="20"/>
          <w:szCs w:val="20"/>
          <w:lang w:val="es-ES"/>
        </w:rPr>
        <w:t xml:space="preserve"> </w:t>
      </w:r>
      <w:r w:rsidRPr="00022941">
        <w:rPr>
          <w:rFonts w:ascii="Cambria" w:hAnsi="Cambria"/>
          <w:sz w:val="20"/>
          <w:szCs w:val="20"/>
          <w:lang w:val="es-ES"/>
        </w:rPr>
        <w:t>constituiría una grave violación del derecho a la vida enunciado en el artículo I</w:t>
      </w:r>
      <w:r w:rsidR="00BE3560" w:rsidRPr="007A3389">
        <w:rPr>
          <w:rFonts w:ascii="Cambria" w:hAnsi="Cambria"/>
          <w:sz w:val="20"/>
          <w:szCs w:val="20"/>
          <w:lang w:val="es-ES"/>
        </w:rPr>
        <w:t xml:space="preserve"> </w:t>
      </w:r>
      <w:r>
        <w:rPr>
          <w:rFonts w:ascii="Cambria" w:hAnsi="Cambria"/>
          <w:sz w:val="20"/>
          <w:szCs w:val="20"/>
          <w:lang w:val="es-ES"/>
        </w:rPr>
        <w:t>de</w:t>
      </w:r>
      <w:r w:rsidR="00BE3560" w:rsidRPr="007A3389">
        <w:rPr>
          <w:rFonts w:ascii="Cambria" w:hAnsi="Cambria"/>
          <w:sz w:val="20"/>
          <w:szCs w:val="20"/>
          <w:lang w:val="es-ES"/>
        </w:rPr>
        <w:t xml:space="preserve"> </w:t>
      </w:r>
      <w:r w:rsidR="00631955" w:rsidRPr="007A3389">
        <w:rPr>
          <w:rFonts w:ascii="Cambria" w:hAnsi="Cambria"/>
          <w:sz w:val="20"/>
          <w:szCs w:val="20"/>
          <w:lang w:val="es-ES"/>
        </w:rPr>
        <w:t>la Declaración Americana</w:t>
      </w:r>
      <w:r w:rsidR="00BE3560" w:rsidRPr="007A3389">
        <w:rPr>
          <w:rFonts w:ascii="Cambria" w:hAnsi="Cambria"/>
          <w:sz w:val="20"/>
          <w:szCs w:val="20"/>
          <w:lang w:val="es-ES"/>
        </w:rPr>
        <w:t>.</w:t>
      </w:r>
    </w:p>
    <w:p w14:paraId="3D7857DB" w14:textId="77777777" w:rsidR="006F14AF" w:rsidRPr="00B24C0F" w:rsidRDefault="006F14AF" w:rsidP="006F14AF">
      <w:pPr>
        <w:pStyle w:val="ListParagraph"/>
        <w:rPr>
          <w:lang w:val="es-US"/>
        </w:rPr>
      </w:pPr>
    </w:p>
    <w:p w14:paraId="4CCF425A" w14:textId="77777777" w:rsidR="006F14AF" w:rsidRPr="00FF0184" w:rsidRDefault="006F14AF" w:rsidP="006F14AF">
      <w:pPr>
        <w:pStyle w:val="Heading1"/>
        <w:tabs>
          <w:tab w:val="left" w:pos="360"/>
        </w:tabs>
        <w:spacing w:before="0"/>
        <w:ind w:left="0" w:firstLine="0"/>
        <w:rPr>
          <w:color w:val="auto"/>
          <w:sz w:val="20"/>
          <w:szCs w:val="20"/>
          <w:lang w:val="es-ES_tradnl"/>
        </w:rPr>
      </w:pPr>
      <w:bookmarkStart w:id="39" w:name="_Toc87434319"/>
      <w:bookmarkStart w:id="40" w:name="_Toc90298937"/>
      <w:r w:rsidRPr="00FF0184">
        <w:rPr>
          <w:color w:val="auto"/>
          <w:sz w:val="20"/>
          <w:szCs w:val="20"/>
          <w:lang w:val="es-ES_tradnl"/>
        </w:rPr>
        <w:t>INFORME Nº 243/19 E INFORMACIÓN SOBRE EL CUMPLIMIENTO</w:t>
      </w:r>
      <w:bookmarkEnd w:id="39"/>
      <w:bookmarkEnd w:id="40"/>
    </w:p>
    <w:p w14:paraId="46314FB6" w14:textId="77777777" w:rsidR="006F14AF" w:rsidRPr="00FF0184" w:rsidRDefault="006F14AF" w:rsidP="006F14AF">
      <w:pPr>
        <w:rPr>
          <w:lang w:val="es-ES_tradnl"/>
        </w:rPr>
      </w:pPr>
    </w:p>
    <w:p w14:paraId="6CCBCADD" w14:textId="77777777" w:rsidR="006F14AF" w:rsidRPr="00FF0184" w:rsidRDefault="006F14AF" w:rsidP="006F14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Theme="majorHAnsi" w:hAnsiTheme="majorHAnsi"/>
          <w:color w:val="000000" w:themeColor="text1"/>
          <w:sz w:val="20"/>
          <w:szCs w:val="20"/>
          <w:lang w:val="es-ES_tradnl"/>
        </w:rPr>
      </w:pPr>
      <w:r w:rsidRPr="00B24C0F">
        <w:rPr>
          <w:rFonts w:asciiTheme="majorHAnsi" w:hAnsiTheme="majorHAnsi"/>
          <w:color w:val="000000" w:themeColor="text1"/>
          <w:sz w:val="20"/>
          <w:szCs w:val="20"/>
          <w:lang w:val="es-US"/>
        </w:rPr>
        <w:t>El</w:t>
      </w:r>
      <w:r w:rsidRPr="00FF0184">
        <w:rPr>
          <w:rFonts w:asciiTheme="majorHAnsi" w:hAnsiTheme="majorHAnsi"/>
          <w:color w:val="000000" w:themeColor="text1"/>
          <w:sz w:val="20"/>
          <w:szCs w:val="20"/>
          <w:lang w:val="es-ES_tradnl"/>
        </w:rPr>
        <w:t xml:space="preserve"> 31 de diciembre de 2019, la Comisión aprobó el Informe No. 243/19 sobre </w:t>
      </w:r>
      <w:r w:rsidR="000A6BBB" w:rsidRPr="00FF0184">
        <w:rPr>
          <w:rFonts w:asciiTheme="majorHAnsi" w:hAnsiTheme="majorHAnsi"/>
          <w:color w:val="000000" w:themeColor="text1"/>
          <w:sz w:val="20"/>
          <w:szCs w:val="20"/>
          <w:lang w:val="es-ES_tradnl"/>
        </w:rPr>
        <w:t>la admisibilidad y el</w:t>
      </w:r>
      <w:r w:rsidRPr="00FF0184">
        <w:rPr>
          <w:rFonts w:asciiTheme="majorHAnsi" w:hAnsiTheme="majorHAnsi"/>
          <w:color w:val="000000" w:themeColor="text1"/>
          <w:sz w:val="20"/>
          <w:szCs w:val="20"/>
          <w:lang w:val="es-ES_tradnl"/>
        </w:rPr>
        <w:t xml:space="preserve"> fondo del presente caso, que comprende los párrafos 1 a 102 supra, y emitió las siguientes recomendaciones al Estado:</w:t>
      </w:r>
    </w:p>
    <w:p w14:paraId="613260A4" w14:textId="77777777" w:rsidR="00B350FB" w:rsidRPr="00027C37" w:rsidRDefault="00B350FB" w:rsidP="00B350F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jc w:val="both"/>
        <w:rPr>
          <w:rFonts w:asciiTheme="majorHAnsi" w:hAnsiTheme="majorHAnsi"/>
          <w:color w:val="000000" w:themeColor="text1"/>
          <w:sz w:val="20"/>
          <w:szCs w:val="20"/>
          <w:highlight w:val="yellow"/>
          <w:lang w:val="es-ES_tradnl"/>
        </w:rPr>
      </w:pPr>
    </w:p>
    <w:p w14:paraId="64B26432" w14:textId="77777777" w:rsidR="00B350FB" w:rsidRPr="007A3389" w:rsidRDefault="00B350FB" w:rsidP="00B350FB">
      <w:pPr>
        <w:pStyle w:val="ListParagraph"/>
        <w:keepNext/>
        <w:keepLines/>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7A3389">
        <w:rPr>
          <w:rFonts w:eastAsia="Times New Roman" w:cs="Tahoma"/>
          <w:sz w:val="20"/>
          <w:szCs w:val="20"/>
          <w:bdr w:val="none" w:sz="0" w:space="0" w:color="auto" w:frame="1"/>
          <w:lang w:val="es-ES"/>
        </w:rPr>
        <w:t xml:space="preserve">Que otorgue a </w:t>
      </w:r>
      <w:r w:rsidRPr="007A3389">
        <w:rPr>
          <w:rFonts w:asciiTheme="majorHAnsi" w:hAnsiTheme="majorHAnsi"/>
          <w:color w:val="auto"/>
          <w:sz w:val="20"/>
          <w:szCs w:val="20"/>
          <w:lang w:val="es-ES"/>
        </w:rPr>
        <w:t>José Trinidad Loza Ventura</w:t>
      </w:r>
      <w:r w:rsidRPr="007A3389">
        <w:rPr>
          <w:rFonts w:eastAsia="Times New Roman" w:cs="Tahoma"/>
          <w:sz w:val="20"/>
          <w:szCs w:val="20"/>
          <w:bdr w:val="none" w:sz="0" w:space="0" w:color="auto" w:frame="1"/>
          <w:lang w:val="es-ES"/>
        </w:rPr>
        <w:t xml:space="preserve"> una reparación eficaz, incluida la revisión de su juicio y su sentencia, de conformidad con las garantías del derecho de justicia y el derecho a proceso regular establecidas en los artículos </w:t>
      </w:r>
      <w:r w:rsidRPr="007A3389">
        <w:rPr>
          <w:rFonts w:asciiTheme="majorHAnsi" w:hAnsiTheme="majorHAnsi"/>
          <w:color w:val="000000" w:themeColor="text1"/>
          <w:sz w:val="20"/>
          <w:szCs w:val="20"/>
          <w:lang w:val="es-ES"/>
        </w:rPr>
        <w:t>XVIII y XXVI de</w:t>
      </w:r>
      <w:r w:rsidRPr="007A3389">
        <w:rPr>
          <w:rFonts w:eastAsia="Times New Roman" w:cs="Tahoma"/>
          <w:sz w:val="20"/>
          <w:szCs w:val="20"/>
          <w:bdr w:val="none" w:sz="0" w:space="0" w:color="auto" w:frame="1"/>
          <w:lang w:val="es-ES"/>
        </w:rPr>
        <w:t xml:space="preserve"> la Declaración Americana</w:t>
      </w:r>
      <w:r w:rsidRPr="007A3389">
        <w:rPr>
          <w:rStyle w:val="FootnoteReference"/>
          <w:rFonts w:eastAsia="Times New Roman"/>
          <w:sz w:val="20"/>
          <w:szCs w:val="20"/>
          <w:bdr w:val="none" w:sz="0" w:space="0" w:color="auto" w:frame="1"/>
          <w:lang w:val="es-ES"/>
        </w:rPr>
        <w:footnoteReference w:id="80"/>
      </w:r>
      <w:r>
        <w:rPr>
          <w:rFonts w:eastAsia="Times New Roman" w:cs="Tahoma"/>
          <w:sz w:val="20"/>
          <w:szCs w:val="20"/>
          <w:bdr w:val="none" w:sz="0" w:space="0" w:color="auto" w:frame="1"/>
          <w:lang w:val="es-ES"/>
        </w:rPr>
        <w:t xml:space="preserve">, </w:t>
      </w:r>
      <w:r w:rsidRPr="007A3389">
        <w:rPr>
          <w:rFonts w:eastAsia="Times New Roman" w:cs="Tahoma"/>
          <w:sz w:val="20"/>
          <w:szCs w:val="20"/>
          <w:bdr w:val="none" w:sz="0" w:space="0" w:color="auto" w:frame="1"/>
          <w:lang w:val="es-ES"/>
        </w:rPr>
        <w:t>así como una indemnización pecuniaria. Teniendo en cuenta las conclusiones de la CIDH con respecto al tiempo que</w:t>
      </w:r>
      <w:r w:rsidRPr="007A3389">
        <w:rPr>
          <w:rFonts w:cs="Arial"/>
          <w:color w:val="auto"/>
          <w:sz w:val="20"/>
          <w:szCs w:val="20"/>
          <w:lang w:val="es-ES"/>
        </w:rPr>
        <w:t xml:space="preserve"> </w:t>
      </w:r>
      <w:r w:rsidRPr="007A3389">
        <w:rPr>
          <w:rFonts w:asciiTheme="majorHAnsi" w:hAnsiTheme="majorHAnsi"/>
          <w:color w:val="auto"/>
          <w:sz w:val="20"/>
          <w:szCs w:val="20"/>
          <w:lang w:val="es-ES"/>
        </w:rPr>
        <w:t>José Trinidad Loza Ventura</w:t>
      </w:r>
      <w:r w:rsidRPr="007A3389">
        <w:rPr>
          <w:rFonts w:cs="Arial"/>
          <w:color w:val="auto"/>
          <w:sz w:val="20"/>
          <w:szCs w:val="20"/>
          <w:lang w:val="es-ES"/>
        </w:rPr>
        <w:t xml:space="preserve"> ha estado en el corredor de la muerte, la Comisión recomienda que se le conmute la pena</w:t>
      </w:r>
      <w:r w:rsidRPr="007A3389">
        <w:rPr>
          <w:rFonts w:eastAsia="Times New Roman" w:cs="Tahoma"/>
          <w:sz w:val="20"/>
          <w:szCs w:val="20"/>
          <w:bdr w:val="none" w:sz="0" w:space="0" w:color="auto" w:frame="1"/>
          <w:lang w:val="es-ES"/>
        </w:rPr>
        <w:t>.</w:t>
      </w:r>
    </w:p>
    <w:p w14:paraId="2ABAAC3B" w14:textId="77777777" w:rsidR="00B350FB" w:rsidRPr="007A3389" w:rsidRDefault="00B350FB" w:rsidP="00B350F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p w14:paraId="566E13A5" w14:textId="77777777" w:rsidR="00B350FB" w:rsidRPr="007A3389" w:rsidRDefault="00B350FB" w:rsidP="00B350FB">
      <w:pPr>
        <w:pStyle w:val="ListParagraph"/>
        <w:keepNext/>
        <w:keepLines/>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B350FB">
        <w:rPr>
          <w:rFonts w:eastAsia="Times New Roman" w:cs="Tahoma"/>
          <w:sz w:val="20"/>
          <w:szCs w:val="20"/>
          <w:bdr w:val="none" w:sz="0" w:space="0" w:color="auto" w:frame="1"/>
          <w:lang w:val="es-ES"/>
        </w:rPr>
        <w:t>Que revise sus leyes, procedimientos y prácticas estatales y, si corresponde, federales a fin de que las personas acusadas de delitos punibles con la pena de muerte sean juzgadas y, de ser declaradas culpables, sean sentenciadas de conformidad con los derechos establecidos en la Declaración Americana, incluidos sus artículos I, XVIII, XXV y XXVI y, en particular:</w:t>
      </w:r>
    </w:p>
    <w:p w14:paraId="57F49454" w14:textId="77777777" w:rsidR="00B350FB" w:rsidRPr="007A3389" w:rsidRDefault="00B350FB" w:rsidP="00B350FB">
      <w:pPr>
        <w:pStyle w:val="ListParagraph"/>
        <w:rPr>
          <w:rFonts w:asciiTheme="majorHAnsi" w:eastAsia="Times New Roman" w:hAnsiTheme="majorHAnsi" w:cs="Tahoma"/>
          <w:sz w:val="20"/>
          <w:szCs w:val="20"/>
          <w:bdr w:val="none" w:sz="0" w:space="0" w:color="auto"/>
          <w:lang w:val="es-ES"/>
        </w:rPr>
      </w:pPr>
    </w:p>
    <w:p w14:paraId="5CEB503A" w14:textId="77777777" w:rsidR="00B350FB" w:rsidRPr="00B350FB" w:rsidRDefault="00B350FB" w:rsidP="00B350FB">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r w:rsidRPr="00B350FB">
        <w:rPr>
          <w:rFonts w:asciiTheme="majorHAnsi" w:eastAsia="Times New Roman" w:hAnsiTheme="majorHAnsi" w:cs="Tahoma"/>
          <w:sz w:val="20"/>
          <w:szCs w:val="20"/>
          <w:bdr w:val="none" w:sz="0" w:space="0" w:color="auto"/>
          <w:lang w:val="es-ES"/>
        </w:rPr>
        <w:t>Que asegure que a todo extranjero privado de la libertad se le informe, sin demora y antes de que efectúe su primera declaración, sobre su derecho a recibir asistencia consular y a solicitar que se notifique de inmediato a las autoridades diplomáticas sobre su arresto o detención</w:t>
      </w:r>
      <w:r w:rsidRPr="00B350FB">
        <w:rPr>
          <w:rFonts w:asciiTheme="majorHAnsi" w:hAnsiTheme="majorHAnsi"/>
          <w:sz w:val="20"/>
          <w:szCs w:val="20"/>
          <w:lang w:val="es-ES"/>
        </w:rPr>
        <w:t>;</w:t>
      </w:r>
    </w:p>
    <w:p w14:paraId="4A71A89F" w14:textId="77777777" w:rsidR="00B350FB" w:rsidRPr="007A3389" w:rsidRDefault="00B350FB" w:rsidP="00B350FB">
      <w:pPr>
        <w:pStyle w:val="ListParagraph"/>
        <w:ind w:left="1080"/>
        <w:rPr>
          <w:sz w:val="20"/>
          <w:szCs w:val="20"/>
          <w:bdr w:val="none" w:sz="0" w:space="0" w:color="auto" w:frame="1"/>
          <w:lang w:val="es-ES"/>
        </w:rPr>
      </w:pPr>
    </w:p>
    <w:p w14:paraId="055EB6A7" w14:textId="77777777" w:rsidR="00B350FB" w:rsidRPr="007A3389" w:rsidRDefault="00B350FB" w:rsidP="00B350FB">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r w:rsidRPr="007A3389">
        <w:rPr>
          <w:sz w:val="20"/>
          <w:szCs w:val="20"/>
          <w:bdr w:val="none" w:sz="0" w:space="0" w:color="auto" w:frame="1"/>
          <w:lang w:val="es-ES"/>
        </w:rPr>
        <w:t>Que asegure que el abogado de oficio que represente al acusado en la apelación proporcione asistencia letrada adecuada en los casos de delitos punibles con la pena de muerte.</w:t>
      </w:r>
    </w:p>
    <w:p w14:paraId="1D91E4CF" w14:textId="77777777" w:rsidR="00B350FB" w:rsidRPr="007A3389" w:rsidRDefault="00B350FB" w:rsidP="00B350FB">
      <w:pPr>
        <w:tabs>
          <w:tab w:val="left" w:pos="360"/>
        </w:tabs>
        <w:jc w:val="both"/>
        <w:rPr>
          <w:rFonts w:asciiTheme="majorHAnsi" w:eastAsia="Times New Roman" w:hAnsiTheme="majorHAnsi" w:cs="Tahoma"/>
          <w:sz w:val="20"/>
          <w:szCs w:val="20"/>
          <w:bdr w:val="none" w:sz="0" w:space="0" w:color="auto" w:frame="1"/>
          <w:lang w:val="es-ES"/>
        </w:rPr>
      </w:pPr>
    </w:p>
    <w:p w14:paraId="01039F43" w14:textId="77777777" w:rsidR="00B350FB" w:rsidRPr="00B350FB" w:rsidRDefault="00B350FB" w:rsidP="00B350FB">
      <w:pPr>
        <w:pStyle w:val="ListParagraph"/>
        <w:keepNext/>
        <w:keepLines/>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B350FB">
        <w:rPr>
          <w:rFonts w:eastAsia="Times New Roman" w:cs="Tahoma"/>
          <w:sz w:val="20"/>
          <w:szCs w:val="20"/>
          <w:bdr w:val="none" w:sz="0" w:space="0" w:color="auto" w:frame="1"/>
          <w:lang w:val="es-ES"/>
        </w:rPr>
        <w:t>Que asegure que los fármacos utilizados en la inyección letal estén sujetos a la aprobación y la reglamentación del gobierno, que los equipos a cargo de las ejecuciones tengan una formación médica apropiada y que los protocolos para la inyección letal estén al alcance del público.</w:t>
      </w:r>
    </w:p>
    <w:p w14:paraId="03017A73" w14:textId="77777777" w:rsidR="00B350FB" w:rsidRPr="007A3389" w:rsidRDefault="00B350FB" w:rsidP="00B350F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asciiTheme="majorHAnsi" w:hAnsiTheme="majorHAnsi"/>
          <w:sz w:val="20"/>
          <w:szCs w:val="20"/>
          <w:lang w:val="es-ES"/>
        </w:rPr>
      </w:pPr>
    </w:p>
    <w:p w14:paraId="6AC34E97" w14:textId="77777777" w:rsidR="00B350FB" w:rsidRPr="00B350FB" w:rsidRDefault="00B350FB" w:rsidP="00B350FB">
      <w:pPr>
        <w:pStyle w:val="ListParagraph"/>
        <w:keepNext/>
        <w:keepLines/>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B350FB">
        <w:rPr>
          <w:rFonts w:eastAsia="Times New Roman" w:cs="Tahoma"/>
          <w:sz w:val="20"/>
          <w:szCs w:val="20"/>
          <w:bdr w:val="none" w:sz="0" w:space="0" w:color="auto" w:frame="1"/>
          <w:lang w:val="es-ES"/>
        </w:rPr>
        <w:t>Que imponga una moratoria de las ejecuciones de personas condenas a muerte, en vista de las violaciones de la Declaración Americana que la CIDH ha observado en el caso de autos y en otros relacionados con la aplicación de la pena de muerte</w:t>
      </w:r>
      <w:r w:rsidRPr="00CC66EA">
        <w:rPr>
          <w:rFonts w:eastAsia="Times New Roman" w:cs="Tahoma"/>
          <w:sz w:val="20"/>
          <w:szCs w:val="20"/>
          <w:bdr w:val="none" w:sz="0" w:space="0" w:color="auto" w:frame="1"/>
          <w:vertAlign w:val="superscript"/>
        </w:rPr>
        <w:footnoteReference w:id="81"/>
      </w:r>
      <w:r w:rsidRPr="00B350FB">
        <w:rPr>
          <w:rFonts w:eastAsia="Times New Roman" w:cs="Tahoma"/>
          <w:sz w:val="20"/>
          <w:szCs w:val="20"/>
          <w:bdr w:val="none" w:sz="0" w:space="0" w:color="auto" w:frame="1"/>
          <w:lang w:val="es-ES"/>
        </w:rPr>
        <w:t>.</w:t>
      </w:r>
    </w:p>
    <w:p w14:paraId="61AAE0C3" w14:textId="77777777" w:rsidR="00B350FB" w:rsidRDefault="00B350FB" w:rsidP="00B350FB">
      <w:pPr>
        <w:rPr>
          <w:rFonts w:asciiTheme="majorHAnsi" w:hAnsiTheme="majorHAnsi"/>
          <w:sz w:val="20"/>
          <w:szCs w:val="20"/>
          <w:lang w:val="es-ES"/>
        </w:rPr>
      </w:pPr>
    </w:p>
    <w:p w14:paraId="737D8BA1" w14:textId="77777777" w:rsidR="00B350FB" w:rsidRPr="004368AF" w:rsidRDefault="00B350FB" w:rsidP="00CC66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Theme="majorHAnsi" w:hAnsiTheme="majorHAnsi"/>
          <w:sz w:val="20"/>
          <w:szCs w:val="20"/>
          <w:lang w:val="es-ES"/>
        </w:rPr>
      </w:pPr>
      <w:r w:rsidRPr="00FF0184">
        <w:rPr>
          <w:rFonts w:asciiTheme="majorHAnsi" w:hAnsiTheme="majorHAnsi"/>
          <w:color w:val="000000" w:themeColor="text1"/>
          <w:sz w:val="20"/>
          <w:szCs w:val="20"/>
          <w:lang w:val="es-ES_tradnl"/>
        </w:rPr>
        <w:t>El</w:t>
      </w:r>
      <w:r w:rsidRPr="00FF0184">
        <w:rPr>
          <w:rFonts w:asciiTheme="majorHAnsi" w:hAnsiTheme="majorHAnsi"/>
          <w:sz w:val="20"/>
          <w:szCs w:val="20"/>
          <w:lang w:val="es-ES"/>
        </w:rPr>
        <w:t xml:space="preserve"> 27 de febrero de 2020 la CIDH transmitió el informe al Estado con un plazo de dos meses para informar a la Comisión sobre las medidas adoptadas para cumplir con sus recomendaciones. El 23 de agosto de 2021 los peticionarios </w:t>
      </w:r>
      <w:r w:rsidR="00FF46E3" w:rsidRPr="00FF0184">
        <w:rPr>
          <w:rFonts w:asciiTheme="majorHAnsi" w:hAnsiTheme="majorHAnsi"/>
          <w:sz w:val="20"/>
          <w:szCs w:val="20"/>
          <w:lang w:val="es-ES"/>
        </w:rPr>
        <w:t>invocaron</w:t>
      </w:r>
      <w:r w:rsidRPr="00FF0184">
        <w:rPr>
          <w:rFonts w:asciiTheme="majorHAnsi" w:hAnsiTheme="majorHAnsi"/>
          <w:sz w:val="20"/>
          <w:szCs w:val="20"/>
          <w:lang w:val="es-ES"/>
        </w:rPr>
        <w:t xml:space="preserve"> el procedimiento de solución amistosa</w:t>
      </w:r>
      <w:r w:rsidR="00FF46E3" w:rsidRPr="00FF0184">
        <w:rPr>
          <w:rFonts w:asciiTheme="majorHAnsi" w:hAnsiTheme="majorHAnsi"/>
          <w:sz w:val="20"/>
          <w:szCs w:val="20"/>
          <w:lang w:val="es-ES"/>
        </w:rPr>
        <w:t>,</w:t>
      </w:r>
      <w:r w:rsidRPr="00FF0184">
        <w:rPr>
          <w:rFonts w:asciiTheme="majorHAnsi" w:hAnsiTheme="majorHAnsi"/>
          <w:sz w:val="20"/>
          <w:szCs w:val="20"/>
          <w:lang w:val="es-ES"/>
        </w:rPr>
        <w:t xml:space="preserve"> </w:t>
      </w:r>
      <w:r w:rsidR="00FF46E3" w:rsidRPr="00FF0184">
        <w:rPr>
          <w:rFonts w:asciiTheme="majorHAnsi" w:hAnsiTheme="majorHAnsi"/>
          <w:sz w:val="20"/>
          <w:szCs w:val="20"/>
          <w:lang w:val="es-ES"/>
        </w:rPr>
        <w:t xml:space="preserve">solicitando </w:t>
      </w:r>
      <w:r w:rsidRPr="00FF0184">
        <w:rPr>
          <w:rFonts w:asciiTheme="majorHAnsi" w:hAnsiTheme="majorHAnsi"/>
          <w:sz w:val="20"/>
          <w:szCs w:val="20"/>
          <w:lang w:val="es-ES"/>
        </w:rPr>
        <w:t xml:space="preserve">los buenos oficios de la CIDH para concertar un diálogo entre las partes. Esta comunicación fue transmitida al Estado el 22 de septiembre de 2021. </w:t>
      </w:r>
      <w:r w:rsidRPr="00FF0184">
        <w:rPr>
          <w:rFonts w:asciiTheme="majorHAnsi" w:hAnsiTheme="majorHAnsi"/>
          <w:sz w:val="20"/>
          <w:szCs w:val="20"/>
          <w:lang w:val="es-ES"/>
        </w:rPr>
        <w:lastRenderedPageBreak/>
        <w:t xml:space="preserve">Hasta la fecha, la Comisión no ha </w:t>
      </w:r>
      <w:r w:rsidRPr="004368AF">
        <w:rPr>
          <w:rFonts w:asciiTheme="majorHAnsi" w:hAnsiTheme="majorHAnsi"/>
          <w:sz w:val="20"/>
          <w:szCs w:val="20"/>
          <w:lang w:val="es-ES"/>
        </w:rPr>
        <w:t>recibido ninguna respuesta de Estados Unidos en relación con el informe No. 243/19.</w:t>
      </w:r>
    </w:p>
    <w:p w14:paraId="326283D2" w14:textId="77777777" w:rsidR="00FF0184" w:rsidRPr="004368AF" w:rsidRDefault="00FF0184" w:rsidP="00FF0184">
      <w:pPr>
        <w:tabs>
          <w:tab w:val="left" w:pos="0"/>
          <w:tab w:val="left" w:pos="360"/>
        </w:tabs>
        <w:jc w:val="both"/>
        <w:rPr>
          <w:rFonts w:ascii="Cambria" w:hAnsi="Cambria"/>
          <w:color w:val="000000"/>
          <w:sz w:val="20"/>
          <w:szCs w:val="20"/>
          <w:lang w:val="es-ES_tradnl"/>
        </w:rPr>
      </w:pPr>
    </w:p>
    <w:p w14:paraId="0867CB29" w14:textId="77777777" w:rsidR="00FF0184" w:rsidRPr="004368AF" w:rsidRDefault="00FF0184" w:rsidP="00FF0184">
      <w:pPr>
        <w:pStyle w:val="Heading1"/>
        <w:tabs>
          <w:tab w:val="left" w:pos="360"/>
        </w:tabs>
        <w:spacing w:before="0"/>
        <w:ind w:hanging="720"/>
        <w:rPr>
          <w:color w:val="auto"/>
          <w:sz w:val="20"/>
          <w:szCs w:val="20"/>
          <w:lang w:val="es-ES"/>
        </w:rPr>
      </w:pPr>
      <w:bookmarkStart w:id="41" w:name="_Toc26552694"/>
      <w:bookmarkStart w:id="42" w:name="_Toc87522750"/>
      <w:bookmarkStart w:id="43" w:name="_Toc90117848"/>
      <w:bookmarkStart w:id="44" w:name="_Toc90283158"/>
      <w:bookmarkStart w:id="45" w:name="_Toc90284835"/>
      <w:bookmarkStart w:id="46" w:name="_Toc90289330"/>
      <w:bookmarkStart w:id="47" w:name="_Toc90292589"/>
      <w:bookmarkStart w:id="48" w:name="_Toc90298938"/>
      <w:r w:rsidRPr="004368AF">
        <w:rPr>
          <w:color w:val="auto"/>
          <w:sz w:val="20"/>
          <w:szCs w:val="20"/>
          <w:lang w:val="es-ES"/>
        </w:rPr>
        <w:t>ACCIONES POSTERIORES AL INFORME No. 332/</w:t>
      </w:r>
      <w:bookmarkEnd w:id="41"/>
      <w:r w:rsidRPr="004368AF">
        <w:rPr>
          <w:color w:val="auto"/>
          <w:sz w:val="20"/>
          <w:szCs w:val="20"/>
          <w:lang w:val="es-ES"/>
        </w:rPr>
        <w:t>2</w:t>
      </w:r>
      <w:bookmarkEnd w:id="42"/>
      <w:r w:rsidRPr="004368AF">
        <w:rPr>
          <w:color w:val="auto"/>
          <w:sz w:val="20"/>
          <w:szCs w:val="20"/>
          <w:lang w:val="es-ES"/>
        </w:rPr>
        <w:t>1</w:t>
      </w:r>
      <w:bookmarkEnd w:id="43"/>
      <w:bookmarkEnd w:id="44"/>
      <w:bookmarkEnd w:id="45"/>
      <w:bookmarkEnd w:id="46"/>
      <w:bookmarkEnd w:id="47"/>
      <w:bookmarkEnd w:id="48"/>
    </w:p>
    <w:p w14:paraId="10E99C65" w14:textId="77777777" w:rsidR="00FF0184" w:rsidRPr="004368AF" w:rsidRDefault="00FF0184" w:rsidP="00FF0184">
      <w:pPr>
        <w:tabs>
          <w:tab w:val="left" w:pos="0"/>
          <w:tab w:val="left" w:pos="360"/>
        </w:tabs>
        <w:jc w:val="both"/>
        <w:rPr>
          <w:lang w:val="es-AR"/>
        </w:rPr>
      </w:pPr>
    </w:p>
    <w:p w14:paraId="6D218084" w14:textId="77777777" w:rsidR="00FF0184" w:rsidRPr="004368AF" w:rsidRDefault="00FF0184" w:rsidP="00FF01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Cambria" w:hAnsi="Cambria"/>
          <w:sz w:val="20"/>
          <w:szCs w:val="20"/>
          <w:lang w:val="es-UY"/>
        </w:rPr>
      </w:pPr>
      <w:r w:rsidRPr="004368AF">
        <w:rPr>
          <w:rFonts w:asciiTheme="majorHAnsi" w:hAnsiTheme="majorHAnsi"/>
          <w:color w:val="000000" w:themeColor="text1"/>
          <w:sz w:val="20"/>
          <w:szCs w:val="20"/>
          <w:lang w:val="es-US"/>
        </w:rPr>
        <w:t>El</w:t>
      </w:r>
      <w:r w:rsidRPr="004368AF">
        <w:rPr>
          <w:rFonts w:ascii="Cambria" w:hAnsi="Cambria"/>
          <w:sz w:val="20"/>
          <w:szCs w:val="20"/>
          <w:lang w:val="es-UY"/>
        </w:rPr>
        <w:t xml:space="preserve"> 22 de noviembre de 2021, la Comisión aprobó el Informe de Fondo Final No. 332/21, que abarca los párrafos 1 a 104 </w:t>
      </w:r>
      <w:r w:rsidRPr="004368AF">
        <w:rPr>
          <w:rFonts w:ascii="Cambria" w:hAnsi="Cambria"/>
          <w:i/>
          <w:sz w:val="20"/>
          <w:szCs w:val="20"/>
          <w:lang w:val="es-UY"/>
        </w:rPr>
        <w:t>supra</w:t>
      </w:r>
      <w:r w:rsidRPr="004368AF">
        <w:rPr>
          <w:rFonts w:ascii="Cambria" w:hAnsi="Cambria"/>
          <w:sz w:val="20"/>
          <w:szCs w:val="20"/>
          <w:lang w:val="es-UY"/>
        </w:rPr>
        <w:t>, y emitió sus conclusiones y recomendaciones finales al Estado. El 3 de diciembre de 2021, la Comisión transmitió el informe al Estado y a los peticionarios con un plazo de tres semanas para informar a la Comisión Interamericana sobre las medidas adoptadas para dar cumplimiento a sus recomendaciones. Hasta la fecha, la CIDH no ha recibido respuesta de los Estados Unidos ni de los peticionarios en relación con el Informe 332/21.</w:t>
      </w:r>
    </w:p>
    <w:p w14:paraId="394C4024" w14:textId="77777777" w:rsidR="00FF0184" w:rsidRPr="007A3389" w:rsidRDefault="00FF0184" w:rsidP="00B350FB">
      <w:pPr>
        <w:rPr>
          <w:rFonts w:asciiTheme="majorHAnsi" w:hAnsiTheme="majorHAnsi"/>
          <w:sz w:val="20"/>
          <w:szCs w:val="20"/>
          <w:lang w:val="es-ES"/>
        </w:rPr>
      </w:pPr>
    </w:p>
    <w:p w14:paraId="3D45660B" w14:textId="77777777" w:rsidR="00C55560" w:rsidRPr="00FF0184" w:rsidRDefault="008A10AB" w:rsidP="00B350FB">
      <w:pPr>
        <w:pStyle w:val="Heading1"/>
        <w:tabs>
          <w:tab w:val="left" w:pos="360"/>
        </w:tabs>
        <w:spacing w:before="0"/>
        <w:ind w:left="0" w:firstLine="0"/>
        <w:rPr>
          <w:color w:val="auto"/>
          <w:sz w:val="20"/>
          <w:szCs w:val="20"/>
          <w:lang w:val="es-ES"/>
        </w:rPr>
      </w:pPr>
      <w:bookmarkStart w:id="49" w:name="_Toc90298939"/>
      <w:r w:rsidRPr="00FF0184">
        <w:rPr>
          <w:color w:val="auto"/>
          <w:sz w:val="20"/>
          <w:szCs w:val="20"/>
          <w:lang w:val="es-ES_tradnl"/>
        </w:rPr>
        <w:t>CONCLUSIONES</w:t>
      </w:r>
      <w:r w:rsidRPr="00FF0184">
        <w:rPr>
          <w:color w:val="auto"/>
          <w:sz w:val="20"/>
          <w:szCs w:val="20"/>
          <w:lang w:val="es-ES"/>
        </w:rPr>
        <w:t xml:space="preserve"> Y RECOMENDACIONES</w:t>
      </w:r>
      <w:r w:rsidR="00B350FB" w:rsidRPr="00FF0184">
        <w:rPr>
          <w:color w:val="auto"/>
          <w:sz w:val="20"/>
          <w:szCs w:val="20"/>
          <w:lang w:val="es-ES"/>
        </w:rPr>
        <w:t xml:space="preserve"> FINALES</w:t>
      </w:r>
      <w:bookmarkEnd w:id="49"/>
    </w:p>
    <w:p w14:paraId="2A6879FB" w14:textId="77777777" w:rsidR="00BC5766" w:rsidRPr="00FF0184" w:rsidRDefault="00BC5766" w:rsidP="00BC5766">
      <w:pPr>
        <w:rPr>
          <w:rFonts w:asciiTheme="majorHAnsi" w:hAnsiTheme="majorHAnsi"/>
          <w:sz w:val="20"/>
          <w:szCs w:val="20"/>
          <w:lang w:val="es-ES"/>
        </w:rPr>
      </w:pPr>
    </w:p>
    <w:p w14:paraId="051C5EB0" w14:textId="77777777" w:rsidR="00BC5766" w:rsidRPr="00FF0184" w:rsidRDefault="00EE2F9F" w:rsidP="00CC66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Theme="majorHAnsi" w:hAnsiTheme="majorHAnsi"/>
          <w:sz w:val="20"/>
          <w:szCs w:val="20"/>
          <w:lang w:val="es-ES"/>
        </w:rPr>
      </w:pPr>
      <w:r w:rsidRPr="00FF0184">
        <w:rPr>
          <w:rFonts w:asciiTheme="majorHAnsi" w:hAnsiTheme="majorHAnsi"/>
          <w:color w:val="000000" w:themeColor="text1"/>
          <w:sz w:val="20"/>
          <w:szCs w:val="20"/>
          <w:lang w:val="es-ES_tradnl"/>
        </w:rPr>
        <w:t>Sobre</w:t>
      </w:r>
      <w:r w:rsidRPr="00FF0184">
        <w:rPr>
          <w:rFonts w:asciiTheme="majorHAnsi" w:hAnsiTheme="majorHAnsi"/>
          <w:sz w:val="20"/>
          <w:szCs w:val="20"/>
          <w:lang w:val="es-ES"/>
        </w:rPr>
        <w:t xml:space="preserve"> la base de las determinaciones de hecho y de derecho, la Comisión Interamericana concluye que</w:t>
      </w:r>
      <w:r w:rsidR="00BC5766" w:rsidRPr="00FF0184">
        <w:rPr>
          <w:rFonts w:asciiTheme="majorHAnsi" w:hAnsiTheme="majorHAnsi"/>
          <w:sz w:val="20"/>
          <w:szCs w:val="20"/>
          <w:lang w:val="es-ES"/>
        </w:rPr>
        <w:t xml:space="preserve"> </w:t>
      </w:r>
      <w:r w:rsidR="00D87346" w:rsidRPr="00FF0184">
        <w:rPr>
          <w:rFonts w:asciiTheme="majorHAnsi" w:hAnsiTheme="majorHAnsi"/>
          <w:sz w:val="20"/>
          <w:szCs w:val="20"/>
          <w:lang w:val="es-ES"/>
        </w:rPr>
        <w:t>el Estado</w:t>
      </w:r>
      <w:r w:rsidR="00BC5766" w:rsidRPr="00FF0184">
        <w:rPr>
          <w:rFonts w:asciiTheme="majorHAnsi" w:hAnsiTheme="majorHAnsi"/>
          <w:sz w:val="20"/>
          <w:szCs w:val="20"/>
          <w:lang w:val="es-ES"/>
        </w:rPr>
        <w:t xml:space="preserve"> </w:t>
      </w:r>
      <w:r w:rsidRPr="00FF0184">
        <w:rPr>
          <w:rFonts w:asciiTheme="majorHAnsi" w:hAnsiTheme="majorHAnsi"/>
          <w:sz w:val="20"/>
          <w:szCs w:val="20"/>
          <w:lang w:val="es-ES"/>
        </w:rPr>
        <w:t>es responsable de la violación de los artículos</w:t>
      </w:r>
      <w:r w:rsidR="00BC5766" w:rsidRPr="00FF0184">
        <w:rPr>
          <w:rFonts w:asciiTheme="majorHAnsi" w:hAnsiTheme="majorHAnsi"/>
          <w:sz w:val="20"/>
          <w:szCs w:val="20"/>
          <w:lang w:val="es-ES"/>
        </w:rPr>
        <w:t xml:space="preserve"> I (</w:t>
      </w:r>
      <w:r w:rsidR="00CB50DB" w:rsidRPr="00FF0184">
        <w:rPr>
          <w:rFonts w:asciiTheme="majorHAnsi" w:hAnsiTheme="majorHAnsi"/>
          <w:sz w:val="20"/>
          <w:szCs w:val="20"/>
          <w:lang w:val="es-ES"/>
        </w:rPr>
        <w:t>derecho a la vida, a la libertad, a la seguridad e integridad de la persona</w:t>
      </w:r>
      <w:r w:rsidR="00BC5766" w:rsidRPr="00FF0184">
        <w:rPr>
          <w:rFonts w:asciiTheme="majorHAnsi" w:hAnsiTheme="majorHAnsi"/>
          <w:sz w:val="20"/>
          <w:szCs w:val="20"/>
          <w:lang w:val="es-ES"/>
        </w:rPr>
        <w:t>), XVIII (</w:t>
      </w:r>
      <w:r w:rsidR="00CB50DB" w:rsidRPr="00FF0184">
        <w:rPr>
          <w:rFonts w:asciiTheme="majorHAnsi" w:hAnsiTheme="majorHAnsi"/>
          <w:sz w:val="20"/>
          <w:szCs w:val="20"/>
          <w:lang w:val="es-ES"/>
        </w:rPr>
        <w:t>derecho de justicia</w:t>
      </w:r>
      <w:r w:rsidR="00BC5766" w:rsidRPr="00FF0184">
        <w:rPr>
          <w:rFonts w:asciiTheme="majorHAnsi" w:hAnsiTheme="majorHAnsi"/>
          <w:sz w:val="20"/>
          <w:szCs w:val="20"/>
          <w:lang w:val="es-ES"/>
        </w:rPr>
        <w:t>), XXV (</w:t>
      </w:r>
      <w:r w:rsidR="005F2595" w:rsidRPr="00FF0184">
        <w:rPr>
          <w:rFonts w:asciiTheme="majorHAnsi" w:hAnsiTheme="majorHAnsi"/>
          <w:sz w:val="20"/>
          <w:szCs w:val="20"/>
          <w:lang w:val="es-ES"/>
        </w:rPr>
        <w:t>derecho a la protección contra el arresto arbitrario</w:t>
      </w:r>
      <w:r w:rsidR="00BC5766" w:rsidRPr="00FF0184">
        <w:rPr>
          <w:rFonts w:asciiTheme="majorHAnsi" w:hAnsiTheme="majorHAnsi"/>
          <w:sz w:val="20"/>
          <w:szCs w:val="20"/>
          <w:lang w:val="es-ES"/>
        </w:rPr>
        <w:t>)</w:t>
      </w:r>
      <w:r w:rsidR="005F2595" w:rsidRPr="00FF0184">
        <w:rPr>
          <w:rFonts w:asciiTheme="majorHAnsi" w:hAnsiTheme="majorHAnsi"/>
          <w:sz w:val="20"/>
          <w:szCs w:val="20"/>
          <w:lang w:val="es-ES"/>
        </w:rPr>
        <w:t xml:space="preserve"> y </w:t>
      </w:r>
      <w:r w:rsidR="00BC5766" w:rsidRPr="00FF0184">
        <w:rPr>
          <w:rFonts w:asciiTheme="majorHAnsi" w:hAnsiTheme="majorHAnsi"/>
          <w:sz w:val="20"/>
          <w:szCs w:val="20"/>
          <w:lang w:val="es-ES"/>
        </w:rPr>
        <w:t>XXVI (</w:t>
      </w:r>
      <w:r w:rsidR="00CB50DB" w:rsidRPr="00FF0184">
        <w:rPr>
          <w:rFonts w:asciiTheme="majorHAnsi" w:hAnsiTheme="majorHAnsi"/>
          <w:sz w:val="20"/>
          <w:szCs w:val="20"/>
          <w:lang w:val="es-ES"/>
        </w:rPr>
        <w:t>derecho a proceso regular</w:t>
      </w:r>
      <w:r w:rsidR="00BC5766" w:rsidRPr="00FF0184">
        <w:rPr>
          <w:rFonts w:asciiTheme="majorHAnsi" w:hAnsiTheme="majorHAnsi"/>
          <w:sz w:val="20"/>
          <w:szCs w:val="20"/>
          <w:lang w:val="es-ES"/>
        </w:rPr>
        <w:t xml:space="preserve">) </w:t>
      </w:r>
      <w:r w:rsidR="00CB50DB" w:rsidRPr="00FF0184">
        <w:rPr>
          <w:rFonts w:asciiTheme="majorHAnsi" w:hAnsiTheme="majorHAnsi"/>
          <w:sz w:val="20"/>
          <w:szCs w:val="20"/>
          <w:lang w:val="es-ES"/>
        </w:rPr>
        <w:t>de</w:t>
      </w:r>
      <w:r w:rsidR="00BC5766" w:rsidRPr="00FF0184">
        <w:rPr>
          <w:rFonts w:asciiTheme="majorHAnsi" w:hAnsiTheme="majorHAnsi"/>
          <w:sz w:val="20"/>
          <w:szCs w:val="20"/>
          <w:lang w:val="es-ES"/>
        </w:rPr>
        <w:t xml:space="preserve"> </w:t>
      </w:r>
      <w:r w:rsidR="00631955" w:rsidRPr="00FF0184">
        <w:rPr>
          <w:rFonts w:asciiTheme="majorHAnsi" w:hAnsiTheme="majorHAnsi"/>
          <w:sz w:val="20"/>
          <w:szCs w:val="20"/>
          <w:lang w:val="es-ES"/>
        </w:rPr>
        <w:t>la Declaración Americana</w:t>
      </w:r>
      <w:r w:rsidR="00BC5766" w:rsidRPr="00FF0184">
        <w:rPr>
          <w:rFonts w:asciiTheme="majorHAnsi" w:hAnsiTheme="majorHAnsi"/>
          <w:sz w:val="20"/>
          <w:szCs w:val="20"/>
          <w:lang w:val="es-ES"/>
        </w:rPr>
        <w:t xml:space="preserve">. </w:t>
      </w:r>
    </w:p>
    <w:p w14:paraId="2C694AE0" w14:textId="77777777" w:rsidR="00DE01CB" w:rsidRPr="00FF0184" w:rsidRDefault="00DE01CB" w:rsidP="00BC5766">
      <w:pPr>
        <w:tabs>
          <w:tab w:val="left" w:pos="360"/>
        </w:tabs>
        <w:jc w:val="both"/>
        <w:rPr>
          <w:rFonts w:ascii="Cambria" w:hAnsi="Cambria"/>
          <w:b/>
          <w:sz w:val="20"/>
          <w:szCs w:val="20"/>
          <w:lang w:val="es-ES"/>
        </w:rPr>
      </w:pPr>
    </w:p>
    <w:p w14:paraId="5E6A2B0C" w14:textId="77777777" w:rsidR="00BC5766" w:rsidRPr="007A3389" w:rsidRDefault="008A10AB" w:rsidP="00064312">
      <w:pPr>
        <w:keepNext/>
        <w:keepLines/>
        <w:tabs>
          <w:tab w:val="left" w:pos="360"/>
        </w:tabs>
        <w:jc w:val="both"/>
        <w:rPr>
          <w:rFonts w:ascii="Cambria" w:hAnsi="Cambria"/>
          <w:b/>
          <w:sz w:val="20"/>
          <w:szCs w:val="20"/>
          <w:lang w:val="es-ES"/>
        </w:rPr>
      </w:pPr>
      <w:r w:rsidRPr="00FF0184">
        <w:rPr>
          <w:rFonts w:ascii="Cambria" w:hAnsi="Cambria"/>
          <w:b/>
          <w:sz w:val="20"/>
          <w:szCs w:val="20"/>
          <w:lang w:val="es-ES"/>
        </w:rPr>
        <w:t>LA COMISIÓN INTERAMERICANA DE DERECHOS HUMANOS</w:t>
      </w:r>
      <w:r w:rsidR="00BC5766" w:rsidRPr="00FF0184">
        <w:rPr>
          <w:rFonts w:ascii="Cambria" w:hAnsi="Cambria"/>
          <w:b/>
          <w:sz w:val="20"/>
          <w:szCs w:val="20"/>
          <w:lang w:val="es-ES"/>
        </w:rPr>
        <w:t xml:space="preserve"> </w:t>
      </w:r>
      <w:r w:rsidR="00EE2F9F" w:rsidRPr="00FF0184">
        <w:rPr>
          <w:rFonts w:ascii="Cambria" w:hAnsi="Cambria"/>
          <w:b/>
          <w:bCs/>
          <w:sz w:val="20"/>
          <w:szCs w:val="20"/>
          <w:lang w:val="es-ES"/>
        </w:rPr>
        <w:t>RE</w:t>
      </w:r>
      <w:r w:rsidR="00CC66EA" w:rsidRPr="00FF0184">
        <w:rPr>
          <w:rFonts w:ascii="Cambria" w:hAnsi="Cambria"/>
          <w:b/>
          <w:bCs/>
          <w:sz w:val="20"/>
          <w:szCs w:val="20"/>
          <w:lang w:val="es-ES"/>
        </w:rPr>
        <w:t>ITERA</w:t>
      </w:r>
      <w:r w:rsidR="00EE2F9F" w:rsidRPr="007A3389">
        <w:rPr>
          <w:rFonts w:ascii="Cambria" w:hAnsi="Cambria"/>
          <w:b/>
          <w:bCs/>
          <w:sz w:val="20"/>
          <w:szCs w:val="20"/>
          <w:lang w:val="es-ES"/>
        </w:rPr>
        <w:t xml:space="preserve"> A ESTADOS UNIDOS DE AMÉRICA:</w:t>
      </w:r>
    </w:p>
    <w:p w14:paraId="2A0243A0" w14:textId="77777777" w:rsidR="00AA3C9F" w:rsidRPr="007A3389" w:rsidRDefault="00AA3C9F" w:rsidP="00064312">
      <w:pPr>
        <w:keepNext/>
        <w:keepLines/>
        <w:rPr>
          <w:lang w:val="es-ES"/>
        </w:rPr>
      </w:pPr>
    </w:p>
    <w:p w14:paraId="33E929EB" w14:textId="77777777" w:rsidR="002237F3" w:rsidRPr="007A3389" w:rsidRDefault="00EE2F9F" w:rsidP="00064312">
      <w:pPr>
        <w:pStyle w:val="ListParagraph"/>
        <w:keepNext/>
        <w:keepLines/>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7A3389">
        <w:rPr>
          <w:rFonts w:eastAsia="Times New Roman" w:cs="Tahoma"/>
          <w:sz w:val="20"/>
          <w:szCs w:val="20"/>
          <w:bdr w:val="none" w:sz="0" w:space="0" w:color="auto" w:frame="1"/>
          <w:lang w:val="es-ES"/>
        </w:rPr>
        <w:t>Que otorgue a</w:t>
      </w:r>
      <w:r w:rsidR="00AA3C9F" w:rsidRPr="007A3389">
        <w:rPr>
          <w:rFonts w:eastAsia="Times New Roman" w:cs="Tahoma"/>
          <w:sz w:val="20"/>
          <w:szCs w:val="20"/>
          <w:bdr w:val="none" w:sz="0" w:space="0" w:color="auto" w:frame="1"/>
          <w:lang w:val="es-ES"/>
        </w:rPr>
        <w:t xml:space="preserve"> </w:t>
      </w:r>
      <w:r w:rsidR="008C05DD" w:rsidRPr="007A3389">
        <w:rPr>
          <w:rFonts w:asciiTheme="majorHAnsi" w:hAnsiTheme="majorHAnsi"/>
          <w:color w:val="auto"/>
          <w:sz w:val="20"/>
          <w:szCs w:val="20"/>
          <w:lang w:val="es-ES"/>
        </w:rPr>
        <w:t>José Trinidad Loza Ventura</w:t>
      </w:r>
      <w:r w:rsidR="00AA3C9F" w:rsidRPr="007A3389">
        <w:rPr>
          <w:rFonts w:eastAsia="Times New Roman" w:cs="Tahoma"/>
          <w:sz w:val="20"/>
          <w:szCs w:val="20"/>
          <w:bdr w:val="none" w:sz="0" w:space="0" w:color="auto" w:frame="1"/>
          <w:lang w:val="es-ES"/>
        </w:rPr>
        <w:t xml:space="preserve"> </w:t>
      </w:r>
      <w:r w:rsidRPr="007A3389">
        <w:rPr>
          <w:rFonts w:eastAsia="Times New Roman" w:cs="Tahoma"/>
          <w:sz w:val="20"/>
          <w:szCs w:val="20"/>
          <w:bdr w:val="none" w:sz="0" w:space="0" w:color="auto" w:frame="1"/>
          <w:lang w:val="es-ES"/>
        </w:rPr>
        <w:t>una reparación eficaz, incluida la revisión de su juicio y su sentencia, de conformidad con las garantías del derecho de justicia y el derecho a proceso regular establecidas en los artículos</w:t>
      </w:r>
      <w:r w:rsidR="00AA3C9F" w:rsidRPr="007A3389">
        <w:rPr>
          <w:rFonts w:eastAsia="Times New Roman" w:cs="Tahoma"/>
          <w:sz w:val="20"/>
          <w:szCs w:val="20"/>
          <w:bdr w:val="none" w:sz="0" w:space="0" w:color="auto" w:frame="1"/>
          <w:lang w:val="es-ES"/>
        </w:rPr>
        <w:t xml:space="preserve"> </w:t>
      </w:r>
      <w:r w:rsidR="00AA3C9F" w:rsidRPr="007A3389">
        <w:rPr>
          <w:rFonts w:asciiTheme="majorHAnsi" w:hAnsiTheme="majorHAnsi"/>
          <w:color w:val="000000" w:themeColor="text1"/>
          <w:sz w:val="20"/>
          <w:szCs w:val="20"/>
          <w:lang w:val="es-ES"/>
        </w:rPr>
        <w:t xml:space="preserve">XVIII </w:t>
      </w:r>
      <w:r w:rsidRPr="007A3389">
        <w:rPr>
          <w:rFonts w:asciiTheme="majorHAnsi" w:hAnsiTheme="majorHAnsi"/>
          <w:color w:val="000000" w:themeColor="text1"/>
          <w:sz w:val="20"/>
          <w:szCs w:val="20"/>
          <w:lang w:val="es-ES"/>
        </w:rPr>
        <w:t>y</w:t>
      </w:r>
      <w:r w:rsidR="00AA3C9F" w:rsidRPr="007A3389">
        <w:rPr>
          <w:rFonts w:asciiTheme="majorHAnsi" w:hAnsiTheme="majorHAnsi"/>
          <w:color w:val="000000" w:themeColor="text1"/>
          <w:sz w:val="20"/>
          <w:szCs w:val="20"/>
          <w:lang w:val="es-ES"/>
        </w:rPr>
        <w:t xml:space="preserve"> XXVI </w:t>
      </w:r>
      <w:r w:rsidRPr="007A3389">
        <w:rPr>
          <w:rFonts w:asciiTheme="majorHAnsi" w:hAnsiTheme="majorHAnsi"/>
          <w:color w:val="000000" w:themeColor="text1"/>
          <w:sz w:val="20"/>
          <w:szCs w:val="20"/>
          <w:lang w:val="es-ES"/>
        </w:rPr>
        <w:t>de</w:t>
      </w:r>
      <w:r w:rsidR="00AA3C9F" w:rsidRPr="007A3389">
        <w:rPr>
          <w:rFonts w:eastAsia="Times New Roman" w:cs="Tahoma"/>
          <w:sz w:val="20"/>
          <w:szCs w:val="20"/>
          <w:bdr w:val="none" w:sz="0" w:space="0" w:color="auto" w:frame="1"/>
          <w:lang w:val="es-ES"/>
        </w:rPr>
        <w:t xml:space="preserve"> </w:t>
      </w:r>
      <w:r w:rsidR="00631955" w:rsidRPr="007A3389">
        <w:rPr>
          <w:rFonts w:eastAsia="Times New Roman" w:cs="Tahoma"/>
          <w:sz w:val="20"/>
          <w:szCs w:val="20"/>
          <w:bdr w:val="none" w:sz="0" w:space="0" w:color="auto" w:frame="1"/>
          <w:lang w:val="es-ES"/>
        </w:rPr>
        <w:t>la Declaración Americana</w:t>
      </w:r>
      <w:r w:rsidR="004D677E" w:rsidRPr="007A3389">
        <w:rPr>
          <w:rStyle w:val="FootnoteReference"/>
          <w:rFonts w:eastAsia="Times New Roman"/>
          <w:sz w:val="20"/>
          <w:szCs w:val="20"/>
          <w:bdr w:val="none" w:sz="0" w:space="0" w:color="auto" w:frame="1"/>
          <w:lang w:val="es-ES"/>
        </w:rPr>
        <w:footnoteReference w:id="82"/>
      </w:r>
      <w:r w:rsidR="00B60D60">
        <w:rPr>
          <w:rFonts w:eastAsia="Times New Roman" w:cs="Tahoma"/>
          <w:sz w:val="20"/>
          <w:szCs w:val="20"/>
          <w:bdr w:val="none" w:sz="0" w:space="0" w:color="auto" w:frame="1"/>
          <w:lang w:val="es-ES"/>
        </w:rPr>
        <w:t xml:space="preserve">, </w:t>
      </w:r>
      <w:r w:rsidRPr="007A3389">
        <w:rPr>
          <w:rFonts w:eastAsia="Times New Roman" w:cs="Tahoma"/>
          <w:sz w:val="20"/>
          <w:szCs w:val="20"/>
          <w:bdr w:val="none" w:sz="0" w:space="0" w:color="auto" w:frame="1"/>
          <w:lang w:val="es-ES"/>
        </w:rPr>
        <w:t>así como una indemnización pecuniaria. Teniendo en cuenta las conclusiones de la CIDH con respecto al tiempo que</w:t>
      </w:r>
      <w:r w:rsidR="00AA3C9F" w:rsidRPr="007A3389">
        <w:rPr>
          <w:rFonts w:cs="Arial"/>
          <w:color w:val="auto"/>
          <w:sz w:val="20"/>
          <w:szCs w:val="20"/>
          <w:lang w:val="es-ES"/>
        </w:rPr>
        <w:t xml:space="preserve"> </w:t>
      </w:r>
      <w:r w:rsidR="008C05DD" w:rsidRPr="007A3389">
        <w:rPr>
          <w:rFonts w:asciiTheme="majorHAnsi" w:hAnsiTheme="majorHAnsi"/>
          <w:color w:val="auto"/>
          <w:sz w:val="20"/>
          <w:szCs w:val="20"/>
          <w:lang w:val="es-ES"/>
        </w:rPr>
        <w:t>José Trinidad Loza Ventura</w:t>
      </w:r>
      <w:r w:rsidR="008C05DD" w:rsidRPr="007A3389">
        <w:rPr>
          <w:rFonts w:cs="Arial"/>
          <w:color w:val="auto"/>
          <w:sz w:val="20"/>
          <w:szCs w:val="20"/>
          <w:lang w:val="es-ES"/>
        </w:rPr>
        <w:t xml:space="preserve"> </w:t>
      </w:r>
      <w:r w:rsidRPr="007A3389">
        <w:rPr>
          <w:rFonts w:cs="Arial"/>
          <w:color w:val="auto"/>
          <w:sz w:val="20"/>
          <w:szCs w:val="20"/>
          <w:lang w:val="es-ES"/>
        </w:rPr>
        <w:t>ha estado en el corredor de la muerte, la Comisión recomienda que se le conmute la pena</w:t>
      </w:r>
      <w:r w:rsidR="00AA3C9F" w:rsidRPr="007A3389">
        <w:rPr>
          <w:rFonts w:eastAsia="Times New Roman" w:cs="Tahoma"/>
          <w:sz w:val="20"/>
          <w:szCs w:val="20"/>
          <w:bdr w:val="none" w:sz="0" w:space="0" w:color="auto" w:frame="1"/>
          <w:lang w:val="es-ES"/>
        </w:rPr>
        <w:t>.</w:t>
      </w:r>
    </w:p>
    <w:p w14:paraId="12F9D937" w14:textId="77777777" w:rsidR="002D0D0D" w:rsidRPr="007A3389" w:rsidRDefault="002D0D0D" w:rsidP="002D0D0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p w14:paraId="160ED957" w14:textId="77777777" w:rsidR="00560F51" w:rsidRPr="007A3389" w:rsidRDefault="00EE2F9F" w:rsidP="009C645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7A3389">
        <w:rPr>
          <w:sz w:val="20"/>
          <w:lang w:val="es-ES"/>
        </w:rPr>
        <w:t>Que revise sus leyes, procedimientos y prácticas estatales y, si corresponde, federales a fin de que las personas acusadas de delitos punibles con la pena de muerte sean juzgadas y, de ser declaradas culpables, sean sentenciadas de conformidad con los derechos establecidos en la Declaración Americana</w:t>
      </w:r>
      <w:r w:rsidR="00AA3C9F" w:rsidRPr="007A3389">
        <w:rPr>
          <w:sz w:val="20"/>
          <w:lang w:val="es-ES"/>
        </w:rPr>
        <w:t xml:space="preserve">, </w:t>
      </w:r>
      <w:r w:rsidRPr="007A3389">
        <w:rPr>
          <w:sz w:val="20"/>
          <w:lang w:val="es-ES"/>
        </w:rPr>
        <w:t>incluidos sus artículos</w:t>
      </w:r>
      <w:r w:rsidR="00AA3C9F" w:rsidRPr="007A3389">
        <w:rPr>
          <w:sz w:val="20"/>
          <w:lang w:val="es-ES"/>
        </w:rPr>
        <w:t xml:space="preserve"> I, XVIII, XXV </w:t>
      </w:r>
      <w:r w:rsidR="00B60D60">
        <w:rPr>
          <w:sz w:val="20"/>
          <w:lang w:val="es-ES"/>
        </w:rPr>
        <w:t>y</w:t>
      </w:r>
      <w:r w:rsidR="00AA3C9F" w:rsidRPr="007A3389">
        <w:rPr>
          <w:sz w:val="20"/>
          <w:lang w:val="es-ES"/>
        </w:rPr>
        <w:t xml:space="preserve"> XXVI </w:t>
      </w:r>
      <w:r w:rsidRPr="007A3389">
        <w:rPr>
          <w:sz w:val="20"/>
          <w:lang w:val="es-ES"/>
        </w:rPr>
        <w:t>y, en particular</w:t>
      </w:r>
      <w:r w:rsidR="00560F51" w:rsidRPr="007A3389">
        <w:rPr>
          <w:sz w:val="20"/>
          <w:lang w:val="es-ES"/>
        </w:rPr>
        <w:t>:</w:t>
      </w:r>
    </w:p>
    <w:p w14:paraId="52B4A796" w14:textId="77777777" w:rsidR="00560F51" w:rsidRPr="007A3389" w:rsidRDefault="00560F51" w:rsidP="00560F51">
      <w:pPr>
        <w:pStyle w:val="ListParagraph"/>
        <w:rPr>
          <w:rFonts w:asciiTheme="majorHAnsi" w:eastAsia="Times New Roman" w:hAnsiTheme="majorHAnsi" w:cs="Tahoma"/>
          <w:sz w:val="20"/>
          <w:szCs w:val="20"/>
          <w:bdr w:val="none" w:sz="0" w:space="0" w:color="auto"/>
          <w:lang w:val="es-ES"/>
        </w:rPr>
      </w:pPr>
    </w:p>
    <w:p w14:paraId="778DFC2E" w14:textId="77777777" w:rsidR="00560F51" w:rsidRPr="007A3389" w:rsidRDefault="00EE2F9F" w:rsidP="00560F51">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7A3389">
        <w:rPr>
          <w:rFonts w:asciiTheme="majorHAnsi" w:eastAsia="Times New Roman" w:hAnsiTheme="majorHAnsi" w:cs="Tahoma"/>
          <w:sz w:val="20"/>
          <w:szCs w:val="20"/>
          <w:bdr w:val="none" w:sz="0" w:space="0" w:color="auto"/>
          <w:lang w:val="es-ES"/>
        </w:rPr>
        <w:t>Que asegure que a todo extranjero privado de la libertad se le informe, sin demora y antes de que efectúe su primera declaración, sobre su derecho a recibir asistencia consular y a solicitar que se notifique de inmediato a las autoridades diplomáticas sobre su arresto o detención</w:t>
      </w:r>
      <w:r w:rsidR="00560F51" w:rsidRPr="007A3389">
        <w:rPr>
          <w:rFonts w:asciiTheme="majorHAnsi" w:hAnsiTheme="majorHAnsi"/>
          <w:sz w:val="20"/>
          <w:szCs w:val="20"/>
          <w:lang w:val="es-ES"/>
        </w:rPr>
        <w:t>;</w:t>
      </w:r>
    </w:p>
    <w:p w14:paraId="1D1076FC" w14:textId="77777777" w:rsidR="00560F51" w:rsidRPr="007A3389" w:rsidRDefault="00560F51" w:rsidP="00560F51">
      <w:pPr>
        <w:pStyle w:val="ListParagraph"/>
        <w:ind w:left="1080"/>
        <w:rPr>
          <w:sz w:val="20"/>
          <w:szCs w:val="20"/>
          <w:bdr w:val="none" w:sz="0" w:space="0" w:color="auto" w:frame="1"/>
          <w:lang w:val="es-ES"/>
        </w:rPr>
      </w:pPr>
    </w:p>
    <w:p w14:paraId="1BB16835" w14:textId="77777777" w:rsidR="002237F3" w:rsidRPr="007A3389" w:rsidRDefault="00EE2F9F" w:rsidP="00560F51">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7A3389">
        <w:rPr>
          <w:sz w:val="20"/>
          <w:szCs w:val="20"/>
          <w:bdr w:val="none" w:sz="0" w:space="0" w:color="auto" w:frame="1"/>
          <w:lang w:val="es-ES"/>
        </w:rPr>
        <w:t>Que asegure que el abogado de oficio que represente al acusado en la apelación proporcione asistencia letrada adecuada en los casos de delitos punibles con la pena de muerte.</w:t>
      </w:r>
    </w:p>
    <w:p w14:paraId="7FF777BE" w14:textId="77777777" w:rsidR="00AA3C9F" w:rsidRPr="007A3389" w:rsidRDefault="00AA3C9F" w:rsidP="00AC4B75">
      <w:pPr>
        <w:tabs>
          <w:tab w:val="left" w:pos="360"/>
        </w:tabs>
        <w:jc w:val="both"/>
        <w:rPr>
          <w:rFonts w:asciiTheme="majorHAnsi" w:eastAsia="Times New Roman" w:hAnsiTheme="majorHAnsi" w:cs="Tahoma"/>
          <w:sz w:val="20"/>
          <w:szCs w:val="20"/>
          <w:bdr w:val="none" w:sz="0" w:space="0" w:color="auto" w:frame="1"/>
          <w:lang w:val="es-ES"/>
        </w:rPr>
      </w:pPr>
    </w:p>
    <w:p w14:paraId="53B9A098" w14:textId="77777777" w:rsidR="004D677E" w:rsidRPr="007A3389" w:rsidRDefault="00064312" w:rsidP="00AA3C9F">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hAnsiTheme="majorHAnsi"/>
          <w:sz w:val="20"/>
          <w:szCs w:val="20"/>
          <w:lang w:val="es-ES"/>
        </w:rPr>
      </w:pPr>
      <w:r>
        <w:rPr>
          <w:rFonts w:asciiTheme="majorHAnsi" w:hAnsiTheme="majorHAnsi"/>
          <w:sz w:val="20"/>
          <w:szCs w:val="20"/>
          <w:lang w:val="es-ES"/>
        </w:rPr>
        <w:t>Que asegure que los fármacos utilizados en la</w:t>
      </w:r>
      <w:r w:rsidR="00025D98" w:rsidRPr="007A3389">
        <w:rPr>
          <w:rFonts w:asciiTheme="majorHAnsi" w:hAnsiTheme="majorHAnsi"/>
          <w:sz w:val="20"/>
          <w:szCs w:val="20"/>
          <w:lang w:val="es-ES"/>
        </w:rPr>
        <w:t xml:space="preserve"> </w:t>
      </w:r>
      <w:r w:rsidR="003A46FC">
        <w:rPr>
          <w:rFonts w:asciiTheme="majorHAnsi" w:hAnsiTheme="majorHAnsi"/>
          <w:sz w:val="20"/>
          <w:szCs w:val="20"/>
          <w:lang w:val="es-ES"/>
        </w:rPr>
        <w:t>inyección letal</w:t>
      </w:r>
      <w:r w:rsidR="00025D98" w:rsidRPr="007A3389">
        <w:rPr>
          <w:rFonts w:asciiTheme="majorHAnsi" w:hAnsiTheme="majorHAnsi"/>
          <w:sz w:val="20"/>
          <w:szCs w:val="20"/>
          <w:lang w:val="es-ES"/>
        </w:rPr>
        <w:t xml:space="preserve"> </w:t>
      </w:r>
      <w:r>
        <w:rPr>
          <w:rFonts w:asciiTheme="majorHAnsi" w:hAnsiTheme="majorHAnsi"/>
          <w:sz w:val="20"/>
          <w:szCs w:val="20"/>
          <w:lang w:val="es-ES"/>
        </w:rPr>
        <w:t xml:space="preserve">estén </w:t>
      </w:r>
      <w:r w:rsidR="00E83A17">
        <w:rPr>
          <w:rFonts w:asciiTheme="majorHAnsi" w:hAnsiTheme="majorHAnsi"/>
          <w:sz w:val="20"/>
          <w:szCs w:val="20"/>
          <w:lang w:val="es-ES"/>
        </w:rPr>
        <w:t xml:space="preserve">sujetos a la aprobación y la reglamentación del gobierno, que los equipos a cargo de las ejecuciones tengan una formación </w:t>
      </w:r>
      <w:r w:rsidR="00025D98" w:rsidRPr="007A3389">
        <w:rPr>
          <w:rFonts w:asciiTheme="majorHAnsi" w:hAnsiTheme="majorHAnsi"/>
          <w:sz w:val="20"/>
          <w:szCs w:val="20"/>
          <w:lang w:val="es-ES"/>
        </w:rPr>
        <w:t>m</w:t>
      </w:r>
      <w:r w:rsidR="00E83A17">
        <w:rPr>
          <w:rFonts w:asciiTheme="majorHAnsi" w:hAnsiTheme="majorHAnsi"/>
          <w:sz w:val="20"/>
          <w:szCs w:val="20"/>
          <w:lang w:val="es-ES"/>
        </w:rPr>
        <w:t xml:space="preserve">édica apropiada y que los protocolos para la </w:t>
      </w:r>
      <w:r w:rsidR="003A46FC">
        <w:rPr>
          <w:rFonts w:asciiTheme="majorHAnsi" w:hAnsiTheme="majorHAnsi"/>
          <w:sz w:val="20"/>
          <w:szCs w:val="20"/>
          <w:lang w:val="es-ES"/>
        </w:rPr>
        <w:t>inyección letal</w:t>
      </w:r>
      <w:r w:rsidR="00025D98" w:rsidRPr="007A3389">
        <w:rPr>
          <w:rFonts w:asciiTheme="majorHAnsi" w:hAnsiTheme="majorHAnsi"/>
          <w:sz w:val="20"/>
          <w:szCs w:val="20"/>
          <w:lang w:val="es-ES"/>
        </w:rPr>
        <w:t xml:space="preserve"> </w:t>
      </w:r>
      <w:r w:rsidR="00E83A17">
        <w:rPr>
          <w:rFonts w:asciiTheme="majorHAnsi" w:hAnsiTheme="majorHAnsi"/>
          <w:sz w:val="20"/>
          <w:szCs w:val="20"/>
          <w:lang w:val="es-ES"/>
        </w:rPr>
        <w:t>estén al alcance del público</w:t>
      </w:r>
      <w:r w:rsidR="00025D98" w:rsidRPr="007A3389">
        <w:rPr>
          <w:rFonts w:asciiTheme="majorHAnsi" w:hAnsiTheme="majorHAnsi"/>
          <w:sz w:val="20"/>
          <w:szCs w:val="20"/>
          <w:lang w:val="es-ES"/>
        </w:rPr>
        <w:t>.</w:t>
      </w:r>
    </w:p>
    <w:p w14:paraId="1352C8B4" w14:textId="77777777" w:rsidR="00025D98" w:rsidRPr="007A3389" w:rsidRDefault="00025D98" w:rsidP="00025D9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asciiTheme="majorHAnsi" w:hAnsiTheme="majorHAnsi"/>
          <w:sz w:val="20"/>
          <w:szCs w:val="20"/>
          <w:lang w:val="es-ES"/>
        </w:rPr>
      </w:pPr>
    </w:p>
    <w:p w14:paraId="69EA60ED" w14:textId="77777777" w:rsidR="00AA3C9F" w:rsidRPr="00FF46E3" w:rsidRDefault="009A5817" w:rsidP="009A581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lang w:val="es-ES"/>
        </w:rPr>
      </w:pPr>
      <w:r w:rsidRPr="009A5817">
        <w:rPr>
          <w:rFonts w:asciiTheme="majorHAnsi" w:hAnsiTheme="majorHAnsi"/>
          <w:sz w:val="20"/>
          <w:lang w:val="es-ES"/>
        </w:rPr>
        <w:t xml:space="preserve">Que imponga una moratoria de las ejecuciones de personas condenas a muerte, en vista de las violaciones de </w:t>
      </w:r>
      <w:r w:rsidRPr="009A5817">
        <w:rPr>
          <w:rFonts w:asciiTheme="majorHAnsi" w:hAnsiTheme="majorHAnsi"/>
          <w:sz w:val="20"/>
          <w:szCs w:val="20"/>
          <w:lang w:val="es-ES"/>
        </w:rPr>
        <w:t>la</w:t>
      </w:r>
      <w:r w:rsidRPr="009A5817">
        <w:rPr>
          <w:rFonts w:asciiTheme="majorHAnsi" w:hAnsiTheme="majorHAnsi"/>
          <w:sz w:val="20"/>
          <w:lang w:val="es-ES"/>
        </w:rPr>
        <w:t xml:space="preserve"> Declaración Americana que la CIDH ha observado en el caso de autos y en otros relacionados con la aplicación de la pena de muerte</w:t>
      </w:r>
      <w:r w:rsidR="00AA3C9F" w:rsidRPr="007A3389">
        <w:rPr>
          <w:rStyle w:val="FootnoteReference"/>
          <w:sz w:val="20"/>
          <w:lang w:val="es-ES"/>
        </w:rPr>
        <w:footnoteReference w:id="83"/>
      </w:r>
      <w:r>
        <w:rPr>
          <w:rFonts w:asciiTheme="majorHAnsi" w:hAnsiTheme="majorHAnsi"/>
          <w:sz w:val="20"/>
          <w:lang w:val="es-ES"/>
        </w:rPr>
        <w:t>.</w:t>
      </w:r>
    </w:p>
    <w:p w14:paraId="5F95657F" w14:textId="7E086060" w:rsidR="000155D0" w:rsidRDefault="000155D0">
      <w:pPr>
        <w:rPr>
          <w:rFonts w:ascii="Cambria" w:eastAsia="Times New Roman" w:hAnsi="Cambria" w:cs="Tahoma"/>
          <w:color w:val="000000"/>
          <w:sz w:val="20"/>
          <w:szCs w:val="20"/>
          <w:u w:color="000000"/>
          <w:bdr w:val="none" w:sz="0" w:space="0" w:color="auto" w:frame="1"/>
          <w:lang w:val="es-ES_tradnl" w:eastAsia="es-ES"/>
        </w:rPr>
      </w:pPr>
      <w:r>
        <w:rPr>
          <w:rFonts w:ascii="Cambria" w:eastAsia="Times New Roman" w:hAnsi="Cambria" w:cs="Tahoma"/>
          <w:color w:val="000000"/>
          <w:sz w:val="20"/>
          <w:szCs w:val="20"/>
          <w:u w:color="000000"/>
          <w:bdr w:val="none" w:sz="0" w:space="0" w:color="auto" w:frame="1"/>
          <w:lang w:val="es-ES_tradnl" w:eastAsia="es-ES"/>
        </w:rPr>
        <w:br w:type="page"/>
      </w:r>
    </w:p>
    <w:p w14:paraId="226642A2" w14:textId="77777777" w:rsidR="00FF0184" w:rsidRPr="00D006F7" w:rsidRDefault="00FF0184" w:rsidP="00FF0184">
      <w:pPr>
        <w:jc w:val="both"/>
        <w:rPr>
          <w:rFonts w:ascii="Cambria" w:eastAsia="Times New Roman" w:hAnsi="Cambria" w:cs="Tahoma"/>
          <w:color w:val="000000"/>
          <w:sz w:val="20"/>
          <w:szCs w:val="20"/>
          <w:u w:color="000000"/>
          <w:bdr w:val="none" w:sz="0" w:space="0" w:color="auto" w:frame="1"/>
          <w:lang w:val="es-ES_tradnl" w:eastAsia="es-ES"/>
        </w:rPr>
      </w:pPr>
    </w:p>
    <w:p w14:paraId="0163AD94" w14:textId="77777777" w:rsidR="00FF0184" w:rsidRPr="004368AF" w:rsidRDefault="00FF0184" w:rsidP="00FF0184">
      <w:pPr>
        <w:pStyle w:val="Heading1"/>
        <w:tabs>
          <w:tab w:val="left" w:pos="360"/>
        </w:tabs>
        <w:spacing w:before="0"/>
        <w:ind w:hanging="720"/>
        <w:rPr>
          <w:color w:val="auto"/>
          <w:sz w:val="20"/>
          <w:szCs w:val="20"/>
          <w:lang w:val="es-ES"/>
        </w:rPr>
      </w:pPr>
      <w:bookmarkStart w:id="50" w:name="_Toc26552696"/>
      <w:bookmarkStart w:id="51" w:name="_Toc87522752"/>
      <w:bookmarkStart w:id="52" w:name="_Toc90117850"/>
      <w:bookmarkStart w:id="53" w:name="_Toc90283160"/>
      <w:bookmarkStart w:id="54" w:name="_Toc90284837"/>
      <w:bookmarkStart w:id="55" w:name="_Toc90289332"/>
      <w:bookmarkStart w:id="56" w:name="_Toc90292591"/>
      <w:bookmarkStart w:id="57" w:name="_Toc90298940"/>
      <w:r w:rsidRPr="004368AF">
        <w:rPr>
          <w:color w:val="auto"/>
          <w:sz w:val="20"/>
          <w:szCs w:val="20"/>
          <w:lang w:val="es-ES"/>
        </w:rPr>
        <w:t>PUBLICACIÓN</w:t>
      </w:r>
      <w:bookmarkEnd w:id="50"/>
      <w:bookmarkEnd w:id="51"/>
      <w:bookmarkEnd w:id="52"/>
      <w:bookmarkEnd w:id="53"/>
      <w:bookmarkEnd w:id="54"/>
      <w:bookmarkEnd w:id="55"/>
      <w:bookmarkEnd w:id="56"/>
      <w:bookmarkEnd w:id="57"/>
    </w:p>
    <w:p w14:paraId="6806C494" w14:textId="77777777" w:rsidR="00FF0184" w:rsidRPr="004368AF" w:rsidRDefault="00FF0184" w:rsidP="00FF0184">
      <w:pPr>
        <w:ind w:left="360"/>
        <w:jc w:val="both"/>
        <w:rPr>
          <w:lang w:val="es-UY"/>
        </w:rPr>
      </w:pPr>
    </w:p>
    <w:p w14:paraId="66B05C59" w14:textId="77777777" w:rsidR="00FF0184" w:rsidRPr="004368AF" w:rsidRDefault="00FF0184" w:rsidP="00DB47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Cambria" w:hAnsi="Cambria"/>
          <w:color w:val="000000"/>
          <w:sz w:val="20"/>
          <w:szCs w:val="20"/>
          <w:lang w:val="es-AR"/>
        </w:rPr>
      </w:pPr>
      <w:r w:rsidRPr="00DB4717">
        <w:rPr>
          <w:rFonts w:asciiTheme="majorHAnsi" w:hAnsiTheme="majorHAnsi"/>
          <w:color w:val="000000" w:themeColor="text1"/>
          <w:sz w:val="20"/>
          <w:szCs w:val="20"/>
          <w:lang w:val="es-ES_tradnl"/>
        </w:rPr>
        <w:t>En</w:t>
      </w:r>
      <w:r w:rsidRPr="004368AF">
        <w:rPr>
          <w:rFonts w:ascii="Cambria" w:hAnsi="Cambria"/>
          <w:color w:val="000000"/>
          <w:sz w:val="20"/>
          <w:szCs w:val="20"/>
          <w:lang w:val="es-AR"/>
        </w:rPr>
        <w:t xml:space="preserve">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16D3ADEF" w14:textId="19B9B963" w:rsidR="00FF0184" w:rsidRDefault="00FF0184" w:rsidP="00FF46E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lang w:val="es-ES"/>
        </w:rPr>
      </w:pPr>
    </w:p>
    <w:p w14:paraId="29C179B8" w14:textId="77777777" w:rsidR="00DB4717" w:rsidRDefault="00DB4717" w:rsidP="00DB4717">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eastAsia="Trebuchet MS" w:hAnsi="Cambria" w:cs="Calibri"/>
          <w:color w:val="201F1E"/>
          <w:spacing w:val="-2"/>
          <w:sz w:val="20"/>
          <w:szCs w:val="20"/>
          <w:bdr w:val="none" w:sz="0" w:space="0" w:color="auto" w:frame="1"/>
          <w:lang w:val="es-CL"/>
        </w:rPr>
        <w:t xml:space="preserve"> 31 días del mes de diciembre de 2021. </w:t>
      </w:r>
      <w:r>
        <w:rPr>
          <w:rFonts w:ascii="Cambria" w:hAnsi="Cambria" w:cs="Calibri"/>
          <w:color w:val="201F1E"/>
          <w:spacing w:val="-2"/>
          <w:sz w:val="20"/>
          <w:szCs w:val="20"/>
          <w:bdr w:val="none" w:sz="0" w:space="0" w:color="auto" w:frame="1"/>
          <w:lang w:val="es-CL"/>
        </w:rPr>
        <w:t xml:space="preserve">(Firmado): Antonia Urrejola Noguera, Presidenta; Julissa Mantilla Falcón, Primera Vicepresidenta; </w:t>
      </w:r>
      <w:proofErr w:type="spellStart"/>
      <w:r>
        <w:rPr>
          <w:rFonts w:ascii="Cambria" w:hAnsi="Cambria" w:cs="Calibri"/>
          <w:color w:val="201F1E"/>
          <w:spacing w:val="-2"/>
          <w:sz w:val="20"/>
          <w:szCs w:val="20"/>
          <w:bdr w:val="none" w:sz="0" w:space="0" w:color="auto" w:frame="1"/>
          <w:lang w:val="es-CL"/>
        </w:rPr>
        <w:t>Flávia</w:t>
      </w:r>
      <w:proofErr w:type="spellEnd"/>
      <w:r>
        <w:rPr>
          <w:rFonts w:ascii="Cambria" w:hAnsi="Cambria" w:cs="Calibri"/>
          <w:color w:val="201F1E"/>
          <w:spacing w:val="-2"/>
          <w:sz w:val="20"/>
          <w:szCs w:val="20"/>
          <w:bdr w:val="none" w:sz="0" w:space="0" w:color="auto" w:frame="1"/>
          <w:lang w:val="es-CL"/>
        </w:rPr>
        <w:t xml:space="preserve"> </w:t>
      </w:r>
      <w:proofErr w:type="spellStart"/>
      <w:r>
        <w:rPr>
          <w:rFonts w:ascii="Cambria" w:hAnsi="Cambria" w:cs="Calibri"/>
          <w:color w:val="201F1E"/>
          <w:spacing w:val="-2"/>
          <w:sz w:val="20"/>
          <w:szCs w:val="20"/>
          <w:bdr w:val="none" w:sz="0" w:space="0" w:color="auto" w:frame="1"/>
          <w:lang w:val="es-CL"/>
        </w:rPr>
        <w:t>Piovesan</w:t>
      </w:r>
      <w:proofErr w:type="spellEnd"/>
      <w:r>
        <w:rPr>
          <w:rFonts w:ascii="Cambria" w:hAnsi="Cambria" w:cs="Calibri"/>
          <w:color w:val="201F1E"/>
          <w:spacing w:val="-2"/>
          <w:sz w:val="20"/>
          <w:szCs w:val="20"/>
          <w:bdr w:val="none" w:sz="0" w:space="0" w:color="auto" w:frame="1"/>
          <w:lang w:val="es-CL"/>
        </w:rPr>
        <w:t xml:space="preserve">, Segunda Vicepresidenta; </w:t>
      </w:r>
      <w:proofErr w:type="spellStart"/>
      <w:r>
        <w:rPr>
          <w:rFonts w:ascii="Cambria" w:hAnsi="Cambria" w:cs="Calibri"/>
          <w:color w:val="201F1E"/>
          <w:spacing w:val="-2"/>
          <w:sz w:val="20"/>
          <w:szCs w:val="20"/>
          <w:bdr w:val="none" w:sz="0" w:space="0" w:color="auto" w:frame="1"/>
          <w:lang w:val="es-CL"/>
        </w:rPr>
        <w:t>Margarette</w:t>
      </w:r>
      <w:proofErr w:type="spellEnd"/>
      <w:r>
        <w:rPr>
          <w:rFonts w:ascii="Cambria" w:hAnsi="Cambria" w:cs="Calibri"/>
          <w:color w:val="201F1E"/>
          <w:spacing w:val="-2"/>
          <w:sz w:val="20"/>
          <w:szCs w:val="20"/>
          <w:bdr w:val="none" w:sz="0" w:space="0" w:color="auto" w:frame="1"/>
          <w:lang w:val="es-CL"/>
        </w:rPr>
        <w:t xml:space="preserve"> May </w:t>
      </w:r>
      <w:proofErr w:type="spellStart"/>
      <w:r>
        <w:rPr>
          <w:rFonts w:ascii="Cambria" w:hAnsi="Cambria" w:cs="Calibri"/>
          <w:color w:val="201F1E"/>
          <w:spacing w:val="-2"/>
          <w:sz w:val="20"/>
          <w:szCs w:val="20"/>
          <w:bdr w:val="none" w:sz="0" w:space="0" w:color="auto" w:frame="1"/>
          <w:lang w:val="es-CL"/>
        </w:rPr>
        <w:t>Macaulay</w:t>
      </w:r>
      <w:proofErr w:type="spellEnd"/>
      <w:r>
        <w:rPr>
          <w:rFonts w:ascii="Cambria" w:hAnsi="Cambria" w:cs="Calibri"/>
          <w:color w:val="201F1E"/>
          <w:spacing w:val="-2"/>
          <w:sz w:val="20"/>
          <w:szCs w:val="20"/>
          <w:bdr w:val="none" w:sz="0" w:space="0" w:color="auto" w:frame="1"/>
          <w:lang w:val="es-CL"/>
        </w:rPr>
        <w:t xml:space="preserve">, Esmeralda E. Arosemena de </w:t>
      </w:r>
      <w:proofErr w:type="spellStart"/>
      <w:r>
        <w:rPr>
          <w:rFonts w:ascii="Cambria" w:hAnsi="Cambria" w:cs="Calibri"/>
          <w:color w:val="201F1E"/>
          <w:spacing w:val="-2"/>
          <w:sz w:val="20"/>
          <w:szCs w:val="20"/>
          <w:bdr w:val="none" w:sz="0" w:space="0" w:color="auto" w:frame="1"/>
          <w:lang w:val="es-CL"/>
        </w:rPr>
        <w:t>Troitiño</w:t>
      </w:r>
      <w:proofErr w:type="spellEnd"/>
      <w:r>
        <w:rPr>
          <w:rFonts w:ascii="Cambria" w:hAnsi="Cambria" w:cs="Calibri"/>
          <w:color w:val="201F1E"/>
          <w:spacing w:val="-2"/>
          <w:sz w:val="20"/>
          <w:szCs w:val="20"/>
          <w:bdr w:val="none" w:sz="0" w:space="0" w:color="auto" w:frame="1"/>
          <w:lang w:val="es-CL"/>
        </w:rPr>
        <w:t xml:space="preserve">, Joel Hernández </w:t>
      </w:r>
      <w:proofErr w:type="spellStart"/>
      <w:r>
        <w:rPr>
          <w:rFonts w:ascii="Cambria" w:hAnsi="Cambria" w:cs="Calibri"/>
          <w:color w:val="201F1E"/>
          <w:spacing w:val="-2"/>
          <w:sz w:val="20"/>
          <w:szCs w:val="20"/>
          <w:bdr w:val="none" w:sz="0" w:space="0" w:color="auto" w:frame="1"/>
          <w:lang w:val="es-CL"/>
        </w:rPr>
        <w:t>Gracía</w:t>
      </w:r>
      <w:proofErr w:type="spellEnd"/>
      <w:r>
        <w:rPr>
          <w:rFonts w:ascii="Cambria" w:hAnsi="Cambria" w:cs="Calibri"/>
          <w:color w:val="201F1E"/>
          <w:spacing w:val="-2"/>
          <w:sz w:val="20"/>
          <w:szCs w:val="20"/>
          <w:bdr w:val="none" w:sz="0" w:space="0" w:color="auto" w:frame="1"/>
          <w:lang w:val="es-CL"/>
        </w:rPr>
        <w:t xml:space="preserve"> y Edgar Stuardo </w:t>
      </w:r>
      <w:proofErr w:type="spellStart"/>
      <w:r>
        <w:rPr>
          <w:rFonts w:ascii="Cambria" w:hAnsi="Cambria" w:cs="Calibri"/>
          <w:color w:val="201F1E"/>
          <w:spacing w:val="-2"/>
          <w:sz w:val="20"/>
          <w:szCs w:val="20"/>
          <w:bdr w:val="none" w:sz="0" w:space="0" w:color="auto" w:frame="1"/>
          <w:lang w:val="es-CL"/>
        </w:rPr>
        <w:t>Ralón</w:t>
      </w:r>
      <w:proofErr w:type="spellEnd"/>
      <w:r>
        <w:rPr>
          <w:rFonts w:ascii="Cambria" w:hAnsi="Cambria" w:cs="Calibri"/>
          <w:color w:val="201F1E"/>
          <w:spacing w:val="-2"/>
          <w:sz w:val="20"/>
          <w:szCs w:val="20"/>
          <w:bdr w:val="none" w:sz="0" w:space="0" w:color="auto" w:frame="1"/>
          <w:lang w:val="es-CL"/>
        </w:rPr>
        <w:t xml:space="preserve"> Orellana, Miembros de la Comisión.</w:t>
      </w:r>
    </w:p>
    <w:p w14:paraId="7E67517F" w14:textId="77777777" w:rsidR="00DB4717" w:rsidRDefault="00DB4717" w:rsidP="00DB4717">
      <w:pPr>
        <w:pStyle w:val="xparrafos"/>
        <w:spacing w:before="0" w:beforeAutospacing="0" w:after="0" w:afterAutospacing="0"/>
        <w:jc w:val="both"/>
        <w:rPr>
          <w:rFonts w:ascii="Cambria" w:hAnsi="Cambria"/>
          <w:color w:val="000000"/>
          <w:sz w:val="20"/>
          <w:szCs w:val="20"/>
        </w:rPr>
      </w:pPr>
    </w:p>
    <w:sectPr w:rsidR="00DB4717"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7EE7" w14:textId="77777777" w:rsidR="007B36C9" w:rsidRDefault="007B36C9" w:rsidP="00036A8A">
      <w:r>
        <w:separator/>
      </w:r>
    </w:p>
  </w:endnote>
  <w:endnote w:type="continuationSeparator" w:id="0">
    <w:p w14:paraId="35FBC7B8" w14:textId="77777777" w:rsidR="007B36C9" w:rsidRDefault="007B36C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9370A92" w14:textId="77777777" w:rsidR="00721292" w:rsidRPr="006311DA" w:rsidRDefault="00721292">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12</w:t>
        </w:r>
        <w:r>
          <w:rPr>
            <w:noProof/>
            <w:sz w:val="16"/>
          </w:rPr>
          <w:fldChar w:fldCharType="end"/>
        </w:r>
      </w:p>
    </w:sdtContent>
  </w:sdt>
  <w:p w14:paraId="2F9D5B61" w14:textId="77777777" w:rsidR="00721292" w:rsidRDefault="00721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50B8" w14:textId="77777777" w:rsidR="00721292" w:rsidRDefault="00721292">
    <w:pPr>
      <w:pStyle w:val="Footer"/>
      <w:jc w:val="center"/>
    </w:pPr>
  </w:p>
  <w:p w14:paraId="0C4C8FF1" w14:textId="77777777" w:rsidR="00721292" w:rsidRDefault="00721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C30F32E" w14:textId="77777777" w:rsidR="00721292" w:rsidRDefault="00721292">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1CEDE748" w14:textId="77777777" w:rsidR="00721292" w:rsidRDefault="00721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AE67" w14:textId="77777777" w:rsidR="007B36C9" w:rsidRPr="00036A8A" w:rsidRDefault="007B36C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764B8A6" w14:textId="77777777" w:rsidR="007B36C9" w:rsidRPr="00DF0585" w:rsidRDefault="007B36C9" w:rsidP="00036A8A">
      <w:pPr>
        <w:rPr>
          <w:rFonts w:asciiTheme="majorHAnsi" w:hAnsiTheme="majorHAnsi"/>
          <w:sz w:val="16"/>
          <w:szCs w:val="16"/>
          <w:lang w:val="es-ES"/>
        </w:rPr>
      </w:pPr>
      <w:r w:rsidRPr="00DF0585">
        <w:rPr>
          <w:rFonts w:asciiTheme="majorHAnsi" w:hAnsiTheme="majorHAnsi"/>
          <w:sz w:val="16"/>
          <w:szCs w:val="16"/>
          <w:lang w:val="es-ES"/>
        </w:rPr>
        <w:separator/>
      </w:r>
    </w:p>
    <w:p w14:paraId="4E0CA673" w14:textId="77777777" w:rsidR="007B36C9" w:rsidRPr="00DF0585" w:rsidRDefault="007B36C9" w:rsidP="00036A8A">
      <w:pPr>
        <w:pStyle w:val="Footer"/>
        <w:rPr>
          <w:rFonts w:asciiTheme="majorHAnsi" w:hAnsiTheme="majorHAnsi"/>
          <w:sz w:val="16"/>
          <w:szCs w:val="16"/>
          <w:lang w:val="es-ES"/>
        </w:rPr>
      </w:pPr>
      <w:r w:rsidRPr="00DF0585">
        <w:rPr>
          <w:rFonts w:asciiTheme="majorHAnsi" w:hAnsiTheme="majorHAnsi"/>
          <w:sz w:val="16"/>
          <w:szCs w:val="16"/>
          <w:lang w:val="es-ES"/>
        </w:rPr>
        <w:t>[… continuación]</w:t>
      </w:r>
    </w:p>
  </w:footnote>
  <w:footnote w:type="continuationNotice" w:id="1">
    <w:p w14:paraId="64BDB54B" w14:textId="77777777" w:rsidR="007B36C9" w:rsidRPr="00DF0585" w:rsidRDefault="007B36C9" w:rsidP="005B222D">
      <w:pPr>
        <w:jc w:val="right"/>
        <w:rPr>
          <w:rFonts w:asciiTheme="majorHAnsi" w:hAnsiTheme="majorHAnsi"/>
          <w:sz w:val="16"/>
          <w:szCs w:val="16"/>
          <w:lang w:val="es-ES"/>
        </w:rPr>
      </w:pPr>
      <w:r w:rsidRPr="00DF0585">
        <w:rPr>
          <w:rFonts w:asciiTheme="majorHAnsi" w:hAnsiTheme="majorHAnsi"/>
          <w:sz w:val="16"/>
          <w:szCs w:val="16"/>
          <w:lang w:val="es-ES"/>
        </w:rPr>
        <w:t>[continúa…]</w:t>
      </w:r>
    </w:p>
  </w:footnote>
  <w:footnote w:id="2">
    <w:p w14:paraId="686234D1"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r>
        <w:rPr>
          <w:rFonts w:asciiTheme="majorHAnsi" w:hAnsiTheme="majorHAnsi"/>
          <w:sz w:val="16"/>
          <w:szCs w:val="16"/>
          <w:lang w:val="es-ES"/>
        </w:rPr>
        <w:t xml:space="preserve">El </w:t>
      </w:r>
      <w:r w:rsidRPr="00587810">
        <w:rPr>
          <w:rFonts w:asciiTheme="majorHAnsi" w:hAnsiTheme="majorHAnsi"/>
          <w:sz w:val="16"/>
          <w:szCs w:val="16"/>
          <w:lang w:val="es-ES"/>
        </w:rPr>
        <w:t>11</w:t>
      </w:r>
      <w:r>
        <w:rPr>
          <w:rFonts w:asciiTheme="majorHAnsi" w:hAnsiTheme="majorHAnsi"/>
          <w:sz w:val="16"/>
          <w:szCs w:val="16"/>
          <w:lang w:val="es-ES"/>
        </w:rPr>
        <w:t xml:space="preserve"> de agosto de</w:t>
      </w:r>
      <w:r w:rsidRPr="00587810">
        <w:rPr>
          <w:rFonts w:asciiTheme="majorHAnsi" w:hAnsiTheme="majorHAnsi"/>
          <w:sz w:val="16"/>
          <w:szCs w:val="16"/>
          <w:lang w:val="es-ES"/>
        </w:rPr>
        <w:t xml:space="preserve"> 2015, la CIDH </w:t>
      </w:r>
      <w:r>
        <w:rPr>
          <w:rFonts w:asciiTheme="majorHAnsi" w:hAnsiTheme="majorHAnsi"/>
          <w:sz w:val="16"/>
          <w:szCs w:val="16"/>
          <w:lang w:val="es-ES"/>
        </w:rPr>
        <w:t xml:space="preserve">otorgó </w:t>
      </w:r>
      <w:r w:rsidRPr="00587810">
        <w:rPr>
          <w:rFonts w:asciiTheme="majorHAnsi" w:hAnsiTheme="majorHAnsi"/>
          <w:sz w:val="16"/>
          <w:szCs w:val="16"/>
          <w:lang w:val="es-ES"/>
        </w:rPr>
        <w:t xml:space="preserve">medidas cautelares </w:t>
      </w:r>
      <w:r>
        <w:rPr>
          <w:rFonts w:asciiTheme="majorHAnsi" w:hAnsiTheme="majorHAnsi"/>
          <w:sz w:val="16"/>
          <w:szCs w:val="16"/>
          <w:lang w:val="es-ES"/>
        </w:rPr>
        <w:t>a favor d</w:t>
      </w:r>
      <w:r w:rsidRPr="00587810">
        <w:rPr>
          <w:rFonts w:asciiTheme="majorHAnsi" w:hAnsiTheme="majorHAnsi"/>
          <w:sz w:val="16"/>
          <w:szCs w:val="16"/>
          <w:lang w:val="es-ES"/>
        </w:rPr>
        <w:t xml:space="preserve">el señor Loza </w:t>
      </w:r>
      <w:r>
        <w:rPr>
          <w:rFonts w:asciiTheme="majorHAnsi" w:hAnsiTheme="majorHAnsi"/>
          <w:sz w:val="16"/>
          <w:szCs w:val="16"/>
          <w:lang w:val="es-ES"/>
        </w:rPr>
        <w:t xml:space="preserve">de conformidad con el artículo </w:t>
      </w:r>
      <w:r w:rsidRPr="00587810">
        <w:rPr>
          <w:rFonts w:asciiTheme="majorHAnsi" w:hAnsiTheme="majorHAnsi"/>
          <w:sz w:val="16"/>
          <w:szCs w:val="16"/>
          <w:lang w:val="es-ES"/>
        </w:rPr>
        <w:t>25</w:t>
      </w:r>
      <w:r>
        <w:rPr>
          <w:rFonts w:asciiTheme="majorHAnsi" w:hAnsiTheme="majorHAnsi"/>
          <w:sz w:val="16"/>
          <w:szCs w:val="16"/>
          <w:lang w:val="es-ES"/>
        </w:rPr>
        <w:t>.</w:t>
      </w:r>
      <w:r w:rsidRPr="00587810">
        <w:rPr>
          <w:rFonts w:asciiTheme="majorHAnsi" w:hAnsiTheme="majorHAnsi"/>
          <w:sz w:val="16"/>
          <w:szCs w:val="16"/>
          <w:lang w:val="es-ES"/>
        </w:rPr>
        <w:t>1</w:t>
      </w:r>
      <w:r>
        <w:rPr>
          <w:rFonts w:asciiTheme="majorHAnsi" w:hAnsiTheme="majorHAnsi"/>
          <w:sz w:val="16"/>
          <w:szCs w:val="16"/>
          <w:lang w:val="es-ES"/>
        </w:rPr>
        <w:t xml:space="preserve"> de su Reglamento y solicitó a Estados Unidos que tomara las medidas necesarias </w:t>
      </w:r>
      <w:r w:rsidRPr="00587810">
        <w:rPr>
          <w:rFonts w:asciiTheme="majorHAnsi" w:hAnsiTheme="majorHAnsi"/>
          <w:sz w:val="16"/>
          <w:szCs w:val="16"/>
          <w:lang w:val="es-ES"/>
        </w:rPr>
        <w:t>para preservar su vida e integridad física a fin de no obstaculizar la tramitación del caso ante el sistema interamericano.</w:t>
      </w:r>
    </w:p>
  </w:footnote>
  <w:footnote w:id="3">
    <w:p w14:paraId="1A911769" w14:textId="77777777" w:rsidR="00721292" w:rsidRPr="00587810" w:rsidRDefault="00721292" w:rsidP="009266DD">
      <w:pPr>
        <w:pStyle w:val="FootnoteText"/>
        <w:jc w:val="both"/>
        <w:rPr>
          <w:lang w:val="es-ES"/>
        </w:rPr>
      </w:pPr>
      <w:r w:rsidRPr="00587810">
        <w:rPr>
          <w:rStyle w:val="FootnoteReference"/>
          <w:rFonts w:asciiTheme="majorHAnsi" w:hAnsiTheme="majorHAnsi"/>
          <w:sz w:val="16"/>
          <w:szCs w:val="16"/>
          <w:lang w:val="es-ES"/>
        </w:rPr>
        <w:footnoteRef/>
      </w:r>
      <w:r w:rsidRPr="00587810">
        <w:rPr>
          <w:rStyle w:val="FootnoteReference"/>
          <w:rFonts w:asciiTheme="majorHAnsi" w:hAnsiTheme="majorHAnsi"/>
          <w:sz w:val="16"/>
          <w:szCs w:val="16"/>
          <w:lang w:val="es-ES"/>
        </w:rPr>
        <w:t xml:space="preserve"> </w:t>
      </w:r>
      <w:r>
        <w:rPr>
          <w:rFonts w:asciiTheme="majorHAnsi" w:hAnsiTheme="majorHAnsi"/>
          <w:sz w:val="16"/>
          <w:szCs w:val="16"/>
          <w:lang w:val="es-ES"/>
        </w:rPr>
        <w:t>El comisionado</w:t>
      </w:r>
      <w:r w:rsidRPr="00587810">
        <w:rPr>
          <w:rFonts w:asciiTheme="majorHAnsi" w:hAnsiTheme="majorHAnsi"/>
          <w:sz w:val="16"/>
          <w:szCs w:val="16"/>
          <w:lang w:val="es-ES"/>
        </w:rPr>
        <w:t xml:space="preserve"> Joel Hernández García, </w:t>
      </w:r>
      <w:r>
        <w:rPr>
          <w:rFonts w:asciiTheme="majorHAnsi" w:hAnsiTheme="majorHAnsi"/>
          <w:sz w:val="16"/>
          <w:szCs w:val="16"/>
          <w:lang w:val="es-ES"/>
        </w:rPr>
        <w:t xml:space="preserve">ciudadano mexicano, consideró que, de acuerdo con el artículo </w:t>
      </w:r>
      <w:r w:rsidRPr="00587810">
        <w:rPr>
          <w:rFonts w:asciiTheme="majorHAnsi" w:hAnsiTheme="majorHAnsi"/>
          <w:sz w:val="16"/>
          <w:szCs w:val="16"/>
          <w:lang w:val="es-ES"/>
        </w:rPr>
        <w:t>17</w:t>
      </w:r>
      <w:r>
        <w:rPr>
          <w:rFonts w:asciiTheme="majorHAnsi" w:hAnsiTheme="majorHAnsi"/>
          <w:sz w:val="16"/>
          <w:szCs w:val="16"/>
          <w:lang w:val="es-ES"/>
        </w:rPr>
        <w:t>.</w:t>
      </w:r>
      <w:r w:rsidRPr="00587810">
        <w:rPr>
          <w:rFonts w:asciiTheme="majorHAnsi" w:hAnsiTheme="majorHAnsi"/>
          <w:sz w:val="16"/>
          <w:szCs w:val="16"/>
          <w:lang w:val="es-ES"/>
        </w:rPr>
        <w:t>3</w:t>
      </w:r>
      <w:r>
        <w:rPr>
          <w:rFonts w:asciiTheme="majorHAnsi" w:hAnsiTheme="majorHAnsi"/>
          <w:sz w:val="16"/>
          <w:szCs w:val="16"/>
          <w:lang w:val="es-ES"/>
        </w:rPr>
        <w:t xml:space="preserve"> del Reglamento de </w:t>
      </w:r>
      <w:r w:rsidRPr="00587810">
        <w:rPr>
          <w:rFonts w:asciiTheme="majorHAnsi" w:hAnsiTheme="majorHAnsi"/>
          <w:sz w:val="16"/>
          <w:szCs w:val="16"/>
          <w:lang w:val="es-ES"/>
        </w:rPr>
        <w:t xml:space="preserve">la CIDH, </w:t>
      </w:r>
      <w:r>
        <w:rPr>
          <w:rFonts w:asciiTheme="majorHAnsi" w:hAnsiTheme="majorHAnsi"/>
          <w:sz w:val="16"/>
          <w:szCs w:val="16"/>
          <w:lang w:val="es-ES"/>
        </w:rPr>
        <w:t>debía abstenerse de participar en las deliberaciones y en la decisión sobre este asunto, puesto que la presunta víctima en este caso es una de las personas incluidas en el</w:t>
      </w:r>
      <w:r w:rsidRPr="00587810">
        <w:rPr>
          <w:rFonts w:asciiTheme="majorHAnsi" w:hAnsiTheme="majorHAnsi"/>
          <w:sz w:val="16"/>
          <w:szCs w:val="16"/>
          <w:lang w:val="es-ES"/>
        </w:rPr>
        <w:t xml:space="preserve"> caso Avena y otros nacionales mexicanos (México c. Estados Unidos), </w:t>
      </w:r>
      <w:r>
        <w:rPr>
          <w:rFonts w:asciiTheme="majorHAnsi" w:hAnsiTheme="majorHAnsi"/>
          <w:sz w:val="16"/>
          <w:szCs w:val="16"/>
          <w:lang w:val="es-ES"/>
        </w:rPr>
        <w:t xml:space="preserve">que </w:t>
      </w:r>
      <w:r w:rsidRPr="00587810">
        <w:rPr>
          <w:rFonts w:asciiTheme="majorHAnsi" w:hAnsiTheme="majorHAnsi"/>
          <w:sz w:val="16"/>
          <w:szCs w:val="16"/>
          <w:lang w:val="es-ES"/>
        </w:rPr>
        <w:t xml:space="preserve">México </w:t>
      </w:r>
      <w:r>
        <w:rPr>
          <w:rFonts w:asciiTheme="majorHAnsi" w:hAnsiTheme="majorHAnsi"/>
          <w:sz w:val="16"/>
          <w:szCs w:val="16"/>
          <w:lang w:val="es-ES"/>
        </w:rPr>
        <w:t xml:space="preserve">llevó ante la Corte Internacional de Justicia. La Comisión Interamericana aceptó la decisión del comisionado Hernández de recusarse, de modo que el comisionado no participó en las deliberaciones ni en la votación sobre este </w:t>
      </w:r>
      <w:r w:rsidRPr="00587810">
        <w:rPr>
          <w:rFonts w:asciiTheme="majorHAnsi" w:hAnsiTheme="majorHAnsi"/>
          <w:sz w:val="16"/>
          <w:szCs w:val="16"/>
          <w:lang w:val="es-ES"/>
        </w:rPr>
        <w:t>caso.</w:t>
      </w:r>
      <w:r w:rsidRPr="00587810">
        <w:rPr>
          <w:lang w:val="es-ES"/>
        </w:rPr>
        <w:t xml:space="preserve"> </w:t>
      </w:r>
    </w:p>
  </w:footnote>
  <w:footnote w:id="4">
    <w:p w14:paraId="4B3BD6AF"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proofErr w:type="spellStart"/>
      <w:r w:rsidRPr="00587810">
        <w:rPr>
          <w:rFonts w:asciiTheme="majorHAnsi" w:hAnsiTheme="majorHAnsi"/>
          <w:sz w:val="16"/>
          <w:szCs w:val="16"/>
          <w:lang w:val="es-ES"/>
        </w:rPr>
        <w:t>State</w:t>
      </w:r>
      <w:proofErr w:type="spellEnd"/>
      <w:r w:rsidRPr="00587810">
        <w:rPr>
          <w:rFonts w:asciiTheme="majorHAnsi" w:hAnsiTheme="majorHAnsi"/>
          <w:sz w:val="16"/>
          <w:szCs w:val="16"/>
          <w:lang w:val="es-ES"/>
        </w:rPr>
        <w:t xml:space="preserve"> v Loza, </w:t>
      </w:r>
      <w:r>
        <w:rPr>
          <w:rFonts w:asciiTheme="majorHAnsi" w:hAnsiTheme="majorHAnsi"/>
          <w:sz w:val="16"/>
          <w:szCs w:val="16"/>
          <w:lang w:val="es-ES"/>
        </w:rPr>
        <w:t xml:space="preserve">no mencionado en </w:t>
      </w:r>
      <w:r w:rsidRPr="00587810">
        <w:rPr>
          <w:rFonts w:asciiTheme="majorHAnsi" w:hAnsiTheme="majorHAnsi"/>
          <w:sz w:val="16"/>
          <w:szCs w:val="16"/>
          <w:lang w:val="es-ES"/>
        </w:rPr>
        <w:t>N.E.2d (1997).</w:t>
      </w:r>
    </w:p>
  </w:footnote>
  <w:footnote w:id="5">
    <w:p w14:paraId="51A7D29D"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F.3d 466 (2014).</w:t>
      </w:r>
    </w:p>
  </w:footnote>
  <w:footnote w:id="6">
    <w:p w14:paraId="2E479F1D"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 3d 466 (2014).</w:t>
      </w:r>
    </w:p>
  </w:footnote>
  <w:footnote w:id="7">
    <w:p w14:paraId="0CAFD95B"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proofErr w:type="spellStart"/>
      <w:r w:rsidRPr="00587810">
        <w:rPr>
          <w:rFonts w:asciiTheme="majorHAnsi" w:hAnsiTheme="majorHAnsi"/>
          <w:sz w:val="16"/>
          <w:szCs w:val="16"/>
          <w:lang w:val="es-ES"/>
        </w:rPr>
        <w:t>State</w:t>
      </w:r>
      <w:proofErr w:type="spellEnd"/>
      <w:r w:rsidRPr="00587810">
        <w:rPr>
          <w:rFonts w:asciiTheme="majorHAnsi" w:hAnsiTheme="majorHAnsi"/>
          <w:sz w:val="16"/>
          <w:szCs w:val="16"/>
          <w:lang w:val="es-ES"/>
        </w:rPr>
        <w:t xml:space="preserve"> v Loza, </w:t>
      </w:r>
      <w:r>
        <w:rPr>
          <w:rFonts w:asciiTheme="majorHAnsi" w:hAnsiTheme="majorHAnsi"/>
          <w:sz w:val="16"/>
          <w:szCs w:val="16"/>
          <w:lang w:val="es-ES"/>
        </w:rPr>
        <w:t xml:space="preserve">no mencionado en </w:t>
      </w:r>
      <w:r w:rsidRPr="00587810">
        <w:rPr>
          <w:rFonts w:asciiTheme="majorHAnsi" w:hAnsiTheme="majorHAnsi"/>
          <w:sz w:val="16"/>
          <w:szCs w:val="16"/>
          <w:lang w:val="es-ES"/>
        </w:rPr>
        <w:t>N.E.2d (1997).</w:t>
      </w:r>
    </w:p>
  </w:footnote>
  <w:footnote w:id="8">
    <w:p w14:paraId="513225EA"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State v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71 Ohio St.3d 61 (1994).</w:t>
      </w:r>
    </w:p>
  </w:footnote>
  <w:footnote w:id="9">
    <w:p w14:paraId="0BE56225"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F.3d 466 (2014).</w:t>
      </w:r>
    </w:p>
  </w:footnote>
  <w:footnote w:id="10">
    <w:p w14:paraId="79F2DAA3"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State v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71 Ohio St.3d 61 (1994).</w:t>
      </w:r>
    </w:p>
  </w:footnote>
  <w:footnote w:id="11">
    <w:p w14:paraId="74BA9E11"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F.3d 466 (2014).</w:t>
      </w:r>
    </w:p>
  </w:footnote>
  <w:footnote w:id="12">
    <w:p w14:paraId="364EDFF2"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Ohio (1995), U.S. 115 S. Ct. 1983.</w:t>
      </w:r>
    </w:p>
  </w:footnote>
  <w:footnote w:id="13">
    <w:p w14:paraId="0AF224CE"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 3d 466 (2014).</w:t>
      </w:r>
    </w:p>
  </w:footnote>
  <w:footnote w:id="14">
    <w:p w14:paraId="067A96CE"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Loza v Mitchell, </w:t>
      </w:r>
      <w:r>
        <w:rPr>
          <w:rFonts w:asciiTheme="majorHAnsi" w:hAnsiTheme="majorHAnsi"/>
          <w:sz w:val="16"/>
          <w:szCs w:val="16"/>
          <w:lang w:val="es-ES"/>
        </w:rPr>
        <w:t>no mencionado e</w:t>
      </w:r>
      <w:r w:rsidRPr="00587810">
        <w:rPr>
          <w:rFonts w:asciiTheme="majorHAnsi" w:hAnsiTheme="majorHAnsi"/>
          <w:sz w:val="16"/>
          <w:szCs w:val="16"/>
          <w:lang w:val="es-ES"/>
        </w:rPr>
        <w:t xml:space="preserve">n F. </w:t>
      </w:r>
      <w:proofErr w:type="spellStart"/>
      <w:r w:rsidRPr="00587810">
        <w:rPr>
          <w:rFonts w:asciiTheme="majorHAnsi" w:hAnsiTheme="majorHAnsi"/>
          <w:sz w:val="16"/>
          <w:szCs w:val="16"/>
          <w:lang w:val="es-ES"/>
        </w:rPr>
        <w:t>Supp</w:t>
      </w:r>
      <w:proofErr w:type="spellEnd"/>
      <w:r w:rsidRPr="00587810">
        <w:rPr>
          <w:rFonts w:asciiTheme="majorHAnsi" w:hAnsiTheme="majorHAnsi"/>
          <w:sz w:val="16"/>
          <w:szCs w:val="16"/>
          <w:lang w:val="es-ES"/>
        </w:rPr>
        <w:t>. 2d (2002).</w:t>
      </w:r>
    </w:p>
  </w:footnote>
  <w:footnote w:id="15">
    <w:p w14:paraId="27F81782" w14:textId="77777777" w:rsidR="00721292" w:rsidRPr="006277D0" w:rsidRDefault="00721292" w:rsidP="009266DD">
      <w:pPr>
        <w:pStyle w:val="FootnoteText"/>
        <w:jc w:val="both"/>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 3d 466 (2014).</w:t>
      </w:r>
    </w:p>
  </w:footnote>
  <w:footnote w:id="16">
    <w:p w14:paraId="73AA9251"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F.3d 466 (2014).</w:t>
      </w:r>
    </w:p>
  </w:footnote>
  <w:footnote w:id="17">
    <w:p w14:paraId="71BC2130"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F.3d 466 (2014).</w:t>
      </w:r>
    </w:p>
  </w:footnote>
  <w:footnote w:id="18">
    <w:p w14:paraId="595220B4"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proofErr w:type="spellStart"/>
      <w:r w:rsidRPr="006277D0">
        <w:rPr>
          <w:rFonts w:asciiTheme="majorHAnsi" w:hAnsiTheme="majorHAnsi"/>
          <w:sz w:val="16"/>
          <w:szCs w:val="16"/>
        </w:rPr>
        <w:t>Loza</w:t>
      </w:r>
      <w:proofErr w:type="spellEnd"/>
      <w:r w:rsidRPr="006277D0">
        <w:rPr>
          <w:rFonts w:asciiTheme="majorHAnsi" w:hAnsiTheme="majorHAnsi"/>
          <w:sz w:val="16"/>
          <w:szCs w:val="16"/>
        </w:rPr>
        <w:t xml:space="preserve"> v Mitchell, 766 F.3d 466 (2014).</w:t>
      </w:r>
    </w:p>
  </w:footnote>
  <w:footnote w:id="19">
    <w:p w14:paraId="3EBD7361"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proofErr w:type="spellStart"/>
      <w:r w:rsidRPr="00587810">
        <w:rPr>
          <w:rFonts w:asciiTheme="majorHAnsi" w:hAnsiTheme="majorHAnsi"/>
          <w:sz w:val="16"/>
          <w:szCs w:val="16"/>
          <w:lang w:val="es-ES"/>
        </w:rPr>
        <w:t>Egelhoff</w:t>
      </w:r>
      <w:proofErr w:type="spellEnd"/>
      <w:r w:rsidRPr="00587810">
        <w:rPr>
          <w:rFonts w:asciiTheme="majorHAnsi" w:hAnsiTheme="majorHAnsi"/>
          <w:sz w:val="16"/>
          <w:szCs w:val="16"/>
          <w:lang w:val="es-ES"/>
        </w:rPr>
        <w:t>, 518 U.S.</w:t>
      </w:r>
      <w:r>
        <w:rPr>
          <w:rFonts w:asciiTheme="majorHAnsi" w:hAnsiTheme="majorHAnsi"/>
          <w:sz w:val="16"/>
          <w:szCs w:val="16"/>
          <w:lang w:val="es-ES"/>
        </w:rPr>
        <w:t xml:space="preserve">, en </w:t>
      </w:r>
      <w:r w:rsidRPr="00587810">
        <w:rPr>
          <w:rFonts w:asciiTheme="majorHAnsi" w:hAnsiTheme="majorHAnsi"/>
          <w:sz w:val="16"/>
          <w:szCs w:val="16"/>
          <w:lang w:val="es-ES"/>
        </w:rPr>
        <w:t xml:space="preserve">53, 116 </w:t>
      </w:r>
      <w:proofErr w:type="spellStart"/>
      <w:r w:rsidRPr="00587810">
        <w:rPr>
          <w:rFonts w:asciiTheme="majorHAnsi" w:hAnsiTheme="majorHAnsi"/>
          <w:sz w:val="16"/>
          <w:szCs w:val="16"/>
          <w:lang w:val="es-ES"/>
        </w:rPr>
        <w:t>S.Ct</w:t>
      </w:r>
      <w:proofErr w:type="spellEnd"/>
      <w:r w:rsidRPr="00587810">
        <w:rPr>
          <w:rFonts w:asciiTheme="majorHAnsi" w:hAnsiTheme="majorHAnsi"/>
          <w:sz w:val="16"/>
          <w:szCs w:val="16"/>
          <w:lang w:val="es-ES"/>
        </w:rPr>
        <w:t xml:space="preserve">. 2013, </w:t>
      </w:r>
      <w:r>
        <w:rPr>
          <w:rFonts w:asciiTheme="majorHAnsi" w:hAnsiTheme="majorHAnsi"/>
          <w:sz w:val="16"/>
          <w:szCs w:val="16"/>
          <w:lang w:val="es-ES"/>
        </w:rPr>
        <w:t xml:space="preserve">mencionado en </w:t>
      </w:r>
      <w:r w:rsidRPr="00587810">
        <w:rPr>
          <w:rFonts w:asciiTheme="majorHAnsi" w:hAnsiTheme="majorHAnsi"/>
          <w:sz w:val="16"/>
          <w:szCs w:val="16"/>
          <w:lang w:val="es-ES"/>
        </w:rPr>
        <w:t>Loza v Mitchell, 766 F.3d 466 (2014).</w:t>
      </w:r>
    </w:p>
  </w:footnote>
  <w:footnote w:id="20">
    <w:p w14:paraId="05002FDA"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State v Howard, 42 Ohio St.3d. 18, 537 N.E.2d 188 (Ohio 1989).</w:t>
      </w:r>
    </w:p>
  </w:footnote>
  <w:footnote w:id="21">
    <w:p w14:paraId="733868FA"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Brown v Bradshaw, 531 F.3d 433, 437 (6</w:t>
      </w:r>
      <w:r w:rsidRPr="006277D0">
        <w:rPr>
          <w:rFonts w:asciiTheme="majorHAnsi" w:hAnsiTheme="majorHAnsi"/>
          <w:sz w:val="16"/>
          <w:szCs w:val="16"/>
          <w:vertAlign w:val="superscript"/>
        </w:rPr>
        <w:t>th</w:t>
      </w:r>
      <w:r w:rsidRPr="006277D0">
        <w:rPr>
          <w:rFonts w:asciiTheme="majorHAnsi" w:hAnsiTheme="majorHAnsi"/>
          <w:sz w:val="16"/>
          <w:szCs w:val="16"/>
        </w:rPr>
        <w:t xml:space="preserve"> Cir. 2008).</w:t>
      </w:r>
    </w:p>
  </w:footnote>
  <w:footnote w:id="22">
    <w:p w14:paraId="56203428"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Armstrong, 527 U.S. </w:t>
      </w:r>
      <w:proofErr w:type="spellStart"/>
      <w:r w:rsidRPr="006277D0">
        <w:rPr>
          <w:rFonts w:asciiTheme="majorHAnsi" w:hAnsiTheme="majorHAnsi"/>
          <w:sz w:val="16"/>
          <w:szCs w:val="16"/>
        </w:rPr>
        <w:t>en</w:t>
      </w:r>
      <w:proofErr w:type="spellEnd"/>
      <w:r w:rsidRPr="006277D0">
        <w:rPr>
          <w:rFonts w:asciiTheme="majorHAnsi" w:hAnsiTheme="majorHAnsi"/>
          <w:sz w:val="16"/>
          <w:szCs w:val="16"/>
        </w:rPr>
        <w:t xml:space="preserve"> 465, 116 S Ct. 1480, </w:t>
      </w:r>
      <w:proofErr w:type="spellStart"/>
      <w:r w:rsidRPr="006277D0">
        <w:rPr>
          <w:rFonts w:asciiTheme="majorHAnsi" w:hAnsiTheme="majorHAnsi"/>
          <w:sz w:val="16"/>
          <w:szCs w:val="16"/>
        </w:rPr>
        <w:t>donde</w:t>
      </w:r>
      <w:proofErr w:type="spellEnd"/>
      <w:r w:rsidRPr="006277D0">
        <w:rPr>
          <w:rFonts w:asciiTheme="majorHAnsi" w:hAnsiTheme="majorHAnsi"/>
          <w:sz w:val="16"/>
          <w:szCs w:val="16"/>
        </w:rPr>
        <w:t xml:space="preserve"> se </w:t>
      </w:r>
      <w:proofErr w:type="spellStart"/>
      <w:r w:rsidRPr="006277D0">
        <w:rPr>
          <w:rFonts w:asciiTheme="majorHAnsi" w:hAnsiTheme="majorHAnsi"/>
          <w:sz w:val="16"/>
          <w:szCs w:val="16"/>
        </w:rPr>
        <w:t>cita</w:t>
      </w:r>
      <w:proofErr w:type="spellEnd"/>
      <w:r w:rsidRPr="006277D0">
        <w:rPr>
          <w:rFonts w:asciiTheme="majorHAnsi" w:hAnsiTheme="majorHAnsi"/>
          <w:sz w:val="16"/>
          <w:szCs w:val="16"/>
        </w:rPr>
        <w:t xml:space="preserve"> </w:t>
      </w:r>
      <w:proofErr w:type="spellStart"/>
      <w:r w:rsidRPr="006277D0">
        <w:rPr>
          <w:rFonts w:asciiTheme="majorHAnsi" w:hAnsiTheme="majorHAnsi"/>
          <w:sz w:val="16"/>
          <w:szCs w:val="16"/>
        </w:rPr>
        <w:t>Wayte</w:t>
      </w:r>
      <w:proofErr w:type="spellEnd"/>
      <w:r w:rsidRPr="006277D0">
        <w:rPr>
          <w:rFonts w:asciiTheme="majorHAnsi" w:hAnsiTheme="majorHAnsi"/>
          <w:sz w:val="16"/>
          <w:szCs w:val="16"/>
        </w:rPr>
        <w:t xml:space="preserve">, 470 U.S. </w:t>
      </w:r>
      <w:proofErr w:type="spellStart"/>
      <w:r w:rsidRPr="006277D0">
        <w:rPr>
          <w:rFonts w:asciiTheme="majorHAnsi" w:hAnsiTheme="majorHAnsi"/>
          <w:sz w:val="16"/>
          <w:szCs w:val="16"/>
        </w:rPr>
        <w:t>en</w:t>
      </w:r>
      <w:proofErr w:type="spellEnd"/>
      <w:r w:rsidRPr="006277D0">
        <w:rPr>
          <w:rFonts w:asciiTheme="majorHAnsi" w:hAnsiTheme="majorHAnsi"/>
          <w:sz w:val="16"/>
          <w:szCs w:val="16"/>
        </w:rPr>
        <w:t xml:space="preserve"> 608, 105 S Ct. </w:t>
      </w:r>
      <w:r w:rsidRPr="00587810">
        <w:rPr>
          <w:rFonts w:asciiTheme="majorHAnsi" w:hAnsiTheme="majorHAnsi"/>
          <w:sz w:val="16"/>
          <w:szCs w:val="16"/>
          <w:lang w:val="es-ES"/>
        </w:rPr>
        <w:t>(1524).</w:t>
      </w:r>
    </w:p>
  </w:footnote>
  <w:footnote w:id="23">
    <w:p w14:paraId="2C7DCDC1"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Armstrong, 527 U.S.</w:t>
      </w:r>
      <w:r>
        <w:rPr>
          <w:rFonts w:asciiTheme="majorHAnsi" w:hAnsiTheme="majorHAnsi"/>
          <w:sz w:val="16"/>
          <w:szCs w:val="16"/>
          <w:lang w:val="es-ES"/>
        </w:rPr>
        <w:t xml:space="preserve"> en </w:t>
      </w:r>
      <w:r w:rsidRPr="00587810">
        <w:rPr>
          <w:rFonts w:asciiTheme="majorHAnsi" w:hAnsiTheme="majorHAnsi"/>
          <w:sz w:val="16"/>
          <w:szCs w:val="16"/>
          <w:lang w:val="es-ES"/>
        </w:rPr>
        <w:t xml:space="preserve">465, 116 S </w:t>
      </w:r>
      <w:proofErr w:type="spellStart"/>
      <w:r w:rsidRPr="00587810">
        <w:rPr>
          <w:rFonts w:asciiTheme="majorHAnsi" w:hAnsiTheme="majorHAnsi"/>
          <w:sz w:val="16"/>
          <w:szCs w:val="16"/>
          <w:lang w:val="es-ES"/>
        </w:rPr>
        <w:t>Ct</w:t>
      </w:r>
      <w:proofErr w:type="spellEnd"/>
      <w:r w:rsidRPr="00587810">
        <w:rPr>
          <w:rFonts w:asciiTheme="majorHAnsi" w:hAnsiTheme="majorHAnsi"/>
          <w:sz w:val="16"/>
          <w:szCs w:val="16"/>
          <w:lang w:val="es-ES"/>
        </w:rPr>
        <w:t>. 1480.</w:t>
      </w:r>
    </w:p>
  </w:footnote>
  <w:footnote w:id="24">
    <w:p w14:paraId="714B3C2D"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proofErr w:type="spellStart"/>
      <w:r w:rsidRPr="00587810">
        <w:rPr>
          <w:rFonts w:asciiTheme="majorHAnsi" w:hAnsiTheme="majorHAnsi"/>
          <w:sz w:val="16"/>
          <w:szCs w:val="16"/>
          <w:lang w:val="es-ES"/>
        </w:rPr>
        <w:t>Emuegbunam</w:t>
      </w:r>
      <w:proofErr w:type="spellEnd"/>
      <w:r w:rsidRPr="00587810">
        <w:rPr>
          <w:rFonts w:asciiTheme="majorHAnsi" w:hAnsiTheme="majorHAnsi"/>
          <w:sz w:val="16"/>
          <w:szCs w:val="16"/>
          <w:lang w:val="es-ES"/>
        </w:rPr>
        <w:t>, 268 F. 3d</w:t>
      </w:r>
      <w:r>
        <w:rPr>
          <w:rFonts w:asciiTheme="majorHAnsi" w:hAnsiTheme="majorHAnsi"/>
          <w:sz w:val="16"/>
          <w:szCs w:val="16"/>
          <w:lang w:val="es-ES"/>
        </w:rPr>
        <w:t xml:space="preserve"> en </w:t>
      </w:r>
      <w:r w:rsidRPr="00587810">
        <w:rPr>
          <w:rFonts w:asciiTheme="majorHAnsi" w:hAnsiTheme="majorHAnsi"/>
          <w:sz w:val="16"/>
          <w:szCs w:val="16"/>
          <w:lang w:val="es-ES"/>
        </w:rPr>
        <w:t xml:space="preserve">394, </w:t>
      </w:r>
      <w:r>
        <w:rPr>
          <w:rFonts w:asciiTheme="majorHAnsi" w:hAnsiTheme="majorHAnsi"/>
          <w:sz w:val="16"/>
          <w:szCs w:val="16"/>
          <w:lang w:val="es-ES"/>
        </w:rPr>
        <w:t xml:space="preserve">mencionado en </w:t>
      </w:r>
      <w:r w:rsidRPr="00587810">
        <w:rPr>
          <w:rFonts w:asciiTheme="majorHAnsi" w:hAnsiTheme="majorHAnsi"/>
          <w:sz w:val="16"/>
          <w:szCs w:val="16"/>
          <w:lang w:val="es-ES"/>
        </w:rPr>
        <w:t>Loza v Mitchell, 766 F.3d 466 (2014).</w:t>
      </w:r>
    </w:p>
  </w:footnote>
  <w:footnote w:id="25">
    <w:p w14:paraId="6E508D18" w14:textId="77777777" w:rsidR="00721292" w:rsidRPr="006277D0" w:rsidRDefault="00721292" w:rsidP="009266DD">
      <w:pPr>
        <w:pStyle w:val="FootnoteText"/>
        <w:jc w:val="both"/>
        <w:rPr>
          <w:lang w:val="fr-CA"/>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lang w:val="fr-CA"/>
        </w:rPr>
        <w:t xml:space="preserve"> </w:t>
      </w:r>
      <w:proofErr w:type="spellStart"/>
      <w:r w:rsidRPr="006277D0">
        <w:rPr>
          <w:rFonts w:asciiTheme="majorHAnsi" w:hAnsiTheme="majorHAnsi"/>
          <w:sz w:val="16"/>
          <w:szCs w:val="16"/>
          <w:lang w:val="fr-CA"/>
        </w:rPr>
        <w:t>Loza</w:t>
      </w:r>
      <w:proofErr w:type="spellEnd"/>
      <w:r w:rsidRPr="006277D0">
        <w:rPr>
          <w:rFonts w:asciiTheme="majorHAnsi" w:hAnsiTheme="majorHAnsi"/>
          <w:sz w:val="16"/>
          <w:szCs w:val="16"/>
          <w:lang w:val="fr-CA"/>
        </w:rPr>
        <w:t xml:space="preserve"> v Jenkins, 135 S. Ct. 2892 (2015).</w:t>
      </w:r>
    </w:p>
  </w:footnote>
  <w:footnote w:id="26">
    <w:p w14:paraId="2341D093" w14:textId="77777777" w:rsidR="00721292" w:rsidRPr="00587810" w:rsidRDefault="00721292" w:rsidP="009266DD">
      <w:pPr>
        <w:pStyle w:val="FootnoteText"/>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r>
        <w:rPr>
          <w:rFonts w:asciiTheme="majorHAnsi" w:hAnsiTheme="majorHAnsi"/>
          <w:sz w:val="16"/>
          <w:szCs w:val="16"/>
          <w:lang w:val="es-ES"/>
        </w:rPr>
        <w:t>Observaciones de los peticionarios sobre el fondo con fecha de 4 de junio de 2018</w:t>
      </w:r>
      <w:r w:rsidRPr="00587810">
        <w:rPr>
          <w:rFonts w:asciiTheme="majorHAnsi" w:hAnsiTheme="majorHAnsi"/>
          <w:sz w:val="16"/>
          <w:szCs w:val="16"/>
          <w:lang w:val="es-ES"/>
        </w:rPr>
        <w:t>, p. 2.</w:t>
      </w:r>
    </w:p>
  </w:footnote>
  <w:footnote w:id="27">
    <w:p w14:paraId="2EEB5ECF"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State of Ohio, Department of Rehabilitation and Correction, Execution Policy, Rule ORCS 2949.22; 2949.25, 29 de </w:t>
      </w:r>
      <w:proofErr w:type="spellStart"/>
      <w:r w:rsidRPr="006277D0">
        <w:rPr>
          <w:rFonts w:asciiTheme="majorHAnsi" w:hAnsiTheme="majorHAnsi"/>
          <w:sz w:val="16"/>
          <w:szCs w:val="16"/>
        </w:rPr>
        <w:t>junio</w:t>
      </w:r>
      <w:proofErr w:type="spellEnd"/>
      <w:r w:rsidRPr="006277D0">
        <w:rPr>
          <w:rFonts w:asciiTheme="majorHAnsi" w:hAnsiTheme="majorHAnsi"/>
          <w:sz w:val="16"/>
          <w:szCs w:val="16"/>
        </w:rPr>
        <w:t xml:space="preserve"> de 2015.</w:t>
      </w:r>
    </w:p>
  </w:footnote>
  <w:footnote w:id="28">
    <w:p w14:paraId="16A10903"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Beaty v FDA, 853 F. Supp. 2d 30 (D.D.C. 2012).</w:t>
      </w:r>
    </w:p>
  </w:footnote>
  <w:footnote w:id="29">
    <w:p w14:paraId="3AE37B73" w14:textId="77777777" w:rsidR="00721292" w:rsidRPr="00587810" w:rsidRDefault="00721292" w:rsidP="009266DD">
      <w:pPr>
        <w:pStyle w:val="FootnoteText"/>
        <w:rPr>
          <w:lang w:val="es-ES"/>
        </w:rPr>
      </w:pPr>
      <w:r w:rsidRPr="00587810">
        <w:rPr>
          <w:rStyle w:val="FootnoteReference"/>
          <w:rFonts w:asciiTheme="majorHAnsi" w:hAnsiTheme="majorHAnsi"/>
          <w:sz w:val="16"/>
          <w:szCs w:val="16"/>
          <w:lang w:val="es-ES"/>
        </w:rPr>
        <w:footnoteRef/>
      </w:r>
      <w:r w:rsidRPr="00587810">
        <w:rPr>
          <w:rStyle w:val="FootnoteReference"/>
          <w:rFonts w:asciiTheme="majorHAnsi" w:hAnsiTheme="majorHAnsi"/>
          <w:sz w:val="16"/>
          <w:szCs w:val="16"/>
          <w:lang w:val="es-ES"/>
        </w:rPr>
        <w:t xml:space="preserve"> </w:t>
      </w:r>
      <w:r>
        <w:rPr>
          <w:rFonts w:asciiTheme="majorHAnsi" w:hAnsiTheme="majorHAnsi"/>
          <w:sz w:val="16"/>
          <w:szCs w:val="16"/>
          <w:lang w:val="es-ES"/>
        </w:rPr>
        <w:t>Observaciones de los peticionarios sobre el fondo con fecha de 4 de junio de 2018</w:t>
      </w:r>
      <w:r w:rsidRPr="00587810">
        <w:rPr>
          <w:rFonts w:asciiTheme="majorHAnsi" w:hAnsiTheme="majorHAnsi"/>
          <w:sz w:val="16"/>
          <w:szCs w:val="16"/>
          <w:lang w:val="es-ES"/>
        </w:rPr>
        <w:t>, p. 21.</w:t>
      </w:r>
    </w:p>
  </w:footnote>
  <w:footnote w:id="30">
    <w:p w14:paraId="4403CFEE"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r w:rsidRPr="006277D0">
        <w:rPr>
          <w:rFonts w:asciiTheme="majorHAnsi" w:hAnsiTheme="majorHAnsi"/>
          <w:i/>
          <w:iCs/>
          <w:sz w:val="16"/>
          <w:szCs w:val="16"/>
        </w:rPr>
        <w:t xml:space="preserve">In re Ohio Execution Protocol Litigation, </w:t>
      </w:r>
      <w:r w:rsidRPr="006277D0">
        <w:rPr>
          <w:rFonts w:asciiTheme="majorHAnsi" w:hAnsiTheme="majorHAnsi"/>
          <w:sz w:val="16"/>
          <w:szCs w:val="16"/>
        </w:rPr>
        <w:t xml:space="preserve">Caso No. 2:11-cv-1016, slip op. </w:t>
      </w:r>
      <w:proofErr w:type="spellStart"/>
      <w:r w:rsidRPr="006277D0">
        <w:rPr>
          <w:rFonts w:asciiTheme="majorHAnsi" w:hAnsiTheme="majorHAnsi"/>
          <w:sz w:val="16"/>
          <w:szCs w:val="16"/>
        </w:rPr>
        <w:t>en</w:t>
      </w:r>
      <w:proofErr w:type="spellEnd"/>
      <w:r w:rsidRPr="006277D0">
        <w:rPr>
          <w:rFonts w:asciiTheme="majorHAnsi" w:hAnsiTheme="majorHAnsi"/>
          <w:sz w:val="16"/>
          <w:szCs w:val="16"/>
        </w:rPr>
        <w:t xml:space="preserve"> 104-05 (S.D. Ohio Jan.26, 2017). </w:t>
      </w:r>
    </w:p>
  </w:footnote>
  <w:footnote w:id="31">
    <w:p w14:paraId="614CBF8A" w14:textId="77777777" w:rsidR="00721292" w:rsidRPr="006277D0" w:rsidRDefault="00721292" w:rsidP="009266DD">
      <w:pPr>
        <w:pStyle w:val="FootnoteText"/>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r w:rsidRPr="006277D0">
        <w:rPr>
          <w:rFonts w:asciiTheme="majorHAnsi" w:hAnsiTheme="majorHAnsi"/>
          <w:i/>
          <w:iCs/>
          <w:sz w:val="16"/>
          <w:szCs w:val="16"/>
        </w:rPr>
        <w:t>In re Ohio Execution Protocol</w:t>
      </w:r>
      <w:r w:rsidRPr="006277D0">
        <w:rPr>
          <w:rFonts w:asciiTheme="majorHAnsi" w:hAnsiTheme="majorHAnsi"/>
          <w:sz w:val="16"/>
          <w:szCs w:val="16"/>
        </w:rPr>
        <w:t>, 860 F.3d 881, 886 (6th Cir. 2017).</w:t>
      </w:r>
    </w:p>
  </w:footnote>
  <w:footnote w:id="32">
    <w:p w14:paraId="585D086B" w14:textId="77777777" w:rsidR="00721292" w:rsidRPr="006277D0" w:rsidRDefault="00721292" w:rsidP="009266DD">
      <w:pPr>
        <w:pStyle w:val="Default"/>
        <w:rPr>
          <w:rFonts w:asciiTheme="majorHAnsi" w:eastAsia="Arial Unicode MS" w:hAnsiTheme="majorHAnsi"/>
          <w:sz w:val="16"/>
          <w:szCs w:val="16"/>
          <w:bdr w:val="nil"/>
          <w:lang w:val="en-US" w:eastAsia="es-ES"/>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lang w:val="en-US"/>
        </w:rPr>
        <w:t xml:space="preserve"> </w:t>
      </w:r>
      <w:r w:rsidRPr="006277D0">
        <w:rPr>
          <w:rFonts w:asciiTheme="majorHAnsi" w:eastAsia="Arial Unicode MS" w:hAnsiTheme="majorHAnsi"/>
          <w:i/>
          <w:iCs/>
          <w:sz w:val="16"/>
          <w:szCs w:val="16"/>
          <w:lang w:val="en-US"/>
        </w:rPr>
        <w:t>In re Ohio Execution Protocol Litig.</w:t>
      </w:r>
      <w:r w:rsidRPr="006277D0">
        <w:rPr>
          <w:rFonts w:asciiTheme="majorHAnsi" w:eastAsia="Arial Unicode MS" w:hAnsiTheme="majorHAnsi"/>
          <w:sz w:val="16"/>
          <w:szCs w:val="16"/>
          <w:lang w:val="en-US"/>
        </w:rPr>
        <w:t xml:space="preserve">, No. 2:11-cv-1016, 2019 U.S. Dist. LEXIS 8200, </w:t>
      </w:r>
      <w:proofErr w:type="spellStart"/>
      <w:r w:rsidRPr="006277D0">
        <w:rPr>
          <w:rFonts w:asciiTheme="majorHAnsi" w:eastAsia="Arial Unicode MS" w:hAnsiTheme="majorHAnsi"/>
          <w:sz w:val="16"/>
          <w:szCs w:val="16"/>
          <w:lang w:val="en-US"/>
        </w:rPr>
        <w:t>en</w:t>
      </w:r>
      <w:proofErr w:type="spellEnd"/>
      <w:r w:rsidRPr="006277D0">
        <w:rPr>
          <w:rFonts w:asciiTheme="majorHAnsi" w:eastAsia="Arial Unicode MS" w:hAnsiTheme="majorHAnsi"/>
          <w:sz w:val="16"/>
          <w:szCs w:val="16"/>
          <w:lang w:val="en-US"/>
        </w:rPr>
        <w:t xml:space="preserve"> *252 (S.D. Ohio, 14 de </w:t>
      </w:r>
      <w:proofErr w:type="spellStart"/>
      <w:r w:rsidRPr="006277D0">
        <w:rPr>
          <w:rFonts w:asciiTheme="majorHAnsi" w:eastAsia="Arial Unicode MS" w:hAnsiTheme="majorHAnsi"/>
          <w:sz w:val="16"/>
          <w:szCs w:val="16"/>
          <w:lang w:val="en-US"/>
        </w:rPr>
        <w:t>enero</w:t>
      </w:r>
      <w:proofErr w:type="spellEnd"/>
      <w:r w:rsidRPr="006277D0">
        <w:rPr>
          <w:rFonts w:asciiTheme="majorHAnsi" w:eastAsia="Arial Unicode MS" w:hAnsiTheme="majorHAnsi"/>
          <w:sz w:val="16"/>
          <w:szCs w:val="16"/>
          <w:lang w:val="en-US"/>
        </w:rPr>
        <w:t xml:space="preserve"> de 2019).</w:t>
      </w:r>
    </w:p>
  </w:footnote>
  <w:footnote w:id="33">
    <w:p w14:paraId="0418D14F" w14:textId="77777777" w:rsidR="00721292" w:rsidRPr="006277D0" w:rsidRDefault="00721292" w:rsidP="009266DD">
      <w:pPr>
        <w:pStyle w:val="FootnoteText"/>
        <w:jc w:val="both"/>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Death Penalty Information Center. </w:t>
      </w:r>
      <w:r w:rsidRPr="006277D0">
        <w:rPr>
          <w:rFonts w:asciiTheme="majorHAnsi" w:hAnsiTheme="majorHAnsi"/>
          <w:i/>
          <w:sz w:val="16"/>
          <w:szCs w:val="16"/>
        </w:rPr>
        <w:t>Ohio Executions Scheduled for 2017–2022</w:t>
      </w:r>
      <w:r w:rsidRPr="006277D0">
        <w:rPr>
          <w:rFonts w:asciiTheme="majorHAnsi" w:hAnsiTheme="majorHAnsi"/>
          <w:sz w:val="16"/>
          <w:szCs w:val="16"/>
        </w:rPr>
        <w:t xml:space="preserve">. Se </w:t>
      </w:r>
      <w:proofErr w:type="spellStart"/>
      <w:r w:rsidRPr="006277D0">
        <w:rPr>
          <w:rFonts w:asciiTheme="majorHAnsi" w:hAnsiTheme="majorHAnsi"/>
          <w:sz w:val="16"/>
          <w:szCs w:val="16"/>
        </w:rPr>
        <w:t>encuentra</w:t>
      </w:r>
      <w:proofErr w:type="spellEnd"/>
      <w:r w:rsidRPr="006277D0">
        <w:rPr>
          <w:rFonts w:asciiTheme="majorHAnsi" w:hAnsiTheme="majorHAnsi"/>
          <w:sz w:val="16"/>
          <w:szCs w:val="16"/>
        </w:rPr>
        <w:t xml:space="preserve"> </w:t>
      </w:r>
      <w:proofErr w:type="spellStart"/>
      <w:r w:rsidRPr="006277D0">
        <w:rPr>
          <w:rFonts w:asciiTheme="majorHAnsi" w:hAnsiTheme="majorHAnsi"/>
          <w:sz w:val="16"/>
          <w:szCs w:val="16"/>
        </w:rPr>
        <w:t>en</w:t>
      </w:r>
      <w:proofErr w:type="spellEnd"/>
      <w:r w:rsidRPr="006277D0">
        <w:rPr>
          <w:rFonts w:asciiTheme="majorHAnsi" w:hAnsiTheme="majorHAnsi"/>
          <w:sz w:val="16"/>
          <w:szCs w:val="16"/>
        </w:rPr>
        <w:t xml:space="preserve"> </w:t>
      </w:r>
      <w:hyperlink r:id="rId1" w:history="1">
        <w:r w:rsidRPr="006277D0">
          <w:rPr>
            <w:rStyle w:val="Hyperlink"/>
            <w:rFonts w:asciiTheme="majorHAnsi" w:hAnsiTheme="majorHAnsi"/>
            <w:sz w:val="16"/>
            <w:szCs w:val="16"/>
          </w:rPr>
          <w:t>https://deathpenaltyinfo.org/facts-and-research/dpic-reports/dpic-special-reports/ohio-executions-scheduled-for-2017-2022</w:t>
        </w:r>
      </w:hyperlink>
      <w:r w:rsidRPr="006277D0">
        <w:rPr>
          <w:rFonts w:asciiTheme="majorHAnsi" w:hAnsiTheme="majorHAnsi"/>
          <w:sz w:val="16"/>
          <w:szCs w:val="16"/>
        </w:rPr>
        <w:t>.</w:t>
      </w:r>
    </w:p>
  </w:footnote>
  <w:footnote w:id="34">
    <w:p w14:paraId="47226E69" w14:textId="77777777" w:rsidR="00721292" w:rsidRPr="006277D0" w:rsidRDefault="00721292" w:rsidP="009266DD">
      <w:pPr>
        <w:pStyle w:val="Default"/>
        <w:rPr>
          <w:rFonts w:asciiTheme="majorHAnsi" w:hAnsiTheme="majorHAnsi"/>
          <w:sz w:val="16"/>
          <w:szCs w:val="16"/>
          <w:lang w:val="en-US"/>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lang w:val="en-US"/>
        </w:rPr>
        <w:t xml:space="preserve"> </w:t>
      </w:r>
      <w:r w:rsidRPr="006277D0">
        <w:rPr>
          <w:rFonts w:asciiTheme="majorHAnsi" w:eastAsia="Arial Unicode MS" w:hAnsiTheme="majorHAnsi"/>
          <w:i/>
          <w:sz w:val="16"/>
          <w:szCs w:val="16"/>
          <w:bdr w:val="nil"/>
          <w:lang w:val="en-US" w:eastAsia="es-ES"/>
        </w:rPr>
        <w:t>I</w:t>
      </w:r>
      <w:r w:rsidRPr="006277D0">
        <w:rPr>
          <w:rFonts w:asciiTheme="majorHAnsi" w:hAnsiTheme="majorHAnsi"/>
          <w:i/>
          <w:iCs/>
          <w:sz w:val="16"/>
          <w:szCs w:val="16"/>
          <w:lang w:val="en-US" w:eastAsia="es-ES"/>
        </w:rPr>
        <w:t xml:space="preserve">n re Ohio Execution Protocol Litig., </w:t>
      </w:r>
      <w:r w:rsidRPr="006277D0">
        <w:rPr>
          <w:rFonts w:asciiTheme="majorHAnsi" w:hAnsiTheme="majorHAnsi"/>
          <w:iCs/>
          <w:sz w:val="16"/>
          <w:szCs w:val="16"/>
          <w:lang w:val="en-US" w:eastAsia="es-ES"/>
        </w:rPr>
        <w:t>937 F.3d 759, 762 (6</w:t>
      </w:r>
      <w:r w:rsidRPr="006277D0">
        <w:rPr>
          <w:rFonts w:asciiTheme="majorHAnsi" w:hAnsiTheme="majorHAnsi"/>
          <w:iCs/>
          <w:sz w:val="16"/>
          <w:szCs w:val="16"/>
          <w:vertAlign w:val="superscript"/>
          <w:lang w:val="en-US" w:eastAsia="es-ES"/>
        </w:rPr>
        <w:t>th</w:t>
      </w:r>
      <w:r w:rsidRPr="006277D0">
        <w:rPr>
          <w:rFonts w:asciiTheme="majorHAnsi" w:hAnsiTheme="majorHAnsi"/>
          <w:iCs/>
          <w:sz w:val="16"/>
          <w:szCs w:val="16"/>
          <w:lang w:val="en-US" w:eastAsia="es-ES"/>
        </w:rPr>
        <w:t xml:space="preserve"> Cir. 2019).</w:t>
      </w:r>
    </w:p>
  </w:footnote>
  <w:footnote w:id="35">
    <w:p w14:paraId="0EF27A27" w14:textId="77777777" w:rsidR="00721292" w:rsidRPr="00587810" w:rsidRDefault="00721292" w:rsidP="009266DD">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Véanse, por ejemplo,</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Corte IDH</w:t>
      </w:r>
      <w:r w:rsidRPr="00587810">
        <w:rPr>
          <w:rFonts w:asciiTheme="majorHAnsi" w:hAnsiTheme="majorHAnsi"/>
          <w:color w:val="auto"/>
          <w:sz w:val="16"/>
          <w:szCs w:val="16"/>
          <w:lang w:val="es-ES"/>
        </w:rPr>
        <w:t xml:space="preserve">, </w:t>
      </w:r>
      <w:r w:rsidRPr="00A87816">
        <w:rPr>
          <w:rFonts w:asciiTheme="majorHAnsi" w:hAnsiTheme="majorHAnsi"/>
          <w:color w:val="auto"/>
          <w:sz w:val="16"/>
          <w:szCs w:val="16"/>
          <w:lang w:val="es-ES"/>
        </w:rPr>
        <w:t xml:space="preserve">Opinión Consultiva OC-16/99 (1 de octubre de 1999), </w:t>
      </w:r>
      <w:r w:rsidRPr="00A87816">
        <w:rPr>
          <w:rFonts w:asciiTheme="majorHAnsi" w:hAnsiTheme="majorHAnsi"/>
          <w:i/>
          <w:color w:val="auto"/>
          <w:sz w:val="16"/>
          <w:szCs w:val="16"/>
          <w:lang w:val="es-ES"/>
        </w:rPr>
        <w:t>El derecho a la información sobre la asistencia consular en el marco de las garantías del debido proceso legal</w:t>
      </w:r>
      <w:r w:rsidRPr="00A87816">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párr. 136; </w:t>
      </w:r>
      <w:r w:rsidRPr="00A87816">
        <w:rPr>
          <w:rFonts w:asciiTheme="majorHAnsi" w:hAnsiTheme="majorHAnsi"/>
          <w:color w:val="auto"/>
          <w:sz w:val="16"/>
          <w:szCs w:val="16"/>
          <w:lang w:val="es-ES"/>
        </w:rPr>
        <w:t xml:space="preserve">Comité de Derechos Humanos de las Naciones Unidas, </w:t>
      </w:r>
      <w:proofErr w:type="spellStart"/>
      <w:r w:rsidRPr="00A87816">
        <w:rPr>
          <w:rFonts w:asciiTheme="majorHAnsi" w:hAnsiTheme="majorHAnsi"/>
          <w:color w:val="auto"/>
          <w:sz w:val="16"/>
          <w:szCs w:val="16"/>
          <w:lang w:val="es-ES"/>
        </w:rPr>
        <w:t>Baboheram-Adhin</w:t>
      </w:r>
      <w:proofErr w:type="spellEnd"/>
      <w:r w:rsidRPr="00A87816">
        <w:rPr>
          <w:rFonts w:asciiTheme="majorHAnsi" w:hAnsiTheme="majorHAnsi"/>
          <w:color w:val="auto"/>
          <w:sz w:val="16"/>
          <w:szCs w:val="16"/>
          <w:lang w:val="es-ES"/>
        </w:rPr>
        <w:t xml:space="preserve"> et al. c. </w:t>
      </w:r>
      <w:proofErr w:type="spellStart"/>
      <w:r w:rsidRPr="00A87816">
        <w:rPr>
          <w:rFonts w:asciiTheme="majorHAnsi" w:hAnsiTheme="majorHAnsi"/>
          <w:color w:val="auto"/>
          <w:sz w:val="16"/>
          <w:szCs w:val="16"/>
          <w:lang w:val="es-ES"/>
        </w:rPr>
        <w:t>Suriname</w:t>
      </w:r>
      <w:proofErr w:type="spellEnd"/>
      <w:r w:rsidRPr="00A87816">
        <w:rPr>
          <w:rFonts w:asciiTheme="majorHAnsi" w:hAnsiTheme="majorHAnsi"/>
          <w:color w:val="auto"/>
          <w:sz w:val="16"/>
          <w:szCs w:val="16"/>
          <w:lang w:val="es-ES"/>
        </w:rPr>
        <w:t>, Comunicaciones Nos. 148 a 154/1983, aprobadas el 4 de abril de 1985</w:t>
      </w:r>
      <w:r w:rsidRPr="00587810">
        <w:rPr>
          <w:rFonts w:asciiTheme="majorHAnsi" w:hAnsiTheme="majorHAnsi"/>
          <w:color w:val="auto"/>
          <w:sz w:val="16"/>
          <w:szCs w:val="16"/>
          <w:lang w:val="es-ES"/>
        </w:rPr>
        <w:t xml:space="preserve">, párr. 14.3; </w:t>
      </w:r>
      <w:r w:rsidRPr="00A87816">
        <w:rPr>
          <w:rFonts w:asciiTheme="majorHAnsi" w:hAnsiTheme="majorHAnsi"/>
          <w:i/>
          <w:iCs/>
          <w:color w:val="auto"/>
          <w:sz w:val="16"/>
          <w:szCs w:val="16"/>
          <w:lang w:val="es-ES"/>
        </w:rPr>
        <w:t xml:space="preserve">Informe del Relator Especial de las Naciones Unidas sobre ejecuciones extrajudiciales, sumarias o arbitrarias, Sr. Bacre Waly </w:t>
      </w:r>
      <w:proofErr w:type="spellStart"/>
      <w:r w:rsidRPr="00A87816">
        <w:rPr>
          <w:rFonts w:asciiTheme="majorHAnsi" w:hAnsiTheme="majorHAnsi"/>
          <w:i/>
          <w:iCs/>
          <w:color w:val="auto"/>
          <w:sz w:val="16"/>
          <w:szCs w:val="16"/>
          <w:lang w:val="es-ES"/>
        </w:rPr>
        <w:t>Ndiaye</w:t>
      </w:r>
      <w:proofErr w:type="spellEnd"/>
      <w:r w:rsidRPr="00A87816">
        <w:rPr>
          <w:rFonts w:asciiTheme="majorHAnsi" w:hAnsiTheme="majorHAnsi"/>
          <w:i/>
          <w:iCs/>
          <w:color w:val="auto"/>
          <w:sz w:val="16"/>
          <w:szCs w:val="16"/>
          <w:lang w:val="es-ES"/>
        </w:rPr>
        <w:t>, presentado en cumplimiento de la resolución 1994/82 de la Comisión de Derechos Humanos, “Cuestión de la violación de los derechos humanos y las libertades fundamentales en cualquier parte del mundo, especialmente en los países y territorios coloniales y dependientes”</w:t>
      </w:r>
      <w:r>
        <w:rPr>
          <w:rFonts w:asciiTheme="majorHAnsi" w:hAnsiTheme="majorHAnsi"/>
          <w:i/>
          <w:iCs/>
          <w:color w:val="auto"/>
          <w:sz w:val="16"/>
          <w:szCs w:val="16"/>
          <w:lang w:val="es-ES"/>
        </w:rPr>
        <w:t xml:space="preserve">, </w:t>
      </w:r>
      <w:r w:rsidRPr="00587810">
        <w:rPr>
          <w:rFonts w:asciiTheme="majorHAnsi" w:hAnsiTheme="majorHAnsi"/>
          <w:color w:val="auto"/>
          <w:sz w:val="16"/>
          <w:szCs w:val="16"/>
          <w:lang w:val="es-ES"/>
        </w:rPr>
        <w:t>E/CN.4/1995/61 (14</w:t>
      </w:r>
      <w:r>
        <w:rPr>
          <w:rFonts w:asciiTheme="majorHAnsi" w:hAnsiTheme="majorHAnsi"/>
          <w:color w:val="auto"/>
          <w:sz w:val="16"/>
          <w:szCs w:val="16"/>
          <w:lang w:val="es-ES"/>
        </w:rPr>
        <w:t xml:space="preserve"> de diciembre de</w:t>
      </w:r>
      <w:r w:rsidRPr="00587810">
        <w:rPr>
          <w:rFonts w:asciiTheme="majorHAnsi" w:hAnsiTheme="majorHAnsi"/>
          <w:color w:val="auto"/>
          <w:sz w:val="16"/>
          <w:szCs w:val="16"/>
          <w:lang w:val="es-ES"/>
        </w:rPr>
        <w:t xml:space="preserve"> 1994), párr. 378.</w:t>
      </w:r>
    </w:p>
  </w:footnote>
  <w:footnote w:id="36">
    <w:p w14:paraId="0744F301" w14:textId="77777777" w:rsidR="00721292" w:rsidRPr="00587810" w:rsidRDefault="00721292" w:rsidP="009266DD">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CIDH. Informe No. 57/96</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r w:rsidRPr="00587810">
        <w:rPr>
          <w:rFonts w:asciiTheme="majorHAnsi" w:hAnsiTheme="majorHAnsi"/>
          <w:iCs/>
          <w:color w:val="auto"/>
          <w:sz w:val="16"/>
          <w:szCs w:val="16"/>
          <w:lang w:val="es-ES"/>
        </w:rPr>
        <w:t>Andrews</w:t>
      </w:r>
      <w:r>
        <w:rPr>
          <w:rFonts w:asciiTheme="majorHAnsi" w:hAnsiTheme="majorHAnsi"/>
          <w:iCs/>
          <w:color w:val="auto"/>
          <w:sz w:val="16"/>
          <w:szCs w:val="16"/>
          <w:lang w:val="es-ES"/>
        </w:rPr>
        <w:t>.</w:t>
      </w:r>
      <w:r w:rsidRPr="00587810">
        <w:rPr>
          <w:rFonts w:asciiTheme="majorHAnsi" w:hAnsiTheme="majorHAnsi"/>
          <w:iCs/>
          <w:color w:val="auto"/>
          <w:sz w:val="16"/>
          <w:szCs w:val="16"/>
          <w:lang w:val="es-ES"/>
        </w:rPr>
        <w:t xml:space="preserve"> Estados Unidos</w:t>
      </w:r>
      <w:r>
        <w:rPr>
          <w:rFonts w:asciiTheme="majorHAnsi" w:hAnsiTheme="majorHAnsi"/>
          <w:iCs/>
          <w:color w:val="auto"/>
          <w:sz w:val="16"/>
          <w:szCs w:val="16"/>
          <w:lang w:val="es-ES"/>
        </w:rPr>
        <w:t>.</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Informe Anual de la CIDH</w:t>
      </w:r>
      <w:r w:rsidRPr="00587810">
        <w:rPr>
          <w:rFonts w:asciiTheme="majorHAnsi" w:hAnsiTheme="majorHAnsi"/>
          <w:color w:val="auto"/>
          <w:sz w:val="16"/>
          <w:szCs w:val="16"/>
          <w:lang w:val="es-ES"/>
        </w:rPr>
        <w:t xml:space="preserve"> 1997, </w:t>
      </w:r>
      <w:proofErr w:type="spellStart"/>
      <w:r w:rsidRPr="00587810">
        <w:rPr>
          <w:rFonts w:asciiTheme="majorHAnsi" w:hAnsiTheme="majorHAnsi"/>
          <w:color w:val="auto"/>
          <w:sz w:val="16"/>
          <w:szCs w:val="16"/>
          <w:lang w:val="es-ES"/>
        </w:rPr>
        <w:t>párr</w:t>
      </w:r>
      <w:r>
        <w:rPr>
          <w:rFonts w:asciiTheme="majorHAnsi" w:hAnsiTheme="majorHAnsi"/>
          <w:color w:val="auto"/>
          <w:sz w:val="16"/>
          <w:szCs w:val="16"/>
          <w:lang w:val="es-ES"/>
        </w:rPr>
        <w:t>s</w:t>
      </w:r>
      <w:proofErr w:type="spellEnd"/>
      <w:r w:rsidRPr="00587810">
        <w:rPr>
          <w:rFonts w:asciiTheme="majorHAnsi" w:hAnsiTheme="majorHAnsi"/>
          <w:color w:val="auto"/>
          <w:sz w:val="16"/>
          <w:szCs w:val="16"/>
          <w:lang w:val="es-ES"/>
        </w:rPr>
        <w:t>. 170</w:t>
      </w:r>
      <w:r>
        <w:rPr>
          <w:rFonts w:asciiTheme="majorHAnsi" w:hAnsiTheme="majorHAnsi"/>
          <w:color w:val="auto"/>
          <w:sz w:val="16"/>
          <w:szCs w:val="16"/>
          <w:lang w:val="es-ES"/>
        </w:rPr>
        <w:t xml:space="preserve"> y </w:t>
      </w:r>
      <w:r w:rsidRPr="00587810">
        <w:rPr>
          <w:rFonts w:asciiTheme="majorHAnsi" w:hAnsiTheme="majorHAnsi"/>
          <w:color w:val="auto"/>
          <w:sz w:val="16"/>
          <w:szCs w:val="16"/>
          <w:lang w:val="es-ES"/>
        </w:rPr>
        <w:t xml:space="preserve">171; </w:t>
      </w:r>
      <w:r>
        <w:rPr>
          <w:rFonts w:asciiTheme="majorHAnsi" w:hAnsiTheme="majorHAnsi"/>
          <w:color w:val="auto"/>
          <w:sz w:val="16"/>
          <w:szCs w:val="16"/>
          <w:lang w:val="es-ES"/>
        </w:rPr>
        <w:t xml:space="preserve">Informe </w:t>
      </w:r>
      <w:r w:rsidRPr="00587810">
        <w:rPr>
          <w:rFonts w:asciiTheme="majorHAnsi" w:hAnsiTheme="majorHAnsi"/>
          <w:color w:val="auto"/>
          <w:sz w:val="16"/>
          <w:szCs w:val="16"/>
          <w:lang w:val="es-ES"/>
        </w:rPr>
        <w:t>No. 38/00</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proofErr w:type="spellStart"/>
      <w:r w:rsidRPr="00587810">
        <w:rPr>
          <w:rFonts w:asciiTheme="majorHAnsi" w:hAnsiTheme="majorHAnsi"/>
          <w:color w:val="auto"/>
          <w:sz w:val="16"/>
          <w:szCs w:val="16"/>
          <w:lang w:val="es-ES"/>
        </w:rPr>
        <w:t>Baptiste</w:t>
      </w:r>
      <w:proofErr w:type="spellEnd"/>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proofErr w:type="spellStart"/>
      <w:r w:rsidRPr="00587810">
        <w:rPr>
          <w:rFonts w:asciiTheme="majorHAnsi" w:hAnsiTheme="majorHAnsi"/>
          <w:color w:val="auto"/>
          <w:sz w:val="16"/>
          <w:szCs w:val="16"/>
          <w:lang w:val="es-ES"/>
        </w:rPr>
        <w:t>Grenada</w:t>
      </w:r>
      <w:proofErr w:type="spellEnd"/>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r w:rsidRPr="00113496">
        <w:rPr>
          <w:rFonts w:asciiTheme="majorHAnsi" w:hAnsiTheme="majorHAnsi"/>
          <w:color w:val="auto"/>
          <w:sz w:val="16"/>
          <w:szCs w:val="16"/>
          <w:lang w:val="es-ES"/>
        </w:rPr>
        <w:t>Informe Anual de la CIDH</w:t>
      </w:r>
      <w:r w:rsidRPr="00587810">
        <w:rPr>
          <w:rFonts w:asciiTheme="majorHAnsi" w:hAnsiTheme="majorHAnsi"/>
          <w:color w:val="auto"/>
          <w:sz w:val="16"/>
          <w:szCs w:val="16"/>
          <w:lang w:val="es-ES"/>
        </w:rPr>
        <w:t xml:space="preserve"> 1999</w:t>
      </w:r>
      <w:r>
        <w:rPr>
          <w:rFonts w:asciiTheme="majorHAnsi" w:hAnsiTheme="majorHAnsi"/>
          <w:color w:val="auto"/>
          <w:sz w:val="16"/>
          <w:szCs w:val="16"/>
          <w:lang w:val="es-ES"/>
        </w:rPr>
        <w:t xml:space="preserve">, </w:t>
      </w:r>
      <w:proofErr w:type="spellStart"/>
      <w:r>
        <w:rPr>
          <w:rFonts w:asciiTheme="majorHAnsi" w:hAnsiTheme="majorHAnsi"/>
          <w:color w:val="auto"/>
          <w:sz w:val="16"/>
          <w:szCs w:val="16"/>
          <w:lang w:val="es-ES"/>
        </w:rPr>
        <w:t>párrs</w:t>
      </w:r>
      <w:proofErr w:type="spellEnd"/>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64</w:t>
      </w:r>
      <w:r>
        <w:rPr>
          <w:rFonts w:asciiTheme="majorHAnsi" w:hAnsiTheme="majorHAnsi"/>
          <w:color w:val="auto"/>
          <w:sz w:val="16"/>
          <w:szCs w:val="16"/>
          <w:lang w:val="es-ES"/>
        </w:rPr>
        <w:t xml:space="preserve"> a 66</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Informe</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No. </w:t>
      </w:r>
      <w:r w:rsidRPr="00587810">
        <w:rPr>
          <w:rFonts w:asciiTheme="majorHAnsi" w:hAnsiTheme="majorHAnsi"/>
          <w:color w:val="auto"/>
          <w:sz w:val="16"/>
          <w:szCs w:val="16"/>
          <w:lang w:val="es-ES"/>
        </w:rPr>
        <w:t xml:space="preserve">41/00, McKenzie </w:t>
      </w:r>
      <w:r>
        <w:rPr>
          <w:rFonts w:asciiTheme="majorHAnsi" w:hAnsiTheme="majorHAnsi"/>
          <w:color w:val="auto"/>
          <w:sz w:val="16"/>
          <w:szCs w:val="16"/>
          <w:lang w:val="es-ES"/>
        </w:rPr>
        <w:t xml:space="preserve">y otros. </w:t>
      </w:r>
      <w:r w:rsidRPr="00587810">
        <w:rPr>
          <w:rFonts w:asciiTheme="majorHAnsi" w:hAnsiTheme="majorHAnsi"/>
          <w:color w:val="auto"/>
          <w:sz w:val="16"/>
          <w:szCs w:val="16"/>
          <w:lang w:val="es-ES"/>
        </w:rPr>
        <w:t>Jamaica</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r>
        <w:rPr>
          <w:rFonts w:asciiTheme="majorHAnsi" w:hAnsiTheme="majorHAnsi"/>
          <w:sz w:val="16"/>
          <w:szCs w:val="16"/>
          <w:lang w:val="es-ES"/>
        </w:rPr>
        <w:t>Informe Anual de la CIDH</w:t>
      </w:r>
      <w:r w:rsidRPr="00587810">
        <w:rPr>
          <w:rFonts w:asciiTheme="majorHAnsi" w:hAnsiTheme="majorHAnsi"/>
          <w:color w:val="auto"/>
          <w:sz w:val="16"/>
          <w:szCs w:val="16"/>
          <w:lang w:val="es-ES"/>
        </w:rPr>
        <w:t xml:space="preserve"> 1999</w:t>
      </w:r>
      <w:r>
        <w:rPr>
          <w:rFonts w:asciiTheme="majorHAnsi" w:hAnsiTheme="majorHAnsi"/>
          <w:color w:val="auto"/>
          <w:sz w:val="16"/>
          <w:szCs w:val="16"/>
          <w:lang w:val="es-ES"/>
        </w:rPr>
        <w:t xml:space="preserve">, </w:t>
      </w:r>
      <w:proofErr w:type="spellStart"/>
      <w:r>
        <w:rPr>
          <w:rFonts w:asciiTheme="majorHAnsi" w:hAnsiTheme="majorHAnsi"/>
          <w:color w:val="auto"/>
          <w:sz w:val="16"/>
          <w:szCs w:val="16"/>
          <w:lang w:val="es-ES"/>
        </w:rPr>
        <w:t>párrs</w:t>
      </w:r>
      <w:proofErr w:type="spellEnd"/>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169</w:t>
      </w:r>
      <w:r>
        <w:rPr>
          <w:rFonts w:asciiTheme="majorHAnsi" w:hAnsiTheme="majorHAnsi"/>
          <w:color w:val="auto"/>
          <w:sz w:val="16"/>
          <w:szCs w:val="16"/>
          <w:lang w:val="es-ES"/>
        </w:rPr>
        <w:t xml:space="preserve"> a </w:t>
      </w:r>
      <w:r w:rsidRPr="00587810">
        <w:rPr>
          <w:rFonts w:asciiTheme="majorHAnsi" w:hAnsiTheme="majorHAnsi"/>
          <w:color w:val="auto"/>
          <w:sz w:val="16"/>
          <w:szCs w:val="16"/>
          <w:lang w:val="es-ES"/>
        </w:rPr>
        <w:t>171.</w:t>
      </w:r>
    </w:p>
  </w:footnote>
  <w:footnote w:id="37">
    <w:p w14:paraId="7B2B0FC1" w14:textId="77777777" w:rsidR="00721292" w:rsidRPr="00587810" w:rsidRDefault="00721292" w:rsidP="009266DD">
      <w:pPr>
        <w:autoSpaceDE w:val="0"/>
        <w:autoSpaceDN w:val="0"/>
        <w:adjustRightInd w:val="0"/>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r w:rsidRPr="00A87816">
        <w:rPr>
          <w:rFonts w:asciiTheme="majorHAnsi" w:hAnsiTheme="majorHAnsi"/>
          <w:sz w:val="16"/>
          <w:szCs w:val="16"/>
          <w:lang w:val="es-ES"/>
        </w:rPr>
        <w:t xml:space="preserve">CIDH. </w:t>
      </w:r>
      <w:r w:rsidRPr="00A87816">
        <w:rPr>
          <w:rFonts w:asciiTheme="majorHAnsi" w:hAnsiTheme="majorHAnsi"/>
          <w:i/>
          <w:sz w:val="16"/>
          <w:szCs w:val="16"/>
          <w:lang w:val="es-ES"/>
        </w:rPr>
        <w:t>La pena de muerte en el Sistema Interamericano de Derechos Humanos: de restricciones a abolición</w:t>
      </w:r>
      <w:r>
        <w:rPr>
          <w:rFonts w:asciiTheme="majorHAnsi" w:hAnsiTheme="majorHAnsi"/>
          <w:i/>
          <w:sz w:val="16"/>
          <w:szCs w:val="16"/>
          <w:lang w:val="es-ES"/>
        </w:rPr>
        <w:t>.</w:t>
      </w:r>
      <w:r w:rsidRPr="00A87816">
        <w:rPr>
          <w:rFonts w:asciiTheme="majorHAnsi" w:hAnsiTheme="majorHAnsi"/>
          <w:sz w:val="16"/>
          <w:szCs w:val="16"/>
          <w:lang w:val="es-ES"/>
        </w:rPr>
        <w:t xml:space="preserve"> OEA/</w:t>
      </w:r>
      <w:proofErr w:type="spellStart"/>
      <w:r w:rsidRPr="00A87816">
        <w:rPr>
          <w:rFonts w:asciiTheme="majorHAnsi" w:hAnsiTheme="majorHAnsi"/>
          <w:sz w:val="16"/>
          <w:szCs w:val="16"/>
          <w:lang w:val="es-ES"/>
        </w:rPr>
        <w:t>Ser.L</w:t>
      </w:r>
      <w:proofErr w:type="spellEnd"/>
      <w:r w:rsidRPr="00A87816">
        <w:rPr>
          <w:rFonts w:asciiTheme="majorHAnsi" w:hAnsiTheme="majorHAnsi"/>
          <w:sz w:val="16"/>
          <w:szCs w:val="16"/>
          <w:lang w:val="es-ES"/>
        </w:rPr>
        <w:t>/V/II.Doc. 68, 31 de diciembre de 2011</w:t>
      </w:r>
      <w:r w:rsidRPr="00587810">
        <w:rPr>
          <w:rFonts w:asciiTheme="majorHAnsi" w:hAnsiTheme="majorHAnsi" w:cs="Calibri"/>
          <w:sz w:val="16"/>
          <w:szCs w:val="16"/>
          <w:lang w:val="es-ES"/>
        </w:rPr>
        <w:t>, párr.</w:t>
      </w:r>
      <w:r w:rsidRPr="00587810">
        <w:rPr>
          <w:rFonts w:asciiTheme="majorHAnsi" w:hAnsiTheme="majorHAnsi"/>
          <w:sz w:val="16"/>
          <w:szCs w:val="16"/>
          <w:lang w:val="es-ES"/>
        </w:rPr>
        <w:t xml:space="preserve"> 41.</w:t>
      </w:r>
    </w:p>
  </w:footnote>
  <w:footnote w:id="38">
    <w:p w14:paraId="3E084744" w14:textId="77777777" w:rsidR="00721292" w:rsidRPr="00587810" w:rsidRDefault="00721292" w:rsidP="009266DD">
      <w:pPr>
        <w:autoSpaceDE w:val="0"/>
        <w:autoSpaceDN w:val="0"/>
        <w:adjustRightInd w:val="0"/>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CIDH. </w:t>
      </w:r>
      <w:r w:rsidR="007B36C9">
        <w:fldChar w:fldCharType="begin"/>
      </w:r>
      <w:r w:rsidR="007B36C9" w:rsidRPr="006846BB">
        <w:rPr>
          <w:lang w:val="es-US"/>
        </w:rPr>
        <w:instrText xml:space="preserve"> HYPERLINK "https://www.cidh.oas.org/annualrep/2007sp/Bahamas12265sp.htm" </w:instrText>
      </w:r>
      <w:r w:rsidR="007B36C9">
        <w:fldChar w:fldCharType="separate"/>
      </w:r>
      <w:r w:rsidRPr="00BB6F8A">
        <w:rPr>
          <w:rStyle w:val="Hyperlink"/>
          <w:rFonts w:asciiTheme="majorHAnsi" w:hAnsiTheme="majorHAnsi"/>
          <w:sz w:val="16"/>
          <w:szCs w:val="16"/>
          <w:lang w:val="es-ES"/>
        </w:rPr>
        <w:t>Informe No. 78/07. Caso 12.265</w:t>
      </w:r>
      <w:r w:rsidR="007B36C9">
        <w:rPr>
          <w:rStyle w:val="Hyperlink"/>
          <w:rFonts w:asciiTheme="majorHAnsi" w:hAnsiTheme="majorHAnsi"/>
          <w:sz w:val="16"/>
          <w:szCs w:val="16"/>
          <w:lang w:val="es-ES"/>
        </w:rPr>
        <w:fldChar w:fldCharType="end"/>
      </w:r>
      <w:r>
        <w:rPr>
          <w:rFonts w:asciiTheme="majorHAnsi" w:hAnsiTheme="majorHAnsi"/>
          <w:sz w:val="16"/>
          <w:szCs w:val="16"/>
          <w:lang w:val="es-ES"/>
        </w:rPr>
        <w:t>.</w:t>
      </w:r>
      <w:r w:rsidRPr="00587810">
        <w:rPr>
          <w:rFonts w:asciiTheme="majorHAnsi" w:hAnsiTheme="majorHAnsi"/>
          <w:sz w:val="16"/>
          <w:szCs w:val="16"/>
          <w:lang w:val="es-ES"/>
        </w:rPr>
        <w:t xml:space="preserve"> Fondo (Publicación)</w:t>
      </w:r>
      <w:r>
        <w:rPr>
          <w:rFonts w:asciiTheme="majorHAnsi" w:hAnsiTheme="majorHAnsi"/>
          <w:sz w:val="16"/>
          <w:szCs w:val="16"/>
          <w:lang w:val="es-ES"/>
        </w:rPr>
        <w:t>.</w:t>
      </w:r>
      <w:r w:rsidRPr="00587810">
        <w:rPr>
          <w:rFonts w:asciiTheme="majorHAnsi" w:hAnsiTheme="majorHAnsi"/>
          <w:sz w:val="16"/>
          <w:szCs w:val="16"/>
          <w:lang w:val="es-ES"/>
        </w:rPr>
        <w:t xml:space="preserve"> Chad Roger Goodman</w:t>
      </w:r>
      <w:r>
        <w:rPr>
          <w:rFonts w:asciiTheme="majorHAnsi" w:hAnsiTheme="majorHAnsi"/>
          <w:sz w:val="16"/>
          <w:szCs w:val="16"/>
          <w:lang w:val="es-ES"/>
        </w:rPr>
        <w:t>.</w:t>
      </w:r>
      <w:r w:rsidRPr="00587810">
        <w:rPr>
          <w:rFonts w:asciiTheme="majorHAnsi" w:hAnsiTheme="majorHAnsi"/>
          <w:sz w:val="16"/>
          <w:szCs w:val="16"/>
          <w:lang w:val="es-ES"/>
        </w:rPr>
        <w:t xml:space="preserve"> Bahamas</w:t>
      </w:r>
      <w:r>
        <w:rPr>
          <w:rFonts w:asciiTheme="majorHAnsi" w:hAnsiTheme="majorHAnsi"/>
          <w:sz w:val="16"/>
          <w:szCs w:val="16"/>
          <w:lang w:val="es-ES"/>
        </w:rPr>
        <w:t>.</w:t>
      </w:r>
      <w:r w:rsidRPr="00587810">
        <w:rPr>
          <w:rFonts w:asciiTheme="majorHAnsi" w:hAnsiTheme="majorHAnsi"/>
          <w:sz w:val="16"/>
          <w:szCs w:val="16"/>
          <w:lang w:val="es-ES"/>
        </w:rPr>
        <w:t xml:space="preserve"> 15</w:t>
      </w:r>
      <w:r>
        <w:rPr>
          <w:rFonts w:asciiTheme="majorHAnsi" w:hAnsiTheme="majorHAnsi"/>
          <w:sz w:val="16"/>
          <w:szCs w:val="16"/>
          <w:lang w:val="es-ES"/>
        </w:rPr>
        <w:t xml:space="preserve"> de octubre de</w:t>
      </w:r>
      <w:r w:rsidRPr="00587810">
        <w:rPr>
          <w:rFonts w:asciiTheme="majorHAnsi" w:hAnsiTheme="majorHAnsi"/>
          <w:sz w:val="16"/>
          <w:szCs w:val="16"/>
          <w:lang w:val="es-ES"/>
        </w:rPr>
        <w:t xml:space="preserve"> 2007, párr. 34.</w:t>
      </w:r>
    </w:p>
  </w:footnote>
  <w:footnote w:id="39">
    <w:p w14:paraId="5EA2C1C2" w14:textId="77777777" w:rsidR="00721292" w:rsidRPr="00587810" w:rsidRDefault="00721292" w:rsidP="009266DD">
      <w:pPr>
        <w:pStyle w:val="FootnoteText"/>
        <w:jc w:val="both"/>
        <w:rPr>
          <w:rFonts w:asciiTheme="majorHAnsi" w:hAnsiTheme="majorHAnsi" w:cs="Times New Roman"/>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CIDH. </w:t>
      </w:r>
      <w:r w:rsidR="007B36C9">
        <w:fldChar w:fldCharType="begin"/>
      </w:r>
      <w:r w:rsidR="007B36C9" w:rsidRPr="006846BB">
        <w:rPr>
          <w:lang w:val="es-US"/>
        </w:rPr>
        <w:instrText xml:space="preserve"> HYPERLINK "http://www.oas.org/es/cidh/decisiones/2014/USPU12873ES.pdf" </w:instrText>
      </w:r>
      <w:r w:rsidR="007B36C9">
        <w:fldChar w:fldCharType="separate"/>
      </w:r>
      <w:r w:rsidRPr="00BB6F8A">
        <w:rPr>
          <w:rStyle w:val="Hyperlink"/>
          <w:rFonts w:asciiTheme="majorHAnsi" w:hAnsiTheme="majorHAnsi"/>
          <w:sz w:val="16"/>
          <w:szCs w:val="16"/>
          <w:lang w:val="es-ES"/>
        </w:rPr>
        <w:t>Informe No. 44/14. Caso 12.873</w:t>
      </w:r>
      <w:r w:rsidR="007B36C9">
        <w:rPr>
          <w:rStyle w:val="Hyperlink"/>
          <w:rFonts w:asciiTheme="majorHAnsi" w:hAnsiTheme="majorHAnsi"/>
          <w:sz w:val="16"/>
          <w:szCs w:val="16"/>
          <w:lang w:val="es-ES"/>
        </w:rPr>
        <w:fldChar w:fldCharType="end"/>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Fondo (Publicación)</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Edgar Tamayo Arias</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Estados Unidos</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17</w:t>
      </w:r>
      <w:r>
        <w:rPr>
          <w:rFonts w:asciiTheme="majorHAnsi" w:hAnsiTheme="majorHAnsi"/>
          <w:color w:val="auto"/>
          <w:sz w:val="16"/>
          <w:szCs w:val="16"/>
          <w:lang w:val="es-ES"/>
        </w:rPr>
        <w:t xml:space="preserve"> de julio de</w:t>
      </w:r>
      <w:r w:rsidRPr="00587810">
        <w:rPr>
          <w:rFonts w:asciiTheme="majorHAnsi" w:hAnsiTheme="majorHAnsi"/>
          <w:color w:val="auto"/>
          <w:sz w:val="16"/>
          <w:szCs w:val="16"/>
          <w:lang w:val="es-ES"/>
        </w:rPr>
        <w:t xml:space="preserve"> 2014, párr. 214.</w:t>
      </w:r>
    </w:p>
  </w:footnote>
  <w:footnote w:id="40">
    <w:p w14:paraId="24F02950"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r w:rsidRPr="00113496">
        <w:rPr>
          <w:rFonts w:asciiTheme="majorHAnsi" w:eastAsia="Arial Unicode MS" w:hAnsiTheme="majorHAnsi" w:cs="Times New Roman"/>
          <w:color w:val="auto"/>
          <w:sz w:val="16"/>
          <w:szCs w:val="16"/>
          <w:lang w:val="es-ES" w:eastAsia="en-US"/>
        </w:rPr>
        <w:t>El artículo XVIII de la Declaración Americana dice: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41">
    <w:p w14:paraId="2C6DA2E1" w14:textId="77777777" w:rsidR="00721292" w:rsidRPr="00587810" w:rsidRDefault="00721292" w:rsidP="00113496">
      <w:pPr>
        <w:pStyle w:val="FootnoteText"/>
        <w:jc w:val="both"/>
        <w:rPr>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r w:rsidRPr="00113496">
        <w:rPr>
          <w:rFonts w:asciiTheme="majorHAnsi" w:eastAsia="Arial Unicode MS" w:hAnsiTheme="majorHAnsi" w:cs="Times New Roman"/>
          <w:color w:val="auto"/>
          <w:sz w:val="16"/>
          <w:szCs w:val="16"/>
          <w:lang w:val="es-ES" w:eastAsia="en-US"/>
        </w:rPr>
        <w:t>El artículo XXVI de la Declaración Americana dice: “Se presume que todo acusado es inocente, hasta que se pruebe que es culpable. Toda persona acusada de delito tiene derecho a ser oída en forma imparcial y pública, a ser juzgada por tribunales anteriormente establecidos de acuerdo con leyes preexistentes y a que no se le imponga penas crueles, infamantes o inusitadas”.</w:t>
      </w:r>
    </w:p>
  </w:footnote>
  <w:footnote w:id="42">
    <w:p w14:paraId="050E49CA" w14:textId="77777777" w:rsidR="00721292" w:rsidRPr="00587810" w:rsidRDefault="00721292" w:rsidP="002F12A8">
      <w:pPr>
        <w:pStyle w:val="FootnoteText"/>
        <w:jc w:val="both"/>
        <w:rPr>
          <w:rFonts w:ascii="Cambria" w:hAnsi="Cambria"/>
          <w:sz w:val="16"/>
          <w:szCs w:val="16"/>
          <w:lang w:val="es-ES"/>
        </w:rPr>
      </w:pPr>
      <w:r w:rsidRPr="00587810">
        <w:rPr>
          <w:rStyle w:val="FootnoteReference"/>
          <w:rFonts w:ascii="Cambria" w:hAnsi="Cambria" w:cs="Arial"/>
          <w:sz w:val="16"/>
          <w:szCs w:val="16"/>
          <w:lang w:val="es-ES"/>
        </w:rPr>
        <w:footnoteRef/>
      </w:r>
      <w:r w:rsidRPr="00587810">
        <w:rPr>
          <w:rFonts w:ascii="Cambria" w:hAnsi="Cambria" w:cs="Arial"/>
          <w:sz w:val="16"/>
          <w:szCs w:val="16"/>
          <w:lang w:val="es-ES"/>
        </w:rPr>
        <w:t xml:space="preserve"> CIDH. Informe</w:t>
      </w:r>
      <w:r w:rsidRPr="00587810">
        <w:rPr>
          <w:rFonts w:ascii="Cambria" w:hAnsi="Cambria" w:cs="Arial"/>
          <w:bCs/>
          <w:sz w:val="16"/>
          <w:szCs w:val="16"/>
          <w:lang w:val="es-ES"/>
        </w:rPr>
        <w:t xml:space="preserve"> No. 90/09</w:t>
      </w:r>
      <w:r>
        <w:rPr>
          <w:rFonts w:ascii="Cambria" w:hAnsi="Cambria" w:cs="Arial"/>
          <w:bCs/>
          <w:sz w:val="16"/>
          <w:szCs w:val="16"/>
          <w:lang w:val="es-ES"/>
        </w:rPr>
        <w:t>.</w:t>
      </w:r>
      <w:r w:rsidRPr="00587810">
        <w:rPr>
          <w:rFonts w:ascii="Cambria" w:hAnsi="Cambria" w:cs="Arial"/>
          <w:sz w:val="16"/>
          <w:szCs w:val="16"/>
          <w:lang w:val="es-ES"/>
        </w:rPr>
        <w:t xml:space="preserve"> Caso 12.644</w:t>
      </w:r>
      <w:r>
        <w:rPr>
          <w:rFonts w:ascii="Cambria" w:hAnsi="Cambria" w:cs="Arial"/>
          <w:sz w:val="16"/>
          <w:szCs w:val="16"/>
          <w:lang w:val="es-ES"/>
        </w:rPr>
        <w:t>.</w:t>
      </w:r>
      <w:r w:rsidRPr="00587810">
        <w:rPr>
          <w:rFonts w:ascii="Cambria" w:hAnsi="Cambria" w:cs="Arial"/>
          <w:sz w:val="16"/>
          <w:szCs w:val="16"/>
          <w:lang w:val="es-ES"/>
        </w:rPr>
        <w:t xml:space="preserve"> </w:t>
      </w:r>
      <w:r>
        <w:rPr>
          <w:rFonts w:ascii="Cambria" w:hAnsi="Cambria" w:cs="Arial"/>
          <w:sz w:val="16"/>
          <w:szCs w:val="16"/>
          <w:lang w:val="es-ES"/>
        </w:rPr>
        <w:t>Admisibilidad</w:t>
      </w:r>
      <w:r w:rsidRPr="00587810">
        <w:rPr>
          <w:rFonts w:ascii="Cambria" w:hAnsi="Cambria" w:cs="Arial"/>
          <w:sz w:val="16"/>
          <w:szCs w:val="16"/>
          <w:lang w:val="es-ES"/>
        </w:rPr>
        <w:t xml:space="preserve"> </w:t>
      </w:r>
      <w:r>
        <w:rPr>
          <w:rFonts w:ascii="Cambria" w:hAnsi="Cambria" w:cs="Arial"/>
          <w:sz w:val="16"/>
          <w:szCs w:val="16"/>
          <w:lang w:val="es-ES"/>
        </w:rPr>
        <w:t>y</w:t>
      </w:r>
      <w:r w:rsidRPr="00587810">
        <w:rPr>
          <w:rFonts w:ascii="Cambria" w:hAnsi="Cambria" w:cs="Arial"/>
          <w:sz w:val="16"/>
          <w:szCs w:val="16"/>
          <w:lang w:val="es-ES"/>
        </w:rPr>
        <w:t xml:space="preserve"> Fondo (Publicación)</w:t>
      </w:r>
      <w:r>
        <w:rPr>
          <w:rFonts w:ascii="Cambria" w:hAnsi="Cambria" w:cs="Arial"/>
          <w:sz w:val="16"/>
          <w:szCs w:val="16"/>
          <w:lang w:val="es-ES"/>
        </w:rPr>
        <w:t>.</w:t>
      </w:r>
      <w:r w:rsidRPr="00587810">
        <w:rPr>
          <w:rFonts w:ascii="Cambria" w:hAnsi="Cambria" w:cs="Arial"/>
          <w:sz w:val="16"/>
          <w:szCs w:val="16"/>
          <w:lang w:val="es-ES"/>
        </w:rPr>
        <w:t xml:space="preserve"> Medellín, Ramírez Cárdenas </w:t>
      </w:r>
      <w:r>
        <w:rPr>
          <w:rFonts w:ascii="Cambria" w:hAnsi="Cambria" w:cs="Arial"/>
          <w:sz w:val="16"/>
          <w:szCs w:val="16"/>
          <w:lang w:val="es-ES"/>
        </w:rPr>
        <w:t>y</w:t>
      </w:r>
      <w:r w:rsidRPr="00587810">
        <w:rPr>
          <w:rFonts w:ascii="Cambria" w:hAnsi="Cambria" w:cs="Arial"/>
          <w:sz w:val="16"/>
          <w:szCs w:val="16"/>
          <w:lang w:val="es-ES"/>
        </w:rPr>
        <w:t xml:space="preserve"> Leal García</w:t>
      </w:r>
      <w:r>
        <w:rPr>
          <w:rFonts w:ascii="Cambria" w:hAnsi="Cambria" w:cs="Arial"/>
          <w:sz w:val="16"/>
          <w:szCs w:val="16"/>
          <w:lang w:val="es-ES"/>
        </w:rPr>
        <w:t>.</w:t>
      </w:r>
      <w:r w:rsidRPr="00587810">
        <w:rPr>
          <w:rFonts w:ascii="Cambria" w:hAnsi="Cambria" w:cs="Arial"/>
          <w:sz w:val="16"/>
          <w:szCs w:val="16"/>
          <w:lang w:val="es-ES"/>
        </w:rPr>
        <w:t xml:space="preserve"> Estados Unidos</w:t>
      </w:r>
      <w:r>
        <w:rPr>
          <w:rFonts w:ascii="Cambria" w:hAnsi="Cambria" w:cs="Arial"/>
          <w:sz w:val="16"/>
          <w:szCs w:val="16"/>
          <w:lang w:val="es-ES"/>
        </w:rPr>
        <w:t>.</w:t>
      </w:r>
      <w:r w:rsidRPr="00587810">
        <w:rPr>
          <w:rFonts w:ascii="Cambria" w:hAnsi="Cambria" w:cs="Arial"/>
          <w:sz w:val="16"/>
          <w:szCs w:val="16"/>
          <w:lang w:val="es-ES"/>
        </w:rPr>
        <w:t xml:space="preserve"> 7</w:t>
      </w:r>
      <w:r>
        <w:rPr>
          <w:rFonts w:ascii="Cambria" w:hAnsi="Cambria" w:cs="Arial"/>
          <w:sz w:val="16"/>
          <w:szCs w:val="16"/>
          <w:lang w:val="es-ES"/>
        </w:rPr>
        <w:t xml:space="preserve"> de agosto de</w:t>
      </w:r>
      <w:r w:rsidRPr="00587810">
        <w:rPr>
          <w:rFonts w:ascii="Cambria" w:hAnsi="Cambria" w:cs="Arial"/>
          <w:sz w:val="16"/>
          <w:szCs w:val="16"/>
          <w:lang w:val="es-ES"/>
        </w:rPr>
        <w:t xml:space="preserve"> 2009, </w:t>
      </w:r>
      <w:proofErr w:type="spellStart"/>
      <w:r w:rsidRPr="00587810">
        <w:rPr>
          <w:rFonts w:ascii="Cambria" w:hAnsi="Cambria" w:cs="Arial"/>
          <w:sz w:val="16"/>
          <w:szCs w:val="16"/>
          <w:lang w:val="es-ES"/>
        </w:rPr>
        <w:t>p</w:t>
      </w:r>
      <w:r>
        <w:rPr>
          <w:rFonts w:ascii="Cambria" w:hAnsi="Cambria" w:cs="Arial"/>
          <w:sz w:val="16"/>
          <w:szCs w:val="16"/>
          <w:lang w:val="es-ES"/>
        </w:rPr>
        <w:t>árrs</w:t>
      </w:r>
      <w:proofErr w:type="spellEnd"/>
      <w:r>
        <w:rPr>
          <w:rFonts w:ascii="Cambria" w:hAnsi="Cambria" w:cs="Arial"/>
          <w:sz w:val="16"/>
          <w:szCs w:val="16"/>
          <w:lang w:val="es-ES"/>
        </w:rPr>
        <w:t xml:space="preserve">. </w:t>
      </w:r>
      <w:r w:rsidRPr="00587810">
        <w:rPr>
          <w:rFonts w:ascii="Cambria" w:hAnsi="Cambria" w:cs="Arial"/>
          <w:sz w:val="16"/>
          <w:szCs w:val="16"/>
          <w:lang w:val="es-ES"/>
        </w:rPr>
        <w:t>124</w:t>
      </w:r>
      <w:r>
        <w:rPr>
          <w:rFonts w:ascii="Cambria" w:hAnsi="Cambria" w:cs="Arial"/>
          <w:sz w:val="16"/>
          <w:szCs w:val="16"/>
          <w:lang w:val="es-ES"/>
        </w:rPr>
        <w:t xml:space="preserve"> a 132. Véanse también </w:t>
      </w:r>
      <w:r w:rsidRPr="00587810">
        <w:rPr>
          <w:rFonts w:ascii="Cambria" w:hAnsi="Cambria" w:cs="Arial"/>
          <w:sz w:val="16"/>
          <w:szCs w:val="16"/>
          <w:lang w:val="es-ES"/>
        </w:rPr>
        <w:t>CIDH. Informe No. 91/05 (Javier Su</w:t>
      </w:r>
      <w:r>
        <w:rPr>
          <w:rFonts w:ascii="Cambria" w:hAnsi="Cambria" w:cs="Arial"/>
          <w:sz w:val="16"/>
          <w:szCs w:val="16"/>
          <w:lang w:val="es-ES"/>
        </w:rPr>
        <w:t>á</w:t>
      </w:r>
      <w:r w:rsidRPr="00587810">
        <w:rPr>
          <w:rFonts w:ascii="Cambria" w:hAnsi="Cambria" w:cs="Arial"/>
          <w:sz w:val="16"/>
          <w:szCs w:val="16"/>
          <w:lang w:val="es-ES"/>
        </w:rPr>
        <w:t>rez Medina)</w:t>
      </w:r>
      <w:r>
        <w:rPr>
          <w:rFonts w:ascii="Cambria" w:hAnsi="Cambria" w:cs="Arial"/>
          <w:sz w:val="16"/>
          <w:szCs w:val="16"/>
          <w:lang w:val="es-ES"/>
        </w:rPr>
        <w:t>.</w:t>
      </w:r>
      <w:r w:rsidRPr="00587810">
        <w:rPr>
          <w:rFonts w:ascii="Cambria" w:hAnsi="Cambria" w:cs="Arial"/>
          <w:sz w:val="16"/>
          <w:szCs w:val="16"/>
          <w:lang w:val="es-ES"/>
        </w:rPr>
        <w:t xml:space="preserve"> Estados Unidos</w:t>
      </w:r>
      <w:r>
        <w:rPr>
          <w:rFonts w:ascii="Cambria" w:hAnsi="Cambria" w:cs="Arial"/>
          <w:sz w:val="16"/>
          <w:szCs w:val="16"/>
          <w:lang w:val="es-ES"/>
        </w:rPr>
        <w:t>.</w:t>
      </w:r>
      <w:r w:rsidRPr="00587810">
        <w:rPr>
          <w:rFonts w:ascii="Cambria" w:hAnsi="Cambria" w:cs="Arial"/>
          <w:sz w:val="16"/>
          <w:szCs w:val="16"/>
          <w:lang w:val="es-ES"/>
        </w:rPr>
        <w:t xml:space="preserve"> </w:t>
      </w:r>
      <w:r>
        <w:rPr>
          <w:rFonts w:asciiTheme="majorHAnsi" w:hAnsiTheme="majorHAnsi"/>
          <w:sz w:val="16"/>
          <w:szCs w:val="16"/>
          <w:lang w:val="es-ES"/>
        </w:rPr>
        <w:t>Informe Anual de la CIDH</w:t>
      </w:r>
      <w:r w:rsidRPr="00587810">
        <w:rPr>
          <w:rFonts w:ascii="Cambria" w:hAnsi="Cambria" w:cs="Arial"/>
          <w:sz w:val="16"/>
          <w:szCs w:val="16"/>
          <w:lang w:val="es-ES"/>
        </w:rPr>
        <w:t xml:space="preserve"> 2005; </w:t>
      </w:r>
      <w:r>
        <w:rPr>
          <w:rFonts w:ascii="Cambria" w:hAnsi="Cambria" w:cs="Arial"/>
          <w:sz w:val="16"/>
          <w:szCs w:val="16"/>
          <w:lang w:val="es-ES"/>
        </w:rPr>
        <w:t xml:space="preserve">Informe </w:t>
      </w:r>
      <w:r w:rsidRPr="00587810">
        <w:rPr>
          <w:rFonts w:ascii="Cambria" w:hAnsi="Cambria" w:cs="Arial"/>
          <w:sz w:val="16"/>
          <w:szCs w:val="16"/>
          <w:lang w:val="es-ES"/>
        </w:rPr>
        <w:t>No. 1/05 (Roberto Moreno Ramos)</w:t>
      </w:r>
      <w:r>
        <w:rPr>
          <w:rFonts w:ascii="Cambria" w:hAnsi="Cambria" w:cs="Arial"/>
          <w:sz w:val="16"/>
          <w:szCs w:val="16"/>
          <w:lang w:val="es-ES"/>
        </w:rPr>
        <w:t>.</w:t>
      </w:r>
      <w:r w:rsidRPr="00587810">
        <w:rPr>
          <w:rFonts w:ascii="Cambria" w:hAnsi="Cambria" w:cs="Arial"/>
          <w:sz w:val="16"/>
          <w:szCs w:val="16"/>
          <w:lang w:val="es-ES"/>
        </w:rPr>
        <w:t xml:space="preserve"> Estados Unidos</w:t>
      </w:r>
      <w:r>
        <w:rPr>
          <w:rFonts w:ascii="Cambria" w:hAnsi="Cambria" w:cs="Arial"/>
          <w:sz w:val="16"/>
          <w:szCs w:val="16"/>
          <w:lang w:val="es-ES"/>
        </w:rPr>
        <w:t>.</w:t>
      </w:r>
      <w:r w:rsidRPr="00587810">
        <w:rPr>
          <w:rFonts w:ascii="Cambria" w:hAnsi="Cambria" w:cs="Arial"/>
          <w:sz w:val="16"/>
          <w:szCs w:val="16"/>
          <w:lang w:val="es-ES"/>
        </w:rPr>
        <w:t xml:space="preserve"> </w:t>
      </w:r>
      <w:r w:rsidRPr="00113496">
        <w:rPr>
          <w:rFonts w:ascii="Cambria" w:hAnsi="Cambria" w:cs="Arial"/>
          <w:sz w:val="16"/>
          <w:szCs w:val="16"/>
          <w:lang w:val="es-ES"/>
        </w:rPr>
        <w:t>Informe Anual de la CIDH</w:t>
      </w:r>
      <w:r w:rsidRPr="00587810">
        <w:rPr>
          <w:rFonts w:ascii="Cambria" w:hAnsi="Cambria" w:cs="Arial"/>
          <w:sz w:val="16"/>
          <w:szCs w:val="16"/>
          <w:lang w:val="es-ES"/>
        </w:rPr>
        <w:t xml:space="preserve"> 2005; </w:t>
      </w:r>
      <w:r>
        <w:rPr>
          <w:rFonts w:ascii="Cambria" w:hAnsi="Cambria" w:cs="Arial"/>
          <w:sz w:val="16"/>
          <w:szCs w:val="16"/>
          <w:lang w:val="es-ES"/>
        </w:rPr>
        <w:t>Informe No.</w:t>
      </w:r>
      <w:r w:rsidRPr="00587810">
        <w:rPr>
          <w:rFonts w:ascii="Cambria" w:hAnsi="Cambria" w:cs="Arial"/>
          <w:sz w:val="16"/>
          <w:szCs w:val="16"/>
          <w:lang w:val="es-ES"/>
        </w:rPr>
        <w:t xml:space="preserve"> 52/02</w:t>
      </w:r>
      <w:r>
        <w:rPr>
          <w:rFonts w:ascii="Cambria" w:hAnsi="Cambria" w:cs="Arial"/>
          <w:sz w:val="16"/>
          <w:szCs w:val="16"/>
          <w:lang w:val="es-ES"/>
        </w:rPr>
        <w:t>.</w:t>
      </w:r>
      <w:r w:rsidRPr="00587810">
        <w:rPr>
          <w:rFonts w:ascii="Cambria" w:hAnsi="Cambria" w:cs="Arial"/>
          <w:sz w:val="16"/>
          <w:szCs w:val="16"/>
          <w:lang w:val="es-ES"/>
        </w:rPr>
        <w:t xml:space="preserve"> Caso 11.753 (Ramón Martínez Villarreal)</w:t>
      </w:r>
      <w:r>
        <w:rPr>
          <w:rFonts w:ascii="Cambria" w:hAnsi="Cambria" w:cs="Arial"/>
          <w:sz w:val="16"/>
          <w:szCs w:val="16"/>
          <w:lang w:val="es-ES"/>
        </w:rPr>
        <w:t>.</w:t>
      </w:r>
      <w:r w:rsidRPr="00587810">
        <w:rPr>
          <w:rFonts w:ascii="Cambria" w:hAnsi="Cambria" w:cs="Arial"/>
          <w:sz w:val="16"/>
          <w:szCs w:val="16"/>
          <w:lang w:val="es-ES"/>
        </w:rPr>
        <w:t xml:space="preserve"> Estados Unidos</w:t>
      </w:r>
      <w:r>
        <w:rPr>
          <w:rFonts w:ascii="Cambria" w:hAnsi="Cambria" w:cs="Arial"/>
          <w:sz w:val="16"/>
          <w:szCs w:val="16"/>
          <w:lang w:val="es-ES"/>
        </w:rPr>
        <w:t>.</w:t>
      </w:r>
      <w:r w:rsidRPr="00587810">
        <w:rPr>
          <w:rFonts w:ascii="Cambria" w:hAnsi="Cambria" w:cs="Arial"/>
          <w:sz w:val="16"/>
          <w:szCs w:val="16"/>
          <w:lang w:val="es-ES"/>
        </w:rPr>
        <w:t xml:space="preserve"> </w:t>
      </w:r>
      <w:r>
        <w:rPr>
          <w:rFonts w:asciiTheme="majorHAnsi" w:hAnsiTheme="majorHAnsi"/>
          <w:sz w:val="16"/>
          <w:szCs w:val="16"/>
          <w:lang w:val="es-ES"/>
        </w:rPr>
        <w:t>Informe Anual de la CIDH</w:t>
      </w:r>
      <w:r w:rsidRPr="00587810">
        <w:rPr>
          <w:rFonts w:ascii="Cambria" w:hAnsi="Cambria" w:cs="Arial"/>
          <w:sz w:val="16"/>
          <w:szCs w:val="16"/>
          <w:lang w:val="es-ES"/>
        </w:rPr>
        <w:t xml:space="preserve"> 2002.</w:t>
      </w:r>
    </w:p>
  </w:footnote>
  <w:footnote w:id="43">
    <w:p w14:paraId="103178C4" w14:textId="77777777" w:rsidR="00721292" w:rsidRPr="00587810" w:rsidRDefault="00721292" w:rsidP="002F12A8">
      <w:pPr>
        <w:pStyle w:val="FootnoteText"/>
        <w:jc w:val="both"/>
        <w:rPr>
          <w:rFonts w:ascii="Cambria" w:hAnsi="Cambria" w:cs="Arial"/>
          <w:i/>
          <w:sz w:val="16"/>
          <w:szCs w:val="16"/>
          <w:lang w:val="es-ES"/>
        </w:rPr>
      </w:pPr>
      <w:r w:rsidRPr="00587810">
        <w:rPr>
          <w:rStyle w:val="FootnoteReference"/>
          <w:rFonts w:ascii="Cambria" w:hAnsi="Cambria"/>
          <w:sz w:val="16"/>
          <w:szCs w:val="16"/>
          <w:lang w:val="es-ES"/>
        </w:rPr>
        <w:footnoteRef/>
      </w:r>
      <w:r w:rsidRPr="00587810">
        <w:rPr>
          <w:rFonts w:ascii="Cambria" w:hAnsi="Cambria"/>
          <w:sz w:val="16"/>
          <w:szCs w:val="16"/>
          <w:lang w:val="es-ES"/>
        </w:rPr>
        <w:t xml:space="preserve"> </w:t>
      </w:r>
      <w:r>
        <w:rPr>
          <w:rFonts w:ascii="Cambria" w:hAnsi="Cambria"/>
          <w:sz w:val="16"/>
          <w:szCs w:val="16"/>
          <w:lang w:val="es-ES"/>
        </w:rPr>
        <w:t>Corte Internacional de Justicia.</w:t>
      </w:r>
      <w:r w:rsidRPr="00587810">
        <w:rPr>
          <w:rFonts w:ascii="Cambria" w:hAnsi="Cambria"/>
          <w:sz w:val="16"/>
          <w:szCs w:val="16"/>
          <w:lang w:val="es-ES"/>
        </w:rPr>
        <w:t xml:space="preserve"> </w:t>
      </w:r>
      <w:r w:rsidRPr="00587810">
        <w:rPr>
          <w:rFonts w:ascii="Cambria" w:hAnsi="Cambria" w:cs="Arial"/>
          <w:i/>
          <w:sz w:val="16"/>
          <w:szCs w:val="16"/>
          <w:lang w:val="es-ES"/>
        </w:rPr>
        <w:t xml:space="preserve">Avena </w:t>
      </w:r>
      <w:r>
        <w:rPr>
          <w:rFonts w:ascii="Cambria" w:hAnsi="Cambria" w:cs="Arial"/>
          <w:i/>
          <w:sz w:val="16"/>
          <w:szCs w:val="16"/>
          <w:lang w:val="es-ES"/>
        </w:rPr>
        <w:t xml:space="preserve">y otros nacionales mexicanos </w:t>
      </w:r>
      <w:r w:rsidRPr="00587810">
        <w:rPr>
          <w:rFonts w:ascii="Cambria" w:hAnsi="Cambria" w:cs="Arial"/>
          <w:i/>
          <w:sz w:val="16"/>
          <w:szCs w:val="16"/>
          <w:lang w:val="es-ES"/>
        </w:rPr>
        <w:t xml:space="preserve">(México </w:t>
      </w:r>
      <w:r>
        <w:rPr>
          <w:rFonts w:ascii="Cambria" w:hAnsi="Cambria" w:cs="Arial"/>
          <w:i/>
          <w:sz w:val="16"/>
          <w:szCs w:val="16"/>
          <w:lang w:val="es-ES"/>
        </w:rPr>
        <w:t>contra los Estados Unidos de América</w:t>
      </w:r>
      <w:r w:rsidRPr="00587810">
        <w:rPr>
          <w:rFonts w:ascii="Cambria" w:hAnsi="Cambria" w:cs="Arial"/>
          <w:i/>
          <w:sz w:val="16"/>
          <w:szCs w:val="16"/>
          <w:lang w:val="es-ES"/>
        </w:rPr>
        <w:t xml:space="preserve">), </w:t>
      </w:r>
      <w:r>
        <w:rPr>
          <w:rFonts w:ascii="Cambria" w:hAnsi="Cambria" w:cs="Arial"/>
          <w:i/>
          <w:sz w:val="16"/>
          <w:szCs w:val="16"/>
          <w:lang w:val="es-ES"/>
        </w:rPr>
        <w:t xml:space="preserve">Fallo de </w:t>
      </w:r>
      <w:r w:rsidRPr="00587810">
        <w:rPr>
          <w:rFonts w:ascii="Cambria" w:hAnsi="Cambria" w:cs="Arial"/>
          <w:i/>
          <w:sz w:val="16"/>
          <w:szCs w:val="16"/>
          <w:lang w:val="es-ES"/>
        </w:rPr>
        <w:t xml:space="preserve">31 </w:t>
      </w:r>
      <w:r>
        <w:rPr>
          <w:rFonts w:ascii="Cambria" w:hAnsi="Cambria" w:cs="Arial"/>
          <w:i/>
          <w:sz w:val="16"/>
          <w:szCs w:val="16"/>
          <w:lang w:val="es-ES"/>
        </w:rPr>
        <w:t xml:space="preserve">de marzo de </w:t>
      </w:r>
      <w:r w:rsidRPr="00587810">
        <w:rPr>
          <w:rFonts w:ascii="Cambria" w:hAnsi="Cambria" w:cs="Arial"/>
          <w:i/>
          <w:sz w:val="16"/>
          <w:szCs w:val="16"/>
          <w:lang w:val="es-ES"/>
        </w:rPr>
        <w:t>2004.</w:t>
      </w:r>
      <w:r w:rsidRPr="007C60DD">
        <w:rPr>
          <w:rFonts w:ascii="Cambria" w:hAnsi="Cambria" w:cs="Arial"/>
          <w:sz w:val="16"/>
          <w:szCs w:val="16"/>
          <w:lang w:val="es-ES"/>
        </w:rPr>
        <w:t xml:space="preserve"> Se encuentra en </w:t>
      </w:r>
      <w:r w:rsidR="007B36C9">
        <w:fldChar w:fldCharType="begin"/>
      </w:r>
      <w:r w:rsidR="007B36C9" w:rsidRPr="006846BB">
        <w:rPr>
          <w:lang w:val="es-US"/>
        </w:rPr>
        <w:instrText xml:space="preserve"> HYPERLINK "https://www.icj-cij.org/files/summaries/summaries-2003-2007-es.pdf" </w:instrText>
      </w:r>
      <w:r w:rsidR="007B36C9">
        <w:fldChar w:fldCharType="separate"/>
      </w:r>
      <w:r>
        <w:rPr>
          <w:rStyle w:val="Hyperlink"/>
          <w:rFonts w:ascii="Cambria" w:hAnsi="Cambria" w:cs="Arial"/>
          <w:sz w:val="16"/>
          <w:szCs w:val="16"/>
          <w:lang w:val="es-ES"/>
        </w:rPr>
        <w:t>https://www.icj-cij.org/files/summaries/summaries-2003-2007-es.pdf</w:t>
      </w:r>
      <w:r w:rsidR="007B36C9">
        <w:rPr>
          <w:rStyle w:val="Hyperlink"/>
          <w:rFonts w:ascii="Cambria" w:hAnsi="Cambria" w:cs="Arial"/>
          <w:sz w:val="16"/>
          <w:szCs w:val="16"/>
          <w:lang w:val="es-ES"/>
        </w:rPr>
        <w:fldChar w:fldCharType="end"/>
      </w:r>
      <w:r w:rsidRPr="007C60DD">
        <w:rPr>
          <w:rStyle w:val="Hyperlink"/>
          <w:rFonts w:ascii="Cambria" w:hAnsi="Cambria" w:cs="Arial"/>
          <w:sz w:val="16"/>
          <w:szCs w:val="16"/>
          <w:u w:val="none"/>
          <w:lang w:val="es-ES"/>
        </w:rPr>
        <w:t>.</w:t>
      </w:r>
      <w:r w:rsidRPr="00587810">
        <w:rPr>
          <w:rFonts w:ascii="Cambria" w:hAnsi="Cambria" w:cs="Arial"/>
          <w:i/>
          <w:sz w:val="16"/>
          <w:szCs w:val="16"/>
          <w:lang w:val="es-ES"/>
        </w:rPr>
        <w:t xml:space="preserve"> </w:t>
      </w:r>
    </w:p>
  </w:footnote>
  <w:footnote w:id="44">
    <w:p w14:paraId="54F2BB63" w14:textId="77777777" w:rsidR="00721292" w:rsidRPr="00587810" w:rsidRDefault="00721292" w:rsidP="002F12A8">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Medellin v. Texas, 552 U.S. 491 (2008). </w:t>
      </w:r>
      <w:r>
        <w:rPr>
          <w:rFonts w:asciiTheme="majorHAnsi" w:hAnsiTheme="majorHAnsi"/>
          <w:sz w:val="16"/>
          <w:szCs w:val="16"/>
          <w:lang w:val="es-ES"/>
        </w:rPr>
        <w:t>Se encuentra en</w:t>
      </w:r>
      <w:r w:rsidRPr="00587810">
        <w:rPr>
          <w:rFonts w:asciiTheme="majorHAnsi" w:hAnsiTheme="majorHAnsi"/>
          <w:sz w:val="16"/>
          <w:szCs w:val="16"/>
          <w:lang w:val="es-ES"/>
        </w:rPr>
        <w:t xml:space="preserve"> </w:t>
      </w:r>
      <w:r w:rsidR="007B36C9">
        <w:fldChar w:fldCharType="begin"/>
      </w:r>
      <w:r w:rsidR="007B36C9" w:rsidRPr="006846BB">
        <w:rPr>
          <w:lang w:val="es-US"/>
        </w:rPr>
        <w:instrText xml:space="preserve"> HYPERLINK "http://www.supremecourt.gov/opinions/07pdf/06-984.pdf" </w:instrText>
      </w:r>
      <w:r w:rsidR="007B36C9">
        <w:fldChar w:fldCharType="separate"/>
      </w:r>
      <w:r w:rsidRPr="00587810">
        <w:rPr>
          <w:rStyle w:val="Hyperlink"/>
          <w:rFonts w:asciiTheme="majorHAnsi" w:hAnsiTheme="majorHAnsi"/>
          <w:sz w:val="16"/>
          <w:szCs w:val="16"/>
          <w:lang w:val="es-ES"/>
        </w:rPr>
        <w:t>http://www.supremecourt.gov/opinions/07pdf/06-984.pdf</w:t>
      </w:r>
      <w:r w:rsidR="007B36C9">
        <w:rPr>
          <w:rStyle w:val="Hyperlink"/>
          <w:rFonts w:asciiTheme="majorHAnsi" w:hAnsiTheme="majorHAnsi"/>
          <w:sz w:val="16"/>
          <w:szCs w:val="16"/>
          <w:lang w:val="es-ES"/>
        </w:rPr>
        <w:fldChar w:fldCharType="end"/>
      </w:r>
      <w:r>
        <w:rPr>
          <w:rFonts w:asciiTheme="majorHAnsi" w:hAnsiTheme="majorHAnsi"/>
          <w:sz w:val="16"/>
          <w:szCs w:val="16"/>
          <w:lang w:val="es-ES"/>
        </w:rPr>
        <w:t>.</w:t>
      </w:r>
    </w:p>
  </w:footnote>
  <w:footnote w:id="45">
    <w:p w14:paraId="7F0BAA0A" w14:textId="77777777" w:rsidR="00721292" w:rsidRPr="00587810" w:rsidRDefault="00721292" w:rsidP="00CB7CA1">
      <w:pPr>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CIDH. Informe No. 11/15</w:t>
      </w:r>
      <w:r>
        <w:rPr>
          <w:rFonts w:asciiTheme="majorHAnsi" w:hAnsiTheme="majorHAnsi"/>
          <w:sz w:val="16"/>
          <w:szCs w:val="16"/>
          <w:lang w:val="es-ES"/>
        </w:rPr>
        <w:t>.</w:t>
      </w:r>
      <w:r w:rsidRPr="00587810">
        <w:rPr>
          <w:rFonts w:asciiTheme="majorHAnsi" w:hAnsiTheme="majorHAnsi"/>
          <w:sz w:val="16"/>
          <w:szCs w:val="16"/>
          <w:lang w:val="es-ES"/>
        </w:rPr>
        <w:t xml:space="preserve"> Caso 12.833</w:t>
      </w:r>
      <w:r>
        <w:rPr>
          <w:rFonts w:asciiTheme="majorHAnsi" w:hAnsiTheme="majorHAnsi"/>
          <w:sz w:val="16"/>
          <w:szCs w:val="16"/>
          <w:lang w:val="es-ES"/>
        </w:rPr>
        <w:t>.</w:t>
      </w:r>
      <w:r w:rsidRPr="00587810">
        <w:rPr>
          <w:rFonts w:asciiTheme="majorHAnsi" w:hAnsiTheme="majorHAnsi"/>
          <w:sz w:val="16"/>
          <w:szCs w:val="16"/>
          <w:lang w:val="es-ES"/>
        </w:rPr>
        <w:t xml:space="preserve"> Fondo (Publicación)</w:t>
      </w:r>
      <w:r>
        <w:rPr>
          <w:rFonts w:asciiTheme="majorHAnsi" w:hAnsiTheme="majorHAnsi"/>
          <w:sz w:val="16"/>
          <w:szCs w:val="16"/>
          <w:lang w:val="es-ES"/>
        </w:rPr>
        <w:t>.</w:t>
      </w:r>
      <w:r w:rsidRPr="00587810">
        <w:rPr>
          <w:rFonts w:asciiTheme="majorHAnsi" w:hAnsiTheme="majorHAnsi"/>
          <w:sz w:val="16"/>
          <w:szCs w:val="16"/>
          <w:lang w:val="es-ES"/>
        </w:rPr>
        <w:t xml:space="preserve"> Félix Rocha Díaz</w:t>
      </w:r>
      <w:r>
        <w:rPr>
          <w:rFonts w:asciiTheme="majorHAnsi" w:hAnsiTheme="majorHAnsi"/>
          <w:sz w:val="16"/>
          <w:szCs w:val="16"/>
          <w:lang w:val="es-ES"/>
        </w:rPr>
        <w:t>.</w:t>
      </w:r>
      <w:r w:rsidRPr="00587810">
        <w:rPr>
          <w:rFonts w:asciiTheme="majorHAnsi" w:hAnsiTheme="majorHAnsi"/>
          <w:sz w:val="16"/>
          <w:szCs w:val="16"/>
          <w:lang w:val="es-ES"/>
        </w:rPr>
        <w:t xml:space="preserve"> Estados Unidos</w:t>
      </w:r>
      <w:r>
        <w:rPr>
          <w:rFonts w:asciiTheme="majorHAnsi" w:hAnsiTheme="majorHAnsi"/>
          <w:sz w:val="16"/>
          <w:szCs w:val="16"/>
          <w:lang w:val="es-ES"/>
        </w:rPr>
        <w:t>.</w:t>
      </w:r>
      <w:r w:rsidRPr="00587810">
        <w:rPr>
          <w:rFonts w:asciiTheme="majorHAnsi" w:hAnsiTheme="majorHAnsi"/>
          <w:sz w:val="16"/>
          <w:szCs w:val="16"/>
          <w:lang w:val="es-ES"/>
        </w:rPr>
        <w:t xml:space="preserve"> 23</w:t>
      </w:r>
      <w:r>
        <w:rPr>
          <w:rFonts w:asciiTheme="majorHAnsi" w:hAnsiTheme="majorHAnsi"/>
          <w:sz w:val="16"/>
          <w:szCs w:val="16"/>
          <w:lang w:val="es-ES"/>
        </w:rPr>
        <w:t xml:space="preserve"> de marzo de</w:t>
      </w:r>
      <w:r w:rsidRPr="00587810">
        <w:rPr>
          <w:rFonts w:asciiTheme="majorHAnsi" w:hAnsiTheme="majorHAnsi"/>
          <w:sz w:val="16"/>
          <w:szCs w:val="16"/>
          <w:lang w:val="es-ES"/>
        </w:rPr>
        <w:t xml:space="preserve"> 2015, párr. 62.</w:t>
      </w:r>
    </w:p>
  </w:footnote>
  <w:footnote w:id="46">
    <w:p w14:paraId="7D87431B" w14:textId="77777777" w:rsidR="00721292" w:rsidRPr="00587810" w:rsidRDefault="00721292" w:rsidP="002F12A8">
      <w:pPr>
        <w:pStyle w:val="Default"/>
        <w:jc w:val="both"/>
        <w:rPr>
          <w:rFonts w:asciiTheme="majorHAnsi" w:eastAsia="Arial Unicode MS" w:hAnsiTheme="majorHAnsi" w:cs="Cambria"/>
          <w:color w:val="auto"/>
          <w:sz w:val="16"/>
          <w:szCs w:val="16"/>
          <w:bdr w:val="nil"/>
          <w:lang w:val="es-ES" w:eastAsia="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w:t>
      </w:r>
      <w:r w:rsidRPr="00587810">
        <w:rPr>
          <w:rFonts w:asciiTheme="majorHAnsi" w:eastAsia="Arial Unicode MS" w:hAnsiTheme="majorHAnsi" w:cs="Cambria"/>
          <w:color w:val="auto"/>
          <w:sz w:val="16"/>
          <w:szCs w:val="16"/>
          <w:lang w:val="es-ES"/>
        </w:rPr>
        <w:t xml:space="preserve">CIDH. Informe No. 44/14, Caso 12.873. Fondo (Publicación). Edgar Tamayo Arias. </w:t>
      </w:r>
      <w:r>
        <w:rPr>
          <w:rFonts w:asciiTheme="majorHAnsi" w:eastAsia="Arial Unicode MS" w:hAnsiTheme="majorHAnsi" w:cs="Cambria"/>
          <w:color w:val="auto"/>
          <w:sz w:val="16"/>
          <w:szCs w:val="16"/>
          <w:lang w:val="es-ES"/>
        </w:rPr>
        <w:t xml:space="preserve">Estados Unidos. </w:t>
      </w:r>
      <w:r w:rsidRPr="00587810">
        <w:rPr>
          <w:rFonts w:asciiTheme="majorHAnsi" w:eastAsia="Arial Unicode MS" w:hAnsiTheme="majorHAnsi" w:cs="Cambria"/>
          <w:color w:val="auto"/>
          <w:sz w:val="16"/>
          <w:szCs w:val="16"/>
          <w:lang w:val="es-ES"/>
        </w:rPr>
        <w:t>17</w:t>
      </w:r>
      <w:r>
        <w:rPr>
          <w:rFonts w:asciiTheme="majorHAnsi" w:eastAsia="Arial Unicode MS" w:hAnsiTheme="majorHAnsi" w:cs="Cambria"/>
          <w:color w:val="auto"/>
          <w:sz w:val="16"/>
          <w:szCs w:val="16"/>
          <w:lang w:val="es-ES"/>
        </w:rPr>
        <w:t xml:space="preserve"> de julio de</w:t>
      </w:r>
      <w:r w:rsidRPr="00587810">
        <w:rPr>
          <w:rFonts w:asciiTheme="majorHAnsi" w:eastAsia="Arial Unicode MS" w:hAnsiTheme="majorHAnsi" w:cs="Cambria"/>
          <w:color w:val="auto"/>
          <w:sz w:val="16"/>
          <w:szCs w:val="16"/>
          <w:lang w:val="es-ES"/>
        </w:rPr>
        <w:t xml:space="preserve"> 2014, párr. 140.</w:t>
      </w:r>
    </w:p>
  </w:footnote>
  <w:footnote w:id="47">
    <w:p w14:paraId="49265E37" w14:textId="77777777" w:rsidR="00721292" w:rsidRPr="007C60DD" w:rsidRDefault="00721292" w:rsidP="009266DD">
      <w:pPr>
        <w:pStyle w:val="FootnoteText"/>
        <w:jc w:val="both"/>
        <w:rPr>
          <w:rFonts w:asciiTheme="majorHAnsi" w:hAnsiTheme="majorHAnsi"/>
          <w:color w:val="auto"/>
          <w:sz w:val="16"/>
          <w:szCs w:val="16"/>
          <w:lang w:val="es-ES"/>
        </w:rPr>
      </w:pPr>
      <w:r w:rsidRPr="007C60DD">
        <w:rPr>
          <w:rStyle w:val="FootnoteReference"/>
          <w:rFonts w:asciiTheme="majorHAnsi" w:hAnsiTheme="majorHAnsi"/>
          <w:color w:val="auto"/>
          <w:sz w:val="16"/>
          <w:szCs w:val="16"/>
          <w:lang w:val="es-ES"/>
        </w:rPr>
        <w:footnoteRef/>
      </w:r>
      <w:r w:rsidRPr="007C60DD">
        <w:rPr>
          <w:rFonts w:asciiTheme="majorHAnsi" w:hAnsiTheme="majorHAnsi"/>
          <w:color w:val="auto"/>
          <w:sz w:val="16"/>
          <w:szCs w:val="16"/>
          <w:lang w:val="es-ES"/>
        </w:rPr>
        <w:t xml:space="preserve"> CIDH. </w:t>
      </w:r>
      <w:bookmarkStart w:id="22" w:name="h_i_t1"/>
      <w:bookmarkEnd w:id="22"/>
      <w:r>
        <w:rPr>
          <w:rFonts w:asciiTheme="majorHAnsi" w:hAnsiTheme="majorHAnsi"/>
          <w:i/>
          <w:iCs/>
          <w:color w:val="auto"/>
          <w:sz w:val="16"/>
          <w:szCs w:val="16"/>
          <w:u w:val="single"/>
          <w:lang w:val="es-ES"/>
        </w:rPr>
        <w:fldChar w:fldCharType="begin"/>
      </w:r>
      <w:r>
        <w:rPr>
          <w:rFonts w:asciiTheme="majorHAnsi" w:hAnsiTheme="majorHAnsi"/>
          <w:i/>
          <w:iCs/>
          <w:color w:val="auto"/>
          <w:sz w:val="16"/>
          <w:szCs w:val="16"/>
          <w:u w:val="single"/>
          <w:lang w:val="es-ES"/>
        </w:rPr>
        <w:instrText xml:space="preserve"> HYPERLINK "https://www.oas.org/es/cidh/docs/pdfs/penademuerte.pdf" </w:instrText>
      </w:r>
      <w:r>
        <w:rPr>
          <w:rFonts w:asciiTheme="majorHAnsi" w:hAnsiTheme="majorHAnsi"/>
          <w:i/>
          <w:iCs/>
          <w:color w:val="auto"/>
          <w:sz w:val="16"/>
          <w:szCs w:val="16"/>
          <w:u w:val="single"/>
          <w:lang w:val="es-ES"/>
        </w:rPr>
        <w:fldChar w:fldCharType="separate"/>
      </w:r>
      <w:r w:rsidRPr="007C60DD">
        <w:rPr>
          <w:rStyle w:val="Hyperlink"/>
          <w:rFonts w:asciiTheme="majorHAnsi" w:hAnsiTheme="majorHAnsi"/>
          <w:i/>
          <w:iCs/>
          <w:sz w:val="16"/>
          <w:szCs w:val="16"/>
          <w:lang w:val="es-ES"/>
        </w:rPr>
        <w:t xml:space="preserve">La </w:t>
      </w:r>
      <w:bookmarkStart w:id="23" w:name="h_i_t2"/>
      <w:bookmarkEnd w:id="23"/>
      <w:r w:rsidRPr="007C60DD">
        <w:rPr>
          <w:rStyle w:val="Hyperlink"/>
          <w:rFonts w:asciiTheme="majorHAnsi" w:hAnsiTheme="majorHAnsi"/>
          <w:i/>
          <w:iCs/>
          <w:sz w:val="16"/>
          <w:szCs w:val="16"/>
          <w:lang w:val="es-ES"/>
        </w:rPr>
        <w:t xml:space="preserve">pena </w:t>
      </w:r>
      <w:bookmarkStart w:id="24" w:name="h_i_t3"/>
      <w:bookmarkEnd w:id="24"/>
      <w:r w:rsidRPr="007C60DD">
        <w:rPr>
          <w:rStyle w:val="Hyperlink"/>
          <w:rFonts w:asciiTheme="majorHAnsi" w:hAnsiTheme="majorHAnsi"/>
          <w:i/>
          <w:iCs/>
          <w:sz w:val="16"/>
          <w:szCs w:val="16"/>
          <w:lang w:val="es-ES"/>
        </w:rPr>
        <w:t xml:space="preserve">de </w:t>
      </w:r>
      <w:bookmarkStart w:id="25" w:name="h_i_t4"/>
      <w:bookmarkEnd w:id="25"/>
      <w:r w:rsidRPr="007C60DD">
        <w:rPr>
          <w:rStyle w:val="Hyperlink"/>
          <w:rFonts w:asciiTheme="majorHAnsi" w:hAnsiTheme="majorHAnsi"/>
          <w:i/>
          <w:iCs/>
          <w:sz w:val="16"/>
          <w:szCs w:val="16"/>
          <w:lang w:val="es-ES"/>
        </w:rPr>
        <w:t xml:space="preserve">muerte </w:t>
      </w:r>
      <w:bookmarkStart w:id="26" w:name="h_i_t5"/>
      <w:bookmarkEnd w:id="26"/>
      <w:r w:rsidRPr="007C60DD">
        <w:rPr>
          <w:rStyle w:val="Hyperlink"/>
          <w:rFonts w:asciiTheme="majorHAnsi" w:hAnsiTheme="majorHAnsi"/>
          <w:i/>
          <w:iCs/>
          <w:sz w:val="16"/>
          <w:szCs w:val="16"/>
          <w:lang w:val="es-ES"/>
        </w:rPr>
        <w:t xml:space="preserve">en </w:t>
      </w:r>
      <w:bookmarkStart w:id="27" w:name="h_i_t6"/>
      <w:bookmarkEnd w:id="27"/>
      <w:r w:rsidRPr="007C60DD">
        <w:rPr>
          <w:rStyle w:val="Hyperlink"/>
          <w:rFonts w:asciiTheme="majorHAnsi" w:hAnsiTheme="majorHAnsi"/>
          <w:i/>
          <w:iCs/>
          <w:sz w:val="16"/>
          <w:szCs w:val="16"/>
          <w:lang w:val="es-ES"/>
        </w:rPr>
        <w:t xml:space="preserve">el </w:t>
      </w:r>
      <w:bookmarkStart w:id="28" w:name="h_i_t7"/>
      <w:bookmarkEnd w:id="28"/>
      <w:r w:rsidRPr="007C60DD">
        <w:rPr>
          <w:rStyle w:val="Hyperlink"/>
          <w:rFonts w:asciiTheme="majorHAnsi" w:hAnsiTheme="majorHAnsi"/>
          <w:i/>
          <w:iCs/>
          <w:sz w:val="16"/>
          <w:szCs w:val="16"/>
          <w:lang w:val="es-ES"/>
        </w:rPr>
        <w:t>Sistema Interamericano de Derechos Humanos: de restricciones a abolición</w:t>
      </w:r>
      <w:r>
        <w:rPr>
          <w:rFonts w:asciiTheme="majorHAnsi" w:hAnsiTheme="majorHAnsi"/>
          <w:i/>
          <w:iCs/>
          <w:color w:val="auto"/>
          <w:sz w:val="16"/>
          <w:szCs w:val="16"/>
          <w:u w:val="single"/>
          <w:lang w:val="es-ES"/>
        </w:rPr>
        <w:fldChar w:fldCharType="end"/>
      </w:r>
      <w:r w:rsidRPr="002B6D80">
        <w:rPr>
          <w:rFonts w:asciiTheme="majorHAnsi" w:hAnsiTheme="majorHAnsi"/>
          <w:i/>
          <w:iCs/>
          <w:color w:val="auto"/>
          <w:sz w:val="16"/>
          <w:szCs w:val="16"/>
          <w:lang w:val="es-ES"/>
        </w:rPr>
        <w:t>.</w:t>
      </w:r>
      <w:r w:rsidRPr="007C60DD">
        <w:rPr>
          <w:rFonts w:asciiTheme="majorHAnsi" w:hAnsiTheme="majorHAnsi"/>
          <w:color w:val="auto"/>
          <w:sz w:val="16"/>
          <w:szCs w:val="16"/>
          <w:lang w:val="es-ES"/>
        </w:rPr>
        <w:t xml:space="preserve"> OEA/</w:t>
      </w:r>
      <w:proofErr w:type="spellStart"/>
      <w:r w:rsidRPr="007C60DD">
        <w:rPr>
          <w:rFonts w:asciiTheme="majorHAnsi" w:hAnsiTheme="majorHAnsi"/>
          <w:color w:val="auto"/>
          <w:sz w:val="16"/>
          <w:szCs w:val="16"/>
          <w:lang w:val="es-ES"/>
        </w:rPr>
        <w:t>Ser.L</w:t>
      </w:r>
      <w:proofErr w:type="spellEnd"/>
      <w:r w:rsidRPr="007C60DD">
        <w:rPr>
          <w:rFonts w:asciiTheme="majorHAnsi" w:hAnsiTheme="majorHAnsi"/>
          <w:color w:val="auto"/>
          <w:sz w:val="16"/>
          <w:szCs w:val="16"/>
          <w:lang w:val="es-ES"/>
        </w:rPr>
        <w:t>/V/II.Doc. 68, 31 de diciembre de 2011, p</w:t>
      </w:r>
      <w:r>
        <w:rPr>
          <w:rFonts w:asciiTheme="majorHAnsi" w:hAnsiTheme="majorHAnsi"/>
          <w:color w:val="auto"/>
          <w:sz w:val="16"/>
          <w:szCs w:val="16"/>
          <w:lang w:val="es-ES"/>
        </w:rPr>
        <w:t>ág</w:t>
      </w:r>
      <w:r w:rsidRPr="007C60DD">
        <w:rPr>
          <w:rFonts w:asciiTheme="majorHAnsi" w:hAnsiTheme="majorHAnsi"/>
          <w:color w:val="auto"/>
          <w:sz w:val="16"/>
          <w:szCs w:val="16"/>
          <w:lang w:val="es-ES"/>
        </w:rPr>
        <w:t>. 1</w:t>
      </w:r>
      <w:r>
        <w:rPr>
          <w:rFonts w:asciiTheme="majorHAnsi" w:hAnsiTheme="majorHAnsi"/>
          <w:color w:val="auto"/>
          <w:sz w:val="16"/>
          <w:szCs w:val="16"/>
          <w:lang w:val="es-ES"/>
        </w:rPr>
        <w:t>31</w:t>
      </w:r>
      <w:r w:rsidRPr="007C60DD">
        <w:rPr>
          <w:rFonts w:asciiTheme="majorHAnsi" w:hAnsiTheme="majorHAnsi"/>
          <w:color w:val="auto"/>
          <w:sz w:val="16"/>
          <w:szCs w:val="16"/>
          <w:lang w:val="es-ES"/>
        </w:rPr>
        <w:t>.</w:t>
      </w:r>
    </w:p>
  </w:footnote>
  <w:footnote w:id="48">
    <w:p w14:paraId="5FF9441D" w14:textId="77777777" w:rsidR="00721292" w:rsidRPr="00587810" w:rsidRDefault="00721292" w:rsidP="009266DD">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CIDH. </w:t>
      </w:r>
      <w:r w:rsidR="007B36C9">
        <w:fldChar w:fldCharType="begin"/>
      </w:r>
      <w:r w:rsidR="007B36C9" w:rsidRPr="006846BB">
        <w:rPr>
          <w:lang w:val="es-US"/>
        </w:rPr>
        <w:instrText xml:space="preserve"> HYPERLINK "https://www.cidh.oas.org/annualrep/2009sp/EEUU12644.sp.htm" </w:instrText>
      </w:r>
      <w:r w:rsidR="007B36C9">
        <w:fldChar w:fldCharType="separate"/>
      </w:r>
      <w:r w:rsidRPr="00973A7C">
        <w:rPr>
          <w:rStyle w:val="Hyperlink"/>
          <w:rFonts w:asciiTheme="majorHAnsi" w:hAnsiTheme="majorHAnsi"/>
          <w:sz w:val="16"/>
          <w:szCs w:val="16"/>
          <w:lang w:val="es-ES"/>
        </w:rPr>
        <w:t>Informe No. 90/09. Caso 12.644</w:t>
      </w:r>
      <w:r w:rsidR="007B36C9">
        <w:rPr>
          <w:rStyle w:val="Hyperlink"/>
          <w:rFonts w:asciiTheme="majorHAnsi" w:hAnsiTheme="majorHAnsi"/>
          <w:sz w:val="16"/>
          <w:szCs w:val="16"/>
          <w:lang w:val="es-ES"/>
        </w:rPr>
        <w:fldChar w:fldCharType="end"/>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Admisibilidad</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y</w:t>
      </w:r>
      <w:r w:rsidRPr="00587810">
        <w:rPr>
          <w:rFonts w:asciiTheme="majorHAnsi" w:hAnsiTheme="majorHAnsi"/>
          <w:color w:val="auto"/>
          <w:sz w:val="16"/>
          <w:szCs w:val="16"/>
          <w:lang w:val="es-ES"/>
        </w:rPr>
        <w:t xml:space="preserve"> Fondo (Publicación)</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Medellín, Ramírez Cárdenas </w:t>
      </w:r>
      <w:r>
        <w:rPr>
          <w:rFonts w:asciiTheme="majorHAnsi" w:hAnsiTheme="majorHAnsi"/>
          <w:color w:val="auto"/>
          <w:sz w:val="16"/>
          <w:szCs w:val="16"/>
          <w:lang w:val="es-ES"/>
        </w:rPr>
        <w:t>y</w:t>
      </w:r>
      <w:r w:rsidRPr="00587810">
        <w:rPr>
          <w:rFonts w:asciiTheme="majorHAnsi" w:hAnsiTheme="majorHAnsi"/>
          <w:color w:val="auto"/>
          <w:sz w:val="16"/>
          <w:szCs w:val="16"/>
          <w:lang w:val="es-ES"/>
        </w:rPr>
        <w:t xml:space="preserve"> Leal García</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Estados Unidos</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7 de agosto de 2009,</w:t>
      </w:r>
      <w:r w:rsidRPr="00587810">
        <w:rPr>
          <w:rFonts w:asciiTheme="majorHAnsi" w:hAnsiTheme="majorHAnsi"/>
          <w:color w:val="auto"/>
          <w:sz w:val="16"/>
          <w:szCs w:val="16"/>
          <w:lang w:val="es-ES"/>
        </w:rPr>
        <w:t xml:space="preserve"> párr. 134.</w:t>
      </w:r>
    </w:p>
  </w:footnote>
  <w:footnote w:id="49">
    <w:p w14:paraId="78B6E818" w14:textId="77777777" w:rsidR="00721292" w:rsidRPr="006277D0" w:rsidRDefault="00721292" w:rsidP="009266DD">
      <w:pPr>
        <w:pStyle w:val="FootnoteText"/>
        <w:tabs>
          <w:tab w:val="left" w:pos="180"/>
          <w:tab w:val="left" w:pos="360"/>
        </w:tabs>
        <w:jc w:val="both"/>
        <w:rPr>
          <w:rFonts w:asciiTheme="majorHAnsi" w:hAnsiTheme="majorHAnsi"/>
          <w:color w:val="auto"/>
          <w:sz w:val="16"/>
          <w:szCs w:val="16"/>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CIDH. </w:t>
      </w:r>
      <w:r w:rsidR="007B36C9">
        <w:fldChar w:fldCharType="begin"/>
      </w:r>
      <w:r w:rsidR="007B36C9" w:rsidRPr="006846BB">
        <w:rPr>
          <w:lang w:val="es-US"/>
        </w:rPr>
        <w:instrText xml:space="preserve"> HYPERLINK "https://www.cidh.oas.org/annualrep/2009sp/EEUU12644.sp.htm" </w:instrText>
      </w:r>
      <w:r w:rsidR="007B36C9">
        <w:fldChar w:fldCharType="separate"/>
      </w:r>
      <w:r w:rsidRPr="00973A7C">
        <w:rPr>
          <w:rStyle w:val="Hyperlink"/>
          <w:rFonts w:asciiTheme="majorHAnsi" w:hAnsiTheme="majorHAnsi"/>
          <w:sz w:val="16"/>
          <w:szCs w:val="16"/>
          <w:lang w:val="es-ES"/>
        </w:rPr>
        <w:t>Informe No. 90/09</w:t>
      </w:r>
      <w:r>
        <w:rPr>
          <w:rStyle w:val="Hyperlink"/>
          <w:rFonts w:asciiTheme="majorHAnsi" w:hAnsiTheme="majorHAnsi"/>
          <w:sz w:val="16"/>
          <w:szCs w:val="16"/>
          <w:lang w:val="es-ES"/>
        </w:rPr>
        <w:t>.</w:t>
      </w:r>
      <w:r w:rsidRPr="00973A7C">
        <w:rPr>
          <w:rStyle w:val="Hyperlink"/>
          <w:rFonts w:asciiTheme="majorHAnsi" w:hAnsiTheme="majorHAnsi"/>
          <w:sz w:val="16"/>
          <w:szCs w:val="16"/>
          <w:lang w:val="es-ES"/>
        </w:rPr>
        <w:t xml:space="preserve"> Caso 12.644</w:t>
      </w:r>
      <w:r w:rsidR="007B36C9">
        <w:rPr>
          <w:rStyle w:val="Hyperlink"/>
          <w:rFonts w:asciiTheme="majorHAnsi" w:hAnsiTheme="majorHAnsi"/>
          <w:sz w:val="16"/>
          <w:szCs w:val="16"/>
          <w:lang w:val="es-ES"/>
        </w:rPr>
        <w:fldChar w:fldCharType="end"/>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Admisibilidad</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y</w:t>
      </w:r>
      <w:r w:rsidRPr="00587810">
        <w:rPr>
          <w:rFonts w:asciiTheme="majorHAnsi" w:hAnsiTheme="majorHAnsi"/>
          <w:color w:val="auto"/>
          <w:sz w:val="16"/>
          <w:szCs w:val="16"/>
          <w:lang w:val="es-ES"/>
        </w:rPr>
        <w:t xml:space="preserve"> Fondo (Publicación)</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Medellín, Ramírez Cárdenas </w:t>
      </w:r>
      <w:r>
        <w:rPr>
          <w:rFonts w:asciiTheme="majorHAnsi" w:hAnsiTheme="majorHAnsi"/>
          <w:color w:val="auto"/>
          <w:sz w:val="16"/>
          <w:szCs w:val="16"/>
          <w:lang w:val="es-ES"/>
        </w:rPr>
        <w:t>y</w:t>
      </w:r>
      <w:r w:rsidRPr="00587810">
        <w:rPr>
          <w:rFonts w:asciiTheme="majorHAnsi" w:hAnsiTheme="majorHAnsi"/>
          <w:color w:val="auto"/>
          <w:sz w:val="16"/>
          <w:szCs w:val="16"/>
          <w:lang w:val="es-ES"/>
        </w:rPr>
        <w:t xml:space="preserve"> Leal García</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proofErr w:type="spellStart"/>
      <w:r w:rsidRPr="006277D0">
        <w:rPr>
          <w:rFonts w:asciiTheme="majorHAnsi" w:hAnsiTheme="majorHAnsi"/>
          <w:color w:val="auto"/>
          <w:sz w:val="16"/>
          <w:szCs w:val="16"/>
        </w:rPr>
        <w:t>Estados</w:t>
      </w:r>
      <w:proofErr w:type="spellEnd"/>
      <w:r w:rsidRPr="006277D0">
        <w:rPr>
          <w:rFonts w:asciiTheme="majorHAnsi" w:hAnsiTheme="majorHAnsi"/>
          <w:color w:val="auto"/>
          <w:sz w:val="16"/>
          <w:szCs w:val="16"/>
        </w:rPr>
        <w:t xml:space="preserve"> Unidos. 7 de </w:t>
      </w:r>
      <w:proofErr w:type="spellStart"/>
      <w:r w:rsidRPr="006277D0">
        <w:rPr>
          <w:rFonts w:asciiTheme="majorHAnsi" w:hAnsiTheme="majorHAnsi"/>
          <w:color w:val="auto"/>
          <w:sz w:val="16"/>
          <w:szCs w:val="16"/>
        </w:rPr>
        <w:t>agosto</w:t>
      </w:r>
      <w:proofErr w:type="spellEnd"/>
      <w:r w:rsidRPr="006277D0">
        <w:rPr>
          <w:rFonts w:asciiTheme="majorHAnsi" w:hAnsiTheme="majorHAnsi"/>
          <w:color w:val="auto"/>
          <w:sz w:val="16"/>
          <w:szCs w:val="16"/>
        </w:rPr>
        <w:t xml:space="preserve"> de 2009, </w:t>
      </w:r>
      <w:proofErr w:type="spellStart"/>
      <w:r w:rsidRPr="006277D0">
        <w:rPr>
          <w:rFonts w:asciiTheme="majorHAnsi" w:hAnsiTheme="majorHAnsi"/>
          <w:color w:val="auto"/>
          <w:sz w:val="16"/>
          <w:szCs w:val="16"/>
        </w:rPr>
        <w:t>párr</w:t>
      </w:r>
      <w:proofErr w:type="spellEnd"/>
      <w:r w:rsidRPr="006277D0">
        <w:rPr>
          <w:rFonts w:asciiTheme="majorHAnsi" w:hAnsiTheme="majorHAnsi"/>
          <w:color w:val="auto"/>
          <w:sz w:val="16"/>
          <w:szCs w:val="16"/>
        </w:rPr>
        <w:t xml:space="preserve">. 134. </w:t>
      </w:r>
    </w:p>
  </w:footnote>
  <w:footnote w:id="50">
    <w:p w14:paraId="1BF2DF93" w14:textId="77777777" w:rsidR="00721292" w:rsidRPr="00587810" w:rsidRDefault="00721292" w:rsidP="009266DD">
      <w:pPr>
        <w:pStyle w:val="FootnoteText"/>
        <w:jc w:val="both"/>
        <w:rPr>
          <w:rFonts w:asciiTheme="majorHAnsi" w:hAnsiTheme="majorHAnsi" w:cs="Arial"/>
          <w:color w:val="auto"/>
          <w:sz w:val="16"/>
          <w:szCs w:val="16"/>
          <w:lang w:val="es-ES"/>
        </w:rPr>
      </w:pPr>
      <w:r w:rsidRPr="00587810">
        <w:rPr>
          <w:rStyle w:val="FootnoteReference"/>
          <w:rFonts w:asciiTheme="majorHAnsi" w:hAnsiTheme="majorHAnsi" w:cs="Arial"/>
          <w:color w:val="auto"/>
          <w:sz w:val="16"/>
          <w:szCs w:val="16"/>
          <w:lang w:val="es-ES"/>
        </w:rPr>
        <w:footnoteRef/>
      </w:r>
      <w:r w:rsidRPr="006277D0">
        <w:rPr>
          <w:rFonts w:asciiTheme="majorHAnsi" w:hAnsiTheme="majorHAnsi" w:cs="Arial"/>
          <w:color w:val="auto"/>
          <w:sz w:val="16"/>
          <w:szCs w:val="16"/>
        </w:rPr>
        <w:t xml:space="preserve"> American Bar Association. </w:t>
      </w:r>
      <w:r w:rsidRPr="006277D0">
        <w:rPr>
          <w:rFonts w:asciiTheme="majorHAnsi" w:hAnsiTheme="majorHAnsi" w:cs="Arial"/>
          <w:i/>
          <w:iCs/>
          <w:color w:val="auto"/>
          <w:sz w:val="16"/>
          <w:szCs w:val="16"/>
        </w:rPr>
        <w:t>Guidelines for the Appointment and Performance of Defense Counsel in Death Penalty Cases</w:t>
      </w:r>
      <w:r w:rsidRPr="006277D0">
        <w:rPr>
          <w:rFonts w:asciiTheme="majorHAnsi" w:hAnsiTheme="majorHAnsi" w:cs="Arial"/>
          <w:color w:val="auto"/>
          <w:sz w:val="16"/>
          <w:szCs w:val="16"/>
        </w:rPr>
        <w:t xml:space="preserve"> (</w:t>
      </w:r>
      <w:proofErr w:type="spellStart"/>
      <w:r w:rsidRPr="006277D0">
        <w:rPr>
          <w:rFonts w:asciiTheme="majorHAnsi" w:hAnsiTheme="majorHAnsi" w:cs="Arial"/>
          <w:color w:val="auto"/>
          <w:sz w:val="16"/>
          <w:szCs w:val="16"/>
        </w:rPr>
        <w:t>edición</w:t>
      </w:r>
      <w:proofErr w:type="spellEnd"/>
      <w:r w:rsidRPr="006277D0">
        <w:rPr>
          <w:rFonts w:asciiTheme="majorHAnsi" w:hAnsiTheme="majorHAnsi" w:cs="Arial"/>
          <w:color w:val="auto"/>
          <w:sz w:val="16"/>
          <w:szCs w:val="16"/>
        </w:rPr>
        <w:t xml:space="preserve"> </w:t>
      </w:r>
      <w:proofErr w:type="spellStart"/>
      <w:r w:rsidRPr="006277D0">
        <w:rPr>
          <w:rFonts w:asciiTheme="majorHAnsi" w:hAnsiTheme="majorHAnsi" w:cs="Arial"/>
          <w:color w:val="auto"/>
          <w:sz w:val="16"/>
          <w:szCs w:val="16"/>
        </w:rPr>
        <w:t>revisada</w:t>
      </w:r>
      <w:proofErr w:type="spellEnd"/>
      <w:r w:rsidRPr="006277D0">
        <w:rPr>
          <w:rFonts w:asciiTheme="majorHAnsi" w:hAnsiTheme="majorHAnsi" w:cs="Arial"/>
          <w:color w:val="auto"/>
          <w:sz w:val="16"/>
          <w:szCs w:val="16"/>
        </w:rPr>
        <w:t>) (</w:t>
      </w:r>
      <w:proofErr w:type="spellStart"/>
      <w:r w:rsidRPr="006277D0">
        <w:rPr>
          <w:rFonts w:asciiTheme="majorHAnsi" w:hAnsiTheme="majorHAnsi" w:cs="Arial"/>
          <w:color w:val="auto"/>
          <w:sz w:val="16"/>
          <w:szCs w:val="16"/>
        </w:rPr>
        <w:t>febrero</w:t>
      </w:r>
      <w:proofErr w:type="spellEnd"/>
      <w:r w:rsidRPr="006277D0">
        <w:rPr>
          <w:rFonts w:asciiTheme="majorHAnsi" w:hAnsiTheme="majorHAnsi" w:cs="Arial"/>
          <w:color w:val="auto"/>
          <w:sz w:val="16"/>
          <w:szCs w:val="16"/>
        </w:rPr>
        <w:t xml:space="preserve"> de 2003), Guideline 10.7 – Investigation. </w:t>
      </w:r>
      <w:r>
        <w:rPr>
          <w:rFonts w:asciiTheme="majorHAnsi" w:hAnsiTheme="majorHAnsi" w:cs="Arial"/>
          <w:color w:val="auto"/>
          <w:sz w:val="16"/>
          <w:szCs w:val="16"/>
          <w:lang w:val="es-ES"/>
        </w:rPr>
        <w:t>Se encuentra en</w:t>
      </w:r>
      <w:r w:rsidRPr="00587810">
        <w:rPr>
          <w:rFonts w:asciiTheme="majorHAnsi" w:hAnsiTheme="majorHAnsi" w:cs="Arial"/>
          <w:color w:val="auto"/>
          <w:sz w:val="16"/>
          <w:szCs w:val="16"/>
          <w:lang w:val="es-ES"/>
        </w:rPr>
        <w:t xml:space="preserve"> </w:t>
      </w:r>
      <w:r w:rsidR="007B36C9">
        <w:fldChar w:fldCharType="begin"/>
      </w:r>
      <w:r w:rsidR="007B36C9" w:rsidRPr="006846BB">
        <w:rPr>
          <w:lang w:val="es-US"/>
        </w:rPr>
        <w:instrText xml:space="preserve"> HYPERLINK "http://www.abanet.org/legalservices/downloads/%20sclaid/deathpenaltyguidelines.pdf" </w:instrText>
      </w:r>
      <w:r w:rsidR="007B36C9">
        <w:fldChar w:fldCharType="separate"/>
      </w:r>
      <w:r w:rsidRPr="00587810">
        <w:rPr>
          <w:rStyle w:val="Hyperlink"/>
          <w:rFonts w:asciiTheme="majorHAnsi" w:hAnsiTheme="majorHAnsi" w:cs="Arial"/>
          <w:color w:val="auto"/>
          <w:sz w:val="16"/>
          <w:szCs w:val="16"/>
          <w:lang w:val="es-ES"/>
        </w:rPr>
        <w:t xml:space="preserve">http://www.abanet.org/legalservices/downloads/ </w:t>
      </w:r>
      <w:proofErr w:type="spellStart"/>
      <w:r w:rsidRPr="00587810">
        <w:rPr>
          <w:rStyle w:val="Hyperlink"/>
          <w:rFonts w:asciiTheme="majorHAnsi" w:hAnsiTheme="majorHAnsi" w:cs="Arial"/>
          <w:color w:val="auto"/>
          <w:sz w:val="16"/>
          <w:szCs w:val="16"/>
          <w:lang w:val="es-ES"/>
        </w:rPr>
        <w:t>sclaid</w:t>
      </w:r>
      <w:proofErr w:type="spellEnd"/>
      <w:r w:rsidRPr="00587810">
        <w:rPr>
          <w:rStyle w:val="Hyperlink"/>
          <w:rFonts w:asciiTheme="majorHAnsi" w:hAnsiTheme="majorHAnsi" w:cs="Arial"/>
          <w:color w:val="auto"/>
          <w:sz w:val="16"/>
          <w:szCs w:val="16"/>
          <w:lang w:val="es-ES"/>
        </w:rPr>
        <w:t>/deathpenaltyguidelines.pdf</w:t>
      </w:r>
      <w:r w:rsidR="007B36C9">
        <w:rPr>
          <w:rStyle w:val="Hyperlink"/>
          <w:rFonts w:asciiTheme="majorHAnsi" w:hAnsiTheme="majorHAnsi" w:cs="Arial"/>
          <w:color w:val="auto"/>
          <w:sz w:val="16"/>
          <w:szCs w:val="16"/>
          <w:lang w:val="es-ES"/>
        </w:rPr>
        <w:fldChar w:fldCharType="end"/>
      </w:r>
      <w:r w:rsidRPr="00587810">
        <w:rPr>
          <w:rFonts w:asciiTheme="majorHAnsi" w:hAnsiTheme="majorHAnsi" w:cs="Arial"/>
          <w:color w:val="auto"/>
          <w:sz w:val="16"/>
          <w:szCs w:val="16"/>
          <w:lang w:val="es-ES"/>
        </w:rPr>
        <w:t>.</w:t>
      </w:r>
    </w:p>
  </w:footnote>
  <w:footnote w:id="51">
    <w:p w14:paraId="4F77D1CF" w14:textId="77777777" w:rsidR="00721292" w:rsidRPr="006277D0" w:rsidRDefault="00721292" w:rsidP="009266DD">
      <w:pPr>
        <w:pStyle w:val="FootnoteText"/>
        <w:jc w:val="both"/>
        <w:rPr>
          <w:rFonts w:asciiTheme="majorHAnsi" w:hAnsiTheme="majorHAnsi" w:cs="Arial"/>
          <w:color w:val="auto"/>
          <w:sz w:val="16"/>
          <w:szCs w:val="16"/>
        </w:rPr>
      </w:pPr>
      <w:r w:rsidRPr="00587810">
        <w:rPr>
          <w:rStyle w:val="FootnoteReference"/>
          <w:rFonts w:asciiTheme="majorHAnsi" w:hAnsiTheme="majorHAnsi" w:cs="Arial"/>
          <w:color w:val="auto"/>
          <w:sz w:val="16"/>
          <w:szCs w:val="16"/>
          <w:lang w:val="es-ES"/>
        </w:rPr>
        <w:footnoteRef/>
      </w:r>
      <w:r w:rsidRPr="006277D0">
        <w:rPr>
          <w:rFonts w:asciiTheme="majorHAnsi" w:hAnsiTheme="majorHAnsi" w:cs="Arial"/>
          <w:color w:val="auto"/>
          <w:sz w:val="16"/>
          <w:szCs w:val="16"/>
        </w:rPr>
        <w:t xml:space="preserve"> American Bar Association. </w:t>
      </w:r>
      <w:r w:rsidRPr="006277D0">
        <w:rPr>
          <w:rFonts w:asciiTheme="majorHAnsi" w:hAnsiTheme="majorHAnsi" w:cs="Arial"/>
          <w:i/>
          <w:iCs/>
          <w:color w:val="auto"/>
          <w:sz w:val="16"/>
          <w:szCs w:val="16"/>
        </w:rPr>
        <w:t>Guidelines for the Appointment and Performance of Defense Counsel in Death Penalty Cases</w:t>
      </w:r>
      <w:r w:rsidRPr="006277D0">
        <w:rPr>
          <w:rFonts w:asciiTheme="majorHAnsi" w:hAnsiTheme="majorHAnsi" w:cs="Arial"/>
          <w:color w:val="auto"/>
          <w:sz w:val="16"/>
          <w:szCs w:val="16"/>
        </w:rPr>
        <w:t xml:space="preserve"> (</w:t>
      </w:r>
      <w:proofErr w:type="spellStart"/>
      <w:r w:rsidRPr="006277D0">
        <w:rPr>
          <w:rFonts w:asciiTheme="majorHAnsi" w:hAnsiTheme="majorHAnsi" w:cs="Arial"/>
          <w:color w:val="auto"/>
          <w:sz w:val="16"/>
          <w:szCs w:val="16"/>
        </w:rPr>
        <w:t>edición</w:t>
      </w:r>
      <w:proofErr w:type="spellEnd"/>
      <w:r w:rsidRPr="006277D0">
        <w:rPr>
          <w:rFonts w:asciiTheme="majorHAnsi" w:hAnsiTheme="majorHAnsi" w:cs="Arial"/>
          <w:color w:val="auto"/>
          <w:sz w:val="16"/>
          <w:szCs w:val="16"/>
        </w:rPr>
        <w:t xml:space="preserve"> </w:t>
      </w:r>
      <w:proofErr w:type="spellStart"/>
      <w:r w:rsidRPr="006277D0">
        <w:rPr>
          <w:rFonts w:asciiTheme="majorHAnsi" w:hAnsiTheme="majorHAnsi" w:cs="Arial"/>
          <w:color w:val="auto"/>
          <w:sz w:val="16"/>
          <w:szCs w:val="16"/>
        </w:rPr>
        <w:t>revisada</w:t>
      </w:r>
      <w:proofErr w:type="spellEnd"/>
      <w:r w:rsidRPr="006277D0">
        <w:rPr>
          <w:rFonts w:asciiTheme="majorHAnsi" w:hAnsiTheme="majorHAnsi" w:cs="Arial"/>
          <w:color w:val="auto"/>
          <w:sz w:val="16"/>
          <w:szCs w:val="16"/>
        </w:rPr>
        <w:t>) (</w:t>
      </w:r>
      <w:proofErr w:type="spellStart"/>
      <w:r w:rsidRPr="006277D0">
        <w:rPr>
          <w:rFonts w:asciiTheme="majorHAnsi" w:hAnsiTheme="majorHAnsi" w:cs="Arial"/>
          <w:color w:val="auto"/>
          <w:sz w:val="16"/>
          <w:szCs w:val="16"/>
        </w:rPr>
        <w:t>febrero</w:t>
      </w:r>
      <w:proofErr w:type="spellEnd"/>
      <w:r w:rsidRPr="006277D0">
        <w:rPr>
          <w:rFonts w:asciiTheme="majorHAnsi" w:hAnsiTheme="majorHAnsi" w:cs="Arial"/>
          <w:color w:val="auto"/>
          <w:sz w:val="16"/>
          <w:szCs w:val="16"/>
        </w:rPr>
        <w:t xml:space="preserve"> de 2003), Guideline 10.7 – Investigation, 82.</w:t>
      </w:r>
    </w:p>
  </w:footnote>
  <w:footnote w:id="52">
    <w:p w14:paraId="42B8D002" w14:textId="77777777" w:rsidR="00721292" w:rsidRPr="006277D0" w:rsidRDefault="00721292" w:rsidP="009266DD">
      <w:pPr>
        <w:pStyle w:val="FootnoteText"/>
        <w:rPr>
          <w:rFonts w:asciiTheme="majorHAnsi" w:hAnsiTheme="majorHAnsi"/>
          <w:sz w:val="16"/>
          <w:szCs w:val="16"/>
        </w:rPr>
      </w:pPr>
      <w:r w:rsidRPr="00587810">
        <w:rPr>
          <w:rStyle w:val="FootnoteReference"/>
          <w:rFonts w:asciiTheme="majorHAnsi" w:hAnsiTheme="majorHAnsi"/>
          <w:sz w:val="16"/>
          <w:szCs w:val="16"/>
          <w:lang w:val="es-ES"/>
        </w:rPr>
        <w:footnoteRef/>
      </w:r>
      <w:r w:rsidRPr="006277D0">
        <w:rPr>
          <w:rFonts w:asciiTheme="majorHAnsi" w:hAnsiTheme="majorHAnsi"/>
          <w:sz w:val="16"/>
          <w:szCs w:val="16"/>
        </w:rPr>
        <w:t xml:space="preserve"> </w:t>
      </w:r>
      <w:r w:rsidRPr="006277D0">
        <w:rPr>
          <w:rFonts w:asciiTheme="majorHAnsi" w:hAnsiTheme="majorHAnsi" w:cs="Arial"/>
          <w:color w:val="auto"/>
          <w:sz w:val="16"/>
          <w:szCs w:val="16"/>
        </w:rPr>
        <w:t xml:space="preserve">American Bar Association. </w:t>
      </w:r>
      <w:r w:rsidRPr="006277D0">
        <w:rPr>
          <w:rFonts w:asciiTheme="majorHAnsi" w:hAnsiTheme="majorHAnsi" w:cs="Arial"/>
          <w:i/>
          <w:iCs/>
          <w:color w:val="auto"/>
          <w:sz w:val="16"/>
          <w:szCs w:val="16"/>
        </w:rPr>
        <w:t>Guidelines for the Appointment and Performance of Defense Counsel in Death Penalty Cases</w:t>
      </w:r>
      <w:r w:rsidRPr="006277D0">
        <w:rPr>
          <w:rFonts w:asciiTheme="majorHAnsi" w:hAnsiTheme="majorHAnsi" w:cs="Arial"/>
          <w:color w:val="auto"/>
          <w:sz w:val="16"/>
          <w:szCs w:val="16"/>
        </w:rPr>
        <w:t xml:space="preserve"> (</w:t>
      </w:r>
      <w:proofErr w:type="spellStart"/>
      <w:r w:rsidRPr="006277D0">
        <w:rPr>
          <w:rFonts w:asciiTheme="majorHAnsi" w:hAnsiTheme="majorHAnsi" w:cs="Arial"/>
          <w:color w:val="auto"/>
          <w:sz w:val="16"/>
          <w:szCs w:val="16"/>
        </w:rPr>
        <w:t>edición</w:t>
      </w:r>
      <w:proofErr w:type="spellEnd"/>
      <w:r w:rsidRPr="006277D0">
        <w:rPr>
          <w:rFonts w:asciiTheme="majorHAnsi" w:hAnsiTheme="majorHAnsi" w:cs="Arial"/>
          <w:color w:val="auto"/>
          <w:sz w:val="16"/>
          <w:szCs w:val="16"/>
        </w:rPr>
        <w:t xml:space="preserve"> </w:t>
      </w:r>
      <w:proofErr w:type="spellStart"/>
      <w:r w:rsidRPr="006277D0">
        <w:rPr>
          <w:rFonts w:asciiTheme="majorHAnsi" w:hAnsiTheme="majorHAnsi" w:cs="Arial"/>
          <w:color w:val="auto"/>
          <w:sz w:val="16"/>
          <w:szCs w:val="16"/>
        </w:rPr>
        <w:t>revisada</w:t>
      </w:r>
      <w:proofErr w:type="spellEnd"/>
      <w:r w:rsidRPr="006277D0">
        <w:rPr>
          <w:rFonts w:asciiTheme="majorHAnsi" w:hAnsiTheme="majorHAnsi" w:cs="Arial"/>
          <w:color w:val="auto"/>
          <w:sz w:val="16"/>
          <w:szCs w:val="16"/>
        </w:rPr>
        <w:t>) (</w:t>
      </w:r>
      <w:proofErr w:type="spellStart"/>
      <w:r w:rsidRPr="006277D0">
        <w:rPr>
          <w:rFonts w:asciiTheme="majorHAnsi" w:hAnsiTheme="majorHAnsi" w:cs="Arial"/>
          <w:color w:val="auto"/>
          <w:sz w:val="16"/>
          <w:szCs w:val="16"/>
        </w:rPr>
        <w:t>febrero</w:t>
      </w:r>
      <w:proofErr w:type="spellEnd"/>
      <w:r w:rsidRPr="006277D0">
        <w:rPr>
          <w:rFonts w:asciiTheme="majorHAnsi" w:hAnsiTheme="majorHAnsi" w:cs="Arial"/>
          <w:color w:val="auto"/>
          <w:sz w:val="16"/>
          <w:szCs w:val="16"/>
        </w:rPr>
        <w:t xml:space="preserve"> de 2003), Guideline 10.6B – Additional Obligations of Counsel Representing a Foreign National.</w:t>
      </w:r>
    </w:p>
  </w:footnote>
  <w:footnote w:id="53">
    <w:p w14:paraId="4710C673" w14:textId="77777777" w:rsidR="00721292" w:rsidRPr="00587810" w:rsidRDefault="00721292" w:rsidP="00FF4FE6">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r w:rsidRPr="00973A7C">
        <w:rPr>
          <w:rFonts w:asciiTheme="majorHAnsi" w:hAnsiTheme="majorHAnsi"/>
          <w:spacing w:val="-3"/>
          <w:sz w:val="16"/>
          <w:szCs w:val="16"/>
          <w:lang w:val="es-ES"/>
        </w:rPr>
        <w:t>El artículo</w:t>
      </w:r>
      <w:r w:rsidRPr="00587810">
        <w:rPr>
          <w:rFonts w:asciiTheme="majorHAnsi" w:hAnsiTheme="majorHAnsi"/>
          <w:spacing w:val="-3"/>
          <w:sz w:val="16"/>
          <w:szCs w:val="16"/>
          <w:lang w:val="es-ES"/>
        </w:rPr>
        <w:t xml:space="preserve"> XXV </w:t>
      </w:r>
      <w:r w:rsidRPr="00973A7C">
        <w:rPr>
          <w:rFonts w:asciiTheme="majorHAnsi" w:hAnsiTheme="majorHAnsi"/>
          <w:spacing w:val="-3"/>
          <w:sz w:val="16"/>
          <w:szCs w:val="16"/>
          <w:lang w:val="es-ES"/>
        </w:rPr>
        <w:t>de la Declaración Americana dice</w:t>
      </w:r>
      <w:r w:rsidRPr="00587810">
        <w:rPr>
          <w:rFonts w:asciiTheme="majorHAnsi" w:hAnsiTheme="majorHAnsi"/>
          <w:spacing w:val="-3"/>
          <w:sz w:val="16"/>
          <w:szCs w:val="16"/>
          <w:lang w:val="es-ES"/>
        </w:rPr>
        <w:t>: “</w:t>
      </w:r>
      <w:r w:rsidRPr="00973A7C">
        <w:rPr>
          <w:rFonts w:asciiTheme="majorHAnsi" w:hAnsiTheme="majorHAnsi"/>
          <w:spacing w:val="-3"/>
          <w:sz w:val="16"/>
          <w:szCs w:val="16"/>
          <w:lang w:val="es-ES"/>
        </w:rPr>
        <w:t>Nadie puede ser privado de su libertad sino en los casos y según las formas establecidas por leyes preexistentes</w:t>
      </w:r>
      <w:r>
        <w:rPr>
          <w:rFonts w:asciiTheme="majorHAnsi" w:hAnsiTheme="majorHAnsi"/>
          <w:spacing w:val="-3"/>
          <w:sz w:val="16"/>
          <w:szCs w:val="16"/>
          <w:lang w:val="es-ES"/>
        </w:rPr>
        <w:t>”.</w:t>
      </w:r>
    </w:p>
  </w:footnote>
  <w:footnote w:id="54">
    <w:p w14:paraId="699A0EEE" w14:textId="77777777" w:rsidR="00721292" w:rsidRPr="00587810" w:rsidRDefault="00721292" w:rsidP="00265BAE">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w:t>
      </w:r>
      <w:r w:rsidRPr="00973A7C">
        <w:rPr>
          <w:rFonts w:asciiTheme="majorHAnsi" w:hAnsiTheme="majorHAnsi"/>
          <w:color w:val="auto"/>
          <w:sz w:val="16"/>
          <w:szCs w:val="16"/>
          <w:lang w:val="es-ES"/>
        </w:rPr>
        <w:t>El artículo II de la Declaración Americana dice: “Todas las personas son iguales ante la Ley y tienen los derechos y deberes consagrados en esta declaración sin distinción de raza, sexo, idioma, credo ni otra alguna”.</w:t>
      </w:r>
    </w:p>
  </w:footnote>
  <w:footnote w:id="55">
    <w:p w14:paraId="563BA28B" w14:textId="77777777" w:rsidR="00721292" w:rsidRPr="00587810" w:rsidRDefault="00721292" w:rsidP="002179A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r w:rsidRPr="009A5817">
        <w:rPr>
          <w:rFonts w:asciiTheme="majorHAnsi" w:hAnsiTheme="majorHAnsi"/>
          <w:sz w:val="16"/>
          <w:szCs w:val="16"/>
          <w:lang w:val="es-ES"/>
        </w:rPr>
        <w:t>Al respecto, véase CIDH</w:t>
      </w:r>
      <w:r w:rsidRPr="00587810">
        <w:rPr>
          <w:rFonts w:asciiTheme="majorHAnsi" w:hAnsiTheme="majorHAnsi"/>
          <w:sz w:val="16"/>
          <w:szCs w:val="16"/>
          <w:lang w:val="es-ES"/>
        </w:rPr>
        <w:t xml:space="preserve">. Informe No. 129/17. Caso 12.315. </w:t>
      </w:r>
      <w:r>
        <w:rPr>
          <w:rFonts w:asciiTheme="majorHAnsi" w:hAnsiTheme="majorHAnsi"/>
          <w:sz w:val="16"/>
          <w:szCs w:val="16"/>
          <w:lang w:val="es-ES"/>
        </w:rPr>
        <w:t>Fondo</w:t>
      </w:r>
      <w:r w:rsidRPr="00587810">
        <w:rPr>
          <w:rFonts w:asciiTheme="majorHAnsi" w:hAnsiTheme="majorHAnsi"/>
          <w:sz w:val="16"/>
          <w:szCs w:val="16"/>
          <w:lang w:val="es-ES"/>
        </w:rPr>
        <w:t xml:space="preserve">. Carlos Alberto Fernández </w:t>
      </w:r>
      <w:r>
        <w:rPr>
          <w:rFonts w:asciiTheme="majorHAnsi" w:hAnsiTheme="majorHAnsi"/>
          <w:sz w:val="16"/>
          <w:szCs w:val="16"/>
          <w:lang w:val="es-ES"/>
        </w:rPr>
        <w:t>y</w:t>
      </w:r>
      <w:r w:rsidRPr="00587810">
        <w:rPr>
          <w:rFonts w:asciiTheme="majorHAnsi" w:hAnsiTheme="majorHAnsi"/>
          <w:sz w:val="16"/>
          <w:szCs w:val="16"/>
          <w:lang w:val="es-ES"/>
        </w:rPr>
        <w:t xml:space="preserve"> Carlos Alejandro </w:t>
      </w:r>
      <w:proofErr w:type="spellStart"/>
      <w:r w:rsidRPr="00587810">
        <w:rPr>
          <w:rFonts w:asciiTheme="majorHAnsi" w:hAnsiTheme="majorHAnsi"/>
          <w:sz w:val="16"/>
          <w:szCs w:val="16"/>
          <w:lang w:val="es-ES"/>
        </w:rPr>
        <w:t>Tumbeiro</w:t>
      </w:r>
      <w:proofErr w:type="spellEnd"/>
      <w:r w:rsidRPr="00587810">
        <w:rPr>
          <w:rFonts w:asciiTheme="majorHAnsi" w:hAnsiTheme="majorHAnsi"/>
          <w:sz w:val="16"/>
          <w:szCs w:val="16"/>
          <w:lang w:val="es-ES"/>
        </w:rPr>
        <w:t>. Argentina. 25</w:t>
      </w:r>
      <w:r>
        <w:rPr>
          <w:rFonts w:asciiTheme="majorHAnsi" w:hAnsiTheme="majorHAnsi"/>
          <w:sz w:val="16"/>
          <w:szCs w:val="16"/>
          <w:lang w:val="es-ES"/>
        </w:rPr>
        <w:t xml:space="preserve"> de octubre de</w:t>
      </w:r>
      <w:r w:rsidRPr="00587810">
        <w:rPr>
          <w:rFonts w:asciiTheme="majorHAnsi" w:hAnsiTheme="majorHAnsi"/>
          <w:sz w:val="16"/>
          <w:szCs w:val="16"/>
          <w:lang w:val="es-ES"/>
        </w:rPr>
        <w:t xml:space="preserve"> 2017, párr. 47.</w:t>
      </w:r>
    </w:p>
  </w:footnote>
  <w:footnote w:id="56">
    <w:p w14:paraId="48D77F6B" w14:textId="77777777" w:rsidR="00721292" w:rsidRPr="00587810" w:rsidRDefault="00721292">
      <w:pPr>
        <w:pStyle w:val="FootnoteText"/>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CIDH. </w:t>
      </w:r>
      <w:r w:rsidR="007B36C9">
        <w:fldChar w:fldCharType="begin"/>
      </w:r>
      <w:r w:rsidR="007B36C9" w:rsidRPr="006846BB">
        <w:rPr>
          <w:lang w:val="es-US"/>
        </w:rPr>
        <w:instrText xml:space="preserve"> HYPERLINK "https://www.oas.org/es/cidh/decisiones/corte/2018/12982FondoEs.docx" </w:instrText>
      </w:r>
      <w:r w:rsidR="007B36C9">
        <w:fldChar w:fldCharType="separate"/>
      </w:r>
      <w:r w:rsidRPr="00A4251D">
        <w:rPr>
          <w:rStyle w:val="Hyperlink"/>
          <w:rFonts w:asciiTheme="majorHAnsi" w:hAnsiTheme="majorHAnsi"/>
          <w:sz w:val="16"/>
          <w:szCs w:val="16"/>
          <w:lang w:val="es-ES"/>
        </w:rPr>
        <w:t>Informe No. 24/18. Caso 12.982</w:t>
      </w:r>
      <w:r w:rsidR="007B36C9">
        <w:rPr>
          <w:rStyle w:val="Hyperlink"/>
          <w:rFonts w:asciiTheme="majorHAnsi" w:hAnsiTheme="majorHAnsi"/>
          <w:sz w:val="16"/>
          <w:szCs w:val="16"/>
          <w:lang w:val="es-ES"/>
        </w:rPr>
        <w:fldChar w:fldCharType="end"/>
      </w:r>
      <w:r w:rsidRPr="00587810">
        <w:rPr>
          <w:rFonts w:asciiTheme="majorHAnsi" w:hAnsiTheme="majorHAnsi"/>
          <w:sz w:val="16"/>
          <w:szCs w:val="16"/>
          <w:lang w:val="es-ES"/>
        </w:rPr>
        <w:t xml:space="preserve">. Azul Rojas Marín. </w:t>
      </w:r>
      <w:r>
        <w:rPr>
          <w:rFonts w:asciiTheme="majorHAnsi" w:hAnsiTheme="majorHAnsi"/>
          <w:sz w:val="16"/>
          <w:szCs w:val="16"/>
          <w:lang w:val="es-ES"/>
        </w:rPr>
        <w:t>Fondo</w:t>
      </w:r>
      <w:r w:rsidRPr="00587810">
        <w:rPr>
          <w:rFonts w:asciiTheme="majorHAnsi" w:hAnsiTheme="majorHAnsi"/>
          <w:sz w:val="16"/>
          <w:szCs w:val="16"/>
          <w:lang w:val="es-ES"/>
        </w:rPr>
        <w:t>. Per</w:t>
      </w:r>
      <w:r>
        <w:rPr>
          <w:rFonts w:asciiTheme="majorHAnsi" w:hAnsiTheme="majorHAnsi"/>
          <w:sz w:val="16"/>
          <w:szCs w:val="16"/>
          <w:lang w:val="es-ES"/>
        </w:rPr>
        <w:t>ú</w:t>
      </w:r>
      <w:r w:rsidRPr="00587810">
        <w:rPr>
          <w:rFonts w:asciiTheme="majorHAnsi" w:hAnsiTheme="majorHAnsi"/>
          <w:sz w:val="16"/>
          <w:szCs w:val="16"/>
          <w:lang w:val="es-ES"/>
        </w:rPr>
        <w:t>, párr. 67.</w:t>
      </w:r>
    </w:p>
  </w:footnote>
  <w:footnote w:id="57">
    <w:p w14:paraId="0E400C4F" w14:textId="77777777" w:rsidR="00721292" w:rsidRPr="00587810" w:rsidRDefault="00721292">
      <w:pPr>
        <w:pStyle w:val="FootnoteText"/>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w:t>
      </w:r>
      <w:r>
        <w:rPr>
          <w:rFonts w:asciiTheme="majorHAnsi" w:hAnsiTheme="majorHAnsi"/>
          <w:sz w:val="16"/>
          <w:szCs w:val="16"/>
          <w:lang w:val="es-ES"/>
        </w:rPr>
        <w:t>Véase,</w:t>
      </w:r>
      <w:r w:rsidRPr="00587810">
        <w:rPr>
          <w:rFonts w:asciiTheme="majorHAnsi" w:hAnsiTheme="majorHAnsi"/>
          <w:sz w:val="16"/>
          <w:szCs w:val="16"/>
          <w:lang w:val="es-ES"/>
        </w:rPr>
        <w:t xml:space="preserve"> </w:t>
      </w:r>
      <w:r w:rsidRPr="00587810">
        <w:rPr>
          <w:rFonts w:asciiTheme="majorHAnsi" w:hAnsiTheme="majorHAnsi"/>
          <w:i/>
          <w:iCs/>
          <w:sz w:val="16"/>
          <w:szCs w:val="16"/>
          <w:lang w:val="es-ES"/>
        </w:rPr>
        <w:t xml:space="preserve">mutatis </w:t>
      </w:r>
      <w:proofErr w:type="spellStart"/>
      <w:r w:rsidRPr="00587810">
        <w:rPr>
          <w:rFonts w:asciiTheme="majorHAnsi" w:hAnsiTheme="majorHAnsi"/>
          <w:i/>
          <w:iCs/>
          <w:sz w:val="16"/>
          <w:szCs w:val="16"/>
          <w:lang w:val="es-ES"/>
        </w:rPr>
        <w:t>mutandi</w:t>
      </w:r>
      <w:proofErr w:type="spellEnd"/>
      <w:r w:rsidRPr="00587810">
        <w:rPr>
          <w:rFonts w:asciiTheme="majorHAnsi" w:hAnsiTheme="majorHAnsi"/>
          <w:sz w:val="16"/>
          <w:szCs w:val="16"/>
          <w:lang w:val="es-ES"/>
        </w:rPr>
        <w:t xml:space="preserve">, CIDH. Informe No. 24/18. Caso 12.982. Azul Rojas Marín. </w:t>
      </w:r>
      <w:r>
        <w:rPr>
          <w:rFonts w:asciiTheme="majorHAnsi" w:hAnsiTheme="majorHAnsi"/>
          <w:sz w:val="16"/>
          <w:szCs w:val="16"/>
          <w:lang w:val="es-ES"/>
        </w:rPr>
        <w:t>Fondo</w:t>
      </w:r>
      <w:r w:rsidRPr="00587810">
        <w:rPr>
          <w:rFonts w:asciiTheme="majorHAnsi" w:hAnsiTheme="majorHAnsi"/>
          <w:sz w:val="16"/>
          <w:szCs w:val="16"/>
          <w:lang w:val="es-ES"/>
        </w:rPr>
        <w:t>. Perú</w:t>
      </w:r>
      <w:r>
        <w:rPr>
          <w:rFonts w:asciiTheme="majorHAnsi" w:hAnsiTheme="majorHAnsi"/>
          <w:sz w:val="16"/>
          <w:szCs w:val="16"/>
          <w:lang w:val="es-ES"/>
        </w:rPr>
        <w:t>. 24 de febrero de 2018</w:t>
      </w:r>
      <w:r w:rsidRPr="00587810">
        <w:rPr>
          <w:rFonts w:asciiTheme="majorHAnsi" w:hAnsiTheme="majorHAnsi"/>
          <w:sz w:val="16"/>
          <w:szCs w:val="16"/>
          <w:lang w:val="es-ES"/>
        </w:rPr>
        <w:t>, párr. 67.</w:t>
      </w:r>
    </w:p>
  </w:footnote>
  <w:footnote w:id="58">
    <w:p w14:paraId="4A24DD68" w14:textId="77777777" w:rsidR="00721292" w:rsidRPr="00587810" w:rsidRDefault="00721292" w:rsidP="00FD6361">
      <w:pPr>
        <w:pStyle w:val="FootnoteText"/>
        <w:jc w:val="both"/>
        <w:rPr>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CIDH. Informe No. 129/17. Caso 12.315. </w:t>
      </w:r>
      <w:r>
        <w:rPr>
          <w:rFonts w:asciiTheme="majorHAnsi" w:hAnsiTheme="majorHAnsi"/>
          <w:sz w:val="16"/>
          <w:szCs w:val="16"/>
          <w:lang w:val="es-ES"/>
        </w:rPr>
        <w:t>Fondo</w:t>
      </w:r>
      <w:r w:rsidRPr="00587810">
        <w:rPr>
          <w:rFonts w:asciiTheme="majorHAnsi" w:hAnsiTheme="majorHAnsi"/>
          <w:sz w:val="16"/>
          <w:szCs w:val="16"/>
          <w:lang w:val="es-ES"/>
        </w:rPr>
        <w:t xml:space="preserve">. Carlos Alberto Fernández </w:t>
      </w:r>
      <w:r>
        <w:rPr>
          <w:rFonts w:asciiTheme="majorHAnsi" w:hAnsiTheme="majorHAnsi"/>
          <w:sz w:val="16"/>
          <w:szCs w:val="16"/>
          <w:lang w:val="es-ES"/>
        </w:rPr>
        <w:t>y</w:t>
      </w:r>
      <w:r w:rsidRPr="00587810">
        <w:rPr>
          <w:rFonts w:asciiTheme="majorHAnsi" w:hAnsiTheme="majorHAnsi"/>
          <w:sz w:val="16"/>
          <w:szCs w:val="16"/>
          <w:lang w:val="es-ES"/>
        </w:rPr>
        <w:t xml:space="preserve"> Carlos Alejandro </w:t>
      </w:r>
      <w:proofErr w:type="spellStart"/>
      <w:r w:rsidRPr="00587810">
        <w:rPr>
          <w:rFonts w:asciiTheme="majorHAnsi" w:hAnsiTheme="majorHAnsi"/>
          <w:sz w:val="16"/>
          <w:szCs w:val="16"/>
          <w:lang w:val="es-ES"/>
        </w:rPr>
        <w:t>Tumbeiro</w:t>
      </w:r>
      <w:proofErr w:type="spellEnd"/>
      <w:r w:rsidRPr="00587810">
        <w:rPr>
          <w:rFonts w:asciiTheme="majorHAnsi" w:hAnsiTheme="majorHAnsi"/>
          <w:sz w:val="16"/>
          <w:szCs w:val="16"/>
          <w:lang w:val="es-ES"/>
        </w:rPr>
        <w:t>. Argentina. 25</w:t>
      </w:r>
      <w:r>
        <w:rPr>
          <w:rFonts w:asciiTheme="majorHAnsi" w:hAnsiTheme="majorHAnsi"/>
          <w:sz w:val="16"/>
          <w:szCs w:val="16"/>
          <w:lang w:val="es-ES"/>
        </w:rPr>
        <w:t xml:space="preserve"> de octubre de</w:t>
      </w:r>
      <w:r w:rsidRPr="00587810">
        <w:rPr>
          <w:rFonts w:asciiTheme="majorHAnsi" w:hAnsiTheme="majorHAnsi"/>
          <w:sz w:val="16"/>
          <w:szCs w:val="16"/>
          <w:lang w:val="es-ES"/>
        </w:rPr>
        <w:t xml:space="preserve"> 2017, párr. 49; </w:t>
      </w:r>
      <w:r>
        <w:rPr>
          <w:rFonts w:asciiTheme="majorHAnsi" w:hAnsiTheme="majorHAnsi"/>
          <w:sz w:val="16"/>
          <w:szCs w:val="16"/>
          <w:lang w:val="es-ES"/>
        </w:rPr>
        <w:t>TEDH</w:t>
      </w:r>
      <w:r w:rsidRPr="00587810">
        <w:rPr>
          <w:rFonts w:asciiTheme="majorHAnsi" w:hAnsiTheme="majorHAnsi"/>
          <w:sz w:val="16"/>
          <w:szCs w:val="16"/>
          <w:lang w:val="es-ES"/>
        </w:rPr>
        <w:t xml:space="preserve">. </w:t>
      </w:r>
      <w:r w:rsidR="007B36C9">
        <w:fldChar w:fldCharType="begin"/>
      </w:r>
      <w:r w:rsidR="007B36C9" w:rsidRPr="006846BB">
        <w:rPr>
          <w:lang w:val="es-US"/>
        </w:rPr>
        <w:instrText xml:space="preserve"> HYPERLINK "https://www.mjusticia.gob.es/cs/Satellite/Portal/1292429077000?</w:instrText>
      </w:r>
      <w:r w:rsidR="007B36C9" w:rsidRPr="006846BB">
        <w:rPr>
          <w:lang w:val="es-US"/>
        </w:rPr>
        <w:instrText xml:space="preserve">blobheader=application%2Fpdf&amp;blobheadername1=Content-Disposition&amp;blobheadername2=Grupo&amp;blobheadervalue1=attachment%3B+filename%3DAsunto_Del_R%C3%ADo_Prada.pdf&amp;blobheadervalue2=Docs_TEDH" </w:instrText>
      </w:r>
      <w:r w:rsidR="007B36C9">
        <w:fldChar w:fldCharType="separate"/>
      </w:r>
      <w:r w:rsidRPr="006E184C">
        <w:rPr>
          <w:rStyle w:val="Hyperlink"/>
          <w:rFonts w:asciiTheme="majorHAnsi" w:hAnsiTheme="majorHAnsi"/>
          <w:i/>
          <w:sz w:val="16"/>
          <w:szCs w:val="16"/>
          <w:lang w:val="es-ES"/>
        </w:rPr>
        <w:t>Asunto Del Río Prada c. España</w:t>
      </w:r>
      <w:r w:rsidR="007B36C9">
        <w:rPr>
          <w:rStyle w:val="Hyperlink"/>
          <w:rFonts w:asciiTheme="majorHAnsi" w:hAnsiTheme="majorHAnsi"/>
          <w:i/>
          <w:sz w:val="16"/>
          <w:szCs w:val="16"/>
          <w:lang w:val="es-ES"/>
        </w:rPr>
        <w:fldChar w:fldCharType="end"/>
      </w:r>
      <w:r w:rsidRPr="00587810">
        <w:rPr>
          <w:rFonts w:asciiTheme="majorHAnsi" w:hAnsiTheme="majorHAnsi"/>
          <w:sz w:val="16"/>
          <w:szCs w:val="16"/>
          <w:lang w:val="es-ES"/>
        </w:rPr>
        <w:t xml:space="preserve"> [G</w:t>
      </w:r>
      <w:r>
        <w:rPr>
          <w:rFonts w:asciiTheme="majorHAnsi" w:hAnsiTheme="majorHAnsi"/>
          <w:sz w:val="16"/>
          <w:szCs w:val="16"/>
          <w:lang w:val="es-ES"/>
        </w:rPr>
        <w:t>ran Sala</w:t>
      </w:r>
      <w:r w:rsidRPr="00587810">
        <w:rPr>
          <w:rFonts w:asciiTheme="majorHAnsi" w:hAnsiTheme="majorHAnsi"/>
          <w:sz w:val="16"/>
          <w:szCs w:val="16"/>
          <w:lang w:val="es-ES"/>
        </w:rPr>
        <w:t xml:space="preserve">], </w:t>
      </w:r>
      <w:r>
        <w:rPr>
          <w:rFonts w:asciiTheme="majorHAnsi" w:hAnsiTheme="majorHAnsi"/>
          <w:sz w:val="16"/>
          <w:szCs w:val="16"/>
          <w:lang w:val="es-ES"/>
        </w:rPr>
        <w:t>N</w:t>
      </w:r>
      <w:r w:rsidRPr="00587810">
        <w:rPr>
          <w:rFonts w:asciiTheme="majorHAnsi" w:hAnsiTheme="majorHAnsi"/>
          <w:sz w:val="16"/>
          <w:szCs w:val="16"/>
          <w:lang w:val="es-ES"/>
        </w:rPr>
        <w:t>o. 42750/09. 21</w:t>
      </w:r>
      <w:r>
        <w:rPr>
          <w:rFonts w:asciiTheme="majorHAnsi" w:hAnsiTheme="majorHAnsi"/>
          <w:sz w:val="16"/>
          <w:szCs w:val="16"/>
          <w:lang w:val="es-ES"/>
        </w:rPr>
        <w:t xml:space="preserve"> de octubre de</w:t>
      </w:r>
      <w:r w:rsidRPr="00587810">
        <w:rPr>
          <w:rFonts w:asciiTheme="majorHAnsi" w:hAnsiTheme="majorHAnsi"/>
          <w:sz w:val="16"/>
          <w:szCs w:val="16"/>
          <w:lang w:val="es-ES"/>
        </w:rPr>
        <w:t xml:space="preserve"> 2013, párr. 125.</w:t>
      </w:r>
      <w:r>
        <w:rPr>
          <w:rFonts w:asciiTheme="majorHAnsi" w:hAnsiTheme="majorHAnsi"/>
          <w:sz w:val="16"/>
          <w:szCs w:val="16"/>
          <w:lang w:val="es-ES"/>
        </w:rPr>
        <w:t xml:space="preserve"> Traducción del Ministerio de Justicia de España.</w:t>
      </w:r>
    </w:p>
  </w:footnote>
  <w:footnote w:id="59">
    <w:p w14:paraId="034ECD28" w14:textId="77777777" w:rsidR="00721292" w:rsidRPr="00587810" w:rsidRDefault="00721292" w:rsidP="00265BAE">
      <w:pPr>
        <w:pStyle w:val="FootnoteText"/>
        <w:jc w:val="both"/>
        <w:rPr>
          <w:rFonts w:asciiTheme="majorHAnsi" w:hAnsiTheme="majorHAnsi" w:cstheme="majorHAnsi"/>
          <w:color w:val="auto"/>
          <w:sz w:val="16"/>
          <w:szCs w:val="16"/>
          <w:lang w:val="es-ES"/>
        </w:rPr>
      </w:pPr>
      <w:r w:rsidRPr="00587810">
        <w:rPr>
          <w:rStyle w:val="FootnoteReference"/>
          <w:rFonts w:asciiTheme="majorHAnsi" w:hAnsiTheme="majorHAnsi" w:cstheme="majorHAnsi"/>
          <w:color w:val="auto"/>
          <w:sz w:val="16"/>
          <w:szCs w:val="16"/>
          <w:lang w:val="es-ES"/>
        </w:rPr>
        <w:footnoteRef/>
      </w:r>
      <w:r w:rsidRPr="00587810">
        <w:rPr>
          <w:rFonts w:asciiTheme="majorHAnsi" w:hAnsiTheme="majorHAnsi" w:cstheme="majorHAnsi"/>
          <w:color w:val="auto"/>
          <w:sz w:val="16"/>
          <w:szCs w:val="16"/>
          <w:lang w:val="es-ES"/>
        </w:rPr>
        <w:t xml:space="preserve"> </w:t>
      </w:r>
      <w:r w:rsidRPr="00587810">
        <w:rPr>
          <w:rFonts w:asciiTheme="majorHAnsi" w:hAnsiTheme="majorHAnsi"/>
          <w:color w:val="auto"/>
          <w:sz w:val="16"/>
          <w:szCs w:val="16"/>
          <w:lang w:val="es-ES"/>
        </w:rPr>
        <w:t xml:space="preserve">Corte IDH. </w:t>
      </w:r>
      <w:r w:rsidRPr="003172D8">
        <w:rPr>
          <w:rFonts w:asciiTheme="majorHAnsi" w:hAnsiTheme="majorHAnsi"/>
          <w:i/>
          <w:color w:val="auto"/>
          <w:sz w:val="16"/>
          <w:szCs w:val="16"/>
          <w:lang w:val="es-ES"/>
        </w:rPr>
        <w:t>Condición jurídica y derechos de los migrantes indocumentados</w:t>
      </w:r>
      <w:r>
        <w:rPr>
          <w:rFonts w:asciiTheme="majorHAnsi" w:hAnsiTheme="majorHAnsi"/>
          <w:i/>
          <w:color w:val="auto"/>
          <w:sz w:val="16"/>
          <w:szCs w:val="16"/>
          <w:lang w:val="es-ES"/>
        </w:rPr>
        <w:t>.</w:t>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Opinión Consultiva </w:t>
      </w:r>
      <w:r w:rsidRPr="00587810">
        <w:rPr>
          <w:rFonts w:asciiTheme="majorHAnsi" w:hAnsiTheme="majorHAnsi"/>
          <w:color w:val="auto"/>
          <w:sz w:val="16"/>
          <w:szCs w:val="16"/>
          <w:lang w:val="es-ES"/>
        </w:rPr>
        <w:t xml:space="preserve">OC-18/03 </w:t>
      </w:r>
      <w:r>
        <w:rPr>
          <w:rFonts w:asciiTheme="majorHAnsi" w:hAnsiTheme="majorHAnsi"/>
          <w:color w:val="auto"/>
          <w:sz w:val="16"/>
          <w:szCs w:val="16"/>
          <w:lang w:val="es-ES"/>
        </w:rPr>
        <w:t xml:space="preserve">de </w:t>
      </w:r>
      <w:r w:rsidRPr="00587810">
        <w:rPr>
          <w:rFonts w:asciiTheme="majorHAnsi" w:hAnsiTheme="majorHAnsi"/>
          <w:color w:val="auto"/>
          <w:sz w:val="16"/>
          <w:szCs w:val="16"/>
          <w:lang w:val="es-ES"/>
        </w:rPr>
        <w:t>17</w:t>
      </w:r>
      <w:r>
        <w:rPr>
          <w:rFonts w:asciiTheme="majorHAnsi" w:hAnsiTheme="majorHAnsi"/>
          <w:color w:val="auto"/>
          <w:sz w:val="16"/>
          <w:szCs w:val="16"/>
          <w:lang w:val="es-ES"/>
        </w:rPr>
        <w:t xml:space="preserve"> de septiembre de</w:t>
      </w:r>
      <w:r w:rsidRPr="00587810">
        <w:rPr>
          <w:rFonts w:asciiTheme="majorHAnsi" w:hAnsiTheme="majorHAnsi"/>
          <w:color w:val="auto"/>
          <w:sz w:val="16"/>
          <w:szCs w:val="16"/>
          <w:lang w:val="es-ES"/>
        </w:rPr>
        <w:t xml:space="preserve"> 2003, párr.</w:t>
      </w:r>
      <w:r w:rsidRPr="00587810">
        <w:rPr>
          <w:rFonts w:asciiTheme="majorHAnsi" w:hAnsiTheme="majorHAnsi" w:cstheme="majorHAnsi"/>
          <w:color w:val="auto"/>
          <w:sz w:val="16"/>
          <w:szCs w:val="16"/>
          <w:lang w:val="es-ES"/>
        </w:rPr>
        <w:t xml:space="preserve"> 101. </w:t>
      </w:r>
      <w:r>
        <w:rPr>
          <w:rFonts w:asciiTheme="majorHAnsi" w:hAnsiTheme="majorHAnsi" w:cstheme="majorHAnsi"/>
          <w:color w:val="auto"/>
          <w:sz w:val="16"/>
          <w:szCs w:val="16"/>
          <w:lang w:val="es-ES"/>
        </w:rPr>
        <w:t xml:space="preserve">Véase también </w:t>
      </w:r>
      <w:r w:rsidRPr="00587810">
        <w:rPr>
          <w:rFonts w:asciiTheme="majorHAnsi" w:hAnsiTheme="majorHAnsi" w:cstheme="majorHAnsi"/>
          <w:color w:val="auto"/>
          <w:sz w:val="16"/>
          <w:szCs w:val="16"/>
          <w:lang w:val="es-ES"/>
        </w:rPr>
        <w:t>CIDH. Informe No. 50/16</w:t>
      </w:r>
      <w:r>
        <w:rPr>
          <w:rFonts w:asciiTheme="majorHAnsi" w:hAnsiTheme="majorHAnsi" w:cstheme="majorHAnsi"/>
          <w:color w:val="auto"/>
          <w:sz w:val="16"/>
          <w:szCs w:val="16"/>
          <w:lang w:val="es-ES"/>
        </w:rPr>
        <w:t>.</w:t>
      </w:r>
      <w:r w:rsidRPr="00587810">
        <w:rPr>
          <w:rFonts w:asciiTheme="majorHAnsi" w:hAnsiTheme="majorHAnsi" w:cstheme="majorHAnsi"/>
          <w:color w:val="auto"/>
          <w:sz w:val="16"/>
          <w:szCs w:val="16"/>
          <w:lang w:val="es-ES"/>
        </w:rPr>
        <w:t xml:space="preserve"> Caso 12.834</w:t>
      </w:r>
      <w:r>
        <w:rPr>
          <w:rFonts w:asciiTheme="majorHAnsi" w:hAnsiTheme="majorHAnsi" w:cstheme="majorHAnsi"/>
          <w:color w:val="auto"/>
          <w:sz w:val="16"/>
          <w:szCs w:val="16"/>
          <w:lang w:val="es-ES"/>
        </w:rPr>
        <w:t>.</w:t>
      </w:r>
      <w:r w:rsidRPr="00587810">
        <w:rPr>
          <w:rFonts w:asciiTheme="majorHAnsi" w:hAnsiTheme="majorHAnsi" w:cstheme="majorHAnsi"/>
          <w:color w:val="auto"/>
          <w:sz w:val="16"/>
          <w:szCs w:val="16"/>
          <w:lang w:val="es-ES"/>
        </w:rPr>
        <w:t xml:space="preserve"> Fondo (Publicación)</w:t>
      </w:r>
      <w:r w:rsidRPr="006E184C">
        <w:rPr>
          <w:rFonts w:asciiTheme="majorHAnsi" w:hAnsiTheme="majorHAnsi" w:cstheme="majorHAnsi"/>
          <w:color w:val="auto"/>
          <w:sz w:val="16"/>
          <w:szCs w:val="16"/>
          <w:lang w:val="es-ES"/>
        </w:rPr>
        <w:t>. Trabajadores indocumentados. Estados Unidos. 30 de noviembre de 2016</w:t>
      </w:r>
      <w:r w:rsidRPr="00587810">
        <w:rPr>
          <w:rFonts w:asciiTheme="majorHAnsi" w:hAnsiTheme="majorHAnsi" w:cstheme="majorHAnsi"/>
          <w:color w:val="auto"/>
          <w:sz w:val="16"/>
          <w:szCs w:val="16"/>
          <w:lang w:val="es-ES"/>
        </w:rPr>
        <w:t>, párr. 72.</w:t>
      </w:r>
    </w:p>
  </w:footnote>
  <w:footnote w:id="60">
    <w:p w14:paraId="01211A01" w14:textId="77777777" w:rsidR="00721292" w:rsidRPr="00587810" w:rsidRDefault="00721292" w:rsidP="00265BAE">
      <w:pPr>
        <w:pStyle w:val="Footnotes"/>
        <w:spacing w:after="0"/>
        <w:ind w:firstLine="0"/>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CIDH. </w:t>
      </w:r>
      <w:r w:rsidR="007B36C9">
        <w:fldChar w:fldCharType="begin"/>
      </w:r>
      <w:r w:rsidR="007B36C9" w:rsidRPr="006846BB">
        <w:rPr>
          <w:lang w:val="es-US"/>
        </w:rPr>
        <w:instrText xml:space="preserve"> HYPERLINK "https://www.oas.org/es/cidh/decisiones/2016/USPU12834ES.pdf" </w:instrText>
      </w:r>
      <w:r w:rsidR="007B36C9">
        <w:fldChar w:fldCharType="separate"/>
      </w:r>
      <w:r w:rsidRPr="003172D8">
        <w:rPr>
          <w:rStyle w:val="Hyperlink"/>
          <w:rFonts w:asciiTheme="majorHAnsi" w:hAnsiTheme="majorHAnsi"/>
          <w:sz w:val="16"/>
          <w:szCs w:val="16"/>
          <w:lang w:val="es-ES"/>
        </w:rPr>
        <w:t>Informe No. 50/16. Caso 12.834</w:t>
      </w:r>
      <w:r w:rsidR="007B36C9">
        <w:rPr>
          <w:rStyle w:val="Hyperlink"/>
          <w:rFonts w:asciiTheme="majorHAnsi" w:hAnsiTheme="majorHAnsi"/>
          <w:sz w:val="16"/>
          <w:szCs w:val="16"/>
          <w:lang w:val="es-ES"/>
        </w:rPr>
        <w:fldChar w:fldCharType="end"/>
      </w:r>
      <w:r>
        <w:rPr>
          <w:rFonts w:asciiTheme="majorHAnsi" w:hAnsiTheme="majorHAnsi"/>
          <w:sz w:val="16"/>
          <w:szCs w:val="16"/>
          <w:lang w:val="es-ES"/>
        </w:rPr>
        <w:t>.</w:t>
      </w:r>
      <w:r w:rsidRPr="00587810">
        <w:rPr>
          <w:rFonts w:asciiTheme="majorHAnsi" w:hAnsiTheme="majorHAnsi"/>
          <w:sz w:val="16"/>
          <w:szCs w:val="16"/>
          <w:lang w:val="es-ES"/>
        </w:rPr>
        <w:t xml:space="preserve"> Fondo (Publicación)</w:t>
      </w:r>
      <w:r>
        <w:rPr>
          <w:rFonts w:asciiTheme="majorHAnsi" w:hAnsiTheme="majorHAnsi"/>
          <w:sz w:val="16"/>
          <w:szCs w:val="16"/>
          <w:lang w:val="es-ES"/>
        </w:rPr>
        <w:t>.</w:t>
      </w:r>
      <w:r w:rsidRPr="00587810">
        <w:rPr>
          <w:rFonts w:asciiTheme="majorHAnsi" w:hAnsiTheme="majorHAnsi"/>
          <w:sz w:val="16"/>
          <w:szCs w:val="16"/>
          <w:lang w:val="es-ES"/>
        </w:rPr>
        <w:t xml:space="preserve"> </w:t>
      </w:r>
      <w:r>
        <w:rPr>
          <w:rFonts w:asciiTheme="majorHAnsi" w:hAnsiTheme="majorHAnsi"/>
          <w:sz w:val="16"/>
          <w:szCs w:val="16"/>
          <w:lang w:val="es-ES"/>
        </w:rPr>
        <w:t>Trabajadores indocumentados.</w:t>
      </w:r>
      <w:r w:rsidRPr="00587810">
        <w:rPr>
          <w:rFonts w:asciiTheme="majorHAnsi" w:hAnsiTheme="majorHAnsi"/>
          <w:sz w:val="16"/>
          <w:szCs w:val="16"/>
          <w:lang w:val="es-ES"/>
        </w:rPr>
        <w:t xml:space="preserve"> Estados Unidos</w:t>
      </w:r>
      <w:r>
        <w:rPr>
          <w:rFonts w:asciiTheme="majorHAnsi" w:hAnsiTheme="majorHAnsi"/>
          <w:sz w:val="16"/>
          <w:szCs w:val="16"/>
          <w:lang w:val="es-ES"/>
        </w:rPr>
        <w:t>.</w:t>
      </w:r>
      <w:r w:rsidRPr="00587810">
        <w:rPr>
          <w:rFonts w:asciiTheme="majorHAnsi" w:hAnsiTheme="majorHAnsi"/>
          <w:sz w:val="16"/>
          <w:szCs w:val="16"/>
          <w:lang w:val="es-ES"/>
        </w:rPr>
        <w:t xml:space="preserve"> 30</w:t>
      </w:r>
      <w:r>
        <w:rPr>
          <w:rFonts w:asciiTheme="majorHAnsi" w:hAnsiTheme="majorHAnsi"/>
          <w:sz w:val="16"/>
          <w:szCs w:val="16"/>
          <w:lang w:val="es-ES"/>
        </w:rPr>
        <w:t xml:space="preserve"> de noviembre de</w:t>
      </w:r>
      <w:r w:rsidRPr="00587810">
        <w:rPr>
          <w:rFonts w:asciiTheme="majorHAnsi" w:hAnsiTheme="majorHAnsi"/>
          <w:sz w:val="16"/>
          <w:szCs w:val="16"/>
          <w:lang w:val="es-ES"/>
        </w:rPr>
        <w:t xml:space="preserve"> 2016, párr. 75. </w:t>
      </w:r>
    </w:p>
  </w:footnote>
  <w:footnote w:id="61">
    <w:p w14:paraId="6DEF3AC1" w14:textId="77777777" w:rsidR="00721292" w:rsidRPr="00587810" w:rsidRDefault="00721292" w:rsidP="00265BAE">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Véase, por ejemplo, </w:t>
      </w:r>
      <w:r w:rsidR="007B36C9">
        <w:fldChar w:fldCharType="begin"/>
      </w:r>
      <w:r w:rsidR="007B36C9" w:rsidRPr="006846BB">
        <w:rPr>
          <w:lang w:val="es-US"/>
        </w:rPr>
        <w:instrText xml:space="preserve"> HYPERLINK "http://www.corteidh.or.cr/docs/casos/articulos/seriec_246_esp.pdf" </w:instrText>
      </w:r>
      <w:r w:rsidR="007B36C9">
        <w:fldChar w:fldCharType="separate"/>
      </w:r>
      <w:r w:rsidRPr="003172D8">
        <w:rPr>
          <w:rStyle w:val="Hyperlink"/>
          <w:rFonts w:asciiTheme="majorHAnsi" w:hAnsiTheme="majorHAnsi"/>
          <w:sz w:val="16"/>
          <w:szCs w:val="16"/>
          <w:lang w:val="es-ES"/>
        </w:rPr>
        <w:t>Corte IDH.</w:t>
      </w:r>
      <w:r w:rsidRPr="003172D8">
        <w:rPr>
          <w:rStyle w:val="Hyperlink"/>
          <w:rFonts w:asciiTheme="majorHAnsi" w:eastAsia="Times New Roman" w:hAnsiTheme="majorHAnsi"/>
          <w:bCs/>
          <w:sz w:val="16"/>
          <w:szCs w:val="16"/>
          <w:lang w:val="es-ES"/>
        </w:rPr>
        <w:t xml:space="preserve"> </w:t>
      </w:r>
      <w:proofErr w:type="spellStart"/>
      <w:r w:rsidRPr="003172D8">
        <w:rPr>
          <w:rStyle w:val="Hyperlink"/>
          <w:rFonts w:asciiTheme="majorHAnsi" w:eastAsia="Times New Roman" w:hAnsiTheme="majorHAnsi"/>
          <w:bCs/>
          <w:sz w:val="16"/>
          <w:szCs w:val="16"/>
          <w:lang w:val="es-ES"/>
        </w:rPr>
        <w:t>Furlan</w:t>
      </w:r>
      <w:proofErr w:type="spellEnd"/>
      <w:r w:rsidRPr="003172D8">
        <w:rPr>
          <w:rStyle w:val="Hyperlink"/>
          <w:rFonts w:asciiTheme="majorHAnsi" w:eastAsia="Times New Roman" w:hAnsiTheme="majorHAnsi"/>
          <w:bCs/>
          <w:sz w:val="16"/>
          <w:szCs w:val="16"/>
          <w:lang w:val="es-ES"/>
        </w:rPr>
        <w:t xml:space="preserve"> y familiares vs. Argentina</w:t>
      </w:r>
      <w:r w:rsidR="007B36C9">
        <w:rPr>
          <w:rStyle w:val="Hyperlink"/>
          <w:rFonts w:asciiTheme="majorHAnsi" w:eastAsia="Times New Roman" w:hAnsiTheme="majorHAnsi"/>
          <w:bCs/>
          <w:sz w:val="16"/>
          <w:szCs w:val="16"/>
          <w:lang w:val="es-ES"/>
        </w:rPr>
        <w:fldChar w:fldCharType="end"/>
      </w:r>
      <w:r w:rsidRPr="00587810">
        <w:rPr>
          <w:rFonts w:asciiTheme="majorHAnsi" w:eastAsia="Times New Roman" w:hAnsiTheme="majorHAnsi"/>
          <w:bCs/>
          <w:color w:val="auto"/>
          <w:sz w:val="16"/>
          <w:szCs w:val="16"/>
          <w:lang w:val="es-ES"/>
        </w:rPr>
        <w:t xml:space="preserve">. </w:t>
      </w:r>
      <w:r>
        <w:rPr>
          <w:rFonts w:asciiTheme="majorHAnsi" w:eastAsia="Times New Roman" w:hAnsiTheme="majorHAnsi"/>
          <w:bCs/>
          <w:color w:val="auto"/>
          <w:sz w:val="16"/>
          <w:szCs w:val="16"/>
          <w:lang w:val="es-ES"/>
        </w:rPr>
        <w:t xml:space="preserve">Sentencia de </w:t>
      </w:r>
      <w:r w:rsidRPr="00587810">
        <w:rPr>
          <w:rFonts w:asciiTheme="majorHAnsi" w:eastAsia="Times New Roman" w:hAnsiTheme="majorHAnsi"/>
          <w:bCs/>
          <w:color w:val="auto"/>
          <w:sz w:val="16"/>
          <w:szCs w:val="16"/>
          <w:lang w:val="es-ES"/>
        </w:rPr>
        <w:t>31</w:t>
      </w:r>
      <w:r>
        <w:rPr>
          <w:rFonts w:asciiTheme="majorHAnsi" w:eastAsia="Times New Roman" w:hAnsiTheme="majorHAnsi"/>
          <w:bCs/>
          <w:color w:val="auto"/>
          <w:sz w:val="16"/>
          <w:szCs w:val="16"/>
          <w:lang w:val="es-ES"/>
        </w:rPr>
        <w:t xml:space="preserve"> de agosto de </w:t>
      </w:r>
      <w:r w:rsidRPr="00587810">
        <w:rPr>
          <w:rFonts w:asciiTheme="majorHAnsi" w:eastAsia="Times New Roman" w:hAnsiTheme="majorHAnsi"/>
          <w:bCs/>
          <w:color w:val="auto"/>
          <w:sz w:val="16"/>
          <w:szCs w:val="16"/>
          <w:lang w:val="es-ES"/>
        </w:rPr>
        <w:t>2012, párr. 267.</w:t>
      </w:r>
    </w:p>
  </w:footnote>
  <w:footnote w:id="62">
    <w:p w14:paraId="0DADFD44" w14:textId="77777777" w:rsidR="00721292" w:rsidRPr="00587810" w:rsidRDefault="00721292" w:rsidP="00265BAE">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CIDH. </w:t>
      </w:r>
      <w:r w:rsidR="007B36C9">
        <w:fldChar w:fldCharType="begin"/>
      </w:r>
      <w:r w:rsidR="007B36C9" w:rsidRPr="006846BB">
        <w:rPr>
          <w:lang w:val="es-US"/>
        </w:rPr>
        <w:instrText xml:space="preserve"> HYPERLINK "http://www.cidh.org/Terrorism/Span/n.htm" </w:instrText>
      </w:r>
      <w:r w:rsidR="007B36C9">
        <w:fldChar w:fldCharType="separate"/>
      </w:r>
      <w:r w:rsidRPr="003172D8">
        <w:rPr>
          <w:rStyle w:val="Hyperlink"/>
          <w:rFonts w:asciiTheme="majorHAnsi" w:hAnsiTheme="majorHAnsi"/>
          <w:i/>
          <w:sz w:val="16"/>
          <w:szCs w:val="16"/>
          <w:lang w:val="es-ES"/>
        </w:rPr>
        <w:t>Informe sobre terrorismo y derechos humanos</w:t>
      </w:r>
      <w:r w:rsidR="007B36C9">
        <w:rPr>
          <w:rStyle w:val="Hyperlink"/>
          <w:rFonts w:asciiTheme="majorHAnsi" w:hAnsiTheme="majorHAnsi"/>
          <w:i/>
          <w:sz w:val="16"/>
          <w:szCs w:val="16"/>
          <w:lang w:val="es-ES"/>
        </w:rPr>
        <w:fldChar w:fldCharType="end"/>
      </w:r>
      <w:r w:rsidRPr="00587810">
        <w:rPr>
          <w:rFonts w:asciiTheme="majorHAnsi" w:hAnsiTheme="majorHAnsi"/>
          <w:color w:val="auto"/>
          <w:sz w:val="16"/>
          <w:szCs w:val="16"/>
          <w:lang w:val="es-ES"/>
        </w:rPr>
        <w:t xml:space="preserve"> (2002), párr. 338.</w:t>
      </w:r>
    </w:p>
  </w:footnote>
  <w:footnote w:id="63">
    <w:p w14:paraId="66D9C370" w14:textId="77777777" w:rsidR="00721292" w:rsidRPr="006277D0" w:rsidRDefault="00721292" w:rsidP="00265BAE">
      <w:pPr>
        <w:pStyle w:val="FootnoteText"/>
        <w:rPr>
          <w:lang w:val="pt-BR"/>
        </w:rPr>
      </w:pPr>
      <w:r w:rsidRPr="00587810">
        <w:rPr>
          <w:rStyle w:val="FootnoteReference"/>
          <w:rFonts w:asciiTheme="majorHAnsi" w:hAnsiTheme="majorHAnsi"/>
          <w:color w:val="auto"/>
          <w:sz w:val="16"/>
          <w:szCs w:val="16"/>
          <w:lang w:val="es-ES"/>
        </w:rPr>
        <w:footnoteRef/>
      </w:r>
      <w:r w:rsidRPr="00587810">
        <w:rPr>
          <w:rStyle w:val="FootnoteReference"/>
          <w:rFonts w:asciiTheme="majorHAnsi" w:hAnsiTheme="majorHAnsi"/>
          <w:color w:val="auto"/>
          <w:sz w:val="16"/>
          <w:szCs w:val="16"/>
          <w:lang w:val="es-ES"/>
        </w:rPr>
        <w:t xml:space="preserve"> </w:t>
      </w:r>
      <w:r>
        <w:rPr>
          <w:rFonts w:asciiTheme="majorHAnsi" w:hAnsiTheme="majorHAnsi"/>
          <w:color w:val="auto"/>
          <w:sz w:val="16"/>
          <w:szCs w:val="16"/>
          <w:lang w:val="es-ES"/>
        </w:rPr>
        <w:t xml:space="preserve">CIDH. </w:t>
      </w:r>
      <w:r w:rsidR="007B36C9">
        <w:fldChar w:fldCharType="begin"/>
      </w:r>
      <w:r w:rsidR="007B36C9" w:rsidRPr="006846BB">
        <w:rPr>
          <w:lang w:val="es-US"/>
        </w:rPr>
        <w:instrText xml:space="preserve"> HYPERLINK "http://www.oas.org/es/cidh/informes/pdfs/ViolenciaPolicialAfrosEEUU.pdf" </w:instrText>
      </w:r>
      <w:r w:rsidR="007B36C9">
        <w:fldChar w:fldCharType="separate"/>
      </w:r>
      <w:r w:rsidRPr="00951651">
        <w:rPr>
          <w:rStyle w:val="Hyperlink"/>
          <w:rFonts w:asciiTheme="majorHAnsi" w:hAnsiTheme="majorHAnsi"/>
          <w:i/>
          <w:sz w:val="16"/>
          <w:szCs w:val="16"/>
          <w:lang w:val="es-ES"/>
        </w:rPr>
        <w:t>Violencia policial contra afrodescendientes en Estados Unidos</w:t>
      </w:r>
      <w:r w:rsidR="007B36C9">
        <w:rPr>
          <w:rStyle w:val="Hyperlink"/>
          <w:rFonts w:asciiTheme="majorHAnsi" w:hAnsiTheme="majorHAnsi"/>
          <w:i/>
          <w:sz w:val="16"/>
          <w:szCs w:val="16"/>
          <w:lang w:val="es-ES"/>
        </w:rPr>
        <w:fldChar w:fldCharType="end"/>
      </w:r>
      <w:r w:rsidRPr="00587810">
        <w:rPr>
          <w:rFonts w:asciiTheme="majorHAnsi" w:hAnsiTheme="majorHAnsi"/>
          <w:color w:val="auto"/>
          <w:sz w:val="16"/>
          <w:szCs w:val="16"/>
          <w:lang w:val="es-ES"/>
        </w:rPr>
        <w:t xml:space="preserve">. </w:t>
      </w:r>
      <w:r w:rsidRPr="006277D0">
        <w:rPr>
          <w:rFonts w:asciiTheme="majorHAnsi" w:hAnsiTheme="majorHAnsi"/>
          <w:color w:val="auto"/>
          <w:sz w:val="16"/>
          <w:szCs w:val="16"/>
          <w:lang w:val="pt-BR"/>
        </w:rPr>
        <w:t>26 de noviembre de 2018, párr. 195.</w:t>
      </w:r>
    </w:p>
  </w:footnote>
  <w:footnote w:id="64">
    <w:p w14:paraId="4B2B8032" w14:textId="77777777" w:rsidR="00721292" w:rsidRPr="00587810" w:rsidRDefault="00721292" w:rsidP="00265BAE">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6277D0">
        <w:rPr>
          <w:rFonts w:asciiTheme="majorHAnsi" w:hAnsiTheme="majorHAnsi"/>
          <w:color w:val="auto"/>
          <w:sz w:val="16"/>
          <w:szCs w:val="16"/>
          <w:lang w:val="pt-BR"/>
        </w:rPr>
        <w:t xml:space="preserve"> CIDH. </w:t>
      </w:r>
      <w:r w:rsidR="007B36C9">
        <w:fldChar w:fldCharType="begin"/>
      </w:r>
      <w:r w:rsidR="007B36C9" w:rsidRPr="006846BB">
        <w:rPr>
          <w:lang w:val="es-US"/>
        </w:rPr>
        <w:instrText xml:space="preserve"> HYPERLINK "https://www.cidh.oas.org/annualrep/97span/EstadosUnidos11.139c.htm" </w:instrText>
      </w:r>
      <w:r w:rsidR="007B36C9">
        <w:fldChar w:fldCharType="separate"/>
      </w:r>
      <w:r w:rsidRPr="006277D0">
        <w:rPr>
          <w:rStyle w:val="Hyperlink"/>
          <w:rFonts w:asciiTheme="majorHAnsi" w:hAnsiTheme="majorHAnsi"/>
          <w:sz w:val="16"/>
          <w:szCs w:val="16"/>
          <w:lang w:val="pt-BR"/>
        </w:rPr>
        <w:t>Informe No. 57/97. Caso 11.139</w:t>
      </w:r>
      <w:r w:rsidR="007B36C9">
        <w:rPr>
          <w:rStyle w:val="Hyperlink"/>
          <w:rFonts w:asciiTheme="majorHAnsi" w:hAnsiTheme="majorHAnsi"/>
          <w:sz w:val="16"/>
          <w:szCs w:val="16"/>
          <w:lang w:val="pt-BR"/>
        </w:rPr>
        <w:fldChar w:fldCharType="end"/>
      </w:r>
      <w:r w:rsidRPr="006277D0">
        <w:rPr>
          <w:rFonts w:asciiTheme="majorHAnsi" w:hAnsiTheme="majorHAnsi"/>
          <w:color w:val="auto"/>
          <w:sz w:val="16"/>
          <w:szCs w:val="16"/>
          <w:lang w:val="pt-BR"/>
        </w:rPr>
        <w:t xml:space="preserve">. William Andrews. </w:t>
      </w:r>
      <w:r>
        <w:rPr>
          <w:rFonts w:asciiTheme="majorHAnsi" w:hAnsiTheme="majorHAnsi"/>
          <w:color w:val="auto"/>
          <w:sz w:val="16"/>
          <w:szCs w:val="16"/>
          <w:lang w:val="es-ES"/>
        </w:rPr>
        <w:t>Fondo.</w:t>
      </w:r>
      <w:r w:rsidRPr="00587810">
        <w:rPr>
          <w:rFonts w:asciiTheme="majorHAnsi" w:hAnsiTheme="majorHAnsi"/>
          <w:color w:val="auto"/>
          <w:sz w:val="16"/>
          <w:szCs w:val="16"/>
          <w:lang w:val="es-ES"/>
        </w:rPr>
        <w:t xml:space="preserve"> Estados Unidos</w:t>
      </w:r>
      <w:r>
        <w:rPr>
          <w:rFonts w:asciiTheme="majorHAnsi" w:hAnsiTheme="majorHAnsi"/>
          <w:color w:val="auto"/>
          <w:sz w:val="16"/>
          <w:szCs w:val="16"/>
          <w:lang w:val="es-ES"/>
        </w:rPr>
        <w:t xml:space="preserve">. </w:t>
      </w:r>
      <w:r w:rsidRPr="00587810">
        <w:rPr>
          <w:rFonts w:asciiTheme="majorHAnsi" w:hAnsiTheme="majorHAnsi"/>
          <w:color w:val="auto"/>
          <w:sz w:val="16"/>
          <w:szCs w:val="16"/>
          <w:lang w:val="es-ES"/>
        </w:rPr>
        <w:t>6</w:t>
      </w:r>
      <w:r>
        <w:rPr>
          <w:rFonts w:asciiTheme="majorHAnsi" w:hAnsiTheme="majorHAnsi"/>
          <w:color w:val="auto"/>
          <w:sz w:val="16"/>
          <w:szCs w:val="16"/>
          <w:lang w:val="es-ES"/>
        </w:rPr>
        <w:t xml:space="preserve"> de diciembre de</w:t>
      </w:r>
      <w:r w:rsidRPr="00587810">
        <w:rPr>
          <w:rFonts w:asciiTheme="majorHAnsi" w:hAnsiTheme="majorHAnsi"/>
          <w:color w:val="auto"/>
          <w:sz w:val="16"/>
          <w:szCs w:val="16"/>
          <w:lang w:val="es-ES"/>
        </w:rPr>
        <w:t xml:space="preserve"> 1996, párr. 165. </w:t>
      </w:r>
    </w:p>
  </w:footnote>
  <w:footnote w:id="65">
    <w:p w14:paraId="5EE1D634" w14:textId="77777777" w:rsidR="00721292" w:rsidRPr="00587810" w:rsidRDefault="00721292" w:rsidP="00265BAE">
      <w:pPr>
        <w:pStyle w:val="FootnoteText"/>
        <w:jc w:val="both"/>
        <w:rPr>
          <w:lang w:val="es-ES"/>
        </w:rPr>
      </w:pPr>
      <w:r w:rsidRPr="00587810">
        <w:rPr>
          <w:rStyle w:val="FootnoteReference"/>
          <w:rFonts w:asciiTheme="majorHAnsi" w:hAnsiTheme="majorHAnsi"/>
          <w:color w:val="auto"/>
          <w:sz w:val="16"/>
          <w:szCs w:val="16"/>
          <w:lang w:val="es-ES"/>
        </w:rPr>
        <w:footnoteRef/>
      </w:r>
      <w:r w:rsidRPr="00587810">
        <w:rPr>
          <w:rStyle w:val="FootnoteReference"/>
          <w:rFonts w:asciiTheme="majorHAnsi" w:hAnsiTheme="majorHAnsi"/>
          <w:color w:val="auto"/>
          <w:sz w:val="16"/>
          <w:szCs w:val="16"/>
          <w:lang w:val="es-ES"/>
        </w:rPr>
        <w:t xml:space="preserve"> </w:t>
      </w:r>
      <w:r w:rsidRPr="00587810">
        <w:rPr>
          <w:rFonts w:asciiTheme="majorHAnsi" w:hAnsiTheme="majorHAnsi"/>
          <w:color w:val="auto"/>
          <w:sz w:val="16"/>
          <w:szCs w:val="16"/>
          <w:lang w:val="es-ES"/>
        </w:rPr>
        <w:t>CIDH. Informe No. 78/15</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Caso 12.831. Fondo (Publicación). Kevin Cooper. </w:t>
      </w:r>
      <w:r>
        <w:rPr>
          <w:rFonts w:asciiTheme="majorHAnsi" w:hAnsiTheme="majorHAnsi"/>
          <w:color w:val="auto"/>
          <w:sz w:val="16"/>
          <w:szCs w:val="16"/>
          <w:lang w:val="es-ES"/>
        </w:rPr>
        <w:t xml:space="preserve">Estados Unidos. </w:t>
      </w:r>
      <w:r w:rsidRPr="00587810">
        <w:rPr>
          <w:rFonts w:asciiTheme="majorHAnsi" w:hAnsiTheme="majorHAnsi"/>
          <w:color w:val="auto"/>
          <w:sz w:val="16"/>
          <w:szCs w:val="16"/>
          <w:lang w:val="es-ES"/>
        </w:rPr>
        <w:t>28</w:t>
      </w:r>
      <w:r>
        <w:rPr>
          <w:rFonts w:asciiTheme="majorHAnsi" w:hAnsiTheme="majorHAnsi"/>
          <w:color w:val="auto"/>
          <w:sz w:val="16"/>
          <w:szCs w:val="16"/>
          <w:lang w:val="es-ES"/>
        </w:rPr>
        <w:t xml:space="preserve"> de octubre de</w:t>
      </w:r>
      <w:r w:rsidRPr="00587810">
        <w:rPr>
          <w:rFonts w:asciiTheme="majorHAnsi" w:hAnsiTheme="majorHAnsi"/>
          <w:color w:val="auto"/>
          <w:sz w:val="16"/>
          <w:szCs w:val="16"/>
          <w:lang w:val="es-ES"/>
        </w:rPr>
        <w:t xml:space="preserve"> 2015, párr. 146.</w:t>
      </w:r>
    </w:p>
  </w:footnote>
  <w:footnote w:id="66">
    <w:p w14:paraId="18E37324" w14:textId="77777777" w:rsidR="00721292" w:rsidRPr="00587810" w:rsidRDefault="00721292" w:rsidP="009136CF">
      <w:pPr>
        <w:pStyle w:val="FootnoteText"/>
        <w:rPr>
          <w:lang w:val="es-ES"/>
        </w:rPr>
      </w:pPr>
      <w:r w:rsidRPr="00587810">
        <w:rPr>
          <w:rStyle w:val="FootnoteReference"/>
          <w:rFonts w:asciiTheme="majorHAnsi" w:hAnsiTheme="majorHAnsi"/>
          <w:color w:val="auto"/>
          <w:sz w:val="16"/>
          <w:szCs w:val="16"/>
          <w:lang w:val="es-ES"/>
        </w:rPr>
        <w:footnoteRef/>
      </w:r>
      <w:r w:rsidRPr="00587810">
        <w:rPr>
          <w:rStyle w:val="FootnoteReference"/>
          <w:rFonts w:asciiTheme="majorHAnsi" w:hAnsiTheme="majorHAnsi"/>
          <w:color w:val="auto"/>
          <w:sz w:val="16"/>
          <w:szCs w:val="16"/>
          <w:lang w:val="es-ES"/>
        </w:rPr>
        <w:t xml:space="preserve"> </w:t>
      </w:r>
      <w:r>
        <w:rPr>
          <w:rFonts w:asciiTheme="majorHAnsi" w:hAnsiTheme="majorHAnsi"/>
          <w:color w:val="auto"/>
          <w:sz w:val="16"/>
          <w:szCs w:val="16"/>
          <w:lang w:val="es-ES"/>
        </w:rPr>
        <w:t xml:space="preserve">CIDH. </w:t>
      </w:r>
      <w:r w:rsidR="007B36C9">
        <w:fldChar w:fldCharType="begin"/>
      </w:r>
      <w:r w:rsidR="007B36C9" w:rsidRPr="006846BB">
        <w:rPr>
          <w:lang w:val="es-US"/>
        </w:rPr>
        <w:instrText xml:space="preserve"> HYPERLINK "http://www.oas.org/es/cidh/informes/pdfs/ViolenciaPolicialAfrosEEUU.pdf" </w:instrText>
      </w:r>
      <w:r w:rsidR="007B36C9">
        <w:fldChar w:fldCharType="separate"/>
      </w:r>
      <w:r w:rsidRPr="00951651">
        <w:rPr>
          <w:rStyle w:val="Hyperlink"/>
          <w:rFonts w:asciiTheme="majorHAnsi" w:hAnsiTheme="majorHAnsi"/>
          <w:i/>
          <w:sz w:val="16"/>
          <w:szCs w:val="16"/>
          <w:lang w:val="es-ES"/>
        </w:rPr>
        <w:t>Violencia policial contra afrodescendientes en Estados Unidos</w:t>
      </w:r>
      <w:r w:rsidR="007B36C9">
        <w:rPr>
          <w:rStyle w:val="Hyperlink"/>
          <w:rFonts w:asciiTheme="majorHAnsi" w:hAnsiTheme="majorHAnsi"/>
          <w:i/>
          <w:sz w:val="16"/>
          <w:szCs w:val="16"/>
          <w:lang w:val="es-ES"/>
        </w:rPr>
        <w:fldChar w:fldCharType="end"/>
      </w:r>
      <w:r w:rsidRPr="00587810">
        <w:rPr>
          <w:rFonts w:asciiTheme="majorHAnsi" w:hAnsiTheme="majorHAnsi"/>
          <w:color w:val="auto"/>
          <w:sz w:val="16"/>
          <w:szCs w:val="16"/>
          <w:lang w:val="es-ES"/>
        </w:rPr>
        <w:t>. 26</w:t>
      </w:r>
      <w:r>
        <w:rPr>
          <w:rFonts w:asciiTheme="majorHAnsi" w:hAnsiTheme="majorHAnsi"/>
          <w:color w:val="auto"/>
          <w:sz w:val="16"/>
          <w:szCs w:val="16"/>
          <w:lang w:val="es-ES"/>
        </w:rPr>
        <w:t xml:space="preserve"> de noviembre de</w:t>
      </w:r>
      <w:r w:rsidRPr="00587810">
        <w:rPr>
          <w:rFonts w:asciiTheme="majorHAnsi" w:hAnsiTheme="majorHAnsi"/>
          <w:color w:val="auto"/>
          <w:sz w:val="16"/>
          <w:szCs w:val="16"/>
          <w:lang w:val="es-ES"/>
        </w:rPr>
        <w:t xml:space="preserve"> 2018, párr. 77.</w:t>
      </w:r>
    </w:p>
  </w:footnote>
  <w:footnote w:id="67">
    <w:p w14:paraId="68C4F548" w14:textId="77777777" w:rsidR="00721292" w:rsidRPr="00587810" w:rsidRDefault="00721292" w:rsidP="008E1322">
      <w:pPr>
        <w:pStyle w:val="FootnoteText"/>
        <w:jc w:val="both"/>
        <w:rPr>
          <w:rFonts w:asciiTheme="majorHAnsi" w:hAnsiTheme="majorHAnsi"/>
          <w:color w:val="auto"/>
          <w:sz w:val="16"/>
          <w:szCs w:val="16"/>
          <w:lang w:val="es-ES"/>
        </w:rPr>
      </w:pPr>
      <w:r w:rsidRPr="00587810">
        <w:rPr>
          <w:rStyle w:val="FootnoteReference"/>
          <w:rFonts w:asciiTheme="majorHAnsi" w:hAnsiTheme="majorHAnsi"/>
          <w:sz w:val="16"/>
          <w:szCs w:val="16"/>
          <w:lang w:val="es-ES"/>
        </w:rPr>
        <w:footnoteRef/>
      </w:r>
      <w:r w:rsidRPr="00587810">
        <w:rPr>
          <w:rStyle w:val="FootnoteReference"/>
          <w:rFonts w:asciiTheme="majorHAnsi" w:hAnsiTheme="majorHAnsi"/>
          <w:sz w:val="16"/>
          <w:szCs w:val="16"/>
          <w:lang w:val="es-ES"/>
        </w:rPr>
        <w:t xml:space="preserve"> </w:t>
      </w:r>
      <w:r w:rsidRPr="00577337">
        <w:rPr>
          <w:rFonts w:asciiTheme="majorHAnsi" w:hAnsiTheme="majorHAnsi"/>
          <w:color w:val="auto"/>
          <w:sz w:val="16"/>
          <w:szCs w:val="16"/>
          <w:lang w:val="es-ES"/>
        </w:rPr>
        <w:t>El artículo XXV de la Declaración Americana dice: “[…] Todo individuo que haya sido privado de su libertad […] Tiene derecho también a un tratamiento humano durante la privación de su libertad”.</w:t>
      </w:r>
    </w:p>
    <w:p w14:paraId="6702B6C0" w14:textId="77777777" w:rsidR="00721292" w:rsidRPr="00587810" w:rsidRDefault="00721292" w:rsidP="008E1322">
      <w:pPr>
        <w:pStyle w:val="FootnoteText"/>
        <w:jc w:val="both"/>
        <w:rPr>
          <w:lang w:val="es-ES"/>
        </w:rPr>
      </w:pPr>
      <w:r w:rsidRPr="00577337">
        <w:rPr>
          <w:rFonts w:asciiTheme="majorHAnsi" w:hAnsiTheme="majorHAnsi"/>
          <w:color w:val="auto"/>
          <w:sz w:val="16"/>
          <w:szCs w:val="16"/>
          <w:lang w:val="es-ES"/>
        </w:rPr>
        <w:t>El artículo XXVI of la Declaración Americana dice: “[…] Toda persona acusada de delito tiene derecho a […] que no se le imponga penas crueles, infamantes o inusitadas”</w:t>
      </w:r>
      <w:r>
        <w:rPr>
          <w:rFonts w:asciiTheme="majorHAnsi" w:hAnsiTheme="majorHAnsi"/>
          <w:color w:val="auto"/>
          <w:sz w:val="16"/>
          <w:szCs w:val="16"/>
          <w:lang w:val="es-ES"/>
        </w:rPr>
        <w:t>.</w:t>
      </w:r>
    </w:p>
  </w:footnote>
  <w:footnote w:id="68">
    <w:p w14:paraId="6E29DDA8" w14:textId="77777777" w:rsidR="00721292" w:rsidRPr="00587810" w:rsidRDefault="00721292" w:rsidP="009266DD">
      <w:pPr>
        <w:pStyle w:val="FootnoteText"/>
        <w:jc w:val="both"/>
        <w:rPr>
          <w:rFonts w:ascii="Cambria" w:hAnsi="Cambria"/>
          <w:sz w:val="16"/>
          <w:szCs w:val="16"/>
          <w:lang w:val="es-ES"/>
        </w:rPr>
      </w:pPr>
      <w:r w:rsidRPr="00587810">
        <w:rPr>
          <w:rStyle w:val="FootnoteReference"/>
          <w:rFonts w:ascii="Cambria" w:hAnsi="Cambria"/>
          <w:sz w:val="16"/>
          <w:szCs w:val="16"/>
          <w:lang w:val="es-ES"/>
        </w:rPr>
        <w:footnoteRef/>
      </w:r>
      <w:r w:rsidRPr="00587810">
        <w:rPr>
          <w:rFonts w:ascii="Cambria" w:hAnsi="Cambria"/>
          <w:sz w:val="16"/>
          <w:szCs w:val="16"/>
          <w:lang w:val="es-ES"/>
        </w:rPr>
        <w:t xml:space="preserve"> CIDH. Informe No. 44/14</w:t>
      </w:r>
      <w:r>
        <w:rPr>
          <w:rFonts w:ascii="Cambria" w:hAnsi="Cambria"/>
          <w:sz w:val="16"/>
          <w:szCs w:val="16"/>
          <w:lang w:val="es-ES"/>
        </w:rPr>
        <w:t>.</w:t>
      </w:r>
      <w:r w:rsidRPr="00587810">
        <w:rPr>
          <w:rFonts w:ascii="Cambria" w:hAnsi="Cambria"/>
          <w:sz w:val="16"/>
          <w:szCs w:val="16"/>
          <w:lang w:val="es-ES"/>
        </w:rPr>
        <w:t xml:space="preserve"> Caso 12.873. Fondo (Publicación). Edgar Tamayo Arias. </w:t>
      </w:r>
      <w:r>
        <w:rPr>
          <w:rFonts w:ascii="Cambria" w:hAnsi="Cambria"/>
          <w:sz w:val="16"/>
          <w:szCs w:val="16"/>
          <w:lang w:val="es-ES"/>
        </w:rPr>
        <w:t xml:space="preserve">Estados Unidos. </w:t>
      </w:r>
      <w:r w:rsidRPr="00587810">
        <w:rPr>
          <w:rFonts w:ascii="Cambria" w:hAnsi="Cambria"/>
          <w:sz w:val="16"/>
          <w:szCs w:val="16"/>
          <w:lang w:val="es-ES"/>
        </w:rPr>
        <w:t>17</w:t>
      </w:r>
      <w:r>
        <w:rPr>
          <w:rFonts w:ascii="Cambria" w:hAnsi="Cambria"/>
          <w:sz w:val="16"/>
          <w:szCs w:val="16"/>
          <w:lang w:val="es-ES"/>
        </w:rPr>
        <w:t xml:space="preserve"> de julio de</w:t>
      </w:r>
      <w:r w:rsidRPr="00587810">
        <w:rPr>
          <w:rFonts w:ascii="Cambria" w:hAnsi="Cambria"/>
          <w:sz w:val="16"/>
          <w:szCs w:val="16"/>
          <w:lang w:val="es-ES"/>
        </w:rPr>
        <w:t xml:space="preserve"> 2014, párr. 189.</w:t>
      </w:r>
    </w:p>
  </w:footnote>
  <w:footnote w:id="69">
    <w:p w14:paraId="5729642D" w14:textId="77777777" w:rsidR="00721292" w:rsidRPr="006277D0" w:rsidRDefault="00721292" w:rsidP="009266DD">
      <w:pPr>
        <w:pStyle w:val="FootnoteText"/>
        <w:jc w:val="both"/>
        <w:rPr>
          <w:rFonts w:ascii="Cambria" w:hAnsi="Cambria"/>
          <w:sz w:val="16"/>
          <w:szCs w:val="16"/>
        </w:rPr>
      </w:pPr>
      <w:r w:rsidRPr="00587810">
        <w:rPr>
          <w:rStyle w:val="FootnoteReference"/>
          <w:rFonts w:ascii="Cambria" w:hAnsi="Cambria"/>
          <w:sz w:val="16"/>
          <w:szCs w:val="16"/>
          <w:lang w:val="es-ES"/>
        </w:rPr>
        <w:footnoteRef/>
      </w:r>
      <w:r w:rsidRPr="00587810">
        <w:rPr>
          <w:rFonts w:ascii="Cambria" w:hAnsi="Cambria"/>
          <w:sz w:val="16"/>
          <w:szCs w:val="16"/>
          <w:lang w:val="es-ES"/>
        </w:rPr>
        <w:t xml:space="preserve"> CIDH. Informe No. 44/14, Caso 12.873. Fondo (Publicación). Edgar Tamayo Arias. </w:t>
      </w:r>
      <w:r w:rsidRPr="00B24C0F">
        <w:rPr>
          <w:rFonts w:ascii="Cambria" w:hAnsi="Cambria"/>
          <w:sz w:val="16"/>
          <w:szCs w:val="16"/>
          <w:lang w:val="es-US"/>
        </w:rPr>
        <w:t xml:space="preserve">Estados Unidos. </w:t>
      </w:r>
      <w:r w:rsidRPr="006277D0">
        <w:rPr>
          <w:rFonts w:ascii="Cambria" w:hAnsi="Cambria"/>
          <w:sz w:val="16"/>
          <w:szCs w:val="16"/>
        </w:rPr>
        <w:t xml:space="preserve">17 de </w:t>
      </w:r>
      <w:proofErr w:type="spellStart"/>
      <w:r w:rsidRPr="006277D0">
        <w:rPr>
          <w:rFonts w:ascii="Cambria" w:hAnsi="Cambria"/>
          <w:sz w:val="16"/>
          <w:szCs w:val="16"/>
        </w:rPr>
        <w:t>julio</w:t>
      </w:r>
      <w:proofErr w:type="spellEnd"/>
      <w:r w:rsidRPr="006277D0">
        <w:rPr>
          <w:rFonts w:ascii="Cambria" w:hAnsi="Cambria"/>
          <w:sz w:val="16"/>
          <w:szCs w:val="16"/>
        </w:rPr>
        <w:t xml:space="preserve"> de 2014, </w:t>
      </w:r>
      <w:proofErr w:type="spellStart"/>
      <w:r w:rsidRPr="006277D0">
        <w:rPr>
          <w:rFonts w:ascii="Cambria" w:hAnsi="Cambria"/>
          <w:sz w:val="16"/>
          <w:szCs w:val="16"/>
        </w:rPr>
        <w:t>párr</w:t>
      </w:r>
      <w:proofErr w:type="spellEnd"/>
      <w:r w:rsidRPr="006277D0">
        <w:rPr>
          <w:rFonts w:ascii="Cambria" w:hAnsi="Cambria"/>
          <w:sz w:val="16"/>
          <w:szCs w:val="16"/>
        </w:rPr>
        <w:t>. 190.</w:t>
      </w:r>
    </w:p>
  </w:footnote>
  <w:footnote w:id="70">
    <w:p w14:paraId="69F4ECC9" w14:textId="77777777" w:rsidR="00721292" w:rsidRPr="00064312" w:rsidRDefault="00721292" w:rsidP="009266DD">
      <w:pPr>
        <w:pStyle w:val="FootnoteText"/>
        <w:jc w:val="both"/>
        <w:rPr>
          <w:rFonts w:ascii="Cambria" w:hAnsi="Cambria"/>
          <w:sz w:val="16"/>
          <w:szCs w:val="16"/>
          <w:lang w:val="es-ES"/>
        </w:rPr>
      </w:pPr>
      <w:r w:rsidRPr="00064312">
        <w:rPr>
          <w:rStyle w:val="FootnoteReference"/>
          <w:rFonts w:ascii="Cambria" w:hAnsi="Cambria"/>
          <w:sz w:val="16"/>
          <w:szCs w:val="16"/>
          <w:lang w:val="es-ES"/>
        </w:rPr>
        <w:footnoteRef/>
      </w:r>
      <w:r w:rsidRPr="006277D0">
        <w:rPr>
          <w:rFonts w:ascii="Cambria" w:hAnsi="Cambria"/>
          <w:sz w:val="16"/>
          <w:szCs w:val="16"/>
        </w:rPr>
        <w:t xml:space="preserve"> </w:t>
      </w:r>
      <w:r w:rsidRPr="006277D0">
        <w:rPr>
          <w:rFonts w:ascii="Cambria" w:hAnsi="Cambria"/>
          <w:i/>
          <w:iCs/>
          <w:sz w:val="16"/>
          <w:szCs w:val="16"/>
        </w:rPr>
        <w:t>The death penalty and the absolute prohibition of Torture and Cruel, Inhuman, and Degrading Treatment or Punishment</w:t>
      </w:r>
      <w:r w:rsidRPr="006277D0">
        <w:rPr>
          <w:rFonts w:ascii="Cambria" w:hAnsi="Cambria"/>
          <w:sz w:val="16"/>
          <w:szCs w:val="16"/>
        </w:rPr>
        <w:t xml:space="preserve">. </w:t>
      </w:r>
      <w:r w:rsidRPr="00064312">
        <w:rPr>
          <w:rFonts w:ascii="Cambria" w:hAnsi="Cambria"/>
          <w:sz w:val="16"/>
          <w:szCs w:val="16"/>
          <w:lang w:val="es-ES"/>
        </w:rPr>
        <w:t xml:space="preserve">Juan E. Mendez, </w:t>
      </w:r>
      <w:r w:rsidRPr="00064312">
        <w:rPr>
          <w:rFonts w:ascii="Cambria" w:hAnsi="Cambria"/>
          <w:i/>
          <w:iCs/>
          <w:sz w:val="16"/>
          <w:szCs w:val="16"/>
          <w:lang w:val="es-ES"/>
        </w:rPr>
        <w:t xml:space="preserve">Human </w:t>
      </w:r>
      <w:proofErr w:type="spellStart"/>
      <w:r w:rsidRPr="00064312">
        <w:rPr>
          <w:rFonts w:ascii="Cambria" w:hAnsi="Cambria"/>
          <w:i/>
          <w:iCs/>
          <w:sz w:val="16"/>
          <w:szCs w:val="16"/>
          <w:lang w:val="es-ES"/>
        </w:rPr>
        <w:t>Rights</w:t>
      </w:r>
      <w:proofErr w:type="spellEnd"/>
      <w:r w:rsidRPr="00064312">
        <w:rPr>
          <w:rFonts w:ascii="Cambria" w:hAnsi="Cambria"/>
          <w:i/>
          <w:iCs/>
          <w:sz w:val="16"/>
          <w:szCs w:val="16"/>
          <w:lang w:val="es-ES"/>
        </w:rPr>
        <w:t xml:space="preserve"> </w:t>
      </w:r>
      <w:proofErr w:type="spellStart"/>
      <w:r w:rsidRPr="00064312">
        <w:rPr>
          <w:rFonts w:ascii="Cambria" w:hAnsi="Cambria"/>
          <w:i/>
          <w:iCs/>
          <w:sz w:val="16"/>
          <w:szCs w:val="16"/>
          <w:lang w:val="es-ES"/>
        </w:rPr>
        <w:t>Brief</w:t>
      </w:r>
      <w:proofErr w:type="spellEnd"/>
      <w:r w:rsidRPr="00064312">
        <w:rPr>
          <w:rFonts w:ascii="Cambria" w:hAnsi="Cambria"/>
          <w:sz w:val="16"/>
          <w:szCs w:val="16"/>
          <w:lang w:val="es-ES"/>
        </w:rPr>
        <w:t xml:space="preserve">, Volumen 20, número 1, artículo 1, p. 3. </w:t>
      </w:r>
    </w:p>
  </w:footnote>
  <w:footnote w:id="71">
    <w:p w14:paraId="742CBE12" w14:textId="77777777" w:rsidR="00721292" w:rsidRPr="00587810" w:rsidRDefault="00721292" w:rsidP="009266DD">
      <w:pPr>
        <w:pStyle w:val="FootnoteText"/>
        <w:jc w:val="both"/>
        <w:rPr>
          <w:rFonts w:ascii="Cambria" w:hAnsi="Cambria"/>
          <w:sz w:val="16"/>
          <w:szCs w:val="16"/>
          <w:lang w:val="es-ES"/>
        </w:rPr>
      </w:pPr>
      <w:r w:rsidRPr="00CB50DB">
        <w:rPr>
          <w:rStyle w:val="FootnoteReference"/>
          <w:rFonts w:ascii="Cambria" w:hAnsi="Cambria"/>
          <w:sz w:val="16"/>
          <w:szCs w:val="16"/>
          <w:lang w:val="es-ES"/>
        </w:rPr>
        <w:footnoteRef/>
      </w:r>
      <w:r w:rsidRPr="00CB50DB">
        <w:rPr>
          <w:rFonts w:ascii="Cambria" w:hAnsi="Cambria"/>
          <w:sz w:val="16"/>
          <w:szCs w:val="16"/>
          <w:lang w:val="es-ES"/>
        </w:rPr>
        <w:t xml:space="preserve"> Comité contra la Tortura. </w:t>
      </w:r>
      <w:r w:rsidRPr="00CB50DB">
        <w:rPr>
          <w:rFonts w:ascii="Cambria" w:hAnsi="Cambria"/>
          <w:i/>
          <w:iCs/>
          <w:sz w:val="16"/>
          <w:szCs w:val="16"/>
          <w:lang w:val="es-ES"/>
        </w:rPr>
        <w:t>Examen de los informes presentados por los Estados Partes en virtud del artículo 19 de la Convención. Estados Unidos de América.</w:t>
      </w:r>
      <w:r w:rsidRPr="00CB50DB">
        <w:rPr>
          <w:rFonts w:ascii="Cambria" w:hAnsi="Cambria"/>
          <w:sz w:val="16"/>
          <w:szCs w:val="16"/>
          <w:lang w:val="es-ES"/>
        </w:rPr>
        <w:t xml:space="preserve"> </w:t>
      </w:r>
      <w:r w:rsidRPr="00587810">
        <w:rPr>
          <w:rFonts w:ascii="Cambria" w:hAnsi="Cambria"/>
          <w:sz w:val="16"/>
          <w:szCs w:val="16"/>
          <w:lang w:val="es-ES"/>
        </w:rPr>
        <w:t>CAT/C/USA/CO/2, 25</w:t>
      </w:r>
      <w:r>
        <w:rPr>
          <w:rFonts w:ascii="Cambria" w:hAnsi="Cambria"/>
          <w:sz w:val="16"/>
          <w:szCs w:val="16"/>
          <w:lang w:val="es-ES"/>
        </w:rPr>
        <w:t xml:space="preserve"> de julio de</w:t>
      </w:r>
      <w:r w:rsidRPr="00587810">
        <w:rPr>
          <w:rFonts w:ascii="Cambria" w:hAnsi="Cambria"/>
          <w:sz w:val="16"/>
          <w:szCs w:val="16"/>
          <w:lang w:val="es-ES"/>
        </w:rPr>
        <w:t xml:space="preserve"> 2006, párr. 31.</w:t>
      </w:r>
    </w:p>
  </w:footnote>
  <w:footnote w:id="72">
    <w:p w14:paraId="7384BDAF" w14:textId="77777777" w:rsidR="00721292" w:rsidRPr="00587810" w:rsidRDefault="00721292" w:rsidP="009266DD">
      <w:pPr>
        <w:pStyle w:val="FootnoteText"/>
        <w:jc w:val="both"/>
        <w:rPr>
          <w:rFonts w:asciiTheme="majorHAnsi" w:hAnsiTheme="majorHAnsi"/>
          <w:sz w:val="16"/>
          <w:szCs w:val="16"/>
          <w:lang w:val="es-ES"/>
        </w:rPr>
      </w:pPr>
      <w:r w:rsidRPr="00587810">
        <w:rPr>
          <w:rStyle w:val="FootnoteReference"/>
          <w:rFonts w:asciiTheme="majorHAnsi" w:hAnsiTheme="majorHAnsi"/>
          <w:sz w:val="16"/>
          <w:szCs w:val="16"/>
          <w:lang w:val="es-ES"/>
        </w:rPr>
        <w:footnoteRef/>
      </w:r>
      <w:r w:rsidRPr="00587810">
        <w:rPr>
          <w:rFonts w:asciiTheme="majorHAnsi" w:hAnsiTheme="majorHAnsi"/>
          <w:sz w:val="16"/>
          <w:szCs w:val="16"/>
          <w:lang w:val="es-ES"/>
        </w:rPr>
        <w:t xml:space="preserve"> https://www.cleveland.com/news/2019/02/gov-mike-dewine-freezes-all-ohio-executions-while-new-method-developed.html</w:t>
      </w:r>
      <w:r>
        <w:rPr>
          <w:rFonts w:asciiTheme="majorHAnsi" w:hAnsiTheme="majorHAnsi"/>
          <w:sz w:val="16"/>
          <w:szCs w:val="16"/>
          <w:lang w:val="es-ES"/>
        </w:rPr>
        <w:t>.</w:t>
      </w:r>
    </w:p>
  </w:footnote>
  <w:footnote w:id="73">
    <w:p w14:paraId="466DDA3C" w14:textId="77777777" w:rsidR="00721292" w:rsidRPr="00587810" w:rsidRDefault="00721292" w:rsidP="009266DD">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Style w:val="FootnoteReference"/>
          <w:rFonts w:asciiTheme="majorHAnsi" w:hAnsiTheme="majorHAnsi"/>
          <w:color w:val="auto"/>
          <w:sz w:val="16"/>
          <w:szCs w:val="16"/>
          <w:lang w:val="es-ES"/>
        </w:rPr>
        <w:t xml:space="preserve"> </w:t>
      </w:r>
      <w:r w:rsidRPr="00587810">
        <w:rPr>
          <w:rFonts w:asciiTheme="majorHAnsi" w:hAnsiTheme="majorHAnsi"/>
          <w:color w:val="auto"/>
          <w:sz w:val="16"/>
          <w:szCs w:val="16"/>
          <w:lang w:val="es-ES"/>
        </w:rPr>
        <w:t>CIDH. Informe No. 71/18</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Caso 12.958. </w:t>
      </w:r>
      <w:r>
        <w:rPr>
          <w:rFonts w:asciiTheme="majorHAnsi" w:hAnsiTheme="majorHAnsi"/>
          <w:color w:val="auto"/>
          <w:sz w:val="16"/>
          <w:szCs w:val="16"/>
          <w:lang w:val="es-ES"/>
        </w:rPr>
        <w:t>Fondo</w:t>
      </w:r>
      <w:r w:rsidRPr="00587810">
        <w:rPr>
          <w:rFonts w:asciiTheme="majorHAnsi" w:hAnsiTheme="majorHAnsi"/>
          <w:color w:val="auto"/>
          <w:sz w:val="16"/>
          <w:szCs w:val="16"/>
          <w:lang w:val="es-ES"/>
        </w:rPr>
        <w:t xml:space="preserve">. Russell </w:t>
      </w:r>
      <w:proofErr w:type="spellStart"/>
      <w:r w:rsidRPr="00587810">
        <w:rPr>
          <w:rFonts w:asciiTheme="majorHAnsi" w:hAnsiTheme="majorHAnsi"/>
          <w:color w:val="auto"/>
          <w:sz w:val="16"/>
          <w:szCs w:val="16"/>
          <w:lang w:val="es-ES"/>
        </w:rPr>
        <w:t>Bucklew</w:t>
      </w:r>
      <w:proofErr w:type="spellEnd"/>
      <w:r w:rsidRPr="00587810">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Estados Unidos. </w:t>
      </w:r>
      <w:r w:rsidRPr="00587810">
        <w:rPr>
          <w:rFonts w:asciiTheme="majorHAnsi" w:hAnsiTheme="majorHAnsi"/>
          <w:color w:val="auto"/>
          <w:sz w:val="16"/>
          <w:szCs w:val="16"/>
          <w:lang w:val="es-ES"/>
        </w:rPr>
        <w:t>10</w:t>
      </w:r>
      <w:r>
        <w:rPr>
          <w:rFonts w:asciiTheme="majorHAnsi" w:hAnsiTheme="majorHAnsi"/>
          <w:color w:val="auto"/>
          <w:sz w:val="16"/>
          <w:szCs w:val="16"/>
          <w:lang w:val="es-ES"/>
        </w:rPr>
        <w:t xml:space="preserve"> de mayo de</w:t>
      </w:r>
      <w:r w:rsidRPr="00587810">
        <w:rPr>
          <w:rFonts w:asciiTheme="majorHAnsi" w:hAnsiTheme="majorHAnsi"/>
          <w:color w:val="auto"/>
          <w:sz w:val="16"/>
          <w:szCs w:val="16"/>
          <w:lang w:val="es-ES"/>
        </w:rPr>
        <w:t xml:space="preserve"> 2018</w:t>
      </w:r>
      <w:r>
        <w:rPr>
          <w:rFonts w:asciiTheme="majorHAnsi" w:hAnsiTheme="majorHAnsi"/>
          <w:color w:val="auto"/>
          <w:sz w:val="16"/>
          <w:szCs w:val="16"/>
          <w:lang w:val="es-ES"/>
        </w:rPr>
        <w:t xml:space="preserve">, </w:t>
      </w:r>
      <w:proofErr w:type="spellStart"/>
      <w:r>
        <w:rPr>
          <w:rFonts w:asciiTheme="majorHAnsi" w:hAnsiTheme="majorHAnsi"/>
          <w:color w:val="auto"/>
          <w:sz w:val="16"/>
          <w:szCs w:val="16"/>
          <w:lang w:val="es-ES"/>
        </w:rPr>
        <w:t>párrs</w:t>
      </w:r>
      <w:proofErr w:type="spellEnd"/>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86</w:t>
      </w:r>
      <w:r>
        <w:rPr>
          <w:rFonts w:asciiTheme="majorHAnsi" w:hAnsiTheme="majorHAnsi"/>
          <w:color w:val="auto"/>
          <w:sz w:val="16"/>
          <w:szCs w:val="16"/>
          <w:lang w:val="es-ES"/>
        </w:rPr>
        <w:t xml:space="preserve"> a </w:t>
      </w:r>
      <w:r w:rsidRPr="00587810">
        <w:rPr>
          <w:rFonts w:asciiTheme="majorHAnsi" w:hAnsiTheme="majorHAnsi"/>
          <w:color w:val="auto"/>
          <w:sz w:val="16"/>
          <w:szCs w:val="16"/>
          <w:lang w:val="es-ES"/>
        </w:rPr>
        <w:t xml:space="preserve">90. </w:t>
      </w:r>
      <w:r>
        <w:rPr>
          <w:rFonts w:asciiTheme="majorHAnsi" w:hAnsiTheme="majorHAnsi"/>
          <w:color w:val="auto"/>
          <w:sz w:val="16"/>
          <w:szCs w:val="16"/>
          <w:lang w:val="es-ES"/>
        </w:rPr>
        <w:t xml:space="preserve">En este informe, la Comisión cita varios avances </w:t>
      </w:r>
      <w:r w:rsidRPr="00CB50DB">
        <w:rPr>
          <w:rFonts w:asciiTheme="majorHAnsi" w:hAnsiTheme="majorHAnsi"/>
          <w:color w:val="auto"/>
          <w:sz w:val="16"/>
          <w:szCs w:val="16"/>
          <w:lang w:val="es-ES"/>
        </w:rPr>
        <w:t>en el sistema interamericano y en otros sistemas de protección, entre ellos los sistemas regionales y el sistema de las Naciones Unidas</w:t>
      </w:r>
      <w:r w:rsidRPr="00587810">
        <w:rPr>
          <w:rFonts w:asciiTheme="majorHAnsi" w:hAnsiTheme="majorHAnsi"/>
          <w:color w:val="auto"/>
          <w:sz w:val="16"/>
          <w:szCs w:val="16"/>
          <w:lang w:val="es-ES"/>
        </w:rPr>
        <w:t>.</w:t>
      </w:r>
    </w:p>
  </w:footnote>
  <w:footnote w:id="74">
    <w:p w14:paraId="7F5A0CC8" w14:textId="77777777" w:rsidR="00721292" w:rsidRPr="00587810" w:rsidRDefault="00721292" w:rsidP="009266DD">
      <w:pPr>
        <w:pStyle w:val="FootnoteText"/>
        <w:tabs>
          <w:tab w:val="left" w:pos="0"/>
        </w:tabs>
        <w:jc w:val="both"/>
        <w:rPr>
          <w:lang w:val="es-ES"/>
        </w:rPr>
      </w:pPr>
      <w:r w:rsidRPr="00587810">
        <w:rPr>
          <w:rStyle w:val="FootnoteReference"/>
          <w:rFonts w:asciiTheme="majorHAnsi" w:hAnsiTheme="majorHAnsi"/>
          <w:color w:val="auto"/>
          <w:sz w:val="16"/>
          <w:szCs w:val="16"/>
          <w:lang w:val="es-ES"/>
        </w:rPr>
        <w:footnoteRef/>
      </w:r>
      <w:r w:rsidRPr="00587810">
        <w:rPr>
          <w:rStyle w:val="FootnoteReference"/>
          <w:rFonts w:asciiTheme="majorHAnsi" w:hAnsiTheme="majorHAnsi"/>
          <w:color w:val="auto"/>
          <w:sz w:val="16"/>
          <w:szCs w:val="16"/>
          <w:lang w:val="es-ES"/>
        </w:rPr>
        <w:t xml:space="preserve"> </w:t>
      </w:r>
      <w:r w:rsidRPr="00587810">
        <w:rPr>
          <w:rFonts w:asciiTheme="majorHAnsi" w:hAnsiTheme="majorHAnsi"/>
          <w:color w:val="auto"/>
          <w:sz w:val="16"/>
          <w:szCs w:val="16"/>
          <w:lang w:val="es-ES"/>
        </w:rPr>
        <w:t>CIDH. Informe No. 71/18</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Caso 12.958. </w:t>
      </w:r>
      <w:r>
        <w:rPr>
          <w:rFonts w:asciiTheme="majorHAnsi" w:hAnsiTheme="majorHAnsi"/>
          <w:color w:val="auto"/>
          <w:sz w:val="16"/>
          <w:szCs w:val="16"/>
          <w:lang w:val="es-ES"/>
        </w:rPr>
        <w:t>Fondo</w:t>
      </w:r>
      <w:r w:rsidRPr="00587810">
        <w:rPr>
          <w:rFonts w:asciiTheme="majorHAnsi" w:hAnsiTheme="majorHAnsi"/>
          <w:color w:val="auto"/>
          <w:sz w:val="16"/>
          <w:szCs w:val="16"/>
          <w:lang w:val="es-ES"/>
        </w:rPr>
        <w:t xml:space="preserve">. Russell </w:t>
      </w:r>
      <w:proofErr w:type="spellStart"/>
      <w:r w:rsidRPr="00587810">
        <w:rPr>
          <w:rFonts w:asciiTheme="majorHAnsi" w:hAnsiTheme="majorHAnsi"/>
          <w:color w:val="auto"/>
          <w:sz w:val="16"/>
          <w:szCs w:val="16"/>
          <w:lang w:val="es-ES"/>
        </w:rPr>
        <w:t>Bucklew</w:t>
      </w:r>
      <w:proofErr w:type="spellEnd"/>
      <w:r w:rsidRPr="00587810">
        <w:rPr>
          <w:rFonts w:asciiTheme="majorHAnsi" w:hAnsiTheme="majorHAnsi"/>
          <w:color w:val="auto"/>
          <w:sz w:val="16"/>
          <w:szCs w:val="16"/>
          <w:lang w:val="es-ES"/>
        </w:rPr>
        <w:t xml:space="preserve">. </w:t>
      </w:r>
      <w:r w:rsidRPr="00CB50DB">
        <w:rPr>
          <w:rFonts w:asciiTheme="majorHAnsi" w:hAnsiTheme="majorHAnsi"/>
          <w:color w:val="auto"/>
          <w:sz w:val="16"/>
          <w:szCs w:val="16"/>
          <w:lang w:val="es-ES"/>
        </w:rPr>
        <w:t>Estados Unidos. 10 de mayo de 2018</w:t>
      </w:r>
      <w:r w:rsidRPr="00587810">
        <w:rPr>
          <w:rFonts w:asciiTheme="majorHAnsi" w:hAnsiTheme="majorHAnsi"/>
          <w:color w:val="auto"/>
          <w:sz w:val="16"/>
          <w:szCs w:val="16"/>
          <w:lang w:val="es-ES"/>
        </w:rPr>
        <w:t>, párr. 83.</w:t>
      </w:r>
    </w:p>
  </w:footnote>
  <w:footnote w:id="75">
    <w:p w14:paraId="3CA93E75" w14:textId="77777777" w:rsidR="00721292" w:rsidRPr="00587810" w:rsidRDefault="00721292" w:rsidP="009266DD">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lang w:val="es-ES"/>
        </w:rPr>
      </w:pPr>
      <w:r w:rsidRPr="00587810">
        <w:rPr>
          <w:rStyle w:val="FootnoteReference"/>
          <w:rFonts w:asciiTheme="majorHAnsi" w:hAnsiTheme="majorHAnsi"/>
          <w:color w:val="auto"/>
          <w:sz w:val="16"/>
          <w:szCs w:val="16"/>
          <w:lang w:val="es-ES"/>
        </w:rPr>
        <w:footnoteRef/>
      </w:r>
      <w:r w:rsidRPr="00587810">
        <w:rPr>
          <w:rStyle w:val="FootnoteReference"/>
          <w:rFonts w:asciiTheme="majorHAnsi" w:hAnsiTheme="majorHAnsi"/>
          <w:color w:val="auto"/>
          <w:sz w:val="16"/>
          <w:szCs w:val="16"/>
          <w:lang w:val="es-ES"/>
        </w:rPr>
        <w:t xml:space="preserve"> </w:t>
      </w:r>
      <w:r w:rsidRPr="00587810">
        <w:rPr>
          <w:rFonts w:asciiTheme="majorHAnsi" w:hAnsiTheme="majorHAnsi"/>
          <w:color w:val="auto"/>
          <w:sz w:val="16"/>
          <w:szCs w:val="16"/>
          <w:lang w:val="es-ES"/>
        </w:rPr>
        <w:t>CIDH. Informe No. 24/17</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Caso 12.254. </w:t>
      </w:r>
      <w:r>
        <w:rPr>
          <w:rFonts w:asciiTheme="majorHAnsi" w:hAnsiTheme="majorHAnsi"/>
          <w:color w:val="auto"/>
          <w:sz w:val="16"/>
          <w:szCs w:val="16"/>
          <w:lang w:val="es-ES"/>
        </w:rPr>
        <w:t>Fondo</w:t>
      </w:r>
      <w:r w:rsidRPr="00587810">
        <w:rPr>
          <w:rFonts w:asciiTheme="majorHAnsi" w:hAnsiTheme="majorHAnsi"/>
          <w:color w:val="auto"/>
          <w:sz w:val="16"/>
          <w:szCs w:val="16"/>
          <w:lang w:val="es-ES"/>
        </w:rPr>
        <w:t xml:space="preserve">. Víctor Saldaño. </w:t>
      </w:r>
      <w:r w:rsidRPr="00CB50DB">
        <w:rPr>
          <w:rFonts w:asciiTheme="majorHAnsi" w:hAnsiTheme="majorHAnsi"/>
          <w:color w:val="auto"/>
          <w:sz w:val="16"/>
          <w:szCs w:val="16"/>
          <w:lang w:val="es-ES"/>
        </w:rPr>
        <w:t>Estados Unidos</w:t>
      </w:r>
      <w:r w:rsidRPr="00587810">
        <w:rPr>
          <w:rFonts w:asciiTheme="majorHAnsi" w:hAnsiTheme="majorHAnsi"/>
          <w:color w:val="auto"/>
          <w:sz w:val="16"/>
          <w:szCs w:val="16"/>
          <w:lang w:val="es-ES"/>
        </w:rPr>
        <w:t>. 18</w:t>
      </w:r>
      <w:r>
        <w:rPr>
          <w:rFonts w:asciiTheme="majorHAnsi" w:hAnsiTheme="majorHAnsi"/>
          <w:color w:val="auto"/>
          <w:sz w:val="16"/>
          <w:szCs w:val="16"/>
          <w:lang w:val="es-ES"/>
        </w:rPr>
        <w:t xml:space="preserve"> de marzo de </w:t>
      </w:r>
      <w:r w:rsidRPr="00587810">
        <w:rPr>
          <w:rFonts w:asciiTheme="majorHAnsi" w:hAnsiTheme="majorHAnsi"/>
          <w:color w:val="auto"/>
          <w:sz w:val="16"/>
          <w:szCs w:val="16"/>
          <w:lang w:val="es-ES"/>
        </w:rPr>
        <w:t xml:space="preserve">2017, párr. 246, </w:t>
      </w:r>
      <w:r>
        <w:rPr>
          <w:rFonts w:asciiTheme="majorHAnsi" w:hAnsiTheme="majorHAnsi"/>
          <w:color w:val="auto"/>
          <w:sz w:val="16"/>
          <w:szCs w:val="16"/>
          <w:lang w:val="es-ES"/>
        </w:rPr>
        <w:t xml:space="preserve">donde se cita </w:t>
      </w:r>
      <w:r w:rsidRPr="00587810">
        <w:rPr>
          <w:rFonts w:asciiTheme="majorHAnsi" w:hAnsiTheme="majorHAnsi"/>
          <w:color w:val="auto"/>
          <w:sz w:val="16"/>
          <w:szCs w:val="16"/>
          <w:lang w:val="es-ES"/>
        </w:rPr>
        <w:t xml:space="preserve">CIDH. Informe No. 58/02. </w:t>
      </w:r>
      <w:r>
        <w:rPr>
          <w:rFonts w:asciiTheme="majorHAnsi" w:hAnsiTheme="majorHAnsi"/>
          <w:color w:val="auto"/>
          <w:sz w:val="16"/>
          <w:szCs w:val="16"/>
          <w:lang w:val="es-ES"/>
        </w:rPr>
        <w:t>Fondo</w:t>
      </w:r>
      <w:r w:rsidRPr="00587810">
        <w:rPr>
          <w:rFonts w:asciiTheme="majorHAnsi" w:hAnsiTheme="majorHAnsi"/>
          <w:color w:val="auto"/>
          <w:sz w:val="16"/>
          <w:szCs w:val="16"/>
          <w:lang w:val="es-ES"/>
        </w:rPr>
        <w:t xml:space="preserve">. Caso 12.275. Denton </w:t>
      </w:r>
      <w:proofErr w:type="spellStart"/>
      <w:r w:rsidRPr="00587810">
        <w:rPr>
          <w:rFonts w:asciiTheme="majorHAnsi" w:hAnsiTheme="majorHAnsi"/>
          <w:color w:val="auto"/>
          <w:sz w:val="16"/>
          <w:szCs w:val="16"/>
          <w:lang w:val="es-ES"/>
        </w:rPr>
        <w:t>Aitken</w:t>
      </w:r>
      <w:proofErr w:type="spellEnd"/>
      <w:r w:rsidRPr="00587810">
        <w:rPr>
          <w:rFonts w:asciiTheme="majorHAnsi" w:hAnsiTheme="majorHAnsi"/>
          <w:color w:val="auto"/>
          <w:sz w:val="16"/>
          <w:szCs w:val="16"/>
          <w:lang w:val="es-ES"/>
        </w:rPr>
        <w:t>. Jamaica. 21</w:t>
      </w:r>
      <w:r>
        <w:rPr>
          <w:rFonts w:asciiTheme="majorHAnsi" w:hAnsiTheme="majorHAnsi"/>
          <w:color w:val="auto"/>
          <w:sz w:val="16"/>
          <w:szCs w:val="16"/>
          <w:lang w:val="es-ES"/>
        </w:rPr>
        <w:t xml:space="preserve"> de octubre de</w:t>
      </w:r>
      <w:r w:rsidRPr="00587810">
        <w:rPr>
          <w:rFonts w:asciiTheme="majorHAnsi" w:hAnsiTheme="majorHAnsi"/>
          <w:color w:val="auto"/>
          <w:sz w:val="16"/>
          <w:szCs w:val="16"/>
          <w:lang w:val="es-ES"/>
        </w:rPr>
        <w:t xml:space="preserve"> 2002</w:t>
      </w:r>
      <w:r>
        <w:rPr>
          <w:rFonts w:asciiTheme="majorHAnsi" w:hAnsiTheme="majorHAnsi"/>
          <w:color w:val="auto"/>
          <w:sz w:val="16"/>
          <w:szCs w:val="16"/>
          <w:lang w:val="es-ES"/>
        </w:rPr>
        <w:t xml:space="preserve">, </w:t>
      </w:r>
      <w:proofErr w:type="spellStart"/>
      <w:r>
        <w:rPr>
          <w:rFonts w:asciiTheme="majorHAnsi" w:hAnsiTheme="majorHAnsi"/>
          <w:color w:val="auto"/>
          <w:sz w:val="16"/>
          <w:szCs w:val="16"/>
          <w:lang w:val="es-ES"/>
        </w:rPr>
        <w:t>párrs</w:t>
      </w:r>
      <w:proofErr w:type="spellEnd"/>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133 </w:t>
      </w:r>
      <w:r>
        <w:rPr>
          <w:rFonts w:asciiTheme="majorHAnsi" w:hAnsiTheme="majorHAnsi"/>
          <w:color w:val="auto"/>
          <w:sz w:val="16"/>
          <w:szCs w:val="16"/>
          <w:lang w:val="es-ES"/>
        </w:rPr>
        <w:t>y</w:t>
      </w:r>
      <w:r w:rsidRPr="00587810">
        <w:rPr>
          <w:rFonts w:asciiTheme="majorHAnsi" w:hAnsiTheme="majorHAnsi"/>
          <w:color w:val="auto"/>
          <w:sz w:val="16"/>
          <w:szCs w:val="16"/>
          <w:lang w:val="es-ES"/>
        </w:rPr>
        <w:t xml:space="preserve"> 134.</w:t>
      </w:r>
    </w:p>
  </w:footnote>
  <w:footnote w:id="76">
    <w:p w14:paraId="43CDD443" w14:textId="77777777" w:rsidR="00721292" w:rsidRPr="00587810" w:rsidRDefault="00721292" w:rsidP="009266DD">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lang w:val="es-ES"/>
        </w:rPr>
      </w:pPr>
      <w:r w:rsidRPr="00587810">
        <w:rPr>
          <w:rStyle w:val="FootnoteReference"/>
          <w:rFonts w:ascii="Cambria" w:hAnsi="Cambria"/>
          <w:color w:val="auto"/>
          <w:sz w:val="16"/>
          <w:szCs w:val="16"/>
          <w:lang w:val="es-ES"/>
        </w:rPr>
        <w:footnoteRef/>
      </w:r>
      <w:r w:rsidRPr="00587810">
        <w:rPr>
          <w:rFonts w:ascii="Cambria" w:hAnsi="Cambria"/>
          <w:color w:val="auto"/>
          <w:sz w:val="16"/>
          <w:szCs w:val="16"/>
          <w:lang w:val="es-ES"/>
        </w:rPr>
        <w:t xml:space="preserve"> </w:t>
      </w:r>
      <w:r w:rsidRPr="00CB50DB">
        <w:rPr>
          <w:rFonts w:ascii="Cambria" w:hAnsi="Cambria"/>
          <w:color w:val="auto"/>
          <w:sz w:val="16"/>
          <w:szCs w:val="16"/>
          <w:lang w:val="es-ES"/>
        </w:rPr>
        <w:t xml:space="preserve">Asamblea General de las Naciones Unidas. </w:t>
      </w:r>
      <w:r w:rsidR="007B36C9">
        <w:fldChar w:fldCharType="begin"/>
      </w:r>
      <w:r w:rsidR="007B36C9" w:rsidRPr="006846BB">
        <w:rPr>
          <w:lang w:val="es-US"/>
        </w:rPr>
        <w:instrText xml:space="preserve"> HYPERLINK "https://undocs.org/pdf?symbol=es/A/67/279" </w:instrText>
      </w:r>
      <w:r w:rsidR="007B36C9">
        <w:fldChar w:fldCharType="separate"/>
      </w:r>
      <w:r w:rsidRPr="00B24C0F">
        <w:rPr>
          <w:rStyle w:val="Hyperlink"/>
          <w:rFonts w:ascii="Cambria" w:hAnsi="Cambria"/>
          <w:i/>
          <w:iCs/>
          <w:sz w:val="16"/>
          <w:szCs w:val="16"/>
          <w:lang w:val="es-US"/>
        </w:rPr>
        <w:t>Informe provisional del Relator Especial sobre la tortura y otros tratos o penas crueles, inhumanos o degradantes</w:t>
      </w:r>
      <w:r w:rsidR="007B36C9">
        <w:rPr>
          <w:rStyle w:val="Hyperlink"/>
          <w:rFonts w:ascii="Cambria" w:hAnsi="Cambria"/>
          <w:i/>
          <w:iCs/>
          <w:sz w:val="16"/>
          <w:szCs w:val="16"/>
          <w:lang w:val="es-US"/>
        </w:rPr>
        <w:fldChar w:fldCharType="end"/>
      </w:r>
      <w:r w:rsidRPr="00B24C0F">
        <w:rPr>
          <w:rFonts w:ascii="Cambria" w:hAnsi="Cambria"/>
          <w:color w:val="auto"/>
          <w:sz w:val="16"/>
          <w:szCs w:val="16"/>
          <w:lang w:val="es-US"/>
        </w:rPr>
        <w:t xml:space="preserve">. 9 de agosto de 2012. </w:t>
      </w:r>
      <w:r w:rsidRPr="00587810">
        <w:rPr>
          <w:rFonts w:ascii="Cambria" w:hAnsi="Cambria"/>
          <w:color w:val="auto"/>
          <w:sz w:val="16"/>
          <w:szCs w:val="16"/>
          <w:lang w:val="es-ES"/>
        </w:rPr>
        <w:t>A/67/279</w:t>
      </w:r>
      <w:r>
        <w:rPr>
          <w:rFonts w:ascii="Cambria" w:hAnsi="Cambria"/>
          <w:color w:val="auto"/>
          <w:sz w:val="16"/>
          <w:szCs w:val="16"/>
          <w:lang w:val="es-ES"/>
        </w:rPr>
        <w:t>, párr.</w:t>
      </w:r>
      <w:r w:rsidRPr="00587810">
        <w:rPr>
          <w:rFonts w:ascii="Cambria" w:hAnsi="Cambria"/>
          <w:color w:val="auto"/>
          <w:sz w:val="16"/>
          <w:szCs w:val="16"/>
          <w:lang w:val="es-ES"/>
        </w:rPr>
        <w:t xml:space="preserve"> 48.</w:t>
      </w:r>
    </w:p>
  </w:footnote>
  <w:footnote w:id="77">
    <w:p w14:paraId="4A54EC4D" w14:textId="77777777" w:rsidR="00721292" w:rsidRPr="00587810" w:rsidRDefault="00721292" w:rsidP="009266DD">
      <w:pPr>
        <w:pStyle w:val="FootnoteText"/>
        <w:jc w:val="both"/>
        <w:rPr>
          <w:lang w:val="es-ES"/>
        </w:rPr>
      </w:pPr>
      <w:r w:rsidRPr="00587810">
        <w:rPr>
          <w:rStyle w:val="FootnoteReference"/>
          <w:rFonts w:ascii="Cambria" w:hAnsi="Cambria"/>
          <w:color w:val="auto"/>
          <w:sz w:val="16"/>
          <w:szCs w:val="16"/>
          <w:lang w:val="es-ES"/>
        </w:rPr>
        <w:footnoteRef/>
      </w:r>
      <w:r w:rsidRPr="00587810">
        <w:rPr>
          <w:rStyle w:val="FootnoteReference"/>
          <w:rFonts w:ascii="Cambria" w:hAnsi="Cambria"/>
          <w:color w:val="auto"/>
          <w:sz w:val="16"/>
          <w:szCs w:val="16"/>
          <w:lang w:val="es-ES"/>
        </w:rPr>
        <w:t xml:space="preserve"> </w:t>
      </w:r>
      <w:r w:rsidRPr="00587810">
        <w:rPr>
          <w:rFonts w:asciiTheme="majorHAnsi" w:hAnsiTheme="majorHAnsi"/>
          <w:color w:val="auto"/>
          <w:sz w:val="16"/>
          <w:szCs w:val="16"/>
          <w:lang w:val="es-ES"/>
        </w:rPr>
        <w:t>El artículo I de la Declaración Americana dice: “Todo ser humano tiene derecho a la vida, a la libertad y a la seguridad de su persona”.</w:t>
      </w:r>
    </w:p>
  </w:footnote>
  <w:footnote w:id="78">
    <w:p w14:paraId="36FA1745" w14:textId="77777777" w:rsidR="00721292" w:rsidRPr="00587810" w:rsidRDefault="00721292" w:rsidP="009266DD">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CIDH. Informe No. 53/13</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Caso 12.864</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Fondo (Publicación)</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w:t>
      </w:r>
      <w:proofErr w:type="spellStart"/>
      <w:r w:rsidRPr="00587810">
        <w:rPr>
          <w:rFonts w:asciiTheme="majorHAnsi" w:hAnsiTheme="majorHAnsi"/>
          <w:color w:val="auto"/>
          <w:sz w:val="16"/>
          <w:szCs w:val="16"/>
          <w:lang w:val="es-ES"/>
        </w:rPr>
        <w:t>Ivan</w:t>
      </w:r>
      <w:proofErr w:type="spellEnd"/>
      <w:r w:rsidRPr="00587810">
        <w:rPr>
          <w:rFonts w:asciiTheme="majorHAnsi" w:hAnsiTheme="majorHAnsi"/>
          <w:color w:val="auto"/>
          <w:sz w:val="16"/>
          <w:szCs w:val="16"/>
          <w:lang w:val="es-ES"/>
        </w:rPr>
        <w:t xml:space="preserve"> </w:t>
      </w:r>
      <w:proofErr w:type="spellStart"/>
      <w:r w:rsidRPr="00587810">
        <w:rPr>
          <w:rFonts w:asciiTheme="majorHAnsi" w:hAnsiTheme="majorHAnsi"/>
          <w:color w:val="auto"/>
          <w:sz w:val="16"/>
          <w:szCs w:val="16"/>
          <w:lang w:val="es-ES"/>
        </w:rPr>
        <w:t>Teleguz</w:t>
      </w:r>
      <w:proofErr w:type="spellEnd"/>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Estados Unidos</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15</w:t>
      </w:r>
      <w:r>
        <w:rPr>
          <w:rFonts w:asciiTheme="majorHAnsi" w:hAnsiTheme="majorHAnsi"/>
          <w:color w:val="auto"/>
          <w:sz w:val="16"/>
          <w:szCs w:val="16"/>
          <w:lang w:val="es-ES"/>
        </w:rPr>
        <w:t xml:space="preserve"> de julio de</w:t>
      </w:r>
      <w:r w:rsidRPr="00587810">
        <w:rPr>
          <w:rFonts w:asciiTheme="majorHAnsi" w:hAnsiTheme="majorHAnsi"/>
          <w:color w:val="auto"/>
          <w:sz w:val="16"/>
          <w:szCs w:val="16"/>
          <w:lang w:val="es-ES"/>
        </w:rPr>
        <w:t xml:space="preserve"> 2013, párr. 129.</w:t>
      </w:r>
    </w:p>
  </w:footnote>
  <w:footnote w:id="79">
    <w:p w14:paraId="335B8EFB" w14:textId="77777777" w:rsidR="00721292" w:rsidRPr="00587810" w:rsidRDefault="00721292" w:rsidP="009266DD">
      <w:pPr>
        <w:pStyle w:val="FootnoteText"/>
        <w:jc w:val="both"/>
        <w:rPr>
          <w:rFonts w:asciiTheme="majorHAnsi" w:hAnsiTheme="majorHAnsi"/>
          <w:color w:val="auto"/>
          <w:sz w:val="16"/>
          <w:szCs w:val="16"/>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CIDH. Informe No. 11/15</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Caso 12.833</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Fondo (Publicación)</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Félix Rocha Díaz</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Estados Unidos</w:t>
      </w:r>
      <w:r>
        <w:rPr>
          <w:rFonts w:asciiTheme="majorHAnsi" w:hAnsiTheme="majorHAnsi"/>
          <w:color w:val="auto"/>
          <w:sz w:val="16"/>
          <w:szCs w:val="16"/>
          <w:lang w:val="es-ES"/>
        </w:rPr>
        <w:t>.</w:t>
      </w:r>
      <w:r w:rsidRPr="00587810">
        <w:rPr>
          <w:rFonts w:asciiTheme="majorHAnsi" w:hAnsiTheme="majorHAnsi"/>
          <w:color w:val="auto"/>
          <w:sz w:val="16"/>
          <w:szCs w:val="16"/>
          <w:lang w:val="es-ES"/>
        </w:rPr>
        <w:t xml:space="preserve"> 23</w:t>
      </w:r>
      <w:r>
        <w:rPr>
          <w:rFonts w:asciiTheme="majorHAnsi" w:hAnsiTheme="majorHAnsi"/>
          <w:color w:val="auto"/>
          <w:sz w:val="16"/>
          <w:szCs w:val="16"/>
          <w:lang w:val="es-ES"/>
        </w:rPr>
        <w:t xml:space="preserve"> de marzo de</w:t>
      </w:r>
      <w:r w:rsidRPr="00587810">
        <w:rPr>
          <w:rFonts w:asciiTheme="majorHAnsi" w:hAnsiTheme="majorHAnsi"/>
          <w:color w:val="auto"/>
          <w:sz w:val="16"/>
          <w:szCs w:val="16"/>
          <w:lang w:val="es-ES"/>
        </w:rPr>
        <w:t xml:space="preserve"> 2015, párr. 106.</w:t>
      </w:r>
    </w:p>
  </w:footnote>
  <w:footnote w:id="80">
    <w:p w14:paraId="5A88EFA6" w14:textId="77777777" w:rsidR="00721292" w:rsidRPr="00587810" w:rsidRDefault="00721292" w:rsidP="00B350FB">
      <w:pPr>
        <w:pStyle w:val="FootnoteText"/>
        <w:jc w:val="both"/>
        <w:rPr>
          <w:lang w:val="es-ES"/>
        </w:rPr>
      </w:pPr>
      <w:r w:rsidRPr="00587810">
        <w:rPr>
          <w:rStyle w:val="FootnoteReference"/>
          <w:rFonts w:asciiTheme="majorHAnsi" w:hAnsiTheme="majorHAnsi"/>
          <w:color w:val="auto"/>
          <w:sz w:val="16"/>
          <w:szCs w:val="16"/>
          <w:lang w:val="es-ES"/>
        </w:rPr>
        <w:footnoteRef/>
      </w:r>
      <w:r w:rsidRPr="00587810">
        <w:rPr>
          <w:rStyle w:val="FootnoteReference"/>
          <w:rFonts w:asciiTheme="majorHAnsi" w:hAnsiTheme="majorHAnsi"/>
          <w:color w:val="auto"/>
          <w:sz w:val="16"/>
          <w:szCs w:val="16"/>
          <w:lang w:val="es-ES"/>
        </w:rPr>
        <w:t xml:space="preserve"> </w:t>
      </w:r>
      <w:r w:rsidRPr="009A5817">
        <w:rPr>
          <w:rFonts w:asciiTheme="majorHAnsi" w:hAnsiTheme="majorHAnsi"/>
          <w:color w:val="auto"/>
          <w:sz w:val="16"/>
          <w:szCs w:val="16"/>
          <w:lang w:val="es-ES"/>
        </w:rPr>
        <w:t>Al respecto, véase CIDH</w:t>
      </w:r>
      <w:r w:rsidRPr="00587810">
        <w:rPr>
          <w:rFonts w:asciiTheme="majorHAnsi" w:hAnsiTheme="majorHAnsi"/>
          <w:color w:val="auto"/>
          <w:sz w:val="16"/>
          <w:szCs w:val="16"/>
          <w:lang w:val="es-ES"/>
        </w:rPr>
        <w:t xml:space="preserve">, </w:t>
      </w:r>
      <w:r w:rsidRPr="009A5817">
        <w:rPr>
          <w:rFonts w:asciiTheme="majorHAnsi" w:hAnsiTheme="majorHAnsi"/>
          <w:i/>
          <w:color w:val="auto"/>
          <w:sz w:val="16"/>
          <w:szCs w:val="16"/>
          <w:lang w:val="es-ES"/>
        </w:rPr>
        <w:t>La pena de muerte en el Sistema Interamericano de Derechos Humanos: de restricciones a abolición</w:t>
      </w:r>
      <w:r w:rsidRPr="009A5817">
        <w:rPr>
          <w:rFonts w:asciiTheme="majorHAnsi" w:hAnsiTheme="majorHAnsi"/>
          <w:color w:val="auto"/>
          <w:sz w:val="16"/>
          <w:szCs w:val="16"/>
          <w:lang w:val="es-ES"/>
        </w:rPr>
        <w:t>, OEA/</w:t>
      </w:r>
      <w:proofErr w:type="spellStart"/>
      <w:r w:rsidRPr="009A5817">
        <w:rPr>
          <w:rFonts w:asciiTheme="majorHAnsi" w:hAnsiTheme="majorHAnsi"/>
          <w:color w:val="auto"/>
          <w:sz w:val="16"/>
          <w:szCs w:val="16"/>
          <w:lang w:val="es-ES"/>
        </w:rPr>
        <w:t>Ser.L</w:t>
      </w:r>
      <w:proofErr w:type="spellEnd"/>
      <w:r w:rsidRPr="009A5817">
        <w:rPr>
          <w:rFonts w:asciiTheme="majorHAnsi" w:hAnsiTheme="majorHAnsi"/>
          <w:color w:val="auto"/>
          <w:sz w:val="16"/>
          <w:szCs w:val="16"/>
          <w:lang w:val="es-ES"/>
        </w:rPr>
        <w:t>/V/II.Doc. 68, 31 de diciembre de 2011</w:t>
      </w:r>
      <w:r w:rsidRPr="00587810">
        <w:rPr>
          <w:rFonts w:asciiTheme="majorHAnsi" w:hAnsiTheme="majorHAnsi"/>
          <w:color w:val="auto"/>
          <w:sz w:val="16"/>
          <w:szCs w:val="16"/>
          <w:lang w:val="es-ES"/>
        </w:rPr>
        <w:t>.</w:t>
      </w:r>
    </w:p>
  </w:footnote>
  <w:footnote w:id="81">
    <w:p w14:paraId="525EA38C" w14:textId="77777777" w:rsidR="00721292" w:rsidRPr="00587810" w:rsidRDefault="00721292" w:rsidP="00B350FB">
      <w:pPr>
        <w:pStyle w:val="FootnoteText"/>
        <w:jc w:val="both"/>
        <w:rPr>
          <w:rFonts w:asciiTheme="majorHAnsi" w:hAnsiTheme="majorHAnsi"/>
          <w:color w:val="auto"/>
          <w:sz w:val="16"/>
          <w:szCs w:val="16"/>
          <w:bdr w:val="none" w:sz="0" w:space="0" w:color="auto"/>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w:t>
      </w:r>
      <w:r w:rsidRPr="009A5817">
        <w:rPr>
          <w:rFonts w:asciiTheme="majorHAnsi" w:hAnsiTheme="majorHAnsi"/>
          <w:color w:val="auto"/>
          <w:sz w:val="16"/>
          <w:szCs w:val="16"/>
          <w:lang w:val="es-ES"/>
        </w:rPr>
        <w:t>Al respecto, véase CIDH</w:t>
      </w:r>
      <w:r w:rsidRPr="00587810">
        <w:rPr>
          <w:rFonts w:asciiTheme="majorHAnsi" w:hAnsiTheme="majorHAnsi"/>
          <w:color w:val="auto"/>
          <w:sz w:val="16"/>
          <w:szCs w:val="16"/>
          <w:lang w:val="es-ES"/>
        </w:rPr>
        <w:t xml:space="preserve">, </w:t>
      </w:r>
      <w:r w:rsidRPr="009A5817">
        <w:rPr>
          <w:rFonts w:asciiTheme="majorHAnsi" w:hAnsiTheme="majorHAnsi"/>
          <w:i/>
          <w:color w:val="auto"/>
          <w:sz w:val="16"/>
          <w:szCs w:val="16"/>
          <w:lang w:val="es-ES"/>
        </w:rPr>
        <w:t>La pena de muerte en el Sistema Interamericano de Derechos Humanos: de restricciones a abolición</w:t>
      </w:r>
      <w:r w:rsidRPr="009A5817">
        <w:rPr>
          <w:rFonts w:asciiTheme="majorHAnsi" w:hAnsiTheme="majorHAnsi"/>
          <w:color w:val="auto"/>
          <w:sz w:val="16"/>
          <w:szCs w:val="16"/>
          <w:lang w:val="es-ES"/>
        </w:rPr>
        <w:t>, OEA/</w:t>
      </w:r>
      <w:proofErr w:type="spellStart"/>
      <w:r w:rsidRPr="009A5817">
        <w:rPr>
          <w:rFonts w:asciiTheme="majorHAnsi" w:hAnsiTheme="majorHAnsi"/>
          <w:color w:val="auto"/>
          <w:sz w:val="16"/>
          <w:szCs w:val="16"/>
          <w:lang w:val="es-ES"/>
        </w:rPr>
        <w:t>Ser.L</w:t>
      </w:r>
      <w:proofErr w:type="spellEnd"/>
      <w:r w:rsidRPr="009A5817">
        <w:rPr>
          <w:rFonts w:asciiTheme="majorHAnsi" w:hAnsiTheme="majorHAnsi"/>
          <w:color w:val="auto"/>
          <w:sz w:val="16"/>
          <w:szCs w:val="16"/>
          <w:lang w:val="es-ES"/>
        </w:rPr>
        <w:t>/V/II.Doc. 68, 31 de diciembre de 2011</w:t>
      </w:r>
      <w:r w:rsidRPr="00587810">
        <w:rPr>
          <w:rFonts w:asciiTheme="majorHAnsi" w:hAnsiTheme="majorHAnsi"/>
          <w:color w:val="auto"/>
          <w:sz w:val="16"/>
          <w:szCs w:val="16"/>
          <w:lang w:val="es-ES"/>
        </w:rPr>
        <w:t>.</w:t>
      </w:r>
    </w:p>
  </w:footnote>
  <w:footnote w:id="82">
    <w:p w14:paraId="13B50F73" w14:textId="77777777" w:rsidR="00721292" w:rsidRPr="00587810" w:rsidRDefault="00721292" w:rsidP="004D677E">
      <w:pPr>
        <w:pStyle w:val="FootnoteText"/>
        <w:jc w:val="both"/>
        <w:rPr>
          <w:lang w:val="es-ES"/>
        </w:rPr>
      </w:pPr>
      <w:r w:rsidRPr="00587810">
        <w:rPr>
          <w:rStyle w:val="FootnoteReference"/>
          <w:rFonts w:asciiTheme="majorHAnsi" w:hAnsiTheme="majorHAnsi"/>
          <w:color w:val="auto"/>
          <w:sz w:val="16"/>
          <w:szCs w:val="16"/>
          <w:lang w:val="es-ES"/>
        </w:rPr>
        <w:footnoteRef/>
      </w:r>
      <w:r w:rsidRPr="00587810">
        <w:rPr>
          <w:rStyle w:val="FootnoteReference"/>
          <w:rFonts w:asciiTheme="majorHAnsi" w:hAnsiTheme="majorHAnsi"/>
          <w:color w:val="auto"/>
          <w:sz w:val="16"/>
          <w:szCs w:val="16"/>
          <w:lang w:val="es-ES"/>
        </w:rPr>
        <w:t xml:space="preserve"> </w:t>
      </w:r>
      <w:r w:rsidRPr="009A5817">
        <w:rPr>
          <w:rFonts w:asciiTheme="majorHAnsi" w:hAnsiTheme="majorHAnsi"/>
          <w:color w:val="auto"/>
          <w:sz w:val="16"/>
          <w:szCs w:val="16"/>
          <w:lang w:val="es-ES"/>
        </w:rPr>
        <w:t>Al respecto, véase CIDH</w:t>
      </w:r>
      <w:r w:rsidRPr="00587810">
        <w:rPr>
          <w:rFonts w:asciiTheme="majorHAnsi" w:hAnsiTheme="majorHAnsi"/>
          <w:color w:val="auto"/>
          <w:sz w:val="16"/>
          <w:szCs w:val="16"/>
          <w:lang w:val="es-ES"/>
        </w:rPr>
        <w:t xml:space="preserve">, </w:t>
      </w:r>
      <w:r w:rsidRPr="009A5817">
        <w:rPr>
          <w:rFonts w:asciiTheme="majorHAnsi" w:hAnsiTheme="majorHAnsi"/>
          <w:i/>
          <w:color w:val="auto"/>
          <w:sz w:val="16"/>
          <w:szCs w:val="16"/>
          <w:lang w:val="es-ES"/>
        </w:rPr>
        <w:t>La pena de muerte en el Sistema Interamericano de Derechos Humanos: de restricciones a abolición</w:t>
      </w:r>
      <w:r w:rsidRPr="009A5817">
        <w:rPr>
          <w:rFonts w:asciiTheme="majorHAnsi" w:hAnsiTheme="majorHAnsi"/>
          <w:color w:val="auto"/>
          <w:sz w:val="16"/>
          <w:szCs w:val="16"/>
          <w:lang w:val="es-ES"/>
        </w:rPr>
        <w:t>, OEA/</w:t>
      </w:r>
      <w:proofErr w:type="spellStart"/>
      <w:r w:rsidRPr="009A5817">
        <w:rPr>
          <w:rFonts w:asciiTheme="majorHAnsi" w:hAnsiTheme="majorHAnsi"/>
          <w:color w:val="auto"/>
          <w:sz w:val="16"/>
          <w:szCs w:val="16"/>
          <w:lang w:val="es-ES"/>
        </w:rPr>
        <w:t>Ser.L</w:t>
      </w:r>
      <w:proofErr w:type="spellEnd"/>
      <w:r w:rsidRPr="009A5817">
        <w:rPr>
          <w:rFonts w:asciiTheme="majorHAnsi" w:hAnsiTheme="majorHAnsi"/>
          <w:color w:val="auto"/>
          <w:sz w:val="16"/>
          <w:szCs w:val="16"/>
          <w:lang w:val="es-ES"/>
        </w:rPr>
        <w:t>/V/II.Doc. 68, 31 de diciembre de 2011</w:t>
      </w:r>
      <w:r w:rsidRPr="00587810">
        <w:rPr>
          <w:rFonts w:asciiTheme="majorHAnsi" w:hAnsiTheme="majorHAnsi"/>
          <w:color w:val="auto"/>
          <w:sz w:val="16"/>
          <w:szCs w:val="16"/>
          <w:lang w:val="es-ES"/>
        </w:rPr>
        <w:t>.</w:t>
      </w:r>
    </w:p>
  </w:footnote>
  <w:footnote w:id="83">
    <w:p w14:paraId="241E5D3C" w14:textId="77777777" w:rsidR="00721292" w:rsidRPr="00587810" w:rsidRDefault="00721292" w:rsidP="009266DD">
      <w:pPr>
        <w:pStyle w:val="FootnoteText"/>
        <w:jc w:val="both"/>
        <w:rPr>
          <w:rFonts w:asciiTheme="majorHAnsi" w:hAnsiTheme="majorHAnsi"/>
          <w:color w:val="auto"/>
          <w:sz w:val="16"/>
          <w:szCs w:val="16"/>
          <w:bdr w:val="none" w:sz="0" w:space="0" w:color="auto"/>
          <w:lang w:val="es-ES"/>
        </w:rPr>
      </w:pPr>
      <w:r w:rsidRPr="00587810">
        <w:rPr>
          <w:rStyle w:val="FootnoteReference"/>
          <w:rFonts w:asciiTheme="majorHAnsi" w:hAnsiTheme="majorHAnsi"/>
          <w:color w:val="auto"/>
          <w:sz w:val="16"/>
          <w:szCs w:val="16"/>
          <w:lang w:val="es-ES"/>
        </w:rPr>
        <w:footnoteRef/>
      </w:r>
      <w:r w:rsidRPr="00587810">
        <w:rPr>
          <w:rFonts w:asciiTheme="majorHAnsi" w:hAnsiTheme="majorHAnsi"/>
          <w:color w:val="auto"/>
          <w:sz w:val="16"/>
          <w:szCs w:val="16"/>
          <w:lang w:val="es-ES"/>
        </w:rPr>
        <w:t xml:space="preserve"> </w:t>
      </w:r>
      <w:r w:rsidRPr="009A5817">
        <w:rPr>
          <w:rFonts w:asciiTheme="majorHAnsi" w:hAnsiTheme="majorHAnsi"/>
          <w:color w:val="auto"/>
          <w:sz w:val="16"/>
          <w:szCs w:val="16"/>
          <w:lang w:val="es-ES"/>
        </w:rPr>
        <w:t>Al respecto, véase CIDH</w:t>
      </w:r>
      <w:r w:rsidRPr="00587810">
        <w:rPr>
          <w:rFonts w:asciiTheme="majorHAnsi" w:hAnsiTheme="majorHAnsi"/>
          <w:color w:val="auto"/>
          <w:sz w:val="16"/>
          <w:szCs w:val="16"/>
          <w:lang w:val="es-ES"/>
        </w:rPr>
        <w:t xml:space="preserve">, </w:t>
      </w:r>
      <w:r w:rsidRPr="009A5817">
        <w:rPr>
          <w:rFonts w:asciiTheme="majorHAnsi" w:hAnsiTheme="majorHAnsi"/>
          <w:i/>
          <w:color w:val="auto"/>
          <w:sz w:val="16"/>
          <w:szCs w:val="16"/>
          <w:lang w:val="es-ES"/>
        </w:rPr>
        <w:t>La pena de muerte en el Sistema Interamericano de Derechos Humanos: de restricciones a abolición</w:t>
      </w:r>
      <w:r w:rsidRPr="009A5817">
        <w:rPr>
          <w:rFonts w:asciiTheme="majorHAnsi" w:hAnsiTheme="majorHAnsi"/>
          <w:color w:val="auto"/>
          <w:sz w:val="16"/>
          <w:szCs w:val="16"/>
          <w:lang w:val="es-ES"/>
        </w:rPr>
        <w:t>, OEA/</w:t>
      </w:r>
      <w:proofErr w:type="spellStart"/>
      <w:r w:rsidRPr="009A5817">
        <w:rPr>
          <w:rFonts w:asciiTheme="majorHAnsi" w:hAnsiTheme="majorHAnsi"/>
          <w:color w:val="auto"/>
          <w:sz w:val="16"/>
          <w:szCs w:val="16"/>
          <w:lang w:val="es-ES"/>
        </w:rPr>
        <w:t>Ser.L</w:t>
      </w:r>
      <w:proofErr w:type="spellEnd"/>
      <w:r w:rsidRPr="009A5817">
        <w:rPr>
          <w:rFonts w:asciiTheme="majorHAnsi" w:hAnsiTheme="majorHAnsi"/>
          <w:color w:val="auto"/>
          <w:sz w:val="16"/>
          <w:szCs w:val="16"/>
          <w:lang w:val="es-ES"/>
        </w:rPr>
        <w:t>/V/II.Doc. 68, 31 de diciembre de 2011</w:t>
      </w:r>
      <w:r w:rsidRPr="00587810">
        <w:rPr>
          <w:rFonts w:asciiTheme="majorHAnsi" w:hAnsiTheme="majorHAnsi"/>
          <w:color w:val="auto"/>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4F37" w14:textId="77777777" w:rsidR="00721292" w:rsidRDefault="00721292"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C7CE053" w14:textId="77777777" w:rsidR="00721292" w:rsidRDefault="00721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8C62" w14:textId="77777777" w:rsidR="00721292" w:rsidRDefault="00721292" w:rsidP="002C1641">
    <w:pPr>
      <w:pStyle w:val="Header"/>
      <w:tabs>
        <w:tab w:val="clear" w:pos="4320"/>
        <w:tab w:val="clear" w:pos="8640"/>
      </w:tabs>
      <w:jc w:val="center"/>
      <w:rPr>
        <w:sz w:val="22"/>
        <w:szCs w:val="22"/>
      </w:rPr>
    </w:pPr>
    <w:r>
      <w:rPr>
        <w:noProof/>
        <w:sz w:val="22"/>
        <w:szCs w:val="22"/>
      </w:rPr>
      <w:drawing>
        <wp:inline distT="0" distB="0" distL="0" distR="0" wp14:anchorId="55F1ED83" wp14:editId="3D31909C">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8B52BE5" w14:textId="77777777" w:rsidR="00721292" w:rsidRPr="00EC7D62" w:rsidRDefault="007B36C9" w:rsidP="002C1641">
    <w:pPr>
      <w:pStyle w:val="Header"/>
      <w:tabs>
        <w:tab w:val="clear" w:pos="4320"/>
        <w:tab w:val="clear" w:pos="8640"/>
      </w:tabs>
      <w:jc w:val="center"/>
      <w:rPr>
        <w:sz w:val="22"/>
        <w:szCs w:val="22"/>
      </w:rPr>
    </w:pPr>
    <w:r>
      <w:rPr>
        <w:noProof/>
        <w:sz w:val="22"/>
        <w:szCs w:val="22"/>
        <w:bdr w:val="nil"/>
      </w:rPr>
      <w:pict w14:anchorId="3185783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FD4803"/>
    <w:multiLevelType w:val="hybridMultilevel"/>
    <w:tmpl w:val="A628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C37724"/>
    <w:multiLevelType w:val="hybridMultilevel"/>
    <w:tmpl w:val="F32A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413084"/>
    <w:multiLevelType w:val="hybridMultilevel"/>
    <w:tmpl w:val="9BC4313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DD54DE"/>
    <w:multiLevelType w:val="hybridMultilevel"/>
    <w:tmpl w:val="ABCA0364"/>
    <w:lvl w:ilvl="0" w:tplc="6B2E41CE">
      <w:start w:val="1"/>
      <w:numFmt w:val="decimal"/>
      <w:lvlText w:val="%1."/>
      <w:lvlJc w:val="left"/>
      <w:pPr>
        <w:tabs>
          <w:tab w:val="num" w:pos="1500"/>
        </w:tabs>
        <w:ind w:left="1500" w:hanging="765"/>
      </w:pPr>
      <w:rPr>
        <w:rFonts w:ascii="Cambria" w:hAnsi="Cambria"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5" w15:restartNumberingAfterBreak="0">
    <w:nsid w:val="5A681F10"/>
    <w:multiLevelType w:val="hybridMultilevel"/>
    <w:tmpl w:val="41F4A2C8"/>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6166DB58"/>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4F312FC"/>
    <w:multiLevelType w:val="hybridMultilevel"/>
    <w:tmpl w:val="45125288"/>
    <w:lvl w:ilvl="0" w:tplc="A3824D46">
      <w:start w:val="1"/>
      <w:numFmt w:val="decimal"/>
      <w:lvlText w:val="%1."/>
      <w:lvlJc w:val="left"/>
      <w:pPr>
        <w:ind w:left="360" w:hanging="360"/>
      </w:pPr>
      <w:rPr>
        <w:rFonts w:asciiTheme="minorHAnsi" w:hAnsiTheme="minorHAnsi" w:hint="default"/>
        <w:b w:val="0"/>
        <w:color w:val="808080" w:themeColor="background1" w:themeShade="80"/>
        <w:sz w:val="22"/>
        <w:szCs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73A8A9E"/>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0B5D47"/>
    <w:multiLevelType w:val="hybridMultilevel"/>
    <w:tmpl w:val="9404D1E2"/>
    <w:lvl w:ilvl="0" w:tplc="CD2A5A04">
      <w:start w:val="3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471F5F"/>
    <w:multiLevelType w:val="hybridMultilevel"/>
    <w:tmpl w:val="BF3A8F5E"/>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45554A"/>
    <w:multiLevelType w:val="hybridMultilevel"/>
    <w:tmpl w:val="4468A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61"/>
  </w:num>
  <w:num w:numId="4">
    <w:abstractNumId w:val="20"/>
  </w:num>
  <w:num w:numId="5">
    <w:abstractNumId w:val="51"/>
  </w:num>
  <w:num w:numId="6">
    <w:abstractNumId w:val="25"/>
  </w:num>
  <w:num w:numId="7">
    <w:abstractNumId w:val="6"/>
  </w:num>
  <w:num w:numId="8">
    <w:abstractNumId w:val="16"/>
  </w:num>
  <w:num w:numId="9">
    <w:abstractNumId w:val="43"/>
  </w:num>
  <w:num w:numId="10">
    <w:abstractNumId w:val="0"/>
  </w:num>
  <w:num w:numId="11">
    <w:abstractNumId w:val="35"/>
  </w:num>
  <w:num w:numId="12">
    <w:abstractNumId w:val="36"/>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7"/>
  </w:num>
  <w:num w:numId="40">
    <w:abstractNumId w:val="38"/>
  </w:num>
  <w:num w:numId="41">
    <w:abstractNumId w:val="49"/>
  </w:num>
  <w:num w:numId="42">
    <w:abstractNumId w:val="53"/>
  </w:num>
  <w:num w:numId="43">
    <w:abstractNumId w:val="54"/>
  </w:num>
  <w:num w:numId="44">
    <w:abstractNumId w:val="58"/>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19"/>
  </w:num>
  <w:num w:numId="52">
    <w:abstractNumId w:val="39"/>
  </w:num>
  <w:num w:numId="53">
    <w:abstractNumId w:val="55"/>
  </w:num>
  <w:num w:numId="54">
    <w:abstractNumId w:val="47"/>
  </w:num>
  <w:num w:numId="55">
    <w:abstractNumId w:val="48"/>
  </w:num>
  <w:num w:numId="56">
    <w:abstractNumId w:val="52"/>
  </w:num>
  <w:num w:numId="57">
    <w:abstractNumId w:val="41"/>
  </w:num>
  <w:num w:numId="58">
    <w:abstractNumId w:val="59"/>
  </w:num>
  <w:num w:numId="59">
    <w:abstractNumId w:val="57"/>
    <w:lvlOverride w:ilvl="0">
      <w:startOverride w:val="1"/>
    </w:lvlOverride>
  </w:num>
  <w:num w:numId="60">
    <w:abstractNumId w:val="57"/>
  </w:num>
  <w:num w:numId="61">
    <w:abstractNumId w:val="40"/>
  </w:num>
  <w:num w:numId="62">
    <w:abstractNumId w:val="42"/>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34"/>
  </w:num>
  <w:num w:numId="67">
    <w:abstractNumId w:val="50"/>
  </w:num>
  <w:num w:numId="68">
    <w:abstractNumId w:val="5"/>
  </w:num>
  <w:num w:numId="69">
    <w:abstractNumId w:val="55"/>
  </w:num>
  <w:num w:numId="70">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B39"/>
    <w:rsid w:val="00000CDA"/>
    <w:rsid w:val="00001132"/>
    <w:rsid w:val="00001B5B"/>
    <w:rsid w:val="00002328"/>
    <w:rsid w:val="00003AC1"/>
    <w:rsid w:val="00003EC6"/>
    <w:rsid w:val="00004013"/>
    <w:rsid w:val="000050CC"/>
    <w:rsid w:val="00006693"/>
    <w:rsid w:val="00006DD7"/>
    <w:rsid w:val="00006E50"/>
    <w:rsid w:val="00006EDD"/>
    <w:rsid w:val="000070D7"/>
    <w:rsid w:val="00007690"/>
    <w:rsid w:val="00007B4D"/>
    <w:rsid w:val="00010600"/>
    <w:rsid w:val="00010877"/>
    <w:rsid w:val="00010A7E"/>
    <w:rsid w:val="000111A8"/>
    <w:rsid w:val="00011E4C"/>
    <w:rsid w:val="00011EB8"/>
    <w:rsid w:val="00012267"/>
    <w:rsid w:val="00012470"/>
    <w:rsid w:val="00012683"/>
    <w:rsid w:val="00012ADD"/>
    <w:rsid w:val="00012C65"/>
    <w:rsid w:val="00012E4F"/>
    <w:rsid w:val="00013BDD"/>
    <w:rsid w:val="00013F78"/>
    <w:rsid w:val="00014FBC"/>
    <w:rsid w:val="00015306"/>
    <w:rsid w:val="00015472"/>
    <w:rsid w:val="000155D0"/>
    <w:rsid w:val="00015F42"/>
    <w:rsid w:val="000169AE"/>
    <w:rsid w:val="000169CA"/>
    <w:rsid w:val="00016B44"/>
    <w:rsid w:val="00017552"/>
    <w:rsid w:val="0001788C"/>
    <w:rsid w:val="00021201"/>
    <w:rsid w:val="00021557"/>
    <w:rsid w:val="00022424"/>
    <w:rsid w:val="00022941"/>
    <w:rsid w:val="00022F55"/>
    <w:rsid w:val="0002357A"/>
    <w:rsid w:val="00024428"/>
    <w:rsid w:val="00024730"/>
    <w:rsid w:val="00024BB7"/>
    <w:rsid w:val="00025D98"/>
    <w:rsid w:val="000265CB"/>
    <w:rsid w:val="0002681D"/>
    <w:rsid w:val="00027675"/>
    <w:rsid w:val="0003022F"/>
    <w:rsid w:val="00030834"/>
    <w:rsid w:val="00031189"/>
    <w:rsid w:val="00031A82"/>
    <w:rsid w:val="0003262C"/>
    <w:rsid w:val="00032BDA"/>
    <w:rsid w:val="0003324D"/>
    <w:rsid w:val="000332F4"/>
    <w:rsid w:val="000338F3"/>
    <w:rsid w:val="00035616"/>
    <w:rsid w:val="00036A8A"/>
    <w:rsid w:val="00037633"/>
    <w:rsid w:val="000378D5"/>
    <w:rsid w:val="00040A05"/>
    <w:rsid w:val="00040C3A"/>
    <w:rsid w:val="000414D2"/>
    <w:rsid w:val="000427EE"/>
    <w:rsid w:val="00042A17"/>
    <w:rsid w:val="0004390C"/>
    <w:rsid w:val="00044C4E"/>
    <w:rsid w:val="00045601"/>
    <w:rsid w:val="000459E0"/>
    <w:rsid w:val="0004681B"/>
    <w:rsid w:val="00046D40"/>
    <w:rsid w:val="0004761C"/>
    <w:rsid w:val="00047DA5"/>
    <w:rsid w:val="00047F35"/>
    <w:rsid w:val="000516F4"/>
    <w:rsid w:val="000517B2"/>
    <w:rsid w:val="00051DB2"/>
    <w:rsid w:val="00051EB4"/>
    <w:rsid w:val="000520FB"/>
    <w:rsid w:val="00052C1E"/>
    <w:rsid w:val="00052D20"/>
    <w:rsid w:val="00053172"/>
    <w:rsid w:val="00054E1B"/>
    <w:rsid w:val="000550C0"/>
    <w:rsid w:val="000552C7"/>
    <w:rsid w:val="000564E1"/>
    <w:rsid w:val="00056C0E"/>
    <w:rsid w:val="0005705F"/>
    <w:rsid w:val="000576AA"/>
    <w:rsid w:val="00057D4F"/>
    <w:rsid w:val="00057EDB"/>
    <w:rsid w:val="00060350"/>
    <w:rsid w:val="0006036E"/>
    <w:rsid w:val="00060666"/>
    <w:rsid w:val="0006097A"/>
    <w:rsid w:val="00060B7E"/>
    <w:rsid w:val="0006100F"/>
    <w:rsid w:val="00062269"/>
    <w:rsid w:val="00062C0F"/>
    <w:rsid w:val="00062FEC"/>
    <w:rsid w:val="000630E1"/>
    <w:rsid w:val="000639C0"/>
    <w:rsid w:val="00064312"/>
    <w:rsid w:val="000657E1"/>
    <w:rsid w:val="00065FBA"/>
    <w:rsid w:val="00066108"/>
    <w:rsid w:val="00066378"/>
    <w:rsid w:val="000679BC"/>
    <w:rsid w:val="00070187"/>
    <w:rsid w:val="00070B9D"/>
    <w:rsid w:val="00070F3A"/>
    <w:rsid w:val="0007127E"/>
    <w:rsid w:val="000716C5"/>
    <w:rsid w:val="00071776"/>
    <w:rsid w:val="00071A9D"/>
    <w:rsid w:val="00071E45"/>
    <w:rsid w:val="000728CA"/>
    <w:rsid w:val="00072B03"/>
    <w:rsid w:val="000745C0"/>
    <w:rsid w:val="00074669"/>
    <w:rsid w:val="00074893"/>
    <w:rsid w:val="000756B4"/>
    <w:rsid w:val="00075E23"/>
    <w:rsid w:val="00075E4E"/>
    <w:rsid w:val="000764E3"/>
    <w:rsid w:val="0007716F"/>
    <w:rsid w:val="00077A87"/>
    <w:rsid w:val="00080249"/>
    <w:rsid w:val="00080357"/>
    <w:rsid w:val="00081EC3"/>
    <w:rsid w:val="000823DA"/>
    <w:rsid w:val="00082CBB"/>
    <w:rsid w:val="000830D5"/>
    <w:rsid w:val="0008366A"/>
    <w:rsid w:val="00083BF4"/>
    <w:rsid w:val="00084A11"/>
    <w:rsid w:val="00084C5B"/>
    <w:rsid w:val="00085519"/>
    <w:rsid w:val="00085F60"/>
    <w:rsid w:val="00085F65"/>
    <w:rsid w:val="0008675E"/>
    <w:rsid w:val="00086BFA"/>
    <w:rsid w:val="0008733D"/>
    <w:rsid w:val="000901D7"/>
    <w:rsid w:val="00090720"/>
    <w:rsid w:val="00090E48"/>
    <w:rsid w:val="00090E82"/>
    <w:rsid w:val="00091707"/>
    <w:rsid w:val="000922C5"/>
    <w:rsid w:val="00092817"/>
    <w:rsid w:val="000929D9"/>
    <w:rsid w:val="00092F32"/>
    <w:rsid w:val="00093055"/>
    <w:rsid w:val="0009344A"/>
    <w:rsid w:val="0009454E"/>
    <w:rsid w:val="00094AFA"/>
    <w:rsid w:val="00095575"/>
    <w:rsid w:val="0009575D"/>
    <w:rsid w:val="00095A0A"/>
    <w:rsid w:val="00095B5F"/>
    <w:rsid w:val="000966E9"/>
    <w:rsid w:val="000973C5"/>
    <w:rsid w:val="000A0948"/>
    <w:rsid w:val="000A0BA7"/>
    <w:rsid w:val="000A0EF3"/>
    <w:rsid w:val="000A16DB"/>
    <w:rsid w:val="000A1E84"/>
    <w:rsid w:val="000A2085"/>
    <w:rsid w:val="000A254B"/>
    <w:rsid w:val="000A25B1"/>
    <w:rsid w:val="000A3276"/>
    <w:rsid w:val="000A393C"/>
    <w:rsid w:val="000A3E84"/>
    <w:rsid w:val="000A4138"/>
    <w:rsid w:val="000A4DDD"/>
    <w:rsid w:val="000A5152"/>
    <w:rsid w:val="000A51D4"/>
    <w:rsid w:val="000A5214"/>
    <w:rsid w:val="000A575F"/>
    <w:rsid w:val="000A584B"/>
    <w:rsid w:val="000A5B0F"/>
    <w:rsid w:val="000A62C0"/>
    <w:rsid w:val="000A650D"/>
    <w:rsid w:val="000A68B6"/>
    <w:rsid w:val="000A6BBB"/>
    <w:rsid w:val="000A6C50"/>
    <w:rsid w:val="000A76B0"/>
    <w:rsid w:val="000A7A76"/>
    <w:rsid w:val="000A7DBA"/>
    <w:rsid w:val="000A7FB8"/>
    <w:rsid w:val="000B040F"/>
    <w:rsid w:val="000B06AC"/>
    <w:rsid w:val="000B094A"/>
    <w:rsid w:val="000B0C30"/>
    <w:rsid w:val="000B25B8"/>
    <w:rsid w:val="000B25FC"/>
    <w:rsid w:val="000B276D"/>
    <w:rsid w:val="000B2EF7"/>
    <w:rsid w:val="000B39B4"/>
    <w:rsid w:val="000B418A"/>
    <w:rsid w:val="000B478D"/>
    <w:rsid w:val="000B4DAF"/>
    <w:rsid w:val="000B4EAA"/>
    <w:rsid w:val="000B50C3"/>
    <w:rsid w:val="000C0092"/>
    <w:rsid w:val="000C0149"/>
    <w:rsid w:val="000C04CE"/>
    <w:rsid w:val="000C04CF"/>
    <w:rsid w:val="000C103B"/>
    <w:rsid w:val="000C1094"/>
    <w:rsid w:val="000C1B5A"/>
    <w:rsid w:val="000C1C2F"/>
    <w:rsid w:val="000C1E67"/>
    <w:rsid w:val="000C24CD"/>
    <w:rsid w:val="000C2C82"/>
    <w:rsid w:val="000C45C3"/>
    <w:rsid w:val="000C5219"/>
    <w:rsid w:val="000C556C"/>
    <w:rsid w:val="000C5DEE"/>
    <w:rsid w:val="000C6FFD"/>
    <w:rsid w:val="000C7F55"/>
    <w:rsid w:val="000D0BD2"/>
    <w:rsid w:val="000D10DB"/>
    <w:rsid w:val="000D1FC7"/>
    <w:rsid w:val="000D3921"/>
    <w:rsid w:val="000D3B27"/>
    <w:rsid w:val="000D3EE0"/>
    <w:rsid w:val="000D43E0"/>
    <w:rsid w:val="000D5691"/>
    <w:rsid w:val="000D600D"/>
    <w:rsid w:val="000D6817"/>
    <w:rsid w:val="000D68F4"/>
    <w:rsid w:val="000D6EEF"/>
    <w:rsid w:val="000D7084"/>
    <w:rsid w:val="000D7581"/>
    <w:rsid w:val="000E0392"/>
    <w:rsid w:val="000E07F7"/>
    <w:rsid w:val="000E0F8F"/>
    <w:rsid w:val="000E1356"/>
    <w:rsid w:val="000E24D2"/>
    <w:rsid w:val="000E2D63"/>
    <w:rsid w:val="000E3937"/>
    <w:rsid w:val="000E44C7"/>
    <w:rsid w:val="000E56C3"/>
    <w:rsid w:val="000E69B3"/>
    <w:rsid w:val="000E6A5E"/>
    <w:rsid w:val="000E6EDD"/>
    <w:rsid w:val="000E7140"/>
    <w:rsid w:val="000E7636"/>
    <w:rsid w:val="000E7ED0"/>
    <w:rsid w:val="000E7F69"/>
    <w:rsid w:val="000F05A8"/>
    <w:rsid w:val="000F0A25"/>
    <w:rsid w:val="000F0EEC"/>
    <w:rsid w:val="000F4547"/>
    <w:rsid w:val="000F4D36"/>
    <w:rsid w:val="000F51DA"/>
    <w:rsid w:val="000F53F9"/>
    <w:rsid w:val="000F5D64"/>
    <w:rsid w:val="000F7409"/>
    <w:rsid w:val="00100FB7"/>
    <w:rsid w:val="00101553"/>
    <w:rsid w:val="00101C44"/>
    <w:rsid w:val="001024E3"/>
    <w:rsid w:val="001025B1"/>
    <w:rsid w:val="00102742"/>
    <w:rsid w:val="0010275F"/>
    <w:rsid w:val="001032AB"/>
    <w:rsid w:val="00103331"/>
    <w:rsid w:val="00103526"/>
    <w:rsid w:val="00103ABE"/>
    <w:rsid w:val="00104889"/>
    <w:rsid w:val="00104896"/>
    <w:rsid w:val="00104C50"/>
    <w:rsid w:val="00105599"/>
    <w:rsid w:val="0010592A"/>
    <w:rsid w:val="00105C96"/>
    <w:rsid w:val="0010625B"/>
    <w:rsid w:val="001063FA"/>
    <w:rsid w:val="00106990"/>
    <w:rsid w:val="001110DA"/>
    <w:rsid w:val="0011247B"/>
    <w:rsid w:val="00112617"/>
    <w:rsid w:val="001126EB"/>
    <w:rsid w:val="001128E0"/>
    <w:rsid w:val="00113149"/>
    <w:rsid w:val="001131EC"/>
    <w:rsid w:val="00113496"/>
    <w:rsid w:val="00113ACF"/>
    <w:rsid w:val="001142FE"/>
    <w:rsid w:val="00114527"/>
    <w:rsid w:val="00115009"/>
    <w:rsid w:val="00115CB1"/>
    <w:rsid w:val="001171CF"/>
    <w:rsid w:val="00117FCC"/>
    <w:rsid w:val="00122709"/>
    <w:rsid w:val="00122DF4"/>
    <w:rsid w:val="00122F98"/>
    <w:rsid w:val="00123ECD"/>
    <w:rsid w:val="00125D3B"/>
    <w:rsid w:val="0012610A"/>
    <w:rsid w:val="001267FB"/>
    <w:rsid w:val="00126BC6"/>
    <w:rsid w:val="00126F3B"/>
    <w:rsid w:val="00130A27"/>
    <w:rsid w:val="00130DE9"/>
    <w:rsid w:val="00131042"/>
    <w:rsid w:val="0013104F"/>
    <w:rsid w:val="0013178F"/>
    <w:rsid w:val="00131B01"/>
    <w:rsid w:val="00131B9D"/>
    <w:rsid w:val="00133465"/>
    <w:rsid w:val="0013403C"/>
    <w:rsid w:val="00134FD9"/>
    <w:rsid w:val="00134FF0"/>
    <w:rsid w:val="00135217"/>
    <w:rsid w:val="001357AD"/>
    <w:rsid w:val="001365B6"/>
    <w:rsid w:val="00136CB7"/>
    <w:rsid w:val="00137EBA"/>
    <w:rsid w:val="00140380"/>
    <w:rsid w:val="0014051C"/>
    <w:rsid w:val="00140921"/>
    <w:rsid w:val="00141DEA"/>
    <w:rsid w:val="00142AE8"/>
    <w:rsid w:val="00142FA1"/>
    <w:rsid w:val="00143E4B"/>
    <w:rsid w:val="00143EB9"/>
    <w:rsid w:val="0014445A"/>
    <w:rsid w:val="00145EDC"/>
    <w:rsid w:val="00145F99"/>
    <w:rsid w:val="001467E2"/>
    <w:rsid w:val="00146E18"/>
    <w:rsid w:val="00147723"/>
    <w:rsid w:val="00147DC5"/>
    <w:rsid w:val="001503E0"/>
    <w:rsid w:val="00150DD0"/>
    <w:rsid w:val="00152085"/>
    <w:rsid w:val="00152829"/>
    <w:rsid w:val="00152944"/>
    <w:rsid w:val="0015335C"/>
    <w:rsid w:val="00154179"/>
    <w:rsid w:val="00155007"/>
    <w:rsid w:val="0015592F"/>
    <w:rsid w:val="00155EEE"/>
    <w:rsid w:val="00155F1D"/>
    <w:rsid w:val="00157341"/>
    <w:rsid w:val="0015753F"/>
    <w:rsid w:val="001577B2"/>
    <w:rsid w:val="00157A9F"/>
    <w:rsid w:val="00157CE4"/>
    <w:rsid w:val="001600A4"/>
    <w:rsid w:val="001603B5"/>
    <w:rsid w:val="0016108B"/>
    <w:rsid w:val="00161150"/>
    <w:rsid w:val="00161E0F"/>
    <w:rsid w:val="00162778"/>
    <w:rsid w:val="00162AAD"/>
    <w:rsid w:val="00162CEF"/>
    <w:rsid w:val="0016356D"/>
    <w:rsid w:val="00163742"/>
    <w:rsid w:val="001638DF"/>
    <w:rsid w:val="0016440B"/>
    <w:rsid w:val="0016465A"/>
    <w:rsid w:val="0016499F"/>
    <w:rsid w:val="00166496"/>
    <w:rsid w:val="00166F26"/>
    <w:rsid w:val="00166F35"/>
    <w:rsid w:val="00167A34"/>
    <w:rsid w:val="00170952"/>
    <w:rsid w:val="00170976"/>
    <w:rsid w:val="001710B8"/>
    <w:rsid w:val="001710D1"/>
    <w:rsid w:val="00171725"/>
    <w:rsid w:val="0017269A"/>
    <w:rsid w:val="00172A98"/>
    <w:rsid w:val="001733D5"/>
    <w:rsid w:val="0017348C"/>
    <w:rsid w:val="001739DA"/>
    <w:rsid w:val="001739F5"/>
    <w:rsid w:val="001747B4"/>
    <w:rsid w:val="00174911"/>
    <w:rsid w:val="00174F72"/>
    <w:rsid w:val="00175318"/>
    <w:rsid w:val="00175827"/>
    <w:rsid w:val="0017642E"/>
    <w:rsid w:val="00180064"/>
    <w:rsid w:val="0018009D"/>
    <w:rsid w:val="0018037F"/>
    <w:rsid w:val="001805B4"/>
    <w:rsid w:val="00180D3C"/>
    <w:rsid w:val="00180E3B"/>
    <w:rsid w:val="001819A8"/>
    <w:rsid w:val="00182F27"/>
    <w:rsid w:val="001836BA"/>
    <w:rsid w:val="00184083"/>
    <w:rsid w:val="00184C6F"/>
    <w:rsid w:val="00187268"/>
    <w:rsid w:val="00190214"/>
    <w:rsid w:val="00190E99"/>
    <w:rsid w:val="00190F48"/>
    <w:rsid w:val="0019136D"/>
    <w:rsid w:val="001913E1"/>
    <w:rsid w:val="001917D9"/>
    <w:rsid w:val="00192A1E"/>
    <w:rsid w:val="00192FD4"/>
    <w:rsid w:val="0019332D"/>
    <w:rsid w:val="001937A5"/>
    <w:rsid w:val="001940F0"/>
    <w:rsid w:val="00196280"/>
    <w:rsid w:val="001965CC"/>
    <w:rsid w:val="001970F2"/>
    <w:rsid w:val="0019748D"/>
    <w:rsid w:val="00197B58"/>
    <w:rsid w:val="001A013D"/>
    <w:rsid w:val="001A0782"/>
    <w:rsid w:val="001A0B42"/>
    <w:rsid w:val="001A1B32"/>
    <w:rsid w:val="001A2434"/>
    <w:rsid w:val="001A39CF"/>
    <w:rsid w:val="001A4221"/>
    <w:rsid w:val="001A5577"/>
    <w:rsid w:val="001A5F27"/>
    <w:rsid w:val="001A6423"/>
    <w:rsid w:val="001A64EB"/>
    <w:rsid w:val="001A7439"/>
    <w:rsid w:val="001A7870"/>
    <w:rsid w:val="001A7D5B"/>
    <w:rsid w:val="001A7EDC"/>
    <w:rsid w:val="001B17B9"/>
    <w:rsid w:val="001B2FCD"/>
    <w:rsid w:val="001B3279"/>
    <w:rsid w:val="001B413D"/>
    <w:rsid w:val="001B4593"/>
    <w:rsid w:val="001B4974"/>
    <w:rsid w:val="001B4E52"/>
    <w:rsid w:val="001B532B"/>
    <w:rsid w:val="001B56BC"/>
    <w:rsid w:val="001B5F45"/>
    <w:rsid w:val="001B60FE"/>
    <w:rsid w:val="001B658D"/>
    <w:rsid w:val="001B77F0"/>
    <w:rsid w:val="001B7BA1"/>
    <w:rsid w:val="001C04BF"/>
    <w:rsid w:val="001C0710"/>
    <w:rsid w:val="001C1B41"/>
    <w:rsid w:val="001C2003"/>
    <w:rsid w:val="001C2173"/>
    <w:rsid w:val="001C217B"/>
    <w:rsid w:val="001C2F45"/>
    <w:rsid w:val="001C3032"/>
    <w:rsid w:val="001C311D"/>
    <w:rsid w:val="001C38BC"/>
    <w:rsid w:val="001C3B2D"/>
    <w:rsid w:val="001C3BB7"/>
    <w:rsid w:val="001C3FE4"/>
    <w:rsid w:val="001C4006"/>
    <w:rsid w:val="001C460D"/>
    <w:rsid w:val="001C48AF"/>
    <w:rsid w:val="001C4ADD"/>
    <w:rsid w:val="001C50DC"/>
    <w:rsid w:val="001C6025"/>
    <w:rsid w:val="001C68E7"/>
    <w:rsid w:val="001C6E0E"/>
    <w:rsid w:val="001C6F52"/>
    <w:rsid w:val="001D02D5"/>
    <w:rsid w:val="001D1343"/>
    <w:rsid w:val="001D1A17"/>
    <w:rsid w:val="001D1FC1"/>
    <w:rsid w:val="001D31B1"/>
    <w:rsid w:val="001D3218"/>
    <w:rsid w:val="001D41F3"/>
    <w:rsid w:val="001D42A6"/>
    <w:rsid w:val="001D4D75"/>
    <w:rsid w:val="001D59B1"/>
    <w:rsid w:val="001D5FB5"/>
    <w:rsid w:val="001D652F"/>
    <w:rsid w:val="001D6612"/>
    <w:rsid w:val="001D6707"/>
    <w:rsid w:val="001D6BA1"/>
    <w:rsid w:val="001D75F2"/>
    <w:rsid w:val="001D7B45"/>
    <w:rsid w:val="001E0270"/>
    <w:rsid w:val="001E0808"/>
    <w:rsid w:val="001E1061"/>
    <w:rsid w:val="001E10CA"/>
    <w:rsid w:val="001E22F2"/>
    <w:rsid w:val="001E2867"/>
    <w:rsid w:val="001E3030"/>
    <w:rsid w:val="001E3060"/>
    <w:rsid w:val="001E31D4"/>
    <w:rsid w:val="001E3F3E"/>
    <w:rsid w:val="001E477E"/>
    <w:rsid w:val="001E4D7D"/>
    <w:rsid w:val="001E53FB"/>
    <w:rsid w:val="001E59A9"/>
    <w:rsid w:val="001E5A1A"/>
    <w:rsid w:val="001E5F04"/>
    <w:rsid w:val="001E699E"/>
    <w:rsid w:val="001E6C37"/>
    <w:rsid w:val="001F094C"/>
    <w:rsid w:val="001F0B72"/>
    <w:rsid w:val="001F3B00"/>
    <w:rsid w:val="001F4A4B"/>
    <w:rsid w:val="001F4DB8"/>
    <w:rsid w:val="001F5427"/>
    <w:rsid w:val="001F62D9"/>
    <w:rsid w:val="001F65E5"/>
    <w:rsid w:val="001F6E7F"/>
    <w:rsid w:val="00200D2E"/>
    <w:rsid w:val="002018AF"/>
    <w:rsid w:val="002027D1"/>
    <w:rsid w:val="00202A19"/>
    <w:rsid w:val="00203841"/>
    <w:rsid w:val="00204924"/>
    <w:rsid w:val="00204DFD"/>
    <w:rsid w:val="002056C8"/>
    <w:rsid w:val="00206728"/>
    <w:rsid w:val="002067F4"/>
    <w:rsid w:val="00207544"/>
    <w:rsid w:val="0021055A"/>
    <w:rsid w:val="00210E0E"/>
    <w:rsid w:val="00211891"/>
    <w:rsid w:val="00211F3B"/>
    <w:rsid w:val="00213A2F"/>
    <w:rsid w:val="00214962"/>
    <w:rsid w:val="002153B6"/>
    <w:rsid w:val="0021591D"/>
    <w:rsid w:val="00215CE2"/>
    <w:rsid w:val="002179AD"/>
    <w:rsid w:val="00217D6A"/>
    <w:rsid w:val="00220F56"/>
    <w:rsid w:val="0022169F"/>
    <w:rsid w:val="00221704"/>
    <w:rsid w:val="002218FD"/>
    <w:rsid w:val="00222050"/>
    <w:rsid w:val="00222647"/>
    <w:rsid w:val="002226AA"/>
    <w:rsid w:val="00223245"/>
    <w:rsid w:val="002237F3"/>
    <w:rsid w:val="00224AA7"/>
    <w:rsid w:val="00224CA5"/>
    <w:rsid w:val="00224E5F"/>
    <w:rsid w:val="00225375"/>
    <w:rsid w:val="002256AE"/>
    <w:rsid w:val="002277C3"/>
    <w:rsid w:val="0023061B"/>
    <w:rsid w:val="00231242"/>
    <w:rsid w:val="00231CD1"/>
    <w:rsid w:val="00232A3C"/>
    <w:rsid w:val="00233353"/>
    <w:rsid w:val="00233CCA"/>
    <w:rsid w:val="002351E7"/>
    <w:rsid w:val="002368C5"/>
    <w:rsid w:val="00236FA5"/>
    <w:rsid w:val="0024070A"/>
    <w:rsid w:val="00241B9E"/>
    <w:rsid w:val="00241F98"/>
    <w:rsid w:val="0024247E"/>
    <w:rsid w:val="0024379B"/>
    <w:rsid w:val="00244E7D"/>
    <w:rsid w:val="00245446"/>
    <w:rsid w:val="00245452"/>
    <w:rsid w:val="00245F40"/>
    <w:rsid w:val="00246E7D"/>
    <w:rsid w:val="00247019"/>
    <w:rsid w:val="00247403"/>
    <w:rsid w:val="00247542"/>
    <w:rsid w:val="00247592"/>
    <w:rsid w:val="00247E0E"/>
    <w:rsid w:val="00250662"/>
    <w:rsid w:val="00250B61"/>
    <w:rsid w:val="00250F0E"/>
    <w:rsid w:val="00250F42"/>
    <w:rsid w:val="0025100E"/>
    <w:rsid w:val="002520C0"/>
    <w:rsid w:val="00253F1B"/>
    <w:rsid w:val="00255140"/>
    <w:rsid w:val="002552DF"/>
    <w:rsid w:val="0025532E"/>
    <w:rsid w:val="00255475"/>
    <w:rsid w:val="00255759"/>
    <w:rsid w:val="002560C3"/>
    <w:rsid w:val="00256813"/>
    <w:rsid w:val="00256D45"/>
    <w:rsid w:val="0025711C"/>
    <w:rsid w:val="0025755D"/>
    <w:rsid w:val="00257893"/>
    <w:rsid w:val="00260C70"/>
    <w:rsid w:val="0026109F"/>
    <w:rsid w:val="0026124E"/>
    <w:rsid w:val="0026154C"/>
    <w:rsid w:val="00261C06"/>
    <w:rsid w:val="002626A2"/>
    <w:rsid w:val="002626F5"/>
    <w:rsid w:val="00262ECA"/>
    <w:rsid w:val="00263B2B"/>
    <w:rsid w:val="00263BC9"/>
    <w:rsid w:val="00264033"/>
    <w:rsid w:val="00264870"/>
    <w:rsid w:val="00264944"/>
    <w:rsid w:val="00265BAE"/>
    <w:rsid w:val="00266092"/>
    <w:rsid w:val="00266B61"/>
    <w:rsid w:val="0026712A"/>
    <w:rsid w:val="00267891"/>
    <w:rsid w:val="00267EF0"/>
    <w:rsid w:val="0027004C"/>
    <w:rsid w:val="002701A7"/>
    <w:rsid w:val="002704DB"/>
    <w:rsid w:val="002704E0"/>
    <w:rsid w:val="002706E4"/>
    <w:rsid w:val="00270C7A"/>
    <w:rsid w:val="00271104"/>
    <w:rsid w:val="00271175"/>
    <w:rsid w:val="00272596"/>
    <w:rsid w:val="002727FA"/>
    <w:rsid w:val="00272854"/>
    <w:rsid w:val="00272A02"/>
    <w:rsid w:val="00272DEF"/>
    <w:rsid w:val="00272F7D"/>
    <w:rsid w:val="00273032"/>
    <w:rsid w:val="002730F6"/>
    <w:rsid w:val="00274F86"/>
    <w:rsid w:val="00275FC9"/>
    <w:rsid w:val="0027671E"/>
    <w:rsid w:val="00276C31"/>
    <w:rsid w:val="002772E3"/>
    <w:rsid w:val="0027790C"/>
    <w:rsid w:val="00277987"/>
    <w:rsid w:val="002809AC"/>
    <w:rsid w:val="0028111A"/>
    <w:rsid w:val="00283909"/>
    <w:rsid w:val="0028392E"/>
    <w:rsid w:val="00284173"/>
    <w:rsid w:val="00284C09"/>
    <w:rsid w:val="00284E86"/>
    <w:rsid w:val="002869C6"/>
    <w:rsid w:val="00287642"/>
    <w:rsid w:val="00287B22"/>
    <w:rsid w:val="00290094"/>
    <w:rsid w:val="00291C7D"/>
    <w:rsid w:val="00292239"/>
    <w:rsid w:val="00292BC4"/>
    <w:rsid w:val="00292CEC"/>
    <w:rsid w:val="0029397E"/>
    <w:rsid w:val="00293AEB"/>
    <w:rsid w:val="00293B75"/>
    <w:rsid w:val="0029466E"/>
    <w:rsid w:val="00294727"/>
    <w:rsid w:val="00294B4A"/>
    <w:rsid w:val="00294FA9"/>
    <w:rsid w:val="0029523E"/>
    <w:rsid w:val="002955D3"/>
    <w:rsid w:val="002957D7"/>
    <w:rsid w:val="00295C76"/>
    <w:rsid w:val="0029615A"/>
    <w:rsid w:val="002963E4"/>
    <w:rsid w:val="00296BE8"/>
    <w:rsid w:val="00296EC2"/>
    <w:rsid w:val="0029715B"/>
    <w:rsid w:val="00297288"/>
    <w:rsid w:val="0029754B"/>
    <w:rsid w:val="00297630"/>
    <w:rsid w:val="002A00C2"/>
    <w:rsid w:val="002A036F"/>
    <w:rsid w:val="002A040F"/>
    <w:rsid w:val="002A05B1"/>
    <w:rsid w:val="002A1564"/>
    <w:rsid w:val="002A1C6E"/>
    <w:rsid w:val="002A1D6A"/>
    <w:rsid w:val="002A1EF3"/>
    <w:rsid w:val="002A24D4"/>
    <w:rsid w:val="002A2593"/>
    <w:rsid w:val="002A2720"/>
    <w:rsid w:val="002A3CD5"/>
    <w:rsid w:val="002A5150"/>
    <w:rsid w:val="002A555A"/>
    <w:rsid w:val="002A733A"/>
    <w:rsid w:val="002A7A01"/>
    <w:rsid w:val="002B008D"/>
    <w:rsid w:val="002B0374"/>
    <w:rsid w:val="002B0BE7"/>
    <w:rsid w:val="002B0C15"/>
    <w:rsid w:val="002B110C"/>
    <w:rsid w:val="002B1184"/>
    <w:rsid w:val="002B1D55"/>
    <w:rsid w:val="002B2AB5"/>
    <w:rsid w:val="002B30E6"/>
    <w:rsid w:val="002B3A2B"/>
    <w:rsid w:val="002B3CCF"/>
    <w:rsid w:val="002B4417"/>
    <w:rsid w:val="002B4B61"/>
    <w:rsid w:val="002B5794"/>
    <w:rsid w:val="002B5AF9"/>
    <w:rsid w:val="002B5F8A"/>
    <w:rsid w:val="002B67D0"/>
    <w:rsid w:val="002B6D80"/>
    <w:rsid w:val="002B7448"/>
    <w:rsid w:val="002C0B64"/>
    <w:rsid w:val="002C10D7"/>
    <w:rsid w:val="002C1641"/>
    <w:rsid w:val="002C1EB3"/>
    <w:rsid w:val="002C1F13"/>
    <w:rsid w:val="002C1FD7"/>
    <w:rsid w:val="002C2769"/>
    <w:rsid w:val="002C2792"/>
    <w:rsid w:val="002C3312"/>
    <w:rsid w:val="002C3671"/>
    <w:rsid w:val="002C37C7"/>
    <w:rsid w:val="002C3D66"/>
    <w:rsid w:val="002C4070"/>
    <w:rsid w:val="002C58D2"/>
    <w:rsid w:val="002C5A89"/>
    <w:rsid w:val="002C5BCE"/>
    <w:rsid w:val="002C5EC4"/>
    <w:rsid w:val="002C6C33"/>
    <w:rsid w:val="002D033F"/>
    <w:rsid w:val="002D064D"/>
    <w:rsid w:val="002D0D0D"/>
    <w:rsid w:val="002D12CF"/>
    <w:rsid w:val="002D1B85"/>
    <w:rsid w:val="002D1CFA"/>
    <w:rsid w:val="002D33B3"/>
    <w:rsid w:val="002D3C13"/>
    <w:rsid w:val="002D40D8"/>
    <w:rsid w:val="002D45C2"/>
    <w:rsid w:val="002D4CA0"/>
    <w:rsid w:val="002D5514"/>
    <w:rsid w:val="002D5A05"/>
    <w:rsid w:val="002D5D4E"/>
    <w:rsid w:val="002D622C"/>
    <w:rsid w:val="002D628F"/>
    <w:rsid w:val="002D6E69"/>
    <w:rsid w:val="002D7DC4"/>
    <w:rsid w:val="002D7EA2"/>
    <w:rsid w:val="002E03A4"/>
    <w:rsid w:val="002E10CD"/>
    <w:rsid w:val="002E10DC"/>
    <w:rsid w:val="002E15DF"/>
    <w:rsid w:val="002E16E8"/>
    <w:rsid w:val="002E187C"/>
    <w:rsid w:val="002E18E3"/>
    <w:rsid w:val="002E1CDE"/>
    <w:rsid w:val="002E1F0B"/>
    <w:rsid w:val="002E349E"/>
    <w:rsid w:val="002E35D7"/>
    <w:rsid w:val="002E3921"/>
    <w:rsid w:val="002E3C15"/>
    <w:rsid w:val="002E432F"/>
    <w:rsid w:val="002E4F0A"/>
    <w:rsid w:val="002E5A58"/>
    <w:rsid w:val="002E5FC0"/>
    <w:rsid w:val="002E61E7"/>
    <w:rsid w:val="002E620F"/>
    <w:rsid w:val="002E6267"/>
    <w:rsid w:val="002E6663"/>
    <w:rsid w:val="002E6B47"/>
    <w:rsid w:val="002E6E57"/>
    <w:rsid w:val="002E755E"/>
    <w:rsid w:val="002E78C1"/>
    <w:rsid w:val="002E7E79"/>
    <w:rsid w:val="002F023D"/>
    <w:rsid w:val="002F097A"/>
    <w:rsid w:val="002F12A8"/>
    <w:rsid w:val="002F17C9"/>
    <w:rsid w:val="002F1B00"/>
    <w:rsid w:val="002F1B4A"/>
    <w:rsid w:val="002F2358"/>
    <w:rsid w:val="002F2D41"/>
    <w:rsid w:val="002F2FCB"/>
    <w:rsid w:val="002F3202"/>
    <w:rsid w:val="002F3554"/>
    <w:rsid w:val="002F3598"/>
    <w:rsid w:val="002F35CB"/>
    <w:rsid w:val="002F3D27"/>
    <w:rsid w:val="002F414B"/>
    <w:rsid w:val="002F443F"/>
    <w:rsid w:val="002F4FE5"/>
    <w:rsid w:val="002F503E"/>
    <w:rsid w:val="002F5686"/>
    <w:rsid w:val="002F5941"/>
    <w:rsid w:val="002F5E45"/>
    <w:rsid w:val="002F6201"/>
    <w:rsid w:val="002F63D9"/>
    <w:rsid w:val="002F6504"/>
    <w:rsid w:val="002F6C1E"/>
    <w:rsid w:val="002F6ECD"/>
    <w:rsid w:val="002F7B0F"/>
    <w:rsid w:val="00300F38"/>
    <w:rsid w:val="00301075"/>
    <w:rsid w:val="003010E1"/>
    <w:rsid w:val="00301B3D"/>
    <w:rsid w:val="00301F71"/>
    <w:rsid w:val="00302733"/>
    <w:rsid w:val="003035DD"/>
    <w:rsid w:val="00303B04"/>
    <w:rsid w:val="00304182"/>
    <w:rsid w:val="0030446B"/>
    <w:rsid w:val="003045FF"/>
    <w:rsid w:val="00304BBE"/>
    <w:rsid w:val="00304EED"/>
    <w:rsid w:val="003058E3"/>
    <w:rsid w:val="0030600F"/>
    <w:rsid w:val="00306012"/>
    <w:rsid w:val="00306C30"/>
    <w:rsid w:val="00306D2A"/>
    <w:rsid w:val="003070EA"/>
    <w:rsid w:val="00307577"/>
    <w:rsid w:val="00307C8D"/>
    <w:rsid w:val="00307DF7"/>
    <w:rsid w:val="003112C6"/>
    <w:rsid w:val="00311A4F"/>
    <w:rsid w:val="00313332"/>
    <w:rsid w:val="00313519"/>
    <w:rsid w:val="00314078"/>
    <w:rsid w:val="00315905"/>
    <w:rsid w:val="00316026"/>
    <w:rsid w:val="00316559"/>
    <w:rsid w:val="003169FA"/>
    <w:rsid w:val="0031724D"/>
    <w:rsid w:val="00317255"/>
    <w:rsid w:val="003172D8"/>
    <w:rsid w:val="00317E8A"/>
    <w:rsid w:val="00317FC6"/>
    <w:rsid w:val="00320402"/>
    <w:rsid w:val="00320A3A"/>
    <w:rsid w:val="00320A64"/>
    <w:rsid w:val="00320D26"/>
    <w:rsid w:val="003215F2"/>
    <w:rsid w:val="003218DF"/>
    <w:rsid w:val="00321A96"/>
    <w:rsid w:val="00322398"/>
    <w:rsid w:val="00322450"/>
    <w:rsid w:val="003241CF"/>
    <w:rsid w:val="00324590"/>
    <w:rsid w:val="003245A7"/>
    <w:rsid w:val="003246B5"/>
    <w:rsid w:val="00324882"/>
    <w:rsid w:val="003249CF"/>
    <w:rsid w:val="003267B5"/>
    <w:rsid w:val="00327501"/>
    <w:rsid w:val="00327AC5"/>
    <w:rsid w:val="00330196"/>
    <w:rsid w:val="0033054B"/>
    <w:rsid w:val="00330E0E"/>
    <w:rsid w:val="0033161A"/>
    <w:rsid w:val="00331687"/>
    <w:rsid w:val="0033169F"/>
    <w:rsid w:val="00331F29"/>
    <w:rsid w:val="00332152"/>
    <w:rsid w:val="003326C2"/>
    <w:rsid w:val="00332A4D"/>
    <w:rsid w:val="003330D2"/>
    <w:rsid w:val="00333FDB"/>
    <w:rsid w:val="003343F1"/>
    <w:rsid w:val="003351BB"/>
    <w:rsid w:val="0033591F"/>
    <w:rsid w:val="00336085"/>
    <w:rsid w:val="00337546"/>
    <w:rsid w:val="003378E0"/>
    <w:rsid w:val="00337961"/>
    <w:rsid w:val="00337C43"/>
    <w:rsid w:val="003407E0"/>
    <w:rsid w:val="00340A95"/>
    <w:rsid w:val="003410A6"/>
    <w:rsid w:val="003414AC"/>
    <w:rsid w:val="003414E6"/>
    <w:rsid w:val="00341F71"/>
    <w:rsid w:val="00342070"/>
    <w:rsid w:val="00342FA8"/>
    <w:rsid w:val="003447BB"/>
    <w:rsid w:val="003447DA"/>
    <w:rsid w:val="00344B38"/>
    <w:rsid w:val="0034569F"/>
    <w:rsid w:val="003464E3"/>
    <w:rsid w:val="00346D16"/>
    <w:rsid w:val="00347691"/>
    <w:rsid w:val="00347742"/>
    <w:rsid w:val="00351655"/>
    <w:rsid w:val="00351CDF"/>
    <w:rsid w:val="003520F3"/>
    <w:rsid w:val="0035485A"/>
    <w:rsid w:val="00355079"/>
    <w:rsid w:val="00355779"/>
    <w:rsid w:val="00356185"/>
    <w:rsid w:val="003567C7"/>
    <w:rsid w:val="00357206"/>
    <w:rsid w:val="00357961"/>
    <w:rsid w:val="00357C4D"/>
    <w:rsid w:val="00357D78"/>
    <w:rsid w:val="00360380"/>
    <w:rsid w:val="0036056F"/>
    <w:rsid w:val="0036137D"/>
    <w:rsid w:val="00361D2A"/>
    <w:rsid w:val="00361EB7"/>
    <w:rsid w:val="00362FE0"/>
    <w:rsid w:val="0036346A"/>
    <w:rsid w:val="00363954"/>
    <w:rsid w:val="003659F2"/>
    <w:rsid w:val="00365C45"/>
    <w:rsid w:val="00365D52"/>
    <w:rsid w:val="00366182"/>
    <w:rsid w:val="00366212"/>
    <w:rsid w:val="00366DBE"/>
    <w:rsid w:val="00367444"/>
    <w:rsid w:val="003675B8"/>
    <w:rsid w:val="003676F1"/>
    <w:rsid w:val="0036775E"/>
    <w:rsid w:val="00367EDD"/>
    <w:rsid w:val="00370DD4"/>
    <w:rsid w:val="003712A0"/>
    <w:rsid w:val="003712A7"/>
    <w:rsid w:val="00371EFD"/>
    <w:rsid w:val="003729BF"/>
    <w:rsid w:val="00372AD5"/>
    <w:rsid w:val="00372B13"/>
    <w:rsid w:val="00372F8E"/>
    <w:rsid w:val="00373790"/>
    <w:rsid w:val="003741EF"/>
    <w:rsid w:val="003745F9"/>
    <w:rsid w:val="00374940"/>
    <w:rsid w:val="003750C8"/>
    <w:rsid w:val="003752A9"/>
    <w:rsid w:val="003759D2"/>
    <w:rsid w:val="00375D88"/>
    <w:rsid w:val="00376244"/>
    <w:rsid w:val="00376462"/>
    <w:rsid w:val="00376CCB"/>
    <w:rsid w:val="00377AD8"/>
    <w:rsid w:val="00380645"/>
    <w:rsid w:val="00380831"/>
    <w:rsid w:val="00380A1D"/>
    <w:rsid w:val="00380B68"/>
    <w:rsid w:val="00380ECF"/>
    <w:rsid w:val="00382073"/>
    <w:rsid w:val="0038209A"/>
    <w:rsid w:val="00382598"/>
    <w:rsid w:val="0038262B"/>
    <w:rsid w:val="00382CE7"/>
    <w:rsid w:val="003832D9"/>
    <w:rsid w:val="0038330F"/>
    <w:rsid w:val="00384072"/>
    <w:rsid w:val="0038421B"/>
    <w:rsid w:val="00384BAF"/>
    <w:rsid w:val="0038559B"/>
    <w:rsid w:val="00385B08"/>
    <w:rsid w:val="00386CF0"/>
    <w:rsid w:val="00386FEA"/>
    <w:rsid w:val="00387CF0"/>
    <w:rsid w:val="003902B2"/>
    <w:rsid w:val="00390397"/>
    <w:rsid w:val="0039061F"/>
    <w:rsid w:val="00390D19"/>
    <w:rsid w:val="00391056"/>
    <w:rsid w:val="00391B88"/>
    <w:rsid w:val="00391CD8"/>
    <w:rsid w:val="00393C8E"/>
    <w:rsid w:val="00394608"/>
    <w:rsid w:val="0039471C"/>
    <w:rsid w:val="00394A5D"/>
    <w:rsid w:val="00395D14"/>
    <w:rsid w:val="00396106"/>
    <w:rsid w:val="003964BF"/>
    <w:rsid w:val="00397B77"/>
    <w:rsid w:val="003A110C"/>
    <w:rsid w:val="003A187E"/>
    <w:rsid w:val="003A18F4"/>
    <w:rsid w:val="003A1AE3"/>
    <w:rsid w:val="003A27F4"/>
    <w:rsid w:val="003A2DC1"/>
    <w:rsid w:val="003A33F8"/>
    <w:rsid w:val="003A348D"/>
    <w:rsid w:val="003A3C43"/>
    <w:rsid w:val="003A430F"/>
    <w:rsid w:val="003A4337"/>
    <w:rsid w:val="003A46FC"/>
    <w:rsid w:val="003A4790"/>
    <w:rsid w:val="003A485E"/>
    <w:rsid w:val="003A4B42"/>
    <w:rsid w:val="003A527A"/>
    <w:rsid w:val="003A54CE"/>
    <w:rsid w:val="003A5CAF"/>
    <w:rsid w:val="003A5E9B"/>
    <w:rsid w:val="003A6019"/>
    <w:rsid w:val="003A620A"/>
    <w:rsid w:val="003A632E"/>
    <w:rsid w:val="003A7118"/>
    <w:rsid w:val="003A71F1"/>
    <w:rsid w:val="003A7BFE"/>
    <w:rsid w:val="003B1BD7"/>
    <w:rsid w:val="003B1D54"/>
    <w:rsid w:val="003B1D61"/>
    <w:rsid w:val="003B27EA"/>
    <w:rsid w:val="003B2C86"/>
    <w:rsid w:val="003B349D"/>
    <w:rsid w:val="003B3E94"/>
    <w:rsid w:val="003B4DEB"/>
    <w:rsid w:val="003B5191"/>
    <w:rsid w:val="003B5C8C"/>
    <w:rsid w:val="003B63A0"/>
    <w:rsid w:val="003B640E"/>
    <w:rsid w:val="003B6423"/>
    <w:rsid w:val="003B66DC"/>
    <w:rsid w:val="003B6950"/>
    <w:rsid w:val="003C21BD"/>
    <w:rsid w:val="003C269F"/>
    <w:rsid w:val="003C32BC"/>
    <w:rsid w:val="003C3722"/>
    <w:rsid w:val="003C49F4"/>
    <w:rsid w:val="003C4BC0"/>
    <w:rsid w:val="003C4F69"/>
    <w:rsid w:val="003C54AD"/>
    <w:rsid w:val="003C6480"/>
    <w:rsid w:val="003C7061"/>
    <w:rsid w:val="003C75F3"/>
    <w:rsid w:val="003C79A9"/>
    <w:rsid w:val="003D007D"/>
    <w:rsid w:val="003D0C05"/>
    <w:rsid w:val="003D0D3E"/>
    <w:rsid w:val="003D1E49"/>
    <w:rsid w:val="003D2871"/>
    <w:rsid w:val="003D2C7F"/>
    <w:rsid w:val="003D3279"/>
    <w:rsid w:val="003D33D6"/>
    <w:rsid w:val="003D3435"/>
    <w:rsid w:val="003D3507"/>
    <w:rsid w:val="003D372C"/>
    <w:rsid w:val="003D3CAC"/>
    <w:rsid w:val="003D3E1C"/>
    <w:rsid w:val="003D40A7"/>
    <w:rsid w:val="003D45DE"/>
    <w:rsid w:val="003D4A67"/>
    <w:rsid w:val="003D51A2"/>
    <w:rsid w:val="003D5A38"/>
    <w:rsid w:val="003D5C6C"/>
    <w:rsid w:val="003D5CD7"/>
    <w:rsid w:val="003D5F18"/>
    <w:rsid w:val="003D79BC"/>
    <w:rsid w:val="003E06A3"/>
    <w:rsid w:val="003E0852"/>
    <w:rsid w:val="003E14B0"/>
    <w:rsid w:val="003E1FEC"/>
    <w:rsid w:val="003E2564"/>
    <w:rsid w:val="003E2DFE"/>
    <w:rsid w:val="003E366F"/>
    <w:rsid w:val="003E4D93"/>
    <w:rsid w:val="003E4E8A"/>
    <w:rsid w:val="003E520F"/>
    <w:rsid w:val="003E60B8"/>
    <w:rsid w:val="003E65E7"/>
    <w:rsid w:val="003E6671"/>
    <w:rsid w:val="003E68BB"/>
    <w:rsid w:val="003E6FB6"/>
    <w:rsid w:val="003E70A6"/>
    <w:rsid w:val="003E7291"/>
    <w:rsid w:val="003E7380"/>
    <w:rsid w:val="003E752C"/>
    <w:rsid w:val="003F0153"/>
    <w:rsid w:val="003F03FA"/>
    <w:rsid w:val="003F0B2B"/>
    <w:rsid w:val="003F1230"/>
    <w:rsid w:val="003F19D4"/>
    <w:rsid w:val="003F1A35"/>
    <w:rsid w:val="003F1BBF"/>
    <w:rsid w:val="003F2D46"/>
    <w:rsid w:val="003F572E"/>
    <w:rsid w:val="003F57C9"/>
    <w:rsid w:val="003F6707"/>
    <w:rsid w:val="003F7001"/>
    <w:rsid w:val="003F7161"/>
    <w:rsid w:val="00400C14"/>
    <w:rsid w:val="00400E6B"/>
    <w:rsid w:val="00400EA4"/>
    <w:rsid w:val="00400FF0"/>
    <w:rsid w:val="004010E9"/>
    <w:rsid w:val="0040128B"/>
    <w:rsid w:val="004022E4"/>
    <w:rsid w:val="00404333"/>
    <w:rsid w:val="00404A51"/>
    <w:rsid w:val="00404EFC"/>
    <w:rsid w:val="00404F22"/>
    <w:rsid w:val="00405991"/>
    <w:rsid w:val="00405F19"/>
    <w:rsid w:val="00406721"/>
    <w:rsid w:val="00406CB6"/>
    <w:rsid w:val="0040735D"/>
    <w:rsid w:val="0040759C"/>
    <w:rsid w:val="00407F3D"/>
    <w:rsid w:val="004106DD"/>
    <w:rsid w:val="00410925"/>
    <w:rsid w:val="00410F58"/>
    <w:rsid w:val="0041204B"/>
    <w:rsid w:val="004122AE"/>
    <w:rsid w:val="004128E9"/>
    <w:rsid w:val="00412AF2"/>
    <w:rsid w:val="00413779"/>
    <w:rsid w:val="0041384F"/>
    <w:rsid w:val="00413B37"/>
    <w:rsid w:val="004142F6"/>
    <w:rsid w:val="00414A54"/>
    <w:rsid w:val="00414D3F"/>
    <w:rsid w:val="00415929"/>
    <w:rsid w:val="00415BAE"/>
    <w:rsid w:val="00416443"/>
    <w:rsid w:val="004165C2"/>
    <w:rsid w:val="00416614"/>
    <w:rsid w:val="00416AD8"/>
    <w:rsid w:val="00416BC5"/>
    <w:rsid w:val="00417263"/>
    <w:rsid w:val="00417356"/>
    <w:rsid w:val="0041797E"/>
    <w:rsid w:val="00420486"/>
    <w:rsid w:val="00421966"/>
    <w:rsid w:val="00421D29"/>
    <w:rsid w:val="00422536"/>
    <w:rsid w:val="00423909"/>
    <w:rsid w:val="00423E69"/>
    <w:rsid w:val="004262BB"/>
    <w:rsid w:val="004264FA"/>
    <w:rsid w:val="00426A93"/>
    <w:rsid w:val="00426DB7"/>
    <w:rsid w:val="00426EAA"/>
    <w:rsid w:val="00427406"/>
    <w:rsid w:val="0042749C"/>
    <w:rsid w:val="00427737"/>
    <w:rsid w:val="00430052"/>
    <w:rsid w:val="0043073C"/>
    <w:rsid w:val="00431AAA"/>
    <w:rsid w:val="00432731"/>
    <w:rsid w:val="004332C3"/>
    <w:rsid w:val="004334A4"/>
    <w:rsid w:val="004343C8"/>
    <w:rsid w:val="004345CE"/>
    <w:rsid w:val="004359E6"/>
    <w:rsid w:val="004368AF"/>
    <w:rsid w:val="00436C66"/>
    <w:rsid w:val="004375C9"/>
    <w:rsid w:val="00437A98"/>
    <w:rsid w:val="004400CE"/>
    <w:rsid w:val="00440CD9"/>
    <w:rsid w:val="00440DB6"/>
    <w:rsid w:val="00440E90"/>
    <w:rsid w:val="004413C0"/>
    <w:rsid w:val="004418C0"/>
    <w:rsid w:val="00441D48"/>
    <w:rsid w:val="00443C71"/>
    <w:rsid w:val="00444596"/>
    <w:rsid w:val="00445C74"/>
    <w:rsid w:val="0044650B"/>
    <w:rsid w:val="004467BD"/>
    <w:rsid w:val="00446B98"/>
    <w:rsid w:val="00446F15"/>
    <w:rsid w:val="0044706E"/>
    <w:rsid w:val="00447468"/>
    <w:rsid w:val="00447B8F"/>
    <w:rsid w:val="00447CE2"/>
    <w:rsid w:val="00450A4A"/>
    <w:rsid w:val="00450D96"/>
    <w:rsid w:val="00453466"/>
    <w:rsid w:val="00454345"/>
    <w:rsid w:val="00454492"/>
    <w:rsid w:val="0045481D"/>
    <w:rsid w:val="00455165"/>
    <w:rsid w:val="0045524E"/>
    <w:rsid w:val="00456CCD"/>
    <w:rsid w:val="00456D70"/>
    <w:rsid w:val="00456FF9"/>
    <w:rsid w:val="00457228"/>
    <w:rsid w:val="00457974"/>
    <w:rsid w:val="00457B89"/>
    <w:rsid w:val="0046041C"/>
    <w:rsid w:val="004606C0"/>
    <w:rsid w:val="0046072C"/>
    <w:rsid w:val="00461E19"/>
    <w:rsid w:val="0046208F"/>
    <w:rsid w:val="00462248"/>
    <w:rsid w:val="00462781"/>
    <w:rsid w:val="00462F9A"/>
    <w:rsid w:val="004642EF"/>
    <w:rsid w:val="0046488C"/>
    <w:rsid w:val="00464D80"/>
    <w:rsid w:val="0046574C"/>
    <w:rsid w:val="004662B0"/>
    <w:rsid w:val="004666FB"/>
    <w:rsid w:val="00466F19"/>
    <w:rsid w:val="00467542"/>
    <w:rsid w:val="00467B7E"/>
    <w:rsid w:val="00467CF1"/>
    <w:rsid w:val="0047006D"/>
    <w:rsid w:val="004702E9"/>
    <w:rsid w:val="004703D5"/>
    <w:rsid w:val="00470EE9"/>
    <w:rsid w:val="004715B7"/>
    <w:rsid w:val="00471BC8"/>
    <w:rsid w:val="00471ED1"/>
    <w:rsid w:val="00472A85"/>
    <w:rsid w:val="00472B0E"/>
    <w:rsid w:val="004730AF"/>
    <w:rsid w:val="00473197"/>
    <w:rsid w:val="00475C62"/>
    <w:rsid w:val="00476B10"/>
    <w:rsid w:val="00477BE3"/>
    <w:rsid w:val="00477D29"/>
    <w:rsid w:val="00477E53"/>
    <w:rsid w:val="00480B24"/>
    <w:rsid w:val="004810B3"/>
    <w:rsid w:val="0048119E"/>
    <w:rsid w:val="004817BD"/>
    <w:rsid w:val="00481C1F"/>
    <w:rsid w:val="00482208"/>
    <w:rsid w:val="00482528"/>
    <w:rsid w:val="00482644"/>
    <w:rsid w:val="00483146"/>
    <w:rsid w:val="00483668"/>
    <w:rsid w:val="00483697"/>
    <w:rsid w:val="00483801"/>
    <w:rsid w:val="00483974"/>
    <w:rsid w:val="00483D9E"/>
    <w:rsid w:val="00484B2F"/>
    <w:rsid w:val="00484F80"/>
    <w:rsid w:val="004850C2"/>
    <w:rsid w:val="00486A15"/>
    <w:rsid w:val="0048701C"/>
    <w:rsid w:val="004907E1"/>
    <w:rsid w:val="00490BE7"/>
    <w:rsid w:val="00490C98"/>
    <w:rsid w:val="0049419D"/>
    <w:rsid w:val="004949AA"/>
    <w:rsid w:val="00494BFF"/>
    <w:rsid w:val="00495029"/>
    <w:rsid w:val="00495396"/>
    <w:rsid w:val="00495CD7"/>
    <w:rsid w:val="004962B8"/>
    <w:rsid w:val="00496687"/>
    <w:rsid w:val="00496C69"/>
    <w:rsid w:val="00496DBC"/>
    <w:rsid w:val="00497493"/>
    <w:rsid w:val="0049749D"/>
    <w:rsid w:val="004977D3"/>
    <w:rsid w:val="00497AA2"/>
    <w:rsid w:val="00497D68"/>
    <w:rsid w:val="004A0977"/>
    <w:rsid w:val="004A1588"/>
    <w:rsid w:val="004A17A5"/>
    <w:rsid w:val="004A1B3A"/>
    <w:rsid w:val="004A1B66"/>
    <w:rsid w:val="004A1EEA"/>
    <w:rsid w:val="004A2B9D"/>
    <w:rsid w:val="004A37A5"/>
    <w:rsid w:val="004A3806"/>
    <w:rsid w:val="004A38DF"/>
    <w:rsid w:val="004A3921"/>
    <w:rsid w:val="004A3DC4"/>
    <w:rsid w:val="004A423C"/>
    <w:rsid w:val="004A4400"/>
    <w:rsid w:val="004A4A3E"/>
    <w:rsid w:val="004A4DB0"/>
    <w:rsid w:val="004A514F"/>
    <w:rsid w:val="004A53E7"/>
    <w:rsid w:val="004A5614"/>
    <w:rsid w:val="004A5A1D"/>
    <w:rsid w:val="004A5E29"/>
    <w:rsid w:val="004A6298"/>
    <w:rsid w:val="004A6629"/>
    <w:rsid w:val="004B0A49"/>
    <w:rsid w:val="004B23FB"/>
    <w:rsid w:val="004B2429"/>
    <w:rsid w:val="004B2762"/>
    <w:rsid w:val="004B2DE8"/>
    <w:rsid w:val="004B31F9"/>
    <w:rsid w:val="004B388C"/>
    <w:rsid w:val="004B40A9"/>
    <w:rsid w:val="004B45B7"/>
    <w:rsid w:val="004B4E6F"/>
    <w:rsid w:val="004B634D"/>
    <w:rsid w:val="004B7D4C"/>
    <w:rsid w:val="004B7EB6"/>
    <w:rsid w:val="004C0FE4"/>
    <w:rsid w:val="004C14B0"/>
    <w:rsid w:val="004C17B4"/>
    <w:rsid w:val="004C2235"/>
    <w:rsid w:val="004C427F"/>
    <w:rsid w:val="004C4B62"/>
    <w:rsid w:val="004C5505"/>
    <w:rsid w:val="004C599D"/>
    <w:rsid w:val="004C68B8"/>
    <w:rsid w:val="004C7257"/>
    <w:rsid w:val="004C758F"/>
    <w:rsid w:val="004C77DC"/>
    <w:rsid w:val="004C7B18"/>
    <w:rsid w:val="004C7EE2"/>
    <w:rsid w:val="004D0229"/>
    <w:rsid w:val="004D15C2"/>
    <w:rsid w:val="004D26F5"/>
    <w:rsid w:val="004D37B1"/>
    <w:rsid w:val="004D46A5"/>
    <w:rsid w:val="004D4782"/>
    <w:rsid w:val="004D4A6A"/>
    <w:rsid w:val="004D4D1B"/>
    <w:rsid w:val="004D4E01"/>
    <w:rsid w:val="004D5FA1"/>
    <w:rsid w:val="004D6025"/>
    <w:rsid w:val="004D61E8"/>
    <w:rsid w:val="004D657F"/>
    <w:rsid w:val="004D677E"/>
    <w:rsid w:val="004D6A97"/>
    <w:rsid w:val="004D72BC"/>
    <w:rsid w:val="004D78B4"/>
    <w:rsid w:val="004E021C"/>
    <w:rsid w:val="004E13F5"/>
    <w:rsid w:val="004E2452"/>
    <w:rsid w:val="004E2FE2"/>
    <w:rsid w:val="004E3879"/>
    <w:rsid w:val="004E3A16"/>
    <w:rsid w:val="004E4761"/>
    <w:rsid w:val="004E4C6B"/>
    <w:rsid w:val="004E662D"/>
    <w:rsid w:val="004E6C9C"/>
    <w:rsid w:val="004F04A5"/>
    <w:rsid w:val="004F0842"/>
    <w:rsid w:val="004F0994"/>
    <w:rsid w:val="004F0E48"/>
    <w:rsid w:val="004F15C4"/>
    <w:rsid w:val="004F16E8"/>
    <w:rsid w:val="004F173D"/>
    <w:rsid w:val="004F1DAD"/>
    <w:rsid w:val="004F2694"/>
    <w:rsid w:val="004F2FC4"/>
    <w:rsid w:val="004F302F"/>
    <w:rsid w:val="004F37CA"/>
    <w:rsid w:val="004F3905"/>
    <w:rsid w:val="004F441A"/>
    <w:rsid w:val="004F4C1C"/>
    <w:rsid w:val="004F530D"/>
    <w:rsid w:val="004F5466"/>
    <w:rsid w:val="004F5EE6"/>
    <w:rsid w:val="004F65A8"/>
    <w:rsid w:val="004F6949"/>
    <w:rsid w:val="004F69EA"/>
    <w:rsid w:val="004F69ED"/>
    <w:rsid w:val="004F6D1E"/>
    <w:rsid w:val="004F7707"/>
    <w:rsid w:val="005008C7"/>
    <w:rsid w:val="00501399"/>
    <w:rsid w:val="005019B9"/>
    <w:rsid w:val="00501CF1"/>
    <w:rsid w:val="00501D6B"/>
    <w:rsid w:val="00501DFB"/>
    <w:rsid w:val="00502E35"/>
    <w:rsid w:val="00503391"/>
    <w:rsid w:val="00503C4C"/>
    <w:rsid w:val="0050536C"/>
    <w:rsid w:val="00505B63"/>
    <w:rsid w:val="005066A4"/>
    <w:rsid w:val="005068B0"/>
    <w:rsid w:val="00507534"/>
    <w:rsid w:val="00507B5A"/>
    <w:rsid w:val="00507BC4"/>
    <w:rsid w:val="00507C24"/>
    <w:rsid w:val="00510142"/>
    <w:rsid w:val="00510311"/>
    <w:rsid w:val="00510327"/>
    <w:rsid w:val="005128E4"/>
    <w:rsid w:val="00512A35"/>
    <w:rsid w:val="00513229"/>
    <w:rsid w:val="00513B84"/>
    <w:rsid w:val="005140FC"/>
    <w:rsid w:val="005142E0"/>
    <w:rsid w:val="005152B7"/>
    <w:rsid w:val="00516035"/>
    <w:rsid w:val="00516BBE"/>
    <w:rsid w:val="00520369"/>
    <w:rsid w:val="00521895"/>
    <w:rsid w:val="00521909"/>
    <w:rsid w:val="005223AF"/>
    <w:rsid w:val="005234E7"/>
    <w:rsid w:val="00523977"/>
    <w:rsid w:val="00524268"/>
    <w:rsid w:val="00524748"/>
    <w:rsid w:val="00524EB4"/>
    <w:rsid w:val="00525278"/>
    <w:rsid w:val="00525560"/>
    <w:rsid w:val="00525C32"/>
    <w:rsid w:val="00525F05"/>
    <w:rsid w:val="00526204"/>
    <w:rsid w:val="00526492"/>
    <w:rsid w:val="005267AC"/>
    <w:rsid w:val="00526EF8"/>
    <w:rsid w:val="0052719A"/>
    <w:rsid w:val="00527461"/>
    <w:rsid w:val="00527E0A"/>
    <w:rsid w:val="00530295"/>
    <w:rsid w:val="00530B2B"/>
    <w:rsid w:val="00531008"/>
    <w:rsid w:val="0053134C"/>
    <w:rsid w:val="005313DA"/>
    <w:rsid w:val="00531517"/>
    <w:rsid w:val="0053187E"/>
    <w:rsid w:val="005325F6"/>
    <w:rsid w:val="005343C0"/>
    <w:rsid w:val="005346E1"/>
    <w:rsid w:val="00535135"/>
    <w:rsid w:val="005357A6"/>
    <w:rsid w:val="0053592E"/>
    <w:rsid w:val="00535D22"/>
    <w:rsid w:val="00535FF9"/>
    <w:rsid w:val="005366E5"/>
    <w:rsid w:val="005367D0"/>
    <w:rsid w:val="00536848"/>
    <w:rsid w:val="005369AE"/>
    <w:rsid w:val="00536ADF"/>
    <w:rsid w:val="00536B9E"/>
    <w:rsid w:val="005401F2"/>
    <w:rsid w:val="00540AEC"/>
    <w:rsid w:val="00540DC8"/>
    <w:rsid w:val="00541B01"/>
    <w:rsid w:val="005422EF"/>
    <w:rsid w:val="00542375"/>
    <w:rsid w:val="005430A6"/>
    <w:rsid w:val="00543705"/>
    <w:rsid w:val="005439C3"/>
    <w:rsid w:val="00544C49"/>
    <w:rsid w:val="0054561F"/>
    <w:rsid w:val="005456B2"/>
    <w:rsid w:val="005458F3"/>
    <w:rsid w:val="0054591A"/>
    <w:rsid w:val="00546C7A"/>
    <w:rsid w:val="00547EB7"/>
    <w:rsid w:val="00550141"/>
    <w:rsid w:val="00550FAA"/>
    <w:rsid w:val="0055160C"/>
    <w:rsid w:val="005531BB"/>
    <w:rsid w:val="00553A04"/>
    <w:rsid w:val="00553EC6"/>
    <w:rsid w:val="00554BAB"/>
    <w:rsid w:val="00555492"/>
    <w:rsid w:val="005557F2"/>
    <w:rsid w:val="00555A6E"/>
    <w:rsid w:val="00555C6B"/>
    <w:rsid w:val="00555E95"/>
    <w:rsid w:val="0055667E"/>
    <w:rsid w:val="00557C07"/>
    <w:rsid w:val="00560563"/>
    <w:rsid w:val="00560F51"/>
    <w:rsid w:val="00562460"/>
    <w:rsid w:val="005627FD"/>
    <w:rsid w:val="00562E4A"/>
    <w:rsid w:val="00563167"/>
    <w:rsid w:val="00563314"/>
    <w:rsid w:val="005633E7"/>
    <w:rsid w:val="00563F04"/>
    <w:rsid w:val="0056432A"/>
    <w:rsid w:val="005656C4"/>
    <w:rsid w:val="00565B4B"/>
    <w:rsid w:val="00565C1A"/>
    <w:rsid w:val="00566AEA"/>
    <w:rsid w:val="00567D96"/>
    <w:rsid w:val="00570699"/>
    <w:rsid w:val="005706EF"/>
    <w:rsid w:val="00570AF2"/>
    <w:rsid w:val="00571247"/>
    <w:rsid w:val="005713C7"/>
    <w:rsid w:val="00572495"/>
    <w:rsid w:val="0057276F"/>
    <w:rsid w:val="0057402A"/>
    <w:rsid w:val="00574148"/>
    <w:rsid w:val="005744A4"/>
    <w:rsid w:val="00574D8E"/>
    <w:rsid w:val="0057516B"/>
    <w:rsid w:val="005755D5"/>
    <w:rsid w:val="005761DA"/>
    <w:rsid w:val="005764DD"/>
    <w:rsid w:val="00576832"/>
    <w:rsid w:val="00576ECB"/>
    <w:rsid w:val="005771D0"/>
    <w:rsid w:val="00577337"/>
    <w:rsid w:val="00577B42"/>
    <w:rsid w:val="0058022B"/>
    <w:rsid w:val="00580EE0"/>
    <w:rsid w:val="005826EA"/>
    <w:rsid w:val="00582750"/>
    <w:rsid w:val="00582D0D"/>
    <w:rsid w:val="0058343A"/>
    <w:rsid w:val="00584C28"/>
    <w:rsid w:val="00584F43"/>
    <w:rsid w:val="00585DED"/>
    <w:rsid w:val="00587810"/>
    <w:rsid w:val="00587964"/>
    <w:rsid w:val="005902A3"/>
    <w:rsid w:val="0059066D"/>
    <w:rsid w:val="00590A3C"/>
    <w:rsid w:val="00590A78"/>
    <w:rsid w:val="00590BF3"/>
    <w:rsid w:val="00590C43"/>
    <w:rsid w:val="00590C5B"/>
    <w:rsid w:val="00590E8E"/>
    <w:rsid w:val="005910C0"/>
    <w:rsid w:val="005916E2"/>
    <w:rsid w:val="0059191A"/>
    <w:rsid w:val="00591B96"/>
    <w:rsid w:val="00591F60"/>
    <w:rsid w:val="005921FF"/>
    <w:rsid w:val="00592299"/>
    <w:rsid w:val="0059234D"/>
    <w:rsid w:val="0059318E"/>
    <w:rsid w:val="005937E2"/>
    <w:rsid w:val="005946FF"/>
    <w:rsid w:val="00594CE1"/>
    <w:rsid w:val="005951EF"/>
    <w:rsid w:val="00595766"/>
    <w:rsid w:val="00596514"/>
    <w:rsid w:val="0059670F"/>
    <w:rsid w:val="00596ABE"/>
    <w:rsid w:val="00596AD3"/>
    <w:rsid w:val="00596B97"/>
    <w:rsid w:val="00596EFF"/>
    <w:rsid w:val="00596F42"/>
    <w:rsid w:val="00597162"/>
    <w:rsid w:val="0059770B"/>
    <w:rsid w:val="00597C8A"/>
    <w:rsid w:val="005A01B6"/>
    <w:rsid w:val="005A0410"/>
    <w:rsid w:val="005A0B5A"/>
    <w:rsid w:val="005A10C2"/>
    <w:rsid w:val="005A2E9B"/>
    <w:rsid w:val="005A37BB"/>
    <w:rsid w:val="005A482E"/>
    <w:rsid w:val="005A4B8E"/>
    <w:rsid w:val="005A6205"/>
    <w:rsid w:val="005A6A13"/>
    <w:rsid w:val="005A6D0E"/>
    <w:rsid w:val="005A6E50"/>
    <w:rsid w:val="005A6E68"/>
    <w:rsid w:val="005A734E"/>
    <w:rsid w:val="005B0001"/>
    <w:rsid w:val="005B0676"/>
    <w:rsid w:val="005B0C41"/>
    <w:rsid w:val="005B12C2"/>
    <w:rsid w:val="005B1DBA"/>
    <w:rsid w:val="005B222D"/>
    <w:rsid w:val="005B245E"/>
    <w:rsid w:val="005B28A7"/>
    <w:rsid w:val="005B3609"/>
    <w:rsid w:val="005B3795"/>
    <w:rsid w:val="005B3A12"/>
    <w:rsid w:val="005B3DEC"/>
    <w:rsid w:val="005B3EF2"/>
    <w:rsid w:val="005B509D"/>
    <w:rsid w:val="005B52B0"/>
    <w:rsid w:val="005B65AF"/>
    <w:rsid w:val="005B67DE"/>
    <w:rsid w:val="005B6806"/>
    <w:rsid w:val="005B711D"/>
    <w:rsid w:val="005B7EDC"/>
    <w:rsid w:val="005C00F9"/>
    <w:rsid w:val="005C05FA"/>
    <w:rsid w:val="005C0994"/>
    <w:rsid w:val="005C164F"/>
    <w:rsid w:val="005C1853"/>
    <w:rsid w:val="005C1A8D"/>
    <w:rsid w:val="005C1D8E"/>
    <w:rsid w:val="005C1EA5"/>
    <w:rsid w:val="005C207A"/>
    <w:rsid w:val="005C23BD"/>
    <w:rsid w:val="005C2B10"/>
    <w:rsid w:val="005C2BA2"/>
    <w:rsid w:val="005C2E02"/>
    <w:rsid w:val="005C3149"/>
    <w:rsid w:val="005C34BB"/>
    <w:rsid w:val="005C3944"/>
    <w:rsid w:val="005C3DAB"/>
    <w:rsid w:val="005C3E22"/>
    <w:rsid w:val="005C4011"/>
    <w:rsid w:val="005C4225"/>
    <w:rsid w:val="005C4541"/>
    <w:rsid w:val="005C456D"/>
    <w:rsid w:val="005C4AF4"/>
    <w:rsid w:val="005C5243"/>
    <w:rsid w:val="005C566A"/>
    <w:rsid w:val="005C5F93"/>
    <w:rsid w:val="005C6248"/>
    <w:rsid w:val="005C6F09"/>
    <w:rsid w:val="005D0AC5"/>
    <w:rsid w:val="005D0FBF"/>
    <w:rsid w:val="005D1076"/>
    <w:rsid w:val="005D1128"/>
    <w:rsid w:val="005D1D34"/>
    <w:rsid w:val="005D1FCD"/>
    <w:rsid w:val="005D2E13"/>
    <w:rsid w:val="005D447F"/>
    <w:rsid w:val="005D489C"/>
    <w:rsid w:val="005D50AD"/>
    <w:rsid w:val="005D55A5"/>
    <w:rsid w:val="005D5A45"/>
    <w:rsid w:val="005D5C54"/>
    <w:rsid w:val="005D5DED"/>
    <w:rsid w:val="005D5FAD"/>
    <w:rsid w:val="005D6891"/>
    <w:rsid w:val="005D6A03"/>
    <w:rsid w:val="005D6AC4"/>
    <w:rsid w:val="005D6B2C"/>
    <w:rsid w:val="005D7191"/>
    <w:rsid w:val="005D7280"/>
    <w:rsid w:val="005E04BC"/>
    <w:rsid w:val="005E09BC"/>
    <w:rsid w:val="005E1D4B"/>
    <w:rsid w:val="005E2BDE"/>
    <w:rsid w:val="005E3FEB"/>
    <w:rsid w:val="005E47E8"/>
    <w:rsid w:val="005E4A95"/>
    <w:rsid w:val="005E4CF1"/>
    <w:rsid w:val="005E5196"/>
    <w:rsid w:val="005E5258"/>
    <w:rsid w:val="005E5419"/>
    <w:rsid w:val="005E61D1"/>
    <w:rsid w:val="005E6203"/>
    <w:rsid w:val="005E6C0C"/>
    <w:rsid w:val="005E6EE3"/>
    <w:rsid w:val="005E74C5"/>
    <w:rsid w:val="005E7642"/>
    <w:rsid w:val="005F0331"/>
    <w:rsid w:val="005F0F33"/>
    <w:rsid w:val="005F1C54"/>
    <w:rsid w:val="005F1F31"/>
    <w:rsid w:val="005F2595"/>
    <w:rsid w:val="005F2A0D"/>
    <w:rsid w:val="005F32A0"/>
    <w:rsid w:val="005F3F11"/>
    <w:rsid w:val="005F5456"/>
    <w:rsid w:val="005F55DC"/>
    <w:rsid w:val="005F57C1"/>
    <w:rsid w:val="005F6871"/>
    <w:rsid w:val="005F7C35"/>
    <w:rsid w:val="0060040E"/>
    <w:rsid w:val="006005C1"/>
    <w:rsid w:val="00600A96"/>
    <w:rsid w:val="00600DEB"/>
    <w:rsid w:val="00600EE3"/>
    <w:rsid w:val="00602146"/>
    <w:rsid w:val="006021D4"/>
    <w:rsid w:val="0060270A"/>
    <w:rsid w:val="00602B9B"/>
    <w:rsid w:val="00602D26"/>
    <w:rsid w:val="00603D6F"/>
    <w:rsid w:val="006049BD"/>
    <w:rsid w:val="00604B83"/>
    <w:rsid w:val="006059FA"/>
    <w:rsid w:val="00606B40"/>
    <w:rsid w:val="00607325"/>
    <w:rsid w:val="00607F83"/>
    <w:rsid w:val="006104FA"/>
    <w:rsid w:val="006112EF"/>
    <w:rsid w:val="00612B39"/>
    <w:rsid w:val="00613027"/>
    <w:rsid w:val="00613120"/>
    <w:rsid w:val="006135F5"/>
    <w:rsid w:val="00613A08"/>
    <w:rsid w:val="0061412F"/>
    <w:rsid w:val="00614153"/>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25B7"/>
    <w:rsid w:val="00623324"/>
    <w:rsid w:val="006238CB"/>
    <w:rsid w:val="00624716"/>
    <w:rsid w:val="006247DB"/>
    <w:rsid w:val="00624E66"/>
    <w:rsid w:val="006250EE"/>
    <w:rsid w:val="00625577"/>
    <w:rsid w:val="00625585"/>
    <w:rsid w:val="006260B6"/>
    <w:rsid w:val="00626360"/>
    <w:rsid w:val="006263C9"/>
    <w:rsid w:val="006263CE"/>
    <w:rsid w:val="00626A1D"/>
    <w:rsid w:val="00626FB3"/>
    <w:rsid w:val="006272AD"/>
    <w:rsid w:val="006277D0"/>
    <w:rsid w:val="00627A51"/>
    <w:rsid w:val="00627C9F"/>
    <w:rsid w:val="006307DF"/>
    <w:rsid w:val="00630A0E"/>
    <w:rsid w:val="00630B42"/>
    <w:rsid w:val="00630C75"/>
    <w:rsid w:val="00630F01"/>
    <w:rsid w:val="00630F7D"/>
    <w:rsid w:val="006311DA"/>
    <w:rsid w:val="006311E9"/>
    <w:rsid w:val="00631955"/>
    <w:rsid w:val="00631FE8"/>
    <w:rsid w:val="006322B9"/>
    <w:rsid w:val="00632354"/>
    <w:rsid w:val="00632429"/>
    <w:rsid w:val="0063262B"/>
    <w:rsid w:val="00632BF2"/>
    <w:rsid w:val="00633261"/>
    <w:rsid w:val="006354CD"/>
    <w:rsid w:val="006360C4"/>
    <w:rsid w:val="00636406"/>
    <w:rsid w:val="00636E0C"/>
    <w:rsid w:val="00636F4A"/>
    <w:rsid w:val="00637539"/>
    <w:rsid w:val="00637B7B"/>
    <w:rsid w:val="00637E84"/>
    <w:rsid w:val="00640173"/>
    <w:rsid w:val="0064172A"/>
    <w:rsid w:val="006418C1"/>
    <w:rsid w:val="006419E2"/>
    <w:rsid w:val="006420B7"/>
    <w:rsid w:val="00642573"/>
    <w:rsid w:val="00642810"/>
    <w:rsid w:val="006433A9"/>
    <w:rsid w:val="00643F66"/>
    <w:rsid w:val="006458AD"/>
    <w:rsid w:val="00647033"/>
    <w:rsid w:val="0064712F"/>
    <w:rsid w:val="0064793C"/>
    <w:rsid w:val="00647C9A"/>
    <w:rsid w:val="006504D5"/>
    <w:rsid w:val="00650FA3"/>
    <w:rsid w:val="0065154E"/>
    <w:rsid w:val="006516A4"/>
    <w:rsid w:val="006516FE"/>
    <w:rsid w:val="00651D1D"/>
    <w:rsid w:val="00652333"/>
    <w:rsid w:val="00653FB1"/>
    <w:rsid w:val="006543B4"/>
    <w:rsid w:val="006549A4"/>
    <w:rsid w:val="00656085"/>
    <w:rsid w:val="00656FE7"/>
    <w:rsid w:val="0065723A"/>
    <w:rsid w:val="00657241"/>
    <w:rsid w:val="0065765B"/>
    <w:rsid w:val="006605AC"/>
    <w:rsid w:val="006609DD"/>
    <w:rsid w:val="00662F5D"/>
    <w:rsid w:val="0066333A"/>
    <w:rsid w:val="006634C1"/>
    <w:rsid w:val="006635A6"/>
    <w:rsid w:val="00663FCB"/>
    <w:rsid w:val="00664548"/>
    <w:rsid w:val="00664C08"/>
    <w:rsid w:val="00664DDE"/>
    <w:rsid w:val="0066584C"/>
    <w:rsid w:val="00665A14"/>
    <w:rsid w:val="00665FF9"/>
    <w:rsid w:val="00666382"/>
    <w:rsid w:val="006663C5"/>
    <w:rsid w:val="00666536"/>
    <w:rsid w:val="0066666B"/>
    <w:rsid w:val="00666AEF"/>
    <w:rsid w:val="006705A7"/>
    <w:rsid w:val="00670B3D"/>
    <w:rsid w:val="006712E0"/>
    <w:rsid w:val="00671494"/>
    <w:rsid w:val="006716B8"/>
    <w:rsid w:val="00671D67"/>
    <w:rsid w:val="0067329C"/>
    <w:rsid w:val="00674465"/>
    <w:rsid w:val="0067472A"/>
    <w:rsid w:val="00674C6A"/>
    <w:rsid w:val="00676ED0"/>
    <w:rsid w:val="00677938"/>
    <w:rsid w:val="00677DA7"/>
    <w:rsid w:val="0068009E"/>
    <w:rsid w:val="00680A71"/>
    <w:rsid w:val="00680AC6"/>
    <w:rsid w:val="00681A6B"/>
    <w:rsid w:val="00681ED3"/>
    <w:rsid w:val="00682CC9"/>
    <w:rsid w:val="00682D35"/>
    <w:rsid w:val="006831D4"/>
    <w:rsid w:val="00683305"/>
    <w:rsid w:val="00684434"/>
    <w:rsid w:val="006846BB"/>
    <w:rsid w:val="006847BC"/>
    <w:rsid w:val="006849BF"/>
    <w:rsid w:val="00684EFB"/>
    <w:rsid w:val="00685184"/>
    <w:rsid w:val="0068579A"/>
    <w:rsid w:val="006865D7"/>
    <w:rsid w:val="00686D22"/>
    <w:rsid w:val="00687432"/>
    <w:rsid w:val="006874B7"/>
    <w:rsid w:val="00687725"/>
    <w:rsid w:val="006901ED"/>
    <w:rsid w:val="006912EE"/>
    <w:rsid w:val="00691DE4"/>
    <w:rsid w:val="0069244C"/>
    <w:rsid w:val="00692996"/>
    <w:rsid w:val="00692A55"/>
    <w:rsid w:val="00692F79"/>
    <w:rsid w:val="006951BB"/>
    <w:rsid w:val="0069578C"/>
    <w:rsid w:val="00695EAA"/>
    <w:rsid w:val="00696944"/>
    <w:rsid w:val="006972FB"/>
    <w:rsid w:val="00697B2C"/>
    <w:rsid w:val="006A0548"/>
    <w:rsid w:val="006A0F00"/>
    <w:rsid w:val="006A0F77"/>
    <w:rsid w:val="006A11FD"/>
    <w:rsid w:val="006A1466"/>
    <w:rsid w:val="006A15B5"/>
    <w:rsid w:val="006A17D2"/>
    <w:rsid w:val="006A2490"/>
    <w:rsid w:val="006A288E"/>
    <w:rsid w:val="006A3B33"/>
    <w:rsid w:val="006A3EE1"/>
    <w:rsid w:val="006A4287"/>
    <w:rsid w:val="006A4B8C"/>
    <w:rsid w:val="006A508B"/>
    <w:rsid w:val="006A538E"/>
    <w:rsid w:val="006A5570"/>
    <w:rsid w:val="006A58D1"/>
    <w:rsid w:val="006A6DB8"/>
    <w:rsid w:val="006A6E1A"/>
    <w:rsid w:val="006A70B4"/>
    <w:rsid w:val="006A73E6"/>
    <w:rsid w:val="006A7408"/>
    <w:rsid w:val="006A7764"/>
    <w:rsid w:val="006B00DA"/>
    <w:rsid w:val="006B0169"/>
    <w:rsid w:val="006B05D1"/>
    <w:rsid w:val="006B130C"/>
    <w:rsid w:val="006B17B3"/>
    <w:rsid w:val="006B1875"/>
    <w:rsid w:val="006B22C0"/>
    <w:rsid w:val="006B231D"/>
    <w:rsid w:val="006B248C"/>
    <w:rsid w:val="006B2623"/>
    <w:rsid w:val="006B265D"/>
    <w:rsid w:val="006B295E"/>
    <w:rsid w:val="006B2D5C"/>
    <w:rsid w:val="006B37DA"/>
    <w:rsid w:val="006B3BC7"/>
    <w:rsid w:val="006B4324"/>
    <w:rsid w:val="006B544B"/>
    <w:rsid w:val="006B5C2E"/>
    <w:rsid w:val="006B5FBA"/>
    <w:rsid w:val="006B65E3"/>
    <w:rsid w:val="006B6C00"/>
    <w:rsid w:val="006B6D64"/>
    <w:rsid w:val="006B6FFA"/>
    <w:rsid w:val="006C030E"/>
    <w:rsid w:val="006C0F5D"/>
    <w:rsid w:val="006C116A"/>
    <w:rsid w:val="006C11E8"/>
    <w:rsid w:val="006C1815"/>
    <w:rsid w:val="006C2346"/>
    <w:rsid w:val="006C2B38"/>
    <w:rsid w:val="006C3179"/>
    <w:rsid w:val="006C4233"/>
    <w:rsid w:val="006C448A"/>
    <w:rsid w:val="006C4596"/>
    <w:rsid w:val="006C4D48"/>
    <w:rsid w:val="006C4EB1"/>
    <w:rsid w:val="006C6E31"/>
    <w:rsid w:val="006C73ED"/>
    <w:rsid w:val="006C7E62"/>
    <w:rsid w:val="006D0195"/>
    <w:rsid w:val="006D01E3"/>
    <w:rsid w:val="006D0424"/>
    <w:rsid w:val="006D0A9A"/>
    <w:rsid w:val="006D1A3C"/>
    <w:rsid w:val="006D1D69"/>
    <w:rsid w:val="006D1E45"/>
    <w:rsid w:val="006D2C28"/>
    <w:rsid w:val="006D2CC2"/>
    <w:rsid w:val="006D2D13"/>
    <w:rsid w:val="006D4259"/>
    <w:rsid w:val="006D44D3"/>
    <w:rsid w:val="006D48BB"/>
    <w:rsid w:val="006D52FC"/>
    <w:rsid w:val="006D5D5D"/>
    <w:rsid w:val="006D690F"/>
    <w:rsid w:val="006D6E36"/>
    <w:rsid w:val="006D6FD5"/>
    <w:rsid w:val="006D7976"/>
    <w:rsid w:val="006E00AB"/>
    <w:rsid w:val="006E0166"/>
    <w:rsid w:val="006E0DF6"/>
    <w:rsid w:val="006E0F9B"/>
    <w:rsid w:val="006E0FB2"/>
    <w:rsid w:val="006E1163"/>
    <w:rsid w:val="006E1407"/>
    <w:rsid w:val="006E184C"/>
    <w:rsid w:val="006E18B8"/>
    <w:rsid w:val="006E2E6B"/>
    <w:rsid w:val="006E30DB"/>
    <w:rsid w:val="006E35A0"/>
    <w:rsid w:val="006E37D3"/>
    <w:rsid w:val="006E436B"/>
    <w:rsid w:val="006E4B61"/>
    <w:rsid w:val="006E4CCE"/>
    <w:rsid w:val="006E5C58"/>
    <w:rsid w:val="006E6048"/>
    <w:rsid w:val="006E67F6"/>
    <w:rsid w:val="006E6C78"/>
    <w:rsid w:val="006E6F1E"/>
    <w:rsid w:val="006E7B34"/>
    <w:rsid w:val="006E7EA4"/>
    <w:rsid w:val="006F14AF"/>
    <w:rsid w:val="006F157C"/>
    <w:rsid w:val="006F1601"/>
    <w:rsid w:val="006F1716"/>
    <w:rsid w:val="006F2580"/>
    <w:rsid w:val="006F3590"/>
    <w:rsid w:val="006F3597"/>
    <w:rsid w:val="006F374D"/>
    <w:rsid w:val="006F41F1"/>
    <w:rsid w:val="006F56CE"/>
    <w:rsid w:val="006F5723"/>
    <w:rsid w:val="006F672E"/>
    <w:rsid w:val="006F6DFD"/>
    <w:rsid w:val="006F6EE6"/>
    <w:rsid w:val="006F7488"/>
    <w:rsid w:val="0070045F"/>
    <w:rsid w:val="00700471"/>
    <w:rsid w:val="00700726"/>
    <w:rsid w:val="00700C65"/>
    <w:rsid w:val="00700E42"/>
    <w:rsid w:val="00701610"/>
    <w:rsid w:val="007016FE"/>
    <w:rsid w:val="00701B24"/>
    <w:rsid w:val="00701F19"/>
    <w:rsid w:val="00702565"/>
    <w:rsid w:val="007025EB"/>
    <w:rsid w:val="0070267B"/>
    <w:rsid w:val="00702A7C"/>
    <w:rsid w:val="00702CC5"/>
    <w:rsid w:val="00702CD7"/>
    <w:rsid w:val="00702DE6"/>
    <w:rsid w:val="00702EA5"/>
    <w:rsid w:val="00703EF3"/>
    <w:rsid w:val="00703F16"/>
    <w:rsid w:val="00703F90"/>
    <w:rsid w:val="0070404E"/>
    <w:rsid w:val="00704098"/>
    <w:rsid w:val="0070456C"/>
    <w:rsid w:val="00704B18"/>
    <w:rsid w:val="00705FAC"/>
    <w:rsid w:val="0070603C"/>
    <w:rsid w:val="00706591"/>
    <w:rsid w:val="00706698"/>
    <w:rsid w:val="00706D7E"/>
    <w:rsid w:val="00707486"/>
    <w:rsid w:val="00707A5C"/>
    <w:rsid w:val="00707BAF"/>
    <w:rsid w:val="00707E8E"/>
    <w:rsid w:val="00710376"/>
    <w:rsid w:val="00710ED5"/>
    <w:rsid w:val="00711137"/>
    <w:rsid w:val="00711F7B"/>
    <w:rsid w:val="007140C0"/>
    <w:rsid w:val="00715928"/>
    <w:rsid w:val="00716BEC"/>
    <w:rsid w:val="00716D62"/>
    <w:rsid w:val="00717B70"/>
    <w:rsid w:val="0072003B"/>
    <w:rsid w:val="00721292"/>
    <w:rsid w:val="0072130B"/>
    <w:rsid w:val="00721AC2"/>
    <w:rsid w:val="00722293"/>
    <w:rsid w:val="0072287B"/>
    <w:rsid w:val="00722990"/>
    <w:rsid w:val="0072335A"/>
    <w:rsid w:val="007237C3"/>
    <w:rsid w:val="0072472F"/>
    <w:rsid w:val="007247E2"/>
    <w:rsid w:val="007258C2"/>
    <w:rsid w:val="007267C2"/>
    <w:rsid w:val="00727D80"/>
    <w:rsid w:val="00730731"/>
    <w:rsid w:val="00731457"/>
    <w:rsid w:val="00731DA0"/>
    <w:rsid w:val="00733573"/>
    <w:rsid w:val="007359CB"/>
    <w:rsid w:val="00737A15"/>
    <w:rsid w:val="007400D8"/>
    <w:rsid w:val="00741346"/>
    <w:rsid w:val="0074145C"/>
    <w:rsid w:val="00741D4C"/>
    <w:rsid w:val="0074296A"/>
    <w:rsid w:val="007433B0"/>
    <w:rsid w:val="007451C8"/>
    <w:rsid w:val="0074535C"/>
    <w:rsid w:val="0074572F"/>
    <w:rsid w:val="0074581C"/>
    <w:rsid w:val="00745899"/>
    <w:rsid w:val="0074607D"/>
    <w:rsid w:val="007475F5"/>
    <w:rsid w:val="00750078"/>
    <w:rsid w:val="00750568"/>
    <w:rsid w:val="00750BB6"/>
    <w:rsid w:val="00750E1A"/>
    <w:rsid w:val="007510D4"/>
    <w:rsid w:val="00751379"/>
    <w:rsid w:val="0075164B"/>
    <w:rsid w:val="00753374"/>
    <w:rsid w:val="007538FC"/>
    <w:rsid w:val="00754A2A"/>
    <w:rsid w:val="00754E95"/>
    <w:rsid w:val="00755F05"/>
    <w:rsid w:val="007561AD"/>
    <w:rsid w:val="007569B0"/>
    <w:rsid w:val="00756D00"/>
    <w:rsid w:val="007570FA"/>
    <w:rsid w:val="00757F66"/>
    <w:rsid w:val="007607C4"/>
    <w:rsid w:val="007607EC"/>
    <w:rsid w:val="007611A5"/>
    <w:rsid w:val="00761A58"/>
    <w:rsid w:val="00761FA1"/>
    <w:rsid w:val="00762A2F"/>
    <w:rsid w:val="00762CE4"/>
    <w:rsid w:val="0076368E"/>
    <w:rsid w:val="00764470"/>
    <w:rsid w:val="0076495F"/>
    <w:rsid w:val="007649AF"/>
    <w:rsid w:val="00765584"/>
    <w:rsid w:val="00765CB7"/>
    <w:rsid w:val="0076643F"/>
    <w:rsid w:val="007676F5"/>
    <w:rsid w:val="00770D4B"/>
    <w:rsid w:val="00771045"/>
    <w:rsid w:val="0077118F"/>
    <w:rsid w:val="00771205"/>
    <w:rsid w:val="00773C5A"/>
    <w:rsid w:val="00774375"/>
    <w:rsid w:val="007744CC"/>
    <w:rsid w:val="0077454A"/>
    <w:rsid w:val="00774C36"/>
    <w:rsid w:val="0077572B"/>
    <w:rsid w:val="00775DE4"/>
    <w:rsid w:val="00776561"/>
    <w:rsid w:val="007769BE"/>
    <w:rsid w:val="007771C5"/>
    <w:rsid w:val="007775C0"/>
    <w:rsid w:val="007776FF"/>
    <w:rsid w:val="00777BE1"/>
    <w:rsid w:val="0078069F"/>
    <w:rsid w:val="007809DA"/>
    <w:rsid w:val="00780BCB"/>
    <w:rsid w:val="00780ED7"/>
    <w:rsid w:val="00781C89"/>
    <w:rsid w:val="007820BB"/>
    <w:rsid w:val="00782E68"/>
    <w:rsid w:val="0078426B"/>
    <w:rsid w:val="00784600"/>
    <w:rsid w:val="00784DE5"/>
    <w:rsid w:val="00784FEC"/>
    <w:rsid w:val="00785522"/>
    <w:rsid w:val="007855C3"/>
    <w:rsid w:val="0078587E"/>
    <w:rsid w:val="0078595F"/>
    <w:rsid w:val="00785F8D"/>
    <w:rsid w:val="00786501"/>
    <w:rsid w:val="0078761D"/>
    <w:rsid w:val="00787D57"/>
    <w:rsid w:val="00790499"/>
    <w:rsid w:val="00791124"/>
    <w:rsid w:val="007928DA"/>
    <w:rsid w:val="00792EA6"/>
    <w:rsid w:val="00793A12"/>
    <w:rsid w:val="00794E14"/>
    <w:rsid w:val="00795940"/>
    <w:rsid w:val="00795B5E"/>
    <w:rsid w:val="00795E01"/>
    <w:rsid w:val="00796E7A"/>
    <w:rsid w:val="0079766A"/>
    <w:rsid w:val="007977A5"/>
    <w:rsid w:val="00797AE7"/>
    <w:rsid w:val="00797B54"/>
    <w:rsid w:val="007A037E"/>
    <w:rsid w:val="007A13D7"/>
    <w:rsid w:val="007A17C8"/>
    <w:rsid w:val="007A18EB"/>
    <w:rsid w:val="007A2423"/>
    <w:rsid w:val="007A281C"/>
    <w:rsid w:val="007A2BD9"/>
    <w:rsid w:val="007A2EC7"/>
    <w:rsid w:val="007A2F70"/>
    <w:rsid w:val="007A3293"/>
    <w:rsid w:val="007A3389"/>
    <w:rsid w:val="007A3478"/>
    <w:rsid w:val="007A4240"/>
    <w:rsid w:val="007A4760"/>
    <w:rsid w:val="007A4980"/>
    <w:rsid w:val="007A51E3"/>
    <w:rsid w:val="007A57A6"/>
    <w:rsid w:val="007A5893"/>
    <w:rsid w:val="007A636F"/>
    <w:rsid w:val="007A6474"/>
    <w:rsid w:val="007A7F31"/>
    <w:rsid w:val="007B030C"/>
    <w:rsid w:val="007B04BF"/>
    <w:rsid w:val="007B092C"/>
    <w:rsid w:val="007B0DBB"/>
    <w:rsid w:val="007B1494"/>
    <w:rsid w:val="007B186C"/>
    <w:rsid w:val="007B19A1"/>
    <w:rsid w:val="007B19FE"/>
    <w:rsid w:val="007B1B6A"/>
    <w:rsid w:val="007B2769"/>
    <w:rsid w:val="007B36C9"/>
    <w:rsid w:val="007B3C72"/>
    <w:rsid w:val="007B430B"/>
    <w:rsid w:val="007B4826"/>
    <w:rsid w:val="007B4C00"/>
    <w:rsid w:val="007B54BA"/>
    <w:rsid w:val="007B5867"/>
    <w:rsid w:val="007B6279"/>
    <w:rsid w:val="007B6B24"/>
    <w:rsid w:val="007B6C22"/>
    <w:rsid w:val="007B6EC4"/>
    <w:rsid w:val="007B762A"/>
    <w:rsid w:val="007C0F3E"/>
    <w:rsid w:val="007C10AC"/>
    <w:rsid w:val="007C16AB"/>
    <w:rsid w:val="007C1BDE"/>
    <w:rsid w:val="007C1D74"/>
    <w:rsid w:val="007C22DF"/>
    <w:rsid w:val="007C2B7D"/>
    <w:rsid w:val="007C3334"/>
    <w:rsid w:val="007C3481"/>
    <w:rsid w:val="007C3734"/>
    <w:rsid w:val="007C4F1C"/>
    <w:rsid w:val="007C50F6"/>
    <w:rsid w:val="007C52BB"/>
    <w:rsid w:val="007C5476"/>
    <w:rsid w:val="007C58E8"/>
    <w:rsid w:val="007C60DD"/>
    <w:rsid w:val="007C6630"/>
    <w:rsid w:val="007C7402"/>
    <w:rsid w:val="007C757E"/>
    <w:rsid w:val="007C769E"/>
    <w:rsid w:val="007C798F"/>
    <w:rsid w:val="007C7AE1"/>
    <w:rsid w:val="007C7B95"/>
    <w:rsid w:val="007D0207"/>
    <w:rsid w:val="007D0309"/>
    <w:rsid w:val="007D06CB"/>
    <w:rsid w:val="007D071A"/>
    <w:rsid w:val="007D1757"/>
    <w:rsid w:val="007D278F"/>
    <w:rsid w:val="007D2B98"/>
    <w:rsid w:val="007D2FEE"/>
    <w:rsid w:val="007D362A"/>
    <w:rsid w:val="007D3E9B"/>
    <w:rsid w:val="007D4C93"/>
    <w:rsid w:val="007D4CD9"/>
    <w:rsid w:val="007D4FA5"/>
    <w:rsid w:val="007D69AC"/>
    <w:rsid w:val="007E13CE"/>
    <w:rsid w:val="007E1856"/>
    <w:rsid w:val="007E2569"/>
    <w:rsid w:val="007E2C05"/>
    <w:rsid w:val="007E2CB3"/>
    <w:rsid w:val="007E33C3"/>
    <w:rsid w:val="007E42C4"/>
    <w:rsid w:val="007E5338"/>
    <w:rsid w:val="007E59F7"/>
    <w:rsid w:val="007E5CC7"/>
    <w:rsid w:val="007E5E2F"/>
    <w:rsid w:val="007E6DAC"/>
    <w:rsid w:val="007E715E"/>
    <w:rsid w:val="007E783F"/>
    <w:rsid w:val="007F05E6"/>
    <w:rsid w:val="007F074A"/>
    <w:rsid w:val="007F1641"/>
    <w:rsid w:val="007F210C"/>
    <w:rsid w:val="007F39A0"/>
    <w:rsid w:val="007F410D"/>
    <w:rsid w:val="007F4167"/>
    <w:rsid w:val="007F42BF"/>
    <w:rsid w:val="007F4652"/>
    <w:rsid w:val="007F4A54"/>
    <w:rsid w:val="007F4B82"/>
    <w:rsid w:val="007F4F2C"/>
    <w:rsid w:val="007F4FE2"/>
    <w:rsid w:val="007F6BB0"/>
    <w:rsid w:val="00800983"/>
    <w:rsid w:val="00800C25"/>
    <w:rsid w:val="00800E57"/>
    <w:rsid w:val="00800F71"/>
    <w:rsid w:val="00801A6F"/>
    <w:rsid w:val="00801A7F"/>
    <w:rsid w:val="00801B96"/>
    <w:rsid w:val="00801C7F"/>
    <w:rsid w:val="0080231F"/>
    <w:rsid w:val="00802A23"/>
    <w:rsid w:val="0080393B"/>
    <w:rsid w:val="00803F1C"/>
    <w:rsid w:val="0080436A"/>
    <w:rsid w:val="0080600E"/>
    <w:rsid w:val="0080677A"/>
    <w:rsid w:val="0081181A"/>
    <w:rsid w:val="00812C8D"/>
    <w:rsid w:val="00812EAF"/>
    <w:rsid w:val="0081365E"/>
    <w:rsid w:val="008150B2"/>
    <w:rsid w:val="00816E06"/>
    <w:rsid w:val="00817304"/>
    <w:rsid w:val="00817612"/>
    <w:rsid w:val="00817884"/>
    <w:rsid w:val="00817967"/>
    <w:rsid w:val="00817D2F"/>
    <w:rsid w:val="008204AE"/>
    <w:rsid w:val="00820D73"/>
    <w:rsid w:val="008215C0"/>
    <w:rsid w:val="008218A2"/>
    <w:rsid w:val="00821DA2"/>
    <w:rsid w:val="00823A91"/>
    <w:rsid w:val="008245AD"/>
    <w:rsid w:val="00824ACC"/>
    <w:rsid w:val="00824B62"/>
    <w:rsid w:val="00825876"/>
    <w:rsid w:val="00825952"/>
    <w:rsid w:val="00825B7F"/>
    <w:rsid w:val="00827DB7"/>
    <w:rsid w:val="0083055F"/>
    <w:rsid w:val="00830E88"/>
    <w:rsid w:val="00830FDA"/>
    <w:rsid w:val="008315C5"/>
    <w:rsid w:val="008316A7"/>
    <w:rsid w:val="00831D65"/>
    <w:rsid w:val="008341F9"/>
    <w:rsid w:val="00835A28"/>
    <w:rsid w:val="00835F5A"/>
    <w:rsid w:val="0083716D"/>
    <w:rsid w:val="008373B6"/>
    <w:rsid w:val="0083797A"/>
    <w:rsid w:val="00837C45"/>
    <w:rsid w:val="00837EDD"/>
    <w:rsid w:val="0084043E"/>
    <w:rsid w:val="00840923"/>
    <w:rsid w:val="008414A3"/>
    <w:rsid w:val="008417E4"/>
    <w:rsid w:val="008422DA"/>
    <w:rsid w:val="008426FE"/>
    <w:rsid w:val="0084302E"/>
    <w:rsid w:val="00843C1B"/>
    <w:rsid w:val="00843E8C"/>
    <w:rsid w:val="008456F3"/>
    <w:rsid w:val="00845C1A"/>
    <w:rsid w:val="00846865"/>
    <w:rsid w:val="00846B2C"/>
    <w:rsid w:val="00846D39"/>
    <w:rsid w:val="008472FB"/>
    <w:rsid w:val="008473B2"/>
    <w:rsid w:val="00847A8B"/>
    <w:rsid w:val="00847B26"/>
    <w:rsid w:val="00850933"/>
    <w:rsid w:val="008509CC"/>
    <w:rsid w:val="00851DA1"/>
    <w:rsid w:val="0085268D"/>
    <w:rsid w:val="0085323F"/>
    <w:rsid w:val="00853419"/>
    <w:rsid w:val="00853512"/>
    <w:rsid w:val="00853A23"/>
    <w:rsid w:val="00854FE3"/>
    <w:rsid w:val="00855876"/>
    <w:rsid w:val="008560E1"/>
    <w:rsid w:val="00856256"/>
    <w:rsid w:val="008573A3"/>
    <w:rsid w:val="00860233"/>
    <w:rsid w:val="00860797"/>
    <w:rsid w:val="00860A02"/>
    <w:rsid w:val="00860C50"/>
    <w:rsid w:val="00860E35"/>
    <w:rsid w:val="00861437"/>
    <w:rsid w:val="0086147D"/>
    <w:rsid w:val="00861972"/>
    <w:rsid w:val="00861A73"/>
    <w:rsid w:val="00861D01"/>
    <w:rsid w:val="00861EC2"/>
    <w:rsid w:val="00861F6D"/>
    <w:rsid w:val="008628FD"/>
    <w:rsid w:val="00863E9F"/>
    <w:rsid w:val="00864785"/>
    <w:rsid w:val="00865279"/>
    <w:rsid w:val="00865368"/>
    <w:rsid w:val="00865C9B"/>
    <w:rsid w:val="0086628D"/>
    <w:rsid w:val="008665EC"/>
    <w:rsid w:val="00866D7E"/>
    <w:rsid w:val="008676D3"/>
    <w:rsid w:val="008678EF"/>
    <w:rsid w:val="00867DA3"/>
    <w:rsid w:val="0087014C"/>
    <w:rsid w:val="00871372"/>
    <w:rsid w:val="00871EBE"/>
    <w:rsid w:val="008741A2"/>
    <w:rsid w:val="008745BF"/>
    <w:rsid w:val="00874BEE"/>
    <w:rsid w:val="00875ABB"/>
    <w:rsid w:val="00875EC6"/>
    <w:rsid w:val="00876085"/>
    <w:rsid w:val="00877E1B"/>
    <w:rsid w:val="00880B21"/>
    <w:rsid w:val="00880F95"/>
    <w:rsid w:val="0088253F"/>
    <w:rsid w:val="00882952"/>
    <w:rsid w:val="00882C32"/>
    <w:rsid w:val="008835C1"/>
    <w:rsid w:val="0088373B"/>
    <w:rsid w:val="00883E89"/>
    <w:rsid w:val="00883EA4"/>
    <w:rsid w:val="00884270"/>
    <w:rsid w:val="008869BA"/>
    <w:rsid w:val="00887B7D"/>
    <w:rsid w:val="008903D5"/>
    <w:rsid w:val="0089156D"/>
    <w:rsid w:val="008917C2"/>
    <w:rsid w:val="00893A3F"/>
    <w:rsid w:val="00893E24"/>
    <w:rsid w:val="00893E44"/>
    <w:rsid w:val="008945B4"/>
    <w:rsid w:val="0089514B"/>
    <w:rsid w:val="00895166"/>
    <w:rsid w:val="00895C72"/>
    <w:rsid w:val="008969D3"/>
    <w:rsid w:val="00896EC2"/>
    <w:rsid w:val="008971D8"/>
    <w:rsid w:val="00897A3D"/>
    <w:rsid w:val="00897E12"/>
    <w:rsid w:val="008A023D"/>
    <w:rsid w:val="008A065A"/>
    <w:rsid w:val="008A0A23"/>
    <w:rsid w:val="008A10AB"/>
    <w:rsid w:val="008A1C4B"/>
    <w:rsid w:val="008A1CE5"/>
    <w:rsid w:val="008A2C74"/>
    <w:rsid w:val="008A3434"/>
    <w:rsid w:val="008A36FA"/>
    <w:rsid w:val="008A4FAC"/>
    <w:rsid w:val="008A5A80"/>
    <w:rsid w:val="008A5BF4"/>
    <w:rsid w:val="008A5F54"/>
    <w:rsid w:val="008A6043"/>
    <w:rsid w:val="008A6435"/>
    <w:rsid w:val="008A645F"/>
    <w:rsid w:val="008A67CF"/>
    <w:rsid w:val="008A6DA2"/>
    <w:rsid w:val="008A7460"/>
    <w:rsid w:val="008A7DDF"/>
    <w:rsid w:val="008A7E83"/>
    <w:rsid w:val="008A7F97"/>
    <w:rsid w:val="008A7FC7"/>
    <w:rsid w:val="008B0E6D"/>
    <w:rsid w:val="008B0EE7"/>
    <w:rsid w:val="008B14CB"/>
    <w:rsid w:val="008B1CA7"/>
    <w:rsid w:val="008B1EF4"/>
    <w:rsid w:val="008B24D5"/>
    <w:rsid w:val="008B25FC"/>
    <w:rsid w:val="008B2DA9"/>
    <w:rsid w:val="008B3466"/>
    <w:rsid w:val="008B44C5"/>
    <w:rsid w:val="008B5124"/>
    <w:rsid w:val="008B5192"/>
    <w:rsid w:val="008B768E"/>
    <w:rsid w:val="008B7B3C"/>
    <w:rsid w:val="008C00EE"/>
    <w:rsid w:val="008C05DD"/>
    <w:rsid w:val="008C067C"/>
    <w:rsid w:val="008C2789"/>
    <w:rsid w:val="008C2DF6"/>
    <w:rsid w:val="008C3B28"/>
    <w:rsid w:val="008C5978"/>
    <w:rsid w:val="008C606A"/>
    <w:rsid w:val="008C698C"/>
    <w:rsid w:val="008C6F82"/>
    <w:rsid w:val="008C6FC4"/>
    <w:rsid w:val="008C7564"/>
    <w:rsid w:val="008D02D4"/>
    <w:rsid w:val="008D0556"/>
    <w:rsid w:val="008D07D4"/>
    <w:rsid w:val="008D0D4E"/>
    <w:rsid w:val="008D0DD0"/>
    <w:rsid w:val="008D1734"/>
    <w:rsid w:val="008D2272"/>
    <w:rsid w:val="008D2EA5"/>
    <w:rsid w:val="008D307A"/>
    <w:rsid w:val="008D33C9"/>
    <w:rsid w:val="008D3D6F"/>
    <w:rsid w:val="008D3DF6"/>
    <w:rsid w:val="008D43BA"/>
    <w:rsid w:val="008D4F11"/>
    <w:rsid w:val="008D6086"/>
    <w:rsid w:val="008D6249"/>
    <w:rsid w:val="008D7317"/>
    <w:rsid w:val="008D7DF4"/>
    <w:rsid w:val="008E06C9"/>
    <w:rsid w:val="008E0A77"/>
    <w:rsid w:val="008E10AE"/>
    <w:rsid w:val="008E1322"/>
    <w:rsid w:val="008E164D"/>
    <w:rsid w:val="008E33FB"/>
    <w:rsid w:val="008E3759"/>
    <w:rsid w:val="008E3EE8"/>
    <w:rsid w:val="008E53E4"/>
    <w:rsid w:val="008E5615"/>
    <w:rsid w:val="008E57D1"/>
    <w:rsid w:val="008E62A4"/>
    <w:rsid w:val="008E71E6"/>
    <w:rsid w:val="008F019D"/>
    <w:rsid w:val="008F166D"/>
    <w:rsid w:val="008F298E"/>
    <w:rsid w:val="008F2A35"/>
    <w:rsid w:val="008F2A73"/>
    <w:rsid w:val="008F2E03"/>
    <w:rsid w:val="008F2E1C"/>
    <w:rsid w:val="008F3B12"/>
    <w:rsid w:val="008F3BF9"/>
    <w:rsid w:val="008F3C7F"/>
    <w:rsid w:val="008F3E4A"/>
    <w:rsid w:val="008F4101"/>
    <w:rsid w:val="008F4522"/>
    <w:rsid w:val="008F49E6"/>
    <w:rsid w:val="008F559D"/>
    <w:rsid w:val="008F6014"/>
    <w:rsid w:val="008F7B4C"/>
    <w:rsid w:val="008F7F3F"/>
    <w:rsid w:val="00900365"/>
    <w:rsid w:val="00900D01"/>
    <w:rsid w:val="009021D6"/>
    <w:rsid w:val="00902D58"/>
    <w:rsid w:val="009039DC"/>
    <w:rsid w:val="00903BE6"/>
    <w:rsid w:val="0090409B"/>
    <w:rsid w:val="009041DC"/>
    <w:rsid w:val="009047EE"/>
    <w:rsid w:val="00904B4B"/>
    <w:rsid w:val="00905AD0"/>
    <w:rsid w:val="009062C5"/>
    <w:rsid w:val="0090640F"/>
    <w:rsid w:val="009065A1"/>
    <w:rsid w:val="0090668D"/>
    <w:rsid w:val="009104B4"/>
    <w:rsid w:val="009111FF"/>
    <w:rsid w:val="00912171"/>
    <w:rsid w:val="00912642"/>
    <w:rsid w:val="009136CF"/>
    <w:rsid w:val="00913B6D"/>
    <w:rsid w:val="00915B02"/>
    <w:rsid w:val="00915CDE"/>
    <w:rsid w:val="00915FDE"/>
    <w:rsid w:val="0091677E"/>
    <w:rsid w:val="0091728F"/>
    <w:rsid w:val="0091789D"/>
    <w:rsid w:val="00917F4B"/>
    <w:rsid w:val="00920A6E"/>
    <w:rsid w:val="00921023"/>
    <w:rsid w:val="009214A7"/>
    <w:rsid w:val="009214C8"/>
    <w:rsid w:val="009223E9"/>
    <w:rsid w:val="00922A9F"/>
    <w:rsid w:val="00922B74"/>
    <w:rsid w:val="00922E4D"/>
    <w:rsid w:val="00923920"/>
    <w:rsid w:val="00923E54"/>
    <w:rsid w:val="00923EA6"/>
    <w:rsid w:val="00924F0A"/>
    <w:rsid w:val="00925FCD"/>
    <w:rsid w:val="009266DD"/>
    <w:rsid w:val="00927B0B"/>
    <w:rsid w:val="009300A7"/>
    <w:rsid w:val="0093035E"/>
    <w:rsid w:val="00930A5D"/>
    <w:rsid w:val="00930ED0"/>
    <w:rsid w:val="00931F7C"/>
    <w:rsid w:val="009320F5"/>
    <w:rsid w:val="009322FE"/>
    <w:rsid w:val="00932B67"/>
    <w:rsid w:val="00933621"/>
    <w:rsid w:val="0093441A"/>
    <w:rsid w:val="00934829"/>
    <w:rsid w:val="009356F2"/>
    <w:rsid w:val="00935735"/>
    <w:rsid w:val="009359E3"/>
    <w:rsid w:val="00935A29"/>
    <w:rsid w:val="00936C4F"/>
    <w:rsid w:val="00940D0A"/>
    <w:rsid w:val="009412E0"/>
    <w:rsid w:val="00941393"/>
    <w:rsid w:val="0094199B"/>
    <w:rsid w:val="009424BD"/>
    <w:rsid w:val="0094253B"/>
    <w:rsid w:val="00942AA6"/>
    <w:rsid w:val="00942BBC"/>
    <w:rsid w:val="009435DC"/>
    <w:rsid w:val="00945F51"/>
    <w:rsid w:val="00946729"/>
    <w:rsid w:val="0094702E"/>
    <w:rsid w:val="00947215"/>
    <w:rsid w:val="00947B86"/>
    <w:rsid w:val="00947C4A"/>
    <w:rsid w:val="00950C1A"/>
    <w:rsid w:val="00950D77"/>
    <w:rsid w:val="00951651"/>
    <w:rsid w:val="00951A16"/>
    <w:rsid w:val="00952CAA"/>
    <w:rsid w:val="00952CCF"/>
    <w:rsid w:val="00952DC4"/>
    <w:rsid w:val="009544AF"/>
    <w:rsid w:val="0095466D"/>
    <w:rsid w:val="00954BF7"/>
    <w:rsid w:val="00955093"/>
    <w:rsid w:val="009552DA"/>
    <w:rsid w:val="009554F0"/>
    <w:rsid w:val="00955C06"/>
    <w:rsid w:val="00955CB9"/>
    <w:rsid w:val="00955EA3"/>
    <w:rsid w:val="0095641C"/>
    <w:rsid w:val="00956868"/>
    <w:rsid w:val="00956AAD"/>
    <w:rsid w:val="0095713F"/>
    <w:rsid w:val="009579D8"/>
    <w:rsid w:val="00957A32"/>
    <w:rsid w:val="00957C98"/>
    <w:rsid w:val="00960555"/>
    <w:rsid w:val="00963233"/>
    <w:rsid w:val="00964917"/>
    <w:rsid w:val="00964BC4"/>
    <w:rsid w:val="00964DFA"/>
    <w:rsid w:val="009653A0"/>
    <w:rsid w:val="00965F42"/>
    <w:rsid w:val="009661DF"/>
    <w:rsid w:val="009668D9"/>
    <w:rsid w:val="009668E5"/>
    <w:rsid w:val="0096706E"/>
    <w:rsid w:val="009678C3"/>
    <w:rsid w:val="00967987"/>
    <w:rsid w:val="00967B1D"/>
    <w:rsid w:val="00967ECF"/>
    <w:rsid w:val="00970813"/>
    <w:rsid w:val="00970CD0"/>
    <w:rsid w:val="00970FD7"/>
    <w:rsid w:val="009714F6"/>
    <w:rsid w:val="009724C3"/>
    <w:rsid w:val="0097261D"/>
    <w:rsid w:val="00973675"/>
    <w:rsid w:val="00973798"/>
    <w:rsid w:val="00973A7C"/>
    <w:rsid w:val="00973E1D"/>
    <w:rsid w:val="009753D7"/>
    <w:rsid w:val="009757D0"/>
    <w:rsid w:val="00976295"/>
    <w:rsid w:val="0097691D"/>
    <w:rsid w:val="00976E74"/>
    <w:rsid w:val="00981FBA"/>
    <w:rsid w:val="00982E24"/>
    <w:rsid w:val="00983AF6"/>
    <w:rsid w:val="00983D6A"/>
    <w:rsid w:val="009843A2"/>
    <w:rsid w:val="009856D7"/>
    <w:rsid w:val="00985A4B"/>
    <w:rsid w:val="00986129"/>
    <w:rsid w:val="00986662"/>
    <w:rsid w:val="009869B3"/>
    <w:rsid w:val="00986AEE"/>
    <w:rsid w:val="009879D3"/>
    <w:rsid w:val="00992D3D"/>
    <w:rsid w:val="009937A7"/>
    <w:rsid w:val="00994CAC"/>
    <w:rsid w:val="00994ECF"/>
    <w:rsid w:val="0099538C"/>
    <w:rsid w:val="009963C2"/>
    <w:rsid w:val="009967AF"/>
    <w:rsid w:val="0099714E"/>
    <w:rsid w:val="009978F5"/>
    <w:rsid w:val="00997E99"/>
    <w:rsid w:val="009A01D8"/>
    <w:rsid w:val="009A03E7"/>
    <w:rsid w:val="009A0816"/>
    <w:rsid w:val="009A0B09"/>
    <w:rsid w:val="009A0F04"/>
    <w:rsid w:val="009A1A5D"/>
    <w:rsid w:val="009A1D2A"/>
    <w:rsid w:val="009A28FA"/>
    <w:rsid w:val="009A5817"/>
    <w:rsid w:val="009A6130"/>
    <w:rsid w:val="009A700D"/>
    <w:rsid w:val="009A7953"/>
    <w:rsid w:val="009B074C"/>
    <w:rsid w:val="009B07BE"/>
    <w:rsid w:val="009B1206"/>
    <w:rsid w:val="009B1525"/>
    <w:rsid w:val="009B18E1"/>
    <w:rsid w:val="009B26C8"/>
    <w:rsid w:val="009B2F9E"/>
    <w:rsid w:val="009B351F"/>
    <w:rsid w:val="009B381B"/>
    <w:rsid w:val="009B5129"/>
    <w:rsid w:val="009B541A"/>
    <w:rsid w:val="009B5D32"/>
    <w:rsid w:val="009B61B2"/>
    <w:rsid w:val="009B6619"/>
    <w:rsid w:val="009B71D5"/>
    <w:rsid w:val="009B71EF"/>
    <w:rsid w:val="009B74A4"/>
    <w:rsid w:val="009B76BF"/>
    <w:rsid w:val="009C03AE"/>
    <w:rsid w:val="009C047F"/>
    <w:rsid w:val="009C14DA"/>
    <w:rsid w:val="009C1615"/>
    <w:rsid w:val="009C1691"/>
    <w:rsid w:val="009C1877"/>
    <w:rsid w:val="009C1D8B"/>
    <w:rsid w:val="009C202F"/>
    <w:rsid w:val="009C2F75"/>
    <w:rsid w:val="009C2F9F"/>
    <w:rsid w:val="009C458A"/>
    <w:rsid w:val="009C4893"/>
    <w:rsid w:val="009C4D68"/>
    <w:rsid w:val="009C59D3"/>
    <w:rsid w:val="009C6457"/>
    <w:rsid w:val="009C799E"/>
    <w:rsid w:val="009D0012"/>
    <w:rsid w:val="009D0946"/>
    <w:rsid w:val="009D0B9F"/>
    <w:rsid w:val="009D0DEE"/>
    <w:rsid w:val="009D15C7"/>
    <w:rsid w:val="009D16D3"/>
    <w:rsid w:val="009D173B"/>
    <w:rsid w:val="009D2342"/>
    <w:rsid w:val="009D241E"/>
    <w:rsid w:val="009D280B"/>
    <w:rsid w:val="009D2BBE"/>
    <w:rsid w:val="009D3728"/>
    <w:rsid w:val="009D561E"/>
    <w:rsid w:val="009D6116"/>
    <w:rsid w:val="009D62CD"/>
    <w:rsid w:val="009D7611"/>
    <w:rsid w:val="009E075C"/>
    <w:rsid w:val="009E15DB"/>
    <w:rsid w:val="009E25B3"/>
    <w:rsid w:val="009E27A9"/>
    <w:rsid w:val="009E3488"/>
    <w:rsid w:val="009E374A"/>
    <w:rsid w:val="009E3A41"/>
    <w:rsid w:val="009E3ABD"/>
    <w:rsid w:val="009E3C23"/>
    <w:rsid w:val="009E3F7C"/>
    <w:rsid w:val="009E41B3"/>
    <w:rsid w:val="009E4906"/>
    <w:rsid w:val="009E53DE"/>
    <w:rsid w:val="009E6FD9"/>
    <w:rsid w:val="009F0885"/>
    <w:rsid w:val="009F0AED"/>
    <w:rsid w:val="009F0D8A"/>
    <w:rsid w:val="009F114F"/>
    <w:rsid w:val="009F1ED5"/>
    <w:rsid w:val="009F229C"/>
    <w:rsid w:val="009F2349"/>
    <w:rsid w:val="009F24AF"/>
    <w:rsid w:val="009F24FF"/>
    <w:rsid w:val="009F297A"/>
    <w:rsid w:val="009F2CC4"/>
    <w:rsid w:val="009F382B"/>
    <w:rsid w:val="009F5AE9"/>
    <w:rsid w:val="009F6EB3"/>
    <w:rsid w:val="009F7113"/>
    <w:rsid w:val="009F76DF"/>
    <w:rsid w:val="009F76E5"/>
    <w:rsid w:val="009F7E41"/>
    <w:rsid w:val="00A01453"/>
    <w:rsid w:val="00A014DA"/>
    <w:rsid w:val="00A03222"/>
    <w:rsid w:val="00A0345B"/>
    <w:rsid w:val="00A03579"/>
    <w:rsid w:val="00A03B6C"/>
    <w:rsid w:val="00A03DA5"/>
    <w:rsid w:val="00A04910"/>
    <w:rsid w:val="00A050D8"/>
    <w:rsid w:val="00A05601"/>
    <w:rsid w:val="00A057B8"/>
    <w:rsid w:val="00A05C64"/>
    <w:rsid w:val="00A062DD"/>
    <w:rsid w:val="00A0645D"/>
    <w:rsid w:val="00A06C83"/>
    <w:rsid w:val="00A06FEB"/>
    <w:rsid w:val="00A07134"/>
    <w:rsid w:val="00A07809"/>
    <w:rsid w:val="00A07CAA"/>
    <w:rsid w:val="00A10246"/>
    <w:rsid w:val="00A10403"/>
    <w:rsid w:val="00A10450"/>
    <w:rsid w:val="00A10863"/>
    <w:rsid w:val="00A10C01"/>
    <w:rsid w:val="00A10CCC"/>
    <w:rsid w:val="00A1131F"/>
    <w:rsid w:val="00A12250"/>
    <w:rsid w:val="00A12773"/>
    <w:rsid w:val="00A13A94"/>
    <w:rsid w:val="00A14D37"/>
    <w:rsid w:val="00A15A9B"/>
    <w:rsid w:val="00A15C9A"/>
    <w:rsid w:val="00A163A4"/>
    <w:rsid w:val="00A1688B"/>
    <w:rsid w:val="00A16943"/>
    <w:rsid w:val="00A17625"/>
    <w:rsid w:val="00A17E82"/>
    <w:rsid w:val="00A2015A"/>
    <w:rsid w:val="00A2089E"/>
    <w:rsid w:val="00A20B65"/>
    <w:rsid w:val="00A20F5F"/>
    <w:rsid w:val="00A2130F"/>
    <w:rsid w:val="00A21930"/>
    <w:rsid w:val="00A21BFD"/>
    <w:rsid w:val="00A2232B"/>
    <w:rsid w:val="00A226F2"/>
    <w:rsid w:val="00A22B7B"/>
    <w:rsid w:val="00A23100"/>
    <w:rsid w:val="00A23924"/>
    <w:rsid w:val="00A23AFA"/>
    <w:rsid w:val="00A23E45"/>
    <w:rsid w:val="00A24331"/>
    <w:rsid w:val="00A2456A"/>
    <w:rsid w:val="00A249A8"/>
    <w:rsid w:val="00A255BD"/>
    <w:rsid w:val="00A26545"/>
    <w:rsid w:val="00A269C8"/>
    <w:rsid w:val="00A27314"/>
    <w:rsid w:val="00A27C5A"/>
    <w:rsid w:val="00A3014C"/>
    <w:rsid w:val="00A3035F"/>
    <w:rsid w:val="00A30ECB"/>
    <w:rsid w:val="00A31451"/>
    <w:rsid w:val="00A31CB0"/>
    <w:rsid w:val="00A321C2"/>
    <w:rsid w:val="00A3286C"/>
    <w:rsid w:val="00A32D38"/>
    <w:rsid w:val="00A33219"/>
    <w:rsid w:val="00A3351B"/>
    <w:rsid w:val="00A33DB9"/>
    <w:rsid w:val="00A34273"/>
    <w:rsid w:val="00A36168"/>
    <w:rsid w:val="00A36BE9"/>
    <w:rsid w:val="00A36C33"/>
    <w:rsid w:val="00A36E16"/>
    <w:rsid w:val="00A37DA9"/>
    <w:rsid w:val="00A40463"/>
    <w:rsid w:val="00A40C4A"/>
    <w:rsid w:val="00A40CED"/>
    <w:rsid w:val="00A4251D"/>
    <w:rsid w:val="00A42803"/>
    <w:rsid w:val="00A43458"/>
    <w:rsid w:val="00A438C4"/>
    <w:rsid w:val="00A438F6"/>
    <w:rsid w:val="00A43C79"/>
    <w:rsid w:val="00A43E87"/>
    <w:rsid w:val="00A444C4"/>
    <w:rsid w:val="00A445B3"/>
    <w:rsid w:val="00A447CD"/>
    <w:rsid w:val="00A47174"/>
    <w:rsid w:val="00A473E3"/>
    <w:rsid w:val="00A47406"/>
    <w:rsid w:val="00A47D0B"/>
    <w:rsid w:val="00A500DA"/>
    <w:rsid w:val="00A50201"/>
    <w:rsid w:val="00A5028C"/>
    <w:rsid w:val="00A50CF2"/>
    <w:rsid w:val="00A51D32"/>
    <w:rsid w:val="00A52375"/>
    <w:rsid w:val="00A5251F"/>
    <w:rsid w:val="00A527E1"/>
    <w:rsid w:val="00A52876"/>
    <w:rsid w:val="00A528D1"/>
    <w:rsid w:val="00A52D39"/>
    <w:rsid w:val="00A53D23"/>
    <w:rsid w:val="00A542D1"/>
    <w:rsid w:val="00A547A8"/>
    <w:rsid w:val="00A54E22"/>
    <w:rsid w:val="00A55776"/>
    <w:rsid w:val="00A56817"/>
    <w:rsid w:val="00A60093"/>
    <w:rsid w:val="00A60F07"/>
    <w:rsid w:val="00A62415"/>
    <w:rsid w:val="00A6269C"/>
    <w:rsid w:val="00A6287A"/>
    <w:rsid w:val="00A6379D"/>
    <w:rsid w:val="00A6386E"/>
    <w:rsid w:val="00A63958"/>
    <w:rsid w:val="00A642B6"/>
    <w:rsid w:val="00A647EB"/>
    <w:rsid w:val="00A649AE"/>
    <w:rsid w:val="00A64DA8"/>
    <w:rsid w:val="00A64EE8"/>
    <w:rsid w:val="00A64F5F"/>
    <w:rsid w:val="00A650D1"/>
    <w:rsid w:val="00A6588A"/>
    <w:rsid w:val="00A669C6"/>
    <w:rsid w:val="00A66BE5"/>
    <w:rsid w:val="00A67461"/>
    <w:rsid w:val="00A709DB"/>
    <w:rsid w:val="00A70FA6"/>
    <w:rsid w:val="00A71D99"/>
    <w:rsid w:val="00A73439"/>
    <w:rsid w:val="00A734B2"/>
    <w:rsid w:val="00A73772"/>
    <w:rsid w:val="00A75A39"/>
    <w:rsid w:val="00A7605D"/>
    <w:rsid w:val="00A774E2"/>
    <w:rsid w:val="00A77E82"/>
    <w:rsid w:val="00A80079"/>
    <w:rsid w:val="00A80C1E"/>
    <w:rsid w:val="00A8162B"/>
    <w:rsid w:val="00A81A9A"/>
    <w:rsid w:val="00A81D28"/>
    <w:rsid w:val="00A823ED"/>
    <w:rsid w:val="00A832B7"/>
    <w:rsid w:val="00A8335C"/>
    <w:rsid w:val="00A83588"/>
    <w:rsid w:val="00A845BE"/>
    <w:rsid w:val="00A84A45"/>
    <w:rsid w:val="00A84A53"/>
    <w:rsid w:val="00A84B01"/>
    <w:rsid w:val="00A86CF8"/>
    <w:rsid w:val="00A871CA"/>
    <w:rsid w:val="00A87816"/>
    <w:rsid w:val="00A87FF5"/>
    <w:rsid w:val="00A91578"/>
    <w:rsid w:val="00A91614"/>
    <w:rsid w:val="00A91C87"/>
    <w:rsid w:val="00A91DE9"/>
    <w:rsid w:val="00A91E10"/>
    <w:rsid w:val="00A91ED0"/>
    <w:rsid w:val="00A91F89"/>
    <w:rsid w:val="00A92714"/>
    <w:rsid w:val="00A92DCA"/>
    <w:rsid w:val="00A947C6"/>
    <w:rsid w:val="00A94BBB"/>
    <w:rsid w:val="00A95F1A"/>
    <w:rsid w:val="00A9641B"/>
    <w:rsid w:val="00A96D18"/>
    <w:rsid w:val="00A96F96"/>
    <w:rsid w:val="00A97366"/>
    <w:rsid w:val="00A978E7"/>
    <w:rsid w:val="00A979CE"/>
    <w:rsid w:val="00A97CDE"/>
    <w:rsid w:val="00AA07DC"/>
    <w:rsid w:val="00AA23D3"/>
    <w:rsid w:val="00AA33AF"/>
    <w:rsid w:val="00AA3C9F"/>
    <w:rsid w:val="00AA4746"/>
    <w:rsid w:val="00AA4D70"/>
    <w:rsid w:val="00AA4DF0"/>
    <w:rsid w:val="00AA51B5"/>
    <w:rsid w:val="00AA5C88"/>
    <w:rsid w:val="00AA792C"/>
    <w:rsid w:val="00AA7A2C"/>
    <w:rsid w:val="00AA7A53"/>
    <w:rsid w:val="00AA7E8A"/>
    <w:rsid w:val="00AB0745"/>
    <w:rsid w:val="00AB097B"/>
    <w:rsid w:val="00AB2ECE"/>
    <w:rsid w:val="00AB3118"/>
    <w:rsid w:val="00AB3712"/>
    <w:rsid w:val="00AB45A1"/>
    <w:rsid w:val="00AB55B8"/>
    <w:rsid w:val="00AB5E60"/>
    <w:rsid w:val="00AB6166"/>
    <w:rsid w:val="00AB6D53"/>
    <w:rsid w:val="00AB6F62"/>
    <w:rsid w:val="00AB7EE1"/>
    <w:rsid w:val="00AC00EA"/>
    <w:rsid w:val="00AC028E"/>
    <w:rsid w:val="00AC0531"/>
    <w:rsid w:val="00AC0F5B"/>
    <w:rsid w:val="00AC2C44"/>
    <w:rsid w:val="00AC30C7"/>
    <w:rsid w:val="00AC313B"/>
    <w:rsid w:val="00AC388E"/>
    <w:rsid w:val="00AC4106"/>
    <w:rsid w:val="00AC4350"/>
    <w:rsid w:val="00AC4B75"/>
    <w:rsid w:val="00AC4E50"/>
    <w:rsid w:val="00AC4F7C"/>
    <w:rsid w:val="00AC53DA"/>
    <w:rsid w:val="00AC6AE6"/>
    <w:rsid w:val="00AC740E"/>
    <w:rsid w:val="00AC7969"/>
    <w:rsid w:val="00AC7AC6"/>
    <w:rsid w:val="00AC7F4D"/>
    <w:rsid w:val="00AD08D1"/>
    <w:rsid w:val="00AD0D8F"/>
    <w:rsid w:val="00AD0E15"/>
    <w:rsid w:val="00AD0F50"/>
    <w:rsid w:val="00AD1293"/>
    <w:rsid w:val="00AD1317"/>
    <w:rsid w:val="00AD1E27"/>
    <w:rsid w:val="00AD2957"/>
    <w:rsid w:val="00AD29F5"/>
    <w:rsid w:val="00AD34D9"/>
    <w:rsid w:val="00AD37C1"/>
    <w:rsid w:val="00AD38E9"/>
    <w:rsid w:val="00AD4435"/>
    <w:rsid w:val="00AD452E"/>
    <w:rsid w:val="00AD4A7C"/>
    <w:rsid w:val="00AD4C43"/>
    <w:rsid w:val="00AD4CD7"/>
    <w:rsid w:val="00AD4E05"/>
    <w:rsid w:val="00AD5EB5"/>
    <w:rsid w:val="00AD72AC"/>
    <w:rsid w:val="00AD73A3"/>
    <w:rsid w:val="00AD7A33"/>
    <w:rsid w:val="00AE0DEC"/>
    <w:rsid w:val="00AE15A9"/>
    <w:rsid w:val="00AE1852"/>
    <w:rsid w:val="00AE1A2D"/>
    <w:rsid w:val="00AE1F0C"/>
    <w:rsid w:val="00AE3F3C"/>
    <w:rsid w:val="00AE4C05"/>
    <w:rsid w:val="00AE4C43"/>
    <w:rsid w:val="00AE501F"/>
    <w:rsid w:val="00AE52EF"/>
    <w:rsid w:val="00AE6271"/>
    <w:rsid w:val="00AE653F"/>
    <w:rsid w:val="00AE66EC"/>
    <w:rsid w:val="00AE6AE5"/>
    <w:rsid w:val="00AE6F91"/>
    <w:rsid w:val="00AE78CD"/>
    <w:rsid w:val="00AF010B"/>
    <w:rsid w:val="00AF0440"/>
    <w:rsid w:val="00AF0FB6"/>
    <w:rsid w:val="00AF10BC"/>
    <w:rsid w:val="00AF14A6"/>
    <w:rsid w:val="00AF22CE"/>
    <w:rsid w:val="00AF2782"/>
    <w:rsid w:val="00AF3344"/>
    <w:rsid w:val="00AF5571"/>
    <w:rsid w:val="00AF5B3F"/>
    <w:rsid w:val="00AF7526"/>
    <w:rsid w:val="00AF79FA"/>
    <w:rsid w:val="00B00CBD"/>
    <w:rsid w:val="00B016BF"/>
    <w:rsid w:val="00B016EF"/>
    <w:rsid w:val="00B018F6"/>
    <w:rsid w:val="00B01D8D"/>
    <w:rsid w:val="00B0207D"/>
    <w:rsid w:val="00B033E8"/>
    <w:rsid w:val="00B0379A"/>
    <w:rsid w:val="00B04F9C"/>
    <w:rsid w:val="00B05B2D"/>
    <w:rsid w:val="00B06114"/>
    <w:rsid w:val="00B0667E"/>
    <w:rsid w:val="00B06A65"/>
    <w:rsid w:val="00B06BF4"/>
    <w:rsid w:val="00B07033"/>
    <w:rsid w:val="00B07227"/>
    <w:rsid w:val="00B11C6F"/>
    <w:rsid w:val="00B11E55"/>
    <w:rsid w:val="00B11F9A"/>
    <w:rsid w:val="00B124E6"/>
    <w:rsid w:val="00B12638"/>
    <w:rsid w:val="00B13ABA"/>
    <w:rsid w:val="00B14837"/>
    <w:rsid w:val="00B160A4"/>
    <w:rsid w:val="00B167E9"/>
    <w:rsid w:val="00B16FF4"/>
    <w:rsid w:val="00B1724A"/>
    <w:rsid w:val="00B207F5"/>
    <w:rsid w:val="00B20B83"/>
    <w:rsid w:val="00B21064"/>
    <w:rsid w:val="00B2177F"/>
    <w:rsid w:val="00B21BC5"/>
    <w:rsid w:val="00B22C40"/>
    <w:rsid w:val="00B23A86"/>
    <w:rsid w:val="00B24749"/>
    <w:rsid w:val="00B24A00"/>
    <w:rsid w:val="00B24C0F"/>
    <w:rsid w:val="00B270C2"/>
    <w:rsid w:val="00B27127"/>
    <w:rsid w:val="00B2728E"/>
    <w:rsid w:val="00B301E8"/>
    <w:rsid w:val="00B30278"/>
    <w:rsid w:val="00B31391"/>
    <w:rsid w:val="00B314DB"/>
    <w:rsid w:val="00B316A7"/>
    <w:rsid w:val="00B31EBE"/>
    <w:rsid w:val="00B324F0"/>
    <w:rsid w:val="00B327DE"/>
    <w:rsid w:val="00B3401D"/>
    <w:rsid w:val="00B34D82"/>
    <w:rsid w:val="00B34E2B"/>
    <w:rsid w:val="00B34F8C"/>
    <w:rsid w:val="00B350FB"/>
    <w:rsid w:val="00B36330"/>
    <w:rsid w:val="00B367B1"/>
    <w:rsid w:val="00B36E37"/>
    <w:rsid w:val="00B3718B"/>
    <w:rsid w:val="00B37584"/>
    <w:rsid w:val="00B37C3B"/>
    <w:rsid w:val="00B41A5F"/>
    <w:rsid w:val="00B41AAC"/>
    <w:rsid w:val="00B424CD"/>
    <w:rsid w:val="00B42ABC"/>
    <w:rsid w:val="00B432D6"/>
    <w:rsid w:val="00B441B9"/>
    <w:rsid w:val="00B44448"/>
    <w:rsid w:val="00B44F4C"/>
    <w:rsid w:val="00B45BE7"/>
    <w:rsid w:val="00B45ECD"/>
    <w:rsid w:val="00B46033"/>
    <w:rsid w:val="00B46313"/>
    <w:rsid w:val="00B4632A"/>
    <w:rsid w:val="00B46771"/>
    <w:rsid w:val="00B478B1"/>
    <w:rsid w:val="00B478C4"/>
    <w:rsid w:val="00B506F8"/>
    <w:rsid w:val="00B50B18"/>
    <w:rsid w:val="00B5149E"/>
    <w:rsid w:val="00B515A8"/>
    <w:rsid w:val="00B52BB8"/>
    <w:rsid w:val="00B52C07"/>
    <w:rsid w:val="00B52D4D"/>
    <w:rsid w:val="00B540E8"/>
    <w:rsid w:val="00B54366"/>
    <w:rsid w:val="00B54DF4"/>
    <w:rsid w:val="00B552E7"/>
    <w:rsid w:val="00B55402"/>
    <w:rsid w:val="00B55E95"/>
    <w:rsid w:val="00B55F23"/>
    <w:rsid w:val="00B5746F"/>
    <w:rsid w:val="00B574A0"/>
    <w:rsid w:val="00B574EE"/>
    <w:rsid w:val="00B575D6"/>
    <w:rsid w:val="00B57C17"/>
    <w:rsid w:val="00B57C7D"/>
    <w:rsid w:val="00B6077E"/>
    <w:rsid w:val="00B60D60"/>
    <w:rsid w:val="00B60E25"/>
    <w:rsid w:val="00B62894"/>
    <w:rsid w:val="00B62BC0"/>
    <w:rsid w:val="00B63572"/>
    <w:rsid w:val="00B63577"/>
    <w:rsid w:val="00B64CF2"/>
    <w:rsid w:val="00B66B51"/>
    <w:rsid w:val="00B67053"/>
    <w:rsid w:val="00B673F4"/>
    <w:rsid w:val="00B67B19"/>
    <w:rsid w:val="00B70462"/>
    <w:rsid w:val="00B72E00"/>
    <w:rsid w:val="00B72F71"/>
    <w:rsid w:val="00B74BBA"/>
    <w:rsid w:val="00B74DAF"/>
    <w:rsid w:val="00B75D57"/>
    <w:rsid w:val="00B765F1"/>
    <w:rsid w:val="00B766A1"/>
    <w:rsid w:val="00B76BE8"/>
    <w:rsid w:val="00B777B0"/>
    <w:rsid w:val="00B77B09"/>
    <w:rsid w:val="00B801CB"/>
    <w:rsid w:val="00B834B0"/>
    <w:rsid w:val="00B84FC7"/>
    <w:rsid w:val="00B8596A"/>
    <w:rsid w:val="00B85B6B"/>
    <w:rsid w:val="00B8646F"/>
    <w:rsid w:val="00B86577"/>
    <w:rsid w:val="00B8664E"/>
    <w:rsid w:val="00B868A4"/>
    <w:rsid w:val="00B86D99"/>
    <w:rsid w:val="00B8786D"/>
    <w:rsid w:val="00B90178"/>
    <w:rsid w:val="00B90496"/>
    <w:rsid w:val="00B920B7"/>
    <w:rsid w:val="00B92546"/>
    <w:rsid w:val="00B926B1"/>
    <w:rsid w:val="00B92DC9"/>
    <w:rsid w:val="00B933E4"/>
    <w:rsid w:val="00B93EF7"/>
    <w:rsid w:val="00B9441F"/>
    <w:rsid w:val="00B96FE9"/>
    <w:rsid w:val="00B97838"/>
    <w:rsid w:val="00BA042E"/>
    <w:rsid w:val="00BA0E3E"/>
    <w:rsid w:val="00BA0EDE"/>
    <w:rsid w:val="00BA10D9"/>
    <w:rsid w:val="00BA11D2"/>
    <w:rsid w:val="00BA198F"/>
    <w:rsid w:val="00BA1D41"/>
    <w:rsid w:val="00BA276C"/>
    <w:rsid w:val="00BA2988"/>
    <w:rsid w:val="00BA3099"/>
    <w:rsid w:val="00BA3133"/>
    <w:rsid w:val="00BA31DF"/>
    <w:rsid w:val="00BA3DCF"/>
    <w:rsid w:val="00BA542F"/>
    <w:rsid w:val="00BA6FFA"/>
    <w:rsid w:val="00BA7984"/>
    <w:rsid w:val="00BB151F"/>
    <w:rsid w:val="00BB17B3"/>
    <w:rsid w:val="00BB285D"/>
    <w:rsid w:val="00BB2AFE"/>
    <w:rsid w:val="00BB3066"/>
    <w:rsid w:val="00BB306F"/>
    <w:rsid w:val="00BB3466"/>
    <w:rsid w:val="00BB356D"/>
    <w:rsid w:val="00BB36D4"/>
    <w:rsid w:val="00BB4212"/>
    <w:rsid w:val="00BB521F"/>
    <w:rsid w:val="00BB53AD"/>
    <w:rsid w:val="00BB5A59"/>
    <w:rsid w:val="00BB645E"/>
    <w:rsid w:val="00BB6D82"/>
    <w:rsid w:val="00BB6D96"/>
    <w:rsid w:val="00BB6F8A"/>
    <w:rsid w:val="00BB7163"/>
    <w:rsid w:val="00BB76B9"/>
    <w:rsid w:val="00BB78FE"/>
    <w:rsid w:val="00BB7B0A"/>
    <w:rsid w:val="00BB7C52"/>
    <w:rsid w:val="00BC04F8"/>
    <w:rsid w:val="00BC1521"/>
    <w:rsid w:val="00BC2154"/>
    <w:rsid w:val="00BC243A"/>
    <w:rsid w:val="00BC2F46"/>
    <w:rsid w:val="00BC35EB"/>
    <w:rsid w:val="00BC397C"/>
    <w:rsid w:val="00BC5766"/>
    <w:rsid w:val="00BC68ED"/>
    <w:rsid w:val="00BC6DA1"/>
    <w:rsid w:val="00BC6FB1"/>
    <w:rsid w:val="00BC73B5"/>
    <w:rsid w:val="00BD10AC"/>
    <w:rsid w:val="00BD232B"/>
    <w:rsid w:val="00BD2C5B"/>
    <w:rsid w:val="00BD3469"/>
    <w:rsid w:val="00BD393F"/>
    <w:rsid w:val="00BD4B89"/>
    <w:rsid w:val="00BD5B66"/>
    <w:rsid w:val="00BD5CCE"/>
    <w:rsid w:val="00BD5E83"/>
    <w:rsid w:val="00BD63B7"/>
    <w:rsid w:val="00BD7D23"/>
    <w:rsid w:val="00BD7F14"/>
    <w:rsid w:val="00BE0098"/>
    <w:rsid w:val="00BE014C"/>
    <w:rsid w:val="00BE118B"/>
    <w:rsid w:val="00BE1438"/>
    <w:rsid w:val="00BE1B74"/>
    <w:rsid w:val="00BE201A"/>
    <w:rsid w:val="00BE319E"/>
    <w:rsid w:val="00BE336E"/>
    <w:rsid w:val="00BE34C6"/>
    <w:rsid w:val="00BE3560"/>
    <w:rsid w:val="00BE35D9"/>
    <w:rsid w:val="00BE36D7"/>
    <w:rsid w:val="00BE3967"/>
    <w:rsid w:val="00BE4872"/>
    <w:rsid w:val="00BE4C89"/>
    <w:rsid w:val="00BE5AD0"/>
    <w:rsid w:val="00BE60A3"/>
    <w:rsid w:val="00BE6182"/>
    <w:rsid w:val="00BE66B0"/>
    <w:rsid w:val="00BE6B74"/>
    <w:rsid w:val="00BE7E23"/>
    <w:rsid w:val="00BF0063"/>
    <w:rsid w:val="00BF08CB"/>
    <w:rsid w:val="00BF0D0E"/>
    <w:rsid w:val="00BF1F10"/>
    <w:rsid w:val="00BF21D5"/>
    <w:rsid w:val="00BF2523"/>
    <w:rsid w:val="00BF2939"/>
    <w:rsid w:val="00BF2EA8"/>
    <w:rsid w:val="00BF40C6"/>
    <w:rsid w:val="00BF4600"/>
    <w:rsid w:val="00BF4865"/>
    <w:rsid w:val="00BF4871"/>
    <w:rsid w:val="00BF4AF7"/>
    <w:rsid w:val="00BF4D3B"/>
    <w:rsid w:val="00BF649B"/>
    <w:rsid w:val="00BF65BD"/>
    <w:rsid w:val="00BF7C42"/>
    <w:rsid w:val="00C0028D"/>
    <w:rsid w:val="00C01430"/>
    <w:rsid w:val="00C01451"/>
    <w:rsid w:val="00C01882"/>
    <w:rsid w:val="00C018FF"/>
    <w:rsid w:val="00C02A78"/>
    <w:rsid w:val="00C03059"/>
    <w:rsid w:val="00C0391B"/>
    <w:rsid w:val="00C03A29"/>
    <w:rsid w:val="00C04473"/>
    <w:rsid w:val="00C05169"/>
    <w:rsid w:val="00C0546D"/>
    <w:rsid w:val="00C05820"/>
    <w:rsid w:val="00C06128"/>
    <w:rsid w:val="00C070BA"/>
    <w:rsid w:val="00C07884"/>
    <w:rsid w:val="00C101BC"/>
    <w:rsid w:val="00C10EA4"/>
    <w:rsid w:val="00C120CA"/>
    <w:rsid w:val="00C136FB"/>
    <w:rsid w:val="00C144E7"/>
    <w:rsid w:val="00C14557"/>
    <w:rsid w:val="00C14701"/>
    <w:rsid w:val="00C14A51"/>
    <w:rsid w:val="00C14CE0"/>
    <w:rsid w:val="00C1525C"/>
    <w:rsid w:val="00C153DE"/>
    <w:rsid w:val="00C16D95"/>
    <w:rsid w:val="00C17BAA"/>
    <w:rsid w:val="00C20667"/>
    <w:rsid w:val="00C2142B"/>
    <w:rsid w:val="00C21762"/>
    <w:rsid w:val="00C21EFD"/>
    <w:rsid w:val="00C221B1"/>
    <w:rsid w:val="00C224DF"/>
    <w:rsid w:val="00C22DD6"/>
    <w:rsid w:val="00C23BA8"/>
    <w:rsid w:val="00C24049"/>
    <w:rsid w:val="00C24543"/>
    <w:rsid w:val="00C256A2"/>
    <w:rsid w:val="00C25804"/>
    <w:rsid w:val="00C25808"/>
    <w:rsid w:val="00C258A0"/>
    <w:rsid w:val="00C25B0D"/>
    <w:rsid w:val="00C26350"/>
    <w:rsid w:val="00C26A69"/>
    <w:rsid w:val="00C31770"/>
    <w:rsid w:val="00C3238A"/>
    <w:rsid w:val="00C32415"/>
    <w:rsid w:val="00C32A61"/>
    <w:rsid w:val="00C338B0"/>
    <w:rsid w:val="00C33EB0"/>
    <w:rsid w:val="00C340DC"/>
    <w:rsid w:val="00C344B0"/>
    <w:rsid w:val="00C3492D"/>
    <w:rsid w:val="00C34973"/>
    <w:rsid w:val="00C34F68"/>
    <w:rsid w:val="00C35423"/>
    <w:rsid w:val="00C3629F"/>
    <w:rsid w:val="00C36568"/>
    <w:rsid w:val="00C3697D"/>
    <w:rsid w:val="00C36E35"/>
    <w:rsid w:val="00C4068A"/>
    <w:rsid w:val="00C41AB9"/>
    <w:rsid w:val="00C4237D"/>
    <w:rsid w:val="00C4237F"/>
    <w:rsid w:val="00C423E4"/>
    <w:rsid w:val="00C432D8"/>
    <w:rsid w:val="00C435B4"/>
    <w:rsid w:val="00C43939"/>
    <w:rsid w:val="00C43943"/>
    <w:rsid w:val="00C43FC7"/>
    <w:rsid w:val="00C443E8"/>
    <w:rsid w:val="00C44886"/>
    <w:rsid w:val="00C4488B"/>
    <w:rsid w:val="00C44A35"/>
    <w:rsid w:val="00C44ECB"/>
    <w:rsid w:val="00C45555"/>
    <w:rsid w:val="00C45976"/>
    <w:rsid w:val="00C45A93"/>
    <w:rsid w:val="00C4696E"/>
    <w:rsid w:val="00C46A80"/>
    <w:rsid w:val="00C4716E"/>
    <w:rsid w:val="00C47791"/>
    <w:rsid w:val="00C4793D"/>
    <w:rsid w:val="00C47E39"/>
    <w:rsid w:val="00C506EB"/>
    <w:rsid w:val="00C50C1E"/>
    <w:rsid w:val="00C51C98"/>
    <w:rsid w:val="00C5237D"/>
    <w:rsid w:val="00C535F1"/>
    <w:rsid w:val="00C53F60"/>
    <w:rsid w:val="00C546AB"/>
    <w:rsid w:val="00C5474E"/>
    <w:rsid w:val="00C548F2"/>
    <w:rsid w:val="00C548FA"/>
    <w:rsid w:val="00C55378"/>
    <w:rsid w:val="00C55560"/>
    <w:rsid w:val="00C56E90"/>
    <w:rsid w:val="00C56ED6"/>
    <w:rsid w:val="00C57994"/>
    <w:rsid w:val="00C60644"/>
    <w:rsid w:val="00C60AB3"/>
    <w:rsid w:val="00C61956"/>
    <w:rsid w:val="00C61997"/>
    <w:rsid w:val="00C62393"/>
    <w:rsid w:val="00C62BF4"/>
    <w:rsid w:val="00C6323C"/>
    <w:rsid w:val="00C634B4"/>
    <w:rsid w:val="00C63585"/>
    <w:rsid w:val="00C64478"/>
    <w:rsid w:val="00C65998"/>
    <w:rsid w:val="00C669C1"/>
    <w:rsid w:val="00C66B72"/>
    <w:rsid w:val="00C674CD"/>
    <w:rsid w:val="00C67622"/>
    <w:rsid w:val="00C67F18"/>
    <w:rsid w:val="00C7097B"/>
    <w:rsid w:val="00C713EB"/>
    <w:rsid w:val="00C714BB"/>
    <w:rsid w:val="00C7275B"/>
    <w:rsid w:val="00C7281A"/>
    <w:rsid w:val="00C73738"/>
    <w:rsid w:val="00C7377E"/>
    <w:rsid w:val="00C73BAE"/>
    <w:rsid w:val="00C748D8"/>
    <w:rsid w:val="00C74AAA"/>
    <w:rsid w:val="00C74C37"/>
    <w:rsid w:val="00C7526E"/>
    <w:rsid w:val="00C759BE"/>
    <w:rsid w:val="00C75A4F"/>
    <w:rsid w:val="00C75E68"/>
    <w:rsid w:val="00C76135"/>
    <w:rsid w:val="00C768EA"/>
    <w:rsid w:val="00C76C96"/>
    <w:rsid w:val="00C77013"/>
    <w:rsid w:val="00C771AA"/>
    <w:rsid w:val="00C77F47"/>
    <w:rsid w:val="00C811BA"/>
    <w:rsid w:val="00C81339"/>
    <w:rsid w:val="00C81FBE"/>
    <w:rsid w:val="00C82B0B"/>
    <w:rsid w:val="00C83A33"/>
    <w:rsid w:val="00C83A40"/>
    <w:rsid w:val="00C84B0E"/>
    <w:rsid w:val="00C84E16"/>
    <w:rsid w:val="00C850FD"/>
    <w:rsid w:val="00C857A1"/>
    <w:rsid w:val="00C85897"/>
    <w:rsid w:val="00C85CF6"/>
    <w:rsid w:val="00C85DDE"/>
    <w:rsid w:val="00C86C06"/>
    <w:rsid w:val="00C8734C"/>
    <w:rsid w:val="00C8737F"/>
    <w:rsid w:val="00C9055F"/>
    <w:rsid w:val="00C91645"/>
    <w:rsid w:val="00C92CF7"/>
    <w:rsid w:val="00C936C3"/>
    <w:rsid w:val="00C93DCE"/>
    <w:rsid w:val="00C940E6"/>
    <w:rsid w:val="00C949E2"/>
    <w:rsid w:val="00C94BF5"/>
    <w:rsid w:val="00C9567A"/>
    <w:rsid w:val="00C957E5"/>
    <w:rsid w:val="00C95BF6"/>
    <w:rsid w:val="00C95CDD"/>
    <w:rsid w:val="00C95DAD"/>
    <w:rsid w:val="00C9670F"/>
    <w:rsid w:val="00C96AF3"/>
    <w:rsid w:val="00C96BFF"/>
    <w:rsid w:val="00C97B52"/>
    <w:rsid w:val="00CA0428"/>
    <w:rsid w:val="00CA0730"/>
    <w:rsid w:val="00CA0E2F"/>
    <w:rsid w:val="00CA1D19"/>
    <w:rsid w:val="00CA220B"/>
    <w:rsid w:val="00CA249C"/>
    <w:rsid w:val="00CA28C5"/>
    <w:rsid w:val="00CA34BE"/>
    <w:rsid w:val="00CA3B1D"/>
    <w:rsid w:val="00CA4160"/>
    <w:rsid w:val="00CA44E8"/>
    <w:rsid w:val="00CA53D1"/>
    <w:rsid w:val="00CA5B5E"/>
    <w:rsid w:val="00CA61E3"/>
    <w:rsid w:val="00CA6219"/>
    <w:rsid w:val="00CA65F1"/>
    <w:rsid w:val="00CA6E49"/>
    <w:rsid w:val="00CA6EE1"/>
    <w:rsid w:val="00CB08A1"/>
    <w:rsid w:val="00CB13BC"/>
    <w:rsid w:val="00CB17C1"/>
    <w:rsid w:val="00CB2422"/>
    <w:rsid w:val="00CB2660"/>
    <w:rsid w:val="00CB2A1A"/>
    <w:rsid w:val="00CB320F"/>
    <w:rsid w:val="00CB3418"/>
    <w:rsid w:val="00CB36CE"/>
    <w:rsid w:val="00CB3738"/>
    <w:rsid w:val="00CB3827"/>
    <w:rsid w:val="00CB3A1A"/>
    <w:rsid w:val="00CB4965"/>
    <w:rsid w:val="00CB4C01"/>
    <w:rsid w:val="00CB50DB"/>
    <w:rsid w:val="00CB5334"/>
    <w:rsid w:val="00CB712B"/>
    <w:rsid w:val="00CB7A42"/>
    <w:rsid w:val="00CB7CA1"/>
    <w:rsid w:val="00CB7D6F"/>
    <w:rsid w:val="00CC0E8C"/>
    <w:rsid w:val="00CC1157"/>
    <w:rsid w:val="00CC232B"/>
    <w:rsid w:val="00CC25A6"/>
    <w:rsid w:val="00CC30E5"/>
    <w:rsid w:val="00CC44ED"/>
    <w:rsid w:val="00CC460F"/>
    <w:rsid w:val="00CC5639"/>
    <w:rsid w:val="00CC5E13"/>
    <w:rsid w:val="00CC5E90"/>
    <w:rsid w:val="00CC66EA"/>
    <w:rsid w:val="00CC72FB"/>
    <w:rsid w:val="00CD046C"/>
    <w:rsid w:val="00CD0979"/>
    <w:rsid w:val="00CD261C"/>
    <w:rsid w:val="00CD36BA"/>
    <w:rsid w:val="00CD38C8"/>
    <w:rsid w:val="00CD3E41"/>
    <w:rsid w:val="00CD403E"/>
    <w:rsid w:val="00CD6BCF"/>
    <w:rsid w:val="00CD7BBE"/>
    <w:rsid w:val="00CE0052"/>
    <w:rsid w:val="00CE1390"/>
    <w:rsid w:val="00CE1E71"/>
    <w:rsid w:val="00CE2A6C"/>
    <w:rsid w:val="00CE405C"/>
    <w:rsid w:val="00CE4868"/>
    <w:rsid w:val="00CE4999"/>
    <w:rsid w:val="00CE5199"/>
    <w:rsid w:val="00CE66D5"/>
    <w:rsid w:val="00CE66E4"/>
    <w:rsid w:val="00CF07C3"/>
    <w:rsid w:val="00CF0A29"/>
    <w:rsid w:val="00CF0AD5"/>
    <w:rsid w:val="00CF12C1"/>
    <w:rsid w:val="00CF1E94"/>
    <w:rsid w:val="00CF1FF5"/>
    <w:rsid w:val="00CF273B"/>
    <w:rsid w:val="00CF2824"/>
    <w:rsid w:val="00CF3EBB"/>
    <w:rsid w:val="00CF4138"/>
    <w:rsid w:val="00CF439C"/>
    <w:rsid w:val="00CF5539"/>
    <w:rsid w:val="00CF63BF"/>
    <w:rsid w:val="00CF6754"/>
    <w:rsid w:val="00CF768E"/>
    <w:rsid w:val="00D002FC"/>
    <w:rsid w:val="00D01F78"/>
    <w:rsid w:val="00D01FAC"/>
    <w:rsid w:val="00D0228D"/>
    <w:rsid w:val="00D02E9F"/>
    <w:rsid w:val="00D03633"/>
    <w:rsid w:val="00D03C39"/>
    <w:rsid w:val="00D04137"/>
    <w:rsid w:val="00D04674"/>
    <w:rsid w:val="00D05066"/>
    <w:rsid w:val="00D065A9"/>
    <w:rsid w:val="00D06D0A"/>
    <w:rsid w:val="00D070D7"/>
    <w:rsid w:val="00D07439"/>
    <w:rsid w:val="00D0799B"/>
    <w:rsid w:val="00D07A1B"/>
    <w:rsid w:val="00D10D00"/>
    <w:rsid w:val="00D10E59"/>
    <w:rsid w:val="00D11349"/>
    <w:rsid w:val="00D1134B"/>
    <w:rsid w:val="00D1169D"/>
    <w:rsid w:val="00D11888"/>
    <w:rsid w:val="00D12883"/>
    <w:rsid w:val="00D12D6C"/>
    <w:rsid w:val="00D12F97"/>
    <w:rsid w:val="00D13E1B"/>
    <w:rsid w:val="00D13FAB"/>
    <w:rsid w:val="00D14582"/>
    <w:rsid w:val="00D14B21"/>
    <w:rsid w:val="00D15377"/>
    <w:rsid w:val="00D1539E"/>
    <w:rsid w:val="00D15ABB"/>
    <w:rsid w:val="00D15E54"/>
    <w:rsid w:val="00D16299"/>
    <w:rsid w:val="00D162B0"/>
    <w:rsid w:val="00D16527"/>
    <w:rsid w:val="00D16C41"/>
    <w:rsid w:val="00D2095A"/>
    <w:rsid w:val="00D20BFA"/>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5889"/>
    <w:rsid w:val="00D25C75"/>
    <w:rsid w:val="00D25FCD"/>
    <w:rsid w:val="00D275B4"/>
    <w:rsid w:val="00D27715"/>
    <w:rsid w:val="00D27FBF"/>
    <w:rsid w:val="00D30858"/>
    <w:rsid w:val="00D31472"/>
    <w:rsid w:val="00D31A13"/>
    <w:rsid w:val="00D31A84"/>
    <w:rsid w:val="00D32BCF"/>
    <w:rsid w:val="00D32D94"/>
    <w:rsid w:val="00D330A7"/>
    <w:rsid w:val="00D3350E"/>
    <w:rsid w:val="00D340AA"/>
    <w:rsid w:val="00D34786"/>
    <w:rsid w:val="00D35609"/>
    <w:rsid w:val="00D35A0A"/>
    <w:rsid w:val="00D35CFB"/>
    <w:rsid w:val="00D36696"/>
    <w:rsid w:val="00D36A2C"/>
    <w:rsid w:val="00D37539"/>
    <w:rsid w:val="00D37557"/>
    <w:rsid w:val="00D37F6C"/>
    <w:rsid w:val="00D4040F"/>
    <w:rsid w:val="00D40A1E"/>
    <w:rsid w:val="00D41262"/>
    <w:rsid w:val="00D41308"/>
    <w:rsid w:val="00D42007"/>
    <w:rsid w:val="00D42A76"/>
    <w:rsid w:val="00D42BAB"/>
    <w:rsid w:val="00D43C78"/>
    <w:rsid w:val="00D43D02"/>
    <w:rsid w:val="00D44A80"/>
    <w:rsid w:val="00D44B04"/>
    <w:rsid w:val="00D44BDF"/>
    <w:rsid w:val="00D45150"/>
    <w:rsid w:val="00D45500"/>
    <w:rsid w:val="00D4662C"/>
    <w:rsid w:val="00D46CDC"/>
    <w:rsid w:val="00D46FBE"/>
    <w:rsid w:val="00D47631"/>
    <w:rsid w:val="00D47E97"/>
    <w:rsid w:val="00D47F4D"/>
    <w:rsid w:val="00D5025B"/>
    <w:rsid w:val="00D50AFF"/>
    <w:rsid w:val="00D50CBE"/>
    <w:rsid w:val="00D512DC"/>
    <w:rsid w:val="00D523C3"/>
    <w:rsid w:val="00D52B5B"/>
    <w:rsid w:val="00D52C14"/>
    <w:rsid w:val="00D537DA"/>
    <w:rsid w:val="00D53960"/>
    <w:rsid w:val="00D539A6"/>
    <w:rsid w:val="00D53F3D"/>
    <w:rsid w:val="00D54FD9"/>
    <w:rsid w:val="00D558C4"/>
    <w:rsid w:val="00D55D01"/>
    <w:rsid w:val="00D568A0"/>
    <w:rsid w:val="00D56E33"/>
    <w:rsid w:val="00D57019"/>
    <w:rsid w:val="00D57833"/>
    <w:rsid w:val="00D6092C"/>
    <w:rsid w:val="00D60BBD"/>
    <w:rsid w:val="00D60D42"/>
    <w:rsid w:val="00D61163"/>
    <w:rsid w:val="00D6144B"/>
    <w:rsid w:val="00D620D2"/>
    <w:rsid w:val="00D62894"/>
    <w:rsid w:val="00D62BD0"/>
    <w:rsid w:val="00D62F66"/>
    <w:rsid w:val="00D62FB8"/>
    <w:rsid w:val="00D63033"/>
    <w:rsid w:val="00D63233"/>
    <w:rsid w:val="00D64AAD"/>
    <w:rsid w:val="00D65E4F"/>
    <w:rsid w:val="00D6603B"/>
    <w:rsid w:val="00D66113"/>
    <w:rsid w:val="00D66F60"/>
    <w:rsid w:val="00D671D3"/>
    <w:rsid w:val="00D677D5"/>
    <w:rsid w:val="00D70778"/>
    <w:rsid w:val="00D70D74"/>
    <w:rsid w:val="00D70EFB"/>
    <w:rsid w:val="00D712D3"/>
    <w:rsid w:val="00D71422"/>
    <w:rsid w:val="00D7145E"/>
    <w:rsid w:val="00D71B75"/>
    <w:rsid w:val="00D72789"/>
    <w:rsid w:val="00D72985"/>
    <w:rsid w:val="00D72ED0"/>
    <w:rsid w:val="00D73376"/>
    <w:rsid w:val="00D7397A"/>
    <w:rsid w:val="00D73D78"/>
    <w:rsid w:val="00D73E27"/>
    <w:rsid w:val="00D74140"/>
    <w:rsid w:val="00D74A1F"/>
    <w:rsid w:val="00D74B5B"/>
    <w:rsid w:val="00D74C93"/>
    <w:rsid w:val="00D74F68"/>
    <w:rsid w:val="00D7514B"/>
    <w:rsid w:val="00D7558D"/>
    <w:rsid w:val="00D76232"/>
    <w:rsid w:val="00D7649A"/>
    <w:rsid w:val="00D76A3D"/>
    <w:rsid w:val="00D77A99"/>
    <w:rsid w:val="00D77B2C"/>
    <w:rsid w:val="00D77BCE"/>
    <w:rsid w:val="00D80440"/>
    <w:rsid w:val="00D80B8C"/>
    <w:rsid w:val="00D80C64"/>
    <w:rsid w:val="00D80C85"/>
    <w:rsid w:val="00D811FF"/>
    <w:rsid w:val="00D81C90"/>
    <w:rsid w:val="00D81D92"/>
    <w:rsid w:val="00D81F73"/>
    <w:rsid w:val="00D826A0"/>
    <w:rsid w:val="00D82760"/>
    <w:rsid w:val="00D82876"/>
    <w:rsid w:val="00D82EA8"/>
    <w:rsid w:val="00D838BE"/>
    <w:rsid w:val="00D83DD3"/>
    <w:rsid w:val="00D83FFE"/>
    <w:rsid w:val="00D84B2F"/>
    <w:rsid w:val="00D86402"/>
    <w:rsid w:val="00D86569"/>
    <w:rsid w:val="00D865A2"/>
    <w:rsid w:val="00D87346"/>
    <w:rsid w:val="00D87416"/>
    <w:rsid w:val="00D8763F"/>
    <w:rsid w:val="00D878CA"/>
    <w:rsid w:val="00D9040B"/>
    <w:rsid w:val="00D9087A"/>
    <w:rsid w:val="00D91047"/>
    <w:rsid w:val="00D912A6"/>
    <w:rsid w:val="00D9141D"/>
    <w:rsid w:val="00D915AB"/>
    <w:rsid w:val="00D91B1E"/>
    <w:rsid w:val="00D91D59"/>
    <w:rsid w:val="00D92374"/>
    <w:rsid w:val="00D93446"/>
    <w:rsid w:val="00D9382D"/>
    <w:rsid w:val="00D941FB"/>
    <w:rsid w:val="00D946AA"/>
    <w:rsid w:val="00D94D1C"/>
    <w:rsid w:val="00D94F44"/>
    <w:rsid w:val="00D9539C"/>
    <w:rsid w:val="00D95402"/>
    <w:rsid w:val="00D96245"/>
    <w:rsid w:val="00D975F8"/>
    <w:rsid w:val="00D978E5"/>
    <w:rsid w:val="00DA062D"/>
    <w:rsid w:val="00DA1520"/>
    <w:rsid w:val="00DA1F9E"/>
    <w:rsid w:val="00DA2A7C"/>
    <w:rsid w:val="00DA3005"/>
    <w:rsid w:val="00DA300A"/>
    <w:rsid w:val="00DA36AE"/>
    <w:rsid w:val="00DA40CF"/>
    <w:rsid w:val="00DA4E4E"/>
    <w:rsid w:val="00DA5ECF"/>
    <w:rsid w:val="00DA6AB3"/>
    <w:rsid w:val="00DA7151"/>
    <w:rsid w:val="00DA755B"/>
    <w:rsid w:val="00DA77AA"/>
    <w:rsid w:val="00DA7982"/>
    <w:rsid w:val="00DA79D0"/>
    <w:rsid w:val="00DA7B5F"/>
    <w:rsid w:val="00DB0D0C"/>
    <w:rsid w:val="00DB18A8"/>
    <w:rsid w:val="00DB1D14"/>
    <w:rsid w:val="00DB3050"/>
    <w:rsid w:val="00DB30EC"/>
    <w:rsid w:val="00DB3374"/>
    <w:rsid w:val="00DB4717"/>
    <w:rsid w:val="00DB486C"/>
    <w:rsid w:val="00DB4A1E"/>
    <w:rsid w:val="00DB4D80"/>
    <w:rsid w:val="00DB5B34"/>
    <w:rsid w:val="00DB5C3C"/>
    <w:rsid w:val="00DB6C6C"/>
    <w:rsid w:val="00DC07A4"/>
    <w:rsid w:val="00DC0818"/>
    <w:rsid w:val="00DC12A5"/>
    <w:rsid w:val="00DC174D"/>
    <w:rsid w:val="00DC2858"/>
    <w:rsid w:val="00DC28C0"/>
    <w:rsid w:val="00DC2F9D"/>
    <w:rsid w:val="00DC2FF2"/>
    <w:rsid w:val="00DC3121"/>
    <w:rsid w:val="00DC4839"/>
    <w:rsid w:val="00DC6453"/>
    <w:rsid w:val="00DC6D2C"/>
    <w:rsid w:val="00DC7597"/>
    <w:rsid w:val="00DC7693"/>
    <w:rsid w:val="00DC7F0B"/>
    <w:rsid w:val="00DD045E"/>
    <w:rsid w:val="00DD1E65"/>
    <w:rsid w:val="00DD2032"/>
    <w:rsid w:val="00DD2635"/>
    <w:rsid w:val="00DD2BE4"/>
    <w:rsid w:val="00DD2C54"/>
    <w:rsid w:val="00DD3406"/>
    <w:rsid w:val="00DD4B5B"/>
    <w:rsid w:val="00DD5501"/>
    <w:rsid w:val="00DD6D8F"/>
    <w:rsid w:val="00DD6DEF"/>
    <w:rsid w:val="00DD6F04"/>
    <w:rsid w:val="00DD759E"/>
    <w:rsid w:val="00DD7F29"/>
    <w:rsid w:val="00DE01CB"/>
    <w:rsid w:val="00DE0266"/>
    <w:rsid w:val="00DE0893"/>
    <w:rsid w:val="00DE16C3"/>
    <w:rsid w:val="00DE181C"/>
    <w:rsid w:val="00DE26A2"/>
    <w:rsid w:val="00DE3B4F"/>
    <w:rsid w:val="00DE3E14"/>
    <w:rsid w:val="00DE4162"/>
    <w:rsid w:val="00DE6249"/>
    <w:rsid w:val="00DE62F2"/>
    <w:rsid w:val="00DE69AC"/>
    <w:rsid w:val="00DE735D"/>
    <w:rsid w:val="00DE7417"/>
    <w:rsid w:val="00DE783D"/>
    <w:rsid w:val="00DE7D2E"/>
    <w:rsid w:val="00DF0585"/>
    <w:rsid w:val="00DF0F4C"/>
    <w:rsid w:val="00DF1CDD"/>
    <w:rsid w:val="00DF1DF9"/>
    <w:rsid w:val="00DF2FDC"/>
    <w:rsid w:val="00DF3130"/>
    <w:rsid w:val="00DF3A3C"/>
    <w:rsid w:val="00DF42A0"/>
    <w:rsid w:val="00DF472F"/>
    <w:rsid w:val="00DF498D"/>
    <w:rsid w:val="00DF4BDE"/>
    <w:rsid w:val="00DF5077"/>
    <w:rsid w:val="00DF56EC"/>
    <w:rsid w:val="00DF7793"/>
    <w:rsid w:val="00E0059C"/>
    <w:rsid w:val="00E01798"/>
    <w:rsid w:val="00E018BA"/>
    <w:rsid w:val="00E01B40"/>
    <w:rsid w:val="00E02360"/>
    <w:rsid w:val="00E023DF"/>
    <w:rsid w:val="00E052B0"/>
    <w:rsid w:val="00E067A6"/>
    <w:rsid w:val="00E068E0"/>
    <w:rsid w:val="00E06BAE"/>
    <w:rsid w:val="00E06DDE"/>
    <w:rsid w:val="00E06DE6"/>
    <w:rsid w:val="00E0702F"/>
    <w:rsid w:val="00E070DA"/>
    <w:rsid w:val="00E07187"/>
    <w:rsid w:val="00E0734B"/>
    <w:rsid w:val="00E0740A"/>
    <w:rsid w:val="00E079D8"/>
    <w:rsid w:val="00E11392"/>
    <w:rsid w:val="00E114A7"/>
    <w:rsid w:val="00E13D70"/>
    <w:rsid w:val="00E1451D"/>
    <w:rsid w:val="00E145B9"/>
    <w:rsid w:val="00E15130"/>
    <w:rsid w:val="00E15217"/>
    <w:rsid w:val="00E1542D"/>
    <w:rsid w:val="00E1578C"/>
    <w:rsid w:val="00E15F82"/>
    <w:rsid w:val="00E15FBA"/>
    <w:rsid w:val="00E16F9D"/>
    <w:rsid w:val="00E17683"/>
    <w:rsid w:val="00E2121C"/>
    <w:rsid w:val="00E22278"/>
    <w:rsid w:val="00E2284A"/>
    <w:rsid w:val="00E230FD"/>
    <w:rsid w:val="00E236F1"/>
    <w:rsid w:val="00E2398E"/>
    <w:rsid w:val="00E23A98"/>
    <w:rsid w:val="00E25A41"/>
    <w:rsid w:val="00E25BE4"/>
    <w:rsid w:val="00E25E7B"/>
    <w:rsid w:val="00E2673A"/>
    <w:rsid w:val="00E26F97"/>
    <w:rsid w:val="00E26FCD"/>
    <w:rsid w:val="00E272A4"/>
    <w:rsid w:val="00E27AA4"/>
    <w:rsid w:val="00E27DC6"/>
    <w:rsid w:val="00E30281"/>
    <w:rsid w:val="00E30994"/>
    <w:rsid w:val="00E314FA"/>
    <w:rsid w:val="00E31AAE"/>
    <w:rsid w:val="00E32FE3"/>
    <w:rsid w:val="00E3317B"/>
    <w:rsid w:val="00E33181"/>
    <w:rsid w:val="00E337D9"/>
    <w:rsid w:val="00E3386F"/>
    <w:rsid w:val="00E33E64"/>
    <w:rsid w:val="00E3405C"/>
    <w:rsid w:val="00E3533B"/>
    <w:rsid w:val="00E3622A"/>
    <w:rsid w:val="00E364C4"/>
    <w:rsid w:val="00E37292"/>
    <w:rsid w:val="00E3757F"/>
    <w:rsid w:val="00E37980"/>
    <w:rsid w:val="00E40AEA"/>
    <w:rsid w:val="00E40CC9"/>
    <w:rsid w:val="00E41133"/>
    <w:rsid w:val="00E41E9F"/>
    <w:rsid w:val="00E42994"/>
    <w:rsid w:val="00E42C74"/>
    <w:rsid w:val="00E43157"/>
    <w:rsid w:val="00E43212"/>
    <w:rsid w:val="00E4390D"/>
    <w:rsid w:val="00E43C54"/>
    <w:rsid w:val="00E43C96"/>
    <w:rsid w:val="00E43E39"/>
    <w:rsid w:val="00E44853"/>
    <w:rsid w:val="00E44961"/>
    <w:rsid w:val="00E45D29"/>
    <w:rsid w:val="00E461F9"/>
    <w:rsid w:val="00E46307"/>
    <w:rsid w:val="00E477E8"/>
    <w:rsid w:val="00E4781D"/>
    <w:rsid w:val="00E47E00"/>
    <w:rsid w:val="00E50136"/>
    <w:rsid w:val="00E508A0"/>
    <w:rsid w:val="00E51067"/>
    <w:rsid w:val="00E52427"/>
    <w:rsid w:val="00E524D4"/>
    <w:rsid w:val="00E533FF"/>
    <w:rsid w:val="00E53BD8"/>
    <w:rsid w:val="00E53DC6"/>
    <w:rsid w:val="00E53E5E"/>
    <w:rsid w:val="00E54100"/>
    <w:rsid w:val="00E54CE4"/>
    <w:rsid w:val="00E54EF8"/>
    <w:rsid w:val="00E54EF9"/>
    <w:rsid w:val="00E56125"/>
    <w:rsid w:val="00E56477"/>
    <w:rsid w:val="00E57833"/>
    <w:rsid w:val="00E57AC6"/>
    <w:rsid w:val="00E57B6B"/>
    <w:rsid w:val="00E57ECF"/>
    <w:rsid w:val="00E608CA"/>
    <w:rsid w:val="00E61067"/>
    <w:rsid w:val="00E61DC3"/>
    <w:rsid w:val="00E61FC3"/>
    <w:rsid w:val="00E62965"/>
    <w:rsid w:val="00E62BF1"/>
    <w:rsid w:val="00E6356C"/>
    <w:rsid w:val="00E6364D"/>
    <w:rsid w:val="00E63B98"/>
    <w:rsid w:val="00E64645"/>
    <w:rsid w:val="00E64863"/>
    <w:rsid w:val="00E648F3"/>
    <w:rsid w:val="00E64AF6"/>
    <w:rsid w:val="00E64B8B"/>
    <w:rsid w:val="00E64E6F"/>
    <w:rsid w:val="00E64FF5"/>
    <w:rsid w:val="00E654A2"/>
    <w:rsid w:val="00E65711"/>
    <w:rsid w:val="00E65CB4"/>
    <w:rsid w:val="00E661FD"/>
    <w:rsid w:val="00E6703B"/>
    <w:rsid w:val="00E67CBA"/>
    <w:rsid w:val="00E709B3"/>
    <w:rsid w:val="00E70B54"/>
    <w:rsid w:val="00E711AB"/>
    <w:rsid w:val="00E7126F"/>
    <w:rsid w:val="00E71410"/>
    <w:rsid w:val="00E7193A"/>
    <w:rsid w:val="00E71B41"/>
    <w:rsid w:val="00E71E57"/>
    <w:rsid w:val="00E71E89"/>
    <w:rsid w:val="00E71FD7"/>
    <w:rsid w:val="00E72FFF"/>
    <w:rsid w:val="00E74123"/>
    <w:rsid w:val="00E74177"/>
    <w:rsid w:val="00E753FA"/>
    <w:rsid w:val="00E75440"/>
    <w:rsid w:val="00E75F13"/>
    <w:rsid w:val="00E7676B"/>
    <w:rsid w:val="00E767BD"/>
    <w:rsid w:val="00E76C84"/>
    <w:rsid w:val="00E76CBC"/>
    <w:rsid w:val="00E76E80"/>
    <w:rsid w:val="00E7739E"/>
    <w:rsid w:val="00E774E4"/>
    <w:rsid w:val="00E807AA"/>
    <w:rsid w:val="00E80E83"/>
    <w:rsid w:val="00E81771"/>
    <w:rsid w:val="00E81A3E"/>
    <w:rsid w:val="00E82CCD"/>
    <w:rsid w:val="00E82F32"/>
    <w:rsid w:val="00E830CC"/>
    <w:rsid w:val="00E833E9"/>
    <w:rsid w:val="00E833FA"/>
    <w:rsid w:val="00E83848"/>
    <w:rsid w:val="00E83A17"/>
    <w:rsid w:val="00E855B5"/>
    <w:rsid w:val="00E8617F"/>
    <w:rsid w:val="00E86ABD"/>
    <w:rsid w:val="00E86E84"/>
    <w:rsid w:val="00E86EAF"/>
    <w:rsid w:val="00E87515"/>
    <w:rsid w:val="00E87739"/>
    <w:rsid w:val="00E8789F"/>
    <w:rsid w:val="00E900EB"/>
    <w:rsid w:val="00E908CF"/>
    <w:rsid w:val="00E91BE2"/>
    <w:rsid w:val="00E920D0"/>
    <w:rsid w:val="00E92215"/>
    <w:rsid w:val="00E92993"/>
    <w:rsid w:val="00E92E80"/>
    <w:rsid w:val="00E9316D"/>
    <w:rsid w:val="00E93A25"/>
    <w:rsid w:val="00E93BDB"/>
    <w:rsid w:val="00E94203"/>
    <w:rsid w:val="00E94D19"/>
    <w:rsid w:val="00E94E3D"/>
    <w:rsid w:val="00E961D0"/>
    <w:rsid w:val="00E96942"/>
    <w:rsid w:val="00E978C5"/>
    <w:rsid w:val="00E97B71"/>
    <w:rsid w:val="00EA01E7"/>
    <w:rsid w:val="00EA077D"/>
    <w:rsid w:val="00EA0836"/>
    <w:rsid w:val="00EA1283"/>
    <w:rsid w:val="00EA26BA"/>
    <w:rsid w:val="00EA48EC"/>
    <w:rsid w:val="00EA4EB1"/>
    <w:rsid w:val="00EA4F82"/>
    <w:rsid w:val="00EA5A04"/>
    <w:rsid w:val="00EA5FE2"/>
    <w:rsid w:val="00EA603E"/>
    <w:rsid w:val="00EA6A6E"/>
    <w:rsid w:val="00EA70E0"/>
    <w:rsid w:val="00EA7448"/>
    <w:rsid w:val="00EA7F95"/>
    <w:rsid w:val="00EB01F4"/>
    <w:rsid w:val="00EB0252"/>
    <w:rsid w:val="00EB15FF"/>
    <w:rsid w:val="00EB1630"/>
    <w:rsid w:val="00EB18F6"/>
    <w:rsid w:val="00EB1CAE"/>
    <w:rsid w:val="00EB1D83"/>
    <w:rsid w:val="00EB24D7"/>
    <w:rsid w:val="00EB2ED9"/>
    <w:rsid w:val="00EB394F"/>
    <w:rsid w:val="00EB4080"/>
    <w:rsid w:val="00EB4249"/>
    <w:rsid w:val="00EB454D"/>
    <w:rsid w:val="00EB454F"/>
    <w:rsid w:val="00EB4B7E"/>
    <w:rsid w:val="00EB51DC"/>
    <w:rsid w:val="00EB51EA"/>
    <w:rsid w:val="00EB55C1"/>
    <w:rsid w:val="00EB5B7A"/>
    <w:rsid w:val="00EB6170"/>
    <w:rsid w:val="00EB62D9"/>
    <w:rsid w:val="00EB6B06"/>
    <w:rsid w:val="00EB7A72"/>
    <w:rsid w:val="00EB7F0A"/>
    <w:rsid w:val="00EC0BA4"/>
    <w:rsid w:val="00EC112E"/>
    <w:rsid w:val="00EC20C2"/>
    <w:rsid w:val="00EC2AAD"/>
    <w:rsid w:val="00EC31F9"/>
    <w:rsid w:val="00EC36F6"/>
    <w:rsid w:val="00EC437D"/>
    <w:rsid w:val="00EC440C"/>
    <w:rsid w:val="00EC45C1"/>
    <w:rsid w:val="00EC5123"/>
    <w:rsid w:val="00EC514D"/>
    <w:rsid w:val="00EC5570"/>
    <w:rsid w:val="00EC59D9"/>
    <w:rsid w:val="00EC68B2"/>
    <w:rsid w:val="00EC6931"/>
    <w:rsid w:val="00EC6F2B"/>
    <w:rsid w:val="00EC703E"/>
    <w:rsid w:val="00EC714E"/>
    <w:rsid w:val="00EC74EB"/>
    <w:rsid w:val="00EC7C31"/>
    <w:rsid w:val="00ED0268"/>
    <w:rsid w:val="00ED04F8"/>
    <w:rsid w:val="00ED0E31"/>
    <w:rsid w:val="00ED0F40"/>
    <w:rsid w:val="00ED1405"/>
    <w:rsid w:val="00ED147C"/>
    <w:rsid w:val="00ED18FD"/>
    <w:rsid w:val="00ED19E9"/>
    <w:rsid w:val="00ED25DA"/>
    <w:rsid w:val="00ED2A53"/>
    <w:rsid w:val="00ED2D1D"/>
    <w:rsid w:val="00ED3A8E"/>
    <w:rsid w:val="00ED3AB2"/>
    <w:rsid w:val="00ED5284"/>
    <w:rsid w:val="00ED52B0"/>
    <w:rsid w:val="00ED5300"/>
    <w:rsid w:val="00ED56AB"/>
    <w:rsid w:val="00ED5BE1"/>
    <w:rsid w:val="00EE04C1"/>
    <w:rsid w:val="00EE0BA9"/>
    <w:rsid w:val="00EE0CB0"/>
    <w:rsid w:val="00EE0D3E"/>
    <w:rsid w:val="00EE140F"/>
    <w:rsid w:val="00EE2931"/>
    <w:rsid w:val="00EE2BD2"/>
    <w:rsid w:val="00EE2F9F"/>
    <w:rsid w:val="00EE3522"/>
    <w:rsid w:val="00EE36D7"/>
    <w:rsid w:val="00EE39AD"/>
    <w:rsid w:val="00EE4E4B"/>
    <w:rsid w:val="00EE5C5E"/>
    <w:rsid w:val="00EE5D7E"/>
    <w:rsid w:val="00EE5E58"/>
    <w:rsid w:val="00EE7718"/>
    <w:rsid w:val="00EF04A0"/>
    <w:rsid w:val="00EF0CEF"/>
    <w:rsid w:val="00EF2493"/>
    <w:rsid w:val="00EF2BCD"/>
    <w:rsid w:val="00EF36AC"/>
    <w:rsid w:val="00EF4804"/>
    <w:rsid w:val="00EF49F0"/>
    <w:rsid w:val="00EF4C4E"/>
    <w:rsid w:val="00EF4EC3"/>
    <w:rsid w:val="00EF56CE"/>
    <w:rsid w:val="00EF5839"/>
    <w:rsid w:val="00EF5AA9"/>
    <w:rsid w:val="00EF619B"/>
    <w:rsid w:val="00EF620A"/>
    <w:rsid w:val="00EF6972"/>
    <w:rsid w:val="00EF7231"/>
    <w:rsid w:val="00EF78C3"/>
    <w:rsid w:val="00EF7FC5"/>
    <w:rsid w:val="00F001CA"/>
    <w:rsid w:val="00F005EE"/>
    <w:rsid w:val="00F00B55"/>
    <w:rsid w:val="00F0235E"/>
    <w:rsid w:val="00F02586"/>
    <w:rsid w:val="00F03705"/>
    <w:rsid w:val="00F04AFE"/>
    <w:rsid w:val="00F059CF"/>
    <w:rsid w:val="00F06961"/>
    <w:rsid w:val="00F1005F"/>
    <w:rsid w:val="00F10CE6"/>
    <w:rsid w:val="00F11242"/>
    <w:rsid w:val="00F1129E"/>
    <w:rsid w:val="00F1188B"/>
    <w:rsid w:val="00F11EF1"/>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27E6"/>
    <w:rsid w:val="00F2328B"/>
    <w:rsid w:val="00F23C27"/>
    <w:rsid w:val="00F2435F"/>
    <w:rsid w:val="00F24C29"/>
    <w:rsid w:val="00F253CC"/>
    <w:rsid w:val="00F25C31"/>
    <w:rsid w:val="00F267BE"/>
    <w:rsid w:val="00F267E4"/>
    <w:rsid w:val="00F26B0B"/>
    <w:rsid w:val="00F27458"/>
    <w:rsid w:val="00F277DB"/>
    <w:rsid w:val="00F27ACD"/>
    <w:rsid w:val="00F27C08"/>
    <w:rsid w:val="00F27CD8"/>
    <w:rsid w:val="00F27CFD"/>
    <w:rsid w:val="00F27F00"/>
    <w:rsid w:val="00F311E2"/>
    <w:rsid w:val="00F31814"/>
    <w:rsid w:val="00F32262"/>
    <w:rsid w:val="00F3379A"/>
    <w:rsid w:val="00F34265"/>
    <w:rsid w:val="00F345AF"/>
    <w:rsid w:val="00F34A7E"/>
    <w:rsid w:val="00F35C2A"/>
    <w:rsid w:val="00F35E2A"/>
    <w:rsid w:val="00F36C33"/>
    <w:rsid w:val="00F36D40"/>
    <w:rsid w:val="00F36F27"/>
    <w:rsid w:val="00F37481"/>
    <w:rsid w:val="00F377BE"/>
    <w:rsid w:val="00F37F99"/>
    <w:rsid w:val="00F40B92"/>
    <w:rsid w:val="00F4139C"/>
    <w:rsid w:val="00F41A44"/>
    <w:rsid w:val="00F427E6"/>
    <w:rsid w:val="00F434F9"/>
    <w:rsid w:val="00F438CD"/>
    <w:rsid w:val="00F441B9"/>
    <w:rsid w:val="00F45EBF"/>
    <w:rsid w:val="00F46107"/>
    <w:rsid w:val="00F46498"/>
    <w:rsid w:val="00F503B5"/>
    <w:rsid w:val="00F50844"/>
    <w:rsid w:val="00F50CCD"/>
    <w:rsid w:val="00F516D3"/>
    <w:rsid w:val="00F51F0D"/>
    <w:rsid w:val="00F545AC"/>
    <w:rsid w:val="00F54873"/>
    <w:rsid w:val="00F548A6"/>
    <w:rsid w:val="00F5497B"/>
    <w:rsid w:val="00F54F56"/>
    <w:rsid w:val="00F55507"/>
    <w:rsid w:val="00F55F3B"/>
    <w:rsid w:val="00F566C6"/>
    <w:rsid w:val="00F5694D"/>
    <w:rsid w:val="00F56A40"/>
    <w:rsid w:val="00F56BA5"/>
    <w:rsid w:val="00F56BE1"/>
    <w:rsid w:val="00F56D59"/>
    <w:rsid w:val="00F57538"/>
    <w:rsid w:val="00F57731"/>
    <w:rsid w:val="00F6022A"/>
    <w:rsid w:val="00F60E01"/>
    <w:rsid w:val="00F6108F"/>
    <w:rsid w:val="00F61379"/>
    <w:rsid w:val="00F6160F"/>
    <w:rsid w:val="00F61B4C"/>
    <w:rsid w:val="00F61BE4"/>
    <w:rsid w:val="00F62179"/>
    <w:rsid w:val="00F6255A"/>
    <w:rsid w:val="00F629C7"/>
    <w:rsid w:val="00F62C42"/>
    <w:rsid w:val="00F6351B"/>
    <w:rsid w:val="00F637BF"/>
    <w:rsid w:val="00F644E6"/>
    <w:rsid w:val="00F652F0"/>
    <w:rsid w:val="00F6589A"/>
    <w:rsid w:val="00F666B5"/>
    <w:rsid w:val="00F66BDC"/>
    <w:rsid w:val="00F70342"/>
    <w:rsid w:val="00F71643"/>
    <w:rsid w:val="00F71982"/>
    <w:rsid w:val="00F71F53"/>
    <w:rsid w:val="00F72247"/>
    <w:rsid w:val="00F724F3"/>
    <w:rsid w:val="00F725D1"/>
    <w:rsid w:val="00F72B58"/>
    <w:rsid w:val="00F737D9"/>
    <w:rsid w:val="00F7392C"/>
    <w:rsid w:val="00F746CA"/>
    <w:rsid w:val="00F74B0B"/>
    <w:rsid w:val="00F75A39"/>
    <w:rsid w:val="00F769C7"/>
    <w:rsid w:val="00F7730A"/>
    <w:rsid w:val="00F7784C"/>
    <w:rsid w:val="00F77995"/>
    <w:rsid w:val="00F77BFA"/>
    <w:rsid w:val="00F77E6F"/>
    <w:rsid w:val="00F820EF"/>
    <w:rsid w:val="00F8244B"/>
    <w:rsid w:val="00F82683"/>
    <w:rsid w:val="00F83D11"/>
    <w:rsid w:val="00F849BF"/>
    <w:rsid w:val="00F857F6"/>
    <w:rsid w:val="00F867F6"/>
    <w:rsid w:val="00F86ACE"/>
    <w:rsid w:val="00F86E36"/>
    <w:rsid w:val="00F86EE8"/>
    <w:rsid w:val="00F87374"/>
    <w:rsid w:val="00F87A9A"/>
    <w:rsid w:val="00F902BF"/>
    <w:rsid w:val="00F91540"/>
    <w:rsid w:val="00F916AC"/>
    <w:rsid w:val="00F929C3"/>
    <w:rsid w:val="00F92CA1"/>
    <w:rsid w:val="00F93826"/>
    <w:rsid w:val="00F9653B"/>
    <w:rsid w:val="00F968E5"/>
    <w:rsid w:val="00F977ED"/>
    <w:rsid w:val="00F97B89"/>
    <w:rsid w:val="00F97D53"/>
    <w:rsid w:val="00FA01C8"/>
    <w:rsid w:val="00FA081A"/>
    <w:rsid w:val="00FA1759"/>
    <w:rsid w:val="00FA1ADA"/>
    <w:rsid w:val="00FA21FC"/>
    <w:rsid w:val="00FA2245"/>
    <w:rsid w:val="00FA2C02"/>
    <w:rsid w:val="00FA2C1D"/>
    <w:rsid w:val="00FA310E"/>
    <w:rsid w:val="00FA33B5"/>
    <w:rsid w:val="00FA359A"/>
    <w:rsid w:val="00FA3A17"/>
    <w:rsid w:val="00FA3BDF"/>
    <w:rsid w:val="00FA5E83"/>
    <w:rsid w:val="00FA63CD"/>
    <w:rsid w:val="00FA73EB"/>
    <w:rsid w:val="00FA773D"/>
    <w:rsid w:val="00FA7982"/>
    <w:rsid w:val="00FA7CCD"/>
    <w:rsid w:val="00FB0135"/>
    <w:rsid w:val="00FB0E27"/>
    <w:rsid w:val="00FB0F94"/>
    <w:rsid w:val="00FB1A16"/>
    <w:rsid w:val="00FB1A3C"/>
    <w:rsid w:val="00FB2597"/>
    <w:rsid w:val="00FB3C92"/>
    <w:rsid w:val="00FB49E0"/>
    <w:rsid w:val="00FB4EE9"/>
    <w:rsid w:val="00FB62CF"/>
    <w:rsid w:val="00FB74A8"/>
    <w:rsid w:val="00FC052E"/>
    <w:rsid w:val="00FC07EE"/>
    <w:rsid w:val="00FC084F"/>
    <w:rsid w:val="00FC13F0"/>
    <w:rsid w:val="00FC1E3D"/>
    <w:rsid w:val="00FC28E6"/>
    <w:rsid w:val="00FC2B57"/>
    <w:rsid w:val="00FC3262"/>
    <w:rsid w:val="00FC3283"/>
    <w:rsid w:val="00FC3E0A"/>
    <w:rsid w:val="00FC3EB4"/>
    <w:rsid w:val="00FC4AB2"/>
    <w:rsid w:val="00FC544A"/>
    <w:rsid w:val="00FC5458"/>
    <w:rsid w:val="00FC6C58"/>
    <w:rsid w:val="00FC70D7"/>
    <w:rsid w:val="00FC77D2"/>
    <w:rsid w:val="00FC78B0"/>
    <w:rsid w:val="00FD1863"/>
    <w:rsid w:val="00FD1C8A"/>
    <w:rsid w:val="00FD1DD0"/>
    <w:rsid w:val="00FD279F"/>
    <w:rsid w:val="00FD3BD1"/>
    <w:rsid w:val="00FD3E3D"/>
    <w:rsid w:val="00FD4E87"/>
    <w:rsid w:val="00FD5518"/>
    <w:rsid w:val="00FD56CC"/>
    <w:rsid w:val="00FD635E"/>
    <w:rsid w:val="00FD6361"/>
    <w:rsid w:val="00FD6B02"/>
    <w:rsid w:val="00FD71F0"/>
    <w:rsid w:val="00FD746F"/>
    <w:rsid w:val="00FE09CA"/>
    <w:rsid w:val="00FE144F"/>
    <w:rsid w:val="00FE157F"/>
    <w:rsid w:val="00FE1C4E"/>
    <w:rsid w:val="00FE1EAD"/>
    <w:rsid w:val="00FE21AB"/>
    <w:rsid w:val="00FE25F4"/>
    <w:rsid w:val="00FE3CC4"/>
    <w:rsid w:val="00FE3CEC"/>
    <w:rsid w:val="00FE40DE"/>
    <w:rsid w:val="00FE4DAB"/>
    <w:rsid w:val="00FE5494"/>
    <w:rsid w:val="00FE5C4B"/>
    <w:rsid w:val="00FE606F"/>
    <w:rsid w:val="00FE6A5A"/>
    <w:rsid w:val="00FE6B45"/>
    <w:rsid w:val="00FE6B58"/>
    <w:rsid w:val="00FE6EBC"/>
    <w:rsid w:val="00FE6F98"/>
    <w:rsid w:val="00FE769E"/>
    <w:rsid w:val="00FF0184"/>
    <w:rsid w:val="00FF05BC"/>
    <w:rsid w:val="00FF0651"/>
    <w:rsid w:val="00FF19BA"/>
    <w:rsid w:val="00FF1B45"/>
    <w:rsid w:val="00FF1B5F"/>
    <w:rsid w:val="00FF1C0D"/>
    <w:rsid w:val="00FF1C1C"/>
    <w:rsid w:val="00FF379A"/>
    <w:rsid w:val="00FF3FB7"/>
    <w:rsid w:val="00FF46E3"/>
    <w:rsid w:val="00FF4B22"/>
    <w:rsid w:val="00FF4FE6"/>
    <w:rsid w:val="00FF5724"/>
    <w:rsid w:val="00FF5851"/>
    <w:rsid w:val="00FF6B34"/>
    <w:rsid w:val="00FF6C89"/>
    <w:rsid w:val="00FF7145"/>
    <w:rsid w:val="00FF7535"/>
    <w:rsid w:val="00FF7650"/>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65A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65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36AE"/>
    <w:rPr>
      <w:u w:val="single"/>
    </w:rPr>
  </w:style>
  <w:style w:type="paragraph" w:customStyle="1" w:styleId="Cabeceraypie">
    <w:name w:val="Cabecera y pie"/>
    <w:rsid w:val="00DA36AE"/>
    <w:pPr>
      <w:tabs>
        <w:tab w:val="right" w:pos="9020"/>
      </w:tabs>
    </w:pPr>
    <w:rPr>
      <w:rFonts w:ascii="Helvetica" w:hAnsi="Arial Unicode MS" w:cs="Arial Unicode MS"/>
      <w:color w:val="000000"/>
      <w:sz w:val="24"/>
      <w:szCs w:val="24"/>
    </w:rPr>
  </w:style>
  <w:style w:type="paragraph" w:styleId="Footer">
    <w:name w:val="footer"/>
    <w:link w:val="FooterChar"/>
    <w:uiPriority w:val="99"/>
    <w:rsid w:val="00DA36AE"/>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DA36AE"/>
    <w:rPr>
      <w:rFonts w:ascii="Cambria" w:eastAsia="Cambria" w:hAnsi="Cambria" w:cs="Cambria"/>
      <w:color w:val="000000"/>
      <w:sz w:val="24"/>
      <w:szCs w:val="24"/>
      <w:u w:color="000000"/>
    </w:rPr>
  </w:style>
  <w:style w:type="paragraph" w:styleId="BodyTextIndent">
    <w:name w:val="Body Text Indent"/>
    <w:rsid w:val="00DA36AE"/>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DA36AE"/>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DA36AE"/>
    <w:pPr>
      <w:numPr>
        <w:numId w:val="31"/>
      </w:numPr>
    </w:pPr>
  </w:style>
  <w:style w:type="numbering" w:customStyle="1" w:styleId="Estiloimportado1">
    <w:name w:val="Estilo importado 1"/>
    <w:rsid w:val="00DA36AE"/>
  </w:style>
  <w:style w:type="numbering" w:customStyle="1" w:styleId="List1">
    <w:name w:val="List 1"/>
    <w:basedOn w:val="Estiloimportado2"/>
    <w:rsid w:val="00DA36AE"/>
    <w:pPr>
      <w:numPr>
        <w:numId w:val="1"/>
      </w:numPr>
    </w:pPr>
  </w:style>
  <w:style w:type="numbering" w:customStyle="1" w:styleId="Estiloimportado2">
    <w:name w:val="Estilo importado 2"/>
    <w:rsid w:val="00DA36AE"/>
  </w:style>
  <w:style w:type="numbering" w:customStyle="1" w:styleId="List210">
    <w:name w:val="List 21"/>
    <w:basedOn w:val="Estiloimportado3"/>
    <w:rsid w:val="00DA36AE"/>
    <w:pPr>
      <w:numPr>
        <w:numId w:val="52"/>
      </w:numPr>
    </w:pPr>
  </w:style>
  <w:style w:type="numbering" w:customStyle="1" w:styleId="Estiloimportado3">
    <w:name w:val="Estilo importado 3"/>
    <w:rsid w:val="00DA36AE"/>
  </w:style>
  <w:style w:type="numbering" w:customStyle="1" w:styleId="List31">
    <w:name w:val="List 31"/>
    <w:basedOn w:val="Estiloimportado4"/>
    <w:rsid w:val="00DA36AE"/>
    <w:pPr>
      <w:numPr>
        <w:numId w:val="51"/>
      </w:numPr>
    </w:pPr>
  </w:style>
  <w:style w:type="numbering" w:customStyle="1" w:styleId="Estiloimportado4">
    <w:name w:val="Estilo importado 4"/>
    <w:rsid w:val="00DA36AE"/>
  </w:style>
  <w:style w:type="numbering" w:customStyle="1" w:styleId="List41">
    <w:name w:val="List 41"/>
    <w:basedOn w:val="Estiloimportado5"/>
    <w:rsid w:val="00DA36AE"/>
    <w:pPr>
      <w:numPr>
        <w:numId w:val="2"/>
      </w:numPr>
    </w:pPr>
  </w:style>
  <w:style w:type="numbering" w:customStyle="1" w:styleId="Estiloimportado5">
    <w:name w:val="Estilo importado 5"/>
    <w:rsid w:val="00DA36AE"/>
  </w:style>
  <w:style w:type="numbering" w:customStyle="1" w:styleId="List510">
    <w:name w:val="List 51"/>
    <w:basedOn w:val="Estiloimportado6"/>
    <w:rsid w:val="00DA36AE"/>
    <w:pPr>
      <w:numPr>
        <w:numId w:val="54"/>
      </w:numPr>
    </w:pPr>
  </w:style>
  <w:style w:type="numbering" w:customStyle="1" w:styleId="Estiloimportado6">
    <w:name w:val="Estilo importado 6"/>
    <w:rsid w:val="00DA36AE"/>
  </w:style>
  <w:style w:type="numbering" w:customStyle="1" w:styleId="List6">
    <w:name w:val="List 6"/>
    <w:basedOn w:val="Estiloimportado7"/>
    <w:rsid w:val="00DA36AE"/>
    <w:pPr>
      <w:numPr>
        <w:numId w:val="3"/>
      </w:numPr>
    </w:pPr>
  </w:style>
  <w:style w:type="numbering" w:customStyle="1" w:styleId="Estiloimportado7">
    <w:name w:val="Estilo importado 7"/>
    <w:rsid w:val="00DA36AE"/>
  </w:style>
  <w:style w:type="numbering" w:customStyle="1" w:styleId="List7">
    <w:name w:val="List 7"/>
    <w:basedOn w:val="Estiloimportado8"/>
    <w:rsid w:val="00DA36AE"/>
    <w:pPr>
      <w:numPr>
        <w:numId w:val="4"/>
      </w:numPr>
    </w:pPr>
  </w:style>
  <w:style w:type="numbering" w:customStyle="1" w:styleId="Estiloimportado8">
    <w:name w:val="Estilo importado 8"/>
    <w:rsid w:val="00DA36AE"/>
  </w:style>
  <w:style w:type="numbering" w:customStyle="1" w:styleId="List8">
    <w:name w:val="List 8"/>
    <w:basedOn w:val="Estiloimportado9"/>
    <w:rsid w:val="00DA36AE"/>
    <w:pPr>
      <w:numPr>
        <w:numId w:val="5"/>
      </w:numPr>
    </w:pPr>
  </w:style>
  <w:style w:type="numbering" w:customStyle="1" w:styleId="Estiloimportado9">
    <w:name w:val="Estilo importado 9"/>
    <w:rsid w:val="00DA36AE"/>
  </w:style>
  <w:style w:type="numbering" w:customStyle="1" w:styleId="List9">
    <w:name w:val="List 9"/>
    <w:basedOn w:val="Estiloimportado10"/>
    <w:rsid w:val="00DA36AE"/>
    <w:pPr>
      <w:numPr>
        <w:numId w:val="22"/>
      </w:numPr>
    </w:pPr>
  </w:style>
  <w:style w:type="numbering" w:customStyle="1" w:styleId="Estiloimportado10">
    <w:name w:val="Estilo importado 10"/>
    <w:rsid w:val="00DA36AE"/>
  </w:style>
  <w:style w:type="numbering" w:customStyle="1" w:styleId="List10">
    <w:name w:val="List 10"/>
    <w:basedOn w:val="Estiloimportado11"/>
    <w:rsid w:val="00DA36AE"/>
    <w:pPr>
      <w:numPr>
        <w:numId w:val="6"/>
      </w:numPr>
    </w:pPr>
  </w:style>
  <w:style w:type="numbering" w:customStyle="1" w:styleId="Estiloimportado11">
    <w:name w:val="Estilo importado 11"/>
    <w:rsid w:val="00DA36AE"/>
  </w:style>
  <w:style w:type="numbering" w:customStyle="1" w:styleId="List11">
    <w:name w:val="List 11"/>
    <w:basedOn w:val="Estiloimportado12"/>
    <w:rsid w:val="00DA36AE"/>
    <w:pPr>
      <w:numPr>
        <w:numId w:val="7"/>
      </w:numPr>
    </w:pPr>
  </w:style>
  <w:style w:type="numbering" w:customStyle="1" w:styleId="Estiloimportado12">
    <w:name w:val="Estilo importado 12"/>
    <w:rsid w:val="00DA36AE"/>
  </w:style>
  <w:style w:type="numbering" w:customStyle="1" w:styleId="List12">
    <w:name w:val="List 12"/>
    <w:basedOn w:val="Estiloimportado13"/>
    <w:rsid w:val="00DA36AE"/>
    <w:pPr>
      <w:numPr>
        <w:numId w:val="36"/>
      </w:numPr>
    </w:pPr>
  </w:style>
  <w:style w:type="numbering" w:customStyle="1" w:styleId="Estiloimportado13">
    <w:name w:val="Estilo importado 13"/>
    <w:rsid w:val="00DA36AE"/>
  </w:style>
  <w:style w:type="numbering" w:customStyle="1" w:styleId="List13">
    <w:name w:val="List 13"/>
    <w:basedOn w:val="Estiloimportado14"/>
    <w:rsid w:val="00DA36AE"/>
    <w:pPr>
      <w:numPr>
        <w:numId w:val="42"/>
      </w:numPr>
    </w:pPr>
  </w:style>
  <w:style w:type="numbering" w:customStyle="1" w:styleId="Estiloimportado14">
    <w:name w:val="Estilo importado 14"/>
    <w:rsid w:val="00DA36AE"/>
  </w:style>
  <w:style w:type="numbering" w:customStyle="1" w:styleId="List14">
    <w:name w:val="List 14"/>
    <w:basedOn w:val="Estiloimportado15"/>
    <w:rsid w:val="00DA36AE"/>
    <w:pPr>
      <w:numPr>
        <w:numId w:val="17"/>
      </w:numPr>
    </w:pPr>
  </w:style>
  <w:style w:type="numbering" w:customStyle="1" w:styleId="Estiloimportado15">
    <w:name w:val="Estilo importado 15"/>
    <w:rsid w:val="00DA36AE"/>
  </w:style>
  <w:style w:type="numbering" w:customStyle="1" w:styleId="List15">
    <w:name w:val="List 15"/>
    <w:basedOn w:val="Estiloimportado16"/>
    <w:rsid w:val="00DA36AE"/>
    <w:pPr>
      <w:numPr>
        <w:numId w:val="16"/>
      </w:numPr>
    </w:pPr>
  </w:style>
  <w:style w:type="numbering" w:customStyle="1" w:styleId="Estiloimportado16">
    <w:name w:val="Estilo importado 16"/>
    <w:rsid w:val="00DA36AE"/>
  </w:style>
  <w:style w:type="numbering" w:customStyle="1" w:styleId="List16">
    <w:name w:val="List 16"/>
    <w:basedOn w:val="Estiloimportado16"/>
    <w:rsid w:val="00DA36AE"/>
    <w:pPr>
      <w:numPr>
        <w:numId w:val="10"/>
      </w:numPr>
    </w:pPr>
  </w:style>
  <w:style w:type="numbering" w:customStyle="1" w:styleId="List17">
    <w:name w:val="List 17"/>
    <w:basedOn w:val="Estiloimportado17"/>
    <w:rsid w:val="00DA36AE"/>
    <w:pPr>
      <w:numPr>
        <w:numId w:val="25"/>
      </w:numPr>
    </w:pPr>
  </w:style>
  <w:style w:type="numbering" w:customStyle="1" w:styleId="Estiloimportado17">
    <w:name w:val="Estilo importado 17"/>
    <w:rsid w:val="00DA36AE"/>
  </w:style>
  <w:style w:type="numbering" w:customStyle="1" w:styleId="List18">
    <w:name w:val="List 18"/>
    <w:basedOn w:val="Estiloimportado18"/>
    <w:rsid w:val="00DA36AE"/>
    <w:pPr>
      <w:numPr>
        <w:numId w:val="27"/>
      </w:numPr>
    </w:pPr>
  </w:style>
  <w:style w:type="numbering" w:customStyle="1" w:styleId="Estiloimportado18">
    <w:name w:val="Estilo importado 18"/>
    <w:rsid w:val="00DA36AE"/>
  </w:style>
  <w:style w:type="numbering" w:customStyle="1" w:styleId="List19">
    <w:name w:val="List 19"/>
    <w:basedOn w:val="Estiloimportado10"/>
    <w:rsid w:val="00DA36AE"/>
    <w:pPr>
      <w:numPr>
        <w:numId w:val="19"/>
      </w:numPr>
    </w:pPr>
  </w:style>
  <w:style w:type="numbering" w:customStyle="1" w:styleId="List20">
    <w:name w:val="List 20"/>
    <w:basedOn w:val="Estiloimportado12"/>
    <w:rsid w:val="00DA36AE"/>
    <w:pPr>
      <w:numPr>
        <w:numId w:val="43"/>
      </w:numPr>
    </w:pPr>
  </w:style>
  <w:style w:type="numbering" w:customStyle="1" w:styleId="List21">
    <w:name w:val="List 21"/>
    <w:basedOn w:val="Estiloimportado19"/>
    <w:rsid w:val="00DA36AE"/>
    <w:pPr>
      <w:numPr>
        <w:numId w:val="38"/>
      </w:numPr>
    </w:pPr>
  </w:style>
  <w:style w:type="numbering" w:customStyle="1" w:styleId="Estiloimportado19">
    <w:name w:val="Estilo importado 19"/>
    <w:rsid w:val="00DA36AE"/>
  </w:style>
  <w:style w:type="numbering" w:customStyle="1" w:styleId="List22">
    <w:name w:val="List 22"/>
    <w:basedOn w:val="Estiloimportado19"/>
    <w:rsid w:val="00DA36AE"/>
    <w:pPr>
      <w:numPr>
        <w:numId w:val="28"/>
      </w:numPr>
    </w:pPr>
  </w:style>
  <w:style w:type="numbering" w:customStyle="1" w:styleId="List23">
    <w:name w:val="List 23"/>
    <w:basedOn w:val="Estiloimportado19"/>
    <w:rsid w:val="00DA36AE"/>
    <w:pPr>
      <w:numPr>
        <w:numId w:val="18"/>
      </w:numPr>
    </w:pPr>
  </w:style>
  <w:style w:type="numbering" w:customStyle="1" w:styleId="List24">
    <w:name w:val="List 24"/>
    <w:basedOn w:val="Estiloimportado20"/>
    <w:rsid w:val="00DA36AE"/>
    <w:pPr>
      <w:numPr>
        <w:numId w:val="13"/>
      </w:numPr>
    </w:pPr>
  </w:style>
  <w:style w:type="numbering" w:customStyle="1" w:styleId="Estiloimportado20">
    <w:name w:val="Estilo importado 20"/>
    <w:rsid w:val="00DA36AE"/>
  </w:style>
  <w:style w:type="numbering" w:customStyle="1" w:styleId="List25">
    <w:name w:val="List 25"/>
    <w:basedOn w:val="Estiloimportado21"/>
    <w:rsid w:val="00DA36AE"/>
    <w:pPr>
      <w:numPr>
        <w:numId w:val="15"/>
      </w:numPr>
    </w:pPr>
  </w:style>
  <w:style w:type="numbering" w:customStyle="1" w:styleId="Estiloimportado21">
    <w:name w:val="Estilo importado 21"/>
    <w:rsid w:val="00DA36AE"/>
  </w:style>
  <w:style w:type="numbering" w:customStyle="1" w:styleId="List26">
    <w:name w:val="List 26"/>
    <w:basedOn w:val="Estiloimportado22"/>
    <w:rsid w:val="00DA36AE"/>
    <w:pPr>
      <w:numPr>
        <w:numId w:val="49"/>
      </w:numPr>
    </w:pPr>
  </w:style>
  <w:style w:type="numbering" w:customStyle="1" w:styleId="Estiloimportado22">
    <w:name w:val="Estilo importado 22"/>
    <w:rsid w:val="00DA36AE"/>
  </w:style>
  <w:style w:type="numbering" w:customStyle="1" w:styleId="List27">
    <w:name w:val="List 27"/>
    <w:basedOn w:val="Estiloimportado23"/>
    <w:rsid w:val="00DA36AE"/>
    <w:pPr>
      <w:numPr>
        <w:numId w:val="41"/>
      </w:numPr>
    </w:pPr>
  </w:style>
  <w:style w:type="numbering" w:customStyle="1" w:styleId="Estiloimportado23">
    <w:name w:val="Estilo importado 23"/>
    <w:rsid w:val="00DA36AE"/>
  </w:style>
  <w:style w:type="numbering" w:customStyle="1" w:styleId="List28">
    <w:name w:val="List 28"/>
    <w:basedOn w:val="Estiloimportado24"/>
    <w:rsid w:val="00DA36AE"/>
    <w:pPr>
      <w:numPr>
        <w:numId w:val="30"/>
      </w:numPr>
    </w:pPr>
  </w:style>
  <w:style w:type="numbering" w:customStyle="1" w:styleId="Estiloimportado24">
    <w:name w:val="Estilo importado 24"/>
    <w:rsid w:val="00DA36AE"/>
  </w:style>
  <w:style w:type="numbering" w:customStyle="1" w:styleId="List29">
    <w:name w:val="List 29"/>
    <w:basedOn w:val="Estiloimportado25"/>
    <w:rsid w:val="00DA36AE"/>
    <w:pPr>
      <w:numPr>
        <w:numId w:val="34"/>
      </w:numPr>
    </w:pPr>
  </w:style>
  <w:style w:type="numbering" w:customStyle="1" w:styleId="Estiloimportado25">
    <w:name w:val="Estilo importado 25"/>
    <w:rsid w:val="00DA36AE"/>
  </w:style>
  <w:style w:type="numbering" w:customStyle="1" w:styleId="List30">
    <w:name w:val="List 30"/>
    <w:basedOn w:val="Estiloimportado26"/>
    <w:rsid w:val="00DA36AE"/>
    <w:pPr>
      <w:numPr>
        <w:numId w:val="32"/>
      </w:numPr>
    </w:pPr>
  </w:style>
  <w:style w:type="numbering" w:customStyle="1" w:styleId="Estiloimportado26">
    <w:name w:val="Estilo importado 26"/>
    <w:rsid w:val="00DA36AE"/>
  </w:style>
  <w:style w:type="numbering" w:customStyle="1" w:styleId="List310">
    <w:name w:val="List 31"/>
    <w:basedOn w:val="Estiloimportado27"/>
    <w:rsid w:val="00DA36AE"/>
    <w:pPr>
      <w:numPr>
        <w:numId w:val="45"/>
      </w:numPr>
    </w:pPr>
  </w:style>
  <w:style w:type="numbering" w:customStyle="1" w:styleId="Estiloimportado27">
    <w:name w:val="Estilo importado 27"/>
    <w:rsid w:val="00DA36AE"/>
  </w:style>
  <w:style w:type="numbering" w:customStyle="1" w:styleId="List32">
    <w:name w:val="List 32"/>
    <w:basedOn w:val="Estiloimportado28"/>
    <w:rsid w:val="00DA36AE"/>
    <w:pPr>
      <w:numPr>
        <w:numId w:val="48"/>
      </w:numPr>
    </w:pPr>
  </w:style>
  <w:style w:type="numbering" w:customStyle="1" w:styleId="Estiloimportado28">
    <w:name w:val="Estilo importado 28"/>
    <w:rsid w:val="00DA3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DA36AE"/>
    <w:rPr>
      <w:rFonts w:ascii="Calibri" w:eastAsia="Calibri" w:hAnsi="Calibri" w:cs="Calibri"/>
      <w:color w:val="000000"/>
      <w:u w:color="000000"/>
      <w:lang w:val="en-US"/>
    </w:rPr>
  </w:style>
  <w:style w:type="numbering" w:customStyle="1" w:styleId="List33">
    <w:name w:val="List 33"/>
    <w:basedOn w:val="Estiloimportado29"/>
    <w:rsid w:val="00DA36AE"/>
    <w:pPr>
      <w:numPr>
        <w:numId w:val="26"/>
      </w:numPr>
    </w:pPr>
  </w:style>
  <w:style w:type="numbering" w:customStyle="1" w:styleId="Estiloimportado29">
    <w:name w:val="Estilo importado 29"/>
    <w:rsid w:val="00DA36AE"/>
  </w:style>
  <w:style w:type="numbering" w:customStyle="1" w:styleId="List34">
    <w:name w:val="List 34"/>
    <w:basedOn w:val="Estiloimportado30"/>
    <w:rsid w:val="00DA36AE"/>
    <w:pPr>
      <w:numPr>
        <w:numId w:val="11"/>
      </w:numPr>
    </w:pPr>
  </w:style>
  <w:style w:type="numbering" w:customStyle="1" w:styleId="Estiloimportado30">
    <w:name w:val="Estilo importado 30"/>
    <w:rsid w:val="00DA36AE"/>
  </w:style>
  <w:style w:type="numbering" w:customStyle="1" w:styleId="List35">
    <w:name w:val="List 35"/>
    <w:basedOn w:val="Estiloimportado31"/>
    <w:rsid w:val="00DA36AE"/>
    <w:pPr>
      <w:numPr>
        <w:numId w:val="8"/>
      </w:numPr>
    </w:pPr>
  </w:style>
  <w:style w:type="numbering" w:customStyle="1" w:styleId="Estiloimportado31">
    <w:name w:val="Estilo importado 31"/>
    <w:rsid w:val="00DA36AE"/>
  </w:style>
  <w:style w:type="numbering" w:customStyle="1" w:styleId="List36">
    <w:name w:val="List 36"/>
    <w:basedOn w:val="Estiloimportado32"/>
    <w:rsid w:val="00DA36AE"/>
    <w:pPr>
      <w:numPr>
        <w:numId w:val="14"/>
      </w:numPr>
    </w:pPr>
  </w:style>
  <w:style w:type="numbering" w:customStyle="1" w:styleId="Estiloimportado32">
    <w:name w:val="Estilo importado 32"/>
    <w:rsid w:val="00DA36AE"/>
  </w:style>
  <w:style w:type="numbering" w:customStyle="1" w:styleId="List37">
    <w:name w:val="List 37"/>
    <w:basedOn w:val="Estiloimportado33"/>
    <w:rsid w:val="00DA36AE"/>
    <w:pPr>
      <w:numPr>
        <w:numId w:val="47"/>
      </w:numPr>
    </w:pPr>
  </w:style>
  <w:style w:type="numbering" w:customStyle="1" w:styleId="Estiloimportado33">
    <w:name w:val="Estilo importado 33"/>
    <w:rsid w:val="00DA36AE"/>
  </w:style>
  <w:style w:type="numbering" w:customStyle="1" w:styleId="List38">
    <w:name w:val="List 38"/>
    <w:basedOn w:val="Estiloimportado34"/>
    <w:rsid w:val="00DA36AE"/>
    <w:pPr>
      <w:numPr>
        <w:numId w:val="35"/>
      </w:numPr>
    </w:pPr>
  </w:style>
  <w:style w:type="numbering" w:customStyle="1" w:styleId="Estiloimportado34">
    <w:name w:val="Estilo importado 34"/>
    <w:rsid w:val="00DA36AE"/>
  </w:style>
  <w:style w:type="numbering" w:customStyle="1" w:styleId="List39">
    <w:name w:val="List 39"/>
    <w:basedOn w:val="Estiloimportado35"/>
    <w:rsid w:val="00DA36AE"/>
    <w:pPr>
      <w:numPr>
        <w:numId w:val="46"/>
      </w:numPr>
    </w:pPr>
  </w:style>
  <w:style w:type="numbering" w:customStyle="1" w:styleId="Estiloimportado35">
    <w:name w:val="Estilo importado 35"/>
    <w:rsid w:val="00DA36AE"/>
  </w:style>
  <w:style w:type="numbering" w:customStyle="1" w:styleId="List40">
    <w:name w:val="List 40"/>
    <w:basedOn w:val="Estiloimportado36"/>
    <w:rsid w:val="00DA36AE"/>
    <w:pPr>
      <w:numPr>
        <w:numId w:val="21"/>
      </w:numPr>
    </w:pPr>
  </w:style>
  <w:style w:type="numbering" w:customStyle="1" w:styleId="Estiloimportado36">
    <w:name w:val="Estilo importado 36"/>
    <w:rsid w:val="00DA36AE"/>
  </w:style>
  <w:style w:type="numbering" w:customStyle="1" w:styleId="List410">
    <w:name w:val="List 41"/>
    <w:basedOn w:val="Estiloimportado37"/>
    <w:rsid w:val="00DA36AE"/>
    <w:pPr>
      <w:numPr>
        <w:numId w:val="44"/>
      </w:numPr>
    </w:pPr>
  </w:style>
  <w:style w:type="numbering" w:customStyle="1" w:styleId="Estiloimportado37">
    <w:name w:val="Estilo importado 37"/>
    <w:rsid w:val="00DA36AE"/>
  </w:style>
  <w:style w:type="numbering" w:customStyle="1" w:styleId="List42">
    <w:name w:val="List 42"/>
    <w:basedOn w:val="Estiloimportado12"/>
    <w:rsid w:val="00DA36AE"/>
    <w:pPr>
      <w:numPr>
        <w:numId w:val="12"/>
      </w:numPr>
    </w:pPr>
  </w:style>
  <w:style w:type="numbering" w:customStyle="1" w:styleId="List43">
    <w:name w:val="List 43"/>
    <w:basedOn w:val="Estiloimportado38"/>
    <w:rsid w:val="00DA36AE"/>
    <w:pPr>
      <w:numPr>
        <w:numId w:val="23"/>
      </w:numPr>
    </w:pPr>
  </w:style>
  <w:style w:type="numbering" w:customStyle="1" w:styleId="Estiloimportado38">
    <w:name w:val="Estilo importado 38"/>
    <w:rsid w:val="00DA36AE"/>
  </w:style>
  <w:style w:type="numbering" w:customStyle="1" w:styleId="List44">
    <w:name w:val="List 44"/>
    <w:basedOn w:val="Estiloimportado39"/>
    <w:rsid w:val="00DA36AE"/>
    <w:pPr>
      <w:numPr>
        <w:numId w:val="40"/>
      </w:numPr>
    </w:pPr>
  </w:style>
  <w:style w:type="numbering" w:customStyle="1" w:styleId="Estiloimportado39">
    <w:name w:val="Estilo importado 39"/>
    <w:rsid w:val="00DA36AE"/>
  </w:style>
  <w:style w:type="numbering" w:customStyle="1" w:styleId="List45">
    <w:name w:val="List 45"/>
    <w:basedOn w:val="Estiloimportado40"/>
    <w:rsid w:val="00DA36AE"/>
    <w:pPr>
      <w:numPr>
        <w:numId w:val="20"/>
      </w:numPr>
    </w:pPr>
  </w:style>
  <w:style w:type="numbering" w:customStyle="1" w:styleId="Estiloimportado40">
    <w:name w:val="Estilo importado 40"/>
    <w:rsid w:val="00DA36AE"/>
  </w:style>
  <w:style w:type="numbering" w:customStyle="1" w:styleId="List46">
    <w:name w:val="List 46"/>
    <w:basedOn w:val="Estiloimportado41"/>
    <w:rsid w:val="00DA36AE"/>
    <w:pPr>
      <w:numPr>
        <w:numId w:val="24"/>
      </w:numPr>
    </w:pPr>
  </w:style>
  <w:style w:type="numbering" w:customStyle="1" w:styleId="Estiloimportado41">
    <w:name w:val="Estilo importado 41"/>
    <w:rsid w:val="00DA36AE"/>
  </w:style>
  <w:style w:type="numbering" w:customStyle="1" w:styleId="List47">
    <w:name w:val="List 47"/>
    <w:basedOn w:val="Estiloimportado42"/>
    <w:rsid w:val="00DA36AE"/>
    <w:pPr>
      <w:numPr>
        <w:numId w:val="29"/>
      </w:numPr>
    </w:pPr>
  </w:style>
  <w:style w:type="numbering" w:customStyle="1" w:styleId="Estiloimportado42">
    <w:name w:val="Estilo importado 42"/>
    <w:rsid w:val="00DA36AE"/>
  </w:style>
  <w:style w:type="numbering" w:customStyle="1" w:styleId="List48">
    <w:name w:val="List 48"/>
    <w:basedOn w:val="Estiloimportado43"/>
    <w:rsid w:val="00DA36AE"/>
    <w:pPr>
      <w:numPr>
        <w:numId w:val="50"/>
      </w:numPr>
    </w:pPr>
  </w:style>
  <w:style w:type="numbering" w:customStyle="1" w:styleId="Estiloimportado43">
    <w:name w:val="Estilo importado 43"/>
    <w:rsid w:val="00DA36AE"/>
  </w:style>
  <w:style w:type="numbering" w:customStyle="1" w:styleId="List49">
    <w:name w:val="List 49"/>
    <w:basedOn w:val="Estiloimportado44"/>
    <w:rsid w:val="00DA36AE"/>
    <w:pPr>
      <w:numPr>
        <w:numId w:val="39"/>
      </w:numPr>
    </w:pPr>
  </w:style>
  <w:style w:type="numbering" w:customStyle="1" w:styleId="Estiloimportado44">
    <w:name w:val="Estilo importado 44"/>
    <w:rsid w:val="00DA36AE"/>
  </w:style>
  <w:style w:type="numbering" w:customStyle="1" w:styleId="List50">
    <w:name w:val="List 50"/>
    <w:basedOn w:val="Estiloimportado45"/>
    <w:rsid w:val="00DA36AE"/>
    <w:pPr>
      <w:numPr>
        <w:numId w:val="37"/>
      </w:numPr>
    </w:pPr>
  </w:style>
  <w:style w:type="numbering" w:customStyle="1" w:styleId="Estiloimportado45">
    <w:name w:val="Estilo importado 45"/>
    <w:rsid w:val="00DA36AE"/>
  </w:style>
  <w:style w:type="numbering" w:customStyle="1" w:styleId="List51">
    <w:name w:val="List 51"/>
    <w:basedOn w:val="Estiloimportado46"/>
    <w:rsid w:val="00DA36AE"/>
    <w:pPr>
      <w:numPr>
        <w:numId w:val="33"/>
      </w:numPr>
    </w:pPr>
  </w:style>
  <w:style w:type="numbering" w:customStyle="1" w:styleId="Estiloimportado46">
    <w:name w:val="Estilo importado 46"/>
    <w:rsid w:val="00DA36AE"/>
  </w:style>
  <w:style w:type="numbering" w:customStyle="1" w:styleId="List52">
    <w:name w:val="List 52"/>
    <w:basedOn w:val="Estiloimportado1"/>
    <w:rsid w:val="00DA3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customStyle="1" w:styleId="Heading4Char">
    <w:name w:val="Heading 4 Char"/>
    <w:basedOn w:val="DefaultParagraphFont"/>
    <w:link w:val="Heading4"/>
    <w:uiPriority w:val="9"/>
    <w:rsid w:val="002F6504"/>
    <w:rPr>
      <w:rFonts w:asciiTheme="majorHAnsi" w:eastAsiaTheme="majorEastAsia" w:hAnsiTheme="majorHAnsi" w:cstheme="majorBidi"/>
      <w:b/>
      <w:bCs/>
      <w:i/>
      <w:iCs/>
      <w:color w:val="4F81BD" w:themeColor="accent1"/>
      <w:sz w:val="24"/>
      <w:szCs w:val="24"/>
      <w:lang w:val="en-US" w:eastAsia="en-US"/>
    </w:rPr>
  </w:style>
  <w:style w:type="paragraph" w:customStyle="1" w:styleId="xmsonormal">
    <w:name w:val="x_msonormal"/>
    <w:basedOn w:val="Normal"/>
    <w:rsid w:val="00DB47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customStyle="1" w:styleId="xparrafos">
    <w:name w:val="x_parrafos"/>
    <w:basedOn w:val="Normal"/>
    <w:rsid w:val="00DB47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312029165">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eathpenaltyinfo.org/facts-and-research/dpic-reports/dpic-special-reports/ohio-executions-scheduled-for-2017-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BB04-EE76-0648-A4A6-DCEB6854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14113</Words>
  <Characters>73248</Characters>
  <Application>Microsoft Office Word</Application>
  <DocSecurity>0</DocSecurity>
  <Lines>1285</Lines>
  <Paragraphs>301</Paragraphs>
  <ScaleCrop>false</ScaleCrop>
  <Company/>
  <LinksUpToDate>false</LinksUpToDate>
  <CharactersWithSpaces>87060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451/21</dc:title>
  <dc:creator/>
  <cp:lastModifiedBy/>
  <cp:revision>1</cp:revision>
  <dcterms:created xsi:type="dcterms:W3CDTF">2022-04-04T17:48:00Z</dcterms:created>
  <dcterms:modified xsi:type="dcterms:W3CDTF">2022-04-04T17:48:00Z</dcterms:modified>
</cp:coreProperties>
</file>